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E256" w14:textId="2138D076" w:rsidR="008E073E" w:rsidRPr="003E72A4" w:rsidRDefault="003E72A4" w:rsidP="003E72A4">
      <w:pPr>
        <w:pStyle w:val="Header"/>
      </w:pPr>
      <w:r w:rsidRPr="009C3941">
        <w:rPr>
          <w:noProof/>
        </w:rPr>
        <w:drawing>
          <wp:anchor distT="0" distB="0" distL="114300" distR="114300" simplePos="0" relativeHeight="251659264" behindDoc="1" locked="0" layoutInCell="1" allowOverlap="1" wp14:anchorId="79DB00A9" wp14:editId="4D3CB68D">
            <wp:simplePos x="0" y="0"/>
            <wp:positionH relativeFrom="margin">
              <wp:posOffset>2606040</wp:posOffset>
            </wp:positionH>
            <wp:positionV relativeFrom="margin">
              <wp:posOffset>-165735</wp:posOffset>
            </wp:positionV>
            <wp:extent cx="390525" cy="600075"/>
            <wp:effectExtent l="0" t="0" r="9525" b="9525"/>
            <wp:wrapTight wrapText="bothSides">
              <wp:wrapPolygon edited="0">
                <wp:start x="0" y="0"/>
                <wp:lineTo x="0" y="21257"/>
                <wp:lineTo x="21073" y="21257"/>
                <wp:lineTo x="21073" y="0"/>
                <wp:lineTo x="0" y="0"/>
              </wp:wrapPolygon>
            </wp:wrapTight>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anchor>
        </w:drawing>
      </w:r>
    </w:p>
    <w:p w14:paraId="311BCCBE" w14:textId="797539D6" w:rsidR="008E073E" w:rsidRDefault="008E073E" w:rsidP="008E073E">
      <w:pPr>
        <w:ind w:left="720" w:firstLine="720"/>
        <w:jc w:val="center"/>
        <w:rPr>
          <w:rFonts w:ascii="Times New Roman" w:hAnsi="Times New Roman" w:cs="Times New Roman"/>
          <w:b/>
          <w:bCs/>
        </w:rPr>
      </w:pPr>
    </w:p>
    <w:p w14:paraId="5104564C" w14:textId="77777777" w:rsidR="003E72A4" w:rsidRDefault="003E72A4" w:rsidP="003E72A4">
      <w:pPr>
        <w:rPr>
          <w:rFonts w:ascii="Times New Roman" w:hAnsi="Times New Roman" w:cs="Times New Roman"/>
          <w:b/>
          <w:bCs/>
        </w:rPr>
      </w:pPr>
    </w:p>
    <w:p w14:paraId="6230D873" w14:textId="6473FED6" w:rsidR="00CF18BD" w:rsidRDefault="008E073E" w:rsidP="008E073E">
      <w:pPr>
        <w:ind w:left="2880"/>
        <w:rPr>
          <w:rFonts w:ascii="Times New Roman" w:hAnsi="Times New Roman" w:cs="Times New Roman"/>
          <w:b/>
          <w:bCs/>
        </w:rPr>
      </w:pPr>
      <w:r>
        <w:rPr>
          <w:rFonts w:ascii="Times New Roman" w:hAnsi="Times New Roman" w:cs="Times New Roman"/>
          <w:b/>
          <w:bCs/>
        </w:rPr>
        <w:t xml:space="preserve">  </w:t>
      </w:r>
      <w:r w:rsidR="00CF18BD" w:rsidRPr="00230A3D">
        <w:rPr>
          <w:rFonts w:ascii="Times New Roman" w:hAnsi="Times New Roman" w:cs="Times New Roman"/>
          <w:b/>
          <w:bCs/>
        </w:rPr>
        <w:t>THE COURT OF APPEAL</w:t>
      </w:r>
    </w:p>
    <w:p w14:paraId="06EC9B08" w14:textId="77777777" w:rsidR="008E073E" w:rsidRPr="00230A3D" w:rsidRDefault="008E073E" w:rsidP="00CF18BD">
      <w:pPr>
        <w:jc w:val="center"/>
        <w:rPr>
          <w:rFonts w:ascii="Times New Roman" w:hAnsi="Times New Roman" w:cs="Times New Roman"/>
          <w:b/>
          <w:bCs/>
        </w:rPr>
      </w:pPr>
      <w:r>
        <w:rPr>
          <w:rFonts w:ascii="Times New Roman" w:hAnsi="Times New Roman" w:cs="Times New Roman"/>
          <w:b/>
          <w:bCs/>
        </w:rPr>
        <w:t>CIVIL</w:t>
      </w:r>
    </w:p>
    <w:p w14:paraId="3E0440EC" w14:textId="77777777" w:rsidR="00CF18BD" w:rsidRPr="00230A3D" w:rsidRDefault="00CF18BD" w:rsidP="00CF18BD">
      <w:pPr>
        <w:jc w:val="right"/>
        <w:rPr>
          <w:rFonts w:ascii="Times New Roman" w:hAnsi="Times New Roman" w:cs="Times New Roman"/>
          <w:b/>
          <w:bCs/>
        </w:rPr>
      </w:pPr>
      <w:r w:rsidRPr="00230A3D">
        <w:rPr>
          <w:rFonts w:ascii="Times New Roman" w:hAnsi="Times New Roman" w:cs="Times New Roman"/>
          <w:b/>
          <w:bCs/>
        </w:rPr>
        <w:t>Record No.: 2021/264</w:t>
      </w:r>
    </w:p>
    <w:p w14:paraId="443B6E5B" w14:textId="4F14B226" w:rsidR="00CF18BD" w:rsidRPr="00230A3D" w:rsidRDefault="00044A08" w:rsidP="00CF18BD">
      <w:pPr>
        <w:rPr>
          <w:rFonts w:ascii="Times New Roman" w:hAnsi="Times New Roman" w:cs="Times New Roman"/>
          <w:b/>
          <w:bCs/>
        </w:rPr>
      </w:pPr>
      <w:r>
        <w:rPr>
          <w:rFonts w:ascii="Times New Roman" w:hAnsi="Times New Roman" w:cs="Times New Roman"/>
          <w:b/>
          <w:bCs/>
        </w:rPr>
        <w:t>The President</w:t>
      </w:r>
      <w:r w:rsidR="00DB03AA">
        <w:rPr>
          <w:rFonts w:ascii="Times New Roman" w:hAnsi="Times New Roman" w:cs="Times New Roman"/>
          <w:b/>
          <w:bCs/>
        </w:rPr>
        <w:tab/>
      </w:r>
      <w:r w:rsidR="00DB03AA">
        <w:rPr>
          <w:rFonts w:ascii="Times New Roman" w:hAnsi="Times New Roman" w:cs="Times New Roman"/>
          <w:b/>
          <w:bCs/>
        </w:rPr>
        <w:tab/>
      </w:r>
      <w:r w:rsidR="00DB03AA">
        <w:rPr>
          <w:rFonts w:ascii="Times New Roman" w:hAnsi="Times New Roman" w:cs="Times New Roman"/>
          <w:b/>
          <w:bCs/>
        </w:rPr>
        <w:tab/>
      </w:r>
      <w:r w:rsidR="00DB03AA">
        <w:rPr>
          <w:rFonts w:ascii="Times New Roman" w:hAnsi="Times New Roman" w:cs="Times New Roman"/>
          <w:b/>
          <w:bCs/>
        </w:rPr>
        <w:tab/>
      </w:r>
      <w:r w:rsidR="00DB03AA">
        <w:rPr>
          <w:rFonts w:ascii="Times New Roman" w:hAnsi="Times New Roman" w:cs="Times New Roman"/>
          <w:b/>
          <w:bCs/>
        </w:rPr>
        <w:tab/>
        <w:t>Neutral Citation Number [2022] IECA 125</w:t>
      </w:r>
    </w:p>
    <w:p w14:paraId="370583FB" w14:textId="77777777" w:rsidR="00CF18BD" w:rsidRPr="00230A3D" w:rsidRDefault="00CF18BD" w:rsidP="00CF18BD">
      <w:pPr>
        <w:rPr>
          <w:rFonts w:ascii="Times New Roman" w:hAnsi="Times New Roman" w:cs="Times New Roman"/>
          <w:b/>
          <w:bCs/>
        </w:rPr>
      </w:pPr>
      <w:r w:rsidRPr="00230A3D">
        <w:rPr>
          <w:rFonts w:ascii="Times New Roman" w:hAnsi="Times New Roman" w:cs="Times New Roman"/>
          <w:b/>
          <w:bCs/>
        </w:rPr>
        <w:t>Edwards J.</w:t>
      </w:r>
    </w:p>
    <w:p w14:paraId="69A515BD" w14:textId="77777777" w:rsidR="00CF18BD" w:rsidRPr="00230A3D" w:rsidRDefault="00CF18BD" w:rsidP="00CF18BD">
      <w:pPr>
        <w:rPr>
          <w:rFonts w:ascii="Times New Roman" w:hAnsi="Times New Roman" w:cs="Times New Roman"/>
          <w:b/>
          <w:bCs/>
        </w:rPr>
      </w:pPr>
      <w:r w:rsidRPr="00230A3D">
        <w:rPr>
          <w:rFonts w:ascii="Times New Roman" w:hAnsi="Times New Roman" w:cs="Times New Roman"/>
          <w:b/>
          <w:bCs/>
        </w:rPr>
        <w:t>Donnelly J.</w:t>
      </w:r>
    </w:p>
    <w:p w14:paraId="7D3FE087" w14:textId="77777777" w:rsidR="00CF18BD" w:rsidRPr="00230A3D" w:rsidRDefault="00CF18BD" w:rsidP="00CF18BD">
      <w:pPr>
        <w:rPr>
          <w:rFonts w:ascii="Times New Roman" w:hAnsi="Times New Roman" w:cs="Times New Roman"/>
          <w:b/>
          <w:bCs/>
        </w:rPr>
      </w:pPr>
    </w:p>
    <w:p w14:paraId="16959853" w14:textId="77777777" w:rsidR="00CF18BD" w:rsidRPr="00230A3D" w:rsidRDefault="00CF18BD" w:rsidP="00CF18BD">
      <w:pPr>
        <w:rPr>
          <w:rFonts w:ascii="Times New Roman" w:hAnsi="Times New Roman" w:cs="Times New Roman"/>
          <w:b/>
          <w:bCs/>
        </w:rPr>
      </w:pPr>
      <w:r w:rsidRPr="00230A3D">
        <w:rPr>
          <w:rFonts w:ascii="Times New Roman" w:hAnsi="Times New Roman" w:cs="Times New Roman"/>
          <w:b/>
          <w:bCs/>
        </w:rPr>
        <w:t>BETWEEN/</w:t>
      </w:r>
    </w:p>
    <w:p w14:paraId="0401769B" w14:textId="77777777" w:rsidR="00CF18BD" w:rsidRPr="00230A3D" w:rsidRDefault="00CF18BD" w:rsidP="00CF18BD">
      <w:pPr>
        <w:jc w:val="center"/>
        <w:rPr>
          <w:rFonts w:ascii="Times New Roman" w:hAnsi="Times New Roman" w:cs="Times New Roman"/>
          <w:b/>
          <w:bCs/>
        </w:rPr>
      </w:pPr>
      <w:r w:rsidRPr="00230A3D">
        <w:rPr>
          <w:rFonts w:ascii="Times New Roman" w:hAnsi="Times New Roman" w:cs="Times New Roman"/>
          <w:b/>
          <w:bCs/>
        </w:rPr>
        <w:t>ATTORNEY GENERAL</w:t>
      </w:r>
    </w:p>
    <w:p w14:paraId="472FD29A" w14:textId="77777777" w:rsidR="00CF18BD" w:rsidRPr="00230A3D" w:rsidRDefault="00CF18BD" w:rsidP="00CF18BD">
      <w:pPr>
        <w:jc w:val="right"/>
        <w:rPr>
          <w:rFonts w:ascii="Times New Roman" w:hAnsi="Times New Roman" w:cs="Times New Roman"/>
          <w:b/>
          <w:bCs/>
        </w:rPr>
      </w:pPr>
      <w:r w:rsidRPr="00230A3D">
        <w:rPr>
          <w:rFonts w:ascii="Times New Roman" w:hAnsi="Times New Roman" w:cs="Times New Roman"/>
          <w:b/>
          <w:bCs/>
        </w:rPr>
        <w:t xml:space="preserve"> RESPONDENT </w:t>
      </w:r>
    </w:p>
    <w:p w14:paraId="10AF43ED" w14:textId="77777777" w:rsidR="00CF18BD" w:rsidRPr="00230A3D" w:rsidRDefault="00CF18BD" w:rsidP="00CF18BD">
      <w:pPr>
        <w:jc w:val="center"/>
        <w:rPr>
          <w:rFonts w:ascii="Times New Roman" w:hAnsi="Times New Roman" w:cs="Times New Roman"/>
          <w:b/>
          <w:bCs/>
        </w:rPr>
      </w:pPr>
      <w:r w:rsidRPr="00230A3D">
        <w:rPr>
          <w:rFonts w:ascii="Times New Roman" w:hAnsi="Times New Roman" w:cs="Times New Roman"/>
          <w:b/>
          <w:bCs/>
        </w:rPr>
        <w:t>– and –</w:t>
      </w:r>
    </w:p>
    <w:p w14:paraId="2ECD96BE" w14:textId="77777777" w:rsidR="00CF18BD" w:rsidRPr="00230A3D" w:rsidRDefault="00CF18BD" w:rsidP="00CF18BD">
      <w:pPr>
        <w:jc w:val="center"/>
        <w:rPr>
          <w:rFonts w:ascii="Times New Roman" w:hAnsi="Times New Roman" w:cs="Times New Roman"/>
          <w:b/>
          <w:bCs/>
        </w:rPr>
      </w:pPr>
    </w:p>
    <w:p w14:paraId="201CC0FB" w14:textId="77777777" w:rsidR="00CF18BD" w:rsidRPr="00230A3D" w:rsidRDefault="00CF18BD" w:rsidP="00CF18BD">
      <w:pPr>
        <w:jc w:val="center"/>
        <w:rPr>
          <w:rFonts w:ascii="Times New Roman" w:hAnsi="Times New Roman" w:cs="Times New Roman"/>
          <w:b/>
          <w:bCs/>
        </w:rPr>
      </w:pPr>
      <w:r w:rsidRPr="00230A3D">
        <w:rPr>
          <w:rFonts w:ascii="Times New Roman" w:hAnsi="Times New Roman" w:cs="Times New Roman"/>
          <w:b/>
          <w:bCs/>
        </w:rPr>
        <w:t xml:space="preserve">MARTIN WALL </w:t>
      </w:r>
    </w:p>
    <w:p w14:paraId="0A241B61" w14:textId="77777777" w:rsidR="00CF18BD" w:rsidRPr="00230A3D" w:rsidRDefault="00CF18BD" w:rsidP="00CF18BD">
      <w:pPr>
        <w:jc w:val="right"/>
        <w:rPr>
          <w:rFonts w:ascii="Times New Roman" w:hAnsi="Times New Roman" w:cs="Times New Roman"/>
          <w:b/>
          <w:bCs/>
        </w:rPr>
      </w:pPr>
      <w:r w:rsidRPr="00230A3D">
        <w:rPr>
          <w:rFonts w:ascii="Times New Roman" w:hAnsi="Times New Roman" w:cs="Times New Roman"/>
          <w:b/>
          <w:bCs/>
        </w:rPr>
        <w:t xml:space="preserve">APPELLANT </w:t>
      </w:r>
    </w:p>
    <w:p w14:paraId="263B0293" w14:textId="77777777" w:rsidR="00CF18BD" w:rsidRPr="00230A3D" w:rsidRDefault="00CF18BD" w:rsidP="00CF18BD">
      <w:pPr>
        <w:jc w:val="center"/>
        <w:rPr>
          <w:rFonts w:ascii="Times New Roman" w:hAnsi="Times New Roman" w:cs="Times New Roman"/>
          <w:b/>
          <w:bCs/>
        </w:rPr>
      </w:pPr>
    </w:p>
    <w:p w14:paraId="40DE8CEE" w14:textId="77777777" w:rsidR="00CF18BD" w:rsidRPr="003331AA" w:rsidRDefault="00793B76" w:rsidP="00CF18BD">
      <w:pPr>
        <w:spacing w:line="480" w:lineRule="auto"/>
        <w:rPr>
          <w:rFonts w:ascii="Times New Roman" w:hAnsi="Times New Roman" w:cs="Times New Roman"/>
          <w:b/>
          <w:bCs/>
          <w:u w:val="single"/>
        </w:rPr>
      </w:pPr>
      <w:r>
        <w:rPr>
          <w:rFonts w:ascii="Times New Roman" w:hAnsi="Times New Roman" w:cs="Times New Roman"/>
          <w:b/>
          <w:bCs/>
          <w:u w:val="single"/>
        </w:rPr>
        <w:t>J</w:t>
      </w:r>
      <w:r w:rsidR="001A393D">
        <w:rPr>
          <w:rFonts w:ascii="Times New Roman" w:hAnsi="Times New Roman" w:cs="Times New Roman"/>
          <w:b/>
          <w:bCs/>
          <w:u w:val="single"/>
        </w:rPr>
        <w:t>UDGMENT</w:t>
      </w:r>
      <w:r w:rsidR="00CF18BD" w:rsidRPr="003331AA">
        <w:rPr>
          <w:rFonts w:ascii="Times New Roman" w:hAnsi="Times New Roman" w:cs="Times New Roman"/>
          <w:b/>
          <w:bCs/>
          <w:u w:val="single"/>
        </w:rPr>
        <w:t xml:space="preserve"> of Ms. Justice Donnelly delivered th</w:t>
      </w:r>
      <w:r w:rsidR="001A393D">
        <w:rPr>
          <w:rFonts w:ascii="Times New Roman" w:hAnsi="Times New Roman" w:cs="Times New Roman"/>
          <w:b/>
          <w:bCs/>
          <w:u w:val="single"/>
        </w:rPr>
        <w:t xml:space="preserve">e </w:t>
      </w:r>
      <w:r w:rsidR="008E073E">
        <w:rPr>
          <w:rFonts w:ascii="Times New Roman" w:hAnsi="Times New Roman" w:cs="Times New Roman"/>
          <w:b/>
          <w:bCs/>
          <w:u w:val="single"/>
        </w:rPr>
        <w:t>31st</w:t>
      </w:r>
      <w:r w:rsidR="00CF18BD" w:rsidRPr="003331AA">
        <w:rPr>
          <w:rFonts w:ascii="Times New Roman" w:hAnsi="Times New Roman" w:cs="Times New Roman"/>
          <w:b/>
          <w:bCs/>
          <w:u w:val="single"/>
        </w:rPr>
        <w:t xml:space="preserve"> day of</w:t>
      </w:r>
      <w:r>
        <w:rPr>
          <w:rFonts w:ascii="Times New Roman" w:hAnsi="Times New Roman" w:cs="Times New Roman"/>
          <w:b/>
          <w:bCs/>
          <w:u w:val="single"/>
        </w:rPr>
        <w:t xml:space="preserve"> </w:t>
      </w:r>
      <w:r w:rsidR="008E073E">
        <w:rPr>
          <w:rFonts w:ascii="Times New Roman" w:hAnsi="Times New Roman" w:cs="Times New Roman"/>
          <w:b/>
          <w:bCs/>
          <w:u w:val="single"/>
        </w:rPr>
        <w:t>May,</w:t>
      </w:r>
      <w:r w:rsidR="00CF18BD" w:rsidRPr="003331AA">
        <w:rPr>
          <w:rFonts w:ascii="Times New Roman" w:hAnsi="Times New Roman" w:cs="Times New Roman"/>
          <w:b/>
          <w:bCs/>
          <w:u w:val="single"/>
        </w:rPr>
        <w:t xml:space="preserve"> 2022</w:t>
      </w:r>
      <w:bookmarkStart w:id="0" w:name="_Toc39246029"/>
    </w:p>
    <w:p w14:paraId="34D163E6" w14:textId="77777777" w:rsidR="00CF18BD" w:rsidRPr="003331AA" w:rsidRDefault="00CF18BD" w:rsidP="00CF18BD">
      <w:pPr>
        <w:pStyle w:val="Heading2"/>
        <w:spacing w:line="480" w:lineRule="auto"/>
        <w:jc w:val="left"/>
        <w:rPr>
          <w:rFonts w:ascii="Times New Roman" w:hAnsi="Times New Roman" w:cs="Times New Roman"/>
          <w:color w:val="auto"/>
          <w:sz w:val="24"/>
          <w:szCs w:val="24"/>
        </w:rPr>
      </w:pPr>
      <w:r w:rsidRPr="003331AA">
        <w:rPr>
          <w:rFonts w:ascii="Times New Roman" w:hAnsi="Times New Roman" w:cs="Times New Roman"/>
          <w:color w:val="auto"/>
          <w:sz w:val="24"/>
          <w:szCs w:val="24"/>
        </w:rPr>
        <w:t>Introduction</w:t>
      </w:r>
      <w:bookmarkEnd w:id="0"/>
    </w:p>
    <w:p w14:paraId="5FF2356F" w14:textId="26505E85" w:rsidR="00BA17E5" w:rsidRDefault="00CF18BD" w:rsidP="00CF18BD">
      <w:pPr>
        <w:pStyle w:val="ListParagraph"/>
        <w:numPr>
          <w:ilvl w:val="0"/>
          <w:numId w:val="1"/>
        </w:numPr>
        <w:spacing w:line="480" w:lineRule="auto"/>
        <w:ind w:left="0" w:firstLine="0"/>
        <w:jc w:val="both"/>
        <w:rPr>
          <w:rFonts w:ascii="Times New Roman" w:hAnsi="Times New Roman" w:cs="Times New Roman"/>
        </w:rPr>
      </w:pPr>
      <w:r w:rsidRPr="003331AA">
        <w:rPr>
          <w:rFonts w:ascii="Times New Roman" w:hAnsi="Times New Roman" w:cs="Times New Roman"/>
        </w:rPr>
        <w:t>On the</w:t>
      </w:r>
      <w:r w:rsidR="00793B76">
        <w:rPr>
          <w:rFonts w:ascii="Times New Roman" w:hAnsi="Times New Roman" w:cs="Times New Roman"/>
        </w:rPr>
        <w:t xml:space="preserve"> 24</w:t>
      </w:r>
      <w:r w:rsidR="00793B76" w:rsidRPr="00793B76">
        <w:rPr>
          <w:rFonts w:ascii="Times New Roman" w:hAnsi="Times New Roman" w:cs="Times New Roman"/>
          <w:vertAlign w:val="superscript"/>
        </w:rPr>
        <w:t>th</w:t>
      </w:r>
      <w:r w:rsidR="00793B76">
        <w:rPr>
          <w:rFonts w:ascii="Times New Roman" w:hAnsi="Times New Roman" w:cs="Times New Roman"/>
        </w:rPr>
        <w:t xml:space="preserve"> February, 2022</w:t>
      </w:r>
      <w:r w:rsidRPr="003331AA">
        <w:rPr>
          <w:rFonts w:ascii="Times New Roman" w:hAnsi="Times New Roman" w:cs="Times New Roman"/>
        </w:rPr>
        <w:t>, th</w:t>
      </w:r>
      <w:r w:rsidR="00793B76">
        <w:rPr>
          <w:rFonts w:ascii="Times New Roman" w:hAnsi="Times New Roman" w:cs="Times New Roman"/>
        </w:rPr>
        <w:t xml:space="preserve">is Court gave a preliminary ruling in which the appellant’s </w:t>
      </w:r>
      <w:r w:rsidR="00C96948">
        <w:rPr>
          <w:rFonts w:ascii="Times New Roman" w:hAnsi="Times New Roman" w:cs="Times New Roman"/>
        </w:rPr>
        <w:t xml:space="preserve">first ground of appeal on the issue of </w:t>
      </w:r>
      <w:r w:rsidR="00BA17E5">
        <w:rPr>
          <w:rFonts w:ascii="Times New Roman" w:hAnsi="Times New Roman" w:cs="Times New Roman"/>
        </w:rPr>
        <w:t xml:space="preserve">correspondence of offences </w:t>
      </w:r>
      <w:r w:rsidR="00C96948">
        <w:rPr>
          <w:rFonts w:ascii="Times New Roman" w:hAnsi="Times New Roman" w:cs="Times New Roman"/>
        </w:rPr>
        <w:t>was rejected</w:t>
      </w:r>
      <w:r w:rsidR="005152CE">
        <w:rPr>
          <w:rFonts w:ascii="Times New Roman" w:hAnsi="Times New Roman" w:cs="Times New Roman"/>
        </w:rPr>
        <w:t>,</w:t>
      </w:r>
      <w:r w:rsidR="00C96948">
        <w:rPr>
          <w:rFonts w:ascii="Times New Roman" w:hAnsi="Times New Roman" w:cs="Times New Roman"/>
        </w:rPr>
        <w:t xml:space="preserve"> </w:t>
      </w:r>
      <w:r w:rsidR="00BA17E5">
        <w:rPr>
          <w:rFonts w:ascii="Times New Roman" w:hAnsi="Times New Roman" w:cs="Times New Roman"/>
        </w:rPr>
        <w:t>but further submissions</w:t>
      </w:r>
      <w:r w:rsidR="00E55BF5">
        <w:rPr>
          <w:rFonts w:ascii="Times New Roman" w:hAnsi="Times New Roman" w:cs="Times New Roman"/>
        </w:rPr>
        <w:t xml:space="preserve"> were sought</w:t>
      </w:r>
      <w:r w:rsidR="00BA17E5">
        <w:rPr>
          <w:rFonts w:ascii="Times New Roman" w:hAnsi="Times New Roman" w:cs="Times New Roman"/>
        </w:rPr>
        <w:t xml:space="preserve"> on </w:t>
      </w:r>
      <w:r w:rsidR="00C96948">
        <w:rPr>
          <w:rFonts w:ascii="Times New Roman" w:hAnsi="Times New Roman" w:cs="Times New Roman"/>
        </w:rPr>
        <w:t xml:space="preserve">his second </w:t>
      </w:r>
      <w:r w:rsidR="00BA17E5">
        <w:rPr>
          <w:rFonts w:ascii="Times New Roman" w:hAnsi="Times New Roman" w:cs="Times New Roman"/>
        </w:rPr>
        <w:t xml:space="preserve">ground concerning an alleged risk to the appellant of inhuman and degrading treatment if he was to be surrendered to the </w:t>
      </w:r>
      <w:r w:rsidRPr="003331AA">
        <w:rPr>
          <w:rFonts w:ascii="Times New Roman" w:hAnsi="Times New Roman" w:cs="Times New Roman"/>
        </w:rPr>
        <w:t>United States of America (“the USA”)</w:t>
      </w:r>
      <w:r w:rsidR="00BA17E5">
        <w:rPr>
          <w:rFonts w:ascii="Times New Roman" w:hAnsi="Times New Roman" w:cs="Times New Roman"/>
        </w:rPr>
        <w:t xml:space="preserve">.  The Court received further written and oral submissions and </w:t>
      </w:r>
      <w:r w:rsidR="00C96948">
        <w:rPr>
          <w:rFonts w:ascii="Times New Roman" w:hAnsi="Times New Roman" w:cs="Times New Roman"/>
        </w:rPr>
        <w:t xml:space="preserve">thereafter </w:t>
      </w:r>
      <w:r w:rsidR="00BA17E5">
        <w:rPr>
          <w:rFonts w:ascii="Times New Roman" w:hAnsi="Times New Roman" w:cs="Times New Roman"/>
        </w:rPr>
        <w:t>reserved judgment.</w:t>
      </w:r>
    </w:p>
    <w:p w14:paraId="69F8DD15" w14:textId="5D2FD9D9" w:rsidR="00857E16" w:rsidRPr="00857E16" w:rsidRDefault="00857E16" w:rsidP="00BA17E5">
      <w:pPr>
        <w:pStyle w:val="ListParagraph"/>
        <w:numPr>
          <w:ilvl w:val="0"/>
          <w:numId w:val="1"/>
        </w:numPr>
        <w:spacing w:line="480" w:lineRule="auto"/>
        <w:ind w:left="0" w:firstLine="0"/>
        <w:jc w:val="both"/>
        <w:rPr>
          <w:rFonts w:ascii="Times New Roman" w:hAnsi="Times New Roman" w:cs="Times New Roman"/>
        </w:rPr>
      </w:pPr>
      <w:r>
        <w:rPr>
          <w:rFonts w:ascii="Times New Roman" w:hAnsi="Times New Roman" w:cs="Times New Roman"/>
        </w:rPr>
        <w:t xml:space="preserve">The facts of the case are set out in the preliminary ruling and will not be repeated here </w:t>
      </w:r>
      <w:r w:rsidR="005152CE">
        <w:rPr>
          <w:rFonts w:ascii="Times New Roman" w:hAnsi="Times New Roman" w:cs="Times New Roman"/>
        </w:rPr>
        <w:t>(</w:t>
      </w:r>
      <w:r>
        <w:rPr>
          <w:rFonts w:ascii="Times New Roman" w:hAnsi="Times New Roman" w:cs="Times New Roman"/>
        </w:rPr>
        <w:t>save where context requires</w:t>
      </w:r>
      <w:r w:rsidR="005152CE">
        <w:rPr>
          <w:rFonts w:ascii="Times New Roman" w:hAnsi="Times New Roman" w:cs="Times New Roman"/>
        </w:rPr>
        <w:t>)</w:t>
      </w:r>
      <w:r>
        <w:rPr>
          <w:rFonts w:ascii="Times New Roman" w:hAnsi="Times New Roman" w:cs="Times New Roman"/>
        </w:rPr>
        <w:t xml:space="preserve">.  </w:t>
      </w:r>
      <w:r w:rsidR="00C96948">
        <w:rPr>
          <w:rFonts w:ascii="Times New Roman" w:hAnsi="Times New Roman" w:cs="Times New Roman"/>
        </w:rPr>
        <w:t>That ruling</w:t>
      </w:r>
      <w:r>
        <w:rPr>
          <w:rFonts w:ascii="Times New Roman" w:hAnsi="Times New Roman" w:cs="Times New Roman"/>
        </w:rPr>
        <w:t xml:space="preserve"> referred to the decision of the Court of Justice of the European Union</w:t>
      </w:r>
      <w:r w:rsidR="00E55BF5">
        <w:rPr>
          <w:rFonts w:ascii="Times New Roman" w:hAnsi="Times New Roman" w:cs="Times New Roman"/>
        </w:rPr>
        <w:t xml:space="preserve"> (“the CJEU”)</w:t>
      </w:r>
      <w:r>
        <w:rPr>
          <w:rFonts w:ascii="Times New Roman" w:hAnsi="Times New Roman" w:cs="Times New Roman"/>
        </w:rPr>
        <w:t xml:space="preserve"> in</w:t>
      </w:r>
      <w:r w:rsidR="00516D58">
        <w:rPr>
          <w:rFonts w:ascii="Times New Roman" w:hAnsi="Times New Roman" w:cs="Times New Roman"/>
        </w:rPr>
        <w:t xml:space="preserve"> </w:t>
      </w:r>
      <w:r w:rsidR="00516D58" w:rsidRPr="003331AA">
        <w:rPr>
          <w:rFonts w:ascii="Times New Roman" w:hAnsi="Times New Roman" w:cs="Times New Roman"/>
          <w:i/>
        </w:rPr>
        <w:t xml:space="preserve">ML and </w:t>
      </w:r>
      <w:proofErr w:type="spellStart"/>
      <w:r w:rsidR="00516D58" w:rsidRPr="003331AA">
        <w:rPr>
          <w:rFonts w:ascii="Times New Roman" w:hAnsi="Times New Roman" w:cs="Times New Roman"/>
          <w:i/>
        </w:rPr>
        <w:t>Generalstaatsanwaltscaft</w:t>
      </w:r>
      <w:proofErr w:type="spellEnd"/>
      <w:r w:rsidR="00516D58" w:rsidRPr="003331AA">
        <w:rPr>
          <w:rFonts w:ascii="Times New Roman" w:hAnsi="Times New Roman" w:cs="Times New Roman"/>
          <w:i/>
        </w:rPr>
        <w:t xml:space="preserve"> Bremen</w:t>
      </w:r>
      <w:r w:rsidR="00516D58">
        <w:rPr>
          <w:rFonts w:ascii="Times New Roman" w:hAnsi="Times New Roman" w:cs="Times New Roman"/>
          <w:i/>
        </w:rPr>
        <w:t xml:space="preserve"> </w:t>
      </w:r>
      <w:r w:rsidR="00516D58" w:rsidRPr="00EE6DFF">
        <w:rPr>
          <w:rFonts w:ascii="Times New Roman" w:hAnsi="Times New Roman" w:cs="Times New Roman"/>
          <w:iCs/>
        </w:rPr>
        <w:t>(Case C-220/18 PPU)</w:t>
      </w:r>
      <w:r w:rsidR="00516D58">
        <w:rPr>
          <w:rFonts w:ascii="Times New Roman" w:hAnsi="Times New Roman" w:cs="Times New Roman"/>
          <w:i/>
        </w:rPr>
        <w:t xml:space="preserve"> </w:t>
      </w:r>
      <w:r w:rsidR="00516D58">
        <w:rPr>
          <w:rFonts w:ascii="Times New Roman" w:hAnsi="Times New Roman" w:cs="Times New Roman"/>
          <w:iCs/>
        </w:rPr>
        <w:t>EU:C:2018:589</w:t>
      </w:r>
      <w:r w:rsidR="006A4234">
        <w:rPr>
          <w:rFonts w:ascii="Times New Roman" w:hAnsi="Times New Roman" w:cs="Times New Roman"/>
          <w:iCs/>
        </w:rPr>
        <w:t xml:space="preserve"> (“</w:t>
      </w:r>
      <w:r w:rsidR="006A4234">
        <w:rPr>
          <w:rFonts w:ascii="Times New Roman" w:hAnsi="Times New Roman" w:cs="Times New Roman"/>
          <w:i/>
        </w:rPr>
        <w:t>ML</w:t>
      </w:r>
      <w:r w:rsidR="006A4234">
        <w:rPr>
          <w:rFonts w:ascii="Times New Roman" w:hAnsi="Times New Roman" w:cs="Times New Roman"/>
          <w:iCs/>
        </w:rPr>
        <w:t>”)</w:t>
      </w:r>
      <w:r w:rsidR="00C96948">
        <w:rPr>
          <w:rFonts w:ascii="Times New Roman" w:hAnsi="Times New Roman" w:cs="Times New Roman"/>
          <w:iCs/>
        </w:rPr>
        <w:t>.  In that case</w:t>
      </w:r>
      <w:r w:rsidR="00E55BF5">
        <w:rPr>
          <w:rFonts w:ascii="Times New Roman" w:hAnsi="Times New Roman" w:cs="Times New Roman"/>
          <w:iCs/>
        </w:rPr>
        <w:t>,</w:t>
      </w:r>
      <w:r w:rsidR="00C96948">
        <w:rPr>
          <w:rFonts w:ascii="Times New Roman" w:hAnsi="Times New Roman" w:cs="Times New Roman"/>
          <w:iCs/>
        </w:rPr>
        <w:t xml:space="preserve"> the </w:t>
      </w:r>
      <w:r w:rsidR="00E55BF5">
        <w:rPr>
          <w:rFonts w:ascii="Times New Roman" w:hAnsi="Times New Roman" w:cs="Times New Roman"/>
          <w:iCs/>
        </w:rPr>
        <w:t xml:space="preserve">CJEU </w:t>
      </w:r>
      <w:r w:rsidR="00C96948">
        <w:rPr>
          <w:rFonts w:ascii="Times New Roman" w:hAnsi="Times New Roman" w:cs="Times New Roman"/>
          <w:iCs/>
        </w:rPr>
        <w:t xml:space="preserve">addressed </w:t>
      </w:r>
      <w:r>
        <w:rPr>
          <w:rFonts w:ascii="Times New Roman" w:hAnsi="Times New Roman" w:cs="Times New Roman"/>
        </w:rPr>
        <w:t xml:space="preserve">the </w:t>
      </w:r>
      <w:r w:rsidR="00C96948">
        <w:rPr>
          <w:rFonts w:ascii="Times New Roman" w:hAnsi="Times New Roman" w:cs="Times New Roman"/>
        </w:rPr>
        <w:t xml:space="preserve">issue of the </w:t>
      </w:r>
      <w:r w:rsidR="00B83965">
        <w:rPr>
          <w:rFonts w:ascii="Times New Roman" w:hAnsi="Times New Roman" w:cs="Times New Roman"/>
        </w:rPr>
        <w:t xml:space="preserve">extent to which </w:t>
      </w:r>
      <w:r w:rsidR="00C96948">
        <w:rPr>
          <w:rFonts w:ascii="Times New Roman" w:hAnsi="Times New Roman" w:cs="Times New Roman"/>
        </w:rPr>
        <w:t>a</w:t>
      </w:r>
      <w:r w:rsidR="00B83965">
        <w:rPr>
          <w:rFonts w:ascii="Times New Roman" w:hAnsi="Times New Roman" w:cs="Times New Roman"/>
        </w:rPr>
        <w:t xml:space="preserve"> court executing a European Arrest Warrant </w:t>
      </w:r>
      <w:r w:rsidR="001F6588">
        <w:rPr>
          <w:rFonts w:ascii="Times New Roman" w:hAnsi="Times New Roman" w:cs="Times New Roman"/>
        </w:rPr>
        <w:t xml:space="preserve">(“EAW”) </w:t>
      </w:r>
      <w:r w:rsidR="00B83965">
        <w:rPr>
          <w:rFonts w:ascii="Times New Roman" w:hAnsi="Times New Roman" w:cs="Times New Roman"/>
        </w:rPr>
        <w:t xml:space="preserve">had to assess conditions in </w:t>
      </w:r>
      <w:r w:rsidR="00B83965" w:rsidRPr="00587DEF">
        <w:rPr>
          <w:rFonts w:ascii="Times New Roman" w:hAnsi="Times New Roman" w:cs="Times New Roman"/>
          <w:u w:val="single"/>
        </w:rPr>
        <w:t>all</w:t>
      </w:r>
      <w:r w:rsidR="00B83965">
        <w:rPr>
          <w:rFonts w:ascii="Times New Roman" w:hAnsi="Times New Roman" w:cs="Times New Roman"/>
        </w:rPr>
        <w:t xml:space="preserve"> prisons in the issuing State in which the requested person </w:t>
      </w:r>
      <w:r w:rsidR="00B83965" w:rsidRPr="00587DEF">
        <w:rPr>
          <w:rFonts w:ascii="Times New Roman" w:hAnsi="Times New Roman" w:cs="Times New Roman"/>
          <w:u w:val="single"/>
        </w:rPr>
        <w:t>might be</w:t>
      </w:r>
      <w:r w:rsidR="00B83965">
        <w:rPr>
          <w:rFonts w:ascii="Times New Roman" w:hAnsi="Times New Roman" w:cs="Times New Roman"/>
        </w:rPr>
        <w:t xml:space="preserve"> detained</w:t>
      </w:r>
      <w:r w:rsidR="00B61D7F">
        <w:rPr>
          <w:rFonts w:ascii="Times New Roman" w:hAnsi="Times New Roman" w:cs="Times New Roman"/>
        </w:rPr>
        <w:t xml:space="preserve"> (</w:t>
      </w:r>
      <w:r w:rsidR="00B61D7F" w:rsidRPr="00EE6DFF">
        <w:rPr>
          <w:rFonts w:ascii="Times New Roman" w:hAnsi="Times New Roman" w:cs="Times New Roman"/>
          <w:u w:val="single"/>
        </w:rPr>
        <w:t>emphasis</w:t>
      </w:r>
      <w:r w:rsidR="00B61D7F">
        <w:rPr>
          <w:rFonts w:ascii="Times New Roman" w:hAnsi="Times New Roman" w:cs="Times New Roman"/>
        </w:rPr>
        <w:t xml:space="preserve"> added)</w:t>
      </w:r>
      <w:r w:rsidR="00B83965">
        <w:rPr>
          <w:rFonts w:ascii="Times New Roman" w:hAnsi="Times New Roman" w:cs="Times New Roman"/>
        </w:rPr>
        <w:t>.</w:t>
      </w:r>
      <w:r>
        <w:rPr>
          <w:rFonts w:ascii="Times New Roman" w:hAnsi="Times New Roman" w:cs="Times New Roman"/>
        </w:rPr>
        <w:t xml:space="preserve">  </w:t>
      </w:r>
      <w:r w:rsidR="00C96948">
        <w:rPr>
          <w:rFonts w:ascii="Times New Roman" w:hAnsi="Times New Roman" w:cs="Times New Roman"/>
        </w:rPr>
        <w:lastRenderedPageBreak/>
        <w:t xml:space="preserve">The present appeal concerns an extradition request made under the provisions of the Extradition Act, 1965 as amended (“the 1965 Act”).  </w:t>
      </w:r>
      <w:r w:rsidR="00B83965">
        <w:rPr>
          <w:rFonts w:ascii="Times New Roman" w:hAnsi="Times New Roman" w:cs="Times New Roman"/>
        </w:rPr>
        <w:t>U</w:t>
      </w:r>
      <w:r>
        <w:rPr>
          <w:rFonts w:ascii="Times New Roman" w:hAnsi="Times New Roman" w:cs="Times New Roman"/>
        </w:rPr>
        <w:t>ndoubtedly</w:t>
      </w:r>
      <w:r w:rsidR="00B83965">
        <w:rPr>
          <w:rFonts w:ascii="Times New Roman" w:hAnsi="Times New Roman" w:cs="Times New Roman"/>
        </w:rPr>
        <w:t>,</w:t>
      </w:r>
      <w:r>
        <w:rPr>
          <w:rFonts w:ascii="Times New Roman" w:hAnsi="Times New Roman" w:cs="Times New Roman"/>
        </w:rPr>
        <w:t xml:space="preserve"> there is a difference in the presumption of good faith that operates in respect of extradition under Part II of the</w:t>
      </w:r>
      <w:r w:rsidR="00F07454">
        <w:rPr>
          <w:rFonts w:ascii="Times New Roman" w:hAnsi="Times New Roman" w:cs="Times New Roman"/>
        </w:rPr>
        <w:t xml:space="preserve"> 1965</w:t>
      </w:r>
      <w:r>
        <w:rPr>
          <w:rFonts w:ascii="Times New Roman" w:hAnsi="Times New Roman" w:cs="Times New Roman"/>
        </w:rPr>
        <w:t xml:space="preserve"> </w:t>
      </w:r>
      <w:proofErr w:type="gramStart"/>
      <w:r>
        <w:rPr>
          <w:rFonts w:ascii="Times New Roman" w:hAnsi="Times New Roman" w:cs="Times New Roman"/>
        </w:rPr>
        <w:t>Act</w:t>
      </w:r>
      <w:r w:rsidR="00DD2255">
        <w:rPr>
          <w:rFonts w:ascii="Times New Roman" w:hAnsi="Times New Roman" w:cs="Times New Roman"/>
        </w:rPr>
        <w:t>,</w:t>
      </w:r>
      <w:r>
        <w:rPr>
          <w:rFonts w:ascii="Times New Roman" w:hAnsi="Times New Roman" w:cs="Times New Roman"/>
        </w:rPr>
        <w:t xml:space="preserve"> and</w:t>
      </w:r>
      <w:proofErr w:type="gramEnd"/>
      <w:r>
        <w:rPr>
          <w:rFonts w:ascii="Times New Roman" w:hAnsi="Times New Roman" w:cs="Times New Roman"/>
        </w:rPr>
        <w:t xml:space="preserve"> surrender under the European Arrest Warrant Act 2003 as amended</w:t>
      </w:r>
      <w:r w:rsidR="0075022A">
        <w:rPr>
          <w:rFonts w:ascii="Times New Roman" w:hAnsi="Times New Roman" w:cs="Times New Roman"/>
        </w:rPr>
        <w:t xml:space="preserve"> (“the 2003 Act”).  </w:t>
      </w:r>
      <w:r w:rsidR="004767CC">
        <w:rPr>
          <w:rFonts w:ascii="Times New Roman" w:hAnsi="Times New Roman" w:cs="Times New Roman"/>
        </w:rPr>
        <w:t>The</w:t>
      </w:r>
      <w:r>
        <w:rPr>
          <w:rFonts w:ascii="Times New Roman" w:hAnsi="Times New Roman" w:cs="Times New Roman"/>
        </w:rPr>
        <w:t xml:space="preserve"> Supreme Court in </w:t>
      </w:r>
      <w:r w:rsidRPr="003331AA">
        <w:rPr>
          <w:rFonts w:ascii="Times New Roman" w:eastAsia="Times New Roman" w:hAnsi="Times New Roman" w:cs="Times New Roman"/>
          <w:i/>
          <w:iCs/>
          <w:lang w:val="en-IE" w:eastAsia="en-GB"/>
        </w:rPr>
        <w:t>Attorney General v</w:t>
      </w:r>
      <w:r>
        <w:rPr>
          <w:rFonts w:ascii="Times New Roman" w:eastAsia="Times New Roman" w:hAnsi="Times New Roman" w:cs="Times New Roman"/>
          <w:i/>
          <w:iCs/>
          <w:lang w:val="en-IE" w:eastAsia="en-GB"/>
        </w:rPr>
        <w:t>.</w:t>
      </w:r>
      <w:r w:rsidRPr="003331AA">
        <w:rPr>
          <w:rFonts w:ascii="Times New Roman" w:eastAsia="Times New Roman" w:hAnsi="Times New Roman" w:cs="Times New Roman"/>
          <w:i/>
          <w:iCs/>
          <w:lang w:val="en-IE" w:eastAsia="en-GB"/>
        </w:rPr>
        <w:t xml:space="preserve"> Davis</w:t>
      </w:r>
      <w:r w:rsidRPr="003331AA">
        <w:rPr>
          <w:rFonts w:ascii="Times New Roman" w:eastAsia="Times New Roman" w:hAnsi="Times New Roman" w:cs="Times New Roman"/>
          <w:iCs/>
          <w:lang w:val="en-IE" w:eastAsia="en-GB"/>
        </w:rPr>
        <w:t xml:space="preserve"> </w:t>
      </w:r>
      <w:r w:rsidR="00B83965">
        <w:rPr>
          <w:rFonts w:ascii="Times New Roman" w:eastAsia="Times New Roman" w:hAnsi="Times New Roman" w:cs="Times New Roman"/>
          <w:iCs/>
          <w:lang w:val="en-IE" w:eastAsia="en-GB"/>
        </w:rPr>
        <w:t>[2018] 2 IR 357</w:t>
      </w:r>
      <w:r>
        <w:rPr>
          <w:rFonts w:ascii="Times New Roman" w:eastAsia="Times New Roman" w:hAnsi="Times New Roman" w:cs="Times New Roman"/>
          <w:iCs/>
          <w:lang w:val="en-IE" w:eastAsia="en-GB"/>
        </w:rPr>
        <w:t xml:space="preserve"> at </w:t>
      </w:r>
      <w:r w:rsidRPr="003331AA">
        <w:rPr>
          <w:rFonts w:ascii="Times New Roman" w:eastAsia="Times New Roman" w:hAnsi="Times New Roman" w:cs="Times New Roman"/>
          <w:iCs/>
          <w:lang w:val="en-IE" w:eastAsia="en-GB"/>
        </w:rPr>
        <w:t>p.</w:t>
      </w:r>
      <w:r>
        <w:rPr>
          <w:rFonts w:ascii="Times New Roman" w:eastAsia="Times New Roman" w:hAnsi="Times New Roman" w:cs="Times New Roman"/>
          <w:iCs/>
          <w:lang w:val="en-IE" w:eastAsia="en-GB"/>
        </w:rPr>
        <w:t xml:space="preserve"> </w:t>
      </w:r>
      <w:r w:rsidRPr="003331AA">
        <w:rPr>
          <w:rFonts w:ascii="Times New Roman" w:eastAsia="Times New Roman" w:hAnsi="Times New Roman" w:cs="Times New Roman"/>
          <w:iCs/>
          <w:lang w:val="en-IE" w:eastAsia="en-GB"/>
        </w:rPr>
        <w:t xml:space="preserve">401 citing </w:t>
      </w:r>
      <w:r w:rsidRPr="003331AA">
        <w:rPr>
          <w:rFonts w:ascii="Times New Roman" w:eastAsia="Times New Roman" w:hAnsi="Times New Roman" w:cs="Times New Roman"/>
          <w:i/>
          <w:iCs/>
          <w:lang w:val="en-IE" w:eastAsia="en-GB"/>
        </w:rPr>
        <w:t>Attorney General v</w:t>
      </w:r>
      <w:r w:rsidR="002A6D2B">
        <w:rPr>
          <w:rFonts w:ascii="Times New Roman" w:eastAsia="Times New Roman" w:hAnsi="Times New Roman" w:cs="Times New Roman"/>
          <w:i/>
          <w:iCs/>
          <w:lang w:val="en-IE" w:eastAsia="en-GB"/>
        </w:rPr>
        <w:t>.</w:t>
      </w:r>
      <w:r w:rsidRPr="003331AA">
        <w:rPr>
          <w:rFonts w:ascii="Times New Roman" w:eastAsia="Times New Roman" w:hAnsi="Times New Roman" w:cs="Times New Roman"/>
          <w:i/>
          <w:iCs/>
          <w:lang w:val="en-IE" w:eastAsia="en-GB"/>
        </w:rPr>
        <w:t xml:space="preserve"> O’Gara</w:t>
      </w:r>
      <w:r w:rsidRPr="003331AA">
        <w:rPr>
          <w:rFonts w:ascii="Times New Roman" w:eastAsia="Times New Roman" w:hAnsi="Times New Roman" w:cs="Times New Roman"/>
          <w:iCs/>
          <w:lang w:val="en-IE" w:eastAsia="en-GB"/>
        </w:rPr>
        <w:t xml:space="preserve"> [2012] IEHC 179</w:t>
      </w:r>
      <w:r w:rsidR="00020DF2">
        <w:rPr>
          <w:rFonts w:ascii="Times New Roman" w:eastAsia="Times New Roman" w:hAnsi="Times New Roman" w:cs="Times New Roman"/>
          <w:iCs/>
          <w:lang w:val="en-IE" w:eastAsia="en-GB"/>
        </w:rPr>
        <w:t>,</w:t>
      </w:r>
      <w:r w:rsidR="004767CC">
        <w:rPr>
          <w:rFonts w:ascii="Times New Roman" w:eastAsia="Times New Roman" w:hAnsi="Times New Roman" w:cs="Times New Roman"/>
          <w:iCs/>
          <w:lang w:val="en-IE" w:eastAsia="en-GB"/>
        </w:rPr>
        <w:t xml:space="preserve"> confirm</w:t>
      </w:r>
      <w:r w:rsidR="005152CE">
        <w:rPr>
          <w:rFonts w:ascii="Times New Roman" w:eastAsia="Times New Roman" w:hAnsi="Times New Roman" w:cs="Times New Roman"/>
          <w:iCs/>
          <w:lang w:val="en-IE" w:eastAsia="en-GB"/>
        </w:rPr>
        <w:t>ed</w:t>
      </w:r>
      <w:r w:rsidR="004767CC">
        <w:rPr>
          <w:rFonts w:ascii="Times New Roman" w:eastAsia="Times New Roman" w:hAnsi="Times New Roman" w:cs="Times New Roman"/>
          <w:iCs/>
          <w:lang w:val="en-IE" w:eastAsia="en-GB"/>
        </w:rPr>
        <w:t xml:space="preserve"> that the presumption of good faith is weaker in extradition requests under the 1965 Act.</w:t>
      </w:r>
      <w:r w:rsidR="00B83965">
        <w:rPr>
          <w:rFonts w:ascii="Times New Roman" w:eastAsia="Times New Roman" w:hAnsi="Times New Roman" w:cs="Times New Roman"/>
          <w:iCs/>
          <w:lang w:val="en-IE" w:eastAsia="en-GB"/>
        </w:rPr>
        <w:t xml:space="preserve">  </w:t>
      </w:r>
      <w:r w:rsidR="00C96948">
        <w:rPr>
          <w:rFonts w:ascii="Times New Roman" w:eastAsia="Times New Roman" w:hAnsi="Times New Roman" w:cs="Times New Roman"/>
          <w:iCs/>
          <w:lang w:val="en-IE" w:eastAsia="en-GB"/>
        </w:rPr>
        <w:t>In EAW cases, m</w:t>
      </w:r>
      <w:r w:rsidR="00B83965">
        <w:rPr>
          <w:rFonts w:ascii="Times New Roman" w:eastAsia="Times New Roman" w:hAnsi="Times New Roman" w:cs="Times New Roman"/>
          <w:iCs/>
          <w:lang w:val="en-IE" w:eastAsia="en-GB"/>
        </w:rPr>
        <w:t xml:space="preserve">utual trust and mutual recognition </w:t>
      </w:r>
      <w:r w:rsidR="00C96948">
        <w:rPr>
          <w:rFonts w:ascii="Times New Roman" w:eastAsia="Times New Roman" w:hAnsi="Times New Roman" w:cs="Times New Roman"/>
          <w:iCs/>
          <w:lang w:val="en-IE" w:eastAsia="en-GB"/>
        </w:rPr>
        <w:t>entail a</w:t>
      </w:r>
      <w:r w:rsidR="00EF1235">
        <w:rPr>
          <w:rFonts w:ascii="Times New Roman" w:eastAsia="Times New Roman" w:hAnsi="Times New Roman" w:cs="Times New Roman"/>
          <w:iCs/>
          <w:lang w:val="en-IE" w:eastAsia="en-GB"/>
        </w:rPr>
        <w:t xml:space="preserve"> high </w:t>
      </w:r>
      <w:r w:rsidR="00B83965">
        <w:rPr>
          <w:rFonts w:ascii="Times New Roman" w:eastAsia="Times New Roman" w:hAnsi="Times New Roman" w:cs="Times New Roman"/>
          <w:iCs/>
          <w:lang w:val="en-IE" w:eastAsia="en-GB"/>
        </w:rPr>
        <w:t>presumption of good faith in the requesting State’s commitment to the common values on which the E</w:t>
      </w:r>
      <w:r w:rsidR="00CF3156">
        <w:rPr>
          <w:rFonts w:ascii="Times New Roman" w:eastAsia="Times New Roman" w:hAnsi="Times New Roman" w:cs="Times New Roman"/>
          <w:iCs/>
          <w:lang w:val="en-IE" w:eastAsia="en-GB"/>
        </w:rPr>
        <w:t xml:space="preserve">uropean </w:t>
      </w:r>
      <w:r w:rsidR="00B83965">
        <w:rPr>
          <w:rFonts w:ascii="Times New Roman" w:eastAsia="Times New Roman" w:hAnsi="Times New Roman" w:cs="Times New Roman"/>
          <w:iCs/>
          <w:lang w:val="en-IE" w:eastAsia="en-GB"/>
        </w:rPr>
        <w:t>U</w:t>
      </w:r>
      <w:r w:rsidR="00CF3156">
        <w:rPr>
          <w:rFonts w:ascii="Times New Roman" w:eastAsia="Times New Roman" w:hAnsi="Times New Roman" w:cs="Times New Roman"/>
          <w:iCs/>
          <w:lang w:val="en-IE" w:eastAsia="en-GB"/>
        </w:rPr>
        <w:t>nion (“EU”)</w:t>
      </w:r>
      <w:r w:rsidR="00B83965">
        <w:rPr>
          <w:rFonts w:ascii="Times New Roman" w:eastAsia="Times New Roman" w:hAnsi="Times New Roman" w:cs="Times New Roman"/>
          <w:iCs/>
          <w:lang w:val="en-IE" w:eastAsia="en-GB"/>
        </w:rPr>
        <w:t xml:space="preserve"> is founded, as stated in Article 2 of the Treaty on </w:t>
      </w:r>
      <w:r w:rsidR="005152CE">
        <w:rPr>
          <w:rFonts w:ascii="Times New Roman" w:eastAsia="Times New Roman" w:hAnsi="Times New Roman" w:cs="Times New Roman"/>
          <w:iCs/>
          <w:lang w:val="en-IE" w:eastAsia="en-GB"/>
        </w:rPr>
        <w:t>EU</w:t>
      </w:r>
      <w:r w:rsidR="00B83965">
        <w:rPr>
          <w:rFonts w:ascii="Times New Roman" w:eastAsia="Times New Roman" w:hAnsi="Times New Roman" w:cs="Times New Roman"/>
          <w:iCs/>
          <w:lang w:val="en-IE" w:eastAsia="en-GB"/>
        </w:rPr>
        <w:t>.</w:t>
      </w:r>
    </w:p>
    <w:p w14:paraId="0B464ED7" w14:textId="0FC52FA1" w:rsidR="00857E16" w:rsidRPr="00597A71" w:rsidRDefault="00857E16" w:rsidP="00BA17E5">
      <w:pPr>
        <w:pStyle w:val="ListParagraph"/>
        <w:numPr>
          <w:ilvl w:val="0"/>
          <w:numId w:val="1"/>
        </w:numPr>
        <w:spacing w:line="480" w:lineRule="auto"/>
        <w:ind w:left="0" w:firstLine="0"/>
        <w:jc w:val="both"/>
        <w:rPr>
          <w:rFonts w:ascii="Times New Roman" w:hAnsi="Times New Roman" w:cs="Times New Roman"/>
        </w:rPr>
      </w:pPr>
      <w:r>
        <w:rPr>
          <w:rFonts w:ascii="Times New Roman" w:eastAsia="Times New Roman" w:hAnsi="Times New Roman" w:cs="Times New Roman"/>
          <w:iCs/>
          <w:lang w:val="en-IE" w:eastAsia="en-GB"/>
        </w:rPr>
        <w:t>In the preliminary ruling</w:t>
      </w:r>
      <w:r w:rsidR="00020DF2">
        <w:rPr>
          <w:rFonts w:ascii="Times New Roman" w:eastAsia="Times New Roman" w:hAnsi="Times New Roman" w:cs="Times New Roman"/>
          <w:iCs/>
          <w:lang w:val="en-IE" w:eastAsia="en-GB"/>
        </w:rPr>
        <w:t>,</w:t>
      </w:r>
      <w:r>
        <w:rPr>
          <w:rFonts w:ascii="Times New Roman" w:eastAsia="Times New Roman" w:hAnsi="Times New Roman" w:cs="Times New Roman"/>
          <w:iCs/>
          <w:lang w:val="en-IE" w:eastAsia="en-GB"/>
        </w:rPr>
        <w:t xml:space="preserve"> I </w:t>
      </w:r>
      <w:r w:rsidR="00C96948">
        <w:rPr>
          <w:rFonts w:ascii="Times New Roman" w:eastAsia="Times New Roman" w:hAnsi="Times New Roman" w:cs="Times New Roman"/>
          <w:iCs/>
          <w:lang w:val="en-IE" w:eastAsia="en-GB"/>
        </w:rPr>
        <w:t>said</w:t>
      </w:r>
      <w:r>
        <w:rPr>
          <w:rFonts w:ascii="Times New Roman" w:eastAsia="Times New Roman" w:hAnsi="Times New Roman" w:cs="Times New Roman"/>
          <w:iCs/>
          <w:lang w:val="en-IE" w:eastAsia="en-GB"/>
        </w:rPr>
        <w:t xml:space="preserve"> that the question of how far the presumption of good faith must be </w:t>
      </w:r>
      <w:proofErr w:type="gramStart"/>
      <w:r>
        <w:rPr>
          <w:rFonts w:ascii="Times New Roman" w:eastAsia="Times New Roman" w:hAnsi="Times New Roman" w:cs="Times New Roman"/>
          <w:iCs/>
          <w:lang w:val="en-IE" w:eastAsia="en-GB"/>
        </w:rPr>
        <w:t>taken into account</w:t>
      </w:r>
      <w:proofErr w:type="gramEnd"/>
      <w:r>
        <w:rPr>
          <w:rFonts w:ascii="Times New Roman" w:eastAsia="Times New Roman" w:hAnsi="Times New Roman" w:cs="Times New Roman"/>
          <w:iCs/>
          <w:lang w:val="en-IE" w:eastAsia="en-GB"/>
        </w:rPr>
        <w:t xml:space="preserve"> in measuring the risk of an event that may occur at an unspecified time in the future would benefit from further submissions by the parties.  </w:t>
      </w:r>
      <w:r w:rsidR="00990A23">
        <w:rPr>
          <w:rFonts w:ascii="Times New Roman" w:eastAsia="Times New Roman" w:hAnsi="Times New Roman" w:cs="Times New Roman"/>
          <w:iCs/>
          <w:lang w:val="en-IE" w:eastAsia="en-GB"/>
        </w:rPr>
        <w:t>I stated that o</w:t>
      </w:r>
      <w:r>
        <w:rPr>
          <w:rFonts w:ascii="Times New Roman" w:eastAsia="Times New Roman" w:hAnsi="Times New Roman" w:cs="Times New Roman"/>
          <w:iCs/>
          <w:lang w:val="en-IE" w:eastAsia="en-GB"/>
        </w:rPr>
        <w:t xml:space="preserve">ther issues might also arise </w:t>
      </w:r>
      <w:r w:rsidR="00C96948">
        <w:rPr>
          <w:rFonts w:ascii="Times New Roman" w:eastAsia="Times New Roman" w:hAnsi="Times New Roman" w:cs="Times New Roman"/>
          <w:iCs/>
          <w:lang w:val="en-IE" w:eastAsia="en-GB"/>
        </w:rPr>
        <w:t xml:space="preserve">thereafter, </w:t>
      </w:r>
      <w:r>
        <w:rPr>
          <w:rFonts w:ascii="Times New Roman" w:eastAsia="Times New Roman" w:hAnsi="Times New Roman" w:cs="Times New Roman"/>
          <w:iCs/>
          <w:lang w:val="en-IE" w:eastAsia="en-GB"/>
        </w:rPr>
        <w:t>depending on the view the Court might take</w:t>
      </w:r>
      <w:r w:rsidR="00C96948">
        <w:rPr>
          <w:rFonts w:ascii="Times New Roman" w:eastAsia="Times New Roman" w:hAnsi="Times New Roman" w:cs="Times New Roman"/>
          <w:iCs/>
          <w:lang w:val="en-IE" w:eastAsia="en-GB"/>
        </w:rPr>
        <w:t>,</w:t>
      </w:r>
      <w:r>
        <w:rPr>
          <w:rFonts w:ascii="Times New Roman" w:eastAsia="Times New Roman" w:hAnsi="Times New Roman" w:cs="Times New Roman"/>
          <w:iCs/>
          <w:lang w:val="en-IE" w:eastAsia="en-GB"/>
        </w:rPr>
        <w:t xml:space="preserve"> and for reasons of good case management, submissions were sought on a number of additional matters.  At the end of the preliminary ruling I outlined the following as matters upon which the Court required submissions:</w:t>
      </w:r>
    </w:p>
    <w:p w14:paraId="1A6D33CD" w14:textId="1AC0E624" w:rsidR="00597A71" w:rsidRPr="003331AA" w:rsidRDefault="00597A71" w:rsidP="00646ED0">
      <w:pPr>
        <w:pStyle w:val="ListParagraph"/>
        <w:numPr>
          <w:ilvl w:val="0"/>
          <w:numId w:val="3"/>
        </w:numPr>
        <w:spacing w:line="480" w:lineRule="auto"/>
        <w:ind w:left="1080"/>
        <w:jc w:val="both"/>
        <w:rPr>
          <w:rFonts w:ascii="Times New Roman" w:eastAsia="Times New Roman" w:hAnsi="Times New Roman" w:cs="Times New Roman"/>
          <w:iCs/>
          <w:lang w:val="en-IE" w:eastAsia="en-GB"/>
        </w:rPr>
      </w:pPr>
      <w:r w:rsidRPr="003331AA">
        <w:rPr>
          <w:rFonts w:ascii="Times New Roman" w:eastAsia="Times New Roman" w:hAnsi="Times New Roman" w:cs="Times New Roman"/>
          <w:iCs/>
          <w:lang w:val="en-IE" w:eastAsia="en-GB"/>
        </w:rPr>
        <w:t>The extent to which the presumption of good faith might preclude a court from going beyond the fact that this appellant will spend at least some time in custody prior to any final decision.</w:t>
      </w:r>
    </w:p>
    <w:p w14:paraId="5A454308" w14:textId="7549C4D2" w:rsidR="00597A71" w:rsidRPr="00990A23" w:rsidRDefault="00597A71" w:rsidP="00646ED0">
      <w:pPr>
        <w:pStyle w:val="ListParagraph"/>
        <w:numPr>
          <w:ilvl w:val="0"/>
          <w:numId w:val="3"/>
        </w:numPr>
        <w:spacing w:line="480" w:lineRule="auto"/>
        <w:ind w:left="1080"/>
        <w:jc w:val="both"/>
        <w:rPr>
          <w:rFonts w:ascii="Times New Roman" w:eastAsia="Times New Roman" w:hAnsi="Times New Roman" w:cs="Times New Roman"/>
          <w:iCs/>
          <w:lang w:val="en-IE" w:eastAsia="en-GB"/>
        </w:rPr>
      </w:pPr>
      <w:r w:rsidRPr="00990A23">
        <w:rPr>
          <w:rFonts w:ascii="Times New Roman" w:eastAsia="Times New Roman" w:hAnsi="Times New Roman" w:cs="Times New Roman"/>
          <w:iCs/>
          <w:lang w:val="en-IE" w:eastAsia="en-GB"/>
        </w:rPr>
        <w:t>The extent to which the measurement of future risk is affected by the remoteness of the feared result together with the presumption of good faith on behalf of the requesting State.</w:t>
      </w:r>
    </w:p>
    <w:p w14:paraId="04CD6919" w14:textId="2A10B303" w:rsidR="00597A71" w:rsidRPr="00990A23" w:rsidRDefault="00597A71" w:rsidP="00646ED0">
      <w:pPr>
        <w:pStyle w:val="ListParagraph"/>
        <w:numPr>
          <w:ilvl w:val="0"/>
          <w:numId w:val="3"/>
        </w:numPr>
        <w:spacing w:line="480" w:lineRule="auto"/>
        <w:ind w:left="1080"/>
        <w:jc w:val="both"/>
        <w:rPr>
          <w:rFonts w:ascii="Times New Roman" w:eastAsia="Times New Roman" w:hAnsi="Times New Roman" w:cs="Times New Roman"/>
          <w:iCs/>
          <w:lang w:val="en-IE" w:eastAsia="en-GB"/>
        </w:rPr>
      </w:pPr>
      <w:r w:rsidRPr="00990A23">
        <w:rPr>
          <w:rFonts w:ascii="Times New Roman" w:eastAsia="Times New Roman" w:hAnsi="Times New Roman" w:cs="Times New Roman"/>
          <w:iCs/>
          <w:lang w:val="en-IE" w:eastAsia="en-GB"/>
        </w:rPr>
        <w:t>Whether the Court of Appeal can, of its own motion, seek further information (or assurances) from the requesting State as to future risk of the appellant facing inhuman and degrading conditions if extradited?</w:t>
      </w:r>
    </w:p>
    <w:p w14:paraId="574591B6" w14:textId="77777777" w:rsidR="00597A71" w:rsidRPr="00990A23" w:rsidRDefault="00597A71" w:rsidP="00646ED0">
      <w:pPr>
        <w:pStyle w:val="ListParagraph"/>
        <w:numPr>
          <w:ilvl w:val="0"/>
          <w:numId w:val="3"/>
        </w:numPr>
        <w:spacing w:line="480" w:lineRule="auto"/>
        <w:ind w:left="1080"/>
        <w:jc w:val="both"/>
        <w:rPr>
          <w:rFonts w:ascii="Times New Roman" w:eastAsia="Times New Roman" w:hAnsi="Times New Roman" w:cs="Times New Roman"/>
          <w:iCs/>
          <w:lang w:val="en-IE" w:eastAsia="en-GB"/>
        </w:rPr>
      </w:pPr>
      <w:r w:rsidRPr="00990A23">
        <w:rPr>
          <w:rFonts w:ascii="Times New Roman" w:eastAsia="Times New Roman" w:hAnsi="Times New Roman" w:cs="Times New Roman"/>
          <w:iCs/>
          <w:lang w:val="en-IE" w:eastAsia="en-GB"/>
        </w:rPr>
        <w:lastRenderedPageBreak/>
        <w:t xml:space="preserve"> If the Court may seek such information (or assurances), ought the Court to seek the following information:</w:t>
      </w:r>
    </w:p>
    <w:p w14:paraId="22F3E4B6" w14:textId="77777777" w:rsidR="00597A71" w:rsidRPr="003331AA" w:rsidRDefault="00597A71" w:rsidP="00597A71">
      <w:pPr>
        <w:pStyle w:val="ListParagraph"/>
        <w:numPr>
          <w:ilvl w:val="0"/>
          <w:numId w:val="4"/>
        </w:numPr>
        <w:spacing w:line="480" w:lineRule="auto"/>
        <w:ind w:left="1854"/>
        <w:jc w:val="both"/>
        <w:rPr>
          <w:rFonts w:ascii="Times New Roman" w:eastAsia="Times New Roman" w:hAnsi="Times New Roman" w:cs="Times New Roman"/>
          <w:iCs/>
          <w:lang w:val="en-IE" w:eastAsia="en-GB"/>
        </w:rPr>
      </w:pPr>
      <w:r w:rsidRPr="003331AA">
        <w:rPr>
          <w:rFonts w:ascii="Times New Roman" w:eastAsia="Times New Roman" w:hAnsi="Times New Roman" w:cs="Times New Roman"/>
          <w:iCs/>
          <w:lang w:val="en-IE" w:eastAsia="en-GB"/>
        </w:rPr>
        <w:t>What level of risk is there that this appellant would be released from custody to undergo further service of his sentence on Probation and subject to the Sex Offenders’ Register?</w:t>
      </w:r>
    </w:p>
    <w:p w14:paraId="0199DBAF" w14:textId="3134393D" w:rsidR="00034214" w:rsidRDefault="00597A71" w:rsidP="00034214">
      <w:pPr>
        <w:pStyle w:val="ListParagraph"/>
        <w:numPr>
          <w:ilvl w:val="0"/>
          <w:numId w:val="4"/>
        </w:numPr>
        <w:spacing w:line="480" w:lineRule="auto"/>
        <w:ind w:left="1854"/>
        <w:jc w:val="both"/>
        <w:rPr>
          <w:rFonts w:ascii="Times New Roman" w:eastAsia="Times New Roman" w:hAnsi="Times New Roman" w:cs="Times New Roman"/>
          <w:iCs/>
          <w:lang w:val="en-IE" w:eastAsia="en-GB"/>
        </w:rPr>
      </w:pPr>
      <w:r w:rsidRPr="003331AA">
        <w:rPr>
          <w:rFonts w:ascii="Times New Roman" w:eastAsia="Times New Roman" w:hAnsi="Times New Roman" w:cs="Times New Roman"/>
          <w:iCs/>
          <w:lang w:val="en-IE" w:eastAsia="en-GB"/>
        </w:rPr>
        <w:t xml:space="preserve">Will he be free to leave </w:t>
      </w:r>
      <w:r w:rsidR="005152CE">
        <w:rPr>
          <w:rFonts w:ascii="Times New Roman" w:eastAsia="Times New Roman" w:hAnsi="Times New Roman" w:cs="Times New Roman"/>
          <w:iCs/>
          <w:lang w:val="en-IE" w:eastAsia="en-GB"/>
        </w:rPr>
        <w:t>the State of Georgia (“</w:t>
      </w:r>
      <w:r w:rsidRPr="003331AA">
        <w:rPr>
          <w:rFonts w:ascii="Times New Roman" w:eastAsia="Times New Roman" w:hAnsi="Times New Roman" w:cs="Times New Roman"/>
          <w:iCs/>
          <w:lang w:val="en-IE" w:eastAsia="en-GB"/>
        </w:rPr>
        <w:t>Georgia</w:t>
      </w:r>
      <w:r w:rsidR="005152CE">
        <w:rPr>
          <w:rFonts w:ascii="Times New Roman" w:eastAsia="Times New Roman" w:hAnsi="Times New Roman" w:cs="Times New Roman"/>
          <w:iCs/>
          <w:lang w:val="en-IE" w:eastAsia="en-GB"/>
        </w:rPr>
        <w:t>”)</w:t>
      </w:r>
      <w:r w:rsidRPr="003331AA">
        <w:rPr>
          <w:rFonts w:ascii="Times New Roman" w:eastAsia="Times New Roman" w:hAnsi="Times New Roman" w:cs="Times New Roman"/>
          <w:iCs/>
          <w:lang w:val="en-IE" w:eastAsia="en-GB"/>
        </w:rPr>
        <w:t xml:space="preserve"> if he is sentenced to a period on Probation and subject to the Sex Offenders’ Register?</w:t>
      </w:r>
    </w:p>
    <w:p w14:paraId="068D7995" w14:textId="77777777" w:rsidR="00597A71" w:rsidRPr="00034214" w:rsidRDefault="00597A71" w:rsidP="00034214">
      <w:pPr>
        <w:pStyle w:val="ListParagraph"/>
        <w:numPr>
          <w:ilvl w:val="0"/>
          <w:numId w:val="4"/>
        </w:numPr>
        <w:spacing w:line="480" w:lineRule="auto"/>
        <w:ind w:left="1854"/>
        <w:jc w:val="both"/>
        <w:rPr>
          <w:rFonts w:ascii="Times New Roman" w:eastAsia="Times New Roman" w:hAnsi="Times New Roman" w:cs="Times New Roman"/>
          <w:iCs/>
          <w:lang w:val="en-IE" w:eastAsia="en-GB"/>
        </w:rPr>
      </w:pPr>
      <w:r w:rsidRPr="00034214">
        <w:rPr>
          <w:rFonts w:ascii="Times New Roman" w:eastAsia="Times New Roman" w:hAnsi="Times New Roman" w:cs="Times New Roman"/>
          <w:iCs/>
          <w:lang w:val="en-IE" w:eastAsia="en-GB"/>
        </w:rPr>
        <w:t>Could further information be provided as to the restrictions he will be required to abide by?</w:t>
      </w:r>
    </w:p>
    <w:p w14:paraId="7C7DF4A9" w14:textId="77777777" w:rsidR="00597A71" w:rsidRPr="003331AA" w:rsidRDefault="00597A71" w:rsidP="00597A71">
      <w:pPr>
        <w:pStyle w:val="ListParagraph"/>
        <w:numPr>
          <w:ilvl w:val="0"/>
          <w:numId w:val="4"/>
        </w:numPr>
        <w:spacing w:line="480" w:lineRule="auto"/>
        <w:ind w:left="1854"/>
        <w:jc w:val="both"/>
        <w:rPr>
          <w:rFonts w:ascii="Times New Roman" w:eastAsia="Times New Roman" w:hAnsi="Times New Roman" w:cs="Times New Roman"/>
          <w:iCs/>
          <w:lang w:val="en-IE" w:eastAsia="en-GB"/>
        </w:rPr>
      </w:pPr>
      <w:r w:rsidRPr="003331AA">
        <w:rPr>
          <w:rFonts w:ascii="Times New Roman" w:eastAsia="Times New Roman" w:hAnsi="Times New Roman" w:cs="Times New Roman"/>
          <w:iCs/>
          <w:lang w:val="en-IE" w:eastAsia="en-GB"/>
        </w:rPr>
        <w:t>To what extent may these restrictions be said to cause the circumstances of homelessness and poverty experienced by this appellant previously?</w:t>
      </w:r>
    </w:p>
    <w:p w14:paraId="071FF131" w14:textId="77777777" w:rsidR="00597A71" w:rsidRPr="006E5125" w:rsidRDefault="00597A71" w:rsidP="00646ED0">
      <w:pPr>
        <w:pStyle w:val="ListParagraph"/>
        <w:numPr>
          <w:ilvl w:val="0"/>
          <w:numId w:val="3"/>
        </w:numPr>
        <w:spacing w:line="480" w:lineRule="auto"/>
        <w:ind w:left="1080"/>
        <w:jc w:val="both"/>
        <w:rPr>
          <w:rFonts w:ascii="Times New Roman" w:hAnsi="Times New Roman" w:cs="Times New Roman"/>
        </w:rPr>
      </w:pPr>
      <w:r w:rsidRPr="006E5125">
        <w:rPr>
          <w:rFonts w:ascii="Times New Roman" w:eastAsia="Times New Roman" w:hAnsi="Times New Roman" w:cs="Times New Roman"/>
          <w:iCs/>
          <w:lang w:val="en-IE" w:eastAsia="en-GB"/>
        </w:rPr>
        <w:t xml:space="preserve">If the Court is precluded from seeking such information (or assurances), does the Court have jurisdiction to remit the case to the High Court for the purpose of seeking these?  If so, </w:t>
      </w:r>
    </w:p>
    <w:p w14:paraId="6F748757" w14:textId="77777777" w:rsidR="00597A71" w:rsidRPr="00597A71" w:rsidRDefault="00597A71" w:rsidP="00646ED0">
      <w:pPr>
        <w:pStyle w:val="ListParagraph"/>
        <w:numPr>
          <w:ilvl w:val="0"/>
          <w:numId w:val="3"/>
        </w:numPr>
        <w:spacing w:line="480" w:lineRule="auto"/>
        <w:ind w:left="1080"/>
        <w:jc w:val="both"/>
        <w:rPr>
          <w:rFonts w:ascii="Times New Roman" w:hAnsi="Times New Roman" w:cs="Times New Roman"/>
        </w:rPr>
      </w:pPr>
      <w:r w:rsidRPr="006E5125">
        <w:rPr>
          <w:rFonts w:ascii="Times New Roman" w:eastAsia="Times New Roman" w:hAnsi="Times New Roman" w:cs="Times New Roman"/>
          <w:iCs/>
          <w:lang w:val="en-IE" w:eastAsia="en-GB"/>
        </w:rPr>
        <w:t xml:space="preserve">Ought the Court to so remit in the present circumstances? </w:t>
      </w:r>
    </w:p>
    <w:p w14:paraId="64790AB1" w14:textId="300B1E4D" w:rsidR="00597A71" w:rsidRDefault="00597A71" w:rsidP="00597A71">
      <w:pPr>
        <w:pStyle w:val="ListParagraph"/>
        <w:numPr>
          <w:ilvl w:val="0"/>
          <w:numId w:val="1"/>
        </w:numPr>
        <w:spacing w:line="480" w:lineRule="auto"/>
        <w:ind w:left="0" w:firstLine="0"/>
        <w:jc w:val="both"/>
        <w:rPr>
          <w:rFonts w:ascii="Times New Roman" w:hAnsi="Times New Roman" w:cs="Times New Roman"/>
        </w:rPr>
      </w:pPr>
      <w:r>
        <w:rPr>
          <w:rFonts w:ascii="Times New Roman" w:hAnsi="Times New Roman" w:cs="Times New Roman"/>
        </w:rPr>
        <w:t>In this judgment, I propose to commence by addressing those questions in the order listed</w:t>
      </w:r>
      <w:r w:rsidR="005152CE">
        <w:rPr>
          <w:rFonts w:ascii="Times New Roman" w:hAnsi="Times New Roman" w:cs="Times New Roman"/>
        </w:rPr>
        <w:t>,</w:t>
      </w:r>
      <w:r>
        <w:rPr>
          <w:rFonts w:ascii="Times New Roman" w:hAnsi="Times New Roman" w:cs="Times New Roman"/>
        </w:rPr>
        <w:t xml:space="preserve"> but</w:t>
      </w:r>
      <w:r w:rsidR="005152CE">
        <w:rPr>
          <w:rFonts w:ascii="Times New Roman" w:hAnsi="Times New Roman" w:cs="Times New Roman"/>
        </w:rPr>
        <w:t xml:space="preserve"> I</w:t>
      </w:r>
      <w:r>
        <w:rPr>
          <w:rFonts w:ascii="Times New Roman" w:hAnsi="Times New Roman" w:cs="Times New Roman"/>
        </w:rPr>
        <w:t xml:space="preserve"> will only answer those questions necessitated by the conclusions reached on the earlier questions.  At first it is necessary to address a point raised by the appellant at the continued hearing of this matter.</w:t>
      </w:r>
    </w:p>
    <w:p w14:paraId="129C0C55" w14:textId="77777777" w:rsidR="00597A71" w:rsidRDefault="00597A71" w:rsidP="00597A71">
      <w:pPr>
        <w:pStyle w:val="ListParagraph"/>
        <w:spacing w:line="480" w:lineRule="auto"/>
        <w:ind w:left="0"/>
        <w:jc w:val="both"/>
        <w:rPr>
          <w:rFonts w:ascii="Times New Roman" w:hAnsi="Times New Roman" w:cs="Times New Roman"/>
        </w:rPr>
      </w:pPr>
    </w:p>
    <w:p w14:paraId="0791DF2A" w14:textId="1D5B505F" w:rsidR="00597A71" w:rsidRPr="00597A71" w:rsidRDefault="00597A71" w:rsidP="00597A71">
      <w:pPr>
        <w:spacing w:line="480" w:lineRule="auto"/>
        <w:jc w:val="both"/>
        <w:rPr>
          <w:rFonts w:ascii="Times New Roman" w:hAnsi="Times New Roman" w:cs="Times New Roman"/>
          <w:b/>
          <w:u w:val="single"/>
        </w:rPr>
      </w:pPr>
      <w:r w:rsidRPr="00597A71">
        <w:rPr>
          <w:rFonts w:ascii="Times New Roman" w:hAnsi="Times New Roman" w:cs="Times New Roman"/>
          <w:b/>
          <w:u w:val="single"/>
        </w:rPr>
        <w:t xml:space="preserve">The </w:t>
      </w:r>
      <w:r w:rsidR="0016746E">
        <w:rPr>
          <w:rFonts w:ascii="Times New Roman" w:hAnsi="Times New Roman" w:cs="Times New Roman"/>
          <w:b/>
          <w:u w:val="single"/>
        </w:rPr>
        <w:t>a</w:t>
      </w:r>
      <w:r w:rsidRPr="00597A71">
        <w:rPr>
          <w:rFonts w:ascii="Times New Roman" w:hAnsi="Times New Roman" w:cs="Times New Roman"/>
          <w:b/>
          <w:u w:val="single"/>
        </w:rPr>
        <w:t>ppellant’s submission that the appeal must be allowed based upon the preliminary ruling</w:t>
      </w:r>
    </w:p>
    <w:p w14:paraId="022B1046" w14:textId="6256625C" w:rsidR="00597A71" w:rsidRDefault="00E27440"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hAnsi="Times New Roman" w:cs="Times New Roman"/>
        </w:rPr>
        <w:t>Counsel for the appellant</w:t>
      </w:r>
      <w:r w:rsidR="00853105" w:rsidRPr="00597A71">
        <w:rPr>
          <w:rFonts w:ascii="Times New Roman" w:hAnsi="Times New Roman" w:cs="Times New Roman"/>
        </w:rPr>
        <w:t>’s overarching</w:t>
      </w:r>
      <w:r w:rsidR="00C96948" w:rsidRPr="00597A71">
        <w:rPr>
          <w:rFonts w:ascii="Times New Roman" w:hAnsi="Times New Roman" w:cs="Times New Roman"/>
        </w:rPr>
        <w:t xml:space="preserve"> </w:t>
      </w:r>
      <w:r w:rsidRPr="00597A71">
        <w:rPr>
          <w:rFonts w:ascii="Times New Roman" w:hAnsi="Times New Roman" w:cs="Times New Roman"/>
        </w:rPr>
        <w:t>submi</w:t>
      </w:r>
      <w:r w:rsidR="00C96948" w:rsidRPr="00597A71">
        <w:rPr>
          <w:rFonts w:ascii="Times New Roman" w:hAnsi="Times New Roman" w:cs="Times New Roman"/>
        </w:rPr>
        <w:t>ssion</w:t>
      </w:r>
      <w:r w:rsidRPr="00597A71">
        <w:rPr>
          <w:rFonts w:ascii="Times New Roman" w:hAnsi="Times New Roman" w:cs="Times New Roman"/>
        </w:rPr>
        <w:t xml:space="preserve"> </w:t>
      </w:r>
      <w:r w:rsidR="00853105" w:rsidRPr="00597A71">
        <w:rPr>
          <w:rFonts w:ascii="Times New Roman" w:hAnsi="Times New Roman" w:cs="Times New Roman"/>
        </w:rPr>
        <w:t xml:space="preserve">at the continued hearing was </w:t>
      </w:r>
      <w:r w:rsidRPr="00597A71">
        <w:rPr>
          <w:rFonts w:ascii="Times New Roman" w:hAnsi="Times New Roman" w:cs="Times New Roman"/>
        </w:rPr>
        <w:t>that</w:t>
      </w:r>
      <w:r w:rsidR="0057031F" w:rsidRPr="00597A71">
        <w:rPr>
          <w:rFonts w:ascii="Times New Roman" w:hAnsi="Times New Roman" w:cs="Times New Roman"/>
        </w:rPr>
        <w:t>,</w:t>
      </w:r>
      <w:r w:rsidRPr="00597A71">
        <w:rPr>
          <w:rFonts w:ascii="Times New Roman" w:hAnsi="Times New Roman" w:cs="Times New Roman"/>
        </w:rPr>
        <w:t xml:space="preserve"> </w:t>
      </w:r>
      <w:r w:rsidR="00853105" w:rsidRPr="00597A71">
        <w:rPr>
          <w:rFonts w:ascii="Times New Roman" w:hAnsi="Times New Roman" w:cs="Times New Roman"/>
        </w:rPr>
        <w:t xml:space="preserve">resulting from </w:t>
      </w:r>
      <w:r w:rsidRPr="00597A71">
        <w:rPr>
          <w:rFonts w:ascii="Times New Roman" w:hAnsi="Times New Roman" w:cs="Times New Roman"/>
        </w:rPr>
        <w:t>the Court’s findings</w:t>
      </w:r>
      <w:r w:rsidR="00EF1235" w:rsidRPr="00597A71">
        <w:rPr>
          <w:rFonts w:ascii="Times New Roman" w:hAnsi="Times New Roman" w:cs="Times New Roman"/>
        </w:rPr>
        <w:t xml:space="preserve"> in the preliminary ruling,</w:t>
      </w:r>
      <w:r w:rsidRPr="00597A71">
        <w:rPr>
          <w:rFonts w:ascii="Times New Roman" w:hAnsi="Times New Roman" w:cs="Times New Roman"/>
        </w:rPr>
        <w:t xml:space="preserve"> the appeal had to be allowed.  He </w:t>
      </w:r>
      <w:r w:rsidR="00C96948" w:rsidRPr="00597A71">
        <w:rPr>
          <w:rFonts w:ascii="Times New Roman" w:hAnsi="Times New Roman" w:cs="Times New Roman"/>
        </w:rPr>
        <w:t xml:space="preserve">placed </w:t>
      </w:r>
      <w:r w:rsidRPr="00597A71">
        <w:rPr>
          <w:rFonts w:ascii="Times New Roman" w:hAnsi="Times New Roman" w:cs="Times New Roman"/>
        </w:rPr>
        <w:t>reli</w:t>
      </w:r>
      <w:r w:rsidR="00C96948" w:rsidRPr="00597A71">
        <w:rPr>
          <w:rFonts w:ascii="Times New Roman" w:hAnsi="Times New Roman" w:cs="Times New Roman"/>
        </w:rPr>
        <w:t>ance</w:t>
      </w:r>
      <w:r w:rsidRPr="00597A71">
        <w:rPr>
          <w:rFonts w:ascii="Times New Roman" w:hAnsi="Times New Roman" w:cs="Times New Roman"/>
        </w:rPr>
        <w:t xml:space="preserve"> on </w:t>
      </w:r>
      <w:r w:rsidR="00C96948" w:rsidRPr="00597A71">
        <w:rPr>
          <w:rFonts w:ascii="Times New Roman" w:hAnsi="Times New Roman" w:cs="Times New Roman"/>
        </w:rPr>
        <w:t xml:space="preserve">the </w:t>
      </w:r>
      <w:r w:rsidR="00C96948" w:rsidRPr="00034214">
        <w:rPr>
          <w:rFonts w:ascii="Times New Roman" w:hAnsi="Times New Roman" w:cs="Times New Roman"/>
          <w:i/>
          <w:iCs/>
        </w:rPr>
        <w:t>dicta</w:t>
      </w:r>
      <w:r w:rsidR="00C96948" w:rsidRPr="00597A71">
        <w:rPr>
          <w:rFonts w:ascii="Times New Roman" w:hAnsi="Times New Roman" w:cs="Times New Roman"/>
        </w:rPr>
        <w:t xml:space="preserve"> at </w:t>
      </w:r>
      <w:r w:rsidR="00EF1235" w:rsidRPr="00597A71">
        <w:rPr>
          <w:rFonts w:ascii="Times New Roman" w:hAnsi="Times New Roman" w:cs="Times New Roman"/>
        </w:rPr>
        <w:t>para</w:t>
      </w:r>
      <w:r w:rsidR="00034214">
        <w:rPr>
          <w:rFonts w:ascii="Times New Roman" w:hAnsi="Times New Roman" w:cs="Times New Roman"/>
        </w:rPr>
        <w:t>.</w:t>
      </w:r>
      <w:r w:rsidRPr="00597A71">
        <w:rPr>
          <w:rFonts w:ascii="Times New Roman" w:hAnsi="Times New Roman" w:cs="Times New Roman"/>
        </w:rPr>
        <w:t xml:space="preserve"> 33 of the ruling </w:t>
      </w:r>
      <w:r w:rsidR="00EF1235" w:rsidRPr="00597A71">
        <w:rPr>
          <w:rFonts w:ascii="Times New Roman" w:hAnsi="Times New Roman" w:cs="Times New Roman"/>
        </w:rPr>
        <w:t xml:space="preserve">where </w:t>
      </w:r>
      <w:r w:rsidR="00D86556" w:rsidRPr="00597A71">
        <w:rPr>
          <w:rFonts w:ascii="Times New Roman" w:hAnsi="Times New Roman" w:cs="Times New Roman"/>
        </w:rPr>
        <w:t xml:space="preserve">the following was stated: “[it was] </w:t>
      </w:r>
      <w:r w:rsidRPr="00597A71">
        <w:rPr>
          <w:rFonts w:ascii="Times New Roman" w:hAnsi="Times New Roman" w:cs="Times New Roman"/>
        </w:rPr>
        <w:lastRenderedPageBreak/>
        <w:t>difficult to see the evidential basis for the trial judge’s finding that [there</w:t>
      </w:r>
      <w:r w:rsidR="00205B5B">
        <w:rPr>
          <w:rFonts w:ascii="Times New Roman" w:hAnsi="Times New Roman" w:cs="Times New Roman"/>
        </w:rPr>
        <w:t xml:space="preserve"> </w:t>
      </w:r>
      <w:r w:rsidRPr="00597A71">
        <w:rPr>
          <w:rFonts w:ascii="Times New Roman" w:hAnsi="Times New Roman" w:cs="Times New Roman"/>
        </w:rPr>
        <w:t>be</w:t>
      </w:r>
      <w:r w:rsidR="00205B5B">
        <w:rPr>
          <w:rFonts w:ascii="Times New Roman" w:hAnsi="Times New Roman" w:cs="Times New Roman"/>
        </w:rPr>
        <w:t>ing</w:t>
      </w:r>
      <w:r w:rsidRPr="00597A71">
        <w:rPr>
          <w:rFonts w:ascii="Times New Roman" w:hAnsi="Times New Roman" w:cs="Times New Roman"/>
        </w:rPr>
        <w:t xml:space="preserve"> no requirement for him to remain in Georgia] was the most likely outcome”.  Counsel submitted that this was the basis on which the trial judge had made his decision and that this required that the appeal be allowed.  This, he submitted, was the appellant’s argument in the Court below and </w:t>
      </w:r>
      <w:r w:rsidR="00A5013E" w:rsidRPr="00597A71">
        <w:rPr>
          <w:rFonts w:ascii="Times New Roman" w:hAnsi="Times New Roman" w:cs="Times New Roman"/>
        </w:rPr>
        <w:t xml:space="preserve">the argument he had made </w:t>
      </w:r>
      <w:r w:rsidRPr="00597A71">
        <w:rPr>
          <w:rFonts w:ascii="Times New Roman" w:hAnsi="Times New Roman" w:cs="Times New Roman"/>
        </w:rPr>
        <w:t>at the original hearing of the appeal.  Counsel submitted that all he had to demonstrate was that there was a real risk that he would suffer inhuman and degrading treatment</w:t>
      </w:r>
      <w:r w:rsidR="00205B5B">
        <w:rPr>
          <w:rFonts w:ascii="Times New Roman" w:hAnsi="Times New Roman" w:cs="Times New Roman"/>
        </w:rPr>
        <w:t>,</w:t>
      </w:r>
      <w:r w:rsidRPr="00597A71">
        <w:rPr>
          <w:rFonts w:ascii="Times New Roman" w:hAnsi="Times New Roman" w:cs="Times New Roman"/>
        </w:rPr>
        <w:t xml:space="preserve"> and he had established that because it could not be said</w:t>
      </w:r>
      <w:r w:rsidR="000E5A80" w:rsidRPr="00597A71">
        <w:rPr>
          <w:rFonts w:ascii="Times New Roman" w:hAnsi="Times New Roman" w:cs="Times New Roman"/>
        </w:rPr>
        <w:t xml:space="preserve"> that it was most likely he would not be required to remain in</w:t>
      </w:r>
      <w:r w:rsidR="00AA1845" w:rsidRPr="00597A71">
        <w:rPr>
          <w:rFonts w:ascii="Times New Roman" w:hAnsi="Times New Roman" w:cs="Times New Roman"/>
        </w:rPr>
        <w:t xml:space="preserve"> Georgia</w:t>
      </w:r>
      <w:r w:rsidR="000E5A80" w:rsidRPr="00597A71">
        <w:rPr>
          <w:rFonts w:ascii="Times New Roman" w:hAnsi="Times New Roman" w:cs="Times New Roman"/>
        </w:rPr>
        <w:t xml:space="preserve">. </w:t>
      </w:r>
    </w:p>
    <w:p w14:paraId="491C01E1" w14:textId="562F065E" w:rsidR="00597A71" w:rsidRDefault="000E5A80"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hAnsi="Times New Roman" w:cs="Times New Roman"/>
        </w:rPr>
        <w:t xml:space="preserve">This submission of the appellant can be </w:t>
      </w:r>
      <w:r w:rsidR="0057031F" w:rsidRPr="00597A71">
        <w:rPr>
          <w:rFonts w:ascii="Times New Roman" w:hAnsi="Times New Roman" w:cs="Times New Roman"/>
        </w:rPr>
        <w:t>rejected</w:t>
      </w:r>
      <w:r w:rsidR="00EF1235" w:rsidRPr="00597A71">
        <w:rPr>
          <w:rFonts w:ascii="Times New Roman" w:hAnsi="Times New Roman" w:cs="Times New Roman"/>
        </w:rPr>
        <w:t xml:space="preserve"> by recalling the central issue before the High Court and thus the issue on the appeal</w:t>
      </w:r>
      <w:r w:rsidRPr="00597A71">
        <w:rPr>
          <w:rFonts w:ascii="Times New Roman" w:hAnsi="Times New Roman" w:cs="Times New Roman"/>
        </w:rPr>
        <w:t>.  Th</w:t>
      </w:r>
      <w:r w:rsidR="00EF1235" w:rsidRPr="00597A71">
        <w:rPr>
          <w:rFonts w:ascii="Times New Roman" w:hAnsi="Times New Roman" w:cs="Times New Roman"/>
        </w:rPr>
        <w:t>at</w:t>
      </w:r>
      <w:r w:rsidR="00E27440" w:rsidRPr="00597A71">
        <w:rPr>
          <w:rFonts w:ascii="Times New Roman" w:hAnsi="Times New Roman" w:cs="Times New Roman"/>
        </w:rPr>
        <w:t xml:space="preserve"> </w:t>
      </w:r>
      <w:r w:rsidRPr="00597A71">
        <w:rPr>
          <w:rFonts w:ascii="Times New Roman" w:hAnsi="Times New Roman" w:cs="Times New Roman"/>
        </w:rPr>
        <w:t xml:space="preserve">issue was whether the appellant was at real risk of being exposed to inhuman and degrading treatment should he be extradited to the USA for the purpose of a hearing on whether he has violated a “special condition” of his probation.  It was not about whether he was likely to be required to stay in Georgia to serve time on probation there.  </w:t>
      </w:r>
      <w:r w:rsidR="004626AE" w:rsidRPr="00597A71">
        <w:rPr>
          <w:rFonts w:ascii="Times New Roman" w:hAnsi="Times New Roman" w:cs="Times New Roman"/>
        </w:rPr>
        <w:t>A requirement to stay</w:t>
      </w:r>
      <w:r w:rsidRPr="00597A71">
        <w:rPr>
          <w:rFonts w:ascii="Times New Roman" w:hAnsi="Times New Roman" w:cs="Times New Roman"/>
        </w:rPr>
        <w:t xml:space="preserve"> in Georgia to serve probation was however a necessary factor in the chain of events through which </w:t>
      </w:r>
      <w:r w:rsidR="004626AE" w:rsidRPr="00597A71">
        <w:rPr>
          <w:rFonts w:ascii="Times New Roman" w:hAnsi="Times New Roman" w:cs="Times New Roman"/>
        </w:rPr>
        <w:t>t</w:t>
      </w:r>
      <w:r w:rsidRPr="00597A71">
        <w:rPr>
          <w:rFonts w:ascii="Times New Roman" w:hAnsi="Times New Roman" w:cs="Times New Roman"/>
        </w:rPr>
        <w:t xml:space="preserve">he </w:t>
      </w:r>
      <w:r w:rsidR="004626AE" w:rsidRPr="00597A71">
        <w:rPr>
          <w:rFonts w:ascii="Times New Roman" w:hAnsi="Times New Roman" w:cs="Times New Roman"/>
        </w:rPr>
        <w:t xml:space="preserve">appellant </w:t>
      </w:r>
      <w:r w:rsidRPr="00597A71">
        <w:rPr>
          <w:rFonts w:ascii="Times New Roman" w:hAnsi="Times New Roman" w:cs="Times New Roman"/>
        </w:rPr>
        <w:t xml:space="preserve">contended that he might be subject to inhuman and degrading treatment.  It was only if he was required to serve probation time in Georgia that </w:t>
      </w:r>
      <w:r w:rsidR="006349D6" w:rsidRPr="00597A71">
        <w:rPr>
          <w:rFonts w:ascii="Times New Roman" w:hAnsi="Times New Roman" w:cs="Times New Roman"/>
        </w:rPr>
        <w:t>the chain of events, which the appellant submits would result in him being exposed to inhuman and degrading treatment, would all</w:t>
      </w:r>
      <w:r w:rsidR="00066AD7">
        <w:rPr>
          <w:rFonts w:ascii="Times New Roman" w:hAnsi="Times New Roman" w:cs="Times New Roman"/>
        </w:rPr>
        <w:t xml:space="preserve"> be able</w:t>
      </w:r>
      <w:r w:rsidR="006349D6" w:rsidRPr="00597A71">
        <w:rPr>
          <w:rFonts w:ascii="Times New Roman" w:hAnsi="Times New Roman" w:cs="Times New Roman"/>
        </w:rPr>
        <w:t xml:space="preserve"> to occur.  He would have to have no accommodation in which </w:t>
      </w:r>
      <w:r w:rsidR="00066AD7">
        <w:rPr>
          <w:rFonts w:ascii="Times New Roman" w:hAnsi="Times New Roman" w:cs="Times New Roman"/>
        </w:rPr>
        <w:t>to</w:t>
      </w:r>
      <w:r w:rsidR="006349D6" w:rsidRPr="00597A71">
        <w:rPr>
          <w:rFonts w:ascii="Times New Roman" w:hAnsi="Times New Roman" w:cs="Times New Roman"/>
        </w:rPr>
        <w:t xml:space="preserve"> live and be unable to find work.  The Court would also have to adjudicate on whether the particular conditions </w:t>
      </w:r>
      <w:r w:rsidR="0057031F" w:rsidRPr="00597A71">
        <w:rPr>
          <w:rFonts w:ascii="Times New Roman" w:hAnsi="Times New Roman" w:cs="Times New Roman"/>
        </w:rPr>
        <w:t xml:space="preserve">to which </w:t>
      </w:r>
      <w:r w:rsidR="006349D6" w:rsidRPr="00597A71">
        <w:rPr>
          <w:rFonts w:ascii="Times New Roman" w:hAnsi="Times New Roman" w:cs="Times New Roman"/>
        </w:rPr>
        <w:t>he says he would be exposed in fact amount to inhuman and degrading circumstances.</w:t>
      </w:r>
    </w:p>
    <w:p w14:paraId="5280F446" w14:textId="0209262E" w:rsidR="00597A71" w:rsidRDefault="0057031F"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hAnsi="Times New Roman" w:cs="Times New Roman"/>
        </w:rPr>
        <w:t>At</w:t>
      </w:r>
      <w:r w:rsidR="004626AE" w:rsidRPr="00597A71">
        <w:rPr>
          <w:rFonts w:ascii="Times New Roman" w:hAnsi="Times New Roman" w:cs="Times New Roman"/>
        </w:rPr>
        <w:t xml:space="preserve"> para</w:t>
      </w:r>
      <w:r w:rsidR="00205B5B">
        <w:rPr>
          <w:rFonts w:ascii="Times New Roman" w:hAnsi="Times New Roman" w:cs="Times New Roman"/>
        </w:rPr>
        <w:t>.</w:t>
      </w:r>
      <w:r w:rsidR="004626AE" w:rsidRPr="00597A71">
        <w:rPr>
          <w:rFonts w:ascii="Times New Roman" w:hAnsi="Times New Roman" w:cs="Times New Roman"/>
        </w:rPr>
        <w:t xml:space="preserve"> 37 of the preliminary ruling</w:t>
      </w:r>
      <w:r w:rsidR="00205B5B">
        <w:rPr>
          <w:rFonts w:ascii="Times New Roman" w:hAnsi="Times New Roman" w:cs="Times New Roman"/>
        </w:rPr>
        <w:t>,</w:t>
      </w:r>
      <w:r w:rsidR="004626AE" w:rsidRPr="00597A71">
        <w:rPr>
          <w:rFonts w:ascii="Times New Roman" w:hAnsi="Times New Roman" w:cs="Times New Roman"/>
        </w:rPr>
        <w:t xml:space="preserve"> </w:t>
      </w:r>
      <w:r w:rsidRPr="00597A71">
        <w:rPr>
          <w:rFonts w:ascii="Times New Roman" w:hAnsi="Times New Roman" w:cs="Times New Roman"/>
        </w:rPr>
        <w:t xml:space="preserve">the question of </w:t>
      </w:r>
      <w:r w:rsidR="006349D6" w:rsidRPr="00597A71">
        <w:rPr>
          <w:rFonts w:ascii="Times New Roman" w:hAnsi="Times New Roman" w:cs="Times New Roman"/>
        </w:rPr>
        <w:t>“where the establishment of real risk ends and speculation begins”</w:t>
      </w:r>
      <w:r w:rsidRPr="00597A71">
        <w:rPr>
          <w:rFonts w:ascii="Times New Roman" w:hAnsi="Times New Roman" w:cs="Times New Roman"/>
        </w:rPr>
        <w:t xml:space="preserve"> was identified as the issue before the Court.</w:t>
      </w:r>
      <w:r w:rsidR="006349D6" w:rsidRPr="00597A71">
        <w:rPr>
          <w:rFonts w:ascii="Times New Roman" w:hAnsi="Times New Roman" w:cs="Times New Roman"/>
        </w:rPr>
        <w:t xml:space="preserve">  </w:t>
      </w:r>
      <w:r w:rsidR="0091082F" w:rsidRPr="00597A71">
        <w:rPr>
          <w:rFonts w:ascii="Times New Roman" w:hAnsi="Times New Roman" w:cs="Times New Roman"/>
        </w:rPr>
        <w:t>Attention was then drawn in p</w:t>
      </w:r>
      <w:r w:rsidR="006349D6" w:rsidRPr="00597A71">
        <w:rPr>
          <w:rFonts w:ascii="Times New Roman" w:hAnsi="Times New Roman" w:cs="Times New Roman"/>
        </w:rPr>
        <w:t>ara</w:t>
      </w:r>
      <w:r w:rsidR="00066AD7">
        <w:rPr>
          <w:rFonts w:ascii="Times New Roman" w:hAnsi="Times New Roman" w:cs="Times New Roman"/>
        </w:rPr>
        <w:t>.</w:t>
      </w:r>
      <w:r w:rsidR="006349D6" w:rsidRPr="00597A71">
        <w:rPr>
          <w:rFonts w:ascii="Times New Roman" w:hAnsi="Times New Roman" w:cs="Times New Roman"/>
        </w:rPr>
        <w:t xml:space="preserve"> 37</w:t>
      </w:r>
      <w:r w:rsidR="00805880" w:rsidRPr="00597A71">
        <w:rPr>
          <w:rFonts w:ascii="Times New Roman" w:hAnsi="Times New Roman" w:cs="Times New Roman"/>
        </w:rPr>
        <w:t xml:space="preserve"> </w:t>
      </w:r>
      <w:r w:rsidR="0091082F" w:rsidRPr="00597A71">
        <w:rPr>
          <w:rFonts w:ascii="Times New Roman" w:hAnsi="Times New Roman" w:cs="Times New Roman"/>
        </w:rPr>
        <w:t>t</w:t>
      </w:r>
      <w:r w:rsidR="004626AE" w:rsidRPr="00597A71">
        <w:rPr>
          <w:rFonts w:ascii="Times New Roman" w:hAnsi="Times New Roman" w:cs="Times New Roman"/>
        </w:rPr>
        <w:t xml:space="preserve">o </w:t>
      </w:r>
      <w:r w:rsidR="00805880" w:rsidRPr="00597A71">
        <w:rPr>
          <w:rFonts w:ascii="Times New Roman" w:hAnsi="Times New Roman" w:cs="Times New Roman"/>
        </w:rPr>
        <w:t xml:space="preserve">where this </w:t>
      </w:r>
      <w:r w:rsidR="004626AE" w:rsidRPr="00597A71">
        <w:rPr>
          <w:rFonts w:ascii="Times New Roman" w:hAnsi="Times New Roman" w:cs="Times New Roman"/>
        </w:rPr>
        <w:t xml:space="preserve">may </w:t>
      </w:r>
      <w:r w:rsidR="00805880" w:rsidRPr="00597A71">
        <w:rPr>
          <w:rFonts w:ascii="Times New Roman" w:hAnsi="Times New Roman" w:cs="Times New Roman"/>
        </w:rPr>
        <w:t xml:space="preserve">arise on the facts of the present case: </w:t>
      </w:r>
    </w:p>
    <w:p w14:paraId="3828029D" w14:textId="0EC91D69" w:rsidR="00597A71" w:rsidRPr="00597A71" w:rsidRDefault="00805880" w:rsidP="00597A71">
      <w:pPr>
        <w:pStyle w:val="ListParagraph"/>
        <w:spacing w:line="480" w:lineRule="auto"/>
        <w:ind w:firstLine="720"/>
        <w:jc w:val="both"/>
        <w:rPr>
          <w:rFonts w:ascii="Times New Roman" w:hAnsi="Times New Roman" w:cs="Times New Roman"/>
        </w:rPr>
      </w:pPr>
      <w:r w:rsidRPr="00597A71">
        <w:rPr>
          <w:rFonts w:ascii="Times New Roman" w:eastAsia="Times New Roman" w:hAnsi="Times New Roman" w:cs="Times New Roman"/>
          <w:iCs/>
          <w:lang w:val="en-IE" w:eastAsia="en-GB"/>
        </w:rPr>
        <w:lastRenderedPageBreak/>
        <w:t>“For example, accepting that the appellant is being sought for revocation of a sentence and will therefore at a minimum spend time in custody in Georgia pending the final determination of the sentencing court, are the subsequent steps that must occur before he could be exposed to the inhuman and degrading treatment simply too far removed from the consequences of the extradition to be considered by a court for the purposes of assessing the risk of being subjected to such treatment?  After all, that will require a) the court to reject the recommendation of the prosecutor and resentence him either to full probation or to partial probation after serving time in custody, b) for the appellant to be unable to provide any address at all in</w:t>
      </w:r>
      <w:r w:rsidR="00066AD7">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Georgia for release, c) for there to be no homeless shelter accommodation in which he can live, </w:t>
      </w:r>
      <w:proofErr w:type="gramStart"/>
      <w:r w:rsidRPr="00597A71">
        <w:rPr>
          <w:rFonts w:ascii="Times New Roman" w:eastAsia="Times New Roman" w:hAnsi="Times New Roman" w:cs="Times New Roman"/>
          <w:iCs/>
          <w:lang w:val="en-IE" w:eastAsia="en-GB"/>
        </w:rPr>
        <w:t>and,</w:t>
      </w:r>
      <w:proofErr w:type="gramEnd"/>
      <w:r w:rsidRPr="00597A71">
        <w:rPr>
          <w:rFonts w:ascii="Times New Roman" w:eastAsia="Times New Roman" w:hAnsi="Times New Roman" w:cs="Times New Roman"/>
          <w:iCs/>
          <w:lang w:val="en-IE" w:eastAsia="en-GB"/>
        </w:rPr>
        <w:t xml:space="preserve"> d) for him to be unable to find any work to sustain him.”</w:t>
      </w:r>
    </w:p>
    <w:p w14:paraId="71F90B10" w14:textId="797999E3" w:rsidR="00597A71" w:rsidRDefault="004626AE"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hAnsi="Times New Roman" w:cs="Times New Roman"/>
        </w:rPr>
        <w:t>It is not the law that because this Court has concluded that on one aspect of the decision-making process the trial judge’s factual conclusion was incorrect</w:t>
      </w:r>
      <w:r w:rsidR="00066AD7">
        <w:rPr>
          <w:rFonts w:ascii="Times New Roman" w:hAnsi="Times New Roman" w:cs="Times New Roman"/>
        </w:rPr>
        <w:t>,</w:t>
      </w:r>
      <w:r w:rsidRPr="00597A71">
        <w:rPr>
          <w:rFonts w:ascii="Times New Roman" w:hAnsi="Times New Roman" w:cs="Times New Roman"/>
        </w:rPr>
        <w:t xml:space="preserve"> this Court must allow the appeal.</w:t>
      </w:r>
      <w:r w:rsidR="006810F8">
        <w:rPr>
          <w:rFonts w:ascii="Times New Roman" w:hAnsi="Times New Roman" w:cs="Times New Roman"/>
        </w:rPr>
        <w:t xml:space="preserve"> </w:t>
      </w:r>
      <w:r w:rsidRPr="00597A71">
        <w:rPr>
          <w:rFonts w:ascii="Times New Roman" w:hAnsi="Times New Roman" w:cs="Times New Roman"/>
        </w:rPr>
        <w:t xml:space="preserve"> The Court must decide whether the High Court</w:t>
      </w:r>
      <w:r w:rsidR="00066AD7">
        <w:rPr>
          <w:rFonts w:ascii="Times New Roman" w:hAnsi="Times New Roman" w:cs="Times New Roman"/>
        </w:rPr>
        <w:t xml:space="preserve"> judge could have been satisfied,</w:t>
      </w:r>
      <w:r w:rsidRPr="00597A71">
        <w:rPr>
          <w:rFonts w:ascii="Times New Roman" w:hAnsi="Times New Roman" w:cs="Times New Roman"/>
        </w:rPr>
        <w:t xml:space="preserve"> on the facts </w:t>
      </w:r>
      <w:r w:rsidR="00066AD7">
        <w:rPr>
          <w:rFonts w:ascii="Times New Roman" w:hAnsi="Times New Roman" w:cs="Times New Roman"/>
        </w:rPr>
        <w:t>presented to him,</w:t>
      </w:r>
      <w:r w:rsidRPr="00597A71">
        <w:rPr>
          <w:rFonts w:ascii="Times New Roman" w:hAnsi="Times New Roman" w:cs="Times New Roman"/>
        </w:rPr>
        <w:t xml:space="preserve"> that there were </w:t>
      </w:r>
      <w:r w:rsidR="005A1E9C" w:rsidRPr="00597A71">
        <w:rPr>
          <w:rFonts w:ascii="Times New Roman" w:hAnsi="Times New Roman" w:cs="Times New Roman"/>
        </w:rPr>
        <w:t>“</w:t>
      </w:r>
      <w:r w:rsidRPr="00597A71">
        <w:rPr>
          <w:rFonts w:ascii="Times New Roman" w:hAnsi="Times New Roman" w:cs="Times New Roman"/>
        </w:rPr>
        <w:t>substantial grounds for believing that, if surrendered</w:t>
      </w:r>
      <w:r w:rsidR="00CC1E2A">
        <w:rPr>
          <w:rFonts w:ascii="Times New Roman" w:hAnsi="Times New Roman" w:cs="Times New Roman"/>
        </w:rPr>
        <w:t>,</w:t>
      </w:r>
      <w:r w:rsidRPr="00597A71">
        <w:rPr>
          <w:rFonts w:ascii="Times New Roman" w:hAnsi="Times New Roman" w:cs="Times New Roman"/>
        </w:rPr>
        <w:t xml:space="preserve"> there is a real risk of the respondent being subjected to a breach of his right to privacy or right not to be subjected to inhuman or degrading treatment or punishment, or any other fundam</w:t>
      </w:r>
      <w:r w:rsidR="005A1E9C" w:rsidRPr="00597A71">
        <w:rPr>
          <w:rFonts w:ascii="Times New Roman" w:hAnsi="Times New Roman" w:cs="Times New Roman"/>
        </w:rPr>
        <w:t>ental</w:t>
      </w:r>
      <w:r w:rsidRPr="00597A71">
        <w:rPr>
          <w:rFonts w:ascii="Times New Roman" w:hAnsi="Times New Roman" w:cs="Times New Roman"/>
        </w:rPr>
        <w:t xml:space="preserve"> right, so that this Court should refuse surrender</w:t>
      </w:r>
      <w:r w:rsidR="00CC1E2A">
        <w:rPr>
          <w:rFonts w:ascii="Times New Roman" w:hAnsi="Times New Roman" w:cs="Times New Roman"/>
        </w:rPr>
        <w:t>.</w:t>
      </w:r>
      <w:r w:rsidR="005A1E9C" w:rsidRPr="00597A71">
        <w:rPr>
          <w:rFonts w:ascii="Times New Roman" w:hAnsi="Times New Roman" w:cs="Times New Roman"/>
        </w:rPr>
        <w:t>”</w:t>
      </w:r>
      <w:r w:rsidRPr="00597A71">
        <w:rPr>
          <w:rFonts w:ascii="Times New Roman" w:hAnsi="Times New Roman" w:cs="Times New Roman"/>
        </w:rPr>
        <w:t xml:space="preserve">   </w:t>
      </w:r>
      <w:r w:rsidR="005A1E9C" w:rsidRPr="00597A71">
        <w:rPr>
          <w:rFonts w:ascii="Times New Roman" w:hAnsi="Times New Roman" w:cs="Times New Roman"/>
        </w:rPr>
        <w:t>Indeed, the High Court found a number of facts which were contrary to the appellant’s contention</w:t>
      </w:r>
      <w:r w:rsidR="00066AD7">
        <w:rPr>
          <w:rFonts w:ascii="Times New Roman" w:hAnsi="Times New Roman" w:cs="Times New Roman"/>
        </w:rPr>
        <w:t xml:space="preserve"> that there was such a risk</w:t>
      </w:r>
      <w:r w:rsidR="005A1E9C" w:rsidRPr="00597A71">
        <w:rPr>
          <w:rFonts w:ascii="Times New Roman" w:hAnsi="Times New Roman" w:cs="Times New Roman"/>
        </w:rPr>
        <w:t>.  The first of these was that he was not satisfied that it will be or was likely to be impossible or would necessarily follow that due to the requirements of post</w:t>
      </w:r>
      <w:r w:rsidR="00CC1E2A">
        <w:rPr>
          <w:rFonts w:ascii="Times New Roman" w:hAnsi="Times New Roman" w:cs="Times New Roman"/>
        </w:rPr>
        <w:t>-</w:t>
      </w:r>
      <w:r w:rsidR="005A1E9C" w:rsidRPr="00597A71">
        <w:rPr>
          <w:rFonts w:ascii="Times New Roman" w:hAnsi="Times New Roman" w:cs="Times New Roman"/>
        </w:rPr>
        <w:t>release supervision that the respondent will be at real risk of being rendered homeless and penniless.  He said that the appellant was able to obtain an address (even if it was one</w:t>
      </w:r>
      <w:r w:rsidR="001E56BC">
        <w:rPr>
          <w:rFonts w:ascii="Times New Roman" w:hAnsi="Times New Roman" w:cs="Times New Roman"/>
        </w:rPr>
        <w:t xml:space="preserve"> in which</w:t>
      </w:r>
      <w:r w:rsidR="005A1E9C" w:rsidRPr="00597A71">
        <w:rPr>
          <w:rFonts w:ascii="Times New Roman" w:hAnsi="Times New Roman" w:cs="Times New Roman"/>
        </w:rPr>
        <w:t xml:space="preserve"> he did not intend to live).  He also said that homelessness was multi-factorial in origin</w:t>
      </w:r>
      <w:r w:rsidR="00066AD7">
        <w:rPr>
          <w:rFonts w:ascii="Times New Roman" w:hAnsi="Times New Roman" w:cs="Times New Roman"/>
        </w:rPr>
        <w:t>,</w:t>
      </w:r>
      <w:r w:rsidR="005A1E9C" w:rsidRPr="00597A71">
        <w:rPr>
          <w:rFonts w:ascii="Times New Roman" w:hAnsi="Times New Roman" w:cs="Times New Roman"/>
        </w:rPr>
        <w:t xml:space="preserve"> and he noted that there was a passing reference </w:t>
      </w:r>
      <w:r w:rsidR="00701BFB">
        <w:rPr>
          <w:rFonts w:ascii="Times New Roman" w:hAnsi="Times New Roman" w:cs="Times New Roman"/>
        </w:rPr>
        <w:t xml:space="preserve">by the respondent </w:t>
      </w:r>
      <w:r w:rsidR="005A1E9C" w:rsidRPr="00597A71">
        <w:rPr>
          <w:rFonts w:ascii="Times New Roman" w:hAnsi="Times New Roman" w:cs="Times New Roman"/>
        </w:rPr>
        <w:t>to substance abuse and attendance at AA meetings.</w:t>
      </w:r>
    </w:p>
    <w:p w14:paraId="7A2A5055" w14:textId="11830542" w:rsidR="00597A71" w:rsidRDefault="005A1E9C"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hAnsi="Times New Roman" w:cs="Times New Roman"/>
        </w:rPr>
        <w:lastRenderedPageBreak/>
        <w:t>Moreover, the trial judge said he was not satisfied</w:t>
      </w:r>
      <w:r w:rsidR="00F45AC0" w:rsidRPr="00597A71">
        <w:rPr>
          <w:rFonts w:ascii="Times New Roman" w:hAnsi="Times New Roman" w:cs="Times New Roman"/>
        </w:rPr>
        <w:t xml:space="preserve"> that the appellant would inevitably be driven into homelessness and poverty by reason of the system of probation and/or post-release supervision in Georgia.  </w:t>
      </w:r>
      <w:r w:rsidR="00522C52" w:rsidRPr="00597A71">
        <w:rPr>
          <w:rFonts w:ascii="Times New Roman" w:hAnsi="Times New Roman" w:cs="Times New Roman"/>
        </w:rPr>
        <w:t>He was</w:t>
      </w:r>
      <w:r w:rsidR="00F45AC0" w:rsidRPr="00597A71">
        <w:rPr>
          <w:rFonts w:ascii="Times New Roman" w:hAnsi="Times New Roman" w:cs="Times New Roman"/>
        </w:rPr>
        <w:t xml:space="preserve"> </w:t>
      </w:r>
      <w:r w:rsidR="002D2D8B" w:rsidRPr="00597A71">
        <w:rPr>
          <w:rFonts w:ascii="Times New Roman" w:hAnsi="Times New Roman" w:cs="Times New Roman"/>
        </w:rPr>
        <w:t xml:space="preserve">also </w:t>
      </w:r>
      <w:r w:rsidR="00AA1845" w:rsidRPr="00597A71">
        <w:rPr>
          <w:rFonts w:ascii="Times New Roman" w:hAnsi="Times New Roman" w:cs="Times New Roman"/>
        </w:rPr>
        <w:t>not satisfied that any risk of future homelessness and/or poverty can be solely, or sufficiently</w:t>
      </w:r>
      <w:r w:rsidR="00066AD7">
        <w:rPr>
          <w:rFonts w:ascii="Times New Roman" w:hAnsi="Times New Roman" w:cs="Times New Roman"/>
        </w:rPr>
        <w:t>,</w:t>
      </w:r>
      <w:r w:rsidR="00AA1845" w:rsidRPr="00597A71">
        <w:rPr>
          <w:rFonts w:ascii="Times New Roman" w:hAnsi="Times New Roman" w:cs="Times New Roman"/>
        </w:rPr>
        <w:t xml:space="preserve"> attributed to the system of probation and/or post-release supervision to the extent that same could be regarded as Georgia br</w:t>
      </w:r>
      <w:r w:rsidR="00610BBF" w:rsidRPr="00597A71">
        <w:rPr>
          <w:rFonts w:ascii="Times New Roman" w:hAnsi="Times New Roman" w:cs="Times New Roman"/>
        </w:rPr>
        <w:t>eaching his rights.</w:t>
      </w:r>
    </w:p>
    <w:p w14:paraId="4458BFE5" w14:textId="2B3DBD61" w:rsidR="00597A71" w:rsidRDefault="00610BBF"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hAnsi="Times New Roman" w:cs="Times New Roman"/>
        </w:rPr>
        <w:t>The trial judge made a number of very specific findings in which he rejected the appellant’s claims that he was a</w:t>
      </w:r>
      <w:r w:rsidR="00701BFB">
        <w:rPr>
          <w:rFonts w:ascii="Times New Roman" w:hAnsi="Times New Roman" w:cs="Times New Roman"/>
        </w:rPr>
        <w:t>t</w:t>
      </w:r>
      <w:r w:rsidRPr="00597A71">
        <w:rPr>
          <w:rFonts w:ascii="Times New Roman" w:hAnsi="Times New Roman" w:cs="Times New Roman"/>
        </w:rPr>
        <w:t xml:space="preserve"> real risk of being subject to prohibited conduct.</w:t>
      </w:r>
      <w:r w:rsidR="00C21ABC" w:rsidRPr="00597A71">
        <w:rPr>
          <w:rFonts w:ascii="Times New Roman" w:hAnsi="Times New Roman" w:cs="Times New Roman"/>
        </w:rPr>
        <w:t xml:space="preserve"> </w:t>
      </w:r>
      <w:r w:rsidRPr="00597A71">
        <w:rPr>
          <w:rFonts w:ascii="Times New Roman" w:hAnsi="Times New Roman" w:cs="Times New Roman"/>
        </w:rPr>
        <w:t>The observation/finding in the preliminary ruling related to one finding only.</w:t>
      </w:r>
      <w:r w:rsidR="00C21ABC" w:rsidRPr="00597A71">
        <w:rPr>
          <w:rFonts w:ascii="Times New Roman" w:hAnsi="Times New Roman" w:cs="Times New Roman"/>
        </w:rPr>
        <w:t xml:space="preserve">  </w:t>
      </w:r>
      <w:r w:rsidRPr="00597A71">
        <w:rPr>
          <w:rFonts w:ascii="Times New Roman" w:hAnsi="Times New Roman" w:cs="Times New Roman"/>
        </w:rPr>
        <w:t>The trial judge’s rejection of the appellant’s claims went much further than this finding.  This Court is required to address those findings in the context of the overall issue as to whether the</w:t>
      </w:r>
      <w:r w:rsidR="00C21ABC" w:rsidRPr="00597A71">
        <w:rPr>
          <w:rFonts w:ascii="Times New Roman" w:hAnsi="Times New Roman" w:cs="Times New Roman"/>
        </w:rPr>
        <w:t xml:space="preserve"> appellant is at real risk of being subject to inhuman and degrading treatment.</w:t>
      </w:r>
    </w:p>
    <w:p w14:paraId="1BC68724" w14:textId="77777777" w:rsidR="00597A71" w:rsidRDefault="00597A71" w:rsidP="00597A71">
      <w:pPr>
        <w:spacing w:line="480" w:lineRule="auto"/>
        <w:jc w:val="both"/>
        <w:rPr>
          <w:rFonts w:ascii="Times New Roman" w:hAnsi="Times New Roman" w:cs="Times New Roman"/>
          <w:b/>
          <w:u w:val="single"/>
        </w:rPr>
      </w:pPr>
    </w:p>
    <w:p w14:paraId="2A3B267A" w14:textId="77777777" w:rsidR="00597A71" w:rsidRPr="00597A71" w:rsidRDefault="00597A71" w:rsidP="00597A71">
      <w:pPr>
        <w:spacing w:line="480" w:lineRule="auto"/>
        <w:jc w:val="both"/>
        <w:rPr>
          <w:rFonts w:ascii="Times New Roman" w:hAnsi="Times New Roman" w:cs="Times New Roman"/>
          <w:b/>
          <w:u w:val="single"/>
        </w:rPr>
      </w:pPr>
      <w:r w:rsidRPr="00597A71">
        <w:rPr>
          <w:rFonts w:ascii="Times New Roman" w:hAnsi="Times New Roman" w:cs="Times New Roman"/>
          <w:b/>
          <w:u w:val="single"/>
        </w:rPr>
        <w:t xml:space="preserve">The </w:t>
      </w:r>
      <w:r w:rsidR="002D77F5">
        <w:rPr>
          <w:rFonts w:ascii="Times New Roman" w:hAnsi="Times New Roman" w:cs="Times New Roman"/>
          <w:b/>
          <w:u w:val="single"/>
        </w:rPr>
        <w:t>p</w:t>
      </w:r>
      <w:r w:rsidRPr="00597A71">
        <w:rPr>
          <w:rFonts w:ascii="Times New Roman" w:hAnsi="Times New Roman" w:cs="Times New Roman"/>
          <w:b/>
          <w:u w:val="single"/>
        </w:rPr>
        <w:t xml:space="preserve">resumption of </w:t>
      </w:r>
      <w:r w:rsidR="002D77F5">
        <w:rPr>
          <w:rFonts w:ascii="Times New Roman" w:hAnsi="Times New Roman" w:cs="Times New Roman"/>
          <w:b/>
          <w:u w:val="single"/>
        </w:rPr>
        <w:t>g</w:t>
      </w:r>
      <w:r w:rsidRPr="00597A71">
        <w:rPr>
          <w:rFonts w:ascii="Times New Roman" w:hAnsi="Times New Roman" w:cs="Times New Roman"/>
          <w:b/>
          <w:u w:val="single"/>
        </w:rPr>
        <w:t xml:space="preserve">ood </w:t>
      </w:r>
      <w:r w:rsidR="002D77F5">
        <w:rPr>
          <w:rFonts w:ascii="Times New Roman" w:hAnsi="Times New Roman" w:cs="Times New Roman"/>
          <w:b/>
          <w:u w:val="single"/>
        </w:rPr>
        <w:t>f</w:t>
      </w:r>
      <w:r w:rsidRPr="00597A71">
        <w:rPr>
          <w:rFonts w:ascii="Times New Roman" w:hAnsi="Times New Roman" w:cs="Times New Roman"/>
          <w:b/>
          <w:u w:val="single"/>
        </w:rPr>
        <w:t xml:space="preserve">aith and </w:t>
      </w:r>
      <w:r w:rsidR="002D77F5">
        <w:rPr>
          <w:rFonts w:ascii="Times New Roman" w:hAnsi="Times New Roman" w:cs="Times New Roman"/>
          <w:b/>
          <w:u w:val="single"/>
        </w:rPr>
        <w:t>a</w:t>
      </w:r>
      <w:r w:rsidRPr="00597A71">
        <w:rPr>
          <w:rFonts w:ascii="Times New Roman" w:hAnsi="Times New Roman" w:cs="Times New Roman"/>
          <w:b/>
          <w:u w:val="single"/>
        </w:rPr>
        <w:t xml:space="preserve">ssessment of </w:t>
      </w:r>
      <w:r w:rsidR="002D77F5">
        <w:rPr>
          <w:rFonts w:ascii="Times New Roman" w:hAnsi="Times New Roman" w:cs="Times New Roman"/>
          <w:b/>
          <w:u w:val="single"/>
        </w:rPr>
        <w:t>d</w:t>
      </w:r>
      <w:r w:rsidRPr="00597A71">
        <w:rPr>
          <w:rFonts w:ascii="Times New Roman" w:hAnsi="Times New Roman" w:cs="Times New Roman"/>
          <w:b/>
          <w:u w:val="single"/>
        </w:rPr>
        <w:t xml:space="preserve">ownstream </w:t>
      </w:r>
      <w:r w:rsidR="002D77F5">
        <w:rPr>
          <w:rFonts w:ascii="Times New Roman" w:hAnsi="Times New Roman" w:cs="Times New Roman"/>
          <w:b/>
          <w:u w:val="single"/>
        </w:rPr>
        <w:t>r</w:t>
      </w:r>
      <w:r w:rsidRPr="00597A71">
        <w:rPr>
          <w:rFonts w:ascii="Times New Roman" w:hAnsi="Times New Roman" w:cs="Times New Roman"/>
          <w:b/>
          <w:u w:val="single"/>
        </w:rPr>
        <w:t>isks</w:t>
      </w:r>
    </w:p>
    <w:p w14:paraId="3A3FEB37" w14:textId="52B40017" w:rsidR="00597A71" w:rsidRPr="00597A71" w:rsidRDefault="008C683F"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T</w:t>
      </w:r>
      <w:r w:rsidR="004C516F" w:rsidRPr="00597A71">
        <w:rPr>
          <w:rFonts w:ascii="Times New Roman" w:eastAsia="Times New Roman" w:hAnsi="Times New Roman" w:cs="Times New Roman"/>
          <w:iCs/>
          <w:lang w:val="en-IE" w:eastAsia="en-GB"/>
        </w:rPr>
        <w:t xml:space="preserve">he core </w:t>
      </w:r>
      <w:r w:rsidRPr="00597A71">
        <w:rPr>
          <w:rFonts w:ascii="Times New Roman" w:eastAsia="Times New Roman" w:hAnsi="Times New Roman" w:cs="Times New Roman"/>
          <w:iCs/>
          <w:lang w:val="en-IE" w:eastAsia="en-GB"/>
        </w:rPr>
        <w:t>of</w:t>
      </w:r>
      <w:r w:rsidR="004C516F" w:rsidRPr="00597A71">
        <w:rPr>
          <w:rFonts w:ascii="Times New Roman" w:eastAsia="Times New Roman" w:hAnsi="Times New Roman" w:cs="Times New Roman"/>
          <w:iCs/>
          <w:lang w:val="en-IE" w:eastAsia="en-GB"/>
        </w:rPr>
        <w:t xml:space="preserve"> th</w:t>
      </w:r>
      <w:r w:rsidRPr="00597A71">
        <w:rPr>
          <w:rFonts w:ascii="Times New Roman" w:eastAsia="Times New Roman" w:hAnsi="Times New Roman" w:cs="Times New Roman"/>
          <w:iCs/>
          <w:lang w:val="en-IE" w:eastAsia="en-GB"/>
        </w:rPr>
        <w:t>e</w:t>
      </w:r>
      <w:r w:rsidR="004C516F" w:rsidRPr="00597A71">
        <w:rPr>
          <w:rFonts w:ascii="Times New Roman" w:eastAsia="Times New Roman" w:hAnsi="Times New Roman" w:cs="Times New Roman"/>
          <w:iCs/>
          <w:lang w:val="en-IE" w:eastAsia="en-GB"/>
        </w:rPr>
        <w:t xml:space="preserve"> appellant’s </w:t>
      </w:r>
      <w:r w:rsidRPr="00597A71">
        <w:rPr>
          <w:rFonts w:ascii="Times New Roman" w:eastAsia="Times New Roman" w:hAnsi="Times New Roman" w:cs="Times New Roman"/>
          <w:iCs/>
          <w:lang w:val="en-IE" w:eastAsia="en-GB"/>
        </w:rPr>
        <w:t xml:space="preserve">objection to extradition is his </w:t>
      </w:r>
      <w:r w:rsidR="004C516F" w:rsidRPr="00597A71">
        <w:rPr>
          <w:rFonts w:ascii="Times New Roman" w:eastAsia="Times New Roman" w:hAnsi="Times New Roman" w:cs="Times New Roman"/>
          <w:iCs/>
          <w:lang w:val="en-IE" w:eastAsia="en-GB"/>
        </w:rPr>
        <w:t xml:space="preserve">contention that he is at real risk of being subjected to inhuman and degrading treatment when released from custody because </w:t>
      </w:r>
      <w:r w:rsidR="00D61370" w:rsidRPr="00597A71">
        <w:rPr>
          <w:rFonts w:ascii="Times New Roman" w:eastAsia="Times New Roman" w:hAnsi="Times New Roman" w:cs="Times New Roman"/>
          <w:iCs/>
          <w:lang w:val="en-IE" w:eastAsia="en-GB"/>
        </w:rPr>
        <w:t xml:space="preserve">of conditions of poverty and homelessness which will be forced upon him if he is subjected to probation supervision similar to that which he faced on release previously.  </w:t>
      </w:r>
      <w:r w:rsidRPr="00597A71">
        <w:rPr>
          <w:rFonts w:ascii="Times New Roman" w:eastAsia="Times New Roman" w:hAnsi="Times New Roman" w:cs="Times New Roman"/>
          <w:iCs/>
          <w:lang w:val="en-IE" w:eastAsia="en-GB"/>
        </w:rPr>
        <w:t>As referred to above, q</w:t>
      </w:r>
      <w:r w:rsidR="00D61370" w:rsidRPr="00597A71">
        <w:rPr>
          <w:rFonts w:ascii="Times New Roman" w:eastAsia="Times New Roman" w:hAnsi="Times New Roman" w:cs="Times New Roman"/>
          <w:iCs/>
          <w:lang w:val="en-IE" w:eastAsia="en-GB"/>
        </w:rPr>
        <w:t>uite of number of contingencies have to occur prior to that; the first being that he would be granted probation/parole release</w:t>
      </w:r>
      <w:r w:rsidR="00066AD7">
        <w:rPr>
          <w:rFonts w:ascii="Times New Roman" w:eastAsia="Times New Roman" w:hAnsi="Times New Roman" w:cs="Times New Roman"/>
          <w:iCs/>
          <w:lang w:val="en-IE" w:eastAsia="en-GB"/>
        </w:rPr>
        <w:t>,</w:t>
      </w:r>
      <w:r w:rsidR="00D61370" w:rsidRPr="00597A71">
        <w:rPr>
          <w:rFonts w:ascii="Times New Roman" w:eastAsia="Times New Roman" w:hAnsi="Times New Roman" w:cs="Times New Roman"/>
          <w:iCs/>
          <w:lang w:val="en-IE" w:eastAsia="en-GB"/>
        </w:rPr>
        <w:t xml:space="preserve"> and as a condition of which he </w:t>
      </w:r>
      <w:r w:rsidR="00066AD7">
        <w:rPr>
          <w:rFonts w:ascii="Times New Roman" w:eastAsia="Times New Roman" w:hAnsi="Times New Roman" w:cs="Times New Roman"/>
          <w:iCs/>
          <w:lang w:val="en-IE" w:eastAsia="en-GB"/>
        </w:rPr>
        <w:t xml:space="preserve">would </w:t>
      </w:r>
      <w:r w:rsidR="00D61370" w:rsidRPr="00597A71">
        <w:rPr>
          <w:rFonts w:ascii="Times New Roman" w:eastAsia="Times New Roman" w:hAnsi="Times New Roman" w:cs="Times New Roman"/>
          <w:iCs/>
          <w:lang w:val="en-IE" w:eastAsia="en-GB"/>
        </w:rPr>
        <w:t xml:space="preserve">have to be required to remain in Georgia while under probation supervision. </w:t>
      </w:r>
      <w:r w:rsidRPr="00597A71">
        <w:rPr>
          <w:rFonts w:ascii="Times New Roman" w:eastAsia="Times New Roman" w:hAnsi="Times New Roman" w:cs="Times New Roman"/>
          <w:iCs/>
          <w:lang w:val="en-IE" w:eastAsia="en-GB"/>
        </w:rPr>
        <w:t xml:space="preserve">As will be seen </w:t>
      </w:r>
      <w:r w:rsidR="000F1ABD">
        <w:rPr>
          <w:rFonts w:ascii="Times New Roman" w:eastAsia="Times New Roman" w:hAnsi="Times New Roman" w:cs="Times New Roman"/>
          <w:iCs/>
          <w:lang w:val="en-IE" w:eastAsia="en-GB"/>
        </w:rPr>
        <w:t>because</w:t>
      </w:r>
      <w:r w:rsidR="00701BFB">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this event and the other events indicated</w:t>
      </w:r>
      <w:r w:rsidR="00D61370" w:rsidRPr="00597A71">
        <w:rPr>
          <w:rFonts w:ascii="Times New Roman" w:eastAsia="Times New Roman" w:hAnsi="Times New Roman" w:cs="Times New Roman"/>
          <w:iCs/>
          <w:lang w:val="en-IE" w:eastAsia="en-GB"/>
        </w:rPr>
        <w:t xml:space="preserve"> can only occur at some remove from any extradition to Georgia, I will </w:t>
      </w:r>
      <w:r w:rsidR="0049521E" w:rsidRPr="00597A71">
        <w:rPr>
          <w:rFonts w:ascii="Times New Roman" w:eastAsia="Times New Roman" w:hAnsi="Times New Roman" w:cs="Times New Roman"/>
          <w:iCs/>
          <w:lang w:val="en-IE" w:eastAsia="en-GB"/>
        </w:rPr>
        <w:t>use the (comparatively) neutral term “downstream risks” to describe them.</w:t>
      </w:r>
    </w:p>
    <w:p w14:paraId="412F6F1A" w14:textId="77777777" w:rsidR="00597A71" w:rsidRPr="00597A71" w:rsidRDefault="00F96A23"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It is those downstream risks which prompted the following two questions in the preliminary ruling</w:t>
      </w:r>
      <w:r w:rsidR="008C683F" w:rsidRPr="00597A71">
        <w:rPr>
          <w:rFonts w:ascii="Times New Roman" w:eastAsia="Times New Roman" w:hAnsi="Times New Roman" w:cs="Times New Roman"/>
          <w:iCs/>
          <w:lang w:val="en-IE" w:eastAsia="en-GB"/>
        </w:rPr>
        <w:t>:</w:t>
      </w:r>
    </w:p>
    <w:p w14:paraId="53C61548" w14:textId="77777777" w:rsidR="00597A71" w:rsidRPr="00597A71" w:rsidRDefault="00597A71" w:rsidP="00646ED0">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lastRenderedPageBreak/>
        <w:t>The extent to which the presumption of good faith might preclude a court from going beyond the fact that this appellant will spend at least some time in custody prior to any final decision.</w:t>
      </w:r>
    </w:p>
    <w:p w14:paraId="712B4704" w14:textId="77777777" w:rsidR="00597A71" w:rsidRPr="00597A71" w:rsidRDefault="00597A71" w:rsidP="00646ED0">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The extent to which the measurement of future risk is affected by the remoteness of the feared result together with the presumption of good faith on behalf of the requesting State.</w:t>
      </w:r>
    </w:p>
    <w:p w14:paraId="245058D2" w14:textId="44CF07FD" w:rsidR="002F114C" w:rsidRPr="002F114C" w:rsidRDefault="002F114C" w:rsidP="002F114C">
      <w:pPr>
        <w:pStyle w:val="ListParagraph"/>
        <w:numPr>
          <w:ilvl w:val="0"/>
          <w:numId w:val="1"/>
        </w:numPr>
        <w:spacing w:line="480" w:lineRule="auto"/>
        <w:ind w:left="0" w:firstLine="0"/>
        <w:jc w:val="both"/>
        <w:rPr>
          <w:rFonts w:ascii="Times New Roman" w:hAnsi="Times New Roman" w:cs="Times New Roman"/>
        </w:rPr>
      </w:pPr>
      <w:r w:rsidRPr="002F114C">
        <w:rPr>
          <w:rFonts w:ascii="Times New Roman" w:hAnsi="Times New Roman" w:cs="Times New Roman"/>
        </w:rPr>
        <w:t xml:space="preserve">In making submissions on those questions, both the appellant and the Attorney General addressed the case of </w:t>
      </w:r>
      <w:r w:rsidRPr="00EE6DFF">
        <w:rPr>
          <w:rFonts w:ascii="Times New Roman" w:hAnsi="Times New Roman" w:cs="Times New Roman"/>
          <w:i/>
          <w:iCs/>
        </w:rPr>
        <w:t>ML</w:t>
      </w:r>
      <w:r w:rsidRPr="002F114C">
        <w:rPr>
          <w:rFonts w:ascii="Times New Roman" w:hAnsi="Times New Roman" w:cs="Times New Roman"/>
        </w:rPr>
        <w:t>, each relying on different aspects of it.  The appellant’s interpretation of the case was that where “there is evidence of a possible systemic and ongoing violation”, Article 3</w:t>
      </w:r>
      <w:r w:rsidR="00431347">
        <w:rPr>
          <w:rFonts w:ascii="Times New Roman" w:hAnsi="Times New Roman" w:cs="Times New Roman"/>
        </w:rPr>
        <w:t xml:space="preserve"> of the European Convention of Human Rights</w:t>
      </w:r>
      <w:r w:rsidRPr="002F114C">
        <w:rPr>
          <w:rFonts w:ascii="Times New Roman" w:hAnsi="Times New Roman" w:cs="Times New Roman"/>
        </w:rPr>
        <w:t xml:space="preserve"> mandates the requesting State to specify exactly (stressed by the appellant) where the requested person was going to be detained and to give specific assurances in relation to the conditions there.  It could only be if the requested court is satisfied that there are no indications of any violations at that prison will general assurances of compliance with Article 3 be acceptable.  The appellant, by analogy, submitted that there was no evidence here that he might not be subjected to a real risk of prohibited treatment if released to probation supervision</w:t>
      </w:r>
      <w:r w:rsidR="006967FB">
        <w:rPr>
          <w:rFonts w:ascii="Times New Roman" w:hAnsi="Times New Roman" w:cs="Times New Roman"/>
        </w:rPr>
        <w:t>,</w:t>
      </w:r>
      <w:r w:rsidRPr="002F114C">
        <w:rPr>
          <w:rFonts w:ascii="Times New Roman" w:hAnsi="Times New Roman" w:cs="Times New Roman"/>
        </w:rPr>
        <w:t xml:space="preserve"> and therefore the systemic risks had not been negated.  In those circumstances, extradition ought to be refused. The appellant contested the idea that there was any remoteness in the issue at all.  The appellant had suffered these conditions previously, and the only issue was whether the appellant will be subjected to them again.  The appellant submitted that if he is exposed to that system of post-release supervision for “sex-offenders”, the only reasonable conclusion </w:t>
      </w:r>
      <w:r w:rsidR="006967FB">
        <w:rPr>
          <w:rFonts w:ascii="Times New Roman" w:hAnsi="Times New Roman" w:cs="Times New Roman"/>
        </w:rPr>
        <w:t>wa</w:t>
      </w:r>
      <w:r w:rsidRPr="002F114C">
        <w:rPr>
          <w:rFonts w:ascii="Times New Roman" w:hAnsi="Times New Roman" w:cs="Times New Roman"/>
        </w:rPr>
        <w:t xml:space="preserve">s that there exists a real risk of a future breach of his </w:t>
      </w:r>
      <w:proofErr w:type="gramStart"/>
      <w:r w:rsidRPr="002F114C">
        <w:rPr>
          <w:rFonts w:ascii="Times New Roman" w:hAnsi="Times New Roman" w:cs="Times New Roman"/>
        </w:rPr>
        <w:t>Article</w:t>
      </w:r>
      <w:proofErr w:type="gramEnd"/>
      <w:r w:rsidRPr="002F114C">
        <w:rPr>
          <w:rFonts w:ascii="Times New Roman" w:hAnsi="Times New Roman" w:cs="Times New Roman"/>
        </w:rPr>
        <w:t xml:space="preserve"> 3 rights.  If the Court were however to permit a </w:t>
      </w:r>
      <w:r w:rsidR="00E95446">
        <w:rPr>
          <w:rFonts w:ascii="Times New Roman" w:hAnsi="Times New Roman" w:cs="Times New Roman"/>
        </w:rPr>
        <w:t xml:space="preserve">statutory </w:t>
      </w:r>
      <w:r w:rsidRPr="002F114C">
        <w:rPr>
          <w:rFonts w:ascii="Times New Roman" w:hAnsi="Times New Roman" w:cs="Times New Roman"/>
        </w:rPr>
        <w:t xml:space="preserve">request from the Minister </w:t>
      </w:r>
      <w:r w:rsidR="00E95446">
        <w:rPr>
          <w:rFonts w:ascii="Times New Roman" w:hAnsi="Times New Roman" w:cs="Times New Roman"/>
        </w:rPr>
        <w:t xml:space="preserve">for Justice and Equality </w:t>
      </w:r>
      <w:r w:rsidRPr="002F114C">
        <w:rPr>
          <w:rFonts w:ascii="Times New Roman" w:hAnsi="Times New Roman" w:cs="Times New Roman"/>
        </w:rPr>
        <w:t>for additional evidence from the requesting State, the appellant engaged in the type of information that ought to be required.</w:t>
      </w:r>
    </w:p>
    <w:p w14:paraId="396C2736" w14:textId="1B9B6F94" w:rsidR="00597A71" w:rsidRPr="00597A71" w:rsidRDefault="00A31EF9"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lastRenderedPageBreak/>
        <w:t xml:space="preserve">The </w:t>
      </w:r>
      <w:r w:rsidR="00FF44A3">
        <w:rPr>
          <w:rFonts w:ascii="Times New Roman" w:eastAsia="Times New Roman" w:hAnsi="Times New Roman" w:cs="Times New Roman"/>
          <w:iCs/>
          <w:lang w:val="en-IE" w:eastAsia="en-GB"/>
        </w:rPr>
        <w:t>Attorney General</w:t>
      </w:r>
      <w:r w:rsidR="00FF44A3" w:rsidRPr="00597A71">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 xml:space="preserve">submitted </w:t>
      </w:r>
      <w:r w:rsidR="00522C52" w:rsidRPr="00597A71">
        <w:rPr>
          <w:rFonts w:ascii="Times New Roman" w:eastAsia="Times New Roman" w:hAnsi="Times New Roman" w:cs="Times New Roman"/>
          <w:iCs/>
          <w:lang w:val="en-IE" w:eastAsia="en-GB"/>
        </w:rPr>
        <w:t xml:space="preserve">that the fundamental approach of the CJEU </w:t>
      </w:r>
      <w:r w:rsidR="00E95446">
        <w:rPr>
          <w:rFonts w:ascii="Times New Roman" w:eastAsia="Times New Roman" w:hAnsi="Times New Roman" w:cs="Times New Roman"/>
          <w:iCs/>
          <w:lang w:val="en-IE" w:eastAsia="en-GB"/>
        </w:rPr>
        <w:t xml:space="preserve">in surrender cases </w:t>
      </w:r>
      <w:r w:rsidR="00522C52" w:rsidRPr="00597A71">
        <w:rPr>
          <w:rFonts w:ascii="Times New Roman" w:eastAsia="Times New Roman" w:hAnsi="Times New Roman" w:cs="Times New Roman"/>
          <w:iCs/>
          <w:lang w:val="en-IE" w:eastAsia="en-GB"/>
        </w:rPr>
        <w:t xml:space="preserve">was that it is the position in which a requested person will find himself immediately upon his return which is of relevance and that this </w:t>
      </w:r>
      <w:r w:rsidR="006967FB">
        <w:rPr>
          <w:rFonts w:ascii="Times New Roman" w:eastAsia="Times New Roman" w:hAnsi="Times New Roman" w:cs="Times New Roman"/>
          <w:iCs/>
          <w:lang w:val="en-IE" w:eastAsia="en-GB"/>
        </w:rPr>
        <w:t xml:space="preserve">approach </w:t>
      </w:r>
      <w:r w:rsidR="00522C52" w:rsidRPr="00597A71">
        <w:rPr>
          <w:rFonts w:ascii="Times New Roman" w:eastAsia="Times New Roman" w:hAnsi="Times New Roman" w:cs="Times New Roman"/>
          <w:iCs/>
          <w:lang w:val="en-IE" w:eastAsia="en-GB"/>
        </w:rPr>
        <w:t xml:space="preserve">ought to be adopted </w:t>
      </w:r>
      <w:r w:rsidR="00E7740E" w:rsidRPr="00597A71">
        <w:rPr>
          <w:rFonts w:ascii="Times New Roman" w:eastAsia="Times New Roman" w:hAnsi="Times New Roman" w:cs="Times New Roman"/>
          <w:iCs/>
          <w:lang w:val="en-IE" w:eastAsia="en-GB"/>
        </w:rPr>
        <w:t>by this Court</w:t>
      </w:r>
      <w:r w:rsidR="00E95446">
        <w:rPr>
          <w:rFonts w:ascii="Times New Roman" w:eastAsia="Times New Roman" w:hAnsi="Times New Roman" w:cs="Times New Roman"/>
          <w:iCs/>
          <w:lang w:val="en-IE" w:eastAsia="en-GB"/>
        </w:rPr>
        <w:t xml:space="preserve"> in this extradition appeal</w:t>
      </w:r>
      <w:r w:rsidR="00E7740E" w:rsidRPr="00597A71">
        <w:rPr>
          <w:rFonts w:ascii="Times New Roman" w:eastAsia="Times New Roman" w:hAnsi="Times New Roman" w:cs="Times New Roman"/>
          <w:iCs/>
          <w:lang w:val="en-IE" w:eastAsia="en-GB"/>
        </w:rPr>
        <w:t>.  T</w:t>
      </w:r>
      <w:r w:rsidR="00522C52" w:rsidRPr="00597A71">
        <w:rPr>
          <w:rFonts w:ascii="Times New Roman" w:eastAsia="Times New Roman" w:hAnsi="Times New Roman" w:cs="Times New Roman"/>
          <w:iCs/>
          <w:lang w:val="en-IE" w:eastAsia="en-GB"/>
        </w:rPr>
        <w:t xml:space="preserve">he future potential outcomes after the </w:t>
      </w:r>
      <w:r w:rsidR="00E7740E" w:rsidRPr="00597A71">
        <w:rPr>
          <w:rFonts w:ascii="Times New Roman" w:eastAsia="Times New Roman" w:hAnsi="Times New Roman" w:cs="Times New Roman"/>
          <w:iCs/>
          <w:lang w:val="en-IE" w:eastAsia="en-GB"/>
        </w:rPr>
        <w:t xml:space="preserve">parole violation </w:t>
      </w:r>
      <w:r w:rsidR="00522C52" w:rsidRPr="00597A71">
        <w:rPr>
          <w:rFonts w:ascii="Times New Roman" w:eastAsia="Times New Roman" w:hAnsi="Times New Roman" w:cs="Times New Roman"/>
          <w:iCs/>
          <w:lang w:val="en-IE" w:eastAsia="en-GB"/>
        </w:rPr>
        <w:t>hearing are too remote for the consideration of this jurisdiction.  This was particularly so in the present case where there was a recommendation that a further custodial period rather than probation is required.</w:t>
      </w:r>
    </w:p>
    <w:p w14:paraId="052921EE" w14:textId="4D3B1C4A" w:rsidR="00597A71" w:rsidRPr="00597A71" w:rsidRDefault="003B3A26"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In assessing the presumption of good faith in extradition cases, the </w:t>
      </w:r>
      <w:r w:rsidR="00202C00">
        <w:rPr>
          <w:rFonts w:ascii="Times New Roman" w:eastAsia="Times New Roman" w:hAnsi="Times New Roman" w:cs="Times New Roman"/>
          <w:iCs/>
          <w:lang w:val="en-IE" w:eastAsia="en-GB"/>
        </w:rPr>
        <w:t>Attorney General</w:t>
      </w:r>
      <w:r w:rsidRPr="00597A71">
        <w:rPr>
          <w:rFonts w:ascii="Times New Roman" w:eastAsia="Times New Roman" w:hAnsi="Times New Roman" w:cs="Times New Roman"/>
          <w:iCs/>
          <w:lang w:val="en-IE" w:eastAsia="en-GB"/>
        </w:rPr>
        <w:t xml:space="preserve"> relied upon </w:t>
      </w:r>
      <w:r w:rsidR="00C0241D" w:rsidRPr="00597A71">
        <w:rPr>
          <w:rFonts w:ascii="Times New Roman" w:eastAsia="Times New Roman" w:hAnsi="Times New Roman" w:cs="Times New Roman"/>
          <w:iCs/>
          <w:lang w:val="en-IE" w:eastAsia="en-GB"/>
        </w:rPr>
        <w:t>the case law which placed the onus on the requested person to establish substantial grounds for the refusal to extradite</w:t>
      </w:r>
      <w:r w:rsidR="00202C00">
        <w:rPr>
          <w:rFonts w:ascii="Times New Roman" w:eastAsia="Times New Roman" w:hAnsi="Times New Roman" w:cs="Times New Roman"/>
          <w:iCs/>
          <w:lang w:val="en-IE" w:eastAsia="en-GB"/>
        </w:rPr>
        <w:t xml:space="preserve">, </w:t>
      </w:r>
      <w:r w:rsidR="00202C00">
        <w:rPr>
          <w:rFonts w:ascii="Times New Roman" w:eastAsia="Times New Roman" w:hAnsi="Times New Roman" w:cs="Times New Roman"/>
          <w:i/>
          <w:lang w:val="en-IE" w:eastAsia="en-GB"/>
        </w:rPr>
        <w:t>per</w:t>
      </w:r>
      <w:r w:rsidR="00C0241D" w:rsidRPr="00597A71">
        <w:rPr>
          <w:rFonts w:ascii="Times New Roman" w:eastAsia="Times New Roman" w:hAnsi="Times New Roman" w:cs="Times New Roman"/>
          <w:iCs/>
          <w:lang w:val="en-IE" w:eastAsia="en-GB"/>
        </w:rPr>
        <w:t xml:space="preserve"> </w:t>
      </w:r>
      <w:r w:rsidR="00C0241D" w:rsidRPr="00597A71">
        <w:rPr>
          <w:rFonts w:ascii="Times New Roman" w:eastAsia="Times New Roman" w:hAnsi="Times New Roman" w:cs="Times New Roman"/>
          <w:i/>
          <w:iCs/>
          <w:lang w:val="en-IE" w:eastAsia="en-GB"/>
        </w:rPr>
        <w:t>Attorney General v</w:t>
      </w:r>
      <w:r w:rsidR="00202C00">
        <w:rPr>
          <w:rFonts w:ascii="Times New Roman" w:eastAsia="Times New Roman" w:hAnsi="Times New Roman" w:cs="Times New Roman"/>
          <w:i/>
          <w:iCs/>
          <w:lang w:val="en-IE" w:eastAsia="en-GB"/>
        </w:rPr>
        <w:t>.</w:t>
      </w:r>
      <w:r w:rsidR="00C0241D" w:rsidRPr="00597A71">
        <w:rPr>
          <w:rFonts w:ascii="Times New Roman" w:eastAsia="Times New Roman" w:hAnsi="Times New Roman" w:cs="Times New Roman"/>
          <w:i/>
          <w:iCs/>
          <w:lang w:val="en-IE" w:eastAsia="en-GB"/>
        </w:rPr>
        <w:t xml:space="preserve"> </w:t>
      </w:r>
      <w:proofErr w:type="spellStart"/>
      <w:r w:rsidR="00C0241D" w:rsidRPr="00597A71">
        <w:rPr>
          <w:rFonts w:ascii="Times New Roman" w:eastAsia="Times New Roman" w:hAnsi="Times New Roman" w:cs="Times New Roman"/>
          <w:i/>
          <w:iCs/>
          <w:lang w:val="en-IE" w:eastAsia="en-GB"/>
        </w:rPr>
        <w:t>Skripakova</w:t>
      </w:r>
      <w:proofErr w:type="spellEnd"/>
      <w:r w:rsidR="00202C00">
        <w:rPr>
          <w:rFonts w:ascii="Times New Roman" w:eastAsia="Times New Roman" w:hAnsi="Times New Roman" w:cs="Times New Roman"/>
          <w:iCs/>
          <w:lang w:val="en-IE" w:eastAsia="en-GB"/>
        </w:rPr>
        <w:t xml:space="preserve"> (Unreported, Supreme Court, 24</w:t>
      </w:r>
      <w:r w:rsidR="00202C00" w:rsidRPr="00EE6DFF">
        <w:rPr>
          <w:rFonts w:ascii="Times New Roman" w:eastAsia="Times New Roman" w:hAnsi="Times New Roman" w:cs="Times New Roman"/>
          <w:iCs/>
          <w:vertAlign w:val="superscript"/>
          <w:lang w:val="en-IE" w:eastAsia="en-GB"/>
        </w:rPr>
        <w:t>th</w:t>
      </w:r>
      <w:r w:rsidR="00202C00">
        <w:rPr>
          <w:rFonts w:ascii="Times New Roman" w:eastAsia="Times New Roman" w:hAnsi="Times New Roman" w:cs="Times New Roman"/>
          <w:iCs/>
          <w:lang w:val="en-IE" w:eastAsia="en-GB"/>
        </w:rPr>
        <w:t xml:space="preserve"> April, 2006)</w:t>
      </w:r>
      <w:r w:rsidR="00C0241D" w:rsidRPr="00597A71">
        <w:rPr>
          <w:rFonts w:ascii="Times New Roman" w:eastAsia="Times New Roman" w:hAnsi="Times New Roman" w:cs="Times New Roman"/>
          <w:iCs/>
          <w:lang w:val="en-IE" w:eastAsia="en-GB"/>
        </w:rPr>
        <w:t xml:space="preserve">.  The </w:t>
      </w:r>
      <w:r w:rsidR="00202C00">
        <w:rPr>
          <w:rFonts w:ascii="Times New Roman" w:eastAsia="Times New Roman" w:hAnsi="Times New Roman" w:cs="Times New Roman"/>
          <w:iCs/>
          <w:lang w:val="en-IE" w:eastAsia="en-GB"/>
        </w:rPr>
        <w:t xml:space="preserve">Attorney General </w:t>
      </w:r>
      <w:r w:rsidR="00C0241D" w:rsidRPr="00597A71">
        <w:rPr>
          <w:rFonts w:ascii="Times New Roman" w:eastAsia="Times New Roman" w:hAnsi="Times New Roman" w:cs="Times New Roman"/>
          <w:iCs/>
          <w:lang w:val="en-IE" w:eastAsia="en-GB"/>
        </w:rPr>
        <w:t xml:space="preserve">relied on a substantial passage from the decision </w:t>
      </w:r>
      <w:r w:rsidR="00202C00">
        <w:rPr>
          <w:rFonts w:ascii="Times New Roman" w:eastAsia="Times New Roman" w:hAnsi="Times New Roman" w:cs="Times New Roman"/>
          <w:iCs/>
          <w:lang w:val="en-IE" w:eastAsia="en-GB"/>
        </w:rPr>
        <w:t>o</w:t>
      </w:r>
      <w:r w:rsidR="00C0241D" w:rsidRPr="00597A71">
        <w:rPr>
          <w:rFonts w:ascii="Times New Roman" w:eastAsia="Times New Roman" w:hAnsi="Times New Roman" w:cs="Times New Roman"/>
          <w:iCs/>
          <w:lang w:val="en-IE" w:eastAsia="en-GB"/>
        </w:rPr>
        <w:t>f the Supreme Court (Murray C</w:t>
      </w:r>
      <w:r w:rsidR="00202C00">
        <w:rPr>
          <w:rFonts w:ascii="Times New Roman" w:eastAsia="Times New Roman" w:hAnsi="Times New Roman" w:cs="Times New Roman"/>
          <w:iCs/>
          <w:lang w:val="en-IE" w:eastAsia="en-GB"/>
        </w:rPr>
        <w:t>.</w:t>
      </w:r>
      <w:r w:rsidR="00C0241D" w:rsidRPr="00597A71">
        <w:rPr>
          <w:rFonts w:ascii="Times New Roman" w:eastAsia="Times New Roman" w:hAnsi="Times New Roman" w:cs="Times New Roman"/>
          <w:iCs/>
          <w:lang w:val="en-IE" w:eastAsia="en-GB"/>
        </w:rPr>
        <w:t>J</w:t>
      </w:r>
      <w:r w:rsidR="00202C00">
        <w:rPr>
          <w:rFonts w:ascii="Times New Roman" w:eastAsia="Times New Roman" w:hAnsi="Times New Roman" w:cs="Times New Roman"/>
          <w:iCs/>
          <w:lang w:val="en-IE" w:eastAsia="en-GB"/>
        </w:rPr>
        <w:t>.</w:t>
      </w:r>
      <w:r w:rsidR="00C0241D" w:rsidRPr="00597A71">
        <w:rPr>
          <w:rFonts w:ascii="Times New Roman" w:eastAsia="Times New Roman" w:hAnsi="Times New Roman" w:cs="Times New Roman"/>
          <w:iCs/>
          <w:lang w:val="en-IE" w:eastAsia="en-GB"/>
        </w:rPr>
        <w:t xml:space="preserve">) in </w:t>
      </w:r>
      <w:r w:rsidR="00202C00">
        <w:rPr>
          <w:rFonts w:ascii="Times New Roman" w:eastAsia="Times New Roman" w:hAnsi="Times New Roman" w:cs="Times New Roman"/>
          <w:i/>
          <w:lang w:val="en-IE" w:eastAsia="en-GB"/>
        </w:rPr>
        <w:t xml:space="preserve">The </w:t>
      </w:r>
      <w:r w:rsidR="00C0241D" w:rsidRPr="00597A71">
        <w:rPr>
          <w:rFonts w:ascii="Times New Roman" w:eastAsia="Times New Roman" w:hAnsi="Times New Roman" w:cs="Times New Roman"/>
          <w:i/>
          <w:iCs/>
          <w:lang w:val="en-IE" w:eastAsia="en-GB"/>
        </w:rPr>
        <w:t>Minister for Justice</w:t>
      </w:r>
      <w:r w:rsidR="00202C00">
        <w:rPr>
          <w:rFonts w:ascii="Times New Roman" w:eastAsia="Times New Roman" w:hAnsi="Times New Roman" w:cs="Times New Roman"/>
          <w:i/>
          <w:iCs/>
          <w:lang w:val="en-IE" w:eastAsia="en-GB"/>
        </w:rPr>
        <w:t>,</w:t>
      </w:r>
      <w:r w:rsidR="00C0241D" w:rsidRPr="00597A71">
        <w:rPr>
          <w:rFonts w:ascii="Times New Roman" w:eastAsia="Times New Roman" w:hAnsi="Times New Roman" w:cs="Times New Roman"/>
          <w:i/>
          <w:iCs/>
          <w:lang w:val="en-IE" w:eastAsia="en-GB"/>
        </w:rPr>
        <w:t xml:space="preserve"> Equality</w:t>
      </w:r>
      <w:r w:rsidR="00202C00">
        <w:rPr>
          <w:rFonts w:ascii="Times New Roman" w:eastAsia="Times New Roman" w:hAnsi="Times New Roman" w:cs="Times New Roman"/>
          <w:i/>
          <w:iCs/>
          <w:lang w:val="en-IE" w:eastAsia="en-GB"/>
        </w:rPr>
        <w:t xml:space="preserve"> and Law Reform</w:t>
      </w:r>
      <w:r w:rsidR="00C0241D" w:rsidRPr="00597A71">
        <w:rPr>
          <w:rFonts w:ascii="Times New Roman" w:eastAsia="Times New Roman" w:hAnsi="Times New Roman" w:cs="Times New Roman"/>
          <w:i/>
          <w:iCs/>
          <w:lang w:val="en-IE" w:eastAsia="en-GB"/>
        </w:rPr>
        <w:t xml:space="preserve"> v</w:t>
      </w:r>
      <w:r w:rsidR="00202C00">
        <w:rPr>
          <w:rFonts w:ascii="Times New Roman" w:eastAsia="Times New Roman" w:hAnsi="Times New Roman" w:cs="Times New Roman"/>
          <w:i/>
          <w:iCs/>
          <w:lang w:val="en-IE" w:eastAsia="en-GB"/>
        </w:rPr>
        <w:t>.</w:t>
      </w:r>
      <w:r w:rsidR="00C0241D" w:rsidRPr="00597A71">
        <w:rPr>
          <w:rFonts w:ascii="Times New Roman" w:eastAsia="Times New Roman" w:hAnsi="Times New Roman" w:cs="Times New Roman"/>
          <w:i/>
          <w:iCs/>
          <w:lang w:val="en-IE" w:eastAsia="en-GB"/>
        </w:rPr>
        <w:t xml:space="preserve"> </w:t>
      </w:r>
      <w:proofErr w:type="spellStart"/>
      <w:r w:rsidR="00C0241D" w:rsidRPr="00597A71">
        <w:rPr>
          <w:rFonts w:ascii="Times New Roman" w:eastAsia="Times New Roman" w:hAnsi="Times New Roman" w:cs="Times New Roman"/>
          <w:i/>
          <w:iCs/>
          <w:lang w:val="en-IE" w:eastAsia="en-GB"/>
        </w:rPr>
        <w:t>Altaravicius</w:t>
      </w:r>
      <w:proofErr w:type="spellEnd"/>
      <w:r w:rsidR="00C0241D" w:rsidRPr="00597A71">
        <w:rPr>
          <w:rFonts w:ascii="Times New Roman" w:eastAsia="Times New Roman" w:hAnsi="Times New Roman" w:cs="Times New Roman"/>
          <w:iCs/>
          <w:lang w:val="en-IE" w:eastAsia="en-GB"/>
        </w:rPr>
        <w:t xml:space="preserve"> [2006]</w:t>
      </w:r>
      <w:r w:rsidR="002A6D2B">
        <w:rPr>
          <w:rFonts w:ascii="Times New Roman" w:eastAsia="Times New Roman" w:hAnsi="Times New Roman" w:cs="Times New Roman"/>
          <w:iCs/>
          <w:lang w:val="en-IE" w:eastAsia="en-GB"/>
        </w:rPr>
        <w:t xml:space="preserve"> IESC 23, </w:t>
      </w:r>
      <w:r w:rsidR="00C0241D" w:rsidRPr="00597A71">
        <w:rPr>
          <w:rFonts w:ascii="Times New Roman" w:eastAsia="Times New Roman" w:hAnsi="Times New Roman" w:cs="Times New Roman"/>
          <w:iCs/>
          <w:lang w:val="en-IE" w:eastAsia="en-GB"/>
        </w:rPr>
        <w:t>in submitt</w:t>
      </w:r>
      <w:r w:rsidR="002A6D2B">
        <w:rPr>
          <w:rFonts w:ascii="Times New Roman" w:eastAsia="Times New Roman" w:hAnsi="Times New Roman" w:cs="Times New Roman"/>
          <w:iCs/>
          <w:lang w:val="en-IE" w:eastAsia="en-GB"/>
        </w:rPr>
        <w:t>ing</w:t>
      </w:r>
      <w:r w:rsidR="00C0241D" w:rsidRPr="00597A71">
        <w:rPr>
          <w:rFonts w:ascii="Times New Roman" w:eastAsia="Times New Roman" w:hAnsi="Times New Roman" w:cs="Times New Roman"/>
          <w:iCs/>
          <w:lang w:val="en-IE" w:eastAsia="en-GB"/>
        </w:rPr>
        <w:t xml:space="preserve"> that there is a significant weight to be attached by the courts to the principle of good faith in the context of an extradition request, and that the high level of confidence is of significance in extradition cases.  It was accepted that the presumption was not at such a high level as </w:t>
      </w:r>
      <w:r w:rsidR="00536EB1" w:rsidRPr="00597A71">
        <w:rPr>
          <w:rFonts w:ascii="Times New Roman" w:eastAsia="Times New Roman" w:hAnsi="Times New Roman" w:cs="Times New Roman"/>
          <w:iCs/>
          <w:lang w:val="en-IE" w:eastAsia="en-GB"/>
        </w:rPr>
        <w:t xml:space="preserve">applies </w:t>
      </w:r>
      <w:r w:rsidR="00C0241D" w:rsidRPr="00597A71">
        <w:rPr>
          <w:rFonts w:ascii="Times New Roman" w:eastAsia="Times New Roman" w:hAnsi="Times New Roman" w:cs="Times New Roman"/>
          <w:iCs/>
          <w:lang w:val="en-IE" w:eastAsia="en-GB"/>
        </w:rPr>
        <w:t xml:space="preserve">in the </w:t>
      </w:r>
      <w:r w:rsidR="00B61D7F">
        <w:rPr>
          <w:rFonts w:ascii="Times New Roman" w:eastAsia="Times New Roman" w:hAnsi="Times New Roman" w:cs="Times New Roman"/>
          <w:iCs/>
          <w:lang w:val="en-IE" w:eastAsia="en-GB"/>
        </w:rPr>
        <w:t>EAW</w:t>
      </w:r>
      <w:r w:rsidR="00536EB1" w:rsidRPr="00597A71">
        <w:rPr>
          <w:rFonts w:ascii="Times New Roman" w:eastAsia="Times New Roman" w:hAnsi="Times New Roman" w:cs="Times New Roman"/>
          <w:iCs/>
          <w:lang w:val="en-IE" w:eastAsia="en-GB"/>
        </w:rPr>
        <w:t xml:space="preserve"> </w:t>
      </w:r>
      <w:r w:rsidR="00C0241D" w:rsidRPr="00597A71">
        <w:rPr>
          <w:rFonts w:ascii="Times New Roman" w:eastAsia="Times New Roman" w:hAnsi="Times New Roman" w:cs="Times New Roman"/>
          <w:iCs/>
          <w:lang w:val="en-IE" w:eastAsia="en-GB"/>
        </w:rPr>
        <w:t>context (</w:t>
      </w:r>
      <w:r w:rsidR="00C0241D" w:rsidRPr="00597A71">
        <w:rPr>
          <w:rFonts w:ascii="Times New Roman" w:eastAsia="Times New Roman" w:hAnsi="Times New Roman" w:cs="Times New Roman"/>
          <w:i/>
          <w:iCs/>
          <w:lang w:val="en-IE" w:eastAsia="en-GB"/>
        </w:rPr>
        <w:t>Attorney General v</w:t>
      </w:r>
      <w:r w:rsidR="002A6D2B">
        <w:rPr>
          <w:rFonts w:ascii="Times New Roman" w:eastAsia="Times New Roman" w:hAnsi="Times New Roman" w:cs="Times New Roman"/>
          <w:i/>
          <w:iCs/>
          <w:lang w:val="en-IE" w:eastAsia="en-GB"/>
        </w:rPr>
        <w:t>.</w:t>
      </w:r>
      <w:r w:rsidR="00C0241D" w:rsidRPr="00597A71">
        <w:rPr>
          <w:rFonts w:ascii="Times New Roman" w:eastAsia="Times New Roman" w:hAnsi="Times New Roman" w:cs="Times New Roman"/>
          <w:i/>
          <w:iCs/>
          <w:lang w:val="en-IE" w:eastAsia="en-GB"/>
        </w:rPr>
        <w:t xml:space="preserve"> Davis</w:t>
      </w:r>
      <w:r w:rsidR="00C0241D" w:rsidRPr="00597A71">
        <w:rPr>
          <w:rFonts w:ascii="Times New Roman" w:eastAsia="Times New Roman" w:hAnsi="Times New Roman" w:cs="Times New Roman"/>
          <w:iCs/>
          <w:lang w:val="en-IE" w:eastAsia="en-GB"/>
        </w:rPr>
        <w:t xml:space="preserve"> and </w:t>
      </w:r>
      <w:r w:rsidR="00C0241D" w:rsidRPr="00597A71">
        <w:rPr>
          <w:rFonts w:ascii="Times New Roman" w:eastAsia="Times New Roman" w:hAnsi="Times New Roman" w:cs="Times New Roman"/>
          <w:i/>
          <w:iCs/>
          <w:lang w:val="en-IE" w:eastAsia="en-GB"/>
        </w:rPr>
        <w:t>Attorney General v</w:t>
      </w:r>
      <w:r w:rsidR="002A6D2B">
        <w:rPr>
          <w:rFonts w:ascii="Times New Roman" w:eastAsia="Times New Roman" w:hAnsi="Times New Roman" w:cs="Times New Roman"/>
          <w:i/>
          <w:iCs/>
          <w:lang w:val="en-IE" w:eastAsia="en-GB"/>
        </w:rPr>
        <w:t>.</w:t>
      </w:r>
      <w:r w:rsidR="00C0241D" w:rsidRPr="00597A71">
        <w:rPr>
          <w:rFonts w:ascii="Times New Roman" w:eastAsia="Times New Roman" w:hAnsi="Times New Roman" w:cs="Times New Roman"/>
          <w:i/>
          <w:iCs/>
          <w:lang w:val="en-IE" w:eastAsia="en-GB"/>
        </w:rPr>
        <w:t xml:space="preserve"> O’Gara</w:t>
      </w:r>
      <w:r w:rsidR="00C0241D" w:rsidRPr="00597A71">
        <w:rPr>
          <w:rFonts w:ascii="Times New Roman" w:eastAsia="Times New Roman" w:hAnsi="Times New Roman" w:cs="Times New Roman"/>
          <w:iCs/>
          <w:lang w:val="en-IE" w:eastAsia="en-GB"/>
        </w:rPr>
        <w:t xml:space="preserve">).  </w:t>
      </w:r>
      <w:r w:rsidR="00323027">
        <w:rPr>
          <w:rFonts w:ascii="Times New Roman" w:eastAsia="Times New Roman" w:hAnsi="Times New Roman" w:cs="Times New Roman"/>
          <w:iCs/>
          <w:lang w:val="en-IE" w:eastAsia="en-GB"/>
        </w:rPr>
        <w:t>It was noted that t</w:t>
      </w:r>
      <w:r w:rsidR="00C0241D" w:rsidRPr="00597A71">
        <w:rPr>
          <w:rFonts w:ascii="Times New Roman" w:eastAsia="Times New Roman" w:hAnsi="Times New Roman" w:cs="Times New Roman"/>
          <w:iCs/>
          <w:lang w:val="en-IE" w:eastAsia="en-GB"/>
        </w:rPr>
        <w:t xml:space="preserve">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006967FB">
        <w:rPr>
          <w:rFonts w:ascii="Times New Roman" w:eastAsia="Times New Roman" w:hAnsi="Times New Roman" w:cs="Times New Roman"/>
          <w:iCs/>
          <w:lang w:val="en-IE" w:eastAsia="en-GB"/>
        </w:rPr>
        <w:t xml:space="preserve">, </w:t>
      </w:r>
      <w:r w:rsidR="006967FB">
        <w:rPr>
          <w:rFonts w:ascii="Times New Roman" w:eastAsia="Times New Roman" w:hAnsi="Times New Roman" w:cs="Times New Roman"/>
          <w:i/>
          <w:lang w:val="en-IE" w:eastAsia="en-GB"/>
        </w:rPr>
        <w:t>per</w:t>
      </w:r>
      <w:r w:rsidR="002A6D2B">
        <w:rPr>
          <w:rFonts w:ascii="Times New Roman" w:eastAsia="Times New Roman" w:hAnsi="Times New Roman" w:cs="Times New Roman"/>
          <w:iCs/>
          <w:lang w:val="en-IE" w:eastAsia="en-GB"/>
        </w:rPr>
        <w:t xml:space="preserve"> </w:t>
      </w:r>
      <w:r w:rsidR="002A6D2B" w:rsidRPr="00EE6DFF">
        <w:rPr>
          <w:rFonts w:ascii="Times New Roman" w:eastAsia="Times New Roman" w:hAnsi="Times New Roman" w:cs="Times New Roman"/>
          <w:i/>
          <w:lang w:val="en-IE" w:eastAsia="en-GB"/>
        </w:rPr>
        <w:t xml:space="preserve">The Minister for Justice, Equality and Law Reform v. </w:t>
      </w:r>
      <w:proofErr w:type="spellStart"/>
      <w:r w:rsidR="002A6D2B" w:rsidRPr="00EE6DFF">
        <w:rPr>
          <w:rFonts w:ascii="Times New Roman" w:eastAsia="Times New Roman" w:hAnsi="Times New Roman" w:cs="Times New Roman"/>
          <w:i/>
          <w:lang w:val="en-IE" w:eastAsia="en-GB"/>
        </w:rPr>
        <w:t>Rettinger</w:t>
      </w:r>
      <w:proofErr w:type="spellEnd"/>
      <w:r w:rsidR="002A6D2B">
        <w:rPr>
          <w:rFonts w:ascii="Times New Roman" w:eastAsia="Times New Roman" w:hAnsi="Times New Roman" w:cs="Times New Roman"/>
          <w:iCs/>
          <w:lang w:val="en-IE" w:eastAsia="en-GB"/>
        </w:rPr>
        <w:t xml:space="preserve"> [2010] IESC 45</w:t>
      </w:r>
      <w:r w:rsidR="006967FB">
        <w:rPr>
          <w:rFonts w:ascii="Times New Roman" w:eastAsia="Times New Roman" w:hAnsi="Times New Roman" w:cs="Times New Roman"/>
          <w:iCs/>
          <w:lang w:val="en-IE" w:eastAsia="en-GB"/>
        </w:rPr>
        <w:t xml:space="preserve"> (“</w:t>
      </w:r>
      <w:proofErr w:type="spellStart"/>
      <w:r w:rsidR="006967FB">
        <w:rPr>
          <w:rFonts w:ascii="Times New Roman" w:eastAsia="Times New Roman" w:hAnsi="Times New Roman" w:cs="Times New Roman"/>
          <w:i/>
          <w:lang w:val="en-IE" w:eastAsia="en-GB"/>
        </w:rPr>
        <w:t>Rettinger</w:t>
      </w:r>
      <w:proofErr w:type="spellEnd"/>
      <w:r w:rsidR="006967FB" w:rsidRPr="00EE6DFF">
        <w:rPr>
          <w:rFonts w:ascii="Times New Roman" w:eastAsia="Times New Roman" w:hAnsi="Times New Roman" w:cs="Times New Roman"/>
          <w:iCs/>
          <w:lang w:val="en-IE" w:eastAsia="en-GB"/>
        </w:rPr>
        <w:t>”</w:t>
      </w:r>
      <w:r w:rsidR="006967FB" w:rsidRPr="00AA0A55">
        <w:rPr>
          <w:rFonts w:ascii="Times New Roman" w:eastAsia="Times New Roman" w:hAnsi="Times New Roman" w:cs="Times New Roman"/>
          <w:iCs/>
          <w:lang w:val="en-IE" w:eastAsia="en-GB"/>
        </w:rPr>
        <w:t>)</w:t>
      </w:r>
      <w:r w:rsidR="00C0241D" w:rsidRPr="00597A71">
        <w:rPr>
          <w:rFonts w:ascii="Times New Roman" w:eastAsia="Times New Roman" w:hAnsi="Times New Roman" w:cs="Times New Roman"/>
          <w:iCs/>
          <w:lang w:val="en-IE" w:eastAsia="en-GB"/>
        </w:rPr>
        <w:t xml:space="preserve"> applied to extradition cases</w:t>
      </w:r>
      <w:r w:rsidR="00323027">
        <w:rPr>
          <w:rFonts w:ascii="Times New Roman" w:eastAsia="Times New Roman" w:hAnsi="Times New Roman" w:cs="Times New Roman"/>
          <w:iCs/>
          <w:lang w:val="en-IE" w:eastAsia="en-GB"/>
        </w:rPr>
        <w:t xml:space="preserve">, </w:t>
      </w:r>
      <w:r w:rsidR="00323027">
        <w:rPr>
          <w:rFonts w:ascii="Times New Roman" w:eastAsia="Times New Roman" w:hAnsi="Times New Roman" w:cs="Times New Roman"/>
          <w:i/>
          <w:lang w:val="en-IE" w:eastAsia="en-GB"/>
        </w:rPr>
        <w:t>per</w:t>
      </w:r>
      <w:r w:rsidR="00C0241D" w:rsidRPr="00597A71">
        <w:rPr>
          <w:rFonts w:ascii="Times New Roman" w:eastAsia="Times New Roman" w:hAnsi="Times New Roman" w:cs="Times New Roman"/>
          <w:iCs/>
          <w:lang w:val="en-IE" w:eastAsia="en-GB"/>
        </w:rPr>
        <w:t xml:space="preserve"> </w:t>
      </w:r>
      <w:r w:rsidR="00C0241D" w:rsidRPr="00597A71">
        <w:rPr>
          <w:rFonts w:ascii="Times New Roman" w:eastAsia="Times New Roman" w:hAnsi="Times New Roman" w:cs="Times New Roman"/>
          <w:i/>
          <w:iCs/>
          <w:lang w:val="en-IE" w:eastAsia="en-GB"/>
        </w:rPr>
        <w:t>Attorney General v</w:t>
      </w:r>
      <w:r w:rsidR="00323027">
        <w:rPr>
          <w:rFonts w:ascii="Times New Roman" w:eastAsia="Times New Roman" w:hAnsi="Times New Roman" w:cs="Times New Roman"/>
          <w:i/>
          <w:iCs/>
          <w:lang w:val="en-IE" w:eastAsia="en-GB"/>
        </w:rPr>
        <w:t>.</w:t>
      </w:r>
      <w:r w:rsidR="00C0241D" w:rsidRPr="00597A71">
        <w:rPr>
          <w:rFonts w:ascii="Times New Roman" w:eastAsia="Times New Roman" w:hAnsi="Times New Roman" w:cs="Times New Roman"/>
          <w:i/>
          <w:iCs/>
          <w:lang w:val="en-IE" w:eastAsia="en-GB"/>
        </w:rPr>
        <w:t xml:space="preserve"> Pi</w:t>
      </w:r>
      <w:r w:rsidR="00E7740E" w:rsidRPr="00597A71">
        <w:rPr>
          <w:rFonts w:ascii="Times New Roman" w:eastAsia="Times New Roman" w:hAnsi="Times New Roman" w:cs="Times New Roman"/>
          <w:i/>
          <w:iCs/>
          <w:lang w:val="en-IE" w:eastAsia="en-GB"/>
        </w:rPr>
        <w:t>o</w:t>
      </w:r>
      <w:r w:rsidR="00C0241D" w:rsidRPr="00597A71">
        <w:rPr>
          <w:rFonts w:ascii="Times New Roman" w:eastAsia="Times New Roman" w:hAnsi="Times New Roman" w:cs="Times New Roman"/>
          <w:i/>
          <w:iCs/>
          <w:lang w:val="en-IE" w:eastAsia="en-GB"/>
        </w:rPr>
        <w:t>trowski</w:t>
      </w:r>
      <w:r w:rsidR="00323027">
        <w:rPr>
          <w:rFonts w:ascii="Times New Roman" w:eastAsia="Times New Roman" w:hAnsi="Times New Roman" w:cs="Times New Roman"/>
          <w:i/>
          <w:iCs/>
          <w:lang w:val="en-IE" w:eastAsia="en-GB"/>
        </w:rPr>
        <w:t xml:space="preserve"> </w:t>
      </w:r>
      <w:r w:rsidR="00323027">
        <w:rPr>
          <w:rFonts w:ascii="Times New Roman" w:eastAsia="Times New Roman" w:hAnsi="Times New Roman" w:cs="Times New Roman"/>
          <w:lang w:val="en-IE" w:eastAsia="en-GB"/>
        </w:rPr>
        <w:t>[2014] IEHC 540</w:t>
      </w:r>
      <w:r w:rsidR="00C0241D" w:rsidRPr="00597A71">
        <w:rPr>
          <w:rFonts w:ascii="Times New Roman" w:eastAsia="Times New Roman" w:hAnsi="Times New Roman" w:cs="Times New Roman"/>
          <w:iCs/>
          <w:lang w:val="en-IE" w:eastAsia="en-GB"/>
        </w:rPr>
        <w:t>).</w:t>
      </w:r>
    </w:p>
    <w:p w14:paraId="72369B94" w14:textId="77777777" w:rsidR="00380908" w:rsidRDefault="00380908" w:rsidP="00597A71">
      <w:pPr>
        <w:spacing w:line="480" w:lineRule="auto"/>
        <w:jc w:val="both"/>
        <w:rPr>
          <w:rFonts w:ascii="Times New Roman" w:eastAsia="Times New Roman" w:hAnsi="Times New Roman" w:cs="Times New Roman"/>
          <w:b/>
          <w:i/>
          <w:iCs/>
          <w:u w:val="single"/>
          <w:lang w:val="en-IE" w:eastAsia="en-GB"/>
        </w:rPr>
      </w:pPr>
    </w:p>
    <w:p w14:paraId="16075CBD" w14:textId="6355EB74" w:rsidR="00597A71" w:rsidRPr="00EE6DFF" w:rsidRDefault="00597A71" w:rsidP="00597A71">
      <w:pPr>
        <w:spacing w:line="480" w:lineRule="auto"/>
        <w:jc w:val="both"/>
        <w:rPr>
          <w:rFonts w:ascii="Times New Roman" w:eastAsia="Times New Roman" w:hAnsi="Times New Roman" w:cs="Times New Roman"/>
          <w:b/>
          <w:u w:val="single"/>
          <w:lang w:val="en-IE" w:eastAsia="en-GB"/>
        </w:rPr>
      </w:pPr>
      <w:r w:rsidRPr="00EE6DFF">
        <w:rPr>
          <w:rFonts w:ascii="Times New Roman" w:eastAsia="Times New Roman" w:hAnsi="Times New Roman" w:cs="Times New Roman"/>
          <w:b/>
          <w:u w:val="single"/>
          <w:lang w:val="en-IE" w:eastAsia="en-GB"/>
        </w:rPr>
        <w:t>Analysis</w:t>
      </w:r>
    </w:p>
    <w:p w14:paraId="337D77C2" w14:textId="692E54EB" w:rsidR="002F114C" w:rsidRPr="00EE6DFF" w:rsidRDefault="00220804"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Supreme Court stated </w:t>
      </w:r>
      <w:r w:rsidR="0091082F" w:rsidRPr="00597A71">
        <w:rPr>
          <w:rFonts w:ascii="Times New Roman" w:eastAsia="Times New Roman" w:hAnsi="Times New Roman" w:cs="Times New Roman"/>
          <w:iCs/>
          <w:lang w:val="en-IE" w:eastAsia="en-GB"/>
        </w:rPr>
        <w:t xml:space="preserve">in </w:t>
      </w:r>
      <w:r w:rsidR="00323027">
        <w:rPr>
          <w:rFonts w:ascii="Times New Roman" w:eastAsia="Times New Roman" w:hAnsi="Times New Roman" w:cs="Times New Roman"/>
          <w:i/>
          <w:lang w:val="en-IE" w:eastAsia="en-GB"/>
        </w:rPr>
        <w:t xml:space="preserve">The </w:t>
      </w:r>
      <w:r w:rsidR="0091082F" w:rsidRPr="00597A71">
        <w:rPr>
          <w:rFonts w:ascii="Times New Roman" w:eastAsia="Times New Roman" w:hAnsi="Times New Roman" w:cs="Times New Roman"/>
          <w:i/>
          <w:iCs/>
          <w:lang w:val="en-IE" w:eastAsia="en-GB"/>
        </w:rPr>
        <w:t xml:space="preserve">Minister for Justice, Equality and Law Reform </w:t>
      </w:r>
      <w:r w:rsidR="00985A3A" w:rsidRPr="00597A71">
        <w:rPr>
          <w:rFonts w:ascii="Times New Roman" w:eastAsia="Times New Roman" w:hAnsi="Times New Roman" w:cs="Times New Roman"/>
          <w:i/>
          <w:iCs/>
          <w:lang w:val="en-IE" w:eastAsia="en-GB"/>
        </w:rPr>
        <w:t>v</w:t>
      </w:r>
      <w:r w:rsidR="006967FB">
        <w:rPr>
          <w:rFonts w:ascii="Times New Roman" w:eastAsia="Times New Roman" w:hAnsi="Times New Roman" w:cs="Times New Roman"/>
          <w:i/>
          <w:iCs/>
          <w:lang w:val="en-IE" w:eastAsia="en-GB"/>
        </w:rPr>
        <w:t>.</w:t>
      </w:r>
      <w:r w:rsidR="00985A3A" w:rsidRPr="00597A71">
        <w:rPr>
          <w:rFonts w:ascii="Times New Roman" w:eastAsia="Times New Roman" w:hAnsi="Times New Roman" w:cs="Times New Roman"/>
          <w:i/>
          <w:iCs/>
          <w:lang w:val="en-IE" w:eastAsia="en-GB"/>
        </w:rPr>
        <w:t xml:space="preserve"> </w:t>
      </w:r>
      <w:proofErr w:type="spellStart"/>
      <w:r w:rsidR="00985A3A" w:rsidRPr="00597A71">
        <w:rPr>
          <w:rFonts w:ascii="Times New Roman" w:eastAsia="Times New Roman" w:hAnsi="Times New Roman" w:cs="Times New Roman"/>
          <w:i/>
          <w:iCs/>
          <w:lang w:val="en-IE" w:eastAsia="en-GB"/>
        </w:rPr>
        <w:t>Altaravicius</w:t>
      </w:r>
      <w:proofErr w:type="spellEnd"/>
      <w:r w:rsidR="00985A3A" w:rsidRPr="00597A71">
        <w:rPr>
          <w:rFonts w:ascii="Times New Roman" w:eastAsia="Times New Roman" w:hAnsi="Times New Roman" w:cs="Times New Roman"/>
          <w:iCs/>
          <w:lang w:val="en-IE" w:eastAsia="en-GB"/>
        </w:rPr>
        <w:t xml:space="preserve"> </w:t>
      </w:r>
      <w:r w:rsidR="0091082F" w:rsidRPr="00597A71">
        <w:rPr>
          <w:rFonts w:ascii="Times New Roman" w:eastAsia="Times New Roman" w:hAnsi="Times New Roman" w:cs="Times New Roman"/>
          <w:iCs/>
          <w:lang w:val="en-IE" w:eastAsia="en-GB"/>
        </w:rPr>
        <w:t>that</w:t>
      </w:r>
      <w:r w:rsidR="00031D30">
        <w:rPr>
          <w:rFonts w:ascii="Times New Roman" w:eastAsia="Times New Roman" w:hAnsi="Times New Roman" w:cs="Times New Roman"/>
          <w:iCs/>
          <w:lang w:val="en-IE" w:eastAsia="en-GB"/>
        </w:rPr>
        <w:t>:</w:t>
      </w:r>
    </w:p>
    <w:p w14:paraId="6F6810AF" w14:textId="3472BD41" w:rsidR="00597A71" w:rsidRPr="00597A71" w:rsidRDefault="00220804" w:rsidP="00EE6DFF">
      <w:pPr>
        <w:pStyle w:val="ListParagraph"/>
        <w:spacing w:line="480" w:lineRule="auto"/>
        <w:ind w:firstLine="720"/>
        <w:jc w:val="both"/>
        <w:rPr>
          <w:rFonts w:ascii="Times New Roman" w:hAnsi="Times New Roman" w:cs="Times New Roman"/>
        </w:rPr>
      </w:pPr>
      <w:r w:rsidRPr="00597A71">
        <w:rPr>
          <w:rFonts w:ascii="Times New Roman" w:eastAsia="Times New Roman" w:hAnsi="Times New Roman" w:cs="Times New Roman"/>
          <w:iCs/>
          <w:lang w:val="en-IE" w:eastAsia="en-GB"/>
        </w:rPr>
        <w:t>“…it is undoubtedly the case that extradition arrangement</w:t>
      </w:r>
      <w:r w:rsidR="00323027">
        <w:rPr>
          <w:rFonts w:ascii="Times New Roman" w:eastAsia="Times New Roman" w:hAnsi="Times New Roman" w:cs="Times New Roman"/>
          <w:iCs/>
          <w:lang w:val="en-IE" w:eastAsia="en-GB"/>
        </w:rPr>
        <w:t>s</w:t>
      </w:r>
      <w:r w:rsidRPr="00597A71">
        <w:rPr>
          <w:rFonts w:ascii="Times New Roman" w:eastAsia="Times New Roman" w:hAnsi="Times New Roman" w:cs="Times New Roman"/>
          <w:iCs/>
          <w:lang w:val="en-IE" w:eastAsia="en-GB"/>
        </w:rPr>
        <w:t xml:space="preserve">, whatever their form, between this country and other States have been applied by the Courts on the </w:t>
      </w:r>
      <w:r w:rsidRPr="00597A71">
        <w:rPr>
          <w:rFonts w:ascii="Times New Roman" w:eastAsia="Times New Roman" w:hAnsi="Times New Roman" w:cs="Times New Roman"/>
          <w:iCs/>
          <w:lang w:val="en-IE" w:eastAsia="en-GB"/>
        </w:rPr>
        <w:lastRenderedPageBreak/>
        <w:t xml:space="preserve">presumption that those States have complied or will comply in good faith with their obligations under the relevant </w:t>
      </w:r>
      <w:r w:rsidR="00323027">
        <w:rPr>
          <w:rFonts w:ascii="Times New Roman" w:eastAsia="Times New Roman" w:hAnsi="Times New Roman" w:cs="Times New Roman"/>
          <w:iCs/>
          <w:lang w:val="en-IE" w:eastAsia="en-GB"/>
        </w:rPr>
        <w:t>T</w:t>
      </w:r>
      <w:r w:rsidRPr="00597A71">
        <w:rPr>
          <w:rFonts w:ascii="Times New Roman" w:eastAsia="Times New Roman" w:hAnsi="Times New Roman" w:cs="Times New Roman"/>
          <w:iCs/>
          <w:lang w:val="en-IE" w:eastAsia="en-GB"/>
        </w:rPr>
        <w:t xml:space="preserve">reaty or statutory provisions governing those arrangements.  Generally speaking extradition arrangements and the like are based on reciprocity and mutuality.  Each country enters into such arrangements on the presumption that the other country will comply with their requirements and apply them in good faith.  In </w:t>
      </w:r>
      <w:r w:rsidRPr="00597A71">
        <w:rPr>
          <w:rFonts w:ascii="Times New Roman" w:eastAsia="Times New Roman" w:hAnsi="Times New Roman" w:cs="Times New Roman"/>
          <w:i/>
          <w:iCs/>
          <w:lang w:val="en-IE" w:eastAsia="en-GB"/>
        </w:rPr>
        <w:t xml:space="preserve">Ellis </w:t>
      </w:r>
      <w:r w:rsidR="002F114C">
        <w:rPr>
          <w:rFonts w:ascii="Times New Roman" w:eastAsia="Times New Roman" w:hAnsi="Times New Roman" w:cs="Times New Roman"/>
          <w:i/>
          <w:iCs/>
          <w:lang w:val="en-IE" w:eastAsia="en-GB"/>
        </w:rPr>
        <w:t>-</w:t>
      </w:r>
      <w:r w:rsidRPr="00597A71">
        <w:rPr>
          <w:rFonts w:ascii="Times New Roman" w:eastAsia="Times New Roman" w:hAnsi="Times New Roman" w:cs="Times New Roman"/>
          <w:i/>
          <w:iCs/>
          <w:lang w:val="en-IE" w:eastAsia="en-GB"/>
        </w:rPr>
        <w:t>v</w:t>
      </w:r>
      <w:r w:rsidR="002F114C">
        <w:rPr>
          <w:rFonts w:ascii="Times New Roman" w:eastAsia="Times New Roman" w:hAnsi="Times New Roman" w:cs="Times New Roman"/>
          <w:i/>
          <w:iCs/>
          <w:lang w:val="en-IE" w:eastAsia="en-GB"/>
        </w:rPr>
        <w:t>-</w:t>
      </w:r>
      <w:r w:rsidRPr="00597A71">
        <w:rPr>
          <w:rFonts w:ascii="Times New Roman" w:eastAsia="Times New Roman" w:hAnsi="Times New Roman" w:cs="Times New Roman"/>
          <w:i/>
          <w:iCs/>
          <w:lang w:val="en-IE" w:eastAsia="en-GB"/>
        </w:rPr>
        <w:t xml:space="preserve"> O’Dea</w:t>
      </w:r>
      <w:r w:rsidRPr="00597A71">
        <w:rPr>
          <w:rFonts w:ascii="Times New Roman" w:eastAsia="Times New Roman" w:hAnsi="Times New Roman" w:cs="Times New Roman"/>
          <w:iCs/>
          <w:lang w:val="en-IE" w:eastAsia="en-GB"/>
        </w:rPr>
        <w:t xml:space="preserve"> (No. 2</w:t>
      </w:r>
      <w:r w:rsidR="00323027">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[1991] I.R. 251 at </w:t>
      </w:r>
      <w:r w:rsidR="002F114C">
        <w:rPr>
          <w:rFonts w:ascii="Times New Roman" w:eastAsia="Times New Roman" w:hAnsi="Times New Roman" w:cs="Times New Roman"/>
          <w:iCs/>
          <w:lang w:val="en-IE" w:eastAsia="en-GB"/>
        </w:rPr>
        <w:t>[p.]</w:t>
      </w:r>
      <w:r w:rsidRPr="00597A71">
        <w:rPr>
          <w:rFonts w:ascii="Times New Roman" w:eastAsia="Times New Roman" w:hAnsi="Times New Roman" w:cs="Times New Roman"/>
          <w:iCs/>
          <w:lang w:val="en-IE" w:eastAsia="en-GB"/>
        </w:rPr>
        <w:t xml:space="preserve">262 McCarthy J. </w:t>
      </w:r>
      <w:proofErr w:type="gramStart"/>
      <w:r w:rsidRPr="00597A71">
        <w:rPr>
          <w:rFonts w:ascii="Times New Roman" w:eastAsia="Times New Roman" w:hAnsi="Times New Roman" w:cs="Times New Roman"/>
          <w:iCs/>
          <w:lang w:val="en-IE" w:eastAsia="en-GB"/>
        </w:rPr>
        <w:t>stated</w:t>
      </w:r>
      <w:proofErr w:type="gramEnd"/>
      <w:r w:rsidRPr="00597A71">
        <w:rPr>
          <w:rFonts w:ascii="Times New Roman" w:eastAsia="Times New Roman" w:hAnsi="Times New Roman" w:cs="Times New Roman"/>
          <w:iCs/>
          <w:lang w:val="en-IE" w:eastAsia="en-GB"/>
        </w:rPr>
        <w:t xml:space="preserve"> </w:t>
      </w:r>
      <w:r w:rsidR="002F114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The making of the extradition arrangements presupposes that the Government and the Oireachtas are satisfied, amongst other things, that, an Irish citizen being extradited to the United Kingdom,</w:t>
      </w:r>
      <w:r w:rsidR="002F114C">
        <w:rPr>
          <w:rFonts w:ascii="Times New Roman" w:eastAsia="Times New Roman" w:hAnsi="Times New Roman" w:cs="Times New Roman"/>
          <w:iCs/>
          <w:lang w:val="en-IE" w:eastAsia="en-GB"/>
        </w:rPr>
        <w:t xml:space="preserve"> as</w:t>
      </w:r>
      <w:r w:rsidRPr="00597A71">
        <w:rPr>
          <w:rFonts w:ascii="Times New Roman" w:eastAsia="Times New Roman" w:hAnsi="Times New Roman" w:cs="Times New Roman"/>
          <w:iCs/>
          <w:lang w:val="en-IE" w:eastAsia="en-GB"/>
        </w:rPr>
        <w:t xml:space="preserve"> in this instance, or to any other State with which Ireland has such arrangements, will not have his constitutional rights impaired</w:t>
      </w:r>
      <w:r w:rsidR="002F114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In </w:t>
      </w:r>
      <w:r w:rsidRPr="00597A71">
        <w:rPr>
          <w:rFonts w:ascii="Times New Roman" w:eastAsia="Times New Roman" w:hAnsi="Times New Roman" w:cs="Times New Roman"/>
          <w:i/>
          <w:iCs/>
          <w:lang w:val="en-IE" w:eastAsia="en-GB"/>
        </w:rPr>
        <w:t xml:space="preserve">Wyatt </w:t>
      </w:r>
      <w:r w:rsidR="002F114C">
        <w:rPr>
          <w:rFonts w:ascii="Times New Roman" w:eastAsia="Times New Roman" w:hAnsi="Times New Roman" w:cs="Times New Roman"/>
          <w:i/>
          <w:iCs/>
          <w:lang w:val="en-IE" w:eastAsia="en-GB"/>
        </w:rPr>
        <w:t>-</w:t>
      </w:r>
      <w:r w:rsidRPr="00597A71">
        <w:rPr>
          <w:rFonts w:ascii="Times New Roman" w:eastAsia="Times New Roman" w:hAnsi="Times New Roman" w:cs="Times New Roman"/>
          <w:i/>
          <w:iCs/>
          <w:lang w:val="en-IE" w:eastAsia="en-GB"/>
        </w:rPr>
        <w:t>v</w:t>
      </w:r>
      <w:r w:rsidR="002F114C">
        <w:rPr>
          <w:rFonts w:ascii="Times New Roman" w:eastAsia="Times New Roman" w:hAnsi="Times New Roman" w:cs="Times New Roman"/>
          <w:i/>
          <w:iCs/>
          <w:lang w:val="en-IE" w:eastAsia="en-GB"/>
        </w:rPr>
        <w:t>-</w:t>
      </w:r>
      <w:r w:rsidRPr="00597A71">
        <w:rPr>
          <w:rFonts w:ascii="Times New Roman" w:eastAsia="Times New Roman" w:hAnsi="Times New Roman" w:cs="Times New Roman"/>
          <w:i/>
          <w:iCs/>
          <w:lang w:val="en-IE" w:eastAsia="en-GB"/>
        </w:rPr>
        <w:t xml:space="preserve"> McLoughlin</w:t>
      </w:r>
      <w:r w:rsidRPr="00597A71">
        <w:rPr>
          <w:rFonts w:ascii="Times New Roman" w:eastAsia="Times New Roman" w:hAnsi="Times New Roman" w:cs="Times New Roman"/>
          <w:iCs/>
          <w:lang w:val="en-IE" w:eastAsia="en-GB"/>
        </w:rPr>
        <w:t xml:space="preserve"> [1974] I.R. 378 at </w:t>
      </w:r>
      <w:r w:rsidR="002F114C">
        <w:rPr>
          <w:rFonts w:ascii="Times New Roman" w:eastAsia="Times New Roman" w:hAnsi="Times New Roman" w:cs="Times New Roman"/>
          <w:iCs/>
          <w:lang w:val="en-IE" w:eastAsia="en-GB"/>
        </w:rPr>
        <w:t>[p.]</w:t>
      </w:r>
      <w:r w:rsidRPr="00597A71">
        <w:rPr>
          <w:rFonts w:ascii="Times New Roman" w:eastAsia="Times New Roman" w:hAnsi="Times New Roman" w:cs="Times New Roman"/>
          <w:iCs/>
          <w:lang w:val="en-IE" w:eastAsia="en-GB"/>
        </w:rPr>
        <w:t>390 Finlay J.,</w:t>
      </w:r>
      <w:r w:rsidR="002F114C">
        <w:rPr>
          <w:rFonts w:ascii="Times New Roman" w:eastAsia="Times New Roman" w:hAnsi="Times New Roman" w:cs="Times New Roman"/>
          <w:iCs/>
          <w:lang w:val="en-IE" w:eastAsia="en-GB"/>
        </w:rPr>
        <w:t xml:space="preserve"> as he then was,</w:t>
      </w:r>
      <w:r w:rsidRPr="00597A71">
        <w:rPr>
          <w:rFonts w:ascii="Times New Roman" w:eastAsia="Times New Roman" w:hAnsi="Times New Roman" w:cs="Times New Roman"/>
          <w:iCs/>
          <w:lang w:val="en-IE" w:eastAsia="en-GB"/>
        </w:rPr>
        <w:t xml:space="preserve"> stated </w:t>
      </w:r>
      <w:r w:rsidR="002F114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…I am satisfied that I am entitled to have regard to the fact that an Extradition Act is necessarily the consequence,…of an agreement between two sovereign</w:t>
      </w:r>
      <w:r w:rsidR="00E711E7" w:rsidRPr="00597A71">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states reposing confidence in each other, and I should not in the first instance, suppose that the court and other authorities of the country by which extradition is sought are using deceit so as to secure the apprehension of the plaintiff</w:t>
      </w:r>
      <w:r w:rsidR="002F114C">
        <w:rPr>
          <w:rFonts w:ascii="Times New Roman" w:eastAsia="Times New Roman" w:hAnsi="Times New Roman" w:cs="Times New Roman"/>
          <w:iCs/>
          <w:lang w:val="en-IE" w:eastAsia="en-GB"/>
        </w:rPr>
        <w:t>’.</w:t>
      </w:r>
      <w:r w:rsidR="00E711E7" w:rsidRPr="00597A71">
        <w:rPr>
          <w:rFonts w:ascii="Times New Roman" w:eastAsia="Times New Roman" w:hAnsi="Times New Roman" w:cs="Times New Roman"/>
          <w:iCs/>
          <w:lang w:val="en-IE" w:eastAsia="en-GB"/>
        </w:rPr>
        <w:t>”</w:t>
      </w:r>
    </w:p>
    <w:p w14:paraId="06550728" w14:textId="5DAE6BB3" w:rsidR="00597A71" w:rsidRPr="00597A71" w:rsidRDefault="00322A82"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All extraditions are premised therefore on two </w:t>
      </w:r>
      <w:r w:rsidR="00985A3A" w:rsidRPr="00597A71">
        <w:rPr>
          <w:rFonts w:ascii="Times New Roman" w:eastAsia="Times New Roman" w:hAnsi="Times New Roman" w:cs="Times New Roman"/>
          <w:iCs/>
          <w:lang w:val="en-IE" w:eastAsia="en-GB"/>
        </w:rPr>
        <w:t>S</w:t>
      </w:r>
      <w:r w:rsidRPr="00597A71">
        <w:rPr>
          <w:rFonts w:ascii="Times New Roman" w:eastAsia="Times New Roman" w:hAnsi="Times New Roman" w:cs="Times New Roman"/>
          <w:iCs/>
          <w:lang w:val="en-IE" w:eastAsia="en-GB"/>
        </w:rPr>
        <w:t xml:space="preserve">tates reposing confidence in each other.  In general, it can be said that this extends to both the information provided by the requesting </w:t>
      </w:r>
      <w:r w:rsidR="00985A3A" w:rsidRPr="00597A71">
        <w:rPr>
          <w:rFonts w:ascii="Times New Roman" w:eastAsia="Times New Roman" w:hAnsi="Times New Roman" w:cs="Times New Roman"/>
          <w:iCs/>
          <w:lang w:val="en-IE" w:eastAsia="en-GB"/>
        </w:rPr>
        <w:t>S</w:t>
      </w:r>
      <w:r w:rsidRPr="00597A71">
        <w:rPr>
          <w:rFonts w:ascii="Times New Roman" w:eastAsia="Times New Roman" w:hAnsi="Times New Roman" w:cs="Times New Roman"/>
          <w:iCs/>
          <w:lang w:val="en-IE" w:eastAsia="en-GB"/>
        </w:rPr>
        <w:t>tate</w:t>
      </w:r>
      <w:r w:rsidR="00C6788F">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to the general protections </w:t>
      </w:r>
      <w:r w:rsidR="007B47D4" w:rsidRPr="00597A71">
        <w:rPr>
          <w:rFonts w:ascii="Times New Roman" w:eastAsia="Times New Roman" w:hAnsi="Times New Roman" w:cs="Times New Roman"/>
          <w:iCs/>
          <w:lang w:val="en-IE" w:eastAsia="en-GB"/>
        </w:rPr>
        <w:t xml:space="preserve">of fundamental rights </w:t>
      </w:r>
      <w:r w:rsidRPr="00597A71">
        <w:rPr>
          <w:rFonts w:ascii="Times New Roman" w:eastAsia="Times New Roman" w:hAnsi="Times New Roman" w:cs="Times New Roman"/>
          <w:iCs/>
          <w:lang w:val="en-IE" w:eastAsia="en-GB"/>
        </w:rPr>
        <w:t>that will be afforded to an individual if extradited to that State.  Th</w:t>
      </w:r>
      <w:r w:rsidR="007B47D4" w:rsidRPr="00597A71">
        <w:rPr>
          <w:rFonts w:ascii="Times New Roman" w:eastAsia="Times New Roman" w:hAnsi="Times New Roman" w:cs="Times New Roman"/>
          <w:iCs/>
          <w:lang w:val="en-IE" w:eastAsia="en-GB"/>
        </w:rPr>
        <w:t>e</w:t>
      </w:r>
      <w:r w:rsidR="00985A3A" w:rsidRPr="00597A71">
        <w:rPr>
          <w:rFonts w:ascii="Times New Roman" w:eastAsia="Times New Roman" w:hAnsi="Times New Roman" w:cs="Times New Roman"/>
          <w:iCs/>
          <w:lang w:val="en-IE" w:eastAsia="en-GB"/>
        </w:rPr>
        <w:t xml:space="preserve"> </w:t>
      </w:r>
      <w:r w:rsidR="007B47D4" w:rsidRPr="00597A71">
        <w:rPr>
          <w:rFonts w:ascii="Times New Roman" w:eastAsia="Times New Roman" w:hAnsi="Times New Roman" w:cs="Times New Roman"/>
          <w:iCs/>
          <w:lang w:val="en-IE" w:eastAsia="en-GB"/>
        </w:rPr>
        <w:t xml:space="preserve">presumption that the requesting </w:t>
      </w:r>
      <w:r w:rsidR="00E65E07">
        <w:rPr>
          <w:rFonts w:ascii="Times New Roman" w:eastAsia="Times New Roman" w:hAnsi="Times New Roman" w:cs="Times New Roman"/>
          <w:iCs/>
          <w:lang w:val="en-IE" w:eastAsia="en-GB"/>
        </w:rPr>
        <w:t>S</w:t>
      </w:r>
      <w:r w:rsidR="007B47D4" w:rsidRPr="00597A71">
        <w:rPr>
          <w:rFonts w:ascii="Times New Roman" w:eastAsia="Times New Roman" w:hAnsi="Times New Roman" w:cs="Times New Roman"/>
          <w:iCs/>
          <w:lang w:val="en-IE" w:eastAsia="en-GB"/>
        </w:rPr>
        <w:t>tate will act in good faith</w:t>
      </w:r>
      <w:r w:rsidR="00985A3A" w:rsidRPr="00597A71">
        <w:rPr>
          <w:rFonts w:ascii="Times New Roman" w:eastAsia="Times New Roman" w:hAnsi="Times New Roman" w:cs="Times New Roman"/>
          <w:iCs/>
          <w:lang w:val="en-IE" w:eastAsia="en-GB"/>
        </w:rPr>
        <w:t xml:space="preserve"> in an extradition request under the 1965 Act is weaker</w:t>
      </w:r>
      <w:r w:rsidR="007B47D4" w:rsidRPr="00597A71">
        <w:rPr>
          <w:rFonts w:ascii="Times New Roman" w:eastAsia="Times New Roman" w:hAnsi="Times New Roman" w:cs="Times New Roman"/>
          <w:iCs/>
          <w:lang w:val="en-IE" w:eastAsia="en-GB"/>
        </w:rPr>
        <w:t xml:space="preserve"> than in a surrender request under the 2003 Act</w:t>
      </w:r>
      <w:r w:rsidR="00C6788F">
        <w:rPr>
          <w:rFonts w:ascii="Times New Roman" w:eastAsia="Times New Roman" w:hAnsi="Times New Roman" w:cs="Times New Roman"/>
          <w:iCs/>
          <w:lang w:val="en-IE" w:eastAsia="en-GB"/>
        </w:rPr>
        <w:t>,</w:t>
      </w:r>
      <w:r w:rsidR="007B47D4" w:rsidRPr="00597A71">
        <w:rPr>
          <w:rFonts w:ascii="Times New Roman" w:eastAsia="Times New Roman" w:hAnsi="Times New Roman" w:cs="Times New Roman"/>
          <w:iCs/>
          <w:lang w:val="en-IE" w:eastAsia="en-GB"/>
        </w:rPr>
        <w:t xml:space="preserve"> and thus the presumption may more easily be rebutted.  However, as McKechnie J. in </w:t>
      </w:r>
      <w:r w:rsidR="007B47D4" w:rsidRPr="00597A71">
        <w:rPr>
          <w:rFonts w:ascii="Times New Roman" w:eastAsia="Times New Roman" w:hAnsi="Times New Roman" w:cs="Times New Roman"/>
          <w:i/>
          <w:iCs/>
          <w:lang w:val="en-IE" w:eastAsia="en-GB"/>
        </w:rPr>
        <w:t>Attorney General v</w:t>
      </w:r>
      <w:r w:rsidR="00C6788F">
        <w:rPr>
          <w:rFonts w:ascii="Times New Roman" w:eastAsia="Times New Roman" w:hAnsi="Times New Roman" w:cs="Times New Roman"/>
          <w:i/>
          <w:iCs/>
          <w:lang w:val="en-IE" w:eastAsia="en-GB"/>
        </w:rPr>
        <w:t>.</w:t>
      </w:r>
      <w:r w:rsidR="007B47D4" w:rsidRPr="00597A71">
        <w:rPr>
          <w:rFonts w:ascii="Times New Roman" w:eastAsia="Times New Roman" w:hAnsi="Times New Roman" w:cs="Times New Roman"/>
          <w:i/>
          <w:iCs/>
          <w:lang w:val="en-IE" w:eastAsia="en-GB"/>
        </w:rPr>
        <w:t xml:space="preserve"> Davis</w:t>
      </w:r>
      <w:r w:rsidR="007B47D4" w:rsidRPr="00597A71">
        <w:rPr>
          <w:rFonts w:ascii="Times New Roman" w:eastAsia="Times New Roman" w:hAnsi="Times New Roman" w:cs="Times New Roman"/>
          <w:iCs/>
          <w:lang w:val="en-IE" w:eastAsia="en-GB"/>
        </w:rPr>
        <w:t xml:space="preserve"> stated</w:t>
      </w:r>
      <w:r w:rsidR="00985A3A" w:rsidRPr="00597A71">
        <w:rPr>
          <w:rFonts w:ascii="Times New Roman" w:eastAsia="Times New Roman" w:hAnsi="Times New Roman" w:cs="Times New Roman"/>
          <w:iCs/>
          <w:lang w:val="en-IE" w:eastAsia="en-GB"/>
        </w:rPr>
        <w:t>, the</w:t>
      </w:r>
      <w:r w:rsidR="007B47D4" w:rsidRPr="00597A71">
        <w:rPr>
          <w:rFonts w:ascii="Times New Roman" w:eastAsia="Times New Roman" w:hAnsi="Times New Roman" w:cs="Times New Roman"/>
          <w:iCs/>
          <w:lang w:val="en-IE" w:eastAsia="en-GB"/>
        </w:rPr>
        <w:t xml:space="preserve"> burden remains on the requested person. </w:t>
      </w:r>
    </w:p>
    <w:p w14:paraId="07004D7F" w14:textId="1E9CB44E" w:rsidR="00597A71" w:rsidRPr="00597A71" w:rsidRDefault="007B47D4"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Th</w:t>
      </w:r>
      <w:r w:rsidR="00985A3A" w:rsidRPr="00597A71">
        <w:rPr>
          <w:rFonts w:ascii="Times New Roman" w:eastAsia="Times New Roman" w:hAnsi="Times New Roman" w:cs="Times New Roman"/>
          <w:iCs/>
          <w:lang w:val="en-IE" w:eastAsia="en-GB"/>
        </w:rPr>
        <w:t>e</w:t>
      </w:r>
      <w:r w:rsidRPr="00597A71">
        <w:rPr>
          <w:rFonts w:ascii="Times New Roman" w:eastAsia="Times New Roman" w:hAnsi="Times New Roman" w:cs="Times New Roman"/>
          <w:iCs/>
          <w:lang w:val="en-IE" w:eastAsia="en-GB"/>
        </w:rPr>
        <w:t xml:space="preserve"> principles on which a court in this jurisdiction must act in cases of surrender under the 2003 Act were authoritatively set out by the Supreme Court in </w:t>
      </w:r>
      <w:proofErr w:type="spellStart"/>
      <w:r w:rsidRPr="00597A71">
        <w:rPr>
          <w:rFonts w:ascii="Times New Roman" w:eastAsia="Times New Roman" w:hAnsi="Times New Roman" w:cs="Times New Roman"/>
          <w:i/>
          <w:iCs/>
          <w:lang w:val="en-IE" w:eastAsia="en-GB"/>
        </w:rPr>
        <w:t>Rettinger</w:t>
      </w:r>
      <w:proofErr w:type="spellEnd"/>
      <w:r w:rsidRPr="00597A71">
        <w:rPr>
          <w:rFonts w:ascii="Times New Roman" w:eastAsia="Times New Roman" w:hAnsi="Times New Roman" w:cs="Times New Roman"/>
          <w:iCs/>
          <w:lang w:val="en-IE" w:eastAsia="en-GB"/>
        </w:rPr>
        <w:t xml:space="preserve"> and have become </w:t>
      </w:r>
      <w:r w:rsidRPr="00597A71">
        <w:rPr>
          <w:rFonts w:ascii="Times New Roman" w:eastAsia="Times New Roman" w:hAnsi="Times New Roman" w:cs="Times New Roman"/>
          <w:iCs/>
          <w:lang w:val="en-IE" w:eastAsia="en-GB"/>
        </w:rPr>
        <w:lastRenderedPageBreak/>
        <w:t xml:space="preserve">known as 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Pr="00597A71">
        <w:rPr>
          <w:rFonts w:ascii="Times New Roman" w:eastAsia="Times New Roman" w:hAnsi="Times New Roman" w:cs="Times New Roman"/>
          <w:iCs/>
          <w:lang w:val="en-IE" w:eastAsia="en-GB"/>
        </w:rPr>
        <w:t xml:space="preserve">.  </w:t>
      </w:r>
      <w:r w:rsidR="001B76F7" w:rsidRPr="00597A71">
        <w:rPr>
          <w:rFonts w:ascii="Times New Roman" w:eastAsia="Times New Roman" w:hAnsi="Times New Roman" w:cs="Times New Roman"/>
          <w:iCs/>
          <w:lang w:val="en-IE" w:eastAsia="en-GB"/>
        </w:rPr>
        <w:t>In a case where a requested person claims that he will be at real risk of being subjected to inhuman and degrading treatment on extradition</w:t>
      </w:r>
      <w:r w:rsidR="00C6788F">
        <w:rPr>
          <w:rFonts w:ascii="Times New Roman" w:eastAsia="Times New Roman" w:hAnsi="Times New Roman" w:cs="Times New Roman"/>
          <w:iCs/>
          <w:lang w:val="en-IE" w:eastAsia="en-GB"/>
        </w:rPr>
        <w:t>,</w:t>
      </w:r>
      <w:r w:rsidR="001B76F7" w:rsidRPr="00597A71">
        <w:rPr>
          <w:rFonts w:ascii="Times New Roman" w:eastAsia="Times New Roman" w:hAnsi="Times New Roman" w:cs="Times New Roman"/>
          <w:iCs/>
          <w:lang w:val="en-IE" w:eastAsia="en-GB"/>
        </w:rPr>
        <w:t xml:space="preserve"> the burden is on him to adduce evidence that there are substantial</w:t>
      </w:r>
      <w:r w:rsidRPr="00597A71">
        <w:rPr>
          <w:rFonts w:ascii="Times New Roman" w:eastAsia="Times New Roman" w:hAnsi="Times New Roman" w:cs="Times New Roman"/>
          <w:iCs/>
          <w:lang w:val="en-IE" w:eastAsia="en-GB"/>
        </w:rPr>
        <w:t>/reasonable</w:t>
      </w:r>
      <w:r w:rsidR="001B76F7" w:rsidRPr="00597A71">
        <w:rPr>
          <w:rFonts w:ascii="Times New Roman" w:eastAsia="Times New Roman" w:hAnsi="Times New Roman" w:cs="Times New Roman"/>
          <w:iCs/>
          <w:lang w:val="en-IE" w:eastAsia="en-GB"/>
        </w:rPr>
        <w:t xml:space="preserve"> grounds for so believing that if he is </w:t>
      </w:r>
      <w:proofErr w:type="gramStart"/>
      <w:r w:rsidR="001B76F7" w:rsidRPr="00597A71">
        <w:rPr>
          <w:rFonts w:ascii="Times New Roman" w:eastAsia="Times New Roman" w:hAnsi="Times New Roman" w:cs="Times New Roman"/>
          <w:iCs/>
          <w:lang w:val="en-IE" w:eastAsia="en-GB"/>
        </w:rPr>
        <w:t>returned</w:t>
      </w:r>
      <w:proofErr w:type="gramEnd"/>
      <w:r w:rsidR="001B76F7" w:rsidRPr="00597A71">
        <w:rPr>
          <w:rFonts w:ascii="Times New Roman" w:eastAsia="Times New Roman" w:hAnsi="Times New Roman" w:cs="Times New Roman"/>
          <w:iCs/>
          <w:lang w:val="en-IE" w:eastAsia="en-GB"/>
        </w:rPr>
        <w:t xml:space="preserve"> he will be exposed to a real risk of being subjected to such prohibited treatment.  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001B76F7" w:rsidRPr="00597A71">
        <w:rPr>
          <w:rFonts w:ascii="Times New Roman" w:eastAsia="Times New Roman" w:hAnsi="Times New Roman" w:cs="Times New Roman"/>
          <w:iCs/>
          <w:lang w:val="en-IE" w:eastAsia="en-GB"/>
        </w:rPr>
        <w:t xml:space="preserve">, themselves a reflection of principles in the leading </w:t>
      </w:r>
      <w:r w:rsidR="00C6788F">
        <w:rPr>
          <w:rFonts w:ascii="Times New Roman" w:eastAsia="Times New Roman" w:hAnsi="Times New Roman" w:cs="Times New Roman"/>
          <w:iCs/>
          <w:lang w:val="en-IE" w:eastAsia="en-GB"/>
        </w:rPr>
        <w:t>European Court of Human Rights (“</w:t>
      </w:r>
      <w:r w:rsidR="001B76F7" w:rsidRPr="00597A71">
        <w:rPr>
          <w:rFonts w:ascii="Times New Roman" w:eastAsia="Times New Roman" w:hAnsi="Times New Roman" w:cs="Times New Roman"/>
          <w:iCs/>
          <w:lang w:val="en-IE" w:eastAsia="en-GB"/>
        </w:rPr>
        <w:t>EC</w:t>
      </w:r>
      <w:r w:rsidR="00C6788F">
        <w:rPr>
          <w:rFonts w:ascii="Times New Roman" w:eastAsia="Times New Roman" w:hAnsi="Times New Roman" w:cs="Times New Roman"/>
          <w:iCs/>
          <w:lang w:val="en-IE" w:eastAsia="en-GB"/>
        </w:rPr>
        <w:t>t</w:t>
      </w:r>
      <w:r w:rsidR="001B76F7" w:rsidRPr="00597A71">
        <w:rPr>
          <w:rFonts w:ascii="Times New Roman" w:eastAsia="Times New Roman" w:hAnsi="Times New Roman" w:cs="Times New Roman"/>
          <w:iCs/>
          <w:lang w:val="en-IE" w:eastAsia="en-GB"/>
        </w:rPr>
        <w:t>HR</w:t>
      </w:r>
      <w:r w:rsidR="00C6788F">
        <w:rPr>
          <w:rFonts w:ascii="Times New Roman" w:eastAsia="Times New Roman" w:hAnsi="Times New Roman" w:cs="Times New Roman"/>
          <w:iCs/>
          <w:lang w:val="en-IE" w:eastAsia="en-GB"/>
        </w:rPr>
        <w:t>”)</w:t>
      </w:r>
      <w:r w:rsidR="001B76F7" w:rsidRPr="00597A71">
        <w:rPr>
          <w:rFonts w:ascii="Times New Roman" w:eastAsia="Times New Roman" w:hAnsi="Times New Roman" w:cs="Times New Roman"/>
          <w:iCs/>
          <w:lang w:val="en-IE" w:eastAsia="en-GB"/>
        </w:rPr>
        <w:t xml:space="preserve"> case of </w:t>
      </w:r>
      <w:proofErr w:type="spellStart"/>
      <w:r w:rsidR="001B76F7" w:rsidRPr="00597A71">
        <w:rPr>
          <w:rFonts w:ascii="Times New Roman" w:eastAsia="Times New Roman" w:hAnsi="Times New Roman" w:cs="Times New Roman"/>
          <w:i/>
          <w:iCs/>
          <w:lang w:val="en-IE" w:eastAsia="en-GB"/>
        </w:rPr>
        <w:t>Saadi</w:t>
      </w:r>
      <w:proofErr w:type="spellEnd"/>
      <w:r w:rsidR="001B76F7" w:rsidRPr="00597A71">
        <w:rPr>
          <w:rFonts w:ascii="Times New Roman" w:eastAsia="Times New Roman" w:hAnsi="Times New Roman" w:cs="Times New Roman"/>
          <w:i/>
          <w:iCs/>
          <w:lang w:val="en-IE" w:eastAsia="en-GB"/>
        </w:rPr>
        <w:t xml:space="preserve"> v</w:t>
      </w:r>
      <w:r w:rsidR="00A86194">
        <w:rPr>
          <w:rFonts w:ascii="Times New Roman" w:eastAsia="Times New Roman" w:hAnsi="Times New Roman" w:cs="Times New Roman"/>
          <w:i/>
          <w:iCs/>
          <w:lang w:val="en-IE" w:eastAsia="en-GB"/>
        </w:rPr>
        <w:t>.</w:t>
      </w:r>
      <w:r w:rsidR="001B76F7" w:rsidRPr="00597A71">
        <w:rPr>
          <w:rFonts w:ascii="Times New Roman" w:eastAsia="Times New Roman" w:hAnsi="Times New Roman" w:cs="Times New Roman"/>
          <w:i/>
          <w:iCs/>
          <w:lang w:val="en-IE" w:eastAsia="en-GB"/>
        </w:rPr>
        <w:t xml:space="preserve"> Italy</w:t>
      </w:r>
      <w:r w:rsidR="00A86194">
        <w:rPr>
          <w:rFonts w:ascii="Times New Roman" w:eastAsia="Times New Roman" w:hAnsi="Times New Roman" w:cs="Times New Roman"/>
          <w:iCs/>
          <w:lang w:val="en-IE" w:eastAsia="en-GB"/>
        </w:rPr>
        <w:t xml:space="preserve"> (App. No. 37201/06)</w:t>
      </w:r>
      <w:r w:rsidR="001B76F7" w:rsidRPr="00597A71">
        <w:rPr>
          <w:rFonts w:ascii="Times New Roman" w:eastAsia="Times New Roman" w:hAnsi="Times New Roman" w:cs="Times New Roman"/>
          <w:iCs/>
          <w:lang w:val="en-IE" w:eastAsia="en-GB"/>
        </w:rPr>
        <w:t xml:space="preserve"> </w:t>
      </w:r>
      <w:r w:rsidR="00A86194">
        <w:rPr>
          <w:rFonts w:ascii="Times New Roman" w:eastAsia="Times New Roman" w:hAnsi="Times New Roman" w:cs="Times New Roman"/>
          <w:iCs/>
          <w:lang w:val="en-IE" w:eastAsia="en-GB"/>
        </w:rPr>
        <w:t xml:space="preserve">(2009) 49 EHRR 30 </w:t>
      </w:r>
      <w:r w:rsidR="001B76F7" w:rsidRPr="00597A71">
        <w:rPr>
          <w:rFonts w:ascii="Times New Roman" w:eastAsia="Times New Roman" w:hAnsi="Times New Roman" w:cs="Times New Roman"/>
          <w:iCs/>
          <w:lang w:val="en-IE" w:eastAsia="en-GB"/>
        </w:rPr>
        <w:t xml:space="preserve">apply to extradition requests as well as to </w:t>
      </w:r>
      <w:r w:rsidR="00B61D7F">
        <w:rPr>
          <w:rFonts w:ascii="Times New Roman" w:eastAsia="Times New Roman" w:hAnsi="Times New Roman" w:cs="Times New Roman"/>
          <w:iCs/>
          <w:lang w:val="en-IE" w:eastAsia="en-GB"/>
        </w:rPr>
        <w:t>EAWs</w:t>
      </w:r>
      <w:r w:rsidR="007A5262" w:rsidRPr="00597A71">
        <w:rPr>
          <w:rFonts w:ascii="Times New Roman" w:eastAsia="Times New Roman" w:hAnsi="Times New Roman" w:cs="Times New Roman"/>
          <w:iCs/>
          <w:lang w:val="en-IE" w:eastAsia="en-GB"/>
        </w:rPr>
        <w:t xml:space="preserve">.  This was most recently stated by the Supreme Court in the case of </w:t>
      </w:r>
      <w:r w:rsidR="007A5262" w:rsidRPr="00597A71">
        <w:rPr>
          <w:rFonts w:ascii="Times New Roman" w:eastAsia="Times New Roman" w:hAnsi="Times New Roman" w:cs="Times New Roman"/>
          <w:i/>
          <w:iCs/>
          <w:lang w:val="en-IE" w:eastAsia="en-GB"/>
        </w:rPr>
        <w:t>Attorney General v</w:t>
      </w:r>
      <w:r w:rsidR="00FB0580">
        <w:rPr>
          <w:rFonts w:ascii="Times New Roman" w:eastAsia="Times New Roman" w:hAnsi="Times New Roman" w:cs="Times New Roman"/>
          <w:i/>
          <w:iCs/>
          <w:lang w:val="en-IE" w:eastAsia="en-GB"/>
        </w:rPr>
        <w:t>.</w:t>
      </w:r>
      <w:r w:rsidR="007A5262" w:rsidRPr="00597A71">
        <w:rPr>
          <w:rFonts w:ascii="Times New Roman" w:eastAsia="Times New Roman" w:hAnsi="Times New Roman" w:cs="Times New Roman"/>
          <w:i/>
          <w:iCs/>
          <w:lang w:val="en-IE" w:eastAsia="en-GB"/>
        </w:rPr>
        <w:t xml:space="preserve"> Davis</w:t>
      </w:r>
      <w:r w:rsidR="007A5262" w:rsidRPr="00597A71">
        <w:rPr>
          <w:rFonts w:ascii="Times New Roman" w:eastAsia="Times New Roman" w:hAnsi="Times New Roman" w:cs="Times New Roman"/>
          <w:iCs/>
          <w:lang w:val="en-IE" w:eastAsia="en-GB"/>
        </w:rPr>
        <w:t xml:space="preserve"> where, having considered whether there was a difference between 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007A5262" w:rsidRPr="00597A71">
        <w:rPr>
          <w:rFonts w:ascii="Times New Roman" w:eastAsia="Times New Roman" w:hAnsi="Times New Roman" w:cs="Times New Roman"/>
          <w:iCs/>
          <w:lang w:val="en-IE" w:eastAsia="en-GB"/>
        </w:rPr>
        <w:t xml:space="preserve"> and</w:t>
      </w:r>
      <w:r w:rsidR="006967FB">
        <w:rPr>
          <w:rFonts w:ascii="Times New Roman" w:eastAsia="Times New Roman" w:hAnsi="Times New Roman" w:cs="Times New Roman"/>
          <w:iCs/>
          <w:lang w:val="en-IE" w:eastAsia="en-GB"/>
        </w:rPr>
        <w:t xml:space="preserve"> those gleaned from</w:t>
      </w:r>
      <w:r w:rsidR="007A5262" w:rsidRPr="00597A71">
        <w:rPr>
          <w:rFonts w:ascii="Times New Roman" w:eastAsia="Times New Roman" w:hAnsi="Times New Roman" w:cs="Times New Roman"/>
          <w:iCs/>
          <w:lang w:val="en-IE" w:eastAsia="en-GB"/>
        </w:rPr>
        <w:t xml:space="preserve"> </w:t>
      </w:r>
      <w:proofErr w:type="spellStart"/>
      <w:r w:rsidR="007A5262" w:rsidRPr="00597A71">
        <w:rPr>
          <w:rFonts w:ascii="Times New Roman" w:eastAsia="Times New Roman" w:hAnsi="Times New Roman" w:cs="Times New Roman"/>
          <w:i/>
          <w:iCs/>
          <w:lang w:val="en-IE" w:eastAsia="en-GB"/>
        </w:rPr>
        <w:t>Saadi</w:t>
      </w:r>
      <w:proofErr w:type="spellEnd"/>
      <w:r w:rsidR="007A5262" w:rsidRPr="00597A71">
        <w:rPr>
          <w:rFonts w:ascii="Times New Roman" w:eastAsia="Times New Roman" w:hAnsi="Times New Roman" w:cs="Times New Roman"/>
          <w:i/>
          <w:iCs/>
          <w:lang w:val="en-IE" w:eastAsia="en-GB"/>
        </w:rPr>
        <w:t xml:space="preserve"> v</w:t>
      </w:r>
      <w:r w:rsidR="00FB0580">
        <w:rPr>
          <w:rFonts w:ascii="Times New Roman" w:eastAsia="Times New Roman" w:hAnsi="Times New Roman" w:cs="Times New Roman"/>
          <w:i/>
          <w:iCs/>
          <w:lang w:val="en-IE" w:eastAsia="en-GB"/>
        </w:rPr>
        <w:t>.</w:t>
      </w:r>
      <w:r w:rsidR="007A5262" w:rsidRPr="00597A71">
        <w:rPr>
          <w:rFonts w:ascii="Times New Roman" w:eastAsia="Times New Roman" w:hAnsi="Times New Roman" w:cs="Times New Roman"/>
          <w:i/>
          <w:iCs/>
          <w:lang w:val="en-IE" w:eastAsia="en-GB"/>
        </w:rPr>
        <w:t xml:space="preserve"> Italy</w:t>
      </w:r>
      <w:r w:rsidR="007A5262" w:rsidRPr="00597A71">
        <w:rPr>
          <w:rFonts w:ascii="Times New Roman" w:eastAsia="Times New Roman" w:hAnsi="Times New Roman" w:cs="Times New Roman"/>
          <w:iCs/>
          <w:lang w:val="en-IE" w:eastAsia="en-GB"/>
        </w:rPr>
        <w:t>, McKec</w:t>
      </w:r>
      <w:r w:rsidR="00C6788F">
        <w:rPr>
          <w:rFonts w:ascii="Times New Roman" w:eastAsia="Times New Roman" w:hAnsi="Times New Roman" w:cs="Times New Roman"/>
          <w:iCs/>
          <w:lang w:val="en-IE" w:eastAsia="en-GB"/>
        </w:rPr>
        <w:t>h</w:t>
      </w:r>
      <w:r w:rsidR="007A5262" w:rsidRPr="00597A71">
        <w:rPr>
          <w:rFonts w:ascii="Times New Roman" w:eastAsia="Times New Roman" w:hAnsi="Times New Roman" w:cs="Times New Roman"/>
          <w:iCs/>
          <w:lang w:val="en-IE" w:eastAsia="en-GB"/>
        </w:rPr>
        <w:t>nie J. said:</w:t>
      </w:r>
    </w:p>
    <w:p w14:paraId="31A9AAF3" w14:textId="59AFCD67" w:rsidR="00597A71" w:rsidRPr="00597A71" w:rsidRDefault="007A5262" w:rsidP="00597A71">
      <w:pPr>
        <w:pStyle w:val="ListParagraph"/>
        <w:spacing w:line="480" w:lineRule="auto"/>
        <w:ind w:firstLine="720"/>
        <w:jc w:val="both"/>
        <w:rPr>
          <w:rFonts w:ascii="Times New Roman" w:hAnsi="Times New Roman" w:cs="Times New Roman"/>
        </w:rPr>
      </w:pPr>
      <w:r w:rsidRPr="00597A71">
        <w:rPr>
          <w:rFonts w:ascii="Times New Roman" w:eastAsia="Times New Roman" w:hAnsi="Times New Roman" w:cs="Times New Roman"/>
          <w:iCs/>
          <w:lang w:val="en-IE" w:eastAsia="en-GB"/>
        </w:rPr>
        <w:t>“Accordingly, it is the</w:t>
      </w:r>
      <w:r w:rsidR="006967FB">
        <w:rPr>
          <w:rFonts w:ascii="Times New Roman" w:eastAsia="Times New Roman" w:hAnsi="Times New Roman" w:cs="Times New Roman"/>
          <w:iCs/>
          <w:lang w:val="en-IE" w:eastAsia="en-GB"/>
        </w:rPr>
        <w:t>…</w:t>
      </w:r>
      <w:proofErr w:type="spellStart"/>
      <w:r w:rsidRPr="00597A71">
        <w:rPr>
          <w:rFonts w:ascii="Times New Roman" w:eastAsia="Times New Roman" w:hAnsi="Times New Roman" w:cs="Times New Roman"/>
          <w:i/>
          <w:iCs/>
          <w:lang w:val="en-IE" w:eastAsia="en-GB"/>
        </w:rPr>
        <w:t>Rettinger</w:t>
      </w:r>
      <w:proofErr w:type="spellEnd"/>
      <w:r w:rsidRPr="00597A71">
        <w:rPr>
          <w:rFonts w:ascii="Times New Roman" w:eastAsia="Times New Roman" w:hAnsi="Times New Roman" w:cs="Times New Roman"/>
          <w:iCs/>
          <w:lang w:val="en-IE" w:eastAsia="en-GB"/>
        </w:rPr>
        <w:t xml:space="preserve">…principles, as subsequently explained and adapted in </w:t>
      </w:r>
      <w:r w:rsidRPr="00597A71">
        <w:rPr>
          <w:rFonts w:ascii="Times New Roman" w:eastAsia="Times New Roman" w:hAnsi="Times New Roman" w:cs="Times New Roman"/>
          <w:i/>
          <w:iCs/>
          <w:lang w:val="en-IE" w:eastAsia="en-GB"/>
        </w:rPr>
        <w:t>Attorney General v</w:t>
      </w:r>
      <w:r w:rsidR="00FB0580">
        <w:rPr>
          <w:rFonts w:ascii="Times New Roman" w:eastAsia="Times New Roman" w:hAnsi="Times New Roman" w:cs="Times New Roman"/>
          <w:i/>
          <w:iCs/>
          <w:lang w:val="en-IE" w:eastAsia="en-GB"/>
        </w:rPr>
        <w:t>.</w:t>
      </w:r>
      <w:r w:rsidRPr="00597A71">
        <w:rPr>
          <w:rFonts w:ascii="Times New Roman" w:eastAsia="Times New Roman" w:hAnsi="Times New Roman" w:cs="Times New Roman"/>
          <w:i/>
          <w:iCs/>
          <w:lang w:val="en-IE" w:eastAsia="en-GB"/>
        </w:rPr>
        <w:t xml:space="preserve"> O’Gara</w:t>
      </w:r>
      <w:r w:rsidRPr="00597A71">
        <w:rPr>
          <w:rFonts w:ascii="Times New Roman" w:eastAsia="Times New Roman" w:hAnsi="Times New Roman" w:cs="Times New Roman"/>
          <w:iCs/>
          <w:lang w:val="en-IE" w:eastAsia="en-GB"/>
        </w:rPr>
        <w:t xml:space="preserve">…and </w:t>
      </w:r>
      <w:r w:rsidRPr="00597A71">
        <w:rPr>
          <w:rFonts w:ascii="Times New Roman" w:eastAsia="Times New Roman" w:hAnsi="Times New Roman" w:cs="Times New Roman"/>
          <w:i/>
          <w:iCs/>
          <w:lang w:val="en-IE" w:eastAsia="en-GB"/>
        </w:rPr>
        <w:t>Attorney General v Marques</w:t>
      </w:r>
      <w:r w:rsidR="00FB0580">
        <w:rPr>
          <w:rFonts w:ascii="Times New Roman" w:eastAsia="Times New Roman" w:hAnsi="Times New Roman" w:cs="Times New Roman"/>
          <w:iCs/>
          <w:lang w:val="en-IE" w:eastAsia="en-GB"/>
        </w:rPr>
        <w:t xml:space="preserve"> [2015] IEHC 798…</w:t>
      </w:r>
      <w:r w:rsidRPr="00597A71">
        <w:rPr>
          <w:rFonts w:ascii="Times New Roman" w:eastAsia="Times New Roman" w:hAnsi="Times New Roman" w:cs="Times New Roman"/>
          <w:iCs/>
          <w:lang w:val="en-IE" w:eastAsia="en-GB"/>
        </w:rPr>
        <w:t xml:space="preserve">in relation to extradition to the U.S, which form the applicable test in an </w:t>
      </w:r>
      <w:r w:rsidR="00FB0580">
        <w:rPr>
          <w:rFonts w:ascii="Times New Roman" w:eastAsia="Times New Roman" w:hAnsi="Times New Roman" w:cs="Times New Roman"/>
          <w:iCs/>
          <w:lang w:val="en-IE" w:eastAsia="en-GB"/>
        </w:rPr>
        <w:t>[A]</w:t>
      </w:r>
      <w:proofErr w:type="spellStart"/>
      <w:r w:rsidRPr="00597A71">
        <w:rPr>
          <w:rFonts w:ascii="Times New Roman" w:eastAsia="Times New Roman" w:hAnsi="Times New Roman" w:cs="Times New Roman"/>
          <w:iCs/>
          <w:lang w:val="en-IE" w:eastAsia="en-GB"/>
        </w:rPr>
        <w:t>rticle</w:t>
      </w:r>
      <w:proofErr w:type="spellEnd"/>
      <w:r w:rsidRPr="00597A71">
        <w:rPr>
          <w:rFonts w:ascii="Times New Roman" w:eastAsia="Times New Roman" w:hAnsi="Times New Roman" w:cs="Times New Roman"/>
          <w:iCs/>
          <w:lang w:val="en-IE" w:eastAsia="en-GB"/>
        </w:rPr>
        <w:t xml:space="preserve"> 3 situation: the question, as state</w:t>
      </w:r>
      <w:r w:rsidR="00FB0580">
        <w:rPr>
          <w:rFonts w:ascii="Times New Roman" w:eastAsia="Times New Roman" w:hAnsi="Times New Roman" w:cs="Times New Roman"/>
          <w:iCs/>
          <w:lang w:val="en-IE" w:eastAsia="en-GB"/>
        </w:rPr>
        <w:t>d</w:t>
      </w:r>
      <w:r w:rsidRPr="00597A71">
        <w:rPr>
          <w:rFonts w:ascii="Times New Roman" w:eastAsia="Times New Roman" w:hAnsi="Times New Roman" w:cs="Times New Roman"/>
          <w:iCs/>
          <w:lang w:val="en-IE" w:eastAsia="en-GB"/>
        </w:rPr>
        <w:t xml:space="preserve">, is whether the evidence establishes that there is a real risk that, if surrendered and extradited, the proposed </w:t>
      </w:r>
      <w:proofErr w:type="spellStart"/>
      <w:r w:rsidRPr="00597A71">
        <w:rPr>
          <w:rFonts w:ascii="Times New Roman" w:eastAsia="Times New Roman" w:hAnsi="Times New Roman" w:cs="Times New Roman"/>
          <w:iCs/>
          <w:lang w:val="en-IE" w:eastAsia="en-GB"/>
        </w:rPr>
        <w:t>extradite</w:t>
      </w:r>
      <w:r w:rsidR="00FB0580">
        <w:rPr>
          <w:rFonts w:ascii="Times New Roman" w:eastAsia="Times New Roman" w:hAnsi="Times New Roman" w:cs="Times New Roman"/>
          <w:iCs/>
          <w:lang w:val="en-IE" w:eastAsia="en-GB"/>
        </w:rPr>
        <w:t>e</w:t>
      </w:r>
      <w:proofErr w:type="spellEnd"/>
      <w:r w:rsidRPr="00597A71">
        <w:rPr>
          <w:rFonts w:ascii="Times New Roman" w:eastAsia="Times New Roman" w:hAnsi="Times New Roman" w:cs="Times New Roman"/>
          <w:iCs/>
          <w:lang w:val="en-IE" w:eastAsia="en-GB"/>
        </w:rPr>
        <w:t xml:space="preserve"> will be subjected to torture or inhuman or degrading treatment.  This test applies where the objection raised is based on what is prohibited by that provision, </w:t>
      </w:r>
      <w:r w:rsidR="00FB0580">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w:t>
      </w:r>
      <w:r w:rsidR="00FB0580">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As one can never be definite regarding future events, the aim of the exercise is to measure risk.  This requires a fact-specific inquiry conducted in part against known facts and in part against future events.  The matters for consideration will inevitably be particular to the person concerned and may range over an extensive area; like</w:t>
      </w:r>
      <w:r w:rsidR="00FB0580">
        <w:rPr>
          <w:rFonts w:ascii="Times New Roman" w:eastAsia="Times New Roman" w:hAnsi="Times New Roman" w:cs="Times New Roman"/>
          <w:iCs/>
          <w:lang w:val="en-IE" w:eastAsia="en-GB"/>
        </w:rPr>
        <w:t>wise</w:t>
      </w:r>
      <w:r w:rsidRPr="00597A71">
        <w:rPr>
          <w:rFonts w:ascii="Times New Roman" w:eastAsia="Times New Roman" w:hAnsi="Times New Roman" w:cs="Times New Roman"/>
          <w:iCs/>
          <w:lang w:val="en-IE" w:eastAsia="en-GB"/>
        </w:rPr>
        <w:t xml:space="preserve"> in relation to the prison conditions, and perhaps even in respect of the legal and judicial regimes of his intended destination.  The exercise so conducted should and must be as thorough as the facts and circumstances demand.”</w:t>
      </w:r>
    </w:p>
    <w:p w14:paraId="550FED64" w14:textId="34BD5559" w:rsidR="00597A71" w:rsidRPr="00597A71" w:rsidRDefault="009C38D1"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lastRenderedPageBreak/>
        <w:t>A point to note is that McKech</w:t>
      </w:r>
      <w:r w:rsidR="00FB0580">
        <w:rPr>
          <w:rFonts w:ascii="Times New Roman" w:eastAsia="Times New Roman" w:hAnsi="Times New Roman" w:cs="Times New Roman"/>
          <w:iCs/>
          <w:lang w:val="en-IE" w:eastAsia="en-GB"/>
        </w:rPr>
        <w:t>n</w:t>
      </w:r>
      <w:r w:rsidRPr="00597A71">
        <w:rPr>
          <w:rFonts w:ascii="Times New Roman" w:eastAsia="Times New Roman" w:hAnsi="Times New Roman" w:cs="Times New Roman"/>
          <w:iCs/>
          <w:lang w:val="en-IE" w:eastAsia="en-GB"/>
        </w:rPr>
        <w:t xml:space="preserve">ie J. referred to </w:t>
      </w:r>
      <w:r w:rsidR="00FB0580">
        <w:rPr>
          <w:rFonts w:ascii="Times New Roman" w:eastAsia="Times New Roman" w:hAnsi="Times New Roman" w:cs="Times New Roman"/>
          <w:iCs/>
          <w:lang w:val="en-IE" w:eastAsia="en-GB"/>
        </w:rPr>
        <w:t xml:space="preserve">the fact that </w:t>
      </w:r>
      <w:r w:rsidRPr="00597A71">
        <w:rPr>
          <w:rFonts w:ascii="Times New Roman" w:eastAsia="Times New Roman" w:hAnsi="Times New Roman" w:cs="Times New Roman"/>
          <w:iCs/>
          <w:lang w:val="en-IE" w:eastAsia="en-GB"/>
        </w:rPr>
        <w:t>some authorities us</w:t>
      </w:r>
      <w:r w:rsidR="00031D30">
        <w:rPr>
          <w:rFonts w:ascii="Times New Roman" w:eastAsia="Times New Roman" w:hAnsi="Times New Roman" w:cs="Times New Roman"/>
          <w:iCs/>
          <w:lang w:val="en-IE" w:eastAsia="en-GB"/>
        </w:rPr>
        <w:t>e</w:t>
      </w:r>
      <w:r w:rsidRPr="00597A71">
        <w:rPr>
          <w:rFonts w:ascii="Times New Roman" w:eastAsia="Times New Roman" w:hAnsi="Times New Roman" w:cs="Times New Roman"/>
          <w:iCs/>
          <w:lang w:val="en-IE" w:eastAsia="en-GB"/>
        </w:rPr>
        <w:t xml:space="preserve"> </w:t>
      </w:r>
      <w:r w:rsidR="00FB0580">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substantial grounds</w:t>
      </w:r>
      <w:r w:rsidR="00FB0580">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(the language of </w:t>
      </w:r>
      <w:proofErr w:type="spellStart"/>
      <w:r w:rsidRPr="00597A71">
        <w:rPr>
          <w:rFonts w:ascii="Times New Roman" w:eastAsia="Times New Roman" w:hAnsi="Times New Roman" w:cs="Times New Roman"/>
          <w:i/>
          <w:iCs/>
          <w:lang w:val="en-IE" w:eastAsia="en-GB"/>
        </w:rPr>
        <w:t>Saadi</w:t>
      </w:r>
      <w:proofErr w:type="spellEnd"/>
      <w:r w:rsidRPr="00597A71">
        <w:rPr>
          <w:rFonts w:ascii="Times New Roman" w:eastAsia="Times New Roman" w:hAnsi="Times New Roman" w:cs="Times New Roman"/>
          <w:i/>
          <w:iCs/>
          <w:lang w:val="en-IE" w:eastAsia="en-GB"/>
        </w:rPr>
        <w:t xml:space="preserve"> v</w:t>
      </w:r>
      <w:r w:rsidR="00FB0580">
        <w:rPr>
          <w:rFonts w:ascii="Times New Roman" w:eastAsia="Times New Roman" w:hAnsi="Times New Roman" w:cs="Times New Roman"/>
          <w:i/>
          <w:iCs/>
          <w:lang w:val="en-IE" w:eastAsia="en-GB"/>
        </w:rPr>
        <w:t>.</w:t>
      </w:r>
      <w:r w:rsidRPr="00597A71">
        <w:rPr>
          <w:rFonts w:ascii="Times New Roman" w:eastAsia="Times New Roman" w:hAnsi="Times New Roman" w:cs="Times New Roman"/>
          <w:i/>
          <w:iCs/>
          <w:lang w:val="en-IE" w:eastAsia="en-GB"/>
        </w:rPr>
        <w:t xml:space="preserve"> Italy</w:t>
      </w:r>
      <w:r w:rsidRPr="00597A71">
        <w:rPr>
          <w:rFonts w:ascii="Times New Roman" w:eastAsia="Times New Roman" w:hAnsi="Times New Roman" w:cs="Times New Roman"/>
          <w:iCs/>
          <w:lang w:val="en-IE" w:eastAsia="en-GB"/>
        </w:rPr>
        <w:t xml:space="preserve">) while other authorities use </w:t>
      </w:r>
      <w:r w:rsidR="00FB0580">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reasonable grounds</w:t>
      </w:r>
      <w:r w:rsidR="00FB0580">
        <w:rPr>
          <w:rFonts w:ascii="Times New Roman" w:eastAsia="Times New Roman" w:hAnsi="Times New Roman" w:cs="Times New Roman"/>
          <w:iCs/>
          <w:lang w:val="en-IE" w:eastAsia="en-GB"/>
        </w:rPr>
        <w:t>”</w:t>
      </w:r>
      <w:r w:rsidR="00985A3A" w:rsidRPr="00597A71">
        <w:rPr>
          <w:rFonts w:ascii="Times New Roman" w:eastAsia="Times New Roman" w:hAnsi="Times New Roman" w:cs="Times New Roman"/>
          <w:iCs/>
          <w:lang w:val="en-IE" w:eastAsia="en-GB"/>
        </w:rPr>
        <w:t xml:space="preserve"> (the language of legislation)</w:t>
      </w:r>
      <w:r w:rsidRPr="00597A71">
        <w:rPr>
          <w:rFonts w:ascii="Times New Roman" w:eastAsia="Times New Roman" w:hAnsi="Times New Roman" w:cs="Times New Roman"/>
          <w:iCs/>
          <w:lang w:val="en-IE" w:eastAsia="en-GB"/>
        </w:rPr>
        <w:t>.  He opined that</w:t>
      </w:r>
      <w:r w:rsidR="006967FB">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given the difficulty in obtaining evidence</w:t>
      </w:r>
      <w:r w:rsidR="006967FB">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he prefer</w:t>
      </w:r>
      <w:r w:rsidR="006967FB">
        <w:rPr>
          <w:rFonts w:ascii="Times New Roman" w:eastAsia="Times New Roman" w:hAnsi="Times New Roman" w:cs="Times New Roman"/>
          <w:iCs/>
          <w:lang w:val="en-IE" w:eastAsia="en-GB"/>
        </w:rPr>
        <w:t>red</w:t>
      </w:r>
      <w:r w:rsidRPr="00597A71">
        <w:rPr>
          <w:rFonts w:ascii="Times New Roman" w:eastAsia="Times New Roman" w:hAnsi="Times New Roman" w:cs="Times New Roman"/>
          <w:iCs/>
          <w:lang w:val="en-IE" w:eastAsia="en-GB"/>
        </w:rPr>
        <w:t xml:space="preserve"> the latter although there may be no difference between the two.  Of particular significance to the issue in the present case is the fact that McKechnie J. identified the aim of the exercise as being to measure risk</w:t>
      </w:r>
      <w:r w:rsidR="006967FB">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w:t>
      </w:r>
      <w:r w:rsidR="006967FB">
        <w:rPr>
          <w:rFonts w:ascii="Times New Roman" w:eastAsia="Times New Roman" w:hAnsi="Times New Roman" w:cs="Times New Roman"/>
          <w:iCs/>
          <w:lang w:val="en-IE" w:eastAsia="en-GB"/>
        </w:rPr>
        <w:t>m</w:t>
      </w:r>
      <w:r w:rsidRPr="00597A71">
        <w:rPr>
          <w:rFonts w:ascii="Times New Roman" w:eastAsia="Times New Roman" w:hAnsi="Times New Roman" w:cs="Times New Roman"/>
          <w:iCs/>
          <w:lang w:val="en-IE" w:eastAsia="en-GB"/>
        </w:rPr>
        <w:t>easuring the downstream risks to this appellant is therefore vital.</w:t>
      </w:r>
    </w:p>
    <w:p w14:paraId="5F12E93F" w14:textId="5E801212" w:rsidR="00597A71" w:rsidRPr="00597A71" w:rsidRDefault="009C38D1"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Pr="00597A71">
        <w:rPr>
          <w:rFonts w:ascii="Times New Roman" w:eastAsia="Times New Roman" w:hAnsi="Times New Roman" w:cs="Times New Roman"/>
          <w:iCs/>
          <w:lang w:val="en-IE" w:eastAsia="en-GB"/>
        </w:rPr>
        <w:t xml:space="preserve"> state that a</w:t>
      </w:r>
      <w:r w:rsidR="0032214B" w:rsidRPr="00597A71">
        <w:rPr>
          <w:rFonts w:ascii="Times New Roman" w:eastAsia="Times New Roman" w:hAnsi="Times New Roman" w:cs="Times New Roman"/>
          <w:iCs/>
          <w:lang w:val="en-IE" w:eastAsia="en-GB"/>
        </w:rPr>
        <w:t xml:space="preserve"> requesting State may dispel any doubts by evidence, but this does not mean that the burden has shifted. </w:t>
      </w:r>
      <w:r w:rsidR="001B76F7" w:rsidRPr="00597A71">
        <w:rPr>
          <w:rFonts w:ascii="Times New Roman" w:eastAsia="Times New Roman" w:hAnsi="Times New Roman" w:cs="Times New Roman"/>
          <w:iCs/>
          <w:lang w:val="en-IE" w:eastAsia="en-GB"/>
        </w:rPr>
        <w:t xml:space="preserve"> </w:t>
      </w:r>
      <w:r w:rsidR="0032214B" w:rsidRPr="00597A71">
        <w:rPr>
          <w:rFonts w:ascii="Times New Roman" w:eastAsia="Times New Roman" w:hAnsi="Times New Roman" w:cs="Times New Roman"/>
          <w:iCs/>
          <w:lang w:val="en-IE" w:eastAsia="en-GB"/>
        </w:rPr>
        <w:t xml:space="preserve">The </w:t>
      </w:r>
      <w:r w:rsidRPr="00597A71">
        <w:rPr>
          <w:rFonts w:ascii="Times New Roman" w:eastAsia="Times New Roman" w:hAnsi="Times New Roman" w:cs="Times New Roman"/>
          <w:iCs/>
          <w:lang w:val="en-IE" w:eastAsia="en-GB"/>
        </w:rPr>
        <w:t xml:space="preserve">principles emphasise that </w:t>
      </w:r>
      <w:r w:rsidR="00031D30">
        <w:rPr>
          <w:rFonts w:ascii="Times New Roman" w:eastAsia="Times New Roman" w:hAnsi="Times New Roman" w:cs="Times New Roman"/>
          <w:iCs/>
          <w:lang w:val="en-IE" w:eastAsia="en-GB"/>
        </w:rPr>
        <w:t>a</w:t>
      </w:r>
      <w:r w:rsidRPr="00597A71">
        <w:rPr>
          <w:rFonts w:ascii="Times New Roman" w:eastAsia="Times New Roman" w:hAnsi="Times New Roman" w:cs="Times New Roman"/>
          <w:iCs/>
          <w:lang w:val="en-IE" w:eastAsia="en-GB"/>
        </w:rPr>
        <w:t xml:space="preserve"> c</w:t>
      </w:r>
      <w:r w:rsidR="0032214B" w:rsidRPr="00597A71">
        <w:rPr>
          <w:rFonts w:ascii="Times New Roman" w:eastAsia="Times New Roman" w:hAnsi="Times New Roman" w:cs="Times New Roman"/>
          <w:iCs/>
          <w:lang w:val="en-IE" w:eastAsia="en-GB"/>
        </w:rPr>
        <w:t>ourt has to be forward</w:t>
      </w:r>
      <w:r w:rsidR="00E8763E">
        <w:rPr>
          <w:rFonts w:ascii="Times New Roman" w:eastAsia="Times New Roman" w:hAnsi="Times New Roman" w:cs="Times New Roman"/>
          <w:iCs/>
          <w:lang w:val="en-IE" w:eastAsia="en-GB"/>
        </w:rPr>
        <w:t>-</w:t>
      </w:r>
      <w:r w:rsidR="0032214B" w:rsidRPr="00597A71">
        <w:rPr>
          <w:rFonts w:ascii="Times New Roman" w:eastAsia="Times New Roman" w:hAnsi="Times New Roman" w:cs="Times New Roman"/>
          <w:iCs/>
          <w:lang w:val="en-IE" w:eastAsia="en-GB"/>
        </w:rPr>
        <w:t>looking</w:t>
      </w:r>
      <w:r w:rsidR="00E8763E">
        <w:rPr>
          <w:rFonts w:ascii="Times New Roman" w:eastAsia="Times New Roman" w:hAnsi="Times New Roman" w:cs="Times New Roman"/>
          <w:iCs/>
          <w:lang w:val="en-IE" w:eastAsia="en-GB"/>
        </w:rPr>
        <w:t xml:space="preserve"> in</w:t>
      </w:r>
      <w:r w:rsidR="0032214B" w:rsidRPr="00597A71">
        <w:rPr>
          <w:rFonts w:ascii="Times New Roman" w:eastAsia="Times New Roman" w:hAnsi="Times New Roman" w:cs="Times New Roman"/>
          <w:iCs/>
          <w:lang w:val="en-IE" w:eastAsia="en-GB"/>
        </w:rPr>
        <w:t xml:space="preserve"> assess</w:t>
      </w:r>
      <w:r w:rsidR="00E8763E">
        <w:rPr>
          <w:rFonts w:ascii="Times New Roman" w:eastAsia="Times New Roman" w:hAnsi="Times New Roman" w:cs="Times New Roman"/>
          <w:iCs/>
          <w:lang w:val="en-IE" w:eastAsia="en-GB"/>
        </w:rPr>
        <w:t>ing</w:t>
      </w:r>
      <w:r w:rsidR="0032214B" w:rsidRPr="00597A71">
        <w:rPr>
          <w:rFonts w:ascii="Times New Roman" w:eastAsia="Times New Roman" w:hAnsi="Times New Roman" w:cs="Times New Roman"/>
          <w:iCs/>
          <w:lang w:val="en-IE" w:eastAsia="en-GB"/>
        </w:rPr>
        <w:t xml:space="preserve"> the foreseeable consequences of sending the person to the requesting State</w:t>
      </w:r>
      <w:r w:rsidR="00E8763E">
        <w:rPr>
          <w:rFonts w:ascii="Times New Roman" w:eastAsia="Times New Roman" w:hAnsi="Times New Roman" w:cs="Times New Roman"/>
          <w:iCs/>
          <w:lang w:val="en-IE" w:eastAsia="en-GB"/>
        </w:rPr>
        <w:t>,</w:t>
      </w:r>
      <w:r w:rsidR="0032214B" w:rsidRPr="00597A71">
        <w:rPr>
          <w:rFonts w:ascii="Times New Roman" w:eastAsia="Times New Roman" w:hAnsi="Times New Roman" w:cs="Times New Roman"/>
          <w:iCs/>
          <w:lang w:val="en-IE" w:eastAsia="en-GB"/>
        </w:rPr>
        <w:t xml:space="preserve"> and </w:t>
      </w:r>
      <w:r w:rsidR="00E8763E">
        <w:rPr>
          <w:rFonts w:ascii="Times New Roman" w:eastAsia="Times New Roman" w:hAnsi="Times New Roman" w:cs="Times New Roman"/>
          <w:iCs/>
          <w:lang w:val="en-IE" w:eastAsia="en-GB"/>
        </w:rPr>
        <w:t xml:space="preserve">that </w:t>
      </w:r>
      <w:r w:rsidR="0032214B" w:rsidRPr="00597A71">
        <w:rPr>
          <w:rFonts w:ascii="Times New Roman" w:eastAsia="Times New Roman" w:hAnsi="Times New Roman" w:cs="Times New Roman"/>
          <w:iCs/>
          <w:lang w:val="en-IE" w:eastAsia="en-GB"/>
        </w:rPr>
        <w:t>the mere possibility of ill</w:t>
      </w:r>
      <w:r w:rsidR="00066AD7">
        <w:rPr>
          <w:rFonts w:ascii="Times New Roman" w:eastAsia="Times New Roman" w:hAnsi="Times New Roman" w:cs="Times New Roman"/>
          <w:iCs/>
          <w:lang w:val="en-IE" w:eastAsia="en-GB"/>
        </w:rPr>
        <w:t xml:space="preserve"> </w:t>
      </w:r>
      <w:r w:rsidR="0032214B" w:rsidRPr="00597A71">
        <w:rPr>
          <w:rFonts w:ascii="Times New Roman" w:eastAsia="Times New Roman" w:hAnsi="Times New Roman" w:cs="Times New Roman"/>
          <w:iCs/>
          <w:lang w:val="en-IE" w:eastAsia="en-GB"/>
        </w:rPr>
        <w:t xml:space="preserve">treatment is not sufficient.  </w:t>
      </w:r>
    </w:p>
    <w:p w14:paraId="738B0082" w14:textId="084964B3" w:rsidR="00597A71" w:rsidRPr="00597A71" w:rsidRDefault="00985A3A"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Turning the focus now to </w:t>
      </w:r>
      <w:r w:rsidR="007B47D4" w:rsidRPr="00597A71">
        <w:rPr>
          <w:rFonts w:ascii="Times New Roman" w:eastAsia="Times New Roman" w:hAnsi="Times New Roman" w:cs="Times New Roman"/>
          <w:iCs/>
          <w:lang w:val="en-IE" w:eastAsia="en-GB"/>
        </w:rPr>
        <w:t xml:space="preserve">the case of </w:t>
      </w:r>
      <w:r w:rsidR="007B47D4" w:rsidRPr="00597A71">
        <w:rPr>
          <w:rFonts w:ascii="Times New Roman" w:hAnsi="Times New Roman" w:cs="Times New Roman"/>
          <w:i/>
        </w:rPr>
        <w:t>ML</w:t>
      </w:r>
      <w:r w:rsidR="007B47D4" w:rsidRPr="00EE6DFF">
        <w:rPr>
          <w:rFonts w:ascii="Times New Roman" w:hAnsi="Times New Roman" w:cs="Times New Roman"/>
          <w:iCs/>
        </w:rPr>
        <w:t>,</w:t>
      </w:r>
      <w:r w:rsidR="007B47D4" w:rsidRPr="00597A71">
        <w:rPr>
          <w:rFonts w:ascii="Times New Roman" w:hAnsi="Times New Roman" w:cs="Times New Roman"/>
          <w:i/>
        </w:rPr>
        <w:t xml:space="preserve"> </w:t>
      </w:r>
      <w:r w:rsidR="007B47D4" w:rsidRPr="00597A71">
        <w:rPr>
          <w:rFonts w:ascii="Times New Roman" w:hAnsi="Times New Roman" w:cs="Times New Roman"/>
        </w:rPr>
        <w:t>t</w:t>
      </w:r>
      <w:r w:rsidRPr="00597A71">
        <w:rPr>
          <w:rFonts w:ascii="Times New Roman" w:hAnsi="Times New Roman" w:cs="Times New Roman"/>
        </w:rPr>
        <w:t>he judgment reveals t</w:t>
      </w:r>
      <w:r w:rsidR="007B47D4" w:rsidRPr="00597A71">
        <w:rPr>
          <w:rFonts w:ascii="Times New Roman" w:hAnsi="Times New Roman" w:cs="Times New Roman"/>
        </w:rPr>
        <w:t xml:space="preserve">he </w:t>
      </w:r>
      <w:r w:rsidR="00670AB8" w:rsidRPr="00597A71">
        <w:rPr>
          <w:rFonts w:ascii="Times New Roman" w:hAnsi="Times New Roman" w:cs="Times New Roman"/>
        </w:rPr>
        <w:t xml:space="preserve">emphasis that the </w:t>
      </w:r>
      <w:r w:rsidR="007B47D4" w:rsidRPr="00597A71">
        <w:rPr>
          <w:rFonts w:ascii="Times New Roman" w:hAnsi="Times New Roman" w:cs="Times New Roman"/>
        </w:rPr>
        <w:t xml:space="preserve">CJEU </w:t>
      </w:r>
      <w:r w:rsidR="00670AB8" w:rsidRPr="00597A71">
        <w:rPr>
          <w:rFonts w:ascii="Times New Roman" w:hAnsi="Times New Roman" w:cs="Times New Roman"/>
        </w:rPr>
        <w:t>placed on it</w:t>
      </w:r>
      <w:r w:rsidR="00E8763E">
        <w:rPr>
          <w:rFonts w:ascii="Times New Roman" w:hAnsi="Times New Roman" w:cs="Times New Roman"/>
        </w:rPr>
        <w:t>s</w:t>
      </w:r>
      <w:r w:rsidR="00670AB8" w:rsidRPr="00597A71">
        <w:rPr>
          <w:rFonts w:ascii="Times New Roman" w:hAnsi="Times New Roman" w:cs="Times New Roman"/>
        </w:rPr>
        <w:t xml:space="preserve"> emerging jurisprudence where </w:t>
      </w:r>
      <w:r w:rsidR="0032214B" w:rsidRPr="00597A71">
        <w:rPr>
          <w:rFonts w:ascii="Times New Roman" w:eastAsia="Times New Roman" w:hAnsi="Times New Roman" w:cs="Times New Roman"/>
          <w:iCs/>
          <w:lang w:val="en-IE" w:eastAsia="en-GB"/>
        </w:rPr>
        <w:t xml:space="preserve">issues of a prospective breach of fundamental rights are raised.  Beginning with the decision in </w:t>
      </w:r>
      <w:proofErr w:type="spellStart"/>
      <w:r w:rsidR="0032214B" w:rsidRPr="00597A71">
        <w:rPr>
          <w:rFonts w:ascii="Times New Roman" w:eastAsia="Times New Roman" w:hAnsi="Times New Roman" w:cs="Times New Roman"/>
          <w:i/>
          <w:iCs/>
          <w:lang w:val="en-IE" w:eastAsia="en-GB"/>
        </w:rPr>
        <w:t>Aranyosi</w:t>
      </w:r>
      <w:proofErr w:type="spellEnd"/>
      <w:r w:rsidR="0032214B" w:rsidRPr="00597A71">
        <w:rPr>
          <w:rFonts w:ascii="Times New Roman" w:eastAsia="Times New Roman" w:hAnsi="Times New Roman" w:cs="Times New Roman"/>
          <w:i/>
          <w:iCs/>
          <w:lang w:val="en-IE" w:eastAsia="en-GB"/>
        </w:rPr>
        <w:t xml:space="preserve"> </w:t>
      </w:r>
      <w:r w:rsidR="006A4234">
        <w:rPr>
          <w:rFonts w:ascii="Times New Roman" w:eastAsia="Times New Roman" w:hAnsi="Times New Roman" w:cs="Times New Roman"/>
          <w:i/>
          <w:iCs/>
          <w:lang w:val="en-IE" w:eastAsia="en-GB"/>
        </w:rPr>
        <w:t>and</w:t>
      </w:r>
      <w:r w:rsidR="0032214B" w:rsidRPr="00597A71">
        <w:rPr>
          <w:rFonts w:ascii="Times New Roman" w:eastAsia="Times New Roman" w:hAnsi="Times New Roman" w:cs="Times New Roman"/>
          <w:i/>
          <w:iCs/>
          <w:lang w:val="en-IE" w:eastAsia="en-GB"/>
        </w:rPr>
        <w:t xml:space="preserve"> </w:t>
      </w:r>
      <w:proofErr w:type="spellStart"/>
      <w:r w:rsidR="0032214B" w:rsidRPr="00380908">
        <w:rPr>
          <w:rFonts w:ascii="Times New Roman" w:eastAsia="Times New Roman" w:hAnsi="Times New Roman" w:cs="Times New Roman"/>
          <w:i/>
          <w:iCs/>
          <w:lang w:val="en-IE" w:eastAsia="en-GB"/>
        </w:rPr>
        <w:t>C</w:t>
      </w:r>
      <w:r w:rsidR="00380908" w:rsidRPr="00380908">
        <w:rPr>
          <w:rFonts w:ascii="Times New Roman" w:eastAsia="Times New Roman" w:hAnsi="Times New Roman" w:cs="Times New Roman"/>
          <w:i/>
          <w:iCs/>
          <w:lang w:val="en-IE" w:eastAsia="en-GB"/>
        </w:rPr>
        <w:t>ă</w:t>
      </w:r>
      <w:r w:rsidR="0032214B" w:rsidRPr="00380908">
        <w:rPr>
          <w:rFonts w:ascii="Times New Roman" w:eastAsia="Times New Roman" w:hAnsi="Times New Roman" w:cs="Times New Roman"/>
          <w:i/>
          <w:iCs/>
          <w:lang w:val="en-IE" w:eastAsia="en-GB"/>
        </w:rPr>
        <w:t>ld</w:t>
      </w:r>
      <w:proofErr w:type="spellEnd"/>
      <w:r w:rsidR="00380908" w:rsidRPr="00EE6DFF">
        <w:rPr>
          <w:rFonts w:ascii="Times New Roman" w:hAnsi="Times New Roman" w:cs="Times New Roman"/>
          <w:i/>
          <w:iCs/>
          <w:color w:val="000000"/>
        </w:rPr>
        <w:t>ă</w:t>
      </w:r>
      <w:proofErr w:type="spellStart"/>
      <w:r w:rsidR="0032214B" w:rsidRPr="00380908">
        <w:rPr>
          <w:rFonts w:ascii="Times New Roman" w:eastAsia="Times New Roman" w:hAnsi="Times New Roman" w:cs="Times New Roman"/>
          <w:i/>
          <w:iCs/>
          <w:lang w:val="en-IE" w:eastAsia="en-GB"/>
        </w:rPr>
        <w:t>raru</w:t>
      </w:r>
      <w:proofErr w:type="spellEnd"/>
      <w:r w:rsidR="006A4234">
        <w:rPr>
          <w:rFonts w:ascii="Times New Roman" w:eastAsia="Times New Roman" w:hAnsi="Times New Roman" w:cs="Times New Roman"/>
          <w:i/>
          <w:iCs/>
          <w:lang w:val="en-IE" w:eastAsia="en-GB"/>
        </w:rPr>
        <w:t xml:space="preserve"> </w:t>
      </w:r>
      <w:r w:rsidR="006A4234" w:rsidRPr="00EE6DFF">
        <w:rPr>
          <w:rFonts w:ascii="Times New Roman" w:hAnsi="Times New Roman" w:cs="Times New Roman"/>
          <w:iCs/>
        </w:rPr>
        <w:t>(</w:t>
      </w:r>
      <w:r w:rsidR="00AA0A55">
        <w:rPr>
          <w:rFonts w:ascii="Times New Roman" w:hAnsi="Times New Roman" w:cs="Times New Roman"/>
          <w:iCs/>
        </w:rPr>
        <w:t xml:space="preserve">Joined </w:t>
      </w:r>
      <w:r w:rsidR="006A4234" w:rsidRPr="00EE6DFF">
        <w:rPr>
          <w:rFonts w:ascii="Times New Roman" w:hAnsi="Times New Roman" w:cs="Times New Roman"/>
          <w:iCs/>
        </w:rPr>
        <w:t>Case</w:t>
      </w:r>
      <w:r w:rsidR="00AA0A55">
        <w:rPr>
          <w:rFonts w:ascii="Times New Roman" w:hAnsi="Times New Roman" w:cs="Times New Roman"/>
          <w:iCs/>
        </w:rPr>
        <w:t>s</w:t>
      </w:r>
      <w:r w:rsidR="006A4234" w:rsidRPr="00EE6DFF">
        <w:rPr>
          <w:rFonts w:ascii="Times New Roman" w:hAnsi="Times New Roman" w:cs="Times New Roman"/>
          <w:iCs/>
        </w:rPr>
        <w:t xml:space="preserve"> C-404/15 &amp; C-659/15 PPU) </w:t>
      </w:r>
      <w:r w:rsidR="006A4234">
        <w:rPr>
          <w:rFonts w:ascii="Times New Roman" w:hAnsi="Times New Roman" w:cs="Times New Roman"/>
          <w:iCs/>
        </w:rPr>
        <w:t>EU:C:2016:</w:t>
      </w:r>
      <w:proofErr w:type="gramStart"/>
      <w:r w:rsidR="006A4234">
        <w:rPr>
          <w:rFonts w:ascii="Times New Roman" w:hAnsi="Times New Roman" w:cs="Times New Roman"/>
          <w:iCs/>
        </w:rPr>
        <w:t>198</w:t>
      </w:r>
      <w:r w:rsidR="00031D30">
        <w:rPr>
          <w:rFonts w:ascii="Times New Roman" w:hAnsi="Times New Roman" w:cs="Times New Roman"/>
          <w:iCs/>
        </w:rPr>
        <w:t>,</w:t>
      </w:r>
      <w:r w:rsidR="006A4234">
        <w:rPr>
          <w:rFonts w:ascii="Times New Roman" w:hAnsi="Times New Roman" w:cs="Times New Roman"/>
          <w:iCs/>
        </w:rPr>
        <w:t xml:space="preserve"> </w:t>
      </w:r>
      <w:r w:rsidR="00584E9C" w:rsidRPr="00597A71">
        <w:rPr>
          <w:rFonts w:ascii="Times New Roman" w:eastAsia="Times New Roman" w:hAnsi="Times New Roman" w:cs="Times New Roman"/>
          <w:iCs/>
          <w:lang w:val="en-IE" w:eastAsia="en-GB"/>
        </w:rPr>
        <w:t>and</w:t>
      </w:r>
      <w:proofErr w:type="gramEnd"/>
      <w:r w:rsidR="00584E9C" w:rsidRPr="00597A71">
        <w:rPr>
          <w:rFonts w:ascii="Times New Roman" w:eastAsia="Times New Roman" w:hAnsi="Times New Roman" w:cs="Times New Roman"/>
          <w:iCs/>
          <w:lang w:val="en-IE" w:eastAsia="en-GB"/>
        </w:rPr>
        <w:t xml:space="preserve"> expanded further in the case of </w:t>
      </w:r>
      <w:r w:rsidR="00584E9C" w:rsidRPr="00597A71">
        <w:rPr>
          <w:rFonts w:ascii="Times New Roman" w:eastAsia="Times New Roman" w:hAnsi="Times New Roman" w:cs="Times New Roman"/>
          <w:i/>
          <w:iCs/>
          <w:lang w:val="en-IE" w:eastAsia="en-GB"/>
        </w:rPr>
        <w:t>Minister for Justice (Deficiencies in the System of Justice)</w:t>
      </w:r>
      <w:r w:rsidR="006A4234">
        <w:rPr>
          <w:rFonts w:ascii="Times New Roman" w:eastAsia="Times New Roman" w:hAnsi="Times New Roman" w:cs="Times New Roman"/>
          <w:i/>
          <w:iCs/>
          <w:lang w:val="en-IE" w:eastAsia="en-GB"/>
        </w:rPr>
        <w:t xml:space="preserve"> </w:t>
      </w:r>
      <w:r w:rsidR="006A4234" w:rsidRPr="006A4234">
        <w:rPr>
          <w:rFonts w:ascii="Times New Roman" w:eastAsia="Times New Roman" w:hAnsi="Times New Roman" w:cs="Times New Roman"/>
          <w:lang w:val="en-IE" w:eastAsia="en-GB"/>
        </w:rPr>
        <w:t>(Case C-216/18 PPU) EU</w:t>
      </w:r>
      <w:r w:rsidR="006A4234">
        <w:rPr>
          <w:rFonts w:ascii="Times New Roman" w:eastAsia="Times New Roman" w:hAnsi="Times New Roman" w:cs="Times New Roman"/>
          <w:lang w:val="en-IE" w:eastAsia="en-GB"/>
        </w:rPr>
        <w:t>:C:2018:586</w:t>
      </w:r>
      <w:r w:rsidR="00AF3378" w:rsidRPr="00597A71">
        <w:rPr>
          <w:rFonts w:ascii="Times New Roman" w:eastAsia="Times New Roman" w:hAnsi="Times New Roman" w:cs="Times New Roman"/>
          <w:iCs/>
          <w:lang w:val="en-IE" w:eastAsia="en-GB"/>
        </w:rPr>
        <w:t>, the CJEU set out the steps that a court must take before it could refuse surrender on such grounds.  Th</w:t>
      </w:r>
      <w:r w:rsidR="00CB475D" w:rsidRPr="00597A71">
        <w:rPr>
          <w:rFonts w:ascii="Times New Roman" w:eastAsia="Times New Roman" w:hAnsi="Times New Roman" w:cs="Times New Roman"/>
          <w:iCs/>
          <w:lang w:val="en-IE" w:eastAsia="en-GB"/>
        </w:rPr>
        <w:t xml:space="preserve">e trigger for those steps is objective, </w:t>
      </w:r>
      <w:r w:rsidR="0099095D" w:rsidRPr="00597A71">
        <w:rPr>
          <w:rFonts w:ascii="Times New Roman" w:eastAsia="Times New Roman" w:hAnsi="Times New Roman" w:cs="Times New Roman"/>
          <w:iCs/>
          <w:lang w:val="en-IE" w:eastAsia="en-GB"/>
        </w:rPr>
        <w:t xml:space="preserve">specific, </w:t>
      </w:r>
      <w:r w:rsidR="00CB475D" w:rsidRPr="00597A71">
        <w:rPr>
          <w:rFonts w:ascii="Times New Roman" w:eastAsia="Times New Roman" w:hAnsi="Times New Roman" w:cs="Times New Roman"/>
          <w:iCs/>
          <w:lang w:val="en-IE" w:eastAsia="en-GB"/>
        </w:rPr>
        <w:t xml:space="preserve">reliable </w:t>
      </w:r>
      <w:r w:rsidR="0099095D" w:rsidRPr="00597A71">
        <w:rPr>
          <w:rFonts w:ascii="Times New Roman" w:eastAsia="Times New Roman" w:hAnsi="Times New Roman" w:cs="Times New Roman"/>
          <w:iCs/>
          <w:lang w:val="en-IE" w:eastAsia="en-GB"/>
        </w:rPr>
        <w:t xml:space="preserve">and updated </w:t>
      </w:r>
      <w:r w:rsidR="00CB475D" w:rsidRPr="00597A71">
        <w:rPr>
          <w:rFonts w:ascii="Times New Roman" w:eastAsia="Times New Roman" w:hAnsi="Times New Roman" w:cs="Times New Roman"/>
          <w:iCs/>
          <w:lang w:val="en-IE" w:eastAsia="en-GB"/>
        </w:rPr>
        <w:t xml:space="preserve">information that there are systemic deficiencies in respect of the fundamental human rights protection at issue in the requesting </w:t>
      </w:r>
      <w:r w:rsidR="00031D30">
        <w:rPr>
          <w:rFonts w:ascii="Times New Roman" w:eastAsia="Times New Roman" w:hAnsi="Times New Roman" w:cs="Times New Roman"/>
          <w:iCs/>
          <w:lang w:val="en-IE" w:eastAsia="en-GB"/>
        </w:rPr>
        <w:t>S</w:t>
      </w:r>
      <w:r w:rsidR="00CB475D" w:rsidRPr="00597A71">
        <w:rPr>
          <w:rFonts w:ascii="Times New Roman" w:eastAsia="Times New Roman" w:hAnsi="Times New Roman" w:cs="Times New Roman"/>
          <w:iCs/>
          <w:lang w:val="en-IE" w:eastAsia="en-GB"/>
        </w:rPr>
        <w:t xml:space="preserve">tate.  </w:t>
      </w:r>
      <w:r w:rsidR="0099095D" w:rsidRPr="00597A71">
        <w:rPr>
          <w:rFonts w:ascii="Times New Roman" w:eastAsia="Times New Roman" w:hAnsi="Times New Roman" w:cs="Times New Roman"/>
          <w:iCs/>
          <w:lang w:val="en-IE" w:eastAsia="en-GB"/>
        </w:rPr>
        <w:t>It is then necessary for the court to determine whether there are substantial grounds for believing that the requested person is at risk.  Under the provisions of Article 15 of the Framework Decision</w:t>
      </w:r>
      <w:r w:rsidR="003E1FE7">
        <w:rPr>
          <w:rFonts w:ascii="Times New Roman" w:eastAsia="Times New Roman" w:hAnsi="Times New Roman" w:cs="Times New Roman"/>
          <w:iCs/>
          <w:lang w:val="en-IE" w:eastAsia="en-GB"/>
        </w:rPr>
        <w:t xml:space="preserve"> 2009/299/JHA of 26 February 2009 (“the Framework Decision”)</w:t>
      </w:r>
      <w:r w:rsidR="00B176D7" w:rsidRPr="00597A71">
        <w:rPr>
          <w:rFonts w:ascii="Times New Roman" w:eastAsia="Times New Roman" w:hAnsi="Times New Roman" w:cs="Times New Roman"/>
          <w:iCs/>
          <w:lang w:val="en-IE" w:eastAsia="en-GB"/>
        </w:rPr>
        <w:t>,</w:t>
      </w:r>
      <w:r w:rsidR="0099095D" w:rsidRPr="00597A71">
        <w:rPr>
          <w:rFonts w:ascii="Times New Roman" w:eastAsia="Times New Roman" w:hAnsi="Times New Roman" w:cs="Times New Roman"/>
          <w:iCs/>
          <w:lang w:val="en-IE" w:eastAsia="en-GB"/>
        </w:rPr>
        <w:t xml:space="preserve"> the executing court must request of the issuing judicial authority information concerning the conditions </w:t>
      </w:r>
      <w:r w:rsidR="00B176D7" w:rsidRPr="00597A71">
        <w:rPr>
          <w:rFonts w:ascii="Times New Roman" w:eastAsia="Times New Roman" w:hAnsi="Times New Roman" w:cs="Times New Roman"/>
          <w:iCs/>
          <w:lang w:val="en-IE" w:eastAsia="en-GB"/>
        </w:rPr>
        <w:t xml:space="preserve">in which the requested person may find himself.  This </w:t>
      </w:r>
      <w:r w:rsidR="00B176D7" w:rsidRPr="00597A71">
        <w:rPr>
          <w:rFonts w:ascii="Times New Roman" w:eastAsia="Times New Roman" w:hAnsi="Times New Roman" w:cs="Times New Roman"/>
          <w:iCs/>
          <w:lang w:val="en-IE" w:eastAsia="en-GB"/>
        </w:rPr>
        <w:lastRenderedPageBreak/>
        <w:t>type of j</w:t>
      </w:r>
      <w:r w:rsidR="00CB475D" w:rsidRPr="00597A71">
        <w:rPr>
          <w:rFonts w:ascii="Times New Roman" w:eastAsia="Times New Roman" w:hAnsi="Times New Roman" w:cs="Times New Roman"/>
          <w:iCs/>
          <w:lang w:val="en-IE" w:eastAsia="en-GB"/>
        </w:rPr>
        <w:t xml:space="preserve">udicial dialogue is </w:t>
      </w:r>
      <w:r w:rsidR="00B176D7" w:rsidRPr="00597A71">
        <w:rPr>
          <w:rFonts w:ascii="Times New Roman" w:eastAsia="Times New Roman" w:hAnsi="Times New Roman" w:cs="Times New Roman"/>
          <w:iCs/>
          <w:lang w:val="en-IE" w:eastAsia="en-GB"/>
        </w:rPr>
        <w:t xml:space="preserve">similar to that opportunity to be given to the Minister (by returning to the issuing </w:t>
      </w:r>
      <w:r w:rsidR="00E65E07">
        <w:rPr>
          <w:rFonts w:ascii="Times New Roman" w:eastAsia="Times New Roman" w:hAnsi="Times New Roman" w:cs="Times New Roman"/>
          <w:iCs/>
          <w:lang w:val="en-IE" w:eastAsia="en-GB"/>
        </w:rPr>
        <w:t>S</w:t>
      </w:r>
      <w:r w:rsidR="00B176D7" w:rsidRPr="00597A71">
        <w:rPr>
          <w:rFonts w:ascii="Times New Roman" w:eastAsia="Times New Roman" w:hAnsi="Times New Roman" w:cs="Times New Roman"/>
          <w:iCs/>
          <w:lang w:val="en-IE" w:eastAsia="en-GB"/>
        </w:rPr>
        <w:t>tate for information) to dispel any doubts</w:t>
      </w:r>
      <w:r w:rsidR="006967FB">
        <w:rPr>
          <w:rFonts w:ascii="Times New Roman" w:eastAsia="Times New Roman" w:hAnsi="Times New Roman" w:cs="Times New Roman"/>
          <w:iCs/>
          <w:lang w:val="en-IE" w:eastAsia="en-GB"/>
        </w:rPr>
        <w:t>,</w:t>
      </w:r>
      <w:r w:rsidR="00B176D7" w:rsidRPr="00597A71">
        <w:rPr>
          <w:rFonts w:ascii="Times New Roman" w:eastAsia="Times New Roman" w:hAnsi="Times New Roman" w:cs="Times New Roman"/>
          <w:iCs/>
          <w:lang w:val="en-IE" w:eastAsia="en-GB"/>
        </w:rPr>
        <w:t xml:space="preserve"> as set out in the </w:t>
      </w:r>
      <w:proofErr w:type="spellStart"/>
      <w:r w:rsidRPr="00597A71">
        <w:rPr>
          <w:rFonts w:ascii="Times New Roman" w:eastAsia="Times New Roman" w:hAnsi="Times New Roman" w:cs="Times New Roman"/>
          <w:i/>
          <w:iCs/>
          <w:lang w:val="en-IE" w:eastAsia="en-GB"/>
        </w:rPr>
        <w:t>Rettinger</w:t>
      </w:r>
      <w:proofErr w:type="spellEnd"/>
      <w:r w:rsidRPr="00597A71">
        <w:rPr>
          <w:rFonts w:ascii="Times New Roman" w:eastAsia="Times New Roman" w:hAnsi="Times New Roman" w:cs="Times New Roman"/>
          <w:i/>
          <w:iCs/>
          <w:lang w:val="en-IE" w:eastAsia="en-GB"/>
        </w:rPr>
        <w:t xml:space="preserve"> </w:t>
      </w:r>
      <w:r w:rsidRPr="00597A71">
        <w:rPr>
          <w:rFonts w:ascii="Times New Roman" w:eastAsia="Times New Roman" w:hAnsi="Times New Roman" w:cs="Times New Roman"/>
          <w:iCs/>
          <w:lang w:val="en-IE" w:eastAsia="en-GB"/>
        </w:rPr>
        <w:t>principles</w:t>
      </w:r>
      <w:r w:rsidR="00B176D7" w:rsidRPr="00597A71">
        <w:rPr>
          <w:rFonts w:ascii="Times New Roman" w:eastAsia="Times New Roman" w:hAnsi="Times New Roman" w:cs="Times New Roman"/>
          <w:iCs/>
          <w:lang w:val="en-IE" w:eastAsia="en-GB"/>
        </w:rPr>
        <w:t>.</w:t>
      </w:r>
    </w:p>
    <w:p w14:paraId="369F6746" w14:textId="054F5FF6" w:rsidR="00597A71" w:rsidRPr="00597A71" w:rsidRDefault="00B176D7"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trigger for seeking further information from a requesting </w:t>
      </w:r>
      <w:r w:rsidR="00E65E07">
        <w:rPr>
          <w:rFonts w:ascii="Times New Roman" w:eastAsia="Times New Roman" w:hAnsi="Times New Roman" w:cs="Times New Roman"/>
          <w:iCs/>
          <w:lang w:val="en-IE" w:eastAsia="en-GB"/>
        </w:rPr>
        <w:t>S</w:t>
      </w:r>
      <w:r w:rsidRPr="00597A71">
        <w:rPr>
          <w:rFonts w:ascii="Times New Roman" w:eastAsia="Times New Roman" w:hAnsi="Times New Roman" w:cs="Times New Roman"/>
          <w:iCs/>
          <w:lang w:val="en-IE" w:eastAsia="en-GB"/>
        </w:rPr>
        <w:t>tate is not “evidence of a possible systemic and ongoing violation”</w:t>
      </w:r>
      <w:r w:rsidR="0072140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as the appellant</w:t>
      </w:r>
      <w:r w:rsidR="006967FB">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w:t>
      </w:r>
      <w:r w:rsidR="007B47D4" w:rsidRPr="00597A71">
        <w:rPr>
          <w:rFonts w:ascii="Times New Roman" w:eastAsia="Times New Roman" w:hAnsi="Times New Roman" w:cs="Times New Roman"/>
          <w:iCs/>
          <w:lang w:val="en-IE" w:eastAsia="en-GB"/>
        </w:rPr>
        <w:t>in submissions</w:t>
      </w:r>
      <w:r w:rsidR="006967FB">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interpreted the CJEU as stating.  On the contrary, the jurisprudence of the CJEU is </w:t>
      </w:r>
      <w:r w:rsidR="00D11E96" w:rsidRPr="00597A71">
        <w:rPr>
          <w:rFonts w:ascii="Times New Roman" w:eastAsia="Times New Roman" w:hAnsi="Times New Roman" w:cs="Times New Roman"/>
          <w:iCs/>
          <w:lang w:val="en-IE" w:eastAsia="en-GB"/>
        </w:rPr>
        <w:t>abundantly clear that the principle</w:t>
      </w:r>
      <w:r w:rsidR="000F1ABD">
        <w:rPr>
          <w:rFonts w:ascii="Times New Roman" w:eastAsia="Times New Roman" w:hAnsi="Times New Roman" w:cs="Times New Roman"/>
          <w:iCs/>
          <w:lang w:val="en-IE" w:eastAsia="en-GB"/>
        </w:rPr>
        <w:t>s</w:t>
      </w:r>
      <w:r w:rsidR="00D11E96" w:rsidRPr="00597A71">
        <w:rPr>
          <w:rFonts w:ascii="Times New Roman" w:eastAsia="Times New Roman" w:hAnsi="Times New Roman" w:cs="Times New Roman"/>
          <w:iCs/>
          <w:lang w:val="en-IE" w:eastAsia="en-GB"/>
        </w:rPr>
        <w:t xml:space="preserve"> of mutual trust and recognition do not permit a refusal to surrender save in exceptional circumstances.  It is only where evidence </w:t>
      </w:r>
      <w:r w:rsidR="00E767BC" w:rsidRPr="00597A71">
        <w:rPr>
          <w:rFonts w:ascii="Times New Roman" w:eastAsia="Times New Roman" w:hAnsi="Times New Roman" w:cs="Times New Roman"/>
          <w:iCs/>
          <w:lang w:val="en-IE" w:eastAsia="en-GB"/>
        </w:rPr>
        <w:t xml:space="preserve">is presented </w:t>
      </w:r>
      <w:r w:rsidR="00D11E96" w:rsidRPr="00597A71">
        <w:rPr>
          <w:rFonts w:ascii="Times New Roman" w:hAnsi="Times New Roman" w:cs="Times New Roman"/>
          <w:color w:val="000000"/>
        </w:rPr>
        <w:t>that is objective, reliable, specific and properly updated</w:t>
      </w:r>
      <w:r w:rsidR="0072140C">
        <w:rPr>
          <w:rFonts w:ascii="Times New Roman" w:hAnsi="Times New Roman" w:cs="Times New Roman"/>
          <w:color w:val="000000"/>
        </w:rPr>
        <w:t>,</w:t>
      </w:r>
      <w:r w:rsidR="00D11E96" w:rsidRPr="00597A71">
        <w:rPr>
          <w:rFonts w:ascii="Times New Roman" w:hAnsi="Times New Roman" w:cs="Times New Roman"/>
          <w:color w:val="000000"/>
        </w:rPr>
        <w:t xml:space="preserve"> concerning the detention conditions within the prisons of the issuing Member State that </w:t>
      </w:r>
      <w:r w:rsidR="00D11E96" w:rsidRPr="00597A71">
        <w:rPr>
          <w:rFonts w:ascii="Times New Roman" w:hAnsi="Times New Roman" w:cs="Times New Roman"/>
          <w:color w:val="000000"/>
          <w:u w:val="single"/>
        </w:rPr>
        <w:t>demonstrates</w:t>
      </w:r>
      <w:r w:rsidR="00D11E96" w:rsidRPr="00597A71">
        <w:rPr>
          <w:rFonts w:ascii="Times New Roman" w:hAnsi="Times New Roman" w:cs="Times New Roman"/>
          <w:color w:val="000000"/>
        </w:rPr>
        <w:t xml:space="preserve"> that there are deficiencies, which may be systemic or generalised, or which may affect certain groups of people, or which may affect certain places of detention, </w:t>
      </w:r>
      <w:r w:rsidR="00E767BC" w:rsidRPr="00597A71">
        <w:rPr>
          <w:rFonts w:ascii="Times New Roman" w:hAnsi="Times New Roman" w:cs="Times New Roman"/>
          <w:color w:val="000000"/>
        </w:rPr>
        <w:t>will there be</w:t>
      </w:r>
      <w:r w:rsidR="00D11E96" w:rsidRPr="00597A71">
        <w:rPr>
          <w:rFonts w:ascii="Times New Roman" w:hAnsi="Times New Roman" w:cs="Times New Roman"/>
          <w:color w:val="000000"/>
        </w:rPr>
        <w:t xml:space="preserve"> a requirement to </w:t>
      </w:r>
      <w:r w:rsidR="00E767BC" w:rsidRPr="00597A71">
        <w:rPr>
          <w:rFonts w:ascii="Times New Roman" w:hAnsi="Times New Roman" w:cs="Times New Roman"/>
          <w:color w:val="000000"/>
        </w:rPr>
        <w:t>enter into the second step of seeking information as to the conditions in which the requested person will be held</w:t>
      </w:r>
      <w:r w:rsidR="00D60E9B" w:rsidRPr="00597A71">
        <w:rPr>
          <w:rFonts w:ascii="Times New Roman" w:hAnsi="Times New Roman" w:cs="Times New Roman"/>
          <w:color w:val="000000"/>
        </w:rPr>
        <w:t xml:space="preserve"> (</w:t>
      </w:r>
      <w:r w:rsidR="00B61D7F" w:rsidRPr="00EE6DFF">
        <w:rPr>
          <w:rFonts w:ascii="Times New Roman" w:hAnsi="Times New Roman" w:cs="Times New Roman"/>
          <w:color w:val="000000"/>
          <w:u w:val="single"/>
        </w:rPr>
        <w:t>emphasis</w:t>
      </w:r>
      <w:r w:rsidR="00B61D7F" w:rsidRPr="005152CE">
        <w:rPr>
          <w:rFonts w:ascii="Times New Roman" w:hAnsi="Times New Roman" w:cs="Times New Roman"/>
          <w:color w:val="000000"/>
        </w:rPr>
        <w:t xml:space="preserve"> </w:t>
      </w:r>
      <w:r w:rsidR="00D60E9B" w:rsidRPr="00597A71">
        <w:rPr>
          <w:rFonts w:ascii="Times New Roman" w:hAnsi="Times New Roman" w:cs="Times New Roman"/>
          <w:color w:val="000000"/>
        </w:rPr>
        <w:t>added)</w:t>
      </w:r>
      <w:r w:rsidR="00D11E96" w:rsidRPr="00597A71">
        <w:rPr>
          <w:rFonts w:ascii="Times New Roman" w:hAnsi="Times New Roman" w:cs="Times New Roman"/>
          <w:color w:val="000000"/>
        </w:rPr>
        <w:t xml:space="preserve">.  That is a </w:t>
      </w:r>
      <w:r w:rsidR="007B47D4" w:rsidRPr="00597A71">
        <w:rPr>
          <w:rFonts w:ascii="Times New Roman" w:hAnsi="Times New Roman" w:cs="Times New Roman"/>
          <w:color w:val="000000"/>
        </w:rPr>
        <w:t xml:space="preserve">high burden which must be based upon </w:t>
      </w:r>
      <w:r w:rsidR="00D11E96" w:rsidRPr="00597A71">
        <w:rPr>
          <w:rFonts w:ascii="Times New Roman" w:hAnsi="Times New Roman" w:cs="Times New Roman"/>
          <w:color w:val="000000"/>
        </w:rPr>
        <w:t xml:space="preserve">evidence </w:t>
      </w:r>
      <w:r w:rsidR="00E767BC" w:rsidRPr="00597A71">
        <w:rPr>
          <w:rFonts w:ascii="Times New Roman" w:hAnsi="Times New Roman" w:cs="Times New Roman"/>
          <w:color w:val="000000"/>
        </w:rPr>
        <w:t xml:space="preserve">of particular weight. It is </w:t>
      </w:r>
      <w:r w:rsidR="00D11E96" w:rsidRPr="00597A71">
        <w:rPr>
          <w:rFonts w:ascii="Times New Roman" w:hAnsi="Times New Roman" w:cs="Times New Roman"/>
          <w:color w:val="000000"/>
        </w:rPr>
        <w:t>far from th</w:t>
      </w:r>
      <w:r w:rsidR="00D60E9B" w:rsidRPr="00597A71">
        <w:rPr>
          <w:rFonts w:ascii="Times New Roman" w:hAnsi="Times New Roman" w:cs="Times New Roman"/>
          <w:color w:val="000000"/>
        </w:rPr>
        <w:t>e situation</w:t>
      </w:r>
      <w:r w:rsidR="00D11E96" w:rsidRPr="00597A71">
        <w:rPr>
          <w:rFonts w:ascii="Times New Roman" w:hAnsi="Times New Roman" w:cs="Times New Roman"/>
          <w:color w:val="000000"/>
        </w:rPr>
        <w:t xml:space="preserve"> posited by the appellant in his submissions</w:t>
      </w:r>
      <w:r w:rsidR="0072140C">
        <w:rPr>
          <w:rFonts w:ascii="Times New Roman" w:hAnsi="Times New Roman" w:cs="Times New Roman"/>
          <w:color w:val="000000"/>
        </w:rPr>
        <w:t>,</w:t>
      </w:r>
      <w:r w:rsidR="00D11E96" w:rsidRPr="00597A71">
        <w:rPr>
          <w:rFonts w:ascii="Times New Roman" w:hAnsi="Times New Roman" w:cs="Times New Roman"/>
          <w:color w:val="000000"/>
        </w:rPr>
        <w:t xml:space="preserve"> </w:t>
      </w:r>
      <w:r w:rsidR="00D11E96" w:rsidRPr="00EE6DFF">
        <w:rPr>
          <w:rFonts w:ascii="Times New Roman" w:hAnsi="Times New Roman" w:cs="Times New Roman"/>
          <w:i/>
          <w:iCs/>
          <w:color w:val="000000"/>
        </w:rPr>
        <w:t>i.e.</w:t>
      </w:r>
      <w:r w:rsidR="00D11E96" w:rsidRPr="00597A71">
        <w:rPr>
          <w:rFonts w:ascii="Times New Roman" w:hAnsi="Times New Roman" w:cs="Times New Roman"/>
          <w:color w:val="000000"/>
        </w:rPr>
        <w:t xml:space="preserve"> that of “possible” violations.  Apart from not being an accurate reflection of the two</w:t>
      </w:r>
      <w:r w:rsidR="008E6B8A" w:rsidRPr="00597A71">
        <w:rPr>
          <w:rFonts w:ascii="Times New Roman" w:hAnsi="Times New Roman" w:cs="Times New Roman"/>
          <w:color w:val="000000"/>
        </w:rPr>
        <w:t>-</w:t>
      </w:r>
      <w:r w:rsidR="00D11E96" w:rsidRPr="00597A71">
        <w:rPr>
          <w:rFonts w:ascii="Times New Roman" w:hAnsi="Times New Roman" w:cs="Times New Roman"/>
          <w:color w:val="000000"/>
        </w:rPr>
        <w:t>step procedure set out by the CJEU, the submission does not reflect the</w:t>
      </w:r>
      <w:r w:rsidR="00D60E9B" w:rsidRPr="00597A71">
        <w:rPr>
          <w:rFonts w:ascii="Times New Roman" w:hAnsi="Times New Roman" w:cs="Times New Roman"/>
          <w:color w:val="000000"/>
        </w:rPr>
        <w:t xml:space="preserve"> intention of the</w:t>
      </w:r>
      <w:r w:rsidR="00D11E96" w:rsidRPr="00597A71">
        <w:rPr>
          <w:rFonts w:ascii="Times New Roman" w:hAnsi="Times New Roman" w:cs="Times New Roman"/>
          <w:color w:val="000000"/>
        </w:rPr>
        <w:t xml:space="preserve"> </w:t>
      </w:r>
      <w:proofErr w:type="spellStart"/>
      <w:r w:rsidR="00985A3A" w:rsidRPr="00597A71">
        <w:rPr>
          <w:rFonts w:ascii="Times New Roman" w:hAnsi="Times New Roman" w:cs="Times New Roman"/>
          <w:i/>
          <w:color w:val="000000"/>
        </w:rPr>
        <w:t>Rettinger</w:t>
      </w:r>
      <w:proofErr w:type="spellEnd"/>
      <w:r w:rsidR="00985A3A" w:rsidRPr="00597A71">
        <w:rPr>
          <w:rFonts w:ascii="Times New Roman" w:hAnsi="Times New Roman" w:cs="Times New Roman"/>
          <w:i/>
          <w:color w:val="000000"/>
        </w:rPr>
        <w:t xml:space="preserve"> </w:t>
      </w:r>
      <w:r w:rsidR="00985A3A" w:rsidRPr="00597A71">
        <w:rPr>
          <w:rFonts w:ascii="Times New Roman" w:hAnsi="Times New Roman" w:cs="Times New Roman"/>
          <w:color w:val="000000"/>
        </w:rPr>
        <w:t>principles</w:t>
      </w:r>
      <w:r w:rsidR="00D11E96" w:rsidRPr="00597A71">
        <w:rPr>
          <w:rFonts w:ascii="Times New Roman" w:hAnsi="Times New Roman" w:cs="Times New Roman"/>
          <w:color w:val="000000"/>
        </w:rPr>
        <w:t>, which</w:t>
      </w:r>
      <w:r w:rsidR="0072140C">
        <w:rPr>
          <w:rFonts w:ascii="Times New Roman" w:hAnsi="Times New Roman" w:cs="Times New Roman"/>
          <w:color w:val="000000"/>
        </w:rPr>
        <w:t>,</w:t>
      </w:r>
      <w:r w:rsidR="00D11E96" w:rsidRPr="00597A71">
        <w:rPr>
          <w:rFonts w:ascii="Times New Roman" w:hAnsi="Times New Roman" w:cs="Times New Roman"/>
          <w:color w:val="000000"/>
        </w:rPr>
        <w:t xml:space="preserve"> as stated</w:t>
      </w:r>
      <w:r w:rsidR="00D60E9B" w:rsidRPr="00597A71">
        <w:rPr>
          <w:rFonts w:ascii="Times New Roman" w:hAnsi="Times New Roman" w:cs="Times New Roman"/>
          <w:color w:val="000000"/>
        </w:rPr>
        <w:t>,</w:t>
      </w:r>
      <w:r w:rsidR="00D11E96" w:rsidRPr="00597A71">
        <w:rPr>
          <w:rFonts w:ascii="Times New Roman" w:hAnsi="Times New Roman" w:cs="Times New Roman"/>
          <w:color w:val="000000"/>
        </w:rPr>
        <w:t xml:space="preserve"> apply to extradition requests under the 1965 Act.</w:t>
      </w:r>
      <w:r w:rsidR="00D11E96" w:rsidRPr="00597A71">
        <w:rPr>
          <w:rFonts w:ascii="Times New Roman" w:eastAsia="Times New Roman" w:hAnsi="Times New Roman" w:cs="Times New Roman"/>
          <w:iCs/>
          <w:lang w:val="en-IE" w:eastAsia="en-GB"/>
        </w:rPr>
        <w:t xml:space="preserve"> </w:t>
      </w:r>
      <w:r w:rsidR="00D60E9B" w:rsidRPr="00597A71">
        <w:rPr>
          <w:rFonts w:ascii="Times New Roman" w:eastAsia="Times New Roman" w:hAnsi="Times New Roman" w:cs="Times New Roman"/>
          <w:iCs/>
          <w:lang w:val="en-IE" w:eastAsia="en-GB"/>
        </w:rPr>
        <w:t xml:space="preserve"> Those principles addressed the burden on the requested person and the nature of the material to which the court may attach importance.</w:t>
      </w:r>
    </w:p>
    <w:p w14:paraId="1C49BF93" w14:textId="242D3982" w:rsidR="00597A71" w:rsidRPr="00597A71" w:rsidRDefault="00B44444"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As </w:t>
      </w:r>
      <w:r w:rsidR="00ED05A9" w:rsidRPr="00597A71">
        <w:rPr>
          <w:rFonts w:ascii="Times New Roman" w:eastAsia="Times New Roman" w:hAnsi="Times New Roman" w:cs="Times New Roman"/>
          <w:iCs/>
          <w:lang w:val="en-IE" w:eastAsia="en-GB"/>
        </w:rPr>
        <w:t xml:space="preserve">to the </w:t>
      </w:r>
      <w:r w:rsidRPr="00597A71">
        <w:rPr>
          <w:rFonts w:ascii="Times New Roman" w:eastAsia="Times New Roman" w:hAnsi="Times New Roman" w:cs="Times New Roman"/>
          <w:iCs/>
          <w:lang w:val="en-IE" w:eastAsia="en-GB"/>
        </w:rPr>
        <w:t>evidence</w:t>
      </w:r>
      <w:r w:rsidR="00ED05A9" w:rsidRPr="00597A71">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prov</w:t>
      </w:r>
      <w:r w:rsidR="00AA0A55">
        <w:rPr>
          <w:rFonts w:ascii="Times New Roman" w:eastAsia="Times New Roman" w:hAnsi="Times New Roman" w:cs="Times New Roman"/>
          <w:iCs/>
          <w:lang w:val="en-IE" w:eastAsia="en-GB"/>
        </w:rPr>
        <w:t>ing</w:t>
      </w:r>
      <w:r w:rsidRPr="00597A71">
        <w:rPr>
          <w:rFonts w:ascii="Times New Roman" w:eastAsia="Times New Roman" w:hAnsi="Times New Roman" w:cs="Times New Roman"/>
          <w:iCs/>
          <w:lang w:val="en-IE" w:eastAsia="en-GB"/>
        </w:rPr>
        <w:t xml:space="preserve"> systemic or generalised deficiencies, the CJEU</w:t>
      </w:r>
      <w:r w:rsidR="00D60E9B" w:rsidRPr="00597A71">
        <w:rPr>
          <w:rFonts w:ascii="Times New Roman" w:eastAsia="Times New Roman" w:hAnsi="Times New Roman" w:cs="Times New Roman"/>
          <w:iCs/>
          <w:lang w:val="en-IE" w:eastAsia="en-GB"/>
        </w:rPr>
        <w:t xml:space="preserve"> jurisprudence</w:t>
      </w:r>
      <w:r w:rsidRPr="00597A71">
        <w:rPr>
          <w:rFonts w:ascii="Times New Roman" w:eastAsia="Times New Roman" w:hAnsi="Times New Roman" w:cs="Times New Roman"/>
          <w:iCs/>
          <w:lang w:val="en-IE" w:eastAsia="en-GB"/>
        </w:rPr>
        <w:t xml:space="preserve"> places significant emphasis on the requirement that it </w:t>
      </w:r>
      <w:r w:rsidR="00ED05A9" w:rsidRPr="00597A71">
        <w:rPr>
          <w:rFonts w:ascii="Times New Roman" w:eastAsia="Times New Roman" w:hAnsi="Times New Roman" w:cs="Times New Roman"/>
          <w:iCs/>
          <w:lang w:val="en-IE" w:eastAsia="en-GB"/>
        </w:rPr>
        <w:t>be</w:t>
      </w:r>
      <w:r w:rsidRPr="00597A71">
        <w:rPr>
          <w:rFonts w:ascii="Times New Roman" w:eastAsia="Times New Roman" w:hAnsi="Times New Roman" w:cs="Times New Roman"/>
          <w:iCs/>
          <w:lang w:val="en-IE" w:eastAsia="en-GB"/>
        </w:rPr>
        <w:t xml:space="preserve"> “objective, reliable, specific and properly updated”</w:t>
      </w:r>
      <w:r w:rsidR="0072140C">
        <w:rPr>
          <w:rFonts w:ascii="Times New Roman" w:eastAsia="Times New Roman" w:hAnsi="Times New Roman" w:cs="Times New Roman"/>
          <w:iCs/>
          <w:lang w:val="en-IE" w:eastAsia="en-GB"/>
        </w:rPr>
        <w:t xml:space="preserve"> (para. 60 </w:t>
      </w:r>
      <w:r w:rsidR="0072140C">
        <w:rPr>
          <w:rFonts w:ascii="Times New Roman" w:eastAsia="Times New Roman" w:hAnsi="Times New Roman" w:cs="Times New Roman"/>
          <w:i/>
          <w:lang w:val="en-IE" w:eastAsia="en-GB"/>
        </w:rPr>
        <w:t>ML</w:t>
      </w:r>
      <w:r w:rsidR="0072140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w:t>
      </w:r>
      <w:r w:rsidR="00ED05A9" w:rsidRPr="00597A71">
        <w:rPr>
          <w:rFonts w:ascii="Times New Roman" w:eastAsia="Times New Roman" w:hAnsi="Times New Roman" w:cs="Times New Roman"/>
          <w:iCs/>
          <w:lang w:val="en-IE" w:eastAsia="en-GB"/>
        </w:rPr>
        <w:t xml:space="preserve">The type of evidence referred to by the </w:t>
      </w:r>
      <w:r w:rsidRPr="00597A71">
        <w:rPr>
          <w:rFonts w:ascii="Times New Roman" w:eastAsia="Times New Roman" w:hAnsi="Times New Roman" w:cs="Times New Roman"/>
          <w:iCs/>
          <w:lang w:val="en-IE" w:eastAsia="en-GB"/>
        </w:rPr>
        <w:t xml:space="preserve">CJEU </w:t>
      </w:r>
      <w:r w:rsidR="00ED05A9" w:rsidRPr="00597A71">
        <w:rPr>
          <w:rFonts w:ascii="Times New Roman" w:eastAsia="Times New Roman" w:hAnsi="Times New Roman" w:cs="Times New Roman"/>
          <w:iCs/>
          <w:lang w:val="en-IE" w:eastAsia="en-GB"/>
        </w:rPr>
        <w:t>are</w:t>
      </w:r>
      <w:r w:rsidRPr="00597A71">
        <w:rPr>
          <w:rFonts w:ascii="Times New Roman" w:eastAsia="Times New Roman" w:hAnsi="Times New Roman" w:cs="Times New Roman"/>
          <w:iCs/>
          <w:lang w:val="en-IE" w:eastAsia="en-GB"/>
        </w:rPr>
        <w:t xml:space="preserve"> decisions of the </w:t>
      </w:r>
      <w:r w:rsidR="006967FB">
        <w:rPr>
          <w:rFonts w:ascii="Times New Roman" w:eastAsia="Times New Roman" w:hAnsi="Times New Roman" w:cs="Times New Roman"/>
          <w:iCs/>
          <w:lang w:val="en-IE" w:eastAsia="en-GB"/>
        </w:rPr>
        <w:t>ECtHR</w:t>
      </w:r>
      <w:r w:rsidRPr="00597A71">
        <w:rPr>
          <w:rFonts w:ascii="Times New Roman" w:eastAsia="Times New Roman" w:hAnsi="Times New Roman" w:cs="Times New Roman"/>
          <w:iCs/>
          <w:lang w:val="en-IE" w:eastAsia="en-GB"/>
        </w:rPr>
        <w:t xml:space="preserve"> (pilot judgments</w:t>
      </w:r>
      <w:r w:rsidR="00D33948">
        <w:rPr>
          <w:rFonts w:ascii="Times New Roman" w:eastAsia="Times New Roman" w:hAnsi="Times New Roman" w:cs="Times New Roman"/>
          <w:iCs/>
          <w:lang w:val="en-IE" w:eastAsia="en-GB"/>
        </w:rPr>
        <w:t xml:space="preserve"> of the ECtHR may be particularly important</w:t>
      </w:r>
      <w:r w:rsidRPr="00597A71">
        <w:rPr>
          <w:rFonts w:ascii="Times New Roman" w:eastAsia="Times New Roman" w:hAnsi="Times New Roman" w:cs="Times New Roman"/>
          <w:iCs/>
          <w:lang w:val="en-IE" w:eastAsia="en-GB"/>
        </w:rPr>
        <w:t xml:space="preserve">), reports of the institutions of the EU, reports of the Committee on the Prevention of Torture, reports of other independent international human rights organisations and governmental sources.  In </w:t>
      </w:r>
      <w:proofErr w:type="spellStart"/>
      <w:r w:rsidRPr="00597A71">
        <w:rPr>
          <w:rFonts w:ascii="Times New Roman" w:eastAsia="Times New Roman" w:hAnsi="Times New Roman" w:cs="Times New Roman"/>
          <w:i/>
          <w:iCs/>
          <w:lang w:val="en-IE" w:eastAsia="en-GB"/>
        </w:rPr>
        <w:t>Rettinger</w:t>
      </w:r>
      <w:proofErr w:type="spellEnd"/>
      <w:r w:rsidR="00C0433F" w:rsidRPr="00597A71">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it is stated that the court may attach importance to ind</w:t>
      </w:r>
      <w:r w:rsidR="00C0433F" w:rsidRPr="00597A71">
        <w:rPr>
          <w:rFonts w:ascii="Times New Roman" w:eastAsia="Times New Roman" w:hAnsi="Times New Roman" w:cs="Times New Roman"/>
          <w:iCs/>
          <w:lang w:val="en-IE" w:eastAsia="en-GB"/>
        </w:rPr>
        <w:t xml:space="preserve">ependent human </w:t>
      </w:r>
      <w:r w:rsidR="00C0433F" w:rsidRPr="00597A71">
        <w:rPr>
          <w:rFonts w:ascii="Times New Roman" w:eastAsia="Times New Roman" w:hAnsi="Times New Roman" w:cs="Times New Roman"/>
          <w:iCs/>
          <w:lang w:val="en-IE" w:eastAsia="en-GB"/>
        </w:rPr>
        <w:lastRenderedPageBreak/>
        <w:t>rights organisations (such as Amnesty International) and to governmental sources,</w:t>
      </w:r>
      <w:r w:rsidR="00D33948" w:rsidRPr="00597A71">
        <w:rPr>
          <w:rFonts w:ascii="Times New Roman" w:eastAsia="Times New Roman" w:hAnsi="Times New Roman" w:cs="Times New Roman"/>
          <w:iCs/>
          <w:lang w:val="en-IE" w:eastAsia="en-GB"/>
        </w:rPr>
        <w:t xml:space="preserve"> </w:t>
      </w:r>
      <w:r w:rsidR="00C0433F" w:rsidRPr="00597A71">
        <w:rPr>
          <w:rFonts w:ascii="Times New Roman" w:eastAsia="Times New Roman" w:hAnsi="Times New Roman" w:cs="Times New Roman"/>
          <w:iCs/>
          <w:lang w:val="en-IE" w:eastAsia="en-GB"/>
        </w:rPr>
        <w:t>includ</w:t>
      </w:r>
      <w:r w:rsidR="00AA0A55">
        <w:rPr>
          <w:rFonts w:ascii="Times New Roman" w:eastAsia="Times New Roman" w:hAnsi="Times New Roman" w:cs="Times New Roman"/>
          <w:iCs/>
          <w:lang w:val="en-IE" w:eastAsia="en-GB"/>
        </w:rPr>
        <w:t>ing</w:t>
      </w:r>
      <w:r w:rsidR="00C0433F" w:rsidRPr="00597A71">
        <w:rPr>
          <w:rFonts w:ascii="Times New Roman" w:eastAsia="Times New Roman" w:hAnsi="Times New Roman" w:cs="Times New Roman"/>
          <w:iCs/>
          <w:lang w:val="en-IE" w:eastAsia="en-GB"/>
        </w:rPr>
        <w:t xml:space="preserve"> USA State Department </w:t>
      </w:r>
      <w:r w:rsidR="00D33948">
        <w:rPr>
          <w:rFonts w:ascii="Times New Roman" w:eastAsia="Times New Roman" w:hAnsi="Times New Roman" w:cs="Times New Roman"/>
          <w:iCs/>
          <w:lang w:val="en-IE" w:eastAsia="en-GB"/>
        </w:rPr>
        <w:t xml:space="preserve">country </w:t>
      </w:r>
      <w:r w:rsidR="00C0433F" w:rsidRPr="00597A71">
        <w:rPr>
          <w:rFonts w:ascii="Times New Roman" w:eastAsia="Times New Roman" w:hAnsi="Times New Roman" w:cs="Times New Roman"/>
          <w:iCs/>
          <w:lang w:val="en-IE" w:eastAsia="en-GB"/>
        </w:rPr>
        <w:t>reports</w:t>
      </w:r>
      <w:r w:rsidR="0072140C">
        <w:rPr>
          <w:rFonts w:ascii="Times New Roman" w:eastAsia="Times New Roman" w:hAnsi="Times New Roman" w:cs="Times New Roman"/>
          <w:iCs/>
          <w:lang w:val="en-IE" w:eastAsia="en-GB"/>
        </w:rPr>
        <w:t xml:space="preserve"> (para. </w:t>
      </w:r>
      <w:r w:rsidR="00F9298F">
        <w:rPr>
          <w:rFonts w:ascii="Times New Roman" w:eastAsia="Times New Roman" w:hAnsi="Times New Roman" w:cs="Times New Roman"/>
          <w:iCs/>
          <w:lang w:val="en-IE" w:eastAsia="en-GB"/>
        </w:rPr>
        <w:t>16)</w:t>
      </w:r>
      <w:r w:rsidR="00C0433F" w:rsidRPr="00597A71">
        <w:rPr>
          <w:rFonts w:ascii="Times New Roman" w:eastAsia="Times New Roman" w:hAnsi="Times New Roman" w:cs="Times New Roman"/>
          <w:iCs/>
          <w:lang w:val="en-IE" w:eastAsia="en-GB"/>
        </w:rPr>
        <w:t xml:space="preserve">.  </w:t>
      </w:r>
    </w:p>
    <w:p w14:paraId="54472765" w14:textId="0FFDF9A7" w:rsidR="00597A71" w:rsidRPr="00597A71" w:rsidRDefault="00C0433F"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appellant in this case chose to rely upon the evidence of an attorney from Georgia in relation to claims of the risk of inhuman and degrading treatment (which went beyond the risk of homelessness); his expertise was criticised by the </w:t>
      </w:r>
      <w:r w:rsidR="00BA1631">
        <w:rPr>
          <w:rFonts w:ascii="Times New Roman" w:eastAsia="Times New Roman" w:hAnsi="Times New Roman" w:cs="Times New Roman"/>
          <w:iCs/>
          <w:lang w:val="en-IE" w:eastAsia="en-GB"/>
        </w:rPr>
        <w:t xml:space="preserve">Office of the </w:t>
      </w:r>
      <w:r w:rsidRPr="00597A71">
        <w:rPr>
          <w:rFonts w:ascii="Times New Roman" w:eastAsia="Times New Roman" w:hAnsi="Times New Roman" w:cs="Times New Roman"/>
          <w:iCs/>
          <w:lang w:val="en-IE" w:eastAsia="en-GB"/>
        </w:rPr>
        <w:t xml:space="preserve">Georgian District Attorney.  The expert referred in footnotes to two </w:t>
      </w:r>
      <w:r w:rsidR="00BA1631">
        <w:rPr>
          <w:rFonts w:ascii="Times New Roman" w:eastAsia="Times New Roman" w:hAnsi="Times New Roman" w:cs="Times New Roman"/>
          <w:iCs/>
          <w:lang w:val="en-IE" w:eastAsia="en-GB"/>
        </w:rPr>
        <w:t xml:space="preserve">legal </w:t>
      </w:r>
      <w:r w:rsidRPr="00597A71">
        <w:rPr>
          <w:rFonts w:ascii="Times New Roman" w:eastAsia="Times New Roman" w:hAnsi="Times New Roman" w:cs="Times New Roman"/>
          <w:iCs/>
          <w:lang w:val="en-IE" w:eastAsia="en-GB"/>
        </w:rPr>
        <w:t>articles but did not exhibit these.  Interestingly</w:t>
      </w:r>
      <w:r w:rsidR="00BA1631">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one article which was apparently published in the Harvard </w:t>
      </w:r>
      <w:r w:rsidR="00BA1631">
        <w:rPr>
          <w:rFonts w:ascii="Times New Roman" w:eastAsia="Times New Roman" w:hAnsi="Times New Roman" w:cs="Times New Roman"/>
          <w:iCs/>
          <w:lang w:val="en-IE" w:eastAsia="en-GB"/>
        </w:rPr>
        <w:t xml:space="preserve">Civil Rights-Civil Liberties Law </w:t>
      </w:r>
      <w:r w:rsidRPr="00597A71">
        <w:rPr>
          <w:rFonts w:ascii="Times New Roman" w:eastAsia="Times New Roman" w:hAnsi="Times New Roman" w:cs="Times New Roman"/>
          <w:iCs/>
          <w:lang w:val="en-IE" w:eastAsia="en-GB"/>
        </w:rPr>
        <w:t>Review is entitled “Challenging the Banishment of Registered Sex Offenders from the State of Georgia: A Practitioner’s Perspective”, thus indicating the prevalence of challenges to at least some aspects of the sex offender provisions.  The second is entitled “Georgia Law Creates Homeless Sex Offender Colony</w:t>
      </w:r>
      <w:r w:rsidR="00BA1631">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which was published online by “prisonlegalnews.org” in 2010.  The evidence, which is sparse and not from any </w:t>
      </w:r>
      <w:r w:rsidR="00CB76D3" w:rsidRPr="00597A71">
        <w:rPr>
          <w:rFonts w:ascii="Times New Roman" w:eastAsia="Times New Roman" w:hAnsi="Times New Roman" w:cs="Times New Roman"/>
          <w:iCs/>
          <w:lang w:val="en-IE" w:eastAsia="en-GB"/>
        </w:rPr>
        <w:t>organisation of the type mentioned in the case</w:t>
      </w:r>
      <w:r w:rsidR="00BA1631">
        <w:rPr>
          <w:rFonts w:ascii="Times New Roman" w:eastAsia="Times New Roman" w:hAnsi="Times New Roman" w:cs="Times New Roman"/>
          <w:iCs/>
          <w:lang w:val="en-IE" w:eastAsia="en-GB"/>
        </w:rPr>
        <w:t xml:space="preserve"> </w:t>
      </w:r>
      <w:r w:rsidR="00CB76D3" w:rsidRPr="00597A71">
        <w:rPr>
          <w:rFonts w:ascii="Times New Roman" w:eastAsia="Times New Roman" w:hAnsi="Times New Roman" w:cs="Times New Roman"/>
          <w:iCs/>
          <w:lang w:val="en-IE" w:eastAsia="en-GB"/>
        </w:rPr>
        <w:t xml:space="preserve">law, </w:t>
      </w:r>
      <w:r w:rsidRPr="00597A71">
        <w:rPr>
          <w:rFonts w:ascii="Times New Roman" w:eastAsia="Times New Roman" w:hAnsi="Times New Roman" w:cs="Times New Roman"/>
          <w:iCs/>
          <w:lang w:val="en-IE" w:eastAsia="en-GB"/>
        </w:rPr>
        <w:t>is certainly not up to date</w:t>
      </w:r>
      <w:r w:rsidR="00CB76D3" w:rsidRPr="00597A71">
        <w:rPr>
          <w:rFonts w:ascii="Times New Roman" w:eastAsia="Times New Roman" w:hAnsi="Times New Roman" w:cs="Times New Roman"/>
          <w:iCs/>
          <w:lang w:val="en-IE" w:eastAsia="en-GB"/>
        </w:rPr>
        <w:t>.  This, unfortunately, is an aspect of the approach of the appellant, which has been to look back at his own experience as proof in itself of the risk he faces</w:t>
      </w:r>
      <w:r w:rsidR="00FF0424" w:rsidRPr="00597A71">
        <w:rPr>
          <w:rFonts w:ascii="Times New Roman" w:eastAsia="Times New Roman" w:hAnsi="Times New Roman" w:cs="Times New Roman"/>
          <w:iCs/>
          <w:lang w:val="en-IE" w:eastAsia="en-GB"/>
        </w:rPr>
        <w:t xml:space="preserve"> in the future.</w:t>
      </w:r>
    </w:p>
    <w:p w14:paraId="48BF21FC" w14:textId="0B26667A" w:rsidR="00597A71" w:rsidRPr="00597A71" w:rsidRDefault="00D60E9B"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Of course, t</w:t>
      </w:r>
      <w:r w:rsidR="0032214B" w:rsidRPr="00597A71">
        <w:rPr>
          <w:rFonts w:ascii="Times New Roman" w:eastAsia="Times New Roman" w:hAnsi="Times New Roman" w:cs="Times New Roman"/>
          <w:iCs/>
          <w:lang w:val="en-IE" w:eastAsia="en-GB"/>
        </w:rPr>
        <w:t xml:space="preserve">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00CB475D" w:rsidRPr="00597A71">
        <w:rPr>
          <w:rFonts w:ascii="Times New Roman" w:eastAsia="Times New Roman" w:hAnsi="Times New Roman" w:cs="Times New Roman"/>
          <w:iCs/>
          <w:lang w:val="en-IE" w:eastAsia="en-GB"/>
        </w:rPr>
        <w:t>,</w:t>
      </w:r>
      <w:r w:rsidR="00B20AA0" w:rsidRPr="00597A71">
        <w:rPr>
          <w:rFonts w:ascii="Times New Roman" w:eastAsia="Times New Roman" w:hAnsi="Times New Roman" w:cs="Times New Roman"/>
          <w:iCs/>
          <w:lang w:val="en-IE" w:eastAsia="en-GB"/>
        </w:rPr>
        <w:t xml:space="preserve"> </w:t>
      </w:r>
      <w:r w:rsidR="00D33948">
        <w:rPr>
          <w:rFonts w:ascii="Times New Roman" w:eastAsia="Times New Roman" w:hAnsi="Times New Roman" w:cs="Times New Roman"/>
          <w:iCs/>
          <w:lang w:val="en-IE" w:eastAsia="en-GB"/>
        </w:rPr>
        <w:t xml:space="preserve">in </w:t>
      </w:r>
      <w:r w:rsidR="00CB475D" w:rsidRPr="00597A71">
        <w:rPr>
          <w:rFonts w:ascii="Times New Roman" w:eastAsia="Times New Roman" w:hAnsi="Times New Roman" w:cs="Times New Roman"/>
          <w:iCs/>
          <w:lang w:val="en-IE" w:eastAsia="en-GB"/>
        </w:rPr>
        <w:t>extradition</w:t>
      </w:r>
      <w:r w:rsidR="00D33948">
        <w:rPr>
          <w:rFonts w:ascii="Times New Roman" w:eastAsia="Times New Roman" w:hAnsi="Times New Roman" w:cs="Times New Roman"/>
          <w:iCs/>
          <w:lang w:val="en-IE" w:eastAsia="en-GB"/>
        </w:rPr>
        <w:t xml:space="preserve"> cases</w:t>
      </w:r>
      <w:r w:rsidR="00CB475D" w:rsidRPr="00597A71">
        <w:rPr>
          <w:rFonts w:ascii="Times New Roman" w:eastAsia="Times New Roman" w:hAnsi="Times New Roman" w:cs="Times New Roman"/>
          <w:iCs/>
          <w:lang w:val="en-IE" w:eastAsia="en-GB"/>
        </w:rPr>
        <w:t xml:space="preserve">, do not </w:t>
      </w:r>
      <w:r w:rsidR="00BA1631">
        <w:rPr>
          <w:rFonts w:ascii="Times New Roman" w:eastAsia="Times New Roman" w:hAnsi="Times New Roman" w:cs="Times New Roman"/>
          <w:iCs/>
          <w:lang w:val="en-IE" w:eastAsia="en-GB"/>
        </w:rPr>
        <w:t>apply</w:t>
      </w:r>
      <w:r w:rsidR="00CB475D" w:rsidRPr="00597A71">
        <w:rPr>
          <w:rFonts w:ascii="Times New Roman" w:eastAsia="Times New Roman" w:hAnsi="Times New Roman" w:cs="Times New Roman"/>
          <w:iCs/>
          <w:lang w:val="en-IE" w:eastAsia="en-GB"/>
        </w:rPr>
        <w:t xml:space="preserve"> in the context of </w:t>
      </w:r>
      <w:r w:rsidR="00B20AA0" w:rsidRPr="00597A71">
        <w:rPr>
          <w:rFonts w:ascii="Times New Roman" w:eastAsia="Times New Roman" w:hAnsi="Times New Roman" w:cs="Times New Roman"/>
          <w:iCs/>
          <w:lang w:val="en-IE" w:eastAsia="en-GB"/>
        </w:rPr>
        <w:t xml:space="preserve">the mutual recognition of judicial decisions and instead </w:t>
      </w:r>
      <w:r w:rsidR="00BA1631">
        <w:rPr>
          <w:rFonts w:ascii="Times New Roman" w:eastAsia="Times New Roman" w:hAnsi="Times New Roman" w:cs="Times New Roman"/>
          <w:iCs/>
          <w:lang w:val="en-IE" w:eastAsia="en-GB"/>
        </w:rPr>
        <w:t>apply</w:t>
      </w:r>
      <w:r w:rsidR="00B20AA0" w:rsidRPr="00597A71">
        <w:rPr>
          <w:rFonts w:ascii="Times New Roman" w:eastAsia="Times New Roman" w:hAnsi="Times New Roman" w:cs="Times New Roman"/>
          <w:iCs/>
          <w:lang w:val="en-IE" w:eastAsia="en-GB"/>
        </w:rPr>
        <w:t xml:space="preserve"> at a </w:t>
      </w:r>
      <w:r w:rsidR="00AA0A55">
        <w:rPr>
          <w:rFonts w:ascii="Times New Roman" w:eastAsia="Times New Roman" w:hAnsi="Times New Roman" w:cs="Times New Roman"/>
          <w:iCs/>
          <w:lang w:val="en-IE" w:eastAsia="en-GB"/>
        </w:rPr>
        <w:t>s</w:t>
      </w:r>
      <w:r w:rsidR="00B20AA0" w:rsidRPr="00597A71">
        <w:rPr>
          <w:rFonts w:ascii="Times New Roman" w:eastAsia="Times New Roman" w:hAnsi="Times New Roman" w:cs="Times New Roman"/>
          <w:iCs/>
          <w:lang w:val="en-IE" w:eastAsia="en-GB"/>
        </w:rPr>
        <w:t>tate</w:t>
      </w:r>
      <w:r w:rsidR="00BA1631">
        <w:rPr>
          <w:rFonts w:ascii="Times New Roman" w:eastAsia="Times New Roman" w:hAnsi="Times New Roman" w:cs="Times New Roman"/>
          <w:iCs/>
          <w:lang w:val="en-IE" w:eastAsia="en-GB"/>
        </w:rPr>
        <w:t>-</w:t>
      </w:r>
      <w:r w:rsidR="00B20AA0" w:rsidRPr="00597A71">
        <w:rPr>
          <w:rFonts w:ascii="Times New Roman" w:eastAsia="Times New Roman" w:hAnsi="Times New Roman" w:cs="Times New Roman"/>
          <w:iCs/>
          <w:lang w:val="en-IE" w:eastAsia="en-GB"/>
        </w:rPr>
        <w:t>to</w:t>
      </w:r>
      <w:r w:rsidR="00BA1631">
        <w:rPr>
          <w:rFonts w:ascii="Times New Roman" w:eastAsia="Times New Roman" w:hAnsi="Times New Roman" w:cs="Times New Roman"/>
          <w:iCs/>
          <w:lang w:val="en-IE" w:eastAsia="en-GB"/>
        </w:rPr>
        <w:t>-</w:t>
      </w:r>
      <w:r w:rsidR="00AA0A55">
        <w:rPr>
          <w:rFonts w:ascii="Times New Roman" w:eastAsia="Times New Roman" w:hAnsi="Times New Roman" w:cs="Times New Roman"/>
          <w:iCs/>
          <w:lang w:val="en-IE" w:eastAsia="en-GB"/>
        </w:rPr>
        <w:t>s</w:t>
      </w:r>
      <w:r w:rsidR="00B20AA0" w:rsidRPr="00597A71">
        <w:rPr>
          <w:rFonts w:ascii="Times New Roman" w:eastAsia="Times New Roman" w:hAnsi="Times New Roman" w:cs="Times New Roman"/>
          <w:iCs/>
          <w:lang w:val="en-IE" w:eastAsia="en-GB"/>
        </w:rPr>
        <w:t>tate level.  The role of the court is limited and, in this State, requests for further informa</w:t>
      </w:r>
      <w:r w:rsidR="0067277C" w:rsidRPr="00597A71">
        <w:rPr>
          <w:rFonts w:ascii="Times New Roman" w:eastAsia="Times New Roman" w:hAnsi="Times New Roman" w:cs="Times New Roman"/>
          <w:iCs/>
          <w:lang w:val="en-IE" w:eastAsia="en-GB"/>
        </w:rPr>
        <w:t>tion must be made</w:t>
      </w:r>
      <w:r w:rsidR="00C779BE" w:rsidRPr="00597A71">
        <w:rPr>
          <w:rFonts w:ascii="Times New Roman" w:eastAsia="Times New Roman" w:hAnsi="Times New Roman" w:cs="Times New Roman"/>
          <w:iCs/>
          <w:lang w:val="en-IE" w:eastAsia="en-GB"/>
        </w:rPr>
        <w:t xml:space="preserve"> </w:t>
      </w:r>
      <w:r w:rsidR="00BA1631">
        <w:rPr>
          <w:rFonts w:ascii="Times New Roman" w:eastAsia="Times New Roman" w:hAnsi="Times New Roman" w:cs="Times New Roman"/>
          <w:iCs/>
          <w:lang w:val="en-IE" w:eastAsia="en-GB"/>
        </w:rPr>
        <w:t xml:space="preserve">by </w:t>
      </w:r>
      <w:r w:rsidR="00C779BE" w:rsidRPr="00597A71">
        <w:rPr>
          <w:rFonts w:ascii="Times New Roman" w:eastAsia="Times New Roman" w:hAnsi="Times New Roman" w:cs="Times New Roman"/>
          <w:iCs/>
          <w:lang w:val="en-IE" w:eastAsia="en-GB"/>
        </w:rPr>
        <w:t xml:space="preserve">the </w:t>
      </w:r>
      <w:r w:rsidR="00BA1631">
        <w:rPr>
          <w:rFonts w:ascii="Times New Roman" w:eastAsia="Times New Roman" w:hAnsi="Times New Roman" w:cs="Times New Roman"/>
          <w:iCs/>
          <w:lang w:val="en-IE" w:eastAsia="en-GB"/>
        </w:rPr>
        <w:t>Minister</w:t>
      </w:r>
      <w:r w:rsidR="00C779BE" w:rsidRPr="00597A71">
        <w:rPr>
          <w:rFonts w:ascii="Times New Roman" w:eastAsia="Times New Roman" w:hAnsi="Times New Roman" w:cs="Times New Roman"/>
          <w:iCs/>
          <w:lang w:val="en-IE" w:eastAsia="en-GB"/>
        </w:rPr>
        <w:t xml:space="preserve">.  Section 26(3) of the </w:t>
      </w:r>
      <w:r w:rsidR="00AA0A55">
        <w:rPr>
          <w:rFonts w:ascii="Times New Roman" w:eastAsia="Times New Roman" w:hAnsi="Times New Roman" w:cs="Times New Roman"/>
          <w:iCs/>
          <w:lang w:val="en-IE" w:eastAsia="en-GB"/>
        </w:rPr>
        <w:t>1965 Act</w:t>
      </w:r>
      <w:r w:rsidR="00C779BE" w:rsidRPr="00597A71">
        <w:rPr>
          <w:rFonts w:ascii="Times New Roman" w:eastAsia="Times New Roman" w:hAnsi="Times New Roman" w:cs="Times New Roman"/>
          <w:iCs/>
          <w:lang w:val="en-IE" w:eastAsia="en-GB"/>
        </w:rPr>
        <w:t xml:space="preserve"> provides that if the Minister is of the opinion that the information communicated to her in pursuance of the </w:t>
      </w:r>
      <w:r w:rsidR="00D33948">
        <w:rPr>
          <w:rFonts w:ascii="Times New Roman" w:eastAsia="Times New Roman" w:hAnsi="Times New Roman" w:cs="Times New Roman"/>
          <w:iCs/>
          <w:lang w:val="en-IE" w:eastAsia="en-GB"/>
        </w:rPr>
        <w:t xml:space="preserve">extradition </w:t>
      </w:r>
      <w:r w:rsidR="00C779BE" w:rsidRPr="00597A71">
        <w:rPr>
          <w:rFonts w:ascii="Times New Roman" w:eastAsia="Times New Roman" w:hAnsi="Times New Roman" w:cs="Times New Roman"/>
          <w:iCs/>
          <w:lang w:val="en-IE" w:eastAsia="en-GB"/>
        </w:rPr>
        <w:t xml:space="preserve">request </w:t>
      </w:r>
      <w:r w:rsidR="00963749">
        <w:rPr>
          <w:rFonts w:ascii="Times New Roman" w:eastAsia="Times New Roman" w:hAnsi="Times New Roman" w:cs="Times New Roman"/>
          <w:iCs/>
          <w:lang w:val="en-IE" w:eastAsia="en-GB"/>
        </w:rPr>
        <w:t xml:space="preserve">is </w:t>
      </w:r>
      <w:r w:rsidR="00C779BE" w:rsidRPr="00597A71">
        <w:rPr>
          <w:rFonts w:ascii="Times New Roman" w:eastAsia="Times New Roman" w:hAnsi="Times New Roman" w:cs="Times New Roman"/>
          <w:iCs/>
          <w:lang w:val="en-IE" w:eastAsia="en-GB"/>
        </w:rPr>
        <w:t xml:space="preserve">insufficient, she may request the requesting </w:t>
      </w:r>
      <w:r w:rsidR="00E65E07">
        <w:rPr>
          <w:rFonts w:ascii="Times New Roman" w:eastAsia="Times New Roman" w:hAnsi="Times New Roman" w:cs="Times New Roman"/>
          <w:iCs/>
          <w:lang w:val="en-IE" w:eastAsia="en-GB"/>
        </w:rPr>
        <w:t>S</w:t>
      </w:r>
      <w:r w:rsidR="00C779BE" w:rsidRPr="00597A71">
        <w:rPr>
          <w:rFonts w:ascii="Times New Roman" w:eastAsia="Times New Roman" w:hAnsi="Times New Roman" w:cs="Times New Roman"/>
          <w:iCs/>
          <w:lang w:val="en-IE" w:eastAsia="en-GB"/>
        </w:rPr>
        <w:t>tate to furnish such further information as she thinks proper.  Those provisions would be relevant if this Court were to decide that further information is required.</w:t>
      </w:r>
    </w:p>
    <w:p w14:paraId="6787A7A5" w14:textId="17629288" w:rsidR="00597A71" w:rsidRDefault="00584E9C"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In </w:t>
      </w:r>
      <w:r w:rsidR="00820C9A" w:rsidRPr="00597A71">
        <w:rPr>
          <w:rFonts w:ascii="Times New Roman" w:hAnsi="Times New Roman" w:cs="Times New Roman"/>
          <w:i/>
        </w:rPr>
        <w:t>ML</w:t>
      </w:r>
      <w:r w:rsidR="00B176D7" w:rsidRPr="00597A71">
        <w:rPr>
          <w:rFonts w:ascii="Times New Roman" w:hAnsi="Times New Roman" w:cs="Times New Roman"/>
          <w:i/>
        </w:rPr>
        <w:t>,</w:t>
      </w:r>
      <w:r w:rsidR="00820C9A" w:rsidRPr="00597A71">
        <w:rPr>
          <w:rFonts w:ascii="Times New Roman" w:hAnsi="Times New Roman" w:cs="Times New Roman"/>
          <w:i/>
        </w:rPr>
        <w:t xml:space="preserve"> </w:t>
      </w:r>
      <w:r w:rsidR="00820C9A" w:rsidRPr="00597A71">
        <w:rPr>
          <w:rFonts w:ascii="Times New Roman" w:hAnsi="Times New Roman" w:cs="Times New Roman"/>
        </w:rPr>
        <w:t xml:space="preserve">the CJEU </w:t>
      </w:r>
      <w:r w:rsidR="00ED05A9" w:rsidRPr="00597A71">
        <w:rPr>
          <w:rFonts w:ascii="Times New Roman" w:hAnsi="Times New Roman" w:cs="Times New Roman"/>
        </w:rPr>
        <w:t>emphasised that the focus must be on the risk to the particular individual</w:t>
      </w:r>
      <w:r w:rsidR="00E600C5" w:rsidRPr="00597A71">
        <w:rPr>
          <w:rFonts w:ascii="Times New Roman" w:hAnsi="Times New Roman" w:cs="Times New Roman"/>
        </w:rPr>
        <w:t xml:space="preserve"> and not </w:t>
      </w:r>
      <w:r w:rsidR="00ED05A9" w:rsidRPr="00597A71">
        <w:rPr>
          <w:rFonts w:ascii="Times New Roman" w:hAnsi="Times New Roman" w:cs="Times New Roman"/>
        </w:rPr>
        <w:t>simply</w:t>
      </w:r>
      <w:r w:rsidR="00E600C5" w:rsidRPr="00597A71">
        <w:rPr>
          <w:rFonts w:ascii="Times New Roman" w:hAnsi="Times New Roman" w:cs="Times New Roman"/>
        </w:rPr>
        <w:t xml:space="preserve"> the systemic defects.  </w:t>
      </w:r>
      <w:r w:rsidR="00ED05A9" w:rsidRPr="00597A71">
        <w:rPr>
          <w:rFonts w:ascii="Times New Roman" w:hAnsi="Times New Roman" w:cs="Times New Roman"/>
        </w:rPr>
        <w:t>That approach has been reiterated</w:t>
      </w:r>
      <w:r w:rsidR="00AA0A55">
        <w:rPr>
          <w:rFonts w:ascii="Times New Roman" w:hAnsi="Times New Roman" w:cs="Times New Roman"/>
        </w:rPr>
        <w:t>,</w:t>
      </w:r>
      <w:r w:rsidR="00ED05A9" w:rsidRPr="00597A71">
        <w:rPr>
          <w:rFonts w:ascii="Times New Roman" w:hAnsi="Times New Roman" w:cs="Times New Roman"/>
        </w:rPr>
        <w:t xml:space="preserve"> and indeed </w:t>
      </w:r>
      <w:r w:rsidR="00ED05A9" w:rsidRPr="00597A71">
        <w:rPr>
          <w:rFonts w:ascii="Times New Roman" w:hAnsi="Times New Roman" w:cs="Times New Roman"/>
        </w:rPr>
        <w:lastRenderedPageBreak/>
        <w:t>amplified</w:t>
      </w:r>
      <w:r w:rsidR="00841906">
        <w:rPr>
          <w:rFonts w:ascii="Times New Roman" w:hAnsi="Times New Roman" w:cs="Times New Roman"/>
        </w:rPr>
        <w:t>,</w:t>
      </w:r>
      <w:r w:rsidR="00ED05A9" w:rsidRPr="00597A71">
        <w:rPr>
          <w:rFonts w:ascii="Times New Roman" w:hAnsi="Times New Roman" w:cs="Times New Roman"/>
        </w:rPr>
        <w:t xml:space="preserve"> in more recent decisions of the CJEU (e.g. </w:t>
      </w:r>
      <w:r w:rsidR="00AA0A55">
        <w:rPr>
          <w:rFonts w:ascii="Times New Roman" w:hAnsi="Times New Roman" w:cs="Times New Roman"/>
          <w:i/>
          <w:iCs/>
        </w:rPr>
        <w:t xml:space="preserve">X and Y v. </w:t>
      </w:r>
      <w:proofErr w:type="spellStart"/>
      <w:r w:rsidR="00AA0A55">
        <w:rPr>
          <w:rFonts w:ascii="Times New Roman" w:hAnsi="Times New Roman" w:cs="Times New Roman"/>
          <w:i/>
          <w:iCs/>
        </w:rPr>
        <w:t>Openbaar</w:t>
      </w:r>
      <w:proofErr w:type="spellEnd"/>
      <w:r w:rsidR="00AA0A55">
        <w:rPr>
          <w:rFonts w:ascii="Times New Roman" w:hAnsi="Times New Roman" w:cs="Times New Roman"/>
          <w:i/>
          <w:iCs/>
        </w:rPr>
        <w:t xml:space="preserve"> </w:t>
      </w:r>
      <w:proofErr w:type="spellStart"/>
      <w:r w:rsidR="00AA0A55">
        <w:rPr>
          <w:rFonts w:ascii="Times New Roman" w:hAnsi="Times New Roman" w:cs="Times New Roman"/>
          <w:i/>
          <w:iCs/>
        </w:rPr>
        <w:t>Ministerie</w:t>
      </w:r>
      <w:proofErr w:type="spellEnd"/>
      <w:r w:rsidR="00AA0A55">
        <w:rPr>
          <w:rFonts w:ascii="Times New Roman" w:hAnsi="Times New Roman" w:cs="Times New Roman"/>
          <w:i/>
          <w:iCs/>
        </w:rPr>
        <w:t xml:space="preserve"> </w:t>
      </w:r>
      <w:r w:rsidR="00AA0A55">
        <w:rPr>
          <w:rFonts w:ascii="Times New Roman" w:hAnsi="Times New Roman" w:cs="Times New Roman"/>
        </w:rPr>
        <w:t>(</w:t>
      </w:r>
      <w:r w:rsidR="00875E93" w:rsidRPr="00597A71">
        <w:rPr>
          <w:rFonts w:ascii="Times New Roman" w:hAnsi="Times New Roman" w:cs="Times New Roman"/>
        </w:rPr>
        <w:t xml:space="preserve">Joined Cases C-562/21 PPU </w:t>
      </w:r>
      <w:r w:rsidR="00AA0A55">
        <w:rPr>
          <w:rFonts w:ascii="Times New Roman" w:hAnsi="Times New Roman" w:cs="Times New Roman"/>
        </w:rPr>
        <w:t>&amp;</w:t>
      </w:r>
      <w:r w:rsidR="00875E93" w:rsidRPr="00597A71">
        <w:rPr>
          <w:rFonts w:ascii="Times New Roman" w:hAnsi="Times New Roman" w:cs="Times New Roman"/>
        </w:rPr>
        <w:t xml:space="preserve"> C-563/21 PPU</w:t>
      </w:r>
      <w:r w:rsidR="00AA0A55">
        <w:rPr>
          <w:rFonts w:ascii="Times New Roman" w:hAnsi="Times New Roman" w:cs="Times New Roman"/>
        </w:rPr>
        <w:t>) EU:C:2021:100</w:t>
      </w:r>
      <w:r w:rsidR="00875E93" w:rsidRPr="00597A71">
        <w:rPr>
          <w:rFonts w:ascii="Times New Roman" w:hAnsi="Times New Roman" w:cs="Times New Roman"/>
        </w:rPr>
        <w:t>).</w:t>
      </w:r>
      <w:r w:rsidR="00ED05A9" w:rsidRPr="00597A71">
        <w:rPr>
          <w:rFonts w:ascii="Times New Roman" w:hAnsi="Times New Roman" w:cs="Times New Roman"/>
        </w:rPr>
        <w:t xml:space="preserve"> </w:t>
      </w:r>
      <w:r w:rsidR="00E600C5" w:rsidRPr="00597A71">
        <w:rPr>
          <w:rFonts w:ascii="Times New Roman" w:hAnsi="Times New Roman" w:cs="Times New Roman"/>
        </w:rPr>
        <w:t xml:space="preserve">The </w:t>
      </w:r>
      <w:proofErr w:type="spellStart"/>
      <w:r w:rsidR="00E600C5" w:rsidRPr="00597A71">
        <w:rPr>
          <w:rFonts w:ascii="Times New Roman" w:hAnsi="Times New Roman" w:cs="Times New Roman"/>
          <w:i/>
        </w:rPr>
        <w:t>Rettinger</w:t>
      </w:r>
      <w:proofErr w:type="spellEnd"/>
      <w:r w:rsidR="00E600C5" w:rsidRPr="00597A71">
        <w:rPr>
          <w:rFonts w:ascii="Times New Roman" w:hAnsi="Times New Roman" w:cs="Times New Roman"/>
        </w:rPr>
        <w:t xml:space="preserve"> case and subsequent Irish case law dealing with </w:t>
      </w:r>
      <w:r w:rsidR="0099095D" w:rsidRPr="00597A71">
        <w:rPr>
          <w:rFonts w:ascii="Times New Roman" w:hAnsi="Times New Roman" w:cs="Times New Roman"/>
        </w:rPr>
        <w:t>e</w:t>
      </w:r>
      <w:r w:rsidR="00E600C5" w:rsidRPr="00597A71">
        <w:rPr>
          <w:rFonts w:ascii="Times New Roman" w:hAnsi="Times New Roman" w:cs="Times New Roman"/>
        </w:rPr>
        <w:t xml:space="preserve">xtradition </w:t>
      </w:r>
      <w:r w:rsidR="0099095D" w:rsidRPr="00597A71">
        <w:rPr>
          <w:rFonts w:ascii="Times New Roman" w:hAnsi="Times New Roman" w:cs="Times New Roman"/>
        </w:rPr>
        <w:t xml:space="preserve">requests under the 1965 </w:t>
      </w:r>
      <w:r w:rsidR="00E600C5" w:rsidRPr="00597A71">
        <w:rPr>
          <w:rFonts w:ascii="Times New Roman" w:hAnsi="Times New Roman" w:cs="Times New Roman"/>
        </w:rPr>
        <w:t>Act also require the focus to be on the individual</w:t>
      </w:r>
      <w:r w:rsidR="003B7669" w:rsidRPr="00597A71">
        <w:rPr>
          <w:rFonts w:ascii="Times New Roman" w:hAnsi="Times New Roman" w:cs="Times New Roman"/>
        </w:rPr>
        <w:t xml:space="preserve">.  </w:t>
      </w:r>
      <w:r w:rsidR="00CA5DAF" w:rsidRPr="00597A71">
        <w:rPr>
          <w:rFonts w:ascii="Times New Roman" w:hAnsi="Times New Roman" w:cs="Times New Roman"/>
        </w:rPr>
        <w:t xml:space="preserve">As Denham J. said in </w:t>
      </w:r>
      <w:proofErr w:type="spellStart"/>
      <w:r w:rsidR="00CA5DAF" w:rsidRPr="00597A71">
        <w:rPr>
          <w:rFonts w:ascii="Times New Roman" w:hAnsi="Times New Roman" w:cs="Times New Roman"/>
          <w:i/>
        </w:rPr>
        <w:t>Rettinger</w:t>
      </w:r>
      <w:proofErr w:type="spellEnd"/>
      <w:r w:rsidR="00CA5DAF" w:rsidRPr="00597A71">
        <w:rPr>
          <w:rFonts w:ascii="Times New Roman" w:hAnsi="Times New Roman" w:cs="Times New Roman"/>
        </w:rPr>
        <w:t>,</w:t>
      </w:r>
      <w:r w:rsidR="003E1FE7">
        <w:rPr>
          <w:rFonts w:ascii="Times New Roman" w:hAnsi="Times New Roman" w:cs="Times New Roman"/>
        </w:rPr>
        <w:t xml:space="preserve"> quoting from </w:t>
      </w:r>
      <w:proofErr w:type="spellStart"/>
      <w:r w:rsidR="003E1FE7" w:rsidRPr="00EE6DFF">
        <w:rPr>
          <w:rFonts w:ascii="Times New Roman" w:hAnsi="Times New Roman" w:cs="Times New Roman"/>
          <w:i/>
          <w:iCs/>
        </w:rPr>
        <w:t>Saadi</w:t>
      </w:r>
      <w:proofErr w:type="spellEnd"/>
      <w:r w:rsidR="003E1FE7" w:rsidRPr="00EE6DFF">
        <w:rPr>
          <w:rFonts w:ascii="Times New Roman" w:hAnsi="Times New Roman" w:cs="Times New Roman"/>
          <w:i/>
          <w:iCs/>
        </w:rPr>
        <w:t xml:space="preserve"> v. Italy</w:t>
      </w:r>
      <w:r w:rsidR="00AA0A55">
        <w:rPr>
          <w:rFonts w:ascii="Times New Roman" w:hAnsi="Times New Roman" w:cs="Times New Roman"/>
        </w:rPr>
        <w:t>,</w:t>
      </w:r>
      <w:r w:rsidR="00CA5DAF" w:rsidRPr="00597A71">
        <w:rPr>
          <w:rFonts w:ascii="Times New Roman" w:hAnsi="Times New Roman" w:cs="Times New Roman"/>
        </w:rPr>
        <w:t xml:space="preserve"> “where </w:t>
      </w:r>
      <w:r w:rsidR="003E1FE7">
        <w:rPr>
          <w:rFonts w:ascii="Times New Roman" w:hAnsi="Times New Roman" w:cs="Times New Roman"/>
        </w:rPr>
        <w:t xml:space="preserve">the </w:t>
      </w:r>
      <w:r w:rsidR="00CA5DAF" w:rsidRPr="00597A71">
        <w:rPr>
          <w:rFonts w:ascii="Times New Roman" w:hAnsi="Times New Roman" w:cs="Times New Roman"/>
        </w:rPr>
        <w:t>sources avai</w:t>
      </w:r>
      <w:r w:rsidR="00E0195F" w:rsidRPr="00597A71">
        <w:rPr>
          <w:rFonts w:ascii="Times New Roman" w:hAnsi="Times New Roman" w:cs="Times New Roman"/>
        </w:rPr>
        <w:t>lable</w:t>
      </w:r>
      <w:r w:rsidR="00CA5DAF" w:rsidRPr="00597A71">
        <w:rPr>
          <w:rFonts w:ascii="Times New Roman" w:hAnsi="Times New Roman" w:cs="Times New Roman"/>
        </w:rPr>
        <w:t xml:space="preserve"> describe a general situation, </w:t>
      </w:r>
      <w:r w:rsidR="003E1FE7">
        <w:rPr>
          <w:rFonts w:ascii="Times New Roman" w:hAnsi="Times New Roman" w:cs="Times New Roman"/>
        </w:rPr>
        <w:t xml:space="preserve">an applicant’s </w:t>
      </w:r>
      <w:r w:rsidR="00CA5DAF" w:rsidRPr="00597A71">
        <w:rPr>
          <w:rFonts w:ascii="Times New Roman" w:hAnsi="Times New Roman" w:cs="Times New Roman"/>
        </w:rPr>
        <w:t>specific allegations in a particular case require corroboration by other evidence”</w:t>
      </w:r>
      <w:r w:rsidR="003E1FE7">
        <w:rPr>
          <w:rFonts w:ascii="Times New Roman" w:hAnsi="Times New Roman" w:cs="Times New Roman"/>
        </w:rPr>
        <w:t>.</w:t>
      </w:r>
      <w:r w:rsidR="00CA5DAF" w:rsidRPr="00597A71">
        <w:rPr>
          <w:rFonts w:ascii="Times New Roman" w:hAnsi="Times New Roman" w:cs="Times New Roman"/>
        </w:rPr>
        <w:t xml:space="preserve">  </w:t>
      </w:r>
      <w:r w:rsidR="003B7669" w:rsidRPr="00597A71">
        <w:rPr>
          <w:rFonts w:ascii="Times New Roman" w:hAnsi="Times New Roman" w:cs="Times New Roman"/>
        </w:rPr>
        <w:t xml:space="preserve">Fennelly J., </w:t>
      </w:r>
      <w:r w:rsidR="00E0195F" w:rsidRPr="00597A71">
        <w:rPr>
          <w:rFonts w:ascii="Times New Roman" w:hAnsi="Times New Roman" w:cs="Times New Roman"/>
        </w:rPr>
        <w:t xml:space="preserve">in </w:t>
      </w:r>
      <w:proofErr w:type="spellStart"/>
      <w:r w:rsidR="00E0195F" w:rsidRPr="00597A71">
        <w:rPr>
          <w:rFonts w:ascii="Times New Roman" w:hAnsi="Times New Roman" w:cs="Times New Roman"/>
          <w:i/>
        </w:rPr>
        <w:t>Rettinger</w:t>
      </w:r>
      <w:proofErr w:type="spellEnd"/>
      <w:r w:rsidR="00E0195F" w:rsidRPr="00597A71">
        <w:rPr>
          <w:rFonts w:ascii="Times New Roman" w:hAnsi="Times New Roman" w:cs="Times New Roman"/>
        </w:rPr>
        <w:t xml:space="preserve">, </w:t>
      </w:r>
      <w:r w:rsidR="003B7669" w:rsidRPr="00597A71">
        <w:rPr>
          <w:rFonts w:ascii="Times New Roman" w:hAnsi="Times New Roman" w:cs="Times New Roman"/>
        </w:rPr>
        <w:t xml:space="preserve">having pointed out that it was the prison conditions which the respondent would face that were in issue, referred to the fact that the reports demonstrated that statistics </w:t>
      </w:r>
      <w:r w:rsidR="00963749">
        <w:rPr>
          <w:rFonts w:ascii="Times New Roman" w:hAnsi="Times New Roman" w:cs="Times New Roman"/>
        </w:rPr>
        <w:t>indic</w:t>
      </w:r>
      <w:r w:rsidR="003B7669" w:rsidRPr="00597A71">
        <w:rPr>
          <w:rFonts w:ascii="Times New Roman" w:hAnsi="Times New Roman" w:cs="Times New Roman"/>
        </w:rPr>
        <w:t>ated that only 2000 out of a total prison population of 80,000 were affected by the impugned conditions.</w:t>
      </w:r>
    </w:p>
    <w:p w14:paraId="5A3762BF" w14:textId="74D48E92" w:rsidR="00597A71" w:rsidRPr="00597A71" w:rsidRDefault="0095771C"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CJEU </w:t>
      </w:r>
      <w:r w:rsidR="00322A82" w:rsidRPr="00597A71">
        <w:rPr>
          <w:rFonts w:ascii="Times New Roman" w:eastAsia="Times New Roman" w:hAnsi="Times New Roman" w:cs="Times New Roman"/>
          <w:iCs/>
          <w:lang w:val="en-IE" w:eastAsia="en-GB"/>
        </w:rPr>
        <w:t xml:space="preserve">in </w:t>
      </w:r>
      <w:r w:rsidR="00322A82" w:rsidRPr="00597A71">
        <w:rPr>
          <w:rFonts w:ascii="Times New Roman" w:hAnsi="Times New Roman" w:cs="Times New Roman"/>
          <w:i/>
        </w:rPr>
        <w:t xml:space="preserve">ML </w:t>
      </w:r>
      <w:r w:rsidRPr="00597A71">
        <w:rPr>
          <w:rFonts w:ascii="Times New Roman" w:eastAsia="Times New Roman" w:hAnsi="Times New Roman" w:cs="Times New Roman"/>
          <w:iCs/>
          <w:lang w:val="en-IE" w:eastAsia="en-GB"/>
        </w:rPr>
        <w:t>s</w:t>
      </w:r>
      <w:r w:rsidR="00322A82" w:rsidRPr="00597A71">
        <w:rPr>
          <w:rFonts w:ascii="Times New Roman" w:eastAsia="Times New Roman" w:hAnsi="Times New Roman" w:cs="Times New Roman"/>
          <w:iCs/>
          <w:lang w:val="en-IE" w:eastAsia="en-GB"/>
        </w:rPr>
        <w:t>tated</w:t>
      </w:r>
      <w:r w:rsidRPr="00597A71">
        <w:rPr>
          <w:rFonts w:ascii="Times New Roman" w:eastAsia="Times New Roman" w:hAnsi="Times New Roman" w:cs="Times New Roman"/>
          <w:iCs/>
          <w:lang w:val="en-IE" w:eastAsia="en-GB"/>
        </w:rPr>
        <w:t xml:space="preserve"> that it followed from the specific and precise assessment that the executing authority was required to make that it could not concern general conditions of detention in all the prisons of the requesting </w:t>
      </w:r>
      <w:r w:rsidR="00E65E07">
        <w:rPr>
          <w:rFonts w:ascii="Times New Roman" w:eastAsia="Times New Roman" w:hAnsi="Times New Roman" w:cs="Times New Roman"/>
          <w:iCs/>
          <w:lang w:val="en-IE" w:eastAsia="en-GB"/>
        </w:rPr>
        <w:t>S</w:t>
      </w:r>
      <w:r w:rsidRPr="00597A71">
        <w:rPr>
          <w:rFonts w:ascii="Times New Roman" w:eastAsia="Times New Roman" w:hAnsi="Times New Roman" w:cs="Times New Roman"/>
          <w:iCs/>
          <w:lang w:val="en-IE" w:eastAsia="en-GB"/>
        </w:rPr>
        <w:t xml:space="preserve">tate </w:t>
      </w:r>
      <w:r w:rsidR="005431B2" w:rsidRPr="00597A71">
        <w:rPr>
          <w:rFonts w:ascii="Times New Roman" w:eastAsia="Times New Roman" w:hAnsi="Times New Roman" w:cs="Times New Roman"/>
          <w:iCs/>
          <w:lang w:val="en-IE" w:eastAsia="en-GB"/>
        </w:rPr>
        <w:t>that</w:t>
      </w:r>
      <w:r w:rsidRPr="00597A71">
        <w:rPr>
          <w:rFonts w:ascii="Times New Roman" w:eastAsia="Times New Roman" w:hAnsi="Times New Roman" w:cs="Times New Roman"/>
          <w:iCs/>
          <w:lang w:val="en-IE" w:eastAsia="en-GB"/>
        </w:rPr>
        <w:t xml:space="preserve"> the individual might be detained.</w:t>
      </w:r>
      <w:r w:rsidR="005431B2" w:rsidRPr="00597A71">
        <w:rPr>
          <w:rFonts w:ascii="Times New Roman" w:eastAsia="Times New Roman" w:hAnsi="Times New Roman" w:cs="Times New Roman"/>
          <w:iCs/>
          <w:lang w:val="en-IE" w:eastAsia="en-GB"/>
        </w:rPr>
        <w:t xml:space="preserve">  The CJEU stated that recourse to the step of requesting supplementary information was to be had only in exceptional circumstances and could not be used to obtain information as to the prisons </w:t>
      </w:r>
      <w:r w:rsidR="00963749">
        <w:rPr>
          <w:rFonts w:ascii="Times New Roman" w:eastAsia="Times New Roman" w:hAnsi="Times New Roman" w:cs="Times New Roman"/>
          <w:iCs/>
          <w:lang w:val="en-IE" w:eastAsia="en-GB"/>
        </w:rPr>
        <w:t>in which</w:t>
      </w:r>
      <w:r w:rsidR="005431B2" w:rsidRPr="00597A71">
        <w:rPr>
          <w:rFonts w:ascii="Times New Roman" w:eastAsia="Times New Roman" w:hAnsi="Times New Roman" w:cs="Times New Roman"/>
          <w:iCs/>
          <w:lang w:val="en-IE" w:eastAsia="en-GB"/>
        </w:rPr>
        <w:t xml:space="preserve"> the person </w:t>
      </w:r>
      <w:r w:rsidR="005431B2" w:rsidRPr="00597A71">
        <w:rPr>
          <w:rFonts w:ascii="Times New Roman" w:eastAsia="Times New Roman" w:hAnsi="Times New Roman" w:cs="Times New Roman"/>
          <w:iCs/>
          <w:u w:val="single"/>
          <w:lang w:val="en-IE" w:eastAsia="en-GB"/>
        </w:rPr>
        <w:t>might</w:t>
      </w:r>
      <w:r w:rsidR="005431B2" w:rsidRPr="00597A71">
        <w:rPr>
          <w:rFonts w:ascii="Times New Roman" w:eastAsia="Times New Roman" w:hAnsi="Times New Roman" w:cs="Times New Roman"/>
          <w:iCs/>
          <w:lang w:val="en-IE" w:eastAsia="en-GB"/>
        </w:rPr>
        <w:t xml:space="preserve"> be detained </w:t>
      </w:r>
      <w:r w:rsidR="003E1FE7">
        <w:rPr>
          <w:rFonts w:ascii="Times New Roman" w:eastAsia="Times New Roman" w:hAnsi="Times New Roman" w:cs="Times New Roman"/>
          <w:iCs/>
          <w:lang w:val="en-IE" w:eastAsia="en-GB"/>
        </w:rPr>
        <w:t>(</w:t>
      </w:r>
      <w:r w:rsidR="003E1FE7" w:rsidRPr="00EE6DFF">
        <w:rPr>
          <w:rFonts w:ascii="Times New Roman" w:eastAsia="Times New Roman" w:hAnsi="Times New Roman" w:cs="Times New Roman"/>
          <w:iCs/>
          <w:u w:val="single"/>
          <w:lang w:val="en-IE" w:eastAsia="en-GB"/>
        </w:rPr>
        <w:t>emphasis</w:t>
      </w:r>
      <w:r w:rsidR="003E1FE7">
        <w:rPr>
          <w:rFonts w:ascii="Times New Roman" w:eastAsia="Times New Roman" w:hAnsi="Times New Roman" w:cs="Times New Roman"/>
          <w:iCs/>
          <w:lang w:val="en-IE" w:eastAsia="en-GB"/>
        </w:rPr>
        <w:t xml:space="preserve"> added)</w:t>
      </w:r>
      <w:r w:rsidR="005431B2" w:rsidRPr="00597A71">
        <w:rPr>
          <w:rFonts w:ascii="Times New Roman" w:eastAsia="Times New Roman" w:hAnsi="Times New Roman" w:cs="Times New Roman"/>
          <w:iCs/>
          <w:lang w:val="en-IE" w:eastAsia="en-GB"/>
        </w:rPr>
        <w:t>.  The C</w:t>
      </w:r>
      <w:r w:rsidR="00AA0A55">
        <w:rPr>
          <w:rFonts w:ascii="Times New Roman" w:eastAsia="Times New Roman" w:hAnsi="Times New Roman" w:cs="Times New Roman"/>
          <w:iCs/>
          <w:lang w:val="en-IE" w:eastAsia="en-GB"/>
        </w:rPr>
        <w:t>JEU</w:t>
      </w:r>
      <w:r w:rsidR="005431B2" w:rsidRPr="00597A71">
        <w:rPr>
          <w:rFonts w:ascii="Times New Roman" w:eastAsia="Times New Roman" w:hAnsi="Times New Roman" w:cs="Times New Roman"/>
          <w:iCs/>
          <w:lang w:val="en-IE" w:eastAsia="en-GB"/>
        </w:rPr>
        <w:t xml:space="preserve"> said that as a general rule</w:t>
      </w:r>
      <w:r w:rsidR="00D60E9B" w:rsidRPr="00597A71">
        <w:rPr>
          <w:rFonts w:ascii="Times New Roman" w:eastAsia="Times New Roman" w:hAnsi="Times New Roman" w:cs="Times New Roman"/>
          <w:iCs/>
          <w:lang w:val="en-IE" w:eastAsia="en-GB"/>
        </w:rPr>
        <w:t>,</w:t>
      </w:r>
      <w:r w:rsidR="005431B2" w:rsidRPr="00597A71">
        <w:rPr>
          <w:rFonts w:ascii="Times New Roman" w:eastAsia="Times New Roman" w:hAnsi="Times New Roman" w:cs="Times New Roman"/>
          <w:iCs/>
          <w:lang w:val="en-IE" w:eastAsia="en-GB"/>
        </w:rPr>
        <w:t xml:space="preserve"> </w:t>
      </w:r>
      <w:r w:rsidR="00D60E9B" w:rsidRPr="00597A71">
        <w:rPr>
          <w:rFonts w:ascii="Times New Roman" w:eastAsia="Times New Roman" w:hAnsi="Times New Roman" w:cs="Times New Roman"/>
          <w:iCs/>
          <w:lang w:val="en-IE" w:eastAsia="en-GB"/>
        </w:rPr>
        <w:t>p</w:t>
      </w:r>
      <w:r w:rsidR="005431B2" w:rsidRPr="00597A71">
        <w:rPr>
          <w:rFonts w:ascii="Times New Roman" w:eastAsia="Times New Roman" w:hAnsi="Times New Roman" w:cs="Times New Roman"/>
          <w:iCs/>
          <w:lang w:val="en-IE" w:eastAsia="en-GB"/>
        </w:rPr>
        <w:t xml:space="preserve">risoners could be held in any prison in the territory of a State and that transfers could take place because of unforeseen events unrelated to the requested individual.  </w:t>
      </w:r>
      <w:r w:rsidR="006D2E23" w:rsidRPr="00597A71">
        <w:rPr>
          <w:rFonts w:ascii="Times New Roman" w:eastAsia="Times New Roman" w:hAnsi="Times New Roman" w:cs="Times New Roman"/>
          <w:iCs/>
          <w:lang w:val="en-IE" w:eastAsia="en-GB"/>
        </w:rPr>
        <w:t>Wi</w:t>
      </w:r>
      <w:r w:rsidR="00D425CD" w:rsidRPr="00597A71">
        <w:rPr>
          <w:rFonts w:ascii="Times New Roman" w:eastAsia="Times New Roman" w:hAnsi="Times New Roman" w:cs="Times New Roman"/>
          <w:iCs/>
          <w:lang w:val="en-IE" w:eastAsia="en-GB"/>
        </w:rPr>
        <w:t>th s</w:t>
      </w:r>
      <w:r w:rsidR="006D2E23" w:rsidRPr="00597A71">
        <w:rPr>
          <w:rFonts w:ascii="Times New Roman" w:eastAsia="Times New Roman" w:hAnsi="Times New Roman" w:cs="Times New Roman"/>
          <w:iCs/>
          <w:lang w:val="en-IE" w:eastAsia="en-GB"/>
        </w:rPr>
        <w:t xml:space="preserve">pecific reference to the </w:t>
      </w:r>
      <w:r w:rsidR="00B61D7F">
        <w:rPr>
          <w:rFonts w:ascii="Times New Roman" w:eastAsia="Times New Roman" w:hAnsi="Times New Roman" w:cs="Times New Roman"/>
          <w:iCs/>
          <w:lang w:val="en-IE" w:eastAsia="en-GB"/>
        </w:rPr>
        <w:t>EAW</w:t>
      </w:r>
      <w:r w:rsidR="006D2E23" w:rsidRPr="00597A71">
        <w:rPr>
          <w:rFonts w:ascii="Times New Roman" w:eastAsia="Times New Roman" w:hAnsi="Times New Roman" w:cs="Times New Roman"/>
          <w:iCs/>
          <w:lang w:val="en-IE" w:eastAsia="en-GB"/>
        </w:rPr>
        <w:t xml:space="preserve"> procedure, the C</w:t>
      </w:r>
      <w:r w:rsidR="00AA0A55">
        <w:rPr>
          <w:rFonts w:ascii="Times New Roman" w:eastAsia="Times New Roman" w:hAnsi="Times New Roman" w:cs="Times New Roman"/>
          <w:iCs/>
          <w:lang w:val="en-IE" w:eastAsia="en-GB"/>
        </w:rPr>
        <w:t>JEU</w:t>
      </w:r>
      <w:r w:rsidR="006D2E23" w:rsidRPr="00597A71">
        <w:rPr>
          <w:rFonts w:ascii="Times New Roman" w:eastAsia="Times New Roman" w:hAnsi="Times New Roman" w:cs="Times New Roman"/>
          <w:iCs/>
          <w:lang w:val="en-IE" w:eastAsia="en-GB"/>
        </w:rPr>
        <w:t xml:space="preserve"> said that these considerations are borne out by the objectives of the Framework Decision</w:t>
      </w:r>
      <w:r w:rsidR="00AA0A55">
        <w:rPr>
          <w:rFonts w:ascii="Times New Roman" w:eastAsia="Times New Roman" w:hAnsi="Times New Roman" w:cs="Times New Roman"/>
          <w:iCs/>
          <w:lang w:val="en-IE" w:eastAsia="en-GB"/>
        </w:rPr>
        <w:t>,</w:t>
      </w:r>
      <w:r w:rsidR="006D2E23" w:rsidRPr="00597A71">
        <w:rPr>
          <w:rFonts w:ascii="Times New Roman" w:eastAsia="Times New Roman" w:hAnsi="Times New Roman" w:cs="Times New Roman"/>
          <w:iCs/>
          <w:lang w:val="en-IE" w:eastAsia="en-GB"/>
        </w:rPr>
        <w:t xml:space="preserve"> which w</w:t>
      </w:r>
      <w:r w:rsidR="00841906">
        <w:rPr>
          <w:rFonts w:ascii="Times New Roman" w:eastAsia="Times New Roman" w:hAnsi="Times New Roman" w:cs="Times New Roman"/>
          <w:iCs/>
          <w:lang w:val="en-IE" w:eastAsia="en-GB"/>
        </w:rPr>
        <w:t>ere</w:t>
      </w:r>
      <w:r w:rsidR="006D2E23" w:rsidRPr="00597A71">
        <w:rPr>
          <w:rFonts w:ascii="Times New Roman" w:eastAsia="Times New Roman" w:hAnsi="Times New Roman" w:cs="Times New Roman"/>
          <w:iCs/>
          <w:lang w:val="en-IE" w:eastAsia="en-GB"/>
        </w:rPr>
        <w:t xml:space="preserve"> for a simplified and more effective system of surrender</w:t>
      </w:r>
      <w:r w:rsidR="00AA0A55">
        <w:rPr>
          <w:rFonts w:ascii="Times New Roman" w:eastAsia="Times New Roman" w:hAnsi="Times New Roman" w:cs="Times New Roman"/>
          <w:iCs/>
          <w:lang w:val="en-IE" w:eastAsia="en-GB"/>
        </w:rPr>
        <w:t>,</w:t>
      </w:r>
      <w:r w:rsidR="006D2E23" w:rsidRPr="00597A71">
        <w:rPr>
          <w:rFonts w:ascii="Times New Roman" w:eastAsia="Times New Roman" w:hAnsi="Times New Roman" w:cs="Times New Roman"/>
          <w:iCs/>
          <w:lang w:val="en-IE" w:eastAsia="en-GB"/>
        </w:rPr>
        <w:t xml:space="preserve"> and the C</w:t>
      </w:r>
      <w:r w:rsidR="00AA0A55">
        <w:rPr>
          <w:rFonts w:ascii="Times New Roman" w:eastAsia="Times New Roman" w:hAnsi="Times New Roman" w:cs="Times New Roman"/>
          <w:iCs/>
          <w:lang w:val="en-IE" w:eastAsia="en-GB"/>
        </w:rPr>
        <w:t>JEU</w:t>
      </w:r>
      <w:r w:rsidR="006D2E23" w:rsidRPr="00597A71">
        <w:rPr>
          <w:rFonts w:ascii="Times New Roman" w:eastAsia="Times New Roman" w:hAnsi="Times New Roman" w:cs="Times New Roman"/>
          <w:iCs/>
          <w:lang w:val="en-IE" w:eastAsia="en-GB"/>
        </w:rPr>
        <w:t xml:space="preserve"> referred to the</w:t>
      </w:r>
      <w:r w:rsidR="00841906">
        <w:rPr>
          <w:rFonts w:ascii="Times New Roman" w:eastAsia="Times New Roman" w:hAnsi="Times New Roman" w:cs="Times New Roman"/>
          <w:iCs/>
          <w:lang w:val="en-IE" w:eastAsia="en-GB"/>
        </w:rPr>
        <w:t xml:space="preserve"> relevant</w:t>
      </w:r>
      <w:r w:rsidR="006D2E23" w:rsidRPr="00597A71">
        <w:rPr>
          <w:rFonts w:ascii="Times New Roman" w:eastAsia="Times New Roman" w:hAnsi="Times New Roman" w:cs="Times New Roman"/>
          <w:iCs/>
          <w:lang w:val="en-IE" w:eastAsia="en-GB"/>
        </w:rPr>
        <w:t xml:space="preserve"> time limits.  The C</w:t>
      </w:r>
      <w:r w:rsidR="00AA0A55">
        <w:rPr>
          <w:rFonts w:ascii="Times New Roman" w:eastAsia="Times New Roman" w:hAnsi="Times New Roman" w:cs="Times New Roman"/>
          <w:iCs/>
          <w:lang w:val="en-IE" w:eastAsia="en-GB"/>
        </w:rPr>
        <w:t>JEU</w:t>
      </w:r>
      <w:r w:rsidR="006D2E23" w:rsidRPr="00597A71">
        <w:rPr>
          <w:rFonts w:ascii="Times New Roman" w:eastAsia="Times New Roman" w:hAnsi="Times New Roman" w:cs="Times New Roman"/>
          <w:iCs/>
          <w:lang w:val="en-IE" w:eastAsia="en-GB"/>
        </w:rPr>
        <w:t xml:space="preserve"> held that an obligation to assess all the conditions of detention to which an individual might be exposed was clearly excessive and could substantially delay surrender.  Consequently, </w:t>
      </w:r>
      <w:r w:rsidR="00AB41EE" w:rsidRPr="00597A71">
        <w:rPr>
          <w:rFonts w:ascii="Times New Roman" w:eastAsia="Times New Roman" w:hAnsi="Times New Roman" w:cs="Times New Roman"/>
          <w:iCs/>
          <w:lang w:val="en-IE" w:eastAsia="en-GB"/>
        </w:rPr>
        <w:t>in view of mutual trust and in light of the time limits</w:t>
      </w:r>
      <w:r w:rsidR="008D34E4" w:rsidRPr="00597A71">
        <w:rPr>
          <w:rFonts w:ascii="Times New Roman" w:eastAsia="Times New Roman" w:hAnsi="Times New Roman" w:cs="Times New Roman"/>
          <w:iCs/>
          <w:lang w:val="en-IE" w:eastAsia="en-GB"/>
        </w:rPr>
        <w:t xml:space="preserve"> for surrender</w:t>
      </w:r>
      <w:r w:rsidR="00AB41EE" w:rsidRPr="00597A71">
        <w:rPr>
          <w:rFonts w:ascii="Times New Roman" w:eastAsia="Times New Roman" w:hAnsi="Times New Roman" w:cs="Times New Roman"/>
          <w:iCs/>
          <w:lang w:val="en-IE" w:eastAsia="en-GB"/>
        </w:rPr>
        <w:t xml:space="preserve">, the executing authorities were solely required to assess the conditions of detention in the prisons which, according to the information available to them, is actually intended that the person concerned will be detained, including on </w:t>
      </w:r>
      <w:r w:rsidR="00AB41EE" w:rsidRPr="00597A71">
        <w:rPr>
          <w:rFonts w:ascii="Times New Roman" w:eastAsia="Times New Roman" w:hAnsi="Times New Roman" w:cs="Times New Roman"/>
          <w:iCs/>
          <w:lang w:val="en-IE" w:eastAsia="en-GB"/>
        </w:rPr>
        <w:lastRenderedPageBreak/>
        <w:t>a temporary or transitional basis.</w:t>
      </w:r>
      <w:r w:rsidR="004F764B" w:rsidRPr="00597A71">
        <w:rPr>
          <w:rFonts w:ascii="Times New Roman" w:eastAsia="Times New Roman" w:hAnsi="Times New Roman" w:cs="Times New Roman"/>
          <w:iCs/>
          <w:lang w:val="en-IE" w:eastAsia="en-GB"/>
        </w:rPr>
        <w:t xml:space="preserve">  The CJEU held that the compatibility </w:t>
      </w:r>
      <w:r w:rsidR="006E3C13" w:rsidRPr="00597A71">
        <w:rPr>
          <w:rFonts w:ascii="Times New Roman" w:eastAsia="Times New Roman" w:hAnsi="Times New Roman" w:cs="Times New Roman"/>
          <w:iCs/>
          <w:lang w:val="en-IE" w:eastAsia="en-GB"/>
        </w:rPr>
        <w:t>with the fundamental rights of the conditions of detention in the other prisons in which that person may possibly be held at a later stage is, in accordance with the case</w:t>
      </w:r>
      <w:r w:rsidR="003E1FE7">
        <w:rPr>
          <w:rFonts w:ascii="Times New Roman" w:eastAsia="Times New Roman" w:hAnsi="Times New Roman" w:cs="Times New Roman"/>
          <w:iCs/>
          <w:lang w:val="en-IE" w:eastAsia="en-GB"/>
        </w:rPr>
        <w:t xml:space="preserve"> </w:t>
      </w:r>
      <w:r w:rsidR="006E3C13" w:rsidRPr="00597A71">
        <w:rPr>
          <w:rFonts w:ascii="Times New Roman" w:eastAsia="Times New Roman" w:hAnsi="Times New Roman" w:cs="Times New Roman"/>
          <w:iCs/>
          <w:lang w:val="en-IE" w:eastAsia="en-GB"/>
        </w:rPr>
        <w:t>law of the CJEU, a matter that falls exclusively within the jurisdiction of the courts of the issuing Member State.   In that case</w:t>
      </w:r>
      <w:r w:rsidR="003E1FE7">
        <w:rPr>
          <w:rFonts w:ascii="Times New Roman" w:eastAsia="Times New Roman" w:hAnsi="Times New Roman" w:cs="Times New Roman"/>
          <w:iCs/>
          <w:lang w:val="en-IE" w:eastAsia="en-GB"/>
        </w:rPr>
        <w:t>,</w:t>
      </w:r>
      <w:r w:rsidR="006E3C13" w:rsidRPr="00597A71">
        <w:rPr>
          <w:rFonts w:ascii="Times New Roman" w:eastAsia="Times New Roman" w:hAnsi="Times New Roman" w:cs="Times New Roman"/>
          <w:iCs/>
          <w:lang w:val="en-IE" w:eastAsia="en-GB"/>
        </w:rPr>
        <w:t xml:space="preserve"> the CJEU held that</w:t>
      </w:r>
      <w:r w:rsidR="003E1FE7">
        <w:rPr>
          <w:rFonts w:ascii="Times New Roman" w:eastAsia="Times New Roman" w:hAnsi="Times New Roman" w:cs="Times New Roman"/>
          <w:iCs/>
          <w:lang w:val="en-IE" w:eastAsia="en-GB"/>
        </w:rPr>
        <w:t>,</w:t>
      </w:r>
      <w:r w:rsidR="006E3C13" w:rsidRPr="00597A71">
        <w:rPr>
          <w:rFonts w:ascii="Times New Roman" w:eastAsia="Times New Roman" w:hAnsi="Times New Roman" w:cs="Times New Roman"/>
          <w:iCs/>
          <w:lang w:val="en-IE" w:eastAsia="en-GB"/>
        </w:rPr>
        <w:t xml:space="preserve"> even though the information had not been provided by the issuing judicial authority, it was common ground that the requested person, if surrendered, would initially be held in Budapest prison for a period of one to three week</w:t>
      </w:r>
      <w:r w:rsidR="003E1FE7">
        <w:rPr>
          <w:rFonts w:ascii="Times New Roman" w:eastAsia="Times New Roman" w:hAnsi="Times New Roman" w:cs="Times New Roman"/>
          <w:iCs/>
          <w:lang w:val="en-IE" w:eastAsia="en-GB"/>
        </w:rPr>
        <w:t>s</w:t>
      </w:r>
      <w:r w:rsidR="00AA0A55">
        <w:rPr>
          <w:rFonts w:ascii="Times New Roman" w:eastAsia="Times New Roman" w:hAnsi="Times New Roman" w:cs="Times New Roman"/>
          <w:iCs/>
          <w:lang w:val="en-IE" w:eastAsia="en-GB"/>
        </w:rPr>
        <w:t>,</w:t>
      </w:r>
      <w:r w:rsidR="006E3C13" w:rsidRPr="00597A71">
        <w:rPr>
          <w:rFonts w:ascii="Times New Roman" w:eastAsia="Times New Roman" w:hAnsi="Times New Roman" w:cs="Times New Roman"/>
          <w:iCs/>
          <w:lang w:val="en-IE" w:eastAsia="en-GB"/>
        </w:rPr>
        <w:t xml:space="preserve"> and then transferred to Szombathely prison</w:t>
      </w:r>
      <w:r w:rsidR="003E1FE7">
        <w:rPr>
          <w:rFonts w:ascii="Times New Roman" w:eastAsia="Times New Roman" w:hAnsi="Times New Roman" w:cs="Times New Roman"/>
          <w:iCs/>
          <w:lang w:val="en-IE" w:eastAsia="en-GB"/>
        </w:rPr>
        <w:t>,</w:t>
      </w:r>
      <w:r w:rsidR="006E3C13" w:rsidRPr="00597A71">
        <w:rPr>
          <w:rFonts w:ascii="Times New Roman" w:eastAsia="Times New Roman" w:hAnsi="Times New Roman" w:cs="Times New Roman"/>
          <w:iCs/>
          <w:lang w:val="en-IE" w:eastAsia="en-GB"/>
        </w:rPr>
        <w:t xml:space="preserve"> but it was not inconceivable that he might subsequently be transferred to another place of detention.  The CJEU said that it was only conditions of detention in those prisons that had to be assessed</w:t>
      </w:r>
      <w:r w:rsidR="0099095D" w:rsidRPr="00597A71">
        <w:rPr>
          <w:rFonts w:ascii="Times New Roman" w:eastAsia="Times New Roman" w:hAnsi="Times New Roman" w:cs="Times New Roman"/>
          <w:iCs/>
          <w:lang w:val="en-IE" w:eastAsia="en-GB"/>
        </w:rPr>
        <w:t>.</w:t>
      </w:r>
    </w:p>
    <w:p w14:paraId="19D41241" w14:textId="2AC090F2" w:rsidR="00597A71" w:rsidRDefault="008D34E4"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Having considered the submissions of the parties, the</w:t>
      </w:r>
      <w:r w:rsidR="00D60E9B" w:rsidRPr="00597A71">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 xml:space="preserve">assistance to be gained from </w:t>
      </w:r>
      <w:r w:rsidRPr="00597A71">
        <w:rPr>
          <w:rFonts w:ascii="Times New Roman" w:hAnsi="Times New Roman" w:cs="Times New Roman"/>
          <w:i/>
        </w:rPr>
        <w:t xml:space="preserve">ML </w:t>
      </w:r>
      <w:r w:rsidR="00D425CD" w:rsidRPr="00597A71">
        <w:rPr>
          <w:rFonts w:ascii="Times New Roman" w:hAnsi="Times New Roman" w:cs="Times New Roman"/>
        </w:rPr>
        <w:t>may well be</w:t>
      </w:r>
      <w:r w:rsidR="00D60E9B" w:rsidRPr="00597A71">
        <w:rPr>
          <w:rFonts w:ascii="Times New Roman" w:hAnsi="Times New Roman" w:cs="Times New Roman"/>
        </w:rPr>
        <w:t xml:space="preserve"> limited.</w:t>
      </w:r>
      <w:r w:rsidRPr="00597A71">
        <w:rPr>
          <w:rFonts w:ascii="Times New Roman" w:hAnsi="Times New Roman" w:cs="Times New Roman"/>
        </w:rPr>
        <w:t xml:space="preserve"> The decision is, unsurprisingly, focused on the Framework Decision concerning surrender under a</w:t>
      </w:r>
      <w:r w:rsidR="00F213FD">
        <w:rPr>
          <w:rFonts w:ascii="Times New Roman" w:hAnsi="Times New Roman" w:cs="Times New Roman"/>
        </w:rPr>
        <w:t>n</w:t>
      </w:r>
      <w:r w:rsidRPr="00597A71">
        <w:rPr>
          <w:rFonts w:ascii="Times New Roman" w:hAnsi="Times New Roman" w:cs="Times New Roman"/>
        </w:rPr>
        <w:t xml:space="preserve"> </w:t>
      </w:r>
      <w:r w:rsidR="003E1FE7">
        <w:rPr>
          <w:rFonts w:ascii="Times New Roman" w:hAnsi="Times New Roman" w:cs="Times New Roman"/>
        </w:rPr>
        <w:t>EAW</w:t>
      </w:r>
      <w:r w:rsidRPr="00597A71">
        <w:rPr>
          <w:rFonts w:ascii="Times New Roman" w:hAnsi="Times New Roman" w:cs="Times New Roman"/>
        </w:rPr>
        <w:t xml:space="preserve">.  Nonetheless, </w:t>
      </w:r>
      <w:r w:rsidR="00841906">
        <w:rPr>
          <w:rFonts w:ascii="Times New Roman" w:hAnsi="Times New Roman" w:cs="Times New Roman"/>
        </w:rPr>
        <w:t>it</w:t>
      </w:r>
      <w:r w:rsidR="00D425CD" w:rsidRPr="00597A71">
        <w:rPr>
          <w:rFonts w:ascii="Times New Roman" w:hAnsi="Times New Roman" w:cs="Times New Roman"/>
        </w:rPr>
        <w:t xml:space="preserve"> does premise the limitation on the extent of the examination of all prisons on the principle of mutual trust</w:t>
      </w:r>
      <w:r w:rsidR="00D33948">
        <w:rPr>
          <w:rFonts w:ascii="Times New Roman" w:hAnsi="Times New Roman" w:cs="Times New Roman"/>
        </w:rPr>
        <w:t xml:space="preserve"> </w:t>
      </w:r>
      <w:r w:rsidR="00D425CD" w:rsidRPr="00597A71">
        <w:rPr>
          <w:rFonts w:ascii="Times New Roman" w:hAnsi="Times New Roman" w:cs="Times New Roman"/>
        </w:rPr>
        <w:t>and emphasises the importance of the focus on the effect of surrender on the individual.</w:t>
      </w:r>
      <w:r w:rsidR="004F764B" w:rsidRPr="00597A71">
        <w:rPr>
          <w:rFonts w:ascii="Times New Roman" w:hAnsi="Times New Roman" w:cs="Times New Roman"/>
        </w:rPr>
        <w:t xml:space="preserve"> </w:t>
      </w:r>
    </w:p>
    <w:p w14:paraId="77CD0B6C" w14:textId="196E5FA4" w:rsidR="00597A71" w:rsidRPr="00597A71" w:rsidRDefault="004F764B"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As we have seen, even under</w:t>
      </w:r>
      <w:r w:rsidR="00351809">
        <w:rPr>
          <w:rFonts w:ascii="Times New Roman" w:eastAsia="Times New Roman" w:hAnsi="Times New Roman" w:cs="Times New Roman"/>
          <w:iCs/>
          <w:lang w:val="en-IE" w:eastAsia="en-GB"/>
        </w:rPr>
        <w:t xml:space="preserve"> the</w:t>
      </w:r>
      <w:r w:rsidRPr="00597A71">
        <w:rPr>
          <w:rFonts w:ascii="Times New Roman" w:eastAsia="Times New Roman" w:hAnsi="Times New Roman" w:cs="Times New Roman"/>
          <w:iCs/>
          <w:lang w:val="en-IE" w:eastAsia="en-GB"/>
        </w:rPr>
        <w:t xml:space="preserv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Pr="00597A71">
        <w:rPr>
          <w:rFonts w:ascii="Times New Roman" w:eastAsia="Times New Roman" w:hAnsi="Times New Roman" w:cs="Times New Roman"/>
          <w:iCs/>
          <w:lang w:val="en-IE" w:eastAsia="en-GB"/>
        </w:rPr>
        <w:t>, the focus in extradition cases must be on the treatment to which the individual is at risk of being exposed.</w:t>
      </w:r>
      <w:r w:rsidR="006E3C13" w:rsidRPr="00597A71">
        <w:rPr>
          <w:rFonts w:ascii="Times New Roman" w:eastAsia="Times New Roman" w:hAnsi="Times New Roman" w:cs="Times New Roman"/>
          <w:iCs/>
          <w:lang w:val="en-IE" w:eastAsia="en-GB"/>
        </w:rPr>
        <w:t xml:space="preserve">  There is no requirement to dispel every risk, it is only </w:t>
      </w:r>
      <w:r w:rsidR="00507ED3" w:rsidRPr="00597A71">
        <w:rPr>
          <w:rFonts w:ascii="Times New Roman" w:eastAsia="Times New Roman" w:hAnsi="Times New Roman" w:cs="Times New Roman"/>
          <w:iCs/>
          <w:lang w:val="en-IE" w:eastAsia="en-GB"/>
        </w:rPr>
        <w:t>where</w:t>
      </w:r>
      <w:r w:rsidR="00036311" w:rsidRPr="00597A71">
        <w:rPr>
          <w:rFonts w:ascii="Times New Roman" w:eastAsia="Times New Roman" w:hAnsi="Times New Roman" w:cs="Times New Roman"/>
          <w:iCs/>
          <w:lang w:val="en-IE" w:eastAsia="en-GB"/>
        </w:rPr>
        <w:t>, on substantial grounds,</w:t>
      </w:r>
      <w:r w:rsidR="00507ED3" w:rsidRPr="00597A71">
        <w:rPr>
          <w:rFonts w:ascii="Times New Roman" w:eastAsia="Times New Roman" w:hAnsi="Times New Roman" w:cs="Times New Roman"/>
          <w:iCs/>
          <w:lang w:val="en-IE" w:eastAsia="en-GB"/>
        </w:rPr>
        <w:t xml:space="preserve"> </w:t>
      </w:r>
      <w:r w:rsidR="006E3C13" w:rsidRPr="00597A71">
        <w:rPr>
          <w:rFonts w:ascii="Times New Roman" w:eastAsia="Times New Roman" w:hAnsi="Times New Roman" w:cs="Times New Roman"/>
          <w:iCs/>
          <w:lang w:val="en-IE" w:eastAsia="en-GB"/>
        </w:rPr>
        <w:t>a real risk</w:t>
      </w:r>
      <w:r w:rsidR="00507ED3" w:rsidRPr="00597A71">
        <w:rPr>
          <w:rFonts w:ascii="Times New Roman" w:eastAsia="Times New Roman" w:hAnsi="Times New Roman" w:cs="Times New Roman"/>
          <w:iCs/>
          <w:lang w:val="en-IE" w:eastAsia="en-GB"/>
        </w:rPr>
        <w:t xml:space="preserve"> to the individual </w:t>
      </w:r>
      <w:r w:rsidR="00036311" w:rsidRPr="00597A71">
        <w:rPr>
          <w:rFonts w:ascii="Times New Roman" w:eastAsia="Times New Roman" w:hAnsi="Times New Roman" w:cs="Times New Roman"/>
          <w:iCs/>
          <w:lang w:val="en-IE" w:eastAsia="en-GB"/>
        </w:rPr>
        <w:t xml:space="preserve">of being subjected to inhuman and degrading treatment </w:t>
      </w:r>
      <w:r w:rsidR="00507ED3" w:rsidRPr="00597A71">
        <w:rPr>
          <w:rFonts w:ascii="Times New Roman" w:eastAsia="Times New Roman" w:hAnsi="Times New Roman" w:cs="Times New Roman"/>
          <w:iCs/>
          <w:lang w:val="en-IE" w:eastAsia="en-GB"/>
        </w:rPr>
        <w:t xml:space="preserve">has been </w:t>
      </w:r>
      <w:r w:rsidR="00036311" w:rsidRPr="00597A71">
        <w:rPr>
          <w:rFonts w:ascii="Times New Roman" w:eastAsia="Times New Roman" w:hAnsi="Times New Roman" w:cs="Times New Roman"/>
          <w:iCs/>
          <w:lang w:val="en-IE" w:eastAsia="en-GB"/>
        </w:rPr>
        <w:t>demonstrated</w:t>
      </w:r>
      <w:r w:rsidR="00011F24">
        <w:rPr>
          <w:rFonts w:ascii="Times New Roman" w:eastAsia="Times New Roman" w:hAnsi="Times New Roman" w:cs="Times New Roman"/>
          <w:iCs/>
          <w:lang w:val="en-IE" w:eastAsia="en-GB"/>
        </w:rPr>
        <w:t>,</w:t>
      </w:r>
      <w:r w:rsidR="00036311" w:rsidRPr="00597A71">
        <w:rPr>
          <w:rFonts w:ascii="Times New Roman" w:eastAsia="Times New Roman" w:hAnsi="Times New Roman" w:cs="Times New Roman"/>
          <w:iCs/>
          <w:lang w:val="en-IE" w:eastAsia="en-GB"/>
        </w:rPr>
        <w:t xml:space="preserve"> that a court must refuse extradition.  Mutual trust under the Framework Decision is </w:t>
      </w:r>
      <w:r w:rsidR="005220D9">
        <w:rPr>
          <w:rFonts w:ascii="Times New Roman" w:eastAsia="Times New Roman" w:hAnsi="Times New Roman" w:cs="Times New Roman"/>
          <w:iCs/>
          <w:lang w:val="en-IE" w:eastAsia="en-GB"/>
        </w:rPr>
        <w:t xml:space="preserve">a </w:t>
      </w:r>
      <w:r w:rsidR="00036311" w:rsidRPr="00597A71">
        <w:rPr>
          <w:rFonts w:ascii="Times New Roman" w:eastAsia="Times New Roman" w:hAnsi="Times New Roman" w:cs="Times New Roman"/>
          <w:iCs/>
          <w:lang w:val="en-IE" w:eastAsia="en-GB"/>
        </w:rPr>
        <w:t>higher</w:t>
      </w:r>
      <w:r w:rsidR="005220D9">
        <w:rPr>
          <w:rFonts w:ascii="Times New Roman" w:eastAsia="Times New Roman" w:hAnsi="Times New Roman" w:cs="Times New Roman"/>
          <w:iCs/>
          <w:lang w:val="en-IE" w:eastAsia="en-GB"/>
        </w:rPr>
        <w:t xml:space="preserve"> standard</w:t>
      </w:r>
      <w:r w:rsidR="00036311" w:rsidRPr="00597A71">
        <w:rPr>
          <w:rFonts w:ascii="Times New Roman" w:eastAsia="Times New Roman" w:hAnsi="Times New Roman" w:cs="Times New Roman"/>
          <w:iCs/>
          <w:lang w:val="en-IE" w:eastAsia="en-GB"/>
        </w:rPr>
        <w:t xml:space="preserve"> than the presumption of good faith (reciprocity and mutuality) that exists in extradition arrangements.  N</w:t>
      </w:r>
      <w:r w:rsidR="0055182F" w:rsidRPr="00597A71">
        <w:rPr>
          <w:rFonts w:ascii="Times New Roman" w:eastAsia="Times New Roman" w:hAnsi="Times New Roman" w:cs="Times New Roman"/>
          <w:iCs/>
          <w:lang w:val="en-IE" w:eastAsia="en-GB"/>
        </w:rPr>
        <w:t>onetheless</w:t>
      </w:r>
      <w:r w:rsidR="00E0195F" w:rsidRPr="00597A71">
        <w:rPr>
          <w:rFonts w:ascii="Times New Roman" w:eastAsia="Times New Roman" w:hAnsi="Times New Roman" w:cs="Times New Roman"/>
          <w:iCs/>
          <w:lang w:val="en-IE" w:eastAsia="en-GB"/>
        </w:rPr>
        <w:t>,</w:t>
      </w:r>
      <w:r w:rsidR="0055182F" w:rsidRPr="00597A71">
        <w:rPr>
          <w:rFonts w:ascii="Times New Roman" w:eastAsia="Times New Roman" w:hAnsi="Times New Roman" w:cs="Times New Roman"/>
          <w:iCs/>
          <w:lang w:val="en-IE" w:eastAsia="en-GB"/>
        </w:rPr>
        <w:t xml:space="preserve"> that lower level of good faith must apply; indeed, this </w:t>
      </w:r>
      <w:r w:rsidR="00D425CD" w:rsidRPr="00597A71">
        <w:rPr>
          <w:rFonts w:ascii="Times New Roman" w:eastAsia="Times New Roman" w:hAnsi="Times New Roman" w:cs="Times New Roman"/>
          <w:iCs/>
          <w:lang w:val="en-IE" w:eastAsia="en-GB"/>
        </w:rPr>
        <w:t>concept can</w:t>
      </w:r>
      <w:r w:rsidR="0055182F" w:rsidRPr="00597A71">
        <w:rPr>
          <w:rFonts w:ascii="Times New Roman" w:eastAsia="Times New Roman" w:hAnsi="Times New Roman" w:cs="Times New Roman"/>
          <w:iCs/>
          <w:lang w:val="en-IE" w:eastAsia="en-GB"/>
        </w:rPr>
        <w:t xml:space="preserve"> be understood as the basis for the statement in 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0055182F" w:rsidRPr="00597A71">
        <w:rPr>
          <w:rFonts w:ascii="Times New Roman" w:eastAsia="Times New Roman" w:hAnsi="Times New Roman" w:cs="Times New Roman"/>
          <w:iCs/>
          <w:lang w:val="en-IE" w:eastAsia="en-GB"/>
        </w:rPr>
        <w:t xml:space="preserve"> that </w:t>
      </w:r>
      <w:r w:rsidR="00515263">
        <w:rPr>
          <w:rFonts w:ascii="Times New Roman" w:eastAsia="Times New Roman" w:hAnsi="Times New Roman" w:cs="Times New Roman"/>
          <w:iCs/>
          <w:lang w:val="en-IE" w:eastAsia="en-GB"/>
        </w:rPr>
        <w:t>the mere possibility of ill</w:t>
      </w:r>
      <w:r w:rsidR="00351809">
        <w:rPr>
          <w:rFonts w:ascii="Times New Roman" w:eastAsia="Times New Roman" w:hAnsi="Times New Roman" w:cs="Times New Roman"/>
          <w:iCs/>
          <w:lang w:val="en-IE" w:eastAsia="en-GB"/>
        </w:rPr>
        <w:t xml:space="preserve"> </w:t>
      </w:r>
      <w:r w:rsidR="00515263">
        <w:rPr>
          <w:rFonts w:ascii="Times New Roman" w:eastAsia="Times New Roman" w:hAnsi="Times New Roman" w:cs="Times New Roman"/>
          <w:iCs/>
          <w:lang w:val="en-IE" w:eastAsia="en-GB"/>
        </w:rPr>
        <w:t>treatment is not sufficient.</w:t>
      </w:r>
      <w:r w:rsidR="00E0195F" w:rsidRPr="00597A71">
        <w:rPr>
          <w:rFonts w:ascii="Times New Roman" w:eastAsia="Times New Roman" w:hAnsi="Times New Roman" w:cs="Times New Roman"/>
          <w:iCs/>
          <w:lang w:val="en-IE" w:eastAsia="en-GB"/>
        </w:rPr>
        <w:t xml:space="preserve">  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00E0195F" w:rsidRPr="00597A71">
        <w:rPr>
          <w:rFonts w:ascii="Times New Roman" w:eastAsia="Times New Roman" w:hAnsi="Times New Roman" w:cs="Times New Roman"/>
          <w:iCs/>
          <w:lang w:val="en-IE" w:eastAsia="en-GB"/>
        </w:rPr>
        <w:t xml:space="preserve"> also require a court to focus on the </w:t>
      </w:r>
      <w:r w:rsidR="00E0195F" w:rsidRPr="00597A71">
        <w:rPr>
          <w:rFonts w:ascii="Times New Roman" w:eastAsia="Times New Roman" w:hAnsi="Times New Roman" w:cs="Times New Roman"/>
          <w:iCs/>
          <w:lang w:val="en-IE" w:eastAsia="en-GB"/>
        </w:rPr>
        <w:lastRenderedPageBreak/>
        <w:t>foreseeable consequences of the return</w:t>
      </w:r>
      <w:r w:rsidR="00011F24">
        <w:rPr>
          <w:rFonts w:ascii="Times New Roman" w:eastAsia="Times New Roman" w:hAnsi="Times New Roman" w:cs="Times New Roman"/>
          <w:iCs/>
          <w:lang w:val="en-IE" w:eastAsia="en-GB"/>
        </w:rPr>
        <w:t>,</w:t>
      </w:r>
      <w:r w:rsidR="00E0195F" w:rsidRPr="00597A71">
        <w:rPr>
          <w:rFonts w:ascii="Times New Roman" w:eastAsia="Times New Roman" w:hAnsi="Times New Roman" w:cs="Times New Roman"/>
          <w:iCs/>
          <w:lang w:val="en-IE" w:eastAsia="en-GB"/>
        </w:rPr>
        <w:t xml:space="preserve"> bearing in mind the general situation there and the personal circumstances of this appellant.  </w:t>
      </w:r>
    </w:p>
    <w:p w14:paraId="103C16D6" w14:textId="1D5F501A" w:rsidR="00597A71" w:rsidRPr="00597A71" w:rsidRDefault="00C376AC"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The appellant urged upon the Court that the real risk had been demonstrated here; there was, he submitted, no evidence that he was not at risk of being subjected to a lengthy period of probation supervision.  The appellant then submit</w:t>
      </w:r>
      <w:r w:rsidR="00B00454">
        <w:rPr>
          <w:rFonts w:ascii="Times New Roman" w:eastAsia="Times New Roman" w:hAnsi="Times New Roman" w:cs="Times New Roman"/>
          <w:iCs/>
          <w:lang w:val="en-IE" w:eastAsia="en-GB"/>
        </w:rPr>
        <w:t>ted</w:t>
      </w:r>
      <w:r w:rsidRPr="00597A71">
        <w:rPr>
          <w:rFonts w:ascii="Times New Roman" w:eastAsia="Times New Roman" w:hAnsi="Times New Roman" w:cs="Times New Roman"/>
          <w:iCs/>
          <w:lang w:val="en-IE" w:eastAsia="en-GB"/>
        </w:rPr>
        <w:t xml:space="preserve"> that “</w:t>
      </w:r>
      <w:r w:rsidR="00011F24">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t</w:t>
      </w:r>
      <w:r w:rsidR="00011F24">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he actual and precise conditions which [he] would be subjected to, if released on probation supervision would, as can be ascertained from his previous experience, expose him to a real risk of inhuman and degrading treatment”</w:t>
      </w:r>
      <w:r w:rsidR="00011F24">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w:t>
      </w:r>
      <w:r w:rsidR="00011F24">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[a]</w:t>
      </w:r>
      <w:proofErr w:type="spellStart"/>
      <w:r w:rsidRPr="00597A71">
        <w:rPr>
          <w:rFonts w:ascii="Times New Roman" w:eastAsia="Times New Roman" w:hAnsi="Times New Roman" w:cs="Times New Roman"/>
          <w:iCs/>
          <w:lang w:val="en-IE" w:eastAsia="en-GB"/>
        </w:rPr>
        <w:t>bsent</w:t>
      </w:r>
      <w:proofErr w:type="spellEnd"/>
      <w:r w:rsidRPr="00597A71">
        <w:rPr>
          <w:rFonts w:ascii="Times New Roman" w:eastAsia="Times New Roman" w:hAnsi="Times New Roman" w:cs="Times New Roman"/>
          <w:iCs/>
          <w:lang w:val="en-IE" w:eastAsia="en-GB"/>
        </w:rPr>
        <w:t xml:space="preserve"> any evidence to the contrary, …the Court should allow his appeal and decline to sanction his extradition.” </w:t>
      </w:r>
    </w:p>
    <w:p w14:paraId="6C44D918" w14:textId="119A5783" w:rsidR="00597A71" w:rsidRPr="00597A71" w:rsidRDefault="00C376AC"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As referred to previously, those submissions do not </w:t>
      </w:r>
      <w:proofErr w:type="gramStart"/>
      <w:r w:rsidRPr="00597A71">
        <w:rPr>
          <w:rFonts w:ascii="Times New Roman" w:eastAsia="Times New Roman" w:hAnsi="Times New Roman" w:cs="Times New Roman"/>
          <w:iCs/>
          <w:lang w:val="en-IE" w:eastAsia="en-GB"/>
        </w:rPr>
        <w:t xml:space="preserve">take </w:t>
      </w:r>
      <w:r w:rsidR="00D425CD" w:rsidRPr="00597A71">
        <w:rPr>
          <w:rFonts w:ascii="Times New Roman" w:eastAsia="Times New Roman" w:hAnsi="Times New Roman" w:cs="Times New Roman"/>
          <w:iCs/>
          <w:lang w:val="en-IE" w:eastAsia="en-GB"/>
        </w:rPr>
        <w:t xml:space="preserve">into </w:t>
      </w:r>
      <w:r w:rsidRPr="00597A71">
        <w:rPr>
          <w:rFonts w:ascii="Times New Roman" w:eastAsia="Times New Roman" w:hAnsi="Times New Roman" w:cs="Times New Roman"/>
          <w:iCs/>
          <w:lang w:val="en-IE" w:eastAsia="en-GB"/>
        </w:rPr>
        <w:t>account</w:t>
      </w:r>
      <w:proofErr w:type="gramEnd"/>
      <w:r w:rsidRPr="00597A71">
        <w:rPr>
          <w:rFonts w:ascii="Times New Roman" w:eastAsia="Times New Roman" w:hAnsi="Times New Roman" w:cs="Times New Roman"/>
          <w:iCs/>
          <w:lang w:val="en-IE" w:eastAsia="en-GB"/>
        </w:rPr>
        <w:t xml:space="preserve"> that it is not the risk that he may be subjected to probation supervision that is the </w:t>
      </w:r>
      <w:r w:rsidR="00D425CD" w:rsidRPr="00597A71">
        <w:rPr>
          <w:rFonts w:ascii="Times New Roman" w:eastAsia="Times New Roman" w:hAnsi="Times New Roman" w:cs="Times New Roman"/>
          <w:iCs/>
          <w:lang w:val="en-IE" w:eastAsia="en-GB"/>
        </w:rPr>
        <w:t>real</w:t>
      </w:r>
      <w:r w:rsidRPr="00597A71">
        <w:rPr>
          <w:rFonts w:ascii="Times New Roman" w:eastAsia="Times New Roman" w:hAnsi="Times New Roman" w:cs="Times New Roman"/>
          <w:iCs/>
          <w:lang w:val="en-IE" w:eastAsia="en-GB"/>
        </w:rPr>
        <w:t xml:space="preserve"> concern of the Court; it is the risk he will be subjected to the inhuman and degrading treatment in the future that must be assessed.  Moreover, two aspects of 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Pr="00597A71">
        <w:rPr>
          <w:rFonts w:ascii="Times New Roman" w:eastAsia="Times New Roman" w:hAnsi="Times New Roman" w:cs="Times New Roman"/>
          <w:iCs/>
          <w:lang w:val="en-IE" w:eastAsia="en-GB"/>
        </w:rPr>
        <w:t xml:space="preserve"> are particularly apt to mention in the context of these submissions of the appellant.  In the first place, the court assessing the conditions must engage in a rigorous examination of the facts</w:t>
      </w:r>
      <w:r w:rsidR="00011F24">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secondly, the relevant time that is decisive for decision</w:t>
      </w:r>
      <w:r w:rsidR="00011F24">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making is the time of the High Court proceedings.  Furthermore, as </w:t>
      </w:r>
      <w:r w:rsidRPr="00EE6DFF">
        <w:rPr>
          <w:rFonts w:ascii="Times New Roman" w:eastAsia="Times New Roman" w:hAnsi="Times New Roman" w:cs="Times New Roman"/>
          <w:i/>
          <w:lang w:val="en-IE" w:eastAsia="en-GB"/>
        </w:rPr>
        <w:t xml:space="preserve">per </w:t>
      </w:r>
      <w:proofErr w:type="spellStart"/>
      <w:r w:rsidRPr="00597A71">
        <w:rPr>
          <w:rFonts w:ascii="Times New Roman" w:eastAsia="Times New Roman" w:hAnsi="Times New Roman" w:cs="Times New Roman"/>
          <w:i/>
          <w:iCs/>
          <w:lang w:val="en-IE" w:eastAsia="en-GB"/>
        </w:rPr>
        <w:t>Saadi</w:t>
      </w:r>
      <w:proofErr w:type="spellEnd"/>
      <w:r w:rsidRPr="00597A71">
        <w:rPr>
          <w:rFonts w:ascii="Times New Roman" w:eastAsia="Times New Roman" w:hAnsi="Times New Roman" w:cs="Times New Roman"/>
          <w:i/>
          <w:iCs/>
          <w:lang w:val="en-IE" w:eastAsia="en-GB"/>
        </w:rPr>
        <w:t xml:space="preserve"> v</w:t>
      </w:r>
      <w:r w:rsidR="00011F24">
        <w:rPr>
          <w:rFonts w:ascii="Times New Roman" w:eastAsia="Times New Roman" w:hAnsi="Times New Roman" w:cs="Times New Roman"/>
          <w:i/>
          <w:iCs/>
          <w:lang w:val="en-IE" w:eastAsia="en-GB"/>
        </w:rPr>
        <w:t>.</w:t>
      </w:r>
      <w:r w:rsidRPr="00597A71">
        <w:rPr>
          <w:rFonts w:ascii="Times New Roman" w:eastAsia="Times New Roman" w:hAnsi="Times New Roman" w:cs="Times New Roman"/>
          <w:i/>
          <w:iCs/>
          <w:lang w:val="en-IE" w:eastAsia="en-GB"/>
        </w:rPr>
        <w:t xml:space="preserve"> Italy</w:t>
      </w:r>
      <w:r w:rsidRPr="00597A71">
        <w:rPr>
          <w:rFonts w:ascii="Times New Roman" w:eastAsia="Times New Roman" w:hAnsi="Times New Roman" w:cs="Times New Roman"/>
          <w:iCs/>
          <w:lang w:val="en-IE" w:eastAsia="en-GB"/>
        </w:rPr>
        <w:t xml:space="preserve">, </w:t>
      </w:r>
      <w:r w:rsidR="00011F24">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historical facts are of interest only in</w:t>
      </w:r>
      <w:r w:rsidR="00235CE8">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so</w:t>
      </w:r>
      <w:r w:rsidR="00235CE8">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 xml:space="preserve">far as they shed light on the current situation and the way </w:t>
      </w:r>
      <w:r w:rsidR="00235CE8">
        <w:rPr>
          <w:rFonts w:ascii="Times New Roman" w:eastAsia="Times New Roman" w:hAnsi="Times New Roman" w:cs="Times New Roman"/>
          <w:iCs/>
          <w:lang w:val="en-IE" w:eastAsia="en-GB"/>
        </w:rPr>
        <w:t>in which it</w:t>
      </w:r>
      <w:r w:rsidRPr="00597A71">
        <w:rPr>
          <w:rFonts w:ascii="Times New Roman" w:eastAsia="Times New Roman" w:hAnsi="Times New Roman" w:cs="Times New Roman"/>
          <w:iCs/>
          <w:lang w:val="en-IE" w:eastAsia="en-GB"/>
        </w:rPr>
        <w:t xml:space="preserve"> is likely to develop</w:t>
      </w:r>
      <w:r w:rsidR="00235CE8">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In other words, </w:t>
      </w:r>
      <w:r w:rsidR="00D425CD" w:rsidRPr="00597A71">
        <w:rPr>
          <w:rFonts w:ascii="Times New Roman" w:eastAsia="Times New Roman" w:hAnsi="Times New Roman" w:cs="Times New Roman"/>
          <w:iCs/>
          <w:lang w:val="en-IE" w:eastAsia="en-GB"/>
        </w:rPr>
        <w:t>a court must</w:t>
      </w:r>
      <w:r w:rsidRPr="00597A71">
        <w:rPr>
          <w:rFonts w:ascii="Times New Roman" w:eastAsia="Times New Roman" w:hAnsi="Times New Roman" w:cs="Times New Roman"/>
          <w:iCs/>
          <w:lang w:val="en-IE" w:eastAsia="en-GB"/>
        </w:rPr>
        <w:t xml:space="preserve"> carry out a rigorous examination of the evidence in assessing the real risk of</w:t>
      </w:r>
      <w:r w:rsidR="00235CE8">
        <w:rPr>
          <w:rFonts w:ascii="Times New Roman" w:eastAsia="Times New Roman" w:hAnsi="Times New Roman" w:cs="Times New Roman"/>
          <w:iCs/>
          <w:lang w:val="en-IE" w:eastAsia="en-GB"/>
        </w:rPr>
        <w:t xml:space="preserve"> the individual concerned</w:t>
      </w:r>
      <w:r w:rsidRPr="00597A71">
        <w:rPr>
          <w:rFonts w:ascii="Times New Roman" w:eastAsia="Times New Roman" w:hAnsi="Times New Roman" w:cs="Times New Roman"/>
          <w:iCs/>
          <w:lang w:val="en-IE" w:eastAsia="en-GB"/>
        </w:rPr>
        <w:t xml:space="preserve"> being exposed to inhuman and degrading treatment</w:t>
      </w:r>
      <w:r w:rsidR="00235CE8">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should the </w:t>
      </w:r>
      <w:r w:rsidR="00D425CD" w:rsidRPr="00597A71">
        <w:rPr>
          <w:rFonts w:ascii="Times New Roman" w:eastAsia="Times New Roman" w:hAnsi="Times New Roman" w:cs="Times New Roman"/>
          <w:iCs/>
          <w:lang w:val="en-IE" w:eastAsia="en-GB"/>
        </w:rPr>
        <w:t xml:space="preserve">requested person </w:t>
      </w:r>
      <w:r w:rsidRPr="00597A71">
        <w:rPr>
          <w:rFonts w:ascii="Times New Roman" w:eastAsia="Times New Roman" w:hAnsi="Times New Roman" w:cs="Times New Roman"/>
          <w:iCs/>
          <w:lang w:val="en-IE" w:eastAsia="en-GB"/>
        </w:rPr>
        <w:t xml:space="preserve">be returned. </w:t>
      </w:r>
      <w:r w:rsidR="00351809">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 xml:space="preserve">In this appeal, it is for the appellant to satisfy this Court that the High Court’s conclusion that there was no real risk of </w:t>
      </w:r>
      <w:r w:rsidR="00D425CD" w:rsidRPr="00597A71">
        <w:rPr>
          <w:rFonts w:ascii="Times New Roman" w:eastAsia="Times New Roman" w:hAnsi="Times New Roman" w:cs="Times New Roman"/>
          <w:iCs/>
          <w:lang w:val="en-IE" w:eastAsia="en-GB"/>
        </w:rPr>
        <w:t xml:space="preserve">him </w:t>
      </w:r>
      <w:r w:rsidRPr="00597A71">
        <w:rPr>
          <w:rFonts w:ascii="Times New Roman" w:eastAsia="Times New Roman" w:hAnsi="Times New Roman" w:cs="Times New Roman"/>
          <w:iCs/>
          <w:lang w:val="en-IE" w:eastAsia="en-GB"/>
        </w:rPr>
        <w:t>being exposed to inhuman and degrading treatment was wrong</w:t>
      </w:r>
      <w:r w:rsidR="00D425CD" w:rsidRPr="00597A71">
        <w:rPr>
          <w:rFonts w:ascii="Times New Roman" w:eastAsia="Times New Roman" w:hAnsi="Times New Roman" w:cs="Times New Roman"/>
          <w:iCs/>
          <w:lang w:val="en-IE" w:eastAsia="en-GB"/>
        </w:rPr>
        <w:t>.  It is not sufficient to demonstrate t</w:t>
      </w:r>
      <w:r w:rsidRPr="00597A71">
        <w:rPr>
          <w:rFonts w:ascii="Times New Roman" w:eastAsia="Times New Roman" w:hAnsi="Times New Roman" w:cs="Times New Roman"/>
          <w:iCs/>
          <w:lang w:val="en-IE" w:eastAsia="en-GB"/>
        </w:rPr>
        <w:t>hat one part of its assessment was incorrect.</w:t>
      </w:r>
    </w:p>
    <w:p w14:paraId="28496741" w14:textId="3B2D863C" w:rsidR="00597A71" w:rsidRPr="00597A71" w:rsidRDefault="00E0195F"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What does this mean for the assessment of the facts in th</w:t>
      </w:r>
      <w:r w:rsidR="00D425CD" w:rsidRPr="00597A71">
        <w:rPr>
          <w:rFonts w:ascii="Times New Roman" w:eastAsia="Times New Roman" w:hAnsi="Times New Roman" w:cs="Times New Roman"/>
          <w:iCs/>
          <w:lang w:val="en-IE" w:eastAsia="en-GB"/>
        </w:rPr>
        <w:t>e present</w:t>
      </w:r>
      <w:r w:rsidRPr="00597A71">
        <w:rPr>
          <w:rFonts w:ascii="Times New Roman" w:eastAsia="Times New Roman" w:hAnsi="Times New Roman" w:cs="Times New Roman"/>
          <w:iCs/>
          <w:lang w:val="en-IE" w:eastAsia="en-GB"/>
        </w:rPr>
        <w:t xml:space="preserve"> case</w:t>
      </w:r>
      <w:r w:rsidR="00351809">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where</w:t>
      </w:r>
      <w:r w:rsidR="00351809">
        <w:rPr>
          <w:rFonts w:ascii="Times New Roman" w:eastAsia="Times New Roman" w:hAnsi="Times New Roman" w:cs="Times New Roman"/>
          <w:iCs/>
          <w:lang w:val="en-IE" w:eastAsia="en-GB"/>
        </w:rPr>
        <w:t>in</w:t>
      </w:r>
      <w:r w:rsidRPr="00597A71">
        <w:rPr>
          <w:rFonts w:ascii="Times New Roman" w:eastAsia="Times New Roman" w:hAnsi="Times New Roman" w:cs="Times New Roman"/>
          <w:iCs/>
          <w:lang w:val="en-IE" w:eastAsia="en-GB"/>
        </w:rPr>
        <w:t xml:space="preserve"> the risks are downstream from events that will occur after any extradition?</w:t>
      </w:r>
      <w:r w:rsidR="00D60E9B" w:rsidRPr="00597A71">
        <w:rPr>
          <w:rFonts w:ascii="Times New Roman" w:eastAsia="Times New Roman" w:hAnsi="Times New Roman" w:cs="Times New Roman"/>
          <w:iCs/>
          <w:lang w:val="en-IE" w:eastAsia="en-GB"/>
        </w:rPr>
        <w:t xml:space="preserve">  </w:t>
      </w:r>
    </w:p>
    <w:p w14:paraId="230AF411" w14:textId="0CA0F721" w:rsidR="00597A71" w:rsidRPr="00597A71" w:rsidRDefault="00C376AC" w:rsidP="00597A71">
      <w:pPr>
        <w:pStyle w:val="ListParagraph"/>
        <w:spacing w:line="480" w:lineRule="auto"/>
        <w:ind w:left="0"/>
        <w:jc w:val="both"/>
        <w:rPr>
          <w:rFonts w:ascii="Times New Roman" w:hAnsi="Times New Roman" w:cs="Times New Roman"/>
        </w:rPr>
      </w:pPr>
      <w:r w:rsidRPr="00597A71">
        <w:rPr>
          <w:rFonts w:ascii="Times New Roman" w:eastAsia="Times New Roman" w:hAnsi="Times New Roman" w:cs="Times New Roman"/>
          <w:b/>
          <w:i/>
          <w:iCs/>
          <w:lang w:val="en-IE" w:eastAsia="en-GB"/>
        </w:rPr>
        <w:lastRenderedPageBreak/>
        <w:t xml:space="preserve">The </w:t>
      </w:r>
      <w:r w:rsidR="00235CE8">
        <w:rPr>
          <w:rFonts w:ascii="Times New Roman" w:eastAsia="Times New Roman" w:hAnsi="Times New Roman" w:cs="Times New Roman"/>
          <w:b/>
          <w:i/>
          <w:iCs/>
          <w:lang w:val="en-IE" w:eastAsia="en-GB"/>
        </w:rPr>
        <w:t>m</w:t>
      </w:r>
      <w:r w:rsidRPr="00597A71">
        <w:rPr>
          <w:rFonts w:ascii="Times New Roman" w:eastAsia="Times New Roman" w:hAnsi="Times New Roman" w:cs="Times New Roman"/>
          <w:b/>
          <w:i/>
          <w:iCs/>
          <w:lang w:val="en-IE" w:eastAsia="en-GB"/>
        </w:rPr>
        <w:t xml:space="preserve">easurement of </w:t>
      </w:r>
      <w:r w:rsidR="00235CE8">
        <w:rPr>
          <w:rFonts w:ascii="Times New Roman" w:eastAsia="Times New Roman" w:hAnsi="Times New Roman" w:cs="Times New Roman"/>
          <w:b/>
          <w:i/>
          <w:iCs/>
          <w:lang w:val="en-IE" w:eastAsia="en-GB"/>
        </w:rPr>
        <w:t>r</w:t>
      </w:r>
      <w:r w:rsidRPr="00597A71">
        <w:rPr>
          <w:rFonts w:ascii="Times New Roman" w:eastAsia="Times New Roman" w:hAnsi="Times New Roman" w:cs="Times New Roman"/>
          <w:b/>
          <w:i/>
          <w:iCs/>
          <w:lang w:val="en-IE" w:eastAsia="en-GB"/>
        </w:rPr>
        <w:t>isk</w:t>
      </w:r>
    </w:p>
    <w:p w14:paraId="50525C47" w14:textId="56F9C831" w:rsidR="00235CE8" w:rsidRPr="00EE6DFF" w:rsidRDefault="00D60E9B"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A </w:t>
      </w:r>
      <w:r w:rsidR="00D425CD" w:rsidRPr="00597A71">
        <w:rPr>
          <w:rFonts w:ascii="Times New Roman" w:eastAsia="Times New Roman" w:hAnsi="Times New Roman" w:cs="Times New Roman"/>
          <w:iCs/>
          <w:lang w:val="en-IE" w:eastAsia="en-GB"/>
        </w:rPr>
        <w:t>c</w:t>
      </w:r>
      <w:r w:rsidRPr="00597A71">
        <w:rPr>
          <w:rFonts w:ascii="Times New Roman" w:eastAsia="Times New Roman" w:hAnsi="Times New Roman" w:cs="Times New Roman"/>
          <w:iCs/>
          <w:lang w:val="en-IE" w:eastAsia="en-GB"/>
        </w:rPr>
        <w:t>ourt is obliged, in the words of McKechnie J.</w:t>
      </w:r>
      <w:r w:rsidR="005220D9">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to “measure risk”. </w:t>
      </w:r>
      <w:r w:rsidR="00235CE8">
        <w:rPr>
          <w:rFonts w:ascii="Times New Roman" w:eastAsia="Times New Roman" w:hAnsi="Times New Roman" w:cs="Times New Roman"/>
          <w:iCs/>
          <w:lang w:val="en-IE" w:eastAsia="en-GB"/>
        </w:rPr>
        <w:t>The following considerations are relevant to that measurement:</w:t>
      </w:r>
    </w:p>
    <w:p w14:paraId="7195603D" w14:textId="18FEE430" w:rsidR="00235CE8" w:rsidRPr="00EE6DFF" w:rsidRDefault="00235CE8" w:rsidP="00235CE8">
      <w:pPr>
        <w:pStyle w:val="ListParagraph"/>
        <w:numPr>
          <w:ilvl w:val="1"/>
          <w:numId w:val="1"/>
        </w:numPr>
        <w:spacing w:line="480" w:lineRule="auto"/>
        <w:ind w:left="1080"/>
        <w:jc w:val="both"/>
        <w:rPr>
          <w:rFonts w:ascii="Times New Roman" w:hAnsi="Times New Roman" w:cs="Times New Roman"/>
        </w:rPr>
      </w:pPr>
      <w:r>
        <w:rPr>
          <w:rFonts w:ascii="Times New Roman" w:eastAsia="Times New Roman" w:hAnsi="Times New Roman" w:cs="Times New Roman"/>
          <w:iCs/>
          <w:lang w:val="en-IE" w:eastAsia="en-GB"/>
        </w:rPr>
        <w:t>t</w:t>
      </w:r>
      <w:r w:rsidR="00D60E9B" w:rsidRPr="00597A71">
        <w:rPr>
          <w:rFonts w:ascii="Times New Roman" w:eastAsia="Times New Roman" w:hAnsi="Times New Roman" w:cs="Times New Roman"/>
          <w:iCs/>
          <w:lang w:val="en-IE" w:eastAsia="en-GB"/>
        </w:rPr>
        <w:t xml:space="preserve">he measurement of </w:t>
      </w:r>
      <w:r w:rsidR="00C376AC" w:rsidRPr="00597A71">
        <w:rPr>
          <w:rFonts w:ascii="Times New Roman" w:eastAsia="Times New Roman" w:hAnsi="Times New Roman" w:cs="Times New Roman"/>
          <w:iCs/>
          <w:lang w:val="en-IE" w:eastAsia="en-GB"/>
        </w:rPr>
        <w:t>risk must take place in the framework that has been identified</w:t>
      </w:r>
      <w:r>
        <w:rPr>
          <w:rFonts w:ascii="Times New Roman" w:eastAsia="Times New Roman" w:hAnsi="Times New Roman" w:cs="Times New Roman"/>
          <w:iCs/>
          <w:lang w:val="en-IE" w:eastAsia="en-GB"/>
        </w:rPr>
        <w:t>;</w:t>
      </w:r>
    </w:p>
    <w:p w14:paraId="3F60E760" w14:textId="22FD091D" w:rsidR="00235CE8" w:rsidRPr="00EE6DFF" w:rsidRDefault="00235CE8" w:rsidP="00235CE8">
      <w:pPr>
        <w:pStyle w:val="ListParagraph"/>
        <w:numPr>
          <w:ilvl w:val="1"/>
          <w:numId w:val="1"/>
        </w:numPr>
        <w:spacing w:line="480" w:lineRule="auto"/>
        <w:ind w:left="1080"/>
        <w:jc w:val="both"/>
        <w:rPr>
          <w:rFonts w:ascii="Times New Roman" w:hAnsi="Times New Roman" w:cs="Times New Roman"/>
        </w:rPr>
      </w:pPr>
      <w:r>
        <w:rPr>
          <w:rFonts w:ascii="Times New Roman" w:eastAsia="Times New Roman" w:hAnsi="Times New Roman" w:cs="Times New Roman"/>
          <w:iCs/>
          <w:lang w:val="en-IE" w:eastAsia="en-GB"/>
        </w:rPr>
        <w:t>t</w:t>
      </w:r>
      <w:r w:rsidR="00C376AC" w:rsidRPr="00597A71">
        <w:rPr>
          <w:rFonts w:ascii="Times New Roman" w:eastAsia="Times New Roman" w:hAnsi="Times New Roman" w:cs="Times New Roman"/>
          <w:iCs/>
          <w:lang w:val="en-IE" w:eastAsia="en-GB"/>
        </w:rPr>
        <w:t xml:space="preserve">here is a presumption of good faith on the part of the requesting </w:t>
      </w:r>
      <w:r w:rsidR="00E65E07">
        <w:rPr>
          <w:rFonts w:ascii="Times New Roman" w:eastAsia="Times New Roman" w:hAnsi="Times New Roman" w:cs="Times New Roman"/>
          <w:iCs/>
          <w:lang w:val="en-IE" w:eastAsia="en-GB"/>
        </w:rPr>
        <w:t>S</w:t>
      </w:r>
      <w:r w:rsidR="00C376AC" w:rsidRPr="00597A71">
        <w:rPr>
          <w:rFonts w:ascii="Times New Roman" w:eastAsia="Times New Roman" w:hAnsi="Times New Roman" w:cs="Times New Roman"/>
          <w:iCs/>
          <w:lang w:val="en-IE" w:eastAsia="en-GB"/>
        </w:rPr>
        <w:t>tate</w:t>
      </w:r>
      <w:r>
        <w:rPr>
          <w:rFonts w:ascii="Times New Roman" w:eastAsia="Times New Roman" w:hAnsi="Times New Roman" w:cs="Times New Roman"/>
          <w:iCs/>
          <w:lang w:val="en-IE" w:eastAsia="en-GB"/>
        </w:rPr>
        <w:t>;</w:t>
      </w:r>
    </w:p>
    <w:p w14:paraId="644843F5" w14:textId="3FF0E71C" w:rsidR="00235CE8" w:rsidRPr="00EE6DFF" w:rsidRDefault="00235CE8" w:rsidP="00235CE8">
      <w:pPr>
        <w:pStyle w:val="ListParagraph"/>
        <w:numPr>
          <w:ilvl w:val="1"/>
          <w:numId w:val="1"/>
        </w:numPr>
        <w:spacing w:line="480" w:lineRule="auto"/>
        <w:ind w:left="1080"/>
        <w:jc w:val="both"/>
        <w:rPr>
          <w:rFonts w:ascii="Times New Roman" w:hAnsi="Times New Roman" w:cs="Times New Roman"/>
        </w:rPr>
      </w:pPr>
      <w:r>
        <w:rPr>
          <w:rFonts w:ascii="Times New Roman" w:eastAsia="Times New Roman" w:hAnsi="Times New Roman" w:cs="Times New Roman"/>
          <w:iCs/>
          <w:lang w:val="en-IE" w:eastAsia="en-GB"/>
        </w:rPr>
        <w:t>t</w:t>
      </w:r>
      <w:r w:rsidR="00C376AC" w:rsidRPr="00597A71">
        <w:rPr>
          <w:rFonts w:ascii="Times New Roman" w:eastAsia="Times New Roman" w:hAnsi="Times New Roman" w:cs="Times New Roman"/>
          <w:iCs/>
          <w:lang w:val="en-IE" w:eastAsia="en-GB"/>
        </w:rPr>
        <w:t>he burden is on the requested person to rebut that presumption</w:t>
      </w:r>
      <w:r>
        <w:rPr>
          <w:rFonts w:ascii="Times New Roman" w:eastAsia="Times New Roman" w:hAnsi="Times New Roman" w:cs="Times New Roman"/>
          <w:iCs/>
          <w:lang w:val="en-IE" w:eastAsia="en-GB"/>
        </w:rPr>
        <w:t>;</w:t>
      </w:r>
    </w:p>
    <w:p w14:paraId="55C26E00" w14:textId="60FEB104" w:rsidR="00235CE8" w:rsidRPr="00EE6DFF" w:rsidRDefault="00C376AC" w:rsidP="00235CE8">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he or she does not have to show probability;</w:t>
      </w:r>
    </w:p>
    <w:p w14:paraId="32508B7A" w14:textId="31F71DC6" w:rsidR="00235CE8" w:rsidRPr="00EE6DFF" w:rsidRDefault="00C376AC" w:rsidP="00235CE8">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standard is that of real risk of being subjected to the prohibited treatment, </w:t>
      </w:r>
      <w:r w:rsidR="00235CE8">
        <w:rPr>
          <w:rFonts w:ascii="Times New Roman" w:eastAsia="Times New Roman" w:hAnsi="Times New Roman" w:cs="Times New Roman"/>
          <w:iCs/>
          <w:lang w:val="en-IE" w:eastAsia="en-GB"/>
        </w:rPr>
        <w:t>which</w:t>
      </w:r>
      <w:r w:rsidRPr="00597A71">
        <w:rPr>
          <w:rFonts w:ascii="Times New Roman" w:eastAsia="Times New Roman" w:hAnsi="Times New Roman" w:cs="Times New Roman"/>
          <w:iCs/>
          <w:lang w:val="en-IE" w:eastAsia="en-GB"/>
        </w:rPr>
        <w:t xml:space="preserve"> entails demonstrating on substantial/reasonable grounds that real risk exists</w:t>
      </w:r>
      <w:r w:rsidR="00235CE8">
        <w:rPr>
          <w:rFonts w:ascii="Times New Roman" w:eastAsia="Times New Roman" w:hAnsi="Times New Roman" w:cs="Times New Roman"/>
          <w:iCs/>
          <w:lang w:val="en-IE" w:eastAsia="en-GB"/>
        </w:rPr>
        <w:t>;</w:t>
      </w:r>
    </w:p>
    <w:p w14:paraId="018E6903" w14:textId="703E1536" w:rsidR="00235CE8" w:rsidRPr="00EE6DFF" w:rsidRDefault="00C376AC" w:rsidP="00235CE8">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the risk must be of the risk of future events</w:t>
      </w:r>
      <w:r w:rsidR="00235CE8">
        <w:rPr>
          <w:rFonts w:ascii="Times New Roman" w:eastAsia="Times New Roman" w:hAnsi="Times New Roman" w:cs="Times New Roman"/>
          <w:iCs/>
          <w:lang w:val="en-IE" w:eastAsia="en-GB"/>
        </w:rPr>
        <w:t>;</w:t>
      </w:r>
    </w:p>
    <w:p w14:paraId="0DB05AD2" w14:textId="18C0A21E" w:rsidR="00235CE8" w:rsidRPr="00EE6DFF" w:rsidRDefault="00C376AC" w:rsidP="00235CE8">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historical facts are only of interest in so far as they shed light on the current situation</w:t>
      </w:r>
      <w:r w:rsidR="00235CE8">
        <w:rPr>
          <w:rFonts w:ascii="Times New Roman" w:eastAsia="Times New Roman" w:hAnsi="Times New Roman" w:cs="Times New Roman"/>
          <w:iCs/>
          <w:lang w:val="en-IE" w:eastAsia="en-GB"/>
        </w:rPr>
        <w:t>;</w:t>
      </w:r>
    </w:p>
    <w:p w14:paraId="6F8D3BA1" w14:textId="06EF5EE4" w:rsidR="00235CE8" w:rsidRPr="00EE6DFF" w:rsidRDefault="00C376AC" w:rsidP="00235CE8">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courts may attach importance to findings of international human rights tribunals</w:t>
      </w:r>
      <w:r w:rsidR="005220D9">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human rights organisations</w:t>
      </w:r>
      <w:r w:rsidR="005220D9">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governmental sources</w:t>
      </w:r>
      <w:r w:rsidR="00235CE8">
        <w:rPr>
          <w:rFonts w:ascii="Times New Roman" w:eastAsia="Times New Roman" w:hAnsi="Times New Roman" w:cs="Times New Roman"/>
          <w:iCs/>
          <w:lang w:val="en-IE" w:eastAsia="en-GB"/>
        </w:rPr>
        <w:t>;</w:t>
      </w:r>
    </w:p>
    <w:p w14:paraId="44D89B62" w14:textId="0F3416C5" w:rsidR="00235CE8" w:rsidRPr="00EE6DFF" w:rsidRDefault="00C376AC" w:rsidP="00235CE8">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the possibility of ill</w:t>
      </w:r>
      <w:r w:rsidR="00235CE8">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treatment is not sufficient</w:t>
      </w:r>
      <w:r w:rsidR="00235CE8">
        <w:rPr>
          <w:rFonts w:ascii="Times New Roman" w:eastAsia="Times New Roman" w:hAnsi="Times New Roman" w:cs="Times New Roman"/>
          <w:iCs/>
          <w:lang w:val="en-IE" w:eastAsia="en-GB"/>
        </w:rPr>
        <w:t>;</w:t>
      </w:r>
    </w:p>
    <w:p w14:paraId="3E88750D" w14:textId="0E3A78EF" w:rsidR="00235CE8" w:rsidRPr="00EE6DFF" w:rsidRDefault="00C376AC" w:rsidP="00235CE8">
      <w:pPr>
        <w:pStyle w:val="ListParagraph"/>
        <w:numPr>
          <w:ilvl w:val="1"/>
          <w:numId w:val="1"/>
        </w:numPr>
        <w:spacing w:line="480" w:lineRule="auto"/>
        <w:ind w:left="1080"/>
        <w:jc w:val="both"/>
        <w:rPr>
          <w:rFonts w:ascii="Times New Roman" w:hAnsi="Times New Roman" w:cs="Times New Roman"/>
        </w:rPr>
      </w:pPr>
      <w:r w:rsidRPr="00597A71">
        <w:rPr>
          <w:rFonts w:ascii="Times New Roman" w:eastAsia="Times New Roman" w:hAnsi="Times New Roman" w:cs="Times New Roman"/>
          <w:iCs/>
          <w:lang w:val="en-IE" w:eastAsia="en-GB"/>
        </w:rPr>
        <w:t>a requesting country may dispel doubts by evidence</w:t>
      </w:r>
      <w:r w:rsidR="00235CE8">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but that does not shift the burden</w:t>
      </w:r>
      <w:r w:rsidR="00235CE8">
        <w:rPr>
          <w:rFonts w:ascii="Times New Roman" w:eastAsia="Times New Roman" w:hAnsi="Times New Roman" w:cs="Times New Roman"/>
          <w:iCs/>
          <w:lang w:val="en-IE" w:eastAsia="en-GB"/>
        </w:rPr>
        <w:t>; and</w:t>
      </w:r>
      <w:r w:rsidR="005220D9">
        <w:rPr>
          <w:rFonts w:ascii="Times New Roman" w:eastAsia="Times New Roman" w:hAnsi="Times New Roman" w:cs="Times New Roman"/>
          <w:iCs/>
          <w:lang w:val="en-IE" w:eastAsia="en-GB"/>
        </w:rPr>
        <w:t>,</w:t>
      </w:r>
    </w:p>
    <w:p w14:paraId="764206A4" w14:textId="5C837CA5" w:rsidR="00597A71" w:rsidRPr="00597A71" w:rsidRDefault="00235CE8" w:rsidP="00EE6DFF">
      <w:pPr>
        <w:pStyle w:val="ListParagraph"/>
        <w:numPr>
          <w:ilvl w:val="1"/>
          <w:numId w:val="1"/>
        </w:numPr>
        <w:spacing w:line="480" w:lineRule="auto"/>
        <w:ind w:left="1080"/>
        <w:jc w:val="both"/>
        <w:rPr>
          <w:rFonts w:ascii="Times New Roman" w:hAnsi="Times New Roman" w:cs="Times New Roman"/>
        </w:rPr>
      </w:pPr>
      <w:r>
        <w:rPr>
          <w:rFonts w:ascii="Times New Roman" w:eastAsia="Times New Roman" w:hAnsi="Times New Roman" w:cs="Times New Roman"/>
          <w:iCs/>
          <w:lang w:val="en-IE" w:eastAsia="en-GB"/>
        </w:rPr>
        <w:t>i</w:t>
      </w:r>
      <w:r w:rsidR="00C376AC" w:rsidRPr="00597A71">
        <w:rPr>
          <w:rFonts w:ascii="Times New Roman" w:eastAsia="Times New Roman" w:hAnsi="Times New Roman" w:cs="Times New Roman"/>
          <w:iCs/>
          <w:lang w:val="en-IE" w:eastAsia="en-GB"/>
        </w:rPr>
        <w:t>t is not necessary to eliminate all risk</w:t>
      </w:r>
      <w:r w:rsidR="00351809">
        <w:rPr>
          <w:rFonts w:ascii="Times New Roman" w:eastAsia="Times New Roman" w:hAnsi="Times New Roman" w:cs="Times New Roman"/>
          <w:iCs/>
          <w:lang w:val="en-IE" w:eastAsia="en-GB"/>
        </w:rPr>
        <w:t>s</w:t>
      </w:r>
      <w:r w:rsidR="00184E71" w:rsidRPr="00597A71">
        <w:rPr>
          <w:rFonts w:ascii="Times New Roman" w:eastAsia="Times New Roman" w:hAnsi="Times New Roman" w:cs="Times New Roman"/>
          <w:iCs/>
          <w:lang w:val="en-IE" w:eastAsia="en-GB"/>
        </w:rPr>
        <w:t xml:space="preserve"> prior to making an order for extradition</w:t>
      </w:r>
      <w:r>
        <w:rPr>
          <w:rFonts w:ascii="Times New Roman" w:eastAsia="Times New Roman" w:hAnsi="Times New Roman" w:cs="Times New Roman"/>
          <w:iCs/>
          <w:lang w:val="en-IE" w:eastAsia="en-GB"/>
        </w:rPr>
        <w:t xml:space="preserve"> as</w:t>
      </w:r>
      <w:r w:rsidR="00184E71" w:rsidRPr="00597A71">
        <w:rPr>
          <w:rFonts w:ascii="Times New Roman" w:eastAsia="Times New Roman" w:hAnsi="Times New Roman" w:cs="Times New Roman"/>
          <w:iCs/>
          <w:lang w:val="en-IE" w:eastAsia="en-GB"/>
        </w:rPr>
        <w:t xml:space="preserve"> it is only where the risk is real that extradition must be refused.</w:t>
      </w:r>
    </w:p>
    <w:p w14:paraId="5E05B2F1" w14:textId="77777777" w:rsidR="00597A71" w:rsidRPr="00597A71" w:rsidRDefault="00E0195F" w:rsidP="00597A71">
      <w:pPr>
        <w:pStyle w:val="ListParagraph"/>
        <w:spacing w:line="480" w:lineRule="auto"/>
        <w:ind w:left="0"/>
        <w:jc w:val="both"/>
        <w:rPr>
          <w:rFonts w:ascii="Times New Roman" w:hAnsi="Times New Roman" w:cs="Times New Roman"/>
        </w:rPr>
      </w:pPr>
      <w:r w:rsidRPr="00597A71">
        <w:rPr>
          <w:rFonts w:ascii="Times New Roman" w:eastAsia="Times New Roman" w:hAnsi="Times New Roman" w:cs="Times New Roman"/>
          <w:b/>
          <w:i/>
          <w:iCs/>
          <w:lang w:val="en-IE" w:eastAsia="en-GB"/>
        </w:rPr>
        <w:t>The real risk to this appellant</w:t>
      </w:r>
    </w:p>
    <w:p w14:paraId="1BAEC103" w14:textId="103F3E67" w:rsidR="00597A71" w:rsidRPr="00597A71" w:rsidRDefault="00A26FA9"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The starting point is the agreed position of the parties</w:t>
      </w:r>
      <w:r w:rsidR="00235CE8">
        <w:rPr>
          <w:rFonts w:ascii="Times New Roman" w:eastAsia="Times New Roman" w:hAnsi="Times New Roman" w:cs="Times New Roman"/>
          <w:iCs/>
          <w:lang w:val="en-IE" w:eastAsia="en-GB"/>
        </w:rPr>
        <w:t>:</w:t>
      </w:r>
      <w:r w:rsidR="00E12BB3" w:rsidRPr="00597A71">
        <w:rPr>
          <w:rFonts w:ascii="Times New Roman" w:eastAsia="Times New Roman" w:hAnsi="Times New Roman" w:cs="Times New Roman"/>
          <w:iCs/>
          <w:lang w:val="en-IE" w:eastAsia="en-GB"/>
        </w:rPr>
        <w:t xml:space="preserve"> that the appellant is sought for a hearing on whether he has violated his probation</w:t>
      </w:r>
      <w:r w:rsidR="00235CE8">
        <w:rPr>
          <w:rFonts w:ascii="Times New Roman" w:eastAsia="Times New Roman" w:hAnsi="Times New Roman" w:cs="Times New Roman"/>
          <w:iCs/>
          <w:lang w:val="en-IE" w:eastAsia="en-GB"/>
        </w:rPr>
        <w:t>.</w:t>
      </w:r>
      <w:r w:rsidR="00E12BB3" w:rsidRPr="00597A71">
        <w:rPr>
          <w:rFonts w:ascii="Times New Roman" w:eastAsia="Times New Roman" w:hAnsi="Times New Roman" w:cs="Times New Roman"/>
          <w:iCs/>
          <w:lang w:val="en-IE" w:eastAsia="en-GB"/>
        </w:rPr>
        <w:t xml:space="preserve"> </w:t>
      </w:r>
      <w:r w:rsidR="00235CE8">
        <w:rPr>
          <w:rFonts w:ascii="Times New Roman" w:eastAsia="Times New Roman" w:hAnsi="Times New Roman" w:cs="Times New Roman"/>
          <w:iCs/>
          <w:lang w:val="en-IE" w:eastAsia="en-GB"/>
        </w:rPr>
        <w:t>I</w:t>
      </w:r>
      <w:r w:rsidR="00E12BB3" w:rsidRPr="00597A71">
        <w:rPr>
          <w:rFonts w:ascii="Times New Roman" w:eastAsia="Times New Roman" w:hAnsi="Times New Roman" w:cs="Times New Roman"/>
          <w:iCs/>
          <w:lang w:val="en-IE" w:eastAsia="en-GB"/>
        </w:rPr>
        <w:t>f he has, the court in Georgia may “revoke any portion of the remaining probation and sentence him to serve that period of time [12 years, 6 months</w:t>
      </w:r>
      <w:r w:rsidR="00235CE8">
        <w:rPr>
          <w:rFonts w:ascii="Times New Roman" w:eastAsia="Times New Roman" w:hAnsi="Times New Roman" w:cs="Times New Roman"/>
          <w:iCs/>
          <w:lang w:val="en-IE" w:eastAsia="en-GB"/>
        </w:rPr>
        <w:t>,</w:t>
      </w:r>
      <w:r w:rsidR="00E12BB3" w:rsidRPr="00597A71">
        <w:rPr>
          <w:rFonts w:ascii="Times New Roman" w:eastAsia="Times New Roman" w:hAnsi="Times New Roman" w:cs="Times New Roman"/>
          <w:iCs/>
          <w:lang w:val="en-IE" w:eastAsia="en-GB"/>
        </w:rPr>
        <w:t xml:space="preserve"> 11 days] in prison.”  The parties agree that immediately on return he will be in custody.  Thereafter</w:t>
      </w:r>
      <w:r w:rsidR="00EB5EF7" w:rsidRPr="00597A71">
        <w:rPr>
          <w:rFonts w:ascii="Times New Roman" w:eastAsia="Times New Roman" w:hAnsi="Times New Roman" w:cs="Times New Roman"/>
          <w:iCs/>
          <w:lang w:val="en-IE" w:eastAsia="en-GB"/>
        </w:rPr>
        <w:t>,</w:t>
      </w:r>
      <w:r w:rsidR="00E12BB3" w:rsidRPr="00597A71">
        <w:rPr>
          <w:rFonts w:ascii="Times New Roman" w:eastAsia="Times New Roman" w:hAnsi="Times New Roman" w:cs="Times New Roman"/>
          <w:iCs/>
          <w:lang w:val="en-IE" w:eastAsia="en-GB"/>
        </w:rPr>
        <w:t xml:space="preserve"> the parties</w:t>
      </w:r>
      <w:r w:rsidR="00EB5EF7" w:rsidRPr="00597A71">
        <w:rPr>
          <w:rFonts w:ascii="Times New Roman" w:eastAsia="Times New Roman" w:hAnsi="Times New Roman" w:cs="Times New Roman"/>
          <w:iCs/>
          <w:lang w:val="en-IE" w:eastAsia="en-GB"/>
        </w:rPr>
        <w:t>’</w:t>
      </w:r>
      <w:r w:rsidR="00E12BB3" w:rsidRPr="00597A71">
        <w:rPr>
          <w:rFonts w:ascii="Times New Roman" w:eastAsia="Times New Roman" w:hAnsi="Times New Roman" w:cs="Times New Roman"/>
          <w:iCs/>
          <w:lang w:val="en-IE" w:eastAsia="en-GB"/>
        </w:rPr>
        <w:t xml:space="preserve"> </w:t>
      </w:r>
      <w:r w:rsidR="00EB5EF7" w:rsidRPr="00597A71">
        <w:rPr>
          <w:rFonts w:ascii="Times New Roman" w:eastAsia="Times New Roman" w:hAnsi="Times New Roman" w:cs="Times New Roman"/>
          <w:iCs/>
          <w:lang w:val="en-IE" w:eastAsia="en-GB"/>
        </w:rPr>
        <w:t xml:space="preserve">positions </w:t>
      </w:r>
      <w:r w:rsidR="00E12BB3" w:rsidRPr="00597A71">
        <w:rPr>
          <w:rFonts w:ascii="Times New Roman" w:eastAsia="Times New Roman" w:hAnsi="Times New Roman" w:cs="Times New Roman"/>
          <w:iCs/>
          <w:lang w:val="en-IE" w:eastAsia="en-GB"/>
        </w:rPr>
        <w:t>start to diverge.</w:t>
      </w:r>
      <w:r w:rsidR="00EB5EF7" w:rsidRPr="00597A71">
        <w:rPr>
          <w:rFonts w:ascii="Times New Roman" w:eastAsia="Times New Roman" w:hAnsi="Times New Roman" w:cs="Times New Roman"/>
          <w:iCs/>
          <w:lang w:val="en-IE" w:eastAsia="en-GB"/>
        </w:rPr>
        <w:t xml:space="preserve">  The</w:t>
      </w:r>
      <w:r w:rsidR="00235CE8">
        <w:rPr>
          <w:rFonts w:ascii="Times New Roman" w:eastAsia="Times New Roman" w:hAnsi="Times New Roman" w:cs="Times New Roman"/>
          <w:iCs/>
          <w:lang w:val="en-IE" w:eastAsia="en-GB"/>
        </w:rPr>
        <w:t xml:space="preserve"> Attorney General</w:t>
      </w:r>
      <w:r w:rsidR="00EB5EF7" w:rsidRPr="00597A71">
        <w:rPr>
          <w:rFonts w:ascii="Times New Roman" w:eastAsia="Times New Roman" w:hAnsi="Times New Roman" w:cs="Times New Roman"/>
          <w:iCs/>
          <w:lang w:val="en-IE" w:eastAsia="en-GB"/>
        </w:rPr>
        <w:t xml:space="preserve"> says</w:t>
      </w:r>
      <w:r w:rsidR="00C84411">
        <w:rPr>
          <w:rFonts w:ascii="Times New Roman" w:eastAsia="Times New Roman" w:hAnsi="Times New Roman" w:cs="Times New Roman"/>
          <w:iCs/>
          <w:lang w:val="en-IE" w:eastAsia="en-GB"/>
        </w:rPr>
        <w:t xml:space="preserve"> that</w:t>
      </w:r>
      <w:r w:rsidR="00EB5EF7" w:rsidRPr="00597A71">
        <w:rPr>
          <w:rFonts w:ascii="Times New Roman" w:eastAsia="Times New Roman" w:hAnsi="Times New Roman" w:cs="Times New Roman"/>
          <w:iCs/>
          <w:lang w:val="en-IE" w:eastAsia="en-GB"/>
        </w:rPr>
        <w:t xml:space="preserve">, if </w:t>
      </w:r>
      <w:r w:rsidR="00EB5EF7" w:rsidRPr="00597A71">
        <w:rPr>
          <w:rFonts w:ascii="Times New Roman" w:eastAsia="Times New Roman" w:hAnsi="Times New Roman" w:cs="Times New Roman"/>
          <w:iCs/>
          <w:lang w:val="en-IE" w:eastAsia="en-GB"/>
        </w:rPr>
        <w:lastRenderedPageBreak/>
        <w:t>found to have violated parole</w:t>
      </w:r>
      <w:r w:rsidR="008A268C" w:rsidRPr="00597A71">
        <w:rPr>
          <w:rFonts w:ascii="Times New Roman" w:eastAsia="Times New Roman" w:hAnsi="Times New Roman" w:cs="Times New Roman"/>
          <w:iCs/>
          <w:lang w:val="en-IE" w:eastAsia="en-GB"/>
        </w:rPr>
        <w:t>, the appellant will receive a prison sentence and</w:t>
      </w:r>
      <w:r w:rsidR="00235CE8">
        <w:rPr>
          <w:rFonts w:ascii="Times New Roman" w:eastAsia="Times New Roman" w:hAnsi="Times New Roman" w:cs="Times New Roman"/>
          <w:iCs/>
          <w:lang w:val="en-IE" w:eastAsia="en-GB"/>
        </w:rPr>
        <w:t>,</w:t>
      </w:r>
      <w:r w:rsidR="008A268C" w:rsidRPr="00597A71">
        <w:rPr>
          <w:rFonts w:ascii="Times New Roman" w:eastAsia="Times New Roman" w:hAnsi="Times New Roman" w:cs="Times New Roman"/>
          <w:iCs/>
          <w:lang w:val="en-IE" w:eastAsia="en-GB"/>
        </w:rPr>
        <w:t xml:space="preserve"> in line with the intended submission of the Georgian District Attorney</w:t>
      </w:r>
      <w:r w:rsidR="00351809">
        <w:rPr>
          <w:rFonts w:ascii="Times New Roman" w:eastAsia="Times New Roman" w:hAnsi="Times New Roman" w:cs="Times New Roman"/>
          <w:iCs/>
          <w:lang w:val="en-IE" w:eastAsia="en-GB"/>
        </w:rPr>
        <w:t>,</w:t>
      </w:r>
      <w:r w:rsidR="008A268C" w:rsidRPr="00597A71">
        <w:rPr>
          <w:rFonts w:ascii="Times New Roman" w:eastAsia="Times New Roman" w:hAnsi="Times New Roman" w:cs="Times New Roman"/>
          <w:iCs/>
          <w:lang w:val="en-IE" w:eastAsia="en-GB"/>
        </w:rPr>
        <w:t xml:space="preserve"> his probation be revoked for a certain period and thereafter he would be free to leave the USA.  The appellant submits that this may be an intention of the prosecution, but the matter is in the hands of the court</w:t>
      </w:r>
      <w:r w:rsidR="00C84411">
        <w:rPr>
          <w:rFonts w:ascii="Times New Roman" w:eastAsia="Times New Roman" w:hAnsi="Times New Roman" w:cs="Times New Roman"/>
          <w:iCs/>
          <w:lang w:val="en-IE" w:eastAsia="en-GB"/>
        </w:rPr>
        <w:t>,</w:t>
      </w:r>
      <w:r w:rsidR="008A268C" w:rsidRPr="00597A71">
        <w:rPr>
          <w:rFonts w:ascii="Times New Roman" w:eastAsia="Times New Roman" w:hAnsi="Times New Roman" w:cs="Times New Roman"/>
          <w:iCs/>
          <w:lang w:val="en-IE" w:eastAsia="en-GB"/>
        </w:rPr>
        <w:t xml:space="preserve"> and there </w:t>
      </w:r>
      <w:r w:rsidR="00C84411">
        <w:rPr>
          <w:rFonts w:ascii="Times New Roman" w:eastAsia="Times New Roman" w:hAnsi="Times New Roman" w:cs="Times New Roman"/>
          <w:iCs/>
          <w:lang w:val="en-IE" w:eastAsia="en-GB"/>
        </w:rPr>
        <w:t>remains</w:t>
      </w:r>
      <w:r w:rsidR="008A268C" w:rsidRPr="00597A71">
        <w:rPr>
          <w:rFonts w:ascii="Times New Roman" w:eastAsia="Times New Roman" w:hAnsi="Times New Roman" w:cs="Times New Roman"/>
          <w:iCs/>
          <w:lang w:val="en-IE" w:eastAsia="en-GB"/>
        </w:rPr>
        <w:t xml:space="preserve"> a real risk that he will be required to stay in Georgia.</w:t>
      </w:r>
    </w:p>
    <w:p w14:paraId="1A2F546D" w14:textId="0AA90C2F" w:rsidR="00597A71" w:rsidRPr="00597A71" w:rsidRDefault="0099713C"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expert evidence of </w:t>
      </w:r>
      <w:r w:rsidR="005220D9">
        <w:rPr>
          <w:rFonts w:ascii="Times New Roman" w:eastAsia="Times New Roman" w:hAnsi="Times New Roman" w:cs="Times New Roman"/>
          <w:iCs/>
          <w:lang w:val="en-IE" w:eastAsia="en-GB"/>
        </w:rPr>
        <w:t xml:space="preserve">Mr. </w:t>
      </w:r>
      <w:r w:rsidRPr="00597A71">
        <w:rPr>
          <w:rFonts w:ascii="Times New Roman" w:eastAsia="Times New Roman" w:hAnsi="Times New Roman" w:cs="Times New Roman"/>
          <w:iCs/>
          <w:lang w:val="en-IE" w:eastAsia="en-GB"/>
        </w:rPr>
        <w:t xml:space="preserve">Ryan Langlois, Attorney, adduced on behalf of the appellant, is that it is likely (at one point </w:t>
      </w:r>
      <w:r w:rsidR="00184E71" w:rsidRPr="00597A71">
        <w:rPr>
          <w:rFonts w:ascii="Times New Roman" w:eastAsia="Times New Roman" w:hAnsi="Times New Roman" w:cs="Times New Roman"/>
          <w:iCs/>
          <w:lang w:val="en-IE" w:eastAsia="en-GB"/>
        </w:rPr>
        <w:t>he says it is</w:t>
      </w:r>
      <w:r w:rsidRPr="00597A71">
        <w:rPr>
          <w:rFonts w:ascii="Times New Roman" w:eastAsia="Times New Roman" w:hAnsi="Times New Roman" w:cs="Times New Roman"/>
          <w:iCs/>
          <w:lang w:val="en-IE" w:eastAsia="en-GB"/>
        </w:rPr>
        <w:t xml:space="preserve"> highly likely) that the outcome of his return is that he will be sentenced to custodial time</w:t>
      </w:r>
      <w:r w:rsidR="00C84411">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will serve it in a named Detention </w:t>
      </w:r>
      <w:proofErr w:type="spellStart"/>
      <w:r w:rsidRPr="00597A71">
        <w:rPr>
          <w:rFonts w:ascii="Times New Roman" w:eastAsia="Times New Roman" w:hAnsi="Times New Roman" w:cs="Times New Roman"/>
          <w:iCs/>
          <w:lang w:val="en-IE" w:eastAsia="en-GB"/>
        </w:rPr>
        <w:t>Center</w:t>
      </w:r>
      <w:proofErr w:type="spellEnd"/>
      <w:r w:rsidRPr="00597A71">
        <w:rPr>
          <w:rFonts w:ascii="Times New Roman" w:eastAsia="Times New Roman" w:hAnsi="Times New Roman" w:cs="Times New Roman"/>
          <w:iCs/>
          <w:lang w:val="en-IE" w:eastAsia="en-GB"/>
        </w:rPr>
        <w:t xml:space="preserve"> or a state prison facility within </w:t>
      </w:r>
      <w:r w:rsidR="00431347">
        <w:rPr>
          <w:rFonts w:ascii="Times New Roman" w:eastAsia="Times New Roman" w:hAnsi="Times New Roman" w:cs="Times New Roman"/>
          <w:iCs/>
          <w:lang w:val="en-IE" w:eastAsia="en-GB"/>
        </w:rPr>
        <w:t>Georgia</w:t>
      </w:r>
      <w:r w:rsidRPr="00597A71">
        <w:rPr>
          <w:rFonts w:ascii="Times New Roman" w:eastAsia="Times New Roman" w:hAnsi="Times New Roman" w:cs="Times New Roman"/>
          <w:iCs/>
          <w:lang w:val="en-IE" w:eastAsia="en-GB"/>
        </w:rPr>
        <w:t xml:space="preserve">.  It was also stated that he could be remanded for the entire length of the custodial period.  I do not think there is any </w:t>
      </w:r>
      <w:r w:rsidR="005E2CAA" w:rsidRPr="00597A71">
        <w:rPr>
          <w:rFonts w:ascii="Times New Roman" w:eastAsia="Times New Roman" w:hAnsi="Times New Roman" w:cs="Times New Roman"/>
          <w:iCs/>
          <w:lang w:val="en-IE" w:eastAsia="en-GB"/>
        </w:rPr>
        <w:t xml:space="preserve">real </w:t>
      </w:r>
      <w:r w:rsidRPr="00597A71">
        <w:rPr>
          <w:rFonts w:ascii="Times New Roman" w:eastAsia="Times New Roman" w:hAnsi="Times New Roman" w:cs="Times New Roman"/>
          <w:iCs/>
          <w:lang w:val="en-IE" w:eastAsia="en-GB"/>
        </w:rPr>
        <w:t>doubt but that the appellant will, if con</w:t>
      </w:r>
      <w:r w:rsidR="00521E45" w:rsidRPr="00597A71">
        <w:rPr>
          <w:rFonts w:ascii="Times New Roman" w:eastAsia="Times New Roman" w:hAnsi="Times New Roman" w:cs="Times New Roman"/>
          <w:iCs/>
          <w:lang w:val="en-IE" w:eastAsia="en-GB"/>
        </w:rPr>
        <w:t>sidered to have violated his parole, be sentenced to a period of custody</w:t>
      </w:r>
      <w:r w:rsidR="005220D9">
        <w:rPr>
          <w:rFonts w:ascii="Times New Roman" w:eastAsia="Times New Roman" w:hAnsi="Times New Roman" w:cs="Times New Roman"/>
          <w:iCs/>
          <w:lang w:val="en-IE" w:eastAsia="en-GB"/>
        </w:rPr>
        <w:t>,</w:t>
      </w:r>
      <w:r w:rsidR="00521E45" w:rsidRPr="00597A71">
        <w:rPr>
          <w:rFonts w:ascii="Times New Roman" w:eastAsia="Times New Roman" w:hAnsi="Times New Roman" w:cs="Times New Roman"/>
          <w:iCs/>
          <w:lang w:val="en-IE" w:eastAsia="en-GB"/>
        </w:rPr>
        <w:t xml:space="preserve"> and I do not take </w:t>
      </w:r>
      <w:r w:rsidR="00184E71" w:rsidRPr="00597A71">
        <w:rPr>
          <w:rFonts w:ascii="Times New Roman" w:eastAsia="Times New Roman" w:hAnsi="Times New Roman" w:cs="Times New Roman"/>
          <w:iCs/>
          <w:lang w:val="en-IE" w:eastAsia="en-GB"/>
        </w:rPr>
        <w:t>the appellant</w:t>
      </w:r>
      <w:r w:rsidR="00521E45" w:rsidRPr="00597A71">
        <w:rPr>
          <w:rFonts w:ascii="Times New Roman" w:eastAsia="Times New Roman" w:hAnsi="Times New Roman" w:cs="Times New Roman"/>
          <w:iCs/>
          <w:lang w:val="en-IE" w:eastAsia="en-GB"/>
        </w:rPr>
        <w:t xml:space="preserve"> seriously</w:t>
      </w:r>
      <w:r w:rsidR="00184E71" w:rsidRPr="00597A71">
        <w:rPr>
          <w:rFonts w:ascii="Times New Roman" w:eastAsia="Times New Roman" w:hAnsi="Times New Roman" w:cs="Times New Roman"/>
          <w:iCs/>
          <w:lang w:val="en-IE" w:eastAsia="en-GB"/>
        </w:rPr>
        <w:t xml:space="preserve"> to </w:t>
      </w:r>
      <w:r w:rsidR="00521E45" w:rsidRPr="00597A71">
        <w:rPr>
          <w:rFonts w:ascii="Times New Roman" w:eastAsia="Times New Roman" w:hAnsi="Times New Roman" w:cs="Times New Roman"/>
          <w:iCs/>
          <w:lang w:val="en-IE" w:eastAsia="en-GB"/>
        </w:rPr>
        <w:t xml:space="preserve">contend otherwise.  </w:t>
      </w:r>
      <w:r w:rsidR="005E2CAA" w:rsidRPr="00597A71">
        <w:rPr>
          <w:rFonts w:ascii="Times New Roman" w:eastAsia="Times New Roman" w:hAnsi="Times New Roman" w:cs="Times New Roman"/>
          <w:iCs/>
          <w:lang w:val="en-IE" w:eastAsia="en-GB"/>
        </w:rPr>
        <w:t>If there is a risk that he will not be required to serve prison time if found liable for having violated his parole</w:t>
      </w:r>
      <w:r w:rsidR="00D425CD" w:rsidRPr="00597A71">
        <w:rPr>
          <w:rFonts w:ascii="Times New Roman" w:eastAsia="Times New Roman" w:hAnsi="Times New Roman" w:cs="Times New Roman"/>
          <w:iCs/>
          <w:lang w:val="en-IE" w:eastAsia="en-GB"/>
        </w:rPr>
        <w:t>,</w:t>
      </w:r>
      <w:r w:rsidR="005E2CAA" w:rsidRPr="00597A71">
        <w:rPr>
          <w:rFonts w:ascii="Times New Roman" w:eastAsia="Times New Roman" w:hAnsi="Times New Roman" w:cs="Times New Roman"/>
          <w:iCs/>
          <w:lang w:val="en-IE" w:eastAsia="en-GB"/>
        </w:rPr>
        <w:t xml:space="preserve"> that risk is a small one.  </w:t>
      </w:r>
      <w:r w:rsidR="00521E45" w:rsidRPr="00597A71">
        <w:rPr>
          <w:rFonts w:ascii="Times New Roman" w:eastAsia="Times New Roman" w:hAnsi="Times New Roman" w:cs="Times New Roman"/>
          <w:iCs/>
          <w:lang w:val="en-IE" w:eastAsia="en-GB"/>
        </w:rPr>
        <w:t xml:space="preserve">The </w:t>
      </w:r>
      <w:r w:rsidR="005E2CAA" w:rsidRPr="00597A71">
        <w:rPr>
          <w:rFonts w:ascii="Times New Roman" w:eastAsia="Times New Roman" w:hAnsi="Times New Roman" w:cs="Times New Roman"/>
          <w:iCs/>
          <w:lang w:val="en-IE" w:eastAsia="en-GB"/>
        </w:rPr>
        <w:t>contested issue</w:t>
      </w:r>
      <w:r w:rsidR="00D425CD" w:rsidRPr="00597A71">
        <w:rPr>
          <w:rFonts w:ascii="Times New Roman" w:eastAsia="Times New Roman" w:hAnsi="Times New Roman" w:cs="Times New Roman"/>
          <w:iCs/>
          <w:lang w:val="en-IE" w:eastAsia="en-GB"/>
        </w:rPr>
        <w:t xml:space="preserve"> before this Court</w:t>
      </w:r>
      <w:r w:rsidR="005E2CAA" w:rsidRPr="00597A71">
        <w:rPr>
          <w:rFonts w:ascii="Times New Roman" w:eastAsia="Times New Roman" w:hAnsi="Times New Roman" w:cs="Times New Roman"/>
          <w:iCs/>
          <w:lang w:val="en-IE" w:eastAsia="en-GB"/>
        </w:rPr>
        <w:t xml:space="preserve"> has </w:t>
      </w:r>
      <w:r w:rsidR="00521E45" w:rsidRPr="00597A71">
        <w:rPr>
          <w:rFonts w:ascii="Times New Roman" w:eastAsia="Times New Roman" w:hAnsi="Times New Roman" w:cs="Times New Roman"/>
          <w:iCs/>
          <w:lang w:val="en-IE" w:eastAsia="en-GB"/>
        </w:rPr>
        <w:t>been what is likely to occur at the end of any sentenced prison time (short of being required to serve the entire period).</w:t>
      </w:r>
      <w:r w:rsidRPr="00597A71">
        <w:rPr>
          <w:rFonts w:ascii="Times New Roman" w:eastAsia="Times New Roman" w:hAnsi="Times New Roman" w:cs="Times New Roman"/>
          <w:iCs/>
          <w:lang w:val="en-IE" w:eastAsia="en-GB"/>
        </w:rPr>
        <w:t xml:space="preserve">  </w:t>
      </w:r>
      <w:r w:rsidR="008A268C" w:rsidRPr="00597A71">
        <w:rPr>
          <w:rFonts w:ascii="Times New Roman" w:eastAsia="Times New Roman" w:hAnsi="Times New Roman" w:cs="Times New Roman"/>
          <w:iCs/>
          <w:lang w:val="en-IE" w:eastAsia="en-GB"/>
        </w:rPr>
        <w:t xml:space="preserve">As set out in the preliminary ruling, it cannot be said that the </w:t>
      </w:r>
      <w:r w:rsidR="008A268C" w:rsidRPr="00597A71">
        <w:rPr>
          <w:rFonts w:ascii="Times New Roman" w:eastAsia="Times New Roman" w:hAnsi="Times New Roman" w:cs="Times New Roman"/>
          <w:i/>
          <w:iCs/>
          <w:lang w:val="en-IE" w:eastAsia="en-GB"/>
        </w:rPr>
        <w:t>most likely</w:t>
      </w:r>
      <w:r w:rsidR="008A268C" w:rsidRPr="00597A71">
        <w:rPr>
          <w:rFonts w:ascii="Times New Roman" w:eastAsia="Times New Roman" w:hAnsi="Times New Roman" w:cs="Times New Roman"/>
          <w:iCs/>
          <w:lang w:val="en-IE" w:eastAsia="en-GB"/>
        </w:rPr>
        <w:t xml:space="preserve"> outcome of the </w:t>
      </w:r>
      <w:r w:rsidR="00521E45" w:rsidRPr="00597A71">
        <w:rPr>
          <w:rFonts w:ascii="Times New Roman" w:eastAsia="Times New Roman" w:hAnsi="Times New Roman" w:cs="Times New Roman"/>
          <w:iCs/>
          <w:lang w:val="en-IE" w:eastAsia="en-GB"/>
        </w:rPr>
        <w:t xml:space="preserve">court </w:t>
      </w:r>
      <w:r w:rsidR="00C11C1C" w:rsidRPr="00597A71">
        <w:rPr>
          <w:rFonts w:ascii="Times New Roman" w:eastAsia="Times New Roman" w:hAnsi="Times New Roman" w:cs="Times New Roman"/>
          <w:iCs/>
          <w:lang w:val="en-IE" w:eastAsia="en-GB"/>
        </w:rPr>
        <w:t xml:space="preserve">hearing </w:t>
      </w:r>
      <w:r w:rsidR="00521E45" w:rsidRPr="00597A71">
        <w:rPr>
          <w:rFonts w:ascii="Times New Roman" w:eastAsia="Times New Roman" w:hAnsi="Times New Roman" w:cs="Times New Roman"/>
          <w:iCs/>
          <w:lang w:val="en-IE" w:eastAsia="en-GB"/>
        </w:rPr>
        <w:t xml:space="preserve">on the violation of parole </w:t>
      </w:r>
      <w:r w:rsidR="00C11C1C" w:rsidRPr="00597A71">
        <w:rPr>
          <w:rFonts w:ascii="Times New Roman" w:eastAsia="Times New Roman" w:hAnsi="Times New Roman" w:cs="Times New Roman"/>
          <w:iCs/>
          <w:lang w:val="en-IE" w:eastAsia="en-GB"/>
        </w:rPr>
        <w:t xml:space="preserve">is that he would receive a definite sentence of imprisonment and thereafter be free to leave the USA.  </w:t>
      </w:r>
      <w:r w:rsidR="00D67827" w:rsidRPr="00597A71">
        <w:rPr>
          <w:rFonts w:ascii="Times New Roman" w:eastAsia="Times New Roman" w:hAnsi="Times New Roman" w:cs="Times New Roman"/>
          <w:iCs/>
          <w:lang w:val="en-IE" w:eastAsia="en-GB"/>
        </w:rPr>
        <w:t>While it is the intention of the prosecution not to seek any such term on probation, t</w:t>
      </w:r>
      <w:r w:rsidR="00C11C1C" w:rsidRPr="00597A71">
        <w:rPr>
          <w:rFonts w:ascii="Times New Roman" w:eastAsia="Times New Roman" w:hAnsi="Times New Roman" w:cs="Times New Roman"/>
          <w:iCs/>
          <w:lang w:val="en-IE" w:eastAsia="en-GB"/>
        </w:rPr>
        <w:t>here is</w:t>
      </w:r>
      <w:r w:rsidR="00D67827" w:rsidRPr="00597A71">
        <w:rPr>
          <w:rFonts w:ascii="Times New Roman" w:eastAsia="Times New Roman" w:hAnsi="Times New Roman" w:cs="Times New Roman"/>
          <w:iCs/>
          <w:lang w:val="en-IE" w:eastAsia="en-GB"/>
        </w:rPr>
        <w:t>,</w:t>
      </w:r>
      <w:r w:rsidR="00C11C1C" w:rsidRPr="00597A71">
        <w:rPr>
          <w:rFonts w:ascii="Times New Roman" w:eastAsia="Times New Roman" w:hAnsi="Times New Roman" w:cs="Times New Roman"/>
          <w:iCs/>
          <w:lang w:val="en-IE" w:eastAsia="en-GB"/>
        </w:rPr>
        <w:t xml:space="preserve"> at </w:t>
      </w:r>
      <w:r w:rsidR="00D67827" w:rsidRPr="00597A71">
        <w:rPr>
          <w:rFonts w:ascii="Times New Roman" w:eastAsia="Times New Roman" w:hAnsi="Times New Roman" w:cs="Times New Roman"/>
          <w:iCs/>
          <w:lang w:val="en-IE" w:eastAsia="en-GB"/>
        </w:rPr>
        <w:t>least,</w:t>
      </w:r>
      <w:r w:rsidR="00C11C1C" w:rsidRPr="00597A71">
        <w:rPr>
          <w:rFonts w:ascii="Times New Roman" w:eastAsia="Times New Roman" w:hAnsi="Times New Roman" w:cs="Times New Roman"/>
          <w:iCs/>
          <w:lang w:val="en-IE" w:eastAsia="en-GB"/>
        </w:rPr>
        <w:t xml:space="preserve"> </w:t>
      </w:r>
      <w:r w:rsidR="005E2CAA" w:rsidRPr="00597A71">
        <w:rPr>
          <w:rFonts w:ascii="Times New Roman" w:eastAsia="Times New Roman" w:hAnsi="Times New Roman" w:cs="Times New Roman"/>
          <w:iCs/>
          <w:lang w:val="en-IE" w:eastAsia="en-GB"/>
        </w:rPr>
        <w:t xml:space="preserve">a </w:t>
      </w:r>
      <w:r w:rsidR="00C11C1C" w:rsidRPr="00597A71">
        <w:rPr>
          <w:rFonts w:ascii="Times New Roman" w:eastAsia="Times New Roman" w:hAnsi="Times New Roman" w:cs="Times New Roman"/>
          <w:iCs/>
          <w:lang w:val="en-IE" w:eastAsia="en-GB"/>
        </w:rPr>
        <w:t xml:space="preserve">real risk that he may be required to serve part of his sentence on parole and under probation supervision.  </w:t>
      </w:r>
      <w:r w:rsidR="005E2CAA" w:rsidRPr="00597A71">
        <w:rPr>
          <w:rFonts w:ascii="Times New Roman" w:eastAsia="Times New Roman" w:hAnsi="Times New Roman" w:cs="Times New Roman"/>
          <w:iCs/>
          <w:lang w:val="en-IE" w:eastAsia="en-GB"/>
        </w:rPr>
        <w:t xml:space="preserve">Such a finding does not have the conclusive quality for which the appellant contends, </w:t>
      </w:r>
      <w:r w:rsidR="005220D9">
        <w:rPr>
          <w:rFonts w:ascii="Times New Roman" w:eastAsia="Times New Roman" w:hAnsi="Times New Roman" w:cs="Times New Roman"/>
          <w:iCs/>
          <w:lang w:val="en-IE" w:eastAsia="en-GB"/>
        </w:rPr>
        <w:t xml:space="preserve">but </w:t>
      </w:r>
      <w:r w:rsidR="005E2CAA" w:rsidRPr="00597A71">
        <w:rPr>
          <w:rFonts w:ascii="Times New Roman" w:eastAsia="Times New Roman" w:hAnsi="Times New Roman" w:cs="Times New Roman"/>
          <w:iCs/>
          <w:lang w:val="en-IE" w:eastAsia="en-GB"/>
        </w:rPr>
        <w:t>instead it is a step in the</w:t>
      </w:r>
      <w:r w:rsidR="00C11C1C" w:rsidRPr="00597A71">
        <w:rPr>
          <w:rFonts w:ascii="Times New Roman" w:eastAsia="Times New Roman" w:hAnsi="Times New Roman" w:cs="Times New Roman"/>
          <w:iCs/>
          <w:lang w:val="en-IE" w:eastAsia="en-GB"/>
        </w:rPr>
        <w:t xml:space="preserve"> </w:t>
      </w:r>
      <w:r w:rsidR="008D0951" w:rsidRPr="00597A71">
        <w:rPr>
          <w:rFonts w:ascii="Times New Roman" w:eastAsia="Times New Roman" w:hAnsi="Times New Roman" w:cs="Times New Roman"/>
          <w:iCs/>
          <w:lang w:val="en-IE" w:eastAsia="en-GB"/>
        </w:rPr>
        <w:t xml:space="preserve">rigorous </w:t>
      </w:r>
      <w:r w:rsidR="00C11C1C" w:rsidRPr="00597A71">
        <w:rPr>
          <w:rFonts w:ascii="Times New Roman" w:eastAsia="Times New Roman" w:hAnsi="Times New Roman" w:cs="Times New Roman"/>
          <w:iCs/>
          <w:lang w:val="en-IE" w:eastAsia="en-GB"/>
        </w:rPr>
        <w:t xml:space="preserve">examination </w:t>
      </w:r>
      <w:r w:rsidR="00521E45" w:rsidRPr="00597A71">
        <w:rPr>
          <w:rFonts w:ascii="Times New Roman" w:eastAsia="Times New Roman" w:hAnsi="Times New Roman" w:cs="Times New Roman"/>
          <w:iCs/>
          <w:lang w:val="en-IE" w:eastAsia="en-GB"/>
        </w:rPr>
        <w:t xml:space="preserve">required </w:t>
      </w:r>
      <w:r w:rsidR="00C11C1C" w:rsidRPr="00597A71">
        <w:rPr>
          <w:rFonts w:ascii="Times New Roman" w:eastAsia="Times New Roman" w:hAnsi="Times New Roman" w:cs="Times New Roman"/>
          <w:iCs/>
          <w:lang w:val="en-IE" w:eastAsia="en-GB"/>
        </w:rPr>
        <w:t xml:space="preserve">of the </w:t>
      </w:r>
      <w:r w:rsidR="008D0951" w:rsidRPr="00597A71">
        <w:rPr>
          <w:rFonts w:ascii="Times New Roman" w:eastAsia="Times New Roman" w:hAnsi="Times New Roman" w:cs="Times New Roman"/>
          <w:iCs/>
          <w:lang w:val="en-IE" w:eastAsia="en-GB"/>
        </w:rPr>
        <w:t xml:space="preserve">evidence the </w:t>
      </w:r>
      <w:r w:rsidR="00C11C1C" w:rsidRPr="00597A71">
        <w:rPr>
          <w:rFonts w:ascii="Times New Roman" w:eastAsia="Times New Roman" w:hAnsi="Times New Roman" w:cs="Times New Roman"/>
          <w:iCs/>
          <w:lang w:val="en-IE" w:eastAsia="en-GB"/>
        </w:rPr>
        <w:t>appellant</w:t>
      </w:r>
      <w:r w:rsidR="008D0951" w:rsidRPr="00597A71">
        <w:rPr>
          <w:rFonts w:ascii="Times New Roman" w:eastAsia="Times New Roman" w:hAnsi="Times New Roman" w:cs="Times New Roman"/>
          <w:iCs/>
          <w:lang w:val="en-IE" w:eastAsia="en-GB"/>
        </w:rPr>
        <w:t xml:space="preserve"> presented to the High Court</w:t>
      </w:r>
      <w:r w:rsidR="00C11C1C" w:rsidRPr="00597A71">
        <w:rPr>
          <w:rFonts w:ascii="Times New Roman" w:eastAsia="Times New Roman" w:hAnsi="Times New Roman" w:cs="Times New Roman"/>
          <w:iCs/>
          <w:lang w:val="en-IE" w:eastAsia="en-GB"/>
        </w:rPr>
        <w:t>.</w:t>
      </w:r>
      <w:r w:rsidR="009E3476" w:rsidRPr="00597A71">
        <w:rPr>
          <w:rFonts w:ascii="Times New Roman" w:eastAsia="Times New Roman" w:hAnsi="Times New Roman" w:cs="Times New Roman"/>
          <w:iCs/>
          <w:lang w:val="en-IE" w:eastAsia="en-GB"/>
        </w:rPr>
        <w:t xml:space="preserve"> </w:t>
      </w:r>
    </w:p>
    <w:p w14:paraId="24C6A640" w14:textId="23C5C111" w:rsidR="00597A71" w:rsidRPr="00597A71" w:rsidRDefault="005E2CAA"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While t</w:t>
      </w:r>
      <w:r w:rsidR="008D0951" w:rsidRPr="00597A71">
        <w:rPr>
          <w:rFonts w:ascii="Times New Roman" w:eastAsia="Times New Roman" w:hAnsi="Times New Roman" w:cs="Times New Roman"/>
          <w:iCs/>
          <w:lang w:val="en-IE" w:eastAsia="en-GB"/>
        </w:rPr>
        <w:t xml:space="preserve">he appellant’s historical experiences </w:t>
      </w:r>
      <w:r w:rsidR="00953E79" w:rsidRPr="00597A71">
        <w:rPr>
          <w:rFonts w:ascii="Times New Roman" w:eastAsia="Times New Roman" w:hAnsi="Times New Roman" w:cs="Times New Roman"/>
          <w:iCs/>
          <w:lang w:val="en-IE" w:eastAsia="en-GB"/>
        </w:rPr>
        <w:t>of homelessness and poverty during his probation supervision period were undoubtedly dreadful</w:t>
      </w:r>
      <w:r w:rsidRPr="00597A71">
        <w:rPr>
          <w:rFonts w:ascii="Times New Roman" w:eastAsia="Times New Roman" w:hAnsi="Times New Roman" w:cs="Times New Roman"/>
          <w:iCs/>
          <w:lang w:val="en-IE" w:eastAsia="en-GB"/>
        </w:rPr>
        <w:t>, the</w:t>
      </w:r>
      <w:r w:rsidR="00953E79" w:rsidRPr="00597A71">
        <w:rPr>
          <w:rFonts w:ascii="Times New Roman" w:eastAsia="Times New Roman" w:hAnsi="Times New Roman" w:cs="Times New Roman"/>
          <w:iCs/>
          <w:lang w:val="en-IE" w:eastAsia="en-GB"/>
        </w:rPr>
        <w:t xml:space="preserve"> fact that he had to endure them in the past does not</w:t>
      </w:r>
      <w:r w:rsidRPr="00597A71">
        <w:rPr>
          <w:rFonts w:ascii="Times New Roman" w:eastAsia="Times New Roman" w:hAnsi="Times New Roman" w:cs="Times New Roman"/>
          <w:iCs/>
          <w:lang w:val="en-IE" w:eastAsia="en-GB"/>
        </w:rPr>
        <w:t>,</w:t>
      </w:r>
      <w:r w:rsidR="00953E79" w:rsidRPr="00597A71">
        <w:rPr>
          <w:rFonts w:ascii="Times New Roman" w:eastAsia="Times New Roman" w:hAnsi="Times New Roman" w:cs="Times New Roman"/>
          <w:iCs/>
          <w:lang w:val="en-IE" w:eastAsia="en-GB"/>
        </w:rPr>
        <w:t xml:space="preserve"> of itself</w:t>
      </w:r>
      <w:r w:rsidRPr="00597A71">
        <w:rPr>
          <w:rFonts w:ascii="Times New Roman" w:eastAsia="Times New Roman" w:hAnsi="Times New Roman" w:cs="Times New Roman"/>
          <w:iCs/>
          <w:lang w:val="en-IE" w:eastAsia="en-GB"/>
        </w:rPr>
        <w:t>,</w:t>
      </w:r>
      <w:r w:rsidR="00953E79" w:rsidRPr="00597A71">
        <w:rPr>
          <w:rFonts w:ascii="Times New Roman" w:eastAsia="Times New Roman" w:hAnsi="Times New Roman" w:cs="Times New Roman"/>
          <w:iCs/>
          <w:lang w:val="en-IE" w:eastAsia="en-GB"/>
        </w:rPr>
        <w:t xml:space="preserve"> </w:t>
      </w:r>
      <w:r w:rsidR="00521E45" w:rsidRPr="00597A71">
        <w:rPr>
          <w:rFonts w:ascii="Times New Roman" w:eastAsia="Times New Roman" w:hAnsi="Times New Roman" w:cs="Times New Roman"/>
          <w:iCs/>
          <w:lang w:val="en-IE" w:eastAsia="en-GB"/>
        </w:rPr>
        <w:t xml:space="preserve">reach the threshold for finding that his extradition must be refused </w:t>
      </w:r>
      <w:r w:rsidRPr="00597A71">
        <w:rPr>
          <w:rFonts w:ascii="Times New Roman" w:eastAsia="Times New Roman" w:hAnsi="Times New Roman" w:cs="Times New Roman"/>
          <w:iCs/>
          <w:lang w:val="en-IE" w:eastAsia="en-GB"/>
        </w:rPr>
        <w:lastRenderedPageBreak/>
        <w:t xml:space="preserve">because </w:t>
      </w:r>
      <w:r w:rsidR="00521E45" w:rsidRPr="00597A71">
        <w:rPr>
          <w:rFonts w:ascii="Times New Roman" w:eastAsia="Times New Roman" w:hAnsi="Times New Roman" w:cs="Times New Roman"/>
          <w:iCs/>
          <w:lang w:val="en-IE" w:eastAsia="en-GB"/>
        </w:rPr>
        <w:t>there is a real risk that he will be subjected to inhuman and degrading treatment</w:t>
      </w:r>
      <w:r w:rsidR="008F4B6A" w:rsidRPr="00597A71">
        <w:rPr>
          <w:rFonts w:ascii="Times New Roman" w:eastAsia="Times New Roman" w:hAnsi="Times New Roman" w:cs="Times New Roman"/>
          <w:iCs/>
          <w:lang w:val="en-IE" w:eastAsia="en-GB"/>
        </w:rPr>
        <w:t xml:space="preserve"> should he be extradited</w:t>
      </w:r>
      <w:r w:rsidR="00521E45" w:rsidRPr="00597A71">
        <w:rPr>
          <w:rFonts w:ascii="Times New Roman" w:eastAsia="Times New Roman" w:hAnsi="Times New Roman" w:cs="Times New Roman"/>
          <w:iCs/>
          <w:lang w:val="en-IE" w:eastAsia="en-GB"/>
        </w:rPr>
        <w:t>.</w:t>
      </w:r>
      <w:r w:rsidR="00953E79" w:rsidRPr="00597A71">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Instead, t</w:t>
      </w:r>
      <w:r w:rsidR="008F4B6A" w:rsidRPr="00597A71">
        <w:rPr>
          <w:rFonts w:ascii="Times New Roman" w:eastAsia="Times New Roman" w:hAnsi="Times New Roman" w:cs="Times New Roman"/>
          <w:iCs/>
          <w:lang w:val="en-IE" w:eastAsia="en-GB"/>
        </w:rPr>
        <w:t xml:space="preserve">he High Court and this Court on appeal </w:t>
      </w:r>
      <w:r w:rsidRPr="00597A71">
        <w:rPr>
          <w:rFonts w:ascii="Times New Roman" w:eastAsia="Times New Roman" w:hAnsi="Times New Roman" w:cs="Times New Roman"/>
          <w:iCs/>
          <w:lang w:val="en-IE" w:eastAsia="en-GB"/>
        </w:rPr>
        <w:t>are</w:t>
      </w:r>
      <w:r w:rsidR="008F4B6A" w:rsidRPr="00597A71">
        <w:rPr>
          <w:rFonts w:ascii="Times New Roman" w:eastAsia="Times New Roman" w:hAnsi="Times New Roman" w:cs="Times New Roman"/>
          <w:iCs/>
          <w:lang w:val="en-IE" w:eastAsia="en-GB"/>
        </w:rPr>
        <w:t xml:space="preserve"> required to be forward</w:t>
      </w:r>
      <w:r w:rsidR="007E2458">
        <w:rPr>
          <w:rFonts w:ascii="Times New Roman" w:eastAsia="Times New Roman" w:hAnsi="Times New Roman" w:cs="Times New Roman"/>
          <w:iCs/>
          <w:lang w:val="en-IE" w:eastAsia="en-GB"/>
        </w:rPr>
        <w:t>-</w:t>
      </w:r>
      <w:r w:rsidR="008F4B6A" w:rsidRPr="00597A71">
        <w:rPr>
          <w:rFonts w:ascii="Times New Roman" w:eastAsia="Times New Roman" w:hAnsi="Times New Roman" w:cs="Times New Roman"/>
          <w:iCs/>
          <w:lang w:val="en-IE" w:eastAsia="en-GB"/>
        </w:rPr>
        <w:t>looking</w:t>
      </w:r>
      <w:r w:rsidRPr="00597A71">
        <w:rPr>
          <w:rFonts w:ascii="Times New Roman" w:eastAsia="Times New Roman" w:hAnsi="Times New Roman" w:cs="Times New Roman"/>
          <w:iCs/>
          <w:lang w:val="en-IE" w:eastAsia="en-GB"/>
        </w:rPr>
        <w:t xml:space="preserve"> in the measurement of risk</w:t>
      </w:r>
      <w:r w:rsidR="008F4B6A" w:rsidRPr="00597A71">
        <w:rPr>
          <w:rFonts w:ascii="Times New Roman" w:eastAsia="Times New Roman" w:hAnsi="Times New Roman" w:cs="Times New Roman"/>
          <w:iCs/>
          <w:lang w:val="en-IE" w:eastAsia="en-GB"/>
        </w:rPr>
        <w:t>.  Previously, t</w:t>
      </w:r>
      <w:r w:rsidR="00953E79" w:rsidRPr="00597A71">
        <w:rPr>
          <w:rFonts w:ascii="Times New Roman" w:eastAsia="Times New Roman" w:hAnsi="Times New Roman" w:cs="Times New Roman"/>
          <w:iCs/>
          <w:lang w:val="en-IE" w:eastAsia="en-GB"/>
        </w:rPr>
        <w:t xml:space="preserve">he path to </w:t>
      </w:r>
      <w:r w:rsidR="00521E45" w:rsidRPr="00597A71">
        <w:rPr>
          <w:rFonts w:ascii="Times New Roman" w:eastAsia="Times New Roman" w:hAnsi="Times New Roman" w:cs="Times New Roman"/>
          <w:iCs/>
          <w:lang w:val="en-IE" w:eastAsia="en-GB"/>
        </w:rPr>
        <w:t xml:space="preserve">the appellant </w:t>
      </w:r>
      <w:r w:rsidR="007C611F" w:rsidRPr="00597A71">
        <w:rPr>
          <w:rFonts w:ascii="Times New Roman" w:eastAsia="Times New Roman" w:hAnsi="Times New Roman" w:cs="Times New Roman"/>
          <w:iCs/>
          <w:lang w:val="en-IE" w:eastAsia="en-GB"/>
        </w:rPr>
        <w:t xml:space="preserve">finding himself in those circumstances started </w:t>
      </w:r>
      <w:r w:rsidR="00521E45" w:rsidRPr="00597A71">
        <w:rPr>
          <w:rFonts w:ascii="Times New Roman" w:eastAsia="Times New Roman" w:hAnsi="Times New Roman" w:cs="Times New Roman"/>
          <w:iCs/>
          <w:lang w:val="en-IE" w:eastAsia="en-GB"/>
        </w:rPr>
        <w:t>with him</w:t>
      </w:r>
      <w:r w:rsidR="00953E79" w:rsidRPr="00597A71">
        <w:rPr>
          <w:rFonts w:ascii="Times New Roman" w:eastAsia="Times New Roman" w:hAnsi="Times New Roman" w:cs="Times New Roman"/>
          <w:iCs/>
          <w:lang w:val="en-IE" w:eastAsia="en-GB"/>
        </w:rPr>
        <w:t xml:space="preserve"> g</w:t>
      </w:r>
      <w:r w:rsidR="00521E45" w:rsidRPr="00597A71">
        <w:rPr>
          <w:rFonts w:ascii="Times New Roman" w:eastAsia="Times New Roman" w:hAnsi="Times New Roman" w:cs="Times New Roman"/>
          <w:iCs/>
          <w:lang w:val="en-IE" w:eastAsia="en-GB"/>
        </w:rPr>
        <w:t>iving</w:t>
      </w:r>
      <w:r w:rsidR="00953E79" w:rsidRPr="00597A71">
        <w:rPr>
          <w:rFonts w:ascii="Times New Roman" w:eastAsia="Times New Roman" w:hAnsi="Times New Roman" w:cs="Times New Roman"/>
          <w:iCs/>
          <w:lang w:val="en-IE" w:eastAsia="en-GB"/>
        </w:rPr>
        <w:t xml:space="preserve"> an address to the probation authorities </w:t>
      </w:r>
      <w:r w:rsidR="00A90A3C" w:rsidRPr="00597A71">
        <w:rPr>
          <w:rFonts w:ascii="Times New Roman" w:eastAsia="Times New Roman" w:hAnsi="Times New Roman" w:cs="Times New Roman"/>
          <w:iCs/>
          <w:lang w:val="en-IE" w:eastAsia="en-GB"/>
        </w:rPr>
        <w:t xml:space="preserve">in </w:t>
      </w:r>
      <w:r w:rsidR="00953E79" w:rsidRPr="00597A71">
        <w:rPr>
          <w:rFonts w:ascii="Times New Roman" w:eastAsia="Times New Roman" w:hAnsi="Times New Roman" w:cs="Times New Roman"/>
          <w:iCs/>
          <w:lang w:val="en-IE" w:eastAsia="en-GB"/>
        </w:rPr>
        <w:t xml:space="preserve">which he did not intend to </w:t>
      </w:r>
      <w:r w:rsidR="00A90A3C" w:rsidRPr="00597A71">
        <w:rPr>
          <w:rFonts w:ascii="Times New Roman" w:eastAsia="Times New Roman" w:hAnsi="Times New Roman" w:cs="Times New Roman"/>
          <w:iCs/>
          <w:lang w:val="en-IE" w:eastAsia="en-GB"/>
        </w:rPr>
        <w:t>reside</w:t>
      </w:r>
      <w:r w:rsidR="00953E79" w:rsidRPr="00597A71">
        <w:rPr>
          <w:rFonts w:ascii="Times New Roman" w:eastAsia="Times New Roman" w:hAnsi="Times New Roman" w:cs="Times New Roman"/>
          <w:iCs/>
          <w:lang w:val="en-IE" w:eastAsia="en-GB"/>
        </w:rPr>
        <w:t xml:space="preserve">.  </w:t>
      </w:r>
      <w:r w:rsidR="007C611F" w:rsidRPr="00597A71">
        <w:rPr>
          <w:rFonts w:ascii="Times New Roman" w:eastAsia="Times New Roman" w:hAnsi="Times New Roman" w:cs="Times New Roman"/>
          <w:iCs/>
          <w:lang w:val="en-IE" w:eastAsia="en-GB"/>
        </w:rPr>
        <w:t>The High Court judge found</w:t>
      </w:r>
      <w:r w:rsidR="005220D9">
        <w:rPr>
          <w:rFonts w:ascii="Times New Roman" w:eastAsia="Times New Roman" w:hAnsi="Times New Roman" w:cs="Times New Roman"/>
          <w:iCs/>
          <w:lang w:val="en-IE" w:eastAsia="en-GB"/>
        </w:rPr>
        <w:t>,</w:t>
      </w:r>
      <w:r w:rsidR="007C611F" w:rsidRPr="00597A71">
        <w:rPr>
          <w:rFonts w:ascii="Times New Roman" w:eastAsia="Times New Roman" w:hAnsi="Times New Roman" w:cs="Times New Roman"/>
          <w:iCs/>
          <w:lang w:val="en-IE" w:eastAsia="en-GB"/>
        </w:rPr>
        <w:t xml:space="preserve"> however</w:t>
      </w:r>
      <w:r w:rsidR="005220D9">
        <w:rPr>
          <w:rFonts w:ascii="Times New Roman" w:eastAsia="Times New Roman" w:hAnsi="Times New Roman" w:cs="Times New Roman"/>
          <w:iCs/>
          <w:lang w:val="en-IE" w:eastAsia="en-GB"/>
        </w:rPr>
        <w:t>,</w:t>
      </w:r>
      <w:r w:rsidR="007C611F" w:rsidRPr="00597A71">
        <w:rPr>
          <w:rFonts w:ascii="Times New Roman" w:eastAsia="Times New Roman" w:hAnsi="Times New Roman" w:cs="Times New Roman"/>
          <w:iCs/>
          <w:lang w:val="en-IE" w:eastAsia="en-GB"/>
        </w:rPr>
        <w:t xml:space="preserve"> as a fact</w:t>
      </w:r>
      <w:r w:rsidR="005220D9">
        <w:rPr>
          <w:rFonts w:ascii="Times New Roman" w:eastAsia="Times New Roman" w:hAnsi="Times New Roman" w:cs="Times New Roman"/>
          <w:iCs/>
          <w:lang w:val="en-IE" w:eastAsia="en-GB"/>
        </w:rPr>
        <w:t>,</w:t>
      </w:r>
      <w:r w:rsidR="007C611F" w:rsidRPr="00597A71">
        <w:rPr>
          <w:rFonts w:ascii="Times New Roman" w:eastAsia="Times New Roman" w:hAnsi="Times New Roman" w:cs="Times New Roman"/>
          <w:iCs/>
          <w:lang w:val="en-IE" w:eastAsia="en-GB"/>
        </w:rPr>
        <w:t xml:space="preserve"> that it was possible to provide an address which would have been suitable to the probation services.  </w:t>
      </w:r>
      <w:r w:rsidR="006C5B04" w:rsidRPr="00597A71">
        <w:rPr>
          <w:rFonts w:ascii="Times New Roman" w:eastAsia="Times New Roman" w:hAnsi="Times New Roman" w:cs="Times New Roman"/>
          <w:iCs/>
          <w:lang w:val="en-IE" w:eastAsia="en-GB"/>
        </w:rPr>
        <w:t xml:space="preserve">That possibility </w:t>
      </w:r>
      <w:r w:rsidR="00286569" w:rsidRPr="00597A71">
        <w:rPr>
          <w:rFonts w:ascii="Times New Roman" w:eastAsia="Times New Roman" w:hAnsi="Times New Roman" w:cs="Times New Roman"/>
          <w:iCs/>
          <w:lang w:val="en-IE" w:eastAsia="en-GB"/>
        </w:rPr>
        <w:t>still exists</w:t>
      </w:r>
      <w:r w:rsidR="006C5B04" w:rsidRPr="00597A71">
        <w:rPr>
          <w:rFonts w:ascii="Times New Roman" w:eastAsia="Times New Roman" w:hAnsi="Times New Roman" w:cs="Times New Roman"/>
          <w:iCs/>
          <w:lang w:val="en-IE" w:eastAsia="en-GB"/>
        </w:rPr>
        <w:t>.</w:t>
      </w:r>
      <w:r w:rsidR="008F4B6A" w:rsidRPr="00597A71">
        <w:rPr>
          <w:rFonts w:ascii="Times New Roman" w:eastAsia="Times New Roman" w:hAnsi="Times New Roman" w:cs="Times New Roman"/>
          <w:iCs/>
          <w:lang w:val="en-IE" w:eastAsia="en-GB"/>
        </w:rPr>
        <w:t xml:space="preserve">  Thus</w:t>
      </w:r>
      <w:r w:rsidR="00DC3CB5" w:rsidRPr="00597A71">
        <w:rPr>
          <w:rFonts w:ascii="Times New Roman" w:eastAsia="Times New Roman" w:hAnsi="Times New Roman" w:cs="Times New Roman"/>
          <w:iCs/>
          <w:lang w:val="en-IE" w:eastAsia="en-GB"/>
        </w:rPr>
        <w:t>,</w:t>
      </w:r>
      <w:r w:rsidR="008F4B6A" w:rsidRPr="00597A71">
        <w:rPr>
          <w:rFonts w:ascii="Times New Roman" w:eastAsia="Times New Roman" w:hAnsi="Times New Roman" w:cs="Times New Roman"/>
          <w:iCs/>
          <w:lang w:val="en-IE" w:eastAsia="en-GB"/>
        </w:rPr>
        <w:t xml:space="preserve"> there is at least the possibility that the appellant will be able to find an address that satisfie</w:t>
      </w:r>
      <w:r w:rsidR="00361035">
        <w:rPr>
          <w:rFonts w:ascii="Times New Roman" w:eastAsia="Times New Roman" w:hAnsi="Times New Roman" w:cs="Times New Roman"/>
          <w:iCs/>
          <w:lang w:val="en-IE" w:eastAsia="en-GB"/>
        </w:rPr>
        <w:t>s</w:t>
      </w:r>
      <w:r w:rsidR="008F4B6A" w:rsidRPr="00597A71">
        <w:rPr>
          <w:rFonts w:ascii="Times New Roman" w:eastAsia="Times New Roman" w:hAnsi="Times New Roman" w:cs="Times New Roman"/>
          <w:iCs/>
          <w:lang w:val="en-IE" w:eastAsia="en-GB"/>
        </w:rPr>
        <w:t xml:space="preserve"> </w:t>
      </w:r>
      <w:r w:rsidR="00DC3CB5" w:rsidRPr="00597A71">
        <w:rPr>
          <w:rFonts w:ascii="Times New Roman" w:eastAsia="Times New Roman" w:hAnsi="Times New Roman" w:cs="Times New Roman"/>
          <w:iCs/>
          <w:lang w:val="en-IE" w:eastAsia="en-GB"/>
        </w:rPr>
        <w:t xml:space="preserve">the </w:t>
      </w:r>
      <w:r w:rsidR="008F4B6A" w:rsidRPr="00597A71">
        <w:rPr>
          <w:rFonts w:ascii="Times New Roman" w:eastAsia="Times New Roman" w:hAnsi="Times New Roman" w:cs="Times New Roman"/>
          <w:iCs/>
          <w:lang w:val="en-IE" w:eastAsia="en-GB"/>
        </w:rPr>
        <w:t xml:space="preserve">probation </w:t>
      </w:r>
      <w:r w:rsidR="00DC3CB5" w:rsidRPr="00597A71">
        <w:rPr>
          <w:rFonts w:ascii="Times New Roman" w:eastAsia="Times New Roman" w:hAnsi="Times New Roman" w:cs="Times New Roman"/>
          <w:iCs/>
          <w:lang w:val="en-IE" w:eastAsia="en-GB"/>
        </w:rPr>
        <w:t xml:space="preserve">service, </w:t>
      </w:r>
      <w:r w:rsidR="008F4B6A" w:rsidRPr="00597A71">
        <w:rPr>
          <w:rFonts w:ascii="Times New Roman" w:eastAsia="Times New Roman" w:hAnsi="Times New Roman" w:cs="Times New Roman"/>
          <w:iCs/>
          <w:lang w:val="en-IE" w:eastAsia="en-GB"/>
        </w:rPr>
        <w:t xml:space="preserve">but this time one </w:t>
      </w:r>
      <w:r w:rsidR="00A90A3C" w:rsidRPr="00597A71">
        <w:rPr>
          <w:rFonts w:ascii="Times New Roman" w:eastAsia="Times New Roman" w:hAnsi="Times New Roman" w:cs="Times New Roman"/>
          <w:iCs/>
          <w:lang w:val="en-IE" w:eastAsia="en-GB"/>
        </w:rPr>
        <w:t xml:space="preserve">in </w:t>
      </w:r>
      <w:r w:rsidR="008F4B6A" w:rsidRPr="00597A71">
        <w:rPr>
          <w:rFonts w:ascii="Times New Roman" w:eastAsia="Times New Roman" w:hAnsi="Times New Roman" w:cs="Times New Roman"/>
          <w:iCs/>
          <w:lang w:val="en-IE" w:eastAsia="en-GB"/>
        </w:rPr>
        <w:t>which he intends to reside.</w:t>
      </w:r>
    </w:p>
    <w:p w14:paraId="73E4B81E" w14:textId="0F512BF9" w:rsidR="00597A71" w:rsidRPr="00597A71" w:rsidRDefault="008F4B6A"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E</w:t>
      </w:r>
      <w:r w:rsidR="00521E45" w:rsidRPr="00597A71">
        <w:rPr>
          <w:rFonts w:ascii="Times New Roman" w:eastAsia="Times New Roman" w:hAnsi="Times New Roman" w:cs="Times New Roman"/>
          <w:iCs/>
          <w:lang w:val="en-IE" w:eastAsia="en-GB"/>
        </w:rPr>
        <w:t xml:space="preserve">ven </w:t>
      </w:r>
      <w:r w:rsidRPr="00597A71">
        <w:rPr>
          <w:rFonts w:ascii="Times New Roman" w:eastAsia="Times New Roman" w:hAnsi="Times New Roman" w:cs="Times New Roman"/>
          <w:iCs/>
          <w:lang w:val="en-IE" w:eastAsia="en-GB"/>
        </w:rPr>
        <w:t>then</w:t>
      </w:r>
      <w:r w:rsidR="00A714BC" w:rsidRPr="00597A71">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w:t>
      </w:r>
      <w:r w:rsidR="006C5B04" w:rsidRPr="00597A71">
        <w:rPr>
          <w:rFonts w:ascii="Times New Roman" w:eastAsia="Times New Roman" w:hAnsi="Times New Roman" w:cs="Times New Roman"/>
          <w:iCs/>
          <w:lang w:val="en-IE" w:eastAsia="en-GB"/>
        </w:rPr>
        <w:t>the appellant was not rendered instantly homeless</w:t>
      </w:r>
      <w:r w:rsidR="00623044" w:rsidRPr="00597A71">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when released from prison.</w:t>
      </w:r>
      <w:r w:rsidR="00C84411">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 xml:space="preserve"> The release from custody did not immediately subject him to the requirement to live in a tent in the homeless “campground” in conditions of fear and squalor which form the basis of his claim of the risk of </w:t>
      </w:r>
      <w:r w:rsidR="00623044" w:rsidRPr="00597A71">
        <w:rPr>
          <w:rFonts w:ascii="Times New Roman" w:eastAsia="Times New Roman" w:hAnsi="Times New Roman" w:cs="Times New Roman"/>
          <w:iCs/>
          <w:lang w:val="en-IE" w:eastAsia="en-GB"/>
        </w:rPr>
        <w:t>inhuman and degrading</w:t>
      </w:r>
      <w:r w:rsidRPr="00597A71">
        <w:rPr>
          <w:rFonts w:ascii="Times New Roman" w:eastAsia="Times New Roman" w:hAnsi="Times New Roman" w:cs="Times New Roman"/>
          <w:iCs/>
          <w:lang w:val="en-IE" w:eastAsia="en-GB"/>
        </w:rPr>
        <w:t xml:space="preserve"> </w:t>
      </w:r>
      <w:r w:rsidR="00623044" w:rsidRPr="00597A71">
        <w:rPr>
          <w:rFonts w:ascii="Times New Roman" w:eastAsia="Times New Roman" w:hAnsi="Times New Roman" w:cs="Times New Roman"/>
          <w:iCs/>
          <w:lang w:val="en-IE" w:eastAsia="en-GB"/>
        </w:rPr>
        <w:t>treatment</w:t>
      </w:r>
      <w:r w:rsidRPr="00597A71">
        <w:rPr>
          <w:rFonts w:ascii="Times New Roman" w:eastAsia="Times New Roman" w:hAnsi="Times New Roman" w:cs="Times New Roman"/>
          <w:iCs/>
          <w:lang w:val="en-IE" w:eastAsia="en-GB"/>
        </w:rPr>
        <w:t xml:space="preserve">.  Instead, </w:t>
      </w:r>
      <w:r w:rsidR="00623044" w:rsidRPr="00597A71">
        <w:rPr>
          <w:rFonts w:ascii="Times New Roman" w:eastAsia="Times New Roman" w:hAnsi="Times New Roman" w:cs="Times New Roman"/>
          <w:iCs/>
          <w:lang w:val="en-IE" w:eastAsia="en-GB"/>
        </w:rPr>
        <w:t xml:space="preserve">the appellant lived for </w:t>
      </w:r>
      <w:r w:rsidR="007E2458">
        <w:rPr>
          <w:rFonts w:ascii="Times New Roman" w:eastAsia="Times New Roman" w:hAnsi="Times New Roman" w:cs="Times New Roman"/>
          <w:iCs/>
          <w:lang w:val="en-IE" w:eastAsia="en-GB"/>
        </w:rPr>
        <w:t>six</w:t>
      </w:r>
      <w:r w:rsidR="00623044" w:rsidRPr="00597A71">
        <w:rPr>
          <w:rFonts w:ascii="Times New Roman" w:eastAsia="Times New Roman" w:hAnsi="Times New Roman" w:cs="Times New Roman"/>
          <w:iCs/>
          <w:lang w:val="en-IE" w:eastAsia="en-GB"/>
        </w:rPr>
        <w:t xml:space="preserve"> months in a homeless shelter</w:t>
      </w:r>
      <w:r w:rsidR="007E2458">
        <w:rPr>
          <w:rFonts w:ascii="Times New Roman" w:eastAsia="Times New Roman" w:hAnsi="Times New Roman" w:cs="Times New Roman"/>
          <w:iCs/>
          <w:lang w:val="en-IE" w:eastAsia="en-GB"/>
        </w:rPr>
        <w:t>,</w:t>
      </w:r>
      <w:r w:rsidR="00623044" w:rsidRPr="00597A71">
        <w:rPr>
          <w:rFonts w:ascii="Times New Roman" w:eastAsia="Times New Roman" w:hAnsi="Times New Roman" w:cs="Times New Roman"/>
          <w:iCs/>
          <w:lang w:val="en-IE" w:eastAsia="en-GB"/>
        </w:rPr>
        <w:t xml:space="preserve"> until he had to leave</w:t>
      </w:r>
      <w:r w:rsidR="007E2458">
        <w:rPr>
          <w:rFonts w:ascii="Times New Roman" w:eastAsia="Times New Roman" w:hAnsi="Times New Roman" w:cs="Times New Roman"/>
          <w:iCs/>
          <w:lang w:val="en-IE" w:eastAsia="en-GB"/>
        </w:rPr>
        <w:t>,</w:t>
      </w:r>
      <w:r w:rsidR="00623044" w:rsidRPr="00597A71">
        <w:rPr>
          <w:rFonts w:ascii="Times New Roman" w:eastAsia="Times New Roman" w:hAnsi="Times New Roman" w:cs="Times New Roman"/>
          <w:iCs/>
          <w:lang w:val="en-IE" w:eastAsia="en-GB"/>
        </w:rPr>
        <w:t xml:space="preserve"> and then resided in another hostel for the maximum period of one week.  </w:t>
      </w:r>
      <w:r w:rsidR="002E3B5E" w:rsidRPr="00597A71">
        <w:rPr>
          <w:rFonts w:ascii="Times New Roman" w:eastAsia="Times New Roman" w:hAnsi="Times New Roman" w:cs="Times New Roman"/>
          <w:iCs/>
          <w:lang w:val="en-IE" w:eastAsia="en-GB"/>
        </w:rPr>
        <w:t>The appellant’s reliance on homeless shelters was because of his stated inability to either obtain employment or</w:t>
      </w:r>
      <w:r w:rsidR="00C84411">
        <w:rPr>
          <w:rFonts w:ascii="Times New Roman" w:eastAsia="Times New Roman" w:hAnsi="Times New Roman" w:cs="Times New Roman"/>
          <w:iCs/>
          <w:lang w:val="en-IE" w:eastAsia="en-GB"/>
        </w:rPr>
        <w:t>,</w:t>
      </w:r>
      <w:r w:rsidR="002E3B5E" w:rsidRPr="00597A71">
        <w:rPr>
          <w:rFonts w:ascii="Times New Roman" w:eastAsia="Times New Roman" w:hAnsi="Times New Roman" w:cs="Times New Roman"/>
          <w:iCs/>
          <w:lang w:val="en-IE" w:eastAsia="en-GB"/>
        </w:rPr>
        <w:t xml:space="preserve"> if obtained, to retain that employment</w:t>
      </w:r>
      <w:r w:rsidR="0069435E" w:rsidRPr="00597A71">
        <w:rPr>
          <w:rFonts w:ascii="Times New Roman" w:eastAsia="Times New Roman" w:hAnsi="Times New Roman" w:cs="Times New Roman"/>
          <w:iCs/>
          <w:lang w:val="en-IE" w:eastAsia="en-GB"/>
        </w:rPr>
        <w:t>,</w:t>
      </w:r>
      <w:r w:rsidR="002E3B5E" w:rsidRPr="00597A71">
        <w:rPr>
          <w:rFonts w:ascii="Times New Roman" w:eastAsia="Times New Roman" w:hAnsi="Times New Roman" w:cs="Times New Roman"/>
          <w:iCs/>
          <w:lang w:val="en-IE" w:eastAsia="en-GB"/>
        </w:rPr>
        <w:t xml:space="preserve"> because of what he said were the conditions of parole, namely </w:t>
      </w:r>
      <w:r w:rsidR="0069435E" w:rsidRPr="00597A71">
        <w:rPr>
          <w:rFonts w:ascii="Times New Roman" w:eastAsia="Times New Roman" w:hAnsi="Times New Roman" w:cs="Times New Roman"/>
          <w:iCs/>
          <w:lang w:val="en-IE" w:eastAsia="en-GB"/>
        </w:rPr>
        <w:t xml:space="preserve">the requirement that it not be in </w:t>
      </w:r>
      <w:r w:rsidR="002E3B5E" w:rsidRPr="00597A71">
        <w:rPr>
          <w:rFonts w:ascii="Times New Roman" w:eastAsia="Times New Roman" w:hAnsi="Times New Roman" w:cs="Times New Roman"/>
          <w:iCs/>
          <w:lang w:val="en-IE" w:eastAsia="en-GB"/>
        </w:rPr>
        <w:t xml:space="preserve">proximity to various establishments or youth facilities.  </w:t>
      </w:r>
    </w:p>
    <w:p w14:paraId="2878530E" w14:textId="5DD6B623" w:rsidR="00597A71" w:rsidRPr="00597A71" w:rsidRDefault="00521E45"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Mr.</w:t>
      </w:r>
      <w:r w:rsidR="002526A8" w:rsidRPr="00597A71">
        <w:rPr>
          <w:rFonts w:ascii="Times New Roman" w:eastAsia="Times New Roman" w:hAnsi="Times New Roman" w:cs="Times New Roman"/>
          <w:iCs/>
          <w:lang w:val="en-IE" w:eastAsia="en-GB"/>
        </w:rPr>
        <w:t xml:space="preserve"> </w:t>
      </w:r>
      <w:r w:rsidR="002526A8" w:rsidRPr="00E410F0">
        <w:rPr>
          <w:rFonts w:ascii="Times New Roman" w:eastAsia="Times New Roman" w:hAnsi="Times New Roman" w:cs="Times New Roman"/>
          <w:iCs/>
          <w:lang w:val="en-IE" w:eastAsia="en-GB"/>
        </w:rPr>
        <w:t>Langlois</w:t>
      </w:r>
      <w:r w:rsidRPr="00597A71">
        <w:rPr>
          <w:rFonts w:ascii="Times New Roman" w:eastAsia="Times New Roman" w:hAnsi="Times New Roman" w:cs="Times New Roman"/>
          <w:iCs/>
          <w:lang w:val="en-IE" w:eastAsia="en-GB"/>
        </w:rPr>
        <w:t xml:space="preserve"> stated on affidavit</w:t>
      </w:r>
      <w:r w:rsidR="002526A8" w:rsidRPr="00597A71">
        <w:rPr>
          <w:rFonts w:ascii="Times New Roman" w:eastAsia="Times New Roman" w:hAnsi="Times New Roman" w:cs="Times New Roman"/>
          <w:iCs/>
          <w:lang w:val="en-IE" w:eastAsia="en-GB"/>
        </w:rPr>
        <w:t xml:space="preserve"> that Georgia sex offender laws were some of the harshest in the USA.  He also said that the statute was a catalyst for homelessness amongst sex offenders.  In relation to the requirement not to live within 1000 </w:t>
      </w:r>
      <w:r w:rsidR="00DC4A1A">
        <w:rPr>
          <w:rFonts w:ascii="Times New Roman" w:eastAsia="Times New Roman" w:hAnsi="Times New Roman" w:cs="Times New Roman"/>
          <w:iCs/>
          <w:lang w:val="en-IE" w:eastAsia="en-GB"/>
        </w:rPr>
        <w:t>feet</w:t>
      </w:r>
      <w:r w:rsidR="002526A8" w:rsidRPr="00597A71">
        <w:rPr>
          <w:rFonts w:ascii="Times New Roman" w:eastAsia="Times New Roman" w:hAnsi="Times New Roman" w:cs="Times New Roman"/>
          <w:iCs/>
          <w:lang w:val="en-IE" w:eastAsia="en-GB"/>
        </w:rPr>
        <w:t xml:space="preserve"> of a church</w:t>
      </w:r>
      <w:r w:rsidR="005220D9">
        <w:rPr>
          <w:rFonts w:ascii="Times New Roman" w:eastAsia="Times New Roman" w:hAnsi="Times New Roman" w:cs="Times New Roman"/>
          <w:iCs/>
          <w:lang w:val="en-IE" w:eastAsia="en-GB"/>
        </w:rPr>
        <w:t>,</w:t>
      </w:r>
      <w:r w:rsidR="002526A8" w:rsidRPr="00597A71">
        <w:rPr>
          <w:rFonts w:ascii="Times New Roman" w:eastAsia="Times New Roman" w:hAnsi="Times New Roman" w:cs="Times New Roman"/>
          <w:iCs/>
          <w:lang w:val="en-IE" w:eastAsia="en-GB"/>
        </w:rPr>
        <w:t xml:space="preserve"> he noted that it was difficult to find any location in the historic district of Savannah (a large residential and commercial area of the city of Savannah) that was not within 1000 feet of the church.  </w:t>
      </w:r>
      <w:r w:rsidRPr="00597A71">
        <w:rPr>
          <w:rFonts w:ascii="Times New Roman" w:eastAsia="Times New Roman" w:hAnsi="Times New Roman" w:cs="Times New Roman"/>
          <w:iCs/>
          <w:lang w:val="en-IE" w:eastAsia="en-GB"/>
        </w:rPr>
        <w:t xml:space="preserve">The personal evidence of the appellant and the submissions on his behalf featured the difficulties </w:t>
      </w:r>
      <w:r w:rsidR="005220D9">
        <w:rPr>
          <w:rFonts w:ascii="Times New Roman" w:eastAsia="Times New Roman" w:hAnsi="Times New Roman" w:cs="Times New Roman"/>
          <w:iCs/>
          <w:lang w:val="en-IE" w:eastAsia="en-GB"/>
        </w:rPr>
        <w:t>associated with</w:t>
      </w:r>
      <w:r w:rsidRPr="00597A71">
        <w:rPr>
          <w:rFonts w:ascii="Times New Roman" w:eastAsia="Times New Roman" w:hAnsi="Times New Roman" w:cs="Times New Roman"/>
          <w:iCs/>
          <w:lang w:val="en-IE" w:eastAsia="en-GB"/>
        </w:rPr>
        <w:t xml:space="preserve"> </w:t>
      </w:r>
      <w:r w:rsidR="005220D9">
        <w:rPr>
          <w:rFonts w:ascii="Times New Roman" w:eastAsia="Times New Roman" w:hAnsi="Times New Roman" w:cs="Times New Roman"/>
          <w:iCs/>
          <w:lang w:val="en-IE" w:eastAsia="en-GB"/>
        </w:rPr>
        <w:t xml:space="preserve">finding </w:t>
      </w:r>
      <w:r w:rsidRPr="00597A71">
        <w:rPr>
          <w:rFonts w:ascii="Times New Roman" w:eastAsia="Times New Roman" w:hAnsi="Times New Roman" w:cs="Times New Roman"/>
          <w:iCs/>
          <w:lang w:val="en-IE" w:eastAsia="en-GB"/>
        </w:rPr>
        <w:t xml:space="preserve">employment in this historic district.  </w:t>
      </w:r>
    </w:p>
    <w:p w14:paraId="2B17192D" w14:textId="748C6FFB" w:rsidR="00597A71" w:rsidRPr="00597A71" w:rsidRDefault="00521E45"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lastRenderedPageBreak/>
        <w:t>At the oral hearing</w:t>
      </w:r>
      <w:r w:rsidR="00DC4A1A">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 member of the </w:t>
      </w:r>
      <w:r w:rsidR="005220D9">
        <w:rPr>
          <w:rFonts w:ascii="Times New Roman" w:eastAsia="Times New Roman" w:hAnsi="Times New Roman" w:cs="Times New Roman"/>
          <w:iCs/>
          <w:lang w:val="en-IE" w:eastAsia="en-GB"/>
        </w:rPr>
        <w:t>C</w:t>
      </w:r>
      <w:r w:rsidRPr="00597A71">
        <w:rPr>
          <w:rFonts w:ascii="Times New Roman" w:eastAsia="Times New Roman" w:hAnsi="Times New Roman" w:cs="Times New Roman"/>
          <w:iCs/>
          <w:lang w:val="en-IE" w:eastAsia="en-GB"/>
        </w:rPr>
        <w:t>ourt</w:t>
      </w:r>
      <w:r w:rsidR="00C63C2B" w:rsidRPr="00597A71">
        <w:rPr>
          <w:rFonts w:ascii="Times New Roman" w:eastAsia="Times New Roman" w:hAnsi="Times New Roman" w:cs="Times New Roman"/>
          <w:iCs/>
          <w:lang w:val="en-IE" w:eastAsia="en-GB"/>
        </w:rPr>
        <w:t xml:space="preserve">, in an echo of the High Court judge’s observation </w:t>
      </w:r>
      <w:r w:rsidR="005220D9">
        <w:rPr>
          <w:rFonts w:ascii="Times New Roman" w:eastAsia="Times New Roman" w:hAnsi="Times New Roman" w:cs="Times New Roman"/>
          <w:iCs/>
          <w:lang w:val="en-IE" w:eastAsia="en-GB"/>
        </w:rPr>
        <w:t>as to</w:t>
      </w:r>
      <w:r w:rsidR="00C84411">
        <w:rPr>
          <w:rFonts w:ascii="Times New Roman" w:eastAsia="Times New Roman" w:hAnsi="Times New Roman" w:cs="Times New Roman"/>
          <w:iCs/>
          <w:lang w:val="en-IE" w:eastAsia="en-GB"/>
        </w:rPr>
        <w:t xml:space="preserve"> the question of whether</w:t>
      </w:r>
      <w:r w:rsidR="005220D9">
        <w:rPr>
          <w:rFonts w:ascii="Times New Roman" w:eastAsia="Times New Roman" w:hAnsi="Times New Roman" w:cs="Times New Roman"/>
          <w:iCs/>
          <w:lang w:val="en-IE" w:eastAsia="en-GB"/>
        </w:rPr>
        <w:t xml:space="preserve"> </w:t>
      </w:r>
      <w:r w:rsidR="00C63C2B" w:rsidRPr="00597A71">
        <w:rPr>
          <w:rFonts w:ascii="Times New Roman" w:eastAsia="Times New Roman" w:hAnsi="Times New Roman" w:cs="Times New Roman"/>
          <w:iCs/>
          <w:lang w:val="en-IE" w:eastAsia="en-GB"/>
        </w:rPr>
        <w:t xml:space="preserve">the historic district of Savannah </w:t>
      </w:r>
      <w:r w:rsidR="00C84411">
        <w:rPr>
          <w:rFonts w:ascii="Times New Roman" w:eastAsia="Times New Roman" w:hAnsi="Times New Roman" w:cs="Times New Roman"/>
          <w:iCs/>
          <w:lang w:val="en-IE" w:eastAsia="en-GB"/>
        </w:rPr>
        <w:t>w</w:t>
      </w:r>
      <w:r w:rsidR="00C63C2B" w:rsidRPr="00597A71">
        <w:rPr>
          <w:rFonts w:ascii="Times New Roman" w:eastAsia="Times New Roman" w:hAnsi="Times New Roman" w:cs="Times New Roman"/>
          <w:iCs/>
          <w:lang w:val="en-IE" w:eastAsia="en-GB"/>
        </w:rPr>
        <w:t xml:space="preserve">as the best example of the operation in Georgia of the sex </w:t>
      </w:r>
      <w:proofErr w:type="gramStart"/>
      <w:r w:rsidR="00C63C2B" w:rsidRPr="00597A71">
        <w:rPr>
          <w:rFonts w:ascii="Times New Roman" w:eastAsia="Times New Roman" w:hAnsi="Times New Roman" w:cs="Times New Roman"/>
          <w:iCs/>
          <w:lang w:val="en-IE" w:eastAsia="en-GB"/>
        </w:rPr>
        <w:t>offenders</w:t>
      </w:r>
      <w:proofErr w:type="gramEnd"/>
      <w:r w:rsidR="00C63C2B" w:rsidRPr="00597A71">
        <w:rPr>
          <w:rFonts w:ascii="Times New Roman" w:eastAsia="Times New Roman" w:hAnsi="Times New Roman" w:cs="Times New Roman"/>
          <w:iCs/>
          <w:lang w:val="en-IE" w:eastAsia="en-GB"/>
        </w:rPr>
        <w:t xml:space="preserve"> legislation, asked whether he was restricted to living in Savannah</w:t>
      </w:r>
      <w:r w:rsidR="00D425CD" w:rsidRPr="00597A71">
        <w:rPr>
          <w:rFonts w:ascii="Times New Roman" w:eastAsia="Times New Roman" w:hAnsi="Times New Roman" w:cs="Times New Roman"/>
          <w:iCs/>
          <w:lang w:val="en-IE" w:eastAsia="en-GB"/>
        </w:rPr>
        <w:t xml:space="preserve"> or</w:t>
      </w:r>
      <w:r w:rsidR="00C84411">
        <w:rPr>
          <w:rFonts w:ascii="Times New Roman" w:eastAsia="Times New Roman" w:hAnsi="Times New Roman" w:cs="Times New Roman"/>
          <w:iCs/>
          <w:lang w:val="en-IE" w:eastAsia="en-GB"/>
        </w:rPr>
        <w:t xml:space="preserve"> if he</w:t>
      </w:r>
      <w:r w:rsidR="00D425CD" w:rsidRPr="00597A71">
        <w:rPr>
          <w:rFonts w:ascii="Times New Roman" w:eastAsia="Times New Roman" w:hAnsi="Times New Roman" w:cs="Times New Roman"/>
          <w:iCs/>
          <w:lang w:val="en-IE" w:eastAsia="en-GB"/>
        </w:rPr>
        <w:t xml:space="preserve"> could live elsewhere in Georgia</w:t>
      </w:r>
      <w:r w:rsidR="00C63C2B" w:rsidRPr="00597A71">
        <w:rPr>
          <w:rFonts w:ascii="Times New Roman" w:eastAsia="Times New Roman" w:hAnsi="Times New Roman" w:cs="Times New Roman"/>
          <w:iCs/>
          <w:lang w:val="en-IE" w:eastAsia="en-GB"/>
        </w:rPr>
        <w:t>.  Counsel’s evidence was to say that he had “no basis to say that he couldn’t.  Equal</w:t>
      </w:r>
      <w:r w:rsidR="00BF5039" w:rsidRPr="00597A71">
        <w:rPr>
          <w:rFonts w:ascii="Times New Roman" w:eastAsia="Times New Roman" w:hAnsi="Times New Roman" w:cs="Times New Roman"/>
          <w:iCs/>
          <w:lang w:val="en-IE" w:eastAsia="en-GB"/>
        </w:rPr>
        <w:t>ly</w:t>
      </w:r>
      <w:r w:rsidR="00C63C2B" w:rsidRPr="00597A71">
        <w:rPr>
          <w:rFonts w:ascii="Times New Roman" w:eastAsia="Times New Roman" w:hAnsi="Times New Roman" w:cs="Times New Roman"/>
          <w:iCs/>
          <w:lang w:val="en-IE" w:eastAsia="en-GB"/>
        </w:rPr>
        <w:t xml:space="preserve"> there was no evidence before the Judge in the Court below t</w:t>
      </w:r>
      <w:r w:rsidR="00BF5039" w:rsidRPr="00597A71">
        <w:rPr>
          <w:rFonts w:ascii="Times New Roman" w:eastAsia="Times New Roman" w:hAnsi="Times New Roman" w:cs="Times New Roman"/>
          <w:iCs/>
          <w:lang w:val="en-IE" w:eastAsia="en-GB"/>
        </w:rPr>
        <w:t>o</w:t>
      </w:r>
      <w:r w:rsidR="00C63C2B" w:rsidRPr="00597A71">
        <w:rPr>
          <w:rFonts w:ascii="Times New Roman" w:eastAsia="Times New Roman" w:hAnsi="Times New Roman" w:cs="Times New Roman"/>
          <w:iCs/>
          <w:lang w:val="en-IE" w:eastAsia="en-GB"/>
        </w:rPr>
        <w:t xml:space="preserve"> say that he could”.  Counsel instead referred to the evidence that </w:t>
      </w:r>
      <w:r w:rsidR="0069435E" w:rsidRPr="00597A71">
        <w:rPr>
          <w:rFonts w:ascii="Times New Roman" w:eastAsia="Times New Roman" w:hAnsi="Times New Roman" w:cs="Times New Roman"/>
          <w:iCs/>
          <w:lang w:val="en-IE" w:eastAsia="en-GB"/>
        </w:rPr>
        <w:t>t</w:t>
      </w:r>
      <w:r w:rsidR="00C63C2B" w:rsidRPr="00597A71">
        <w:rPr>
          <w:rFonts w:ascii="Times New Roman" w:eastAsia="Times New Roman" w:hAnsi="Times New Roman" w:cs="Times New Roman"/>
          <w:iCs/>
          <w:lang w:val="en-IE" w:eastAsia="en-GB"/>
        </w:rPr>
        <w:t xml:space="preserve">he </w:t>
      </w:r>
      <w:r w:rsidR="0069435E" w:rsidRPr="00597A71">
        <w:rPr>
          <w:rFonts w:ascii="Times New Roman" w:eastAsia="Times New Roman" w:hAnsi="Times New Roman" w:cs="Times New Roman"/>
          <w:iCs/>
          <w:lang w:val="en-IE" w:eastAsia="en-GB"/>
        </w:rPr>
        <w:t xml:space="preserve">appellant </w:t>
      </w:r>
      <w:r w:rsidR="00C63C2B" w:rsidRPr="00597A71">
        <w:rPr>
          <w:rFonts w:ascii="Times New Roman" w:eastAsia="Times New Roman" w:hAnsi="Times New Roman" w:cs="Times New Roman"/>
          <w:iCs/>
          <w:lang w:val="en-IE" w:eastAsia="en-GB"/>
        </w:rPr>
        <w:t>had done everything he could to try to live by the rules but ended up living in a tent.</w:t>
      </w:r>
      <w:r w:rsidR="00BF5039" w:rsidRPr="00597A71">
        <w:rPr>
          <w:rFonts w:ascii="Times New Roman" w:eastAsia="Times New Roman" w:hAnsi="Times New Roman" w:cs="Times New Roman"/>
          <w:iCs/>
          <w:lang w:val="en-IE" w:eastAsia="en-GB"/>
        </w:rPr>
        <w:t xml:space="preserve">  Unfortunately, that approach to evidence does not reflect the burden </w:t>
      </w:r>
      <w:r w:rsidR="0069435E" w:rsidRPr="00597A71">
        <w:rPr>
          <w:rFonts w:ascii="Times New Roman" w:eastAsia="Times New Roman" w:hAnsi="Times New Roman" w:cs="Times New Roman"/>
          <w:iCs/>
          <w:lang w:val="en-IE" w:eastAsia="en-GB"/>
        </w:rPr>
        <w:t xml:space="preserve">that </w:t>
      </w:r>
      <w:r w:rsidR="00BF5039" w:rsidRPr="00597A71">
        <w:rPr>
          <w:rFonts w:ascii="Times New Roman" w:eastAsia="Times New Roman" w:hAnsi="Times New Roman" w:cs="Times New Roman"/>
          <w:iCs/>
          <w:lang w:val="en-IE" w:eastAsia="en-GB"/>
        </w:rPr>
        <w:t>remains on the person seeking to resist extradition to adduce evidence of the substantial grounds for believing that they are at a real risk.  A lack of clarity as to the legal provisions that the appellant s</w:t>
      </w:r>
      <w:r w:rsidR="009F59F3" w:rsidRPr="00597A71">
        <w:rPr>
          <w:rFonts w:ascii="Times New Roman" w:eastAsia="Times New Roman" w:hAnsi="Times New Roman" w:cs="Times New Roman"/>
          <w:iCs/>
          <w:lang w:val="en-IE" w:eastAsia="en-GB"/>
        </w:rPr>
        <w:t>ubmits</w:t>
      </w:r>
      <w:r w:rsidR="00BF5039" w:rsidRPr="00597A71">
        <w:rPr>
          <w:rFonts w:ascii="Times New Roman" w:eastAsia="Times New Roman" w:hAnsi="Times New Roman" w:cs="Times New Roman"/>
          <w:iCs/>
          <w:lang w:val="en-IE" w:eastAsia="en-GB"/>
        </w:rPr>
        <w:t xml:space="preserve"> will result in him being subjected to inhuman and degrading treatment </w:t>
      </w:r>
      <w:r w:rsidR="0069435E" w:rsidRPr="00597A71">
        <w:rPr>
          <w:rFonts w:ascii="Times New Roman" w:eastAsia="Times New Roman" w:hAnsi="Times New Roman" w:cs="Times New Roman"/>
          <w:iCs/>
          <w:lang w:val="en-IE" w:eastAsia="en-GB"/>
        </w:rPr>
        <w:t xml:space="preserve">detracts from </w:t>
      </w:r>
      <w:r w:rsidR="00BF5039" w:rsidRPr="00597A71">
        <w:rPr>
          <w:rFonts w:ascii="Times New Roman" w:eastAsia="Times New Roman" w:hAnsi="Times New Roman" w:cs="Times New Roman"/>
          <w:iCs/>
          <w:lang w:val="en-IE" w:eastAsia="en-GB"/>
        </w:rPr>
        <w:t>his case rather than assists it.</w:t>
      </w:r>
    </w:p>
    <w:p w14:paraId="302DAC10" w14:textId="16291103" w:rsidR="00597A71" w:rsidRPr="00597A71" w:rsidRDefault="009F59F3"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There is another aspect of the appellant’s expert evidence report that merits some comments.  Mr. Langlois devotes an entire section to the apparent legislative intent of the Bill</w:t>
      </w:r>
      <w:r w:rsidR="00C84411">
        <w:rPr>
          <w:rFonts w:ascii="Times New Roman" w:eastAsia="Times New Roman" w:hAnsi="Times New Roman" w:cs="Times New Roman"/>
          <w:iCs/>
          <w:lang w:val="en-IE" w:eastAsia="en-GB"/>
        </w:rPr>
        <w:t>, which it is said</w:t>
      </w:r>
      <w:r w:rsidRPr="00597A71">
        <w:rPr>
          <w:rFonts w:ascii="Times New Roman" w:eastAsia="Times New Roman" w:hAnsi="Times New Roman" w:cs="Times New Roman"/>
          <w:iCs/>
          <w:lang w:val="en-IE" w:eastAsia="en-GB"/>
        </w:rPr>
        <w:t xml:space="preserve"> was to drive offenders such as the appellant out of Georgia.  He cites words of the Georgia State House majority leader.  </w:t>
      </w:r>
      <w:r w:rsidR="00797FE6" w:rsidRPr="00597A71">
        <w:rPr>
          <w:rFonts w:ascii="Times New Roman" w:eastAsia="Times New Roman" w:hAnsi="Times New Roman" w:cs="Times New Roman"/>
          <w:iCs/>
          <w:lang w:val="en-IE" w:eastAsia="en-GB"/>
        </w:rPr>
        <w:t>He says that aspects of the legislative provisions have been successfully challenged by organisation</w:t>
      </w:r>
      <w:r w:rsidR="00C84411">
        <w:rPr>
          <w:rFonts w:ascii="Times New Roman" w:eastAsia="Times New Roman" w:hAnsi="Times New Roman" w:cs="Times New Roman"/>
          <w:iCs/>
          <w:lang w:val="en-IE" w:eastAsia="en-GB"/>
        </w:rPr>
        <w:t>s</w:t>
      </w:r>
      <w:r w:rsidR="00797FE6" w:rsidRPr="00597A71">
        <w:rPr>
          <w:rFonts w:ascii="Times New Roman" w:eastAsia="Times New Roman" w:hAnsi="Times New Roman" w:cs="Times New Roman"/>
          <w:iCs/>
          <w:lang w:val="en-IE" w:eastAsia="en-GB"/>
        </w:rPr>
        <w:t xml:space="preserve"> such as the American Civil Liberties Union</w:t>
      </w:r>
      <w:r w:rsidR="00DC4A1A">
        <w:rPr>
          <w:rFonts w:ascii="Times New Roman" w:eastAsia="Times New Roman" w:hAnsi="Times New Roman" w:cs="Times New Roman"/>
          <w:iCs/>
          <w:lang w:val="en-IE" w:eastAsia="en-GB"/>
        </w:rPr>
        <w:t>,</w:t>
      </w:r>
      <w:r w:rsidR="00797FE6" w:rsidRPr="00597A71">
        <w:rPr>
          <w:rFonts w:ascii="Times New Roman" w:eastAsia="Times New Roman" w:hAnsi="Times New Roman" w:cs="Times New Roman"/>
          <w:iCs/>
          <w:lang w:val="en-IE" w:eastAsia="en-GB"/>
        </w:rPr>
        <w:t xml:space="preserve"> but, as the appellant’s case demonstrates, the statute remains largely intact.  If the intent is to force offenders out of Georgia, it seems unusual that the appellant was not allowed to leave to live in Florida.  Indeed, it can also be said that this attitude might feed into whether or not he would not now be allowed to return home after serving whatever proportion of the outstanding sentence is imposed upon him. </w:t>
      </w:r>
      <w:r w:rsidR="00DB54B5" w:rsidRPr="00597A71">
        <w:rPr>
          <w:rFonts w:ascii="Times New Roman" w:eastAsia="Times New Roman" w:hAnsi="Times New Roman" w:cs="Times New Roman"/>
          <w:iCs/>
          <w:lang w:val="en-IE" w:eastAsia="en-GB"/>
        </w:rPr>
        <w:t xml:space="preserve"> This is</w:t>
      </w:r>
      <w:r w:rsidR="00797FE6" w:rsidRPr="00597A71">
        <w:rPr>
          <w:rFonts w:ascii="Times New Roman" w:eastAsia="Times New Roman" w:hAnsi="Times New Roman" w:cs="Times New Roman"/>
          <w:iCs/>
          <w:lang w:val="en-IE" w:eastAsia="en-GB"/>
        </w:rPr>
        <w:t xml:space="preserve"> not a finding that he will be allowed to leave </w:t>
      </w:r>
      <w:r w:rsidR="00DC4A1A">
        <w:rPr>
          <w:rFonts w:ascii="Times New Roman" w:eastAsia="Times New Roman" w:hAnsi="Times New Roman" w:cs="Times New Roman"/>
          <w:iCs/>
          <w:lang w:val="en-IE" w:eastAsia="en-GB"/>
        </w:rPr>
        <w:t>Georgia,</w:t>
      </w:r>
      <w:r w:rsidR="00797FE6" w:rsidRPr="00597A71">
        <w:rPr>
          <w:rFonts w:ascii="Times New Roman" w:eastAsia="Times New Roman" w:hAnsi="Times New Roman" w:cs="Times New Roman"/>
          <w:iCs/>
          <w:lang w:val="en-IE" w:eastAsia="en-GB"/>
        </w:rPr>
        <w:t xml:space="preserve"> but just </w:t>
      </w:r>
      <w:r w:rsidR="00DB54B5" w:rsidRPr="00597A71">
        <w:rPr>
          <w:rFonts w:ascii="Times New Roman" w:eastAsia="Times New Roman" w:hAnsi="Times New Roman" w:cs="Times New Roman"/>
          <w:iCs/>
          <w:lang w:val="en-IE" w:eastAsia="en-GB"/>
        </w:rPr>
        <w:t>a</w:t>
      </w:r>
      <w:r w:rsidR="00797FE6" w:rsidRPr="00597A71">
        <w:rPr>
          <w:rFonts w:ascii="Times New Roman" w:eastAsia="Times New Roman" w:hAnsi="Times New Roman" w:cs="Times New Roman"/>
          <w:iCs/>
          <w:lang w:val="en-IE" w:eastAsia="en-GB"/>
        </w:rPr>
        <w:t>n observation that the factors which are likely to be considered in the hearing o</w:t>
      </w:r>
      <w:r w:rsidR="00DB54B5" w:rsidRPr="00597A71">
        <w:rPr>
          <w:rFonts w:ascii="Times New Roman" w:eastAsia="Times New Roman" w:hAnsi="Times New Roman" w:cs="Times New Roman"/>
          <w:iCs/>
          <w:lang w:val="en-IE" w:eastAsia="en-GB"/>
        </w:rPr>
        <w:t>n the alleged breach of probation are varied.  In the circumstances, this adds to the uncertainty as to what the final outcome of the sentencing process for the appellant will be.</w:t>
      </w:r>
    </w:p>
    <w:p w14:paraId="632EBE0C" w14:textId="633EF4FA" w:rsidR="00597A71" w:rsidRDefault="00DB54B5"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lastRenderedPageBreak/>
        <w:t xml:space="preserve">The question of whether </w:t>
      </w:r>
      <w:r w:rsidR="00A714BC" w:rsidRPr="00597A71">
        <w:rPr>
          <w:rFonts w:ascii="Times New Roman" w:eastAsia="Times New Roman" w:hAnsi="Times New Roman" w:cs="Times New Roman"/>
          <w:iCs/>
          <w:lang w:val="en-IE" w:eastAsia="en-GB"/>
        </w:rPr>
        <w:t>t</w:t>
      </w:r>
      <w:r w:rsidRPr="00597A71">
        <w:rPr>
          <w:rFonts w:ascii="Times New Roman" w:eastAsia="Times New Roman" w:hAnsi="Times New Roman" w:cs="Times New Roman"/>
          <w:iCs/>
          <w:lang w:val="en-IE" w:eastAsia="en-GB"/>
        </w:rPr>
        <w:t xml:space="preserve">he </w:t>
      </w:r>
      <w:r w:rsidR="00A714BC" w:rsidRPr="00597A71">
        <w:rPr>
          <w:rFonts w:ascii="Times New Roman" w:eastAsia="Times New Roman" w:hAnsi="Times New Roman" w:cs="Times New Roman"/>
          <w:iCs/>
          <w:lang w:val="en-IE" w:eastAsia="en-GB"/>
        </w:rPr>
        <w:t xml:space="preserve">appellant </w:t>
      </w:r>
      <w:r w:rsidRPr="00597A71">
        <w:rPr>
          <w:rFonts w:ascii="Times New Roman" w:eastAsia="Times New Roman" w:hAnsi="Times New Roman" w:cs="Times New Roman"/>
          <w:iCs/>
          <w:lang w:val="en-IE" w:eastAsia="en-GB"/>
        </w:rPr>
        <w:t xml:space="preserve">can challenge these conditions in Georgia was raised in the course of the appeal.  </w:t>
      </w:r>
      <w:r w:rsidR="00C503C1" w:rsidRPr="00597A71">
        <w:rPr>
          <w:rFonts w:ascii="Times New Roman" w:eastAsia="Times New Roman" w:hAnsi="Times New Roman" w:cs="Times New Roman"/>
          <w:iCs/>
          <w:lang w:val="en-IE" w:eastAsia="en-GB"/>
        </w:rPr>
        <w:t>The information before the High Court from the</w:t>
      </w:r>
      <w:r w:rsidR="00F249AB">
        <w:rPr>
          <w:rFonts w:ascii="Times New Roman" w:eastAsia="Times New Roman" w:hAnsi="Times New Roman" w:cs="Times New Roman"/>
          <w:iCs/>
          <w:lang w:val="en-IE" w:eastAsia="en-GB"/>
        </w:rPr>
        <w:t xml:space="preserve"> Office of the</w:t>
      </w:r>
      <w:r w:rsidR="00C503C1" w:rsidRPr="00597A71">
        <w:rPr>
          <w:rFonts w:ascii="Times New Roman" w:eastAsia="Times New Roman" w:hAnsi="Times New Roman" w:cs="Times New Roman"/>
          <w:iCs/>
          <w:lang w:val="en-IE" w:eastAsia="en-GB"/>
        </w:rPr>
        <w:t xml:space="preserve"> District Attorney of Georgia, which was given by way of response to a request from the Minister for further information, demonstrates that</w:t>
      </w:r>
      <w:r w:rsidR="00DC4A1A">
        <w:rPr>
          <w:rFonts w:ascii="Times New Roman" w:eastAsia="Times New Roman" w:hAnsi="Times New Roman" w:cs="Times New Roman"/>
          <w:iCs/>
          <w:lang w:val="en-IE" w:eastAsia="en-GB"/>
        </w:rPr>
        <w:t>,</w:t>
      </w:r>
      <w:r w:rsidR="00C503C1" w:rsidRPr="00597A71">
        <w:rPr>
          <w:rFonts w:ascii="Times New Roman" w:eastAsia="Times New Roman" w:hAnsi="Times New Roman" w:cs="Times New Roman"/>
          <w:iCs/>
          <w:lang w:val="en-IE" w:eastAsia="en-GB"/>
        </w:rPr>
        <w:t xml:space="preserve"> in the Constitution of Georgia, like the Constitution of the USA, there is a prohibition on “cruel and inhuman punishments” which, from the information, is said to prohibit torture and inhuman and degrading treatment.  Mr. Langlois, in his affidavit, raises the possibility of challenges to the type of restrictions that the appellant faced in the past, which ultimately</w:t>
      </w:r>
      <w:r w:rsidR="008778A7" w:rsidRPr="00597A71">
        <w:rPr>
          <w:rFonts w:ascii="Times New Roman" w:eastAsia="Times New Roman" w:hAnsi="Times New Roman" w:cs="Times New Roman"/>
          <w:iCs/>
          <w:lang w:val="en-IE" w:eastAsia="en-GB"/>
        </w:rPr>
        <w:t>, the appellant claims</w:t>
      </w:r>
      <w:r w:rsidR="00C503C1" w:rsidRPr="00597A71">
        <w:rPr>
          <w:rFonts w:ascii="Times New Roman" w:eastAsia="Times New Roman" w:hAnsi="Times New Roman" w:cs="Times New Roman"/>
          <w:iCs/>
          <w:lang w:val="en-IE" w:eastAsia="en-GB"/>
        </w:rPr>
        <w:t>, led to him becoming homeless and living in the “</w:t>
      </w:r>
      <w:r w:rsidR="00DC4A1A">
        <w:rPr>
          <w:rFonts w:ascii="Times New Roman" w:eastAsia="Times New Roman" w:hAnsi="Times New Roman" w:cs="Times New Roman"/>
          <w:iCs/>
          <w:lang w:val="en-IE" w:eastAsia="en-GB"/>
        </w:rPr>
        <w:t>c</w:t>
      </w:r>
      <w:r w:rsidR="00C503C1" w:rsidRPr="00597A71">
        <w:rPr>
          <w:rFonts w:ascii="Times New Roman" w:eastAsia="Times New Roman" w:hAnsi="Times New Roman" w:cs="Times New Roman"/>
          <w:iCs/>
          <w:lang w:val="en-IE" w:eastAsia="en-GB"/>
        </w:rPr>
        <w:t xml:space="preserve">ampground”.  He may have difficulties with accessing legal assistance to challenge these conditions.  The CJEU in </w:t>
      </w:r>
      <w:r w:rsidR="00C503C1" w:rsidRPr="00597A71">
        <w:rPr>
          <w:rFonts w:ascii="Times New Roman" w:hAnsi="Times New Roman" w:cs="Times New Roman"/>
          <w:i/>
        </w:rPr>
        <w:t xml:space="preserve">ML </w:t>
      </w:r>
      <w:r w:rsidR="00C503C1" w:rsidRPr="00597A71">
        <w:rPr>
          <w:rFonts w:ascii="Times New Roman" w:hAnsi="Times New Roman" w:cs="Times New Roman"/>
        </w:rPr>
        <w:t>held that a subs</w:t>
      </w:r>
      <w:r w:rsidR="008778A7" w:rsidRPr="00597A71">
        <w:rPr>
          <w:rFonts w:ascii="Times New Roman" w:hAnsi="Times New Roman" w:cs="Times New Roman"/>
        </w:rPr>
        <w:t xml:space="preserve">equent judicial review of detention conditions in an issuing State, although an important development which can be </w:t>
      </w:r>
      <w:proofErr w:type="gramStart"/>
      <w:r w:rsidR="008778A7" w:rsidRPr="00597A71">
        <w:rPr>
          <w:rFonts w:ascii="Times New Roman" w:hAnsi="Times New Roman" w:cs="Times New Roman"/>
        </w:rPr>
        <w:t>taken into account</w:t>
      </w:r>
      <w:proofErr w:type="gramEnd"/>
      <w:r w:rsidR="008778A7" w:rsidRPr="00597A71">
        <w:rPr>
          <w:rFonts w:ascii="Times New Roman" w:hAnsi="Times New Roman" w:cs="Times New Roman"/>
        </w:rPr>
        <w:t xml:space="preserve"> when assessing overall conditions in which a person may be held, is not, of itself, capable of averting a risk that a person may be subject to prohibited treatment.  That approach talks of a subsequent judicial review but does not address the possibility that such a review may exist to rule out prospective implementation of inhuman and degrading conditions.  In other words, if a prisoner fears that the release conditions imposed upon him will violate these norms, this is not a subsequent review</w:t>
      </w:r>
      <w:r w:rsidR="00DC4A1A">
        <w:rPr>
          <w:rFonts w:ascii="Times New Roman" w:hAnsi="Times New Roman" w:cs="Times New Roman"/>
        </w:rPr>
        <w:t>,</w:t>
      </w:r>
      <w:r w:rsidR="008778A7" w:rsidRPr="00597A71">
        <w:rPr>
          <w:rFonts w:ascii="Times New Roman" w:hAnsi="Times New Roman" w:cs="Times New Roman"/>
        </w:rPr>
        <w:t xml:space="preserve"> but is one which is prospective in nature.  The existence of the constitutional prohibitions on cruel and unusual punishment and the general existence of judicial review for this type of legislation </w:t>
      </w:r>
      <w:r w:rsidR="006200C8" w:rsidRPr="00597A71">
        <w:rPr>
          <w:rFonts w:ascii="Times New Roman" w:hAnsi="Times New Roman" w:cs="Times New Roman"/>
        </w:rPr>
        <w:t>are</w:t>
      </w:r>
      <w:r w:rsidR="008778A7" w:rsidRPr="00597A71">
        <w:rPr>
          <w:rFonts w:ascii="Times New Roman" w:hAnsi="Times New Roman" w:cs="Times New Roman"/>
        </w:rPr>
        <w:t xml:space="preserve"> only tangentially relevant to the overall assessments of the conditions. I do not consider</w:t>
      </w:r>
      <w:r w:rsidR="00781511" w:rsidRPr="00597A71">
        <w:rPr>
          <w:rFonts w:ascii="Times New Roman" w:hAnsi="Times New Roman" w:cs="Times New Roman"/>
        </w:rPr>
        <w:t xml:space="preserve"> </w:t>
      </w:r>
      <w:r w:rsidR="008778A7" w:rsidRPr="00597A71">
        <w:rPr>
          <w:rFonts w:ascii="Times New Roman" w:hAnsi="Times New Roman" w:cs="Times New Roman"/>
        </w:rPr>
        <w:t xml:space="preserve">the possible existence of a specific challenge to these provisions as relevant to the facts of this case; the </w:t>
      </w:r>
      <w:r w:rsidR="00827308">
        <w:rPr>
          <w:rFonts w:ascii="Times New Roman" w:hAnsi="Times New Roman" w:cs="Times New Roman"/>
        </w:rPr>
        <w:t>C</w:t>
      </w:r>
      <w:r w:rsidR="008778A7" w:rsidRPr="00597A71">
        <w:rPr>
          <w:rFonts w:ascii="Times New Roman" w:hAnsi="Times New Roman" w:cs="Times New Roman"/>
        </w:rPr>
        <w:t>ourt must assess whether the downstream risks of homelessness amount to the establishment on substantial grounds of a real risk of being subjected to the prohibited treatment.</w:t>
      </w:r>
      <w:r w:rsidR="00781511" w:rsidRPr="00597A71">
        <w:rPr>
          <w:rFonts w:ascii="Times New Roman" w:hAnsi="Times New Roman" w:cs="Times New Roman"/>
        </w:rPr>
        <w:t xml:space="preserve"> At most, its importance, albeit marginal, lies in the fact that the requesting State and jurisdiction prohibits cruel and unusual punishment and permits legal challenges to such punishment.</w:t>
      </w:r>
      <w:r w:rsidR="006200C8" w:rsidRPr="00597A71">
        <w:rPr>
          <w:rFonts w:ascii="Times New Roman" w:hAnsi="Times New Roman" w:cs="Times New Roman"/>
        </w:rPr>
        <w:t xml:space="preserve">  This supports the overall </w:t>
      </w:r>
      <w:r w:rsidR="006200C8" w:rsidRPr="00597A71">
        <w:rPr>
          <w:rFonts w:ascii="Times New Roman" w:hAnsi="Times New Roman" w:cs="Times New Roman"/>
        </w:rPr>
        <w:lastRenderedPageBreak/>
        <w:t>proposition that the existence of the extradition agreement between Ireland and the USA is premised on each State reposing confidence in the other.</w:t>
      </w:r>
    </w:p>
    <w:p w14:paraId="133DC334" w14:textId="014902C0" w:rsidR="00597A71" w:rsidRPr="00597A71" w:rsidRDefault="00781511"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From the foregoing, i</w:t>
      </w:r>
      <w:r w:rsidR="00512C64" w:rsidRPr="00597A71">
        <w:rPr>
          <w:rFonts w:ascii="Times New Roman" w:eastAsia="Times New Roman" w:hAnsi="Times New Roman" w:cs="Times New Roman"/>
          <w:iCs/>
          <w:lang w:val="en-IE" w:eastAsia="en-GB"/>
        </w:rPr>
        <w:t xml:space="preserve">t cannot be gainsaid that the risk of being subjected to inhuman and degrading treatment in this case is neither immediate nor even proximate to </w:t>
      </w:r>
      <w:r w:rsidR="00FA6A87" w:rsidRPr="00597A71">
        <w:rPr>
          <w:rFonts w:ascii="Times New Roman" w:eastAsia="Times New Roman" w:hAnsi="Times New Roman" w:cs="Times New Roman"/>
          <w:iCs/>
          <w:lang w:val="en-IE" w:eastAsia="en-GB"/>
        </w:rPr>
        <w:t xml:space="preserve">any </w:t>
      </w:r>
      <w:r w:rsidR="00512C64" w:rsidRPr="00597A71">
        <w:rPr>
          <w:rFonts w:ascii="Times New Roman" w:eastAsia="Times New Roman" w:hAnsi="Times New Roman" w:cs="Times New Roman"/>
          <w:iCs/>
          <w:lang w:val="en-IE" w:eastAsia="en-GB"/>
        </w:rPr>
        <w:t xml:space="preserve">return of the appellant </w:t>
      </w:r>
      <w:r w:rsidR="00FA6A87" w:rsidRPr="00597A71">
        <w:rPr>
          <w:rFonts w:ascii="Times New Roman" w:eastAsia="Times New Roman" w:hAnsi="Times New Roman" w:cs="Times New Roman"/>
          <w:iCs/>
          <w:lang w:val="en-IE" w:eastAsia="en-GB"/>
        </w:rPr>
        <w:t xml:space="preserve">to the USA </w:t>
      </w:r>
      <w:r w:rsidR="00512C64" w:rsidRPr="00597A71">
        <w:rPr>
          <w:rFonts w:ascii="Times New Roman" w:eastAsia="Times New Roman" w:hAnsi="Times New Roman" w:cs="Times New Roman"/>
          <w:iCs/>
          <w:lang w:val="en-IE" w:eastAsia="en-GB"/>
        </w:rPr>
        <w:t>by extradition.  At most</w:t>
      </w:r>
      <w:r w:rsidR="00DC4A1A">
        <w:rPr>
          <w:rFonts w:ascii="Times New Roman" w:eastAsia="Times New Roman" w:hAnsi="Times New Roman" w:cs="Times New Roman"/>
          <w:iCs/>
          <w:lang w:val="en-IE" w:eastAsia="en-GB"/>
        </w:rPr>
        <w:t>,</w:t>
      </w:r>
      <w:r w:rsidR="00512C64" w:rsidRPr="00597A71">
        <w:rPr>
          <w:rFonts w:ascii="Times New Roman" w:eastAsia="Times New Roman" w:hAnsi="Times New Roman" w:cs="Times New Roman"/>
          <w:iCs/>
          <w:lang w:val="en-IE" w:eastAsia="en-GB"/>
        </w:rPr>
        <w:t xml:space="preserve"> what can be said is that </w:t>
      </w:r>
      <w:r w:rsidRPr="00597A71">
        <w:rPr>
          <w:rFonts w:ascii="Times New Roman" w:eastAsia="Times New Roman" w:hAnsi="Times New Roman" w:cs="Times New Roman"/>
          <w:iCs/>
          <w:lang w:val="en-IE" w:eastAsia="en-GB"/>
        </w:rPr>
        <w:t>t</w:t>
      </w:r>
      <w:r w:rsidR="00512C64" w:rsidRPr="00597A71">
        <w:rPr>
          <w:rFonts w:ascii="Times New Roman" w:eastAsia="Times New Roman" w:hAnsi="Times New Roman" w:cs="Times New Roman"/>
          <w:iCs/>
          <w:lang w:val="en-IE" w:eastAsia="en-GB"/>
        </w:rPr>
        <w:t xml:space="preserve">he </w:t>
      </w:r>
      <w:r w:rsidRPr="00597A71">
        <w:rPr>
          <w:rFonts w:ascii="Times New Roman" w:eastAsia="Times New Roman" w:hAnsi="Times New Roman" w:cs="Times New Roman"/>
          <w:iCs/>
          <w:lang w:val="en-IE" w:eastAsia="en-GB"/>
        </w:rPr>
        <w:t xml:space="preserve">appellant </w:t>
      </w:r>
      <w:r w:rsidR="00512C64" w:rsidRPr="00597A71">
        <w:rPr>
          <w:rFonts w:ascii="Times New Roman" w:eastAsia="Times New Roman" w:hAnsi="Times New Roman" w:cs="Times New Roman"/>
          <w:iCs/>
          <w:lang w:val="en-IE" w:eastAsia="en-GB"/>
        </w:rPr>
        <w:t xml:space="preserve">might </w:t>
      </w:r>
      <w:r w:rsidR="006200C8" w:rsidRPr="00597A71">
        <w:rPr>
          <w:rFonts w:ascii="Times New Roman" w:eastAsia="Times New Roman" w:hAnsi="Times New Roman" w:cs="Times New Roman"/>
          <w:iCs/>
          <w:lang w:val="en-IE" w:eastAsia="en-GB"/>
        </w:rPr>
        <w:t xml:space="preserve">at some point in the future </w:t>
      </w:r>
      <w:r w:rsidR="00BB6FD9" w:rsidRPr="00597A71">
        <w:rPr>
          <w:rFonts w:ascii="Times New Roman" w:eastAsia="Times New Roman" w:hAnsi="Times New Roman" w:cs="Times New Roman"/>
          <w:iCs/>
          <w:lang w:val="en-IE" w:eastAsia="en-GB"/>
        </w:rPr>
        <w:t xml:space="preserve">end up homeless and living in a </w:t>
      </w:r>
      <w:r w:rsidR="00DC4A1A">
        <w:rPr>
          <w:rFonts w:ascii="Times New Roman" w:eastAsia="Times New Roman" w:hAnsi="Times New Roman" w:cs="Times New Roman"/>
          <w:iCs/>
          <w:lang w:val="en-IE" w:eastAsia="en-GB"/>
        </w:rPr>
        <w:t>c</w:t>
      </w:r>
      <w:r w:rsidR="00BB6FD9" w:rsidRPr="00597A71">
        <w:rPr>
          <w:rFonts w:ascii="Times New Roman" w:eastAsia="Times New Roman" w:hAnsi="Times New Roman" w:cs="Times New Roman"/>
          <w:iCs/>
          <w:lang w:val="en-IE" w:eastAsia="en-GB"/>
        </w:rPr>
        <w:t>ampground in Georgia in conditions of poverty, squalor and fear that may amount to inhuman and degrading treatment.  Th</w:t>
      </w:r>
      <w:r w:rsidR="00FA6A87" w:rsidRPr="00597A71">
        <w:rPr>
          <w:rFonts w:ascii="Times New Roman" w:eastAsia="Times New Roman" w:hAnsi="Times New Roman" w:cs="Times New Roman"/>
          <w:iCs/>
          <w:lang w:val="en-IE" w:eastAsia="en-GB"/>
        </w:rPr>
        <w:t xml:space="preserve">ose are downstream risks that </w:t>
      </w:r>
      <w:r w:rsidR="00BB6FD9" w:rsidRPr="00597A71">
        <w:rPr>
          <w:rFonts w:ascii="Times New Roman" w:eastAsia="Times New Roman" w:hAnsi="Times New Roman" w:cs="Times New Roman"/>
          <w:iCs/>
          <w:lang w:val="en-IE" w:eastAsia="en-GB"/>
        </w:rPr>
        <w:t>may never happen</w:t>
      </w:r>
      <w:r w:rsidRPr="00597A71">
        <w:rPr>
          <w:rFonts w:ascii="Times New Roman" w:eastAsia="Times New Roman" w:hAnsi="Times New Roman" w:cs="Times New Roman"/>
          <w:iCs/>
          <w:lang w:val="en-IE" w:eastAsia="en-GB"/>
        </w:rPr>
        <w:t xml:space="preserve"> to him</w:t>
      </w:r>
      <w:r w:rsidR="00BB6FD9" w:rsidRPr="00597A71">
        <w:rPr>
          <w:rFonts w:ascii="Times New Roman" w:eastAsia="Times New Roman" w:hAnsi="Times New Roman" w:cs="Times New Roman"/>
          <w:iCs/>
          <w:lang w:val="en-IE" w:eastAsia="en-GB"/>
        </w:rPr>
        <w:t>.  It w</w:t>
      </w:r>
      <w:r w:rsidR="00827308">
        <w:rPr>
          <w:rFonts w:ascii="Times New Roman" w:eastAsia="Times New Roman" w:hAnsi="Times New Roman" w:cs="Times New Roman"/>
          <w:iCs/>
          <w:lang w:val="en-IE" w:eastAsia="en-GB"/>
        </w:rPr>
        <w:t>ould</w:t>
      </w:r>
      <w:r w:rsidR="00BB6FD9" w:rsidRPr="00597A71">
        <w:rPr>
          <w:rFonts w:ascii="Times New Roman" w:eastAsia="Times New Roman" w:hAnsi="Times New Roman" w:cs="Times New Roman"/>
          <w:iCs/>
          <w:lang w:val="en-IE" w:eastAsia="en-GB"/>
        </w:rPr>
        <w:t xml:space="preserve"> take </w:t>
      </w:r>
      <w:r w:rsidRPr="00597A71">
        <w:rPr>
          <w:rFonts w:ascii="Times New Roman" w:eastAsia="Times New Roman" w:hAnsi="Times New Roman" w:cs="Times New Roman"/>
          <w:iCs/>
          <w:lang w:val="en-IE" w:eastAsia="en-GB"/>
        </w:rPr>
        <w:t xml:space="preserve">a </w:t>
      </w:r>
      <w:r w:rsidR="00FA6A87" w:rsidRPr="00597A71">
        <w:rPr>
          <w:rFonts w:ascii="Times New Roman" w:eastAsia="Times New Roman" w:hAnsi="Times New Roman" w:cs="Times New Roman"/>
          <w:iCs/>
          <w:lang w:val="en-IE" w:eastAsia="en-GB"/>
        </w:rPr>
        <w:t xml:space="preserve">particular </w:t>
      </w:r>
      <w:r w:rsidR="00BB6FD9" w:rsidRPr="00597A71">
        <w:rPr>
          <w:rFonts w:ascii="Times New Roman" w:eastAsia="Times New Roman" w:hAnsi="Times New Roman" w:cs="Times New Roman"/>
          <w:iCs/>
          <w:lang w:val="en-IE" w:eastAsia="en-GB"/>
        </w:rPr>
        <w:t xml:space="preserve">chain reaction of </w:t>
      </w:r>
      <w:r w:rsidRPr="00597A71">
        <w:rPr>
          <w:rFonts w:ascii="Times New Roman" w:eastAsia="Times New Roman" w:hAnsi="Times New Roman" w:cs="Times New Roman"/>
          <w:iCs/>
          <w:lang w:val="en-IE" w:eastAsia="en-GB"/>
        </w:rPr>
        <w:t>a series of events</w:t>
      </w:r>
      <w:r w:rsidR="00BB6FD9" w:rsidRPr="00597A71">
        <w:rPr>
          <w:rFonts w:ascii="Times New Roman" w:eastAsia="Times New Roman" w:hAnsi="Times New Roman" w:cs="Times New Roman"/>
          <w:iCs/>
          <w:lang w:val="en-IE" w:eastAsia="en-GB"/>
        </w:rPr>
        <w:t xml:space="preserve"> to occur</w:t>
      </w:r>
      <w:r w:rsidRPr="00597A71">
        <w:rPr>
          <w:rFonts w:ascii="Times New Roman" w:eastAsia="Times New Roman" w:hAnsi="Times New Roman" w:cs="Times New Roman"/>
          <w:iCs/>
          <w:lang w:val="en-IE" w:eastAsia="en-GB"/>
        </w:rPr>
        <w:t xml:space="preserve">, which themselves can only be assessed at the level of risk or possibility (rather than probability), before the ultimate </w:t>
      </w:r>
      <w:r w:rsidR="00BB6FD9" w:rsidRPr="00597A71">
        <w:rPr>
          <w:rFonts w:ascii="Times New Roman" w:eastAsia="Times New Roman" w:hAnsi="Times New Roman" w:cs="Times New Roman"/>
          <w:iCs/>
          <w:lang w:val="en-IE" w:eastAsia="en-GB"/>
        </w:rPr>
        <w:t>downstream risk of homelessness</w:t>
      </w:r>
      <w:r w:rsidRPr="00597A71">
        <w:rPr>
          <w:rFonts w:ascii="Times New Roman" w:eastAsia="Times New Roman" w:hAnsi="Times New Roman" w:cs="Times New Roman"/>
          <w:iCs/>
          <w:lang w:val="en-IE" w:eastAsia="en-GB"/>
        </w:rPr>
        <w:t xml:space="preserve"> might come to pass</w:t>
      </w:r>
      <w:r w:rsidR="00BB6FD9" w:rsidRPr="00597A71">
        <w:rPr>
          <w:rFonts w:ascii="Times New Roman" w:eastAsia="Times New Roman" w:hAnsi="Times New Roman" w:cs="Times New Roman"/>
          <w:iCs/>
          <w:lang w:val="en-IE" w:eastAsia="en-GB"/>
        </w:rPr>
        <w:t xml:space="preserve">.  </w:t>
      </w:r>
    </w:p>
    <w:p w14:paraId="43766A7F" w14:textId="77777777" w:rsidR="00597A71" w:rsidRPr="00597A71" w:rsidRDefault="00781511"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All of those risks must be assessed in the context </w:t>
      </w:r>
      <w:r w:rsidR="00FA6A87" w:rsidRPr="00597A71">
        <w:rPr>
          <w:rFonts w:ascii="Times New Roman" w:eastAsia="Times New Roman" w:hAnsi="Times New Roman" w:cs="Times New Roman"/>
          <w:iCs/>
          <w:lang w:val="en-IE" w:eastAsia="en-GB"/>
        </w:rPr>
        <w:t>that the</w:t>
      </w:r>
      <w:r w:rsidR="00BB6FD9" w:rsidRPr="00597A71">
        <w:rPr>
          <w:rFonts w:ascii="Times New Roman" w:eastAsia="Times New Roman" w:hAnsi="Times New Roman" w:cs="Times New Roman"/>
          <w:iCs/>
          <w:lang w:val="en-IE" w:eastAsia="en-GB"/>
        </w:rPr>
        <w:t xml:space="preserve"> factual landscape has changed significantly since the appellant was first sentenced.  He is now facing a period in custody if he is found to have breached his parol</w:t>
      </w:r>
      <w:r w:rsidR="00C202AD" w:rsidRPr="00597A71">
        <w:rPr>
          <w:rFonts w:ascii="Times New Roman" w:eastAsia="Times New Roman" w:hAnsi="Times New Roman" w:cs="Times New Roman"/>
          <w:iCs/>
          <w:lang w:val="en-IE" w:eastAsia="en-GB"/>
        </w:rPr>
        <w:t>e</w:t>
      </w:r>
      <w:r w:rsidR="00BB6FD9" w:rsidRPr="00597A71">
        <w:rPr>
          <w:rFonts w:ascii="Times New Roman" w:eastAsia="Times New Roman" w:hAnsi="Times New Roman" w:cs="Times New Roman"/>
          <w:iCs/>
          <w:lang w:val="en-IE" w:eastAsia="en-GB"/>
        </w:rPr>
        <w:t>.  Furthermore, the High Court was given information that the District Attorney intends to recommend that he serve an amount of time that is fair and just</w:t>
      </w:r>
      <w:r w:rsidRPr="00597A71">
        <w:rPr>
          <w:rFonts w:ascii="Times New Roman" w:eastAsia="Times New Roman" w:hAnsi="Times New Roman" w:cs="Times New Roman"/>
          <w:iCs/>
          <w:lang w:val="en-IE" w:eastAsia="en-GB"/>
        </w:rPr>
        <w:t>,</w:t>
      </w:r>
      <w:r w:rsidR="00BB6FD9" w:rsidRPr="00597A71">
        <w:rPr>
          <w:rFonts w:ascii="Times New Roman" w:eastAsia="Times New Roman" w:hAnsi="Times New Roman" w:cs="Times New Roman"/>
          <w:iCs/>
          <w:lang w:val="en-IE" w:eastAsia="en-GB"/>
        </w:rPr>
        <w:t xml:space="preserve"> and that any period of time</w:t>
      </w:r>
      <w:r w:rsidRPr="00597A71">
        <w:rPr>
          <w:rFonts w:ascii="Times New Roman" w:eastAsia="Times New Roman" w:hAnsi="Times New Roman" w:cs="Times New Roman"/>
          <w:iCs/>
          <w:lang w:val="en-IE" w:eastAsia="en-GB"/>
        </w:rPr>
        <w:t>, if any,</w:t>
      </w:r>
      <w:r w:rsidR="00BB6FD9" w:rsidRPr="00597A71">
        <w:rPr>
          <w:rFonts w:ascii="Times New Roman" w:eastAsia="Times New Roman" w:hAnsi="Times New Roman" w:cs="Times New Roman"/>
          <w:iCs/>
          <w:lang w:val="en-IE" w:eastAsia="en-GB"/>
        </w:rPr>
        <w:t xml:space="preserve"> that remains following re</w:t>
      </w:r>
      <w:r w:rsidRPr="00597A71">
        <w:rPr>
          <w:rFonts w:ascii="Times New Roman" w:eastAsia="Times New Roman" w:hAnsi="Times New Roman" w:cs="Times New Roman"/>
          <w:iCs/>
          <w:lang w:val="en-IE" w:eastAsia="en-GB"/>
        </w:rPr>
        <w:t>vocation of parole</w:t>
      </w:r>
      <w:r w:rsidR="00BB6FD9" w:rsidRPr="00597A71">
        <w:rPr>
          <w:rFonts w:ascii="Times New Roman" w:eastAsia="Times New Roman" w:hAnsi="Times New Roman" w:cs="Times New Roman"/>
          <w:iCs/>
          <w:lang w:val="en-IE" w:eastAsia="en-GB"/>
        </w:rPr>
        <w:t xml:space="preserve"> be terminated.  While this has not been established as necessarily a likely outcome, it is a factor </w:t>
      </w:r>
      <w:r w:rsidRPr="00597A71">
        <w:rPr>
          <w:rFonts w:ascii="Times New Roman" w:eastAsia="Times New Roman" w:hAnsi="Times New Roman" w:cs="Times New Roman"/>
          <w:iCs/>
          <w:lang w:val="en-IE" w:eastAsia="en-GB"/>
        </w:rPr>
        <w:t xml:space="preserve">that must be considered </w:t>
      </w:r>
      <w:r w:rsidR="00BB6FD9" w:rsidRPr="00597A71">
        <w:rPr>
          <w:rFonts w:ascii="Times New Roman" w:eastAsia="Times New Roman" w:hAnsi="Times New Roman" w:cs="Times New Roman"/>
          <w:iCs/>
          <w:lang w:val="en-IE" w:eastAsia="en-GB"/>
        </w:rPr>
        <w:t xml:space="preserve">in the </w:t>
      </w:r>
      <w:r w:rsidR="001D06DC" w:rsidRPr="00597A71">
        <w:rPr>
          <w:rFonts w:ascii="Times New Roman" w:eastAsia="Times New Roman" w:hAnsi="Times New Roman" w:cs="Times New Roman"/>
          <w:iCs/>
          <w:lang w:val="en-IE" w:eastAsia="en-GB"/>
        </w:rPr>
        <w:t>assessment of the downstream risks.</w:t>
      </w:r>
    </w:p>
    <w:p w14:paraId="30E0645A" w14:textId="76E5D755" w:rsidR="00597A71" w:rsidRPr="00597A71" w:rsidRDefault="00DC26A9"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If </w:t>
      </w:r>
      <w:r w:rsidR="00DC4A1A">
        <w:rPr>
          <w:rFonts w:ascii="Times New Roman" w:eastAsia="Times New Roman" w:hAnsi="Times New Roman" w:cs="Times New Roman"/>
          <w:iCs/>
          <w:lang w:val="en-IE" w:eastAsia="en-GB"/>
        </w:rPr>
        <w:t>the appellant</w:t>
      </w:r>
      <w:r w:rsidRPr="00597A71">
        <w:rPr>
          <w:rFonts w:ascii="Times New Roman" w:eastAsia="Times New Roman" w:hAnsi="Times New Roman" w:cs="Times New Roman"/>
          <w:iCs/>
          <w:lang w:val="en-IE" w:eastAsia="en-GB"/>
        </w:rPr>
        <w:t xml:space="preserve"> is released</w:t>
      </w:r>
      <w:r w:rsidR="0055132A" w:rsidRPr="00597A71">
        <w:rPr>
          <w:rFonts w:ascii="Times New Roman" w:eastAsia="Times New Roman" w:hAnsi="Times New Roman" w:cs="Times New Roman"/>
          <w:iCs/>
          <w:lang w:val="en-IE" w:eastAsia="en-GB"/>
        </w:rPr>
        <w:t xml:space="preserve"> and required to stay in Georgia to serve out any remaining time on parole</w:t>
      </w:r>
      <w:r w:rsidR="00781511" w:rsidRPr="00597A71">
        <w:rPr>
          <w:rFonts w:ascii="Times New Roman" w:eastAsia="Times New Roman" w:hAnsi="Times New Roman" w:cs="Times New Roman"/>
          <w:iCs/>
          <w:lang w:val="en-IE" w:eastAsia="en-GB"/>
        </w:rPr>
        <w:t>,</w:t>
      </w:r>
      <w:r w:rsidR="0055132A" w:rsidRPr="00597A71">
        <w:rPr>
          <w:rFonts w:ascii="Times New Roman" w:eastAsia="Times New Roman" w:hAnsi="Times New Roman" w:cs="Times New Roman"/>
          <w:iCs/>
          <w:lang w:val="en-IE" w:eastAsia="en-GB"/>
        </w:rPr>
        <w:t xml:space="preserve"> it is not clear that he would be required to stay in the historic district of Savannah.  That </w:t>
      </w:r>
      <w:r w:rsidR="00F249AB">
        <w:rPr>
          <w:rFonts w:ascii="Times New Roman" w:eastAsia="Times New Roman" w:hAnsi="Times New Roman" w:cs="Times New Roman"/>
          <w:iCs/>
          <w:lang w:val="en-IE" w:eastAsia="en-GB"/>
        </w:rPr>
        <w:t>i</w:t>
      </w:r>
      <w:r w:rsidR="0055132A" w:rsidRPr="00597A71">
        <w:rPr>
          <w:rFonts w:ascii="Times New Roman" w:eastAsia="Times New Roman" w:hAnsi="Times New Roman" w:cs="Times New Roman"/>
          <w:iCs/>
          <w:lang w:val="en-IE" w:eastAsia="en-GB"/>
        </w:rPr>
        <w:t xml:space="preserve">s the district </w:t>
      </w:r>
      <w:r w:rsidR="009977C4">
        <w:rPr>
          <w:rFonts w:ascii="Times New Roman" w:eastAsia="Times New Roman" w:hAnsi="Times New Roman" w:cs="Times New Roman"/>
          <w:iCs/>
          <w:lang w:val="en-IE" w:eastAsia="en-GB"/>
        </w:rPr>
        <w:t xml:space="preserve">where according to </w:t>
      </w:r>
      <w:r w:rsidR="0055132A" w:rsidRPr="00597A71">
        <w:rPr>
          <w:rFonts w:ascii="Times New Roman" w:eastAsia="Times New Roman" w:hAnsi="Times New Roman" w:cs="Times New Roman"/>
          <w:iCs/>
          <w:lang w:val="en-IE" w:eastAsia="en-GB"/>
        </w:rPr>
        <w:t>the evidence</w:t>
      </w:r>
      <w:r w:rsidR="009977C4">
        <w:rPr>
          <w:rFonts w:ascii="Times New Roman" w:eastAsia="Times New Roman" w:hAnsi="Times New Roman" w:cs="Times New Roman"/>
          <w:iCs/>
          <w:lang w:val="en-IE" w:eastAsia="en-GB"/>
        </w:rPr>
        <w:t>, there were</w:t>
      </w:r>
      <w:r w:rsidR="0055132A" w:rsidRPr="00597A71">
        <w:rPr>
          <w:rFonts w:ascii="Times New Roman" w:eastAsia="Times New Roman" w:hAnsi="Times New Roman" w:cs="Times New Roman"/>
          <w:iCs/>
          <w:lang w:val="en-IE" w:eastAsia="en-GB"/>
        </w:rPr>
        <w:t xml:space="preserve"> difficulties of</w:t>
      </w:r>
      <w:r w:rsidR="00827308">
        <w:rPr>
          <w:rFonts w:ascii="Times New Roman" w:eastAsia="Times New Roman" w:hAnsi="Times New Roman" w:cs="Times New Roman"/>
          <w:iCs/>
          <w:lang w:val="en-IE" w:eastAsia="en-GB"/>
        </w:rPr>
        <w:t xml:space="preserve"> avoiding</w:t>
      </w:r>
      <w:r w:rsidR="0055132A" w:rsidRPr="00597A71">
        <w:rPr>
          <w:rFonts w:ascii="Times New Roman" w:eastAsia="Times New Roman" w:hAnsi="Times New Roman" w:cs="Times New Roman"/>
          <w:iCs/>
          <w:lang w:val="en-IE" w:eastAsia="en-GB"/>
        </w:rPr>
        <w:t xml:space="preserve"> living within 1000 feet of a prohibited space like a church.  Other cities in Georgia may provide more opportunities for living in accommodation that is acceptable to the probation service.  On the last occasion, the appellant was able to provide an address that was suitable</w:t>
      </w:r>
      <w:r w:rsidR="00DC4A1A">
        <w:rPr>
          <w:rFonts w:ascii="Times New Roman" w:eastAsia="Times New Roman" w:hAnsi="Times New Roman" w:cs="Times New Roman"/>
          <w:iCs/>
          <w:lang w:val="en-IE" w:eastAsia="en-GB"/>
        </w:rPr>
        <w:t>,</w:t>
      </w:r>
      <w:r w:rsidR="0055132A" w:rsidRPr="00597A71">
        <w:rPr>
          <w:rFonts w:ascii="Times New Roman" w:eastAsia="Times New Roman" w:hAnsi="Times New Roman" w:cs="Times New Roman"/>
          <w:iCs/>
          <w:lang w:val="en-IE" w:eastAsia="en-GB"/>
        </w:rPr>
        <w:t xml:space="preserve"> but </w:t>
      </w:r>
      <w:r w:rsidR="005F278C">
        <w:rPr>
          <w:rFonts w:ascii="Times New Roman" w:eastAsia="Times New Roman" w:hAnsi="Times New Roman" w:cs="Times New Roman"/>
          <w:iCs/>
          <w:lang w:val="en-IE" w:eastAsia="en-GB"/>
        </w:rPr>
        <w:t xml:space="preserve">in </w:t>
      </w:r>
      <w:r w:rsidR="0055132A" w:rsidRPr="00597A71">
        <w:rPr>
          <w:rFonts w:ascii="Times New Roman" w:eastAsia="Times New Roman" w:hAnsi="Times New Roman" w:cs="Times New Roman"/>
          <w:iCs/>
          <w:lang w:val="en-IE" w:eastAsia="en-GB"/>
        </w:rPr>
        <w:t xml:space="preserve">which he had no intention to live.  This demonstrates that it is possible to obtain an </w:t>
      </w:r>
      <w:r w:rsidR="0055132A" w:rsidRPr="00597A71">
        <w:rPr>
          <w:rFonts w:ascii="Times New Roman" w:eastAsia="Times New Roman" w:hAnsi="Times New Roman" w:cs="Times New Roman"/>
          <w:iCs/>
          <w:lang w:val="en-IE" w:eastAsia="en-GB"/>
        </w:rPr>
        <w:lastRenderedPageBreak/>
        <w:t>address</w:t>
      </w:r>
      <w:r w:rsidR="005F278C">
        <w:rPr>
          <w:rFonts w:ascii="Times New Roman" w:eastAsia="Times New Roman" w:hAnsi="Times New Roman" w:cs="Times New Roman"/>
          <w:iCs/>
          <w:lang w:val="en-IE" w:eastAsia="en-GB"/>
        </w:rPr>
        <w:t>,</w:t>
      </w:r>
      <w:r w:rsidR="0055132A" w:rsidRPr="00597A71">
        <w:rPr>
          <w:rFonts w:ascii="Times New Roman" w:eastAsia="Times New Roman" w:hAnsi="Times New Roman" w:cs="Times New Roman"/>
          <w:iCs/>
          <w:lang w:val="en-IE" w:eastAsia="en-GB"/>
        </w:rPr>
        <w:t xml:space="preserve"> and there is at least a possibility that the appellant would be able to find such a suitable address in which he could reside.  The possibility of being accommodated in homeless shelter</w:t>
      </w:r>
      <w:r w:rsidR="00781511" w:rsidRPr="00597A71">
        <w:rPr>
          <w:rFonts w:ascii="Times New Roman" w:eastAsia="Times New Roman" w:hAnsi="Times New Roman" w:cs="Times New Roman"/>
          <w:iCs/>
          <w:lang w:val="en-IE" w:eastAsia="en-GB"/>
        </w:rPr>
        <w:t>s</w:t>
      </w:r>
      <w:r w:rsidR="0055132A" w:rsidRPr="00597A71">
        <w:rPr>
          <w:rFonts w:ascii="Times New Roman" w:eastAsia="Times New Roman" w:hAnsi="Times New Roman" w:cs="Times New Roman"/>
          <w:iCs/>
          <w:lang w:val="en-IE" w:eastAsia="en-GB"/>
        </w:rPr>
        <w:t xml:space="preserve">, </w:t>
      </w:r>
      <w:r w:rsidR="00781511" w:rsidRPr="00597A71">
        <w:rPr>
          <w:rFonts w:ascii="Times New Roman" w:eastAsia="Times New Roman" w:hAnsi="Times New Roman" w:cs="Times New Roman"/>
          <w:iCs/>
          <w:lang w:val="en-IE" w:eastAsia="en-GB"/>
        </w:rPr>
        <w:t>although</w:t>
      </w:r>
      <w:r w:rsidR="0055132A" w:rsidRPr="00597A71">
        <w:rPr>
          <w:rFonts w:ascii="Times New Roman" w:eastAsia="Times New Roman" w:hAnsi="Times New Roman" w:cs="Times New Roman"/>
          <w:iCs/>
          <w:lang w:val="en-IE" w:eastAsia="en-GB"/>
        </w:rPr>
        <w:t xml:space="preserve"> far from ideal, would also mitigate against the risk of being required to live in </w:t>
      </w:r>
      <w:r w:rsidR="00781511" w:rsidRPr="00597A71">
        <w:rPr>
          <w:rFonts w:ascii="Times New Roman" w:eastAsia="Times New Roman" w:hAnsi="Times New Roman" w:cs="Times New Roman"/>
          <w:iCs/>
          <w:lang w:val="en-IE" w:eastAsia="en-GB"/>
        </w:rPr>
        <w:t>a</w:t>
      </w:r>
      <w:r w:rsidR="0055132A" w:rsidRPr="00597A71">
        <w:rPr>
          <w:rFonts w:ascii="Times New Roman" w:eastAsia="Times New Roman" w:hAnsi="Times New Roman" w:cs="Times New Roman"/>
          <w:iCs/>
          <w:lang w:val="en-IE" w:eastAsia="en-GB"/>
        </w:rPr>
        <w:t xml:space="preserve"> tent in a </w:t>
      </w:r>
      <w:r w:rsidR="005F278C">
        <w:rPr>
          <w:rFonts w:ascii="Times New Roman" w:eastAsia="Times New Roman" w:hAnsi="Times New Roman" w:cs="Times New Roman"/>
          <w:iCs/>
          <w:lang w:val="en-IE" w:eastAsia="en-GB"/>
        </w:rPr>
        <w:t>c</w:t>
      </w:r>
      <w:r w:rsidR="0055132A" w:rsidRPr="00597A71">
        <w:rPr>
          <w:rFonts w:ascii="Times New Roman" w:eastAsia="Times New Roman" w:hAnsi="Times New Roman" w:cs="Times New Roman"/>
          <w:iCs/>
          <w:lang w:val="en-IE" w:eastAsia="en-GB"/>
        </w:rPr>
        <w:t xml:space="preserve">ampground.  </w:t>
      </w:r>
      <w:r w:rsidR="00C202AD" w:rsidRPr="00597A71">
        <w:rPr>
          <w:rFonts w:ascii="Times New Roman" w:eastAsia="Times New Roman" w:hAnsi="Times New Roman" w:cs="Times New Roman"/>
          <w:iCs/>
          <w:lang w:val="en-IE" w:eastAsia="en-GB"/>
        </w:rPr>
        <w:t>The ability to obtain employment will mitigate against his risk of homelessness</w:t>
      </w:r>
      <w:r w:rsidR="005F278C">
        <w:rPr>
          <w:rFonts w:ascii="Times New Roman" w:eastAsia="Times New Roman" w:hAnsi="Times New Roman" w:cs="Times New Roman"/>
          <w:iCs/>
          <w:lang w:val="en-IE" w:eastAsia="en-GB"/>
        </w:rPr>
        <w:t>,</w:t>
      </w:r>
      <w:r w:rsidR="00C202AD" w:rsidRPr="00597A71">
        <w:rPr>
          <w:rFonts w:ascii="Times New Roman" w:eastAsia="Times New Roman" w:hAnsi="Times New Roman" w:cs="Times New Roman"/>
          <w:iCs/>
          <w:lang w:val="en-IE" w:eastAsia="en-GB"/>
        </w:rPr>
        <w:t xml:space="preserve"> and although there are clear difficulties because of the conditions on his parole, it is not a certainty that he will not be able to find such employment.  Added to the above </w:t>
      </w:r>
      <w:r w:rsidR="009977C4">
        <w:rPr>
          <w:rFonts w:ascii="Times New Roman" w:eastAsia="Times New Roman" w:hAnsi="Times New Roman" w:cs="Times New Roman"/>
          <w:iCs/>
          <w:lang w:val="en-IE" w:eastAsia="en-GB"/>
        </w:rPr>
        <w:t>as</w:t>
      </w:r>
      <w:r w:rsidR="00C202AD" w:rsidRPr="00597A71">
        <w:rPr>
          <w:rFonts w:ascii="Times New Roman" w:eastAsia="Times New Roman" w:hAnsi="Times New Roman" w:cs="Times New Roman"/>
          <w:iCs/>
          <w:lang w:val="en-IE" w:eastAsia="en-GB"/>
        </w:rPr>
        <w:t xml:space="preserve"> the High Court judge alluded, </w:t>
      </w:r>
      <w:r w:rsidR="002C7CBD" w:rsidRPr="00597A71">
        <w:rPr>
          <w:rFonts w:ascii="Times New Roman" w:eastAsia="Times New Roman" w:hAnsi="Times New Roman" w:cs="Times New Roman"/>
          <w:iCs/>
          <w:lang w:val="en-IE" w:eastAsia="en-GB"/>
        </w:rPr>
        <w:t xml:space="preserve">the cause of </w:t>
      </w:r>
      <w:r w:rsidR="00C202AD" w:rsidRPr="00597A71">
        <w:rPr>
          <w:rFonts w:ascii="Times New Roman" w:eastAsia="Times New Roman" w:hAnsi="Times New Roman" w:cs="Times New Roman"/>
          <w:iCs/>
          <w:lang w:val="en-IE" w:eastAsia="en-GB"/>
        </w:rPr>
        <w:t xml:space="preserve">homelessness can be multi-factorial and risks may arise from other matters.  The High Court judge </w:t>
      </w:r>
      <w:r w:rsidR="002C7CBD" w:rsidRPr="00597A71">
        <w:rPr>
          <w:rFonts w:ascii="Times New Roman" w:eastAsia="Times New Roman" w:hAnsi="Times New Roman" w:cs="Times New Roman"/>
          <w:iCs/>
          <w:lang w:val="en-IE" w:eastAsia="en-GB"/>
        </w:rPr>
        <w:t>referred</w:t>
      </w:r>
      <w:r w:rsidR="00C202AD" w:rsidRPr="00597A71">
        <w:rPr>
          <w:rFonts w:ascii="Times New Roman" w:eastAsia="Times New Roman" w:hAnsi="Times New Roman" w:cs="Times New Roman"/>
          <w:iCs/>
          <w:lang w:val="en-IE" w:eastAsia="en-GB"/>
        </w:rPr>
        <w:t xml:space="preserve"> to the addiction issues </w:t>
      </w:r>
      <w:r w:rsidR="005F278C">
        <w:rPr>
          <w:rFonts w:ascii="Times New Roman" w:eastAsia="Times New Roman" w:hAnsi="Times New Roman" w:cs="Times New Roman"/>
          <w:iCs/>
          <w:lang w:val="en-IE" w:eastAsia="en-GB"/>
        </w:rPr>
        <w:t>to which</w:t>
      </w:r>
      <w:r w:rsidR="00C202AD" w:rsidRPr="00597A71">
        <w:rPr>
          <w:rFonts w:ascii="Times New Roman" w:eastAsia="Times New Roman" w:hAnsi="Times New Roman" w:cs="Times New Roman"/>
          <w:iCs/>
          <w:lang w:val="en-IE" w:eastAsia="en-GB"/>
        </w:rPr>
        <w:t xml:space="preserve"> the </w:t>
      </w:r>
      <w:r w:rsidR="002C7CBD" w:rsidRPr="00597A71">
        <w:rPr>
          <w:rFonts w:ascii="Times New Roman" w:eastAsia="Times New Roman" w:hAnsi="Times New Roman" w:cs="Times New Roman"/>
          <w:iCs/>
          <w:lang w:val="en-IE" w:eastAsia="en-GB"/>
        </w:rPr>
        <w:t>appellant had alluded in his affidavit.  The appellant is correct that there is no evidence of any direct link of such addiction issues having led to his homelessness</w:t>
      </w:r>
      <w:r w:rsidR="00D43FD5" w:rsidRPr="00597A71">
        <w:rPr>
          <w:rFonts w:ascii="Times New Roman" w:eastAsia="Times New Roman" w:hAnsi="Times New Roman" w:cs="Times New Roman"/>
          <w:iCs/>
          <w:lang w:val="en-IE" w:eastAsia="en-GB"/>
        </w:rPr>
        <w:t>;</w:t>
      </w:r>
      <w:r w:rsidR="00781511" w:rsidRPr="00597A71">
        <w:rPr>
          <w:rFonts w:ascii="Times New Roman" w:eastAsia="Times New Roman" w:hAnsi="Times New Roman" w:cs="Times New Roman"/>
          <w:iCs/>
          <w:lang w:val="en-IE" w:eastAsia="en-GB"/>
        </w:rPr>
        <w:t xml:space="preserve"> that</w:t>
      </w:r>
      <w:r w:rsidR="002C7CBD" w:rsidRPr="00597A71">
        <w:rPr>
          <w:rFonts w:ascii="Times New Roman" w:eastAsia="Times New Roman" w:hAnsi="Times New Roman" w:cs="Times New Roman"/>
          <w:iCs/>
          <w:lang w:val="en-IE" w:eastAsia="en-GB"/>
        </w:rPr>
        <w:t xml:space="preserve"> the causes of homelessness a</w:t>
      </w:r>
      <w:r w:rsidR="009977C4">
        <w:rPr>
          <w:rFonts w:ascii="Times New Roman" w:eastAsia="Times New Roman" w:hAnsi="Times New Roman" w:cs="Times New Roman"/>
          <w:iCs/>
          <w:lang w:val="en-IE" w:eastAsia="en-GB"/>
        </w:rPr>
        <w:t>re</w:t>
      </w:r>
      <w:r w:rsidR="002C7CBD" w:rsidRPr="00597A71">
        <w:rPr>
          <w:rFonts w:ascii="Times New Roman" w:eastAsia="Times New Roman" w:hAnsi="Times New Roman" w:cs="Times New Roman"/>
          <w:iCs/>
          <w:lang w:val="en-IE" w:eastAsia="en-GB"/>
        </w:rPr>
        <w:t xml:space="preserve"> often multi-factorial in origin cannot be disputed.  Th</w:t>
      </w:r>
      <w:r w:rsidR="00D43FD5" w:rsidRPr="00597A71">
        <w:rPr>
          <w:rFonts w:ascii="Times New Roman" w:eastAsia="Times New Roman" w:hAnsi="Times New Roman" w:cs="Times New Roman"/>
          <w:iCs/>
          <w:lang w:val="en-IE" w:eastAsia="en-GB"/>
        </w:rPr>
        <w:t>e reference to the multi-factorial causes of homelessness was</w:t>
      </w:r>
      <w:r w:rsidR="002C7CBD" w:rsidRPr="00597A71">
        <w:rPr>
          <w:rFonts w:ascii="Times New Roman" w:eastAsia="Times New Roman" w:hAnsi="Times New Roman" w:cs="Times New Roman"/>
          <w:iCs/>
          <w:lang w:val="en-IE" w:eastAsia="en-GB"/>
        </w:rPr>
        <w:t xml:space="preserve"> a minor factor in the findings of the High Court and is also a minor factor here.  </w:t>
      </w:r>
      <w:r w:rsidR="00D43FD5" w:rsidRPr="00597A71">
        <w:rPr>
          <w:rFonts w:ascii="Times New Roman" w:eastAsia="Times New Roman" w:hAnsi="Times New Roman" w:cs="Times New Roman"/>
          <w:iCs/>
          <w:lang w:val="en-IE" w:eastAsia="en-GB"/>
        </w:rPr>
        <w:t>The appellant did provide a link</w:t>
      </w:r>
      <w:r w:rsidR="005F278C">
        <w:rPr>
          <w:rFonts w:ascii="Times New Roman" w:eastAsia="Times New Roman" w:hAnsi="Times New Roman" w:cs="Times New Roman"/>
          <w:iCs/>
          <w:lang w:val="en-IE" w:eastAsia="en-GB"/>
        </w:rPr>
        <w:t>,</w:t>
      </w:r>
      <w:r w:rsidR="00D43FD5" w:rsidRPr="00597A71">
        <w:rPr>
          <w:rFonts w:ascii="Times New Roman" w:eastAsia="Times New Roman" w:hAnsi="Times New Roman" w:cs="Times New Roman"/>
          <w:iCs/>
          <w:lang w:val="en-IE" w:eastAsia="en-GB"/>
        </w:rPr>
        <w:t xml:space="preserve"> through his evidence and through Mr. Langlois </w:t>
      </w:r>
      <w:r w:rsidR="005F278C">
        <w:rPr>
          <w:rFonts w:ascii="Times New Roman" w:eastAsia="Times New Roman" w:hAnsi="Times New Roman" w:cs="Times New Roman"/>
          <w:iCs/>
          <w:lang w:val="en-IE" w:eastAsia="en-GB"/>
        </w:rPr>
        <w:t>(</w:t>
      </w:r>
      <w:r w:rsidR="00D43FD5" w:rsidRPr="00597A71">
        <w:rPr>
          <w:rFonts w:ascii="Times New Roman" w:eastAsia="Times New Roman" w:hAnsi="Times New Roman" w:cs="Times New Roman"/>
          <w:iCs/>
          <w:lang w:val="en-IE" w:eastAsia="en-GB"/>
        </w:rPr>
        <w:t>however sparse his report was</w:t>
      </w:r>
      <w:r w:rsidR="005F278C">
        <w:rPr>
          <w:rFonts w:ascii="Times New Roman" w:eastAsia="Times New Roman" w:hAnsi="Times New Roman" w:cs="Times New Roman"/>
          <w:iCs/>
          <w:lang w:val="en-IE" w:eastAsia="en-GB"/>
        </w:rPr>
        <w:t>),</w:t>
      </w:r>
      <w:r w:rsidR="00D43FD5" w:rsidRPr="00597A71">
        <w:rPr>
          <w:rFonts w:ascii="Times New Roman" w:eastAsia="Times New Roman" w:hAnsi="Times New Roman" w:cs="Times New Roman"/>
          <w:iCs/>
          <w:lang w:val="en-IE" w:eastAsia="en-GB"/>
        </w:rPr>
        <w:t xml:space="preserve"> between the requirements of his parole and end</w:t>
      </w:r>
      <w:r w:rsidR="005F278C">
        <w:rPr>
          <w:rFonts w:ascii="Times New Roman" w:eastAsia="Times New Roman" w:hAnsi="Times New Roman" w:cs="Times New Roman"/>
          <w:iCs/>
          <w:lang w:val="en-IE" w:eastAsia="en-GB"/>
        </w:rPr>
        <w:t>ing</w:t>
      </w:r>
      <w:r w:rsidR="00D43FD5" w:rsidRPr="00597A71">
        <w:rPr>
          <w:rFonts w:ascii="Times New Roman" w:eastAsia="Times New Roman" w:hAnsi="Times New Roman" w:cs="Times New Roman"/>
          <w:iCs/>
          <w:lang w:val="en-IE" w:eastAsia="en-GB"/>
        </w:rPr>
        <w:t xml:space="preserve"> up homeless; th</w:t>
      </w:r>
      <w:r w:rsidR="009977C4">
        <w:rPr>
          <w:rFonts w:ascii="Times New Roman" w:eastAsia="Times New Roman" w:hAnsi="Times New Roman" w:cs="Times New Roman"/>
          <w:iCs/>
          <w:lang w:val="en-IE" w:eastAsia="en-GB"/>
        </w:rPr>
        <w:t>e</w:t>
      </w:r>
      <w:r w:rsidR="00D43FD5" w:rsidRPr="00597A71">
        <w:rPr>
          <w:rFonts w:ascii="Times New Roman" w:eastAsia="Times New Roman" w:hAnsi="Times New Roman" w:cs="Times New Roman"/>
          <w:iCs/>
          <w:lang w:val="en-IE" w:eastAsia="en-GB"/>
        </w:rPr>
        <w:t xml:space="preserve"> </w:t>
      </w:r>
      <w:r w:rsidR="005F278C">
        <w:rPr>
          <w:rFonts w:ascii="Times New Roman" w:eastAsia="Times New Roman" w:hAnsi="Times New Roman" w:cs="Times New Roman"/>
          <w:iCs/>
          <w:lang w:val="en-IE" w:eastAsia="en-GB"/>
        </w:rPr>
        <w:t>concern</w:t>
      </w:r>
      <w:r w:rsidR="009977C4">
        <w:rPr>
          <w:rFonts w:ascii="Times New Roman" w:eastAsia="Times New Roman" w:hAnsi="Times New Roman" w:cs="Times New Roman"/>
          <w:iCs/>
          <w:lang w:val="en-IE" w:eastAsia="en-GB"/>
        </w:rPr>
        <w:t xml:space="preserve"> here, </w:t>
      </w:r>
      <w:r w:rsidR="00D43FD5" w:rsidRPr="00597A71">
        <w:rPr>
          <w:rFonts w:ascii="Times New Roman" w:eastAsia="Times New Roman" w:hAnsi="Times New Roman" w:cs="Times New Roman"/>
          <w:iCs/>
          <w:lang w:val="en-IE" w:eastAsia="en-GB"/>
        </w:rPr>
        <w:t>however</w:t>
      </w:r>
      <w:r w:rsidR="009977C4">
        <w:rPr>
          <w:rFonts w:ascii="Times New Roman" w:eastAsia="Times New Roman" w:hAnsi="Times New Roman" w:cs="Times New Roman"/>
          <w:iCs/>
          <w:lang w:val="en-IE" w:eastAsia="en-GB"/>
        </w:rPr>
        <w:t>,</w:t>
      </w:r>
      <w:r w:rsidR="00D43FD5" w:rsidRPr="00597A71">
        <w:rPr>
          <w:rFonts w:ascii="Times New Roman" w:eastAsia="Times New Roman" w:hAnsi="Times New Roman" w:cs="Times New Roman"/>
          <w:iCs/>
          <w:lang w:val="en-IE" w:eastAsia="en-GB"/>
        </w:rPr>
        <w:t xml:space="preserve"> </w:t>
      </w:r>
      <w:r w:rsidR="009977C4">
        <w:rPr>
          <w:rFonts w:ascii="Times New Roman" w:eastAsia="Times New Roman" w:hAnsi="Times New Roman" w:cs="Times New Roman"/>
          <w:iCs/>
          <w:lang w:val="en-IE" w:eastAsia="en-GB"/>
        </w:rPr>
        <w:t xml:space="preserve">is </w:t>
      </w:r>
      <w:r w:rsidR="00D43FD5" w:rsidRPr="00597A71">
        <w:rPr>
          <w:rFonts w:ascii="Times New Roman" w:eastAsia="Times New Roman" w:hAnsi="Times New Roman" w:cs="Times New Roman"/>
          <w:iCs/>
          <w:lang w:val="en-IE" w:eastAsia="en-GB"/>
        </w:rPr>
        <w:t>the measurement of the future risk of that arising.</w:t>
      </w:r>
    </w:p>
    <w:p w14:paraId="2B769ED9" w14:textId="034D3352" w:rsidR="00597A71" w:rsidRPr="00597A71" w:rsidRDefault="002C7CBD"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When viewed in the round, the appellant’s case is that</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because he endured appalling conditions as a result of his homelessness in the past</w:t>
      </w:r>
      <w:r w:rsidR="00F249AB">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w:t>
      </w:r>
      <w:r w:rsidR="00F249AB">
        <w:rPr>
          <w:rFonts w:ascii="Times New Roman" w:eastAsia="Times New Roman" w:hAnsi="Times New Roman" w:cs="Times New Roman"/>
          <w:iCs/>
          <w:lang w:val="en-IE" w:eastAsia="en-GB"/>
        </w:rPr>
        <w:t>because</w:t>
      </w:r>
      <w:r w:rsidRPr="00597A71">
        <w:rPr>
          <w:rFonts w:ascii="Times New Roman" w:eastAsia="Times New Roman" w:hAnsi="Times New Roman" w:cs="Times New Roman"/>
          <w:iCs/>
          <w:lang w:val="en-IE" w:eastAsia="en-GB"/>
        </w:rPr>
        <w:t xml:space="preserve"> there is a risk that he will suffer them again in the future, he had provided sufficient proof to the High Court to come within the threshold for establishing that his extradition ought to be refused on grounds relating to inhuman and degrading treatment</w:t>
      </w:r>
      <w:r w:rsidR="00161A1F" w:rsidRPr="00597A71">
        <w:rPr>
          <w:rFonts w:ascii="Times New Roman" w:eastAsia="Times New Roman" w:hAnsi="Times New Roman" w:cs="Times New Roman"/>
          <w:iCs/>
          <w:lang w:val="en-IE" w:eastAsia="en-GB"/>
        </w:rPr>
        <w:t xml:space="preserve">.  His view is that this establishes the real risk that he will suffer the prohibited treatment.  On the contrary, the evidence </w:t>
      </w:r>
      <w:r w:rsidR="00AD577D" w:rsidRPr="00597A71">
        <w:rPr>
          <w:rFonts w:ascii="Times New Roman" w:eastAsia="Times New Roman" w:hAnsi="Times New Roman" w:cs="Times New Roman"/>
          <w:iCs/>
          <w:lang w:val="en-IE" w:eastAsia="en-GB"/>
        </w:rPr>
        <w:t xml:space="preserve">does not </w:t>
      </w:r>
      <w:r w:rsidR="00161A1F" w:rsidRPr="00597A71">
        <w:rPr>
          <w:rFonts w:ascii="Times New Roman" w:eastAsia="Times New Roman" w:hAnsi="Times New Roman" w:cs="Times New Roman"/>
          <w:iCs/>
          <w:lang w:val="en-IE" w:eastAsia="en-GB"/>
        </w:rPr>
        <w:t xml:space="preserve">establish that there is a real risk that the appellant might suffer that treatment in the future; it </w:t>
      </w:r>
      <w:r w:rsidR="005F278C">
        <w:rPr>
          <w:rFonts w:ascii="Times New Roman" w:eastAsia="Times New Roman" w:hAnsi="Times New Roman" w:cs="Times New Roman"/>
          <w:iCs/>
          <w:lang w:val="en-IE" w:eastAsia="en-GB"/>
        </w:rPr>
        <w:t>establishe</w:t>
      </w:r>
      <w:r w:rsidR="00161A1F" w:rsidRPr="00597A71">
        <w:rPr>
          <w:rFonts w:ascii="Times New Roman" w:eastAsia="Times New Roman" w:hAnsi="Times New Roman" w:cs="Times New Roman"/>
          <w:iCs/>
          <w:lang w:val="en-IE" w:eastAsia="en-GB"/>
        </w:rPr>
        <w:t>s a possibility of ill</w:t>
      </w:r>
      <w:r w:rsidR="005F278C">
        <w:rPr>
          <w:rFonts w:ascii="Times New Roman" w:eastAsia="Times New Roman" w:hAnsi="Times New Roman" w:cs="Times New Roman"/>
          <w:iCs/>
          <w:lang w:val="en-IE" w:eastAsia="en-GB"/>
        </w:rPr>
        <w:t xml:space="preserve"> </w:t>
      </w:r>
      <w:r w:rsidR="00161A1F" w:rsidRPr="00597A71">
        <w:rPr>
          <w:rFonts w:ascii="Times New Roman" w:eastAsia="Times New Roman" w:hAnsi="Times New Roman" w:cs="Times New Roman"/>
          <w:iCs/>
          <w:lang w:val="en-IE" w:eastAsia="en-GB"/>
        </w:rPr>
        <w:t xml:space="preserve">treatment.  </w:t>
      </w:r>
      <w:r w:rsidR="00AD577D" w:rsidRPr="00597A71">
        <w:rPr>
          <w:rFonts w:ascii="Times New Roman" w:eastAsia="Times New Roman" w:hAnsi="Times New Roman" w:cs="Times New Roman"/>
          <w:iCs/>
          <w:lang w:val="en-IE" w:eastAsia="en-GB"/>
        </w:rPr>
        <w:t xml:space="preserve">The </w:t>
      </w:r>
      <w:r w:rsidR="00161A1F" w:rsidRPr="00597A71">
        <w:rPr>
          <w:rFonts w:ascii="Times New Roman" w:eastAsia="Times New Roman" w:hAnsi="Times New Roman" w:cs="Times New Roman"/>
          <w:iCs/>
          <w:lang w:val="en-IE" w:eastAsia="en-GB"/>
        </w:rPr>
        <w:t>risk is remote</w:t>
      </w:r>
      <w:r w:rsidR="005F278C">
        <w:rPr>
          <w:rFonts w:ascii="Times New Roman" w:eastAsia="Times New Roman" w:hAnsi="Times New Roman" w:cs="Times New Roman"/>
          <w:iCs/>
          <w:lang w:val="en-IE" w:eastAsia="en-GB"/>
        </w:rPr>
        <w:t>:</w:t>
      </w:r>
      <w:r w:rsidR="00161A1F" w:rsidRPr="00597A71">
        <w:rPr>
          <w:rFonts w:ascii="Times New Roman" w:eastAsia="Times New Roman" w:hAnsi="Times New Roman" w:cs="Times New Roman"/>
          <w:iCs/>
          <w:lang w:val="en-IE" w:eastAsia="en-GB"/>
        </w:rPr>
        <w:t xml:space="preserve"> a </w:t>
      </w:r>
      <w:r w:rsidR="00D43FD5" w:rsidRPr="00597A71">
        <w:rPr>
          <w:rFonts w:ascii="Times New Roman" w:eastAsia="Times New Roman" w:hAnsi="Times New Roman" w:cs="Times New Roman"/>
          <w:iCs/>
          <w:lang w:val="en-IE" w:eastAsia="en-GB"/>
        </w:rPr>
        <w:t>chain of events</w:t>
      </w:r>
      <w:r w:rsidR="006200C8" w:rsidRPr="00597A71">
        <w:rPr>
          <w:rFonts w:ascii="Times New Roman" w:eastAsia="Times New Roman" w:hAnsi="Times New Roman" w:cs="Times New Roman"/>
          <w:iCs/>
          <w:lang w:val="en-IE" w:eastAsia="en-GB"/>
        </w:rPr>
        <w:t>, each link of which is uncertain,</w:t>
      </w:r>
      <w:r w:rsidR="00161A1F" w:rsidRPr="00597A71">
        <w:rPr>
          <w:rFonts w:ascii="Times New Roman" w:eastAsia="Times New Roman" w:hAnsi="Times New Roman" w:cs="Times New Roman"/>
          <w:iCs/>
          <w:lang w:val="en-IE" w:eastAsia="en-GB"/>
        </w:rPr>
        <w:t xml:space="preserve"> must take place before that risk can be said to be a real one.  Some of the risk may </w:t>
      </w:r>
      <w:r w:rsidR="006200C8" w:rsidRPr="00597A71">
        <w:rPr>
          <w:rFonts w:ascii="Times New Roman" w:eastAsia="Times New Roman" w:hAnsi="Times New Roman" w:cs="Times New Roman"/>
          <w:iCs/>
          <w:lang w:val="en-IE" w:eastAsia="en-GB"/>
        </w:rPr>
        <w:t xml:space="preserve">possibly </w:t>
      </w:r>
      <w:r w:rsidR="00161A1F" w:rsidRPr="00597A71">
        <w:rPr>
          <w:rFonts w:ascii="Times New Roman" w:eastAsia="Times New Roman" w:hAnsi="Times New Roman" w:cs="Times New Roman"/>
          <w:iCs/>
          <w:lang w:val="en-IE" w:eastAsia="en-GB"/>
        </w:rPr>
        <w:t xml:space="preserve">be </w:t>
      </w:r>
      <w:r w:rsidR="00161A1F" w:rsidRPr="00597A71">
        <w:rPr>
          <w:rFonts w:ascii="Times New Roman" w:eastAsia="Times New Roman" w:hAnsi="Times New Roman" w:cs="Times New Roman"/>
          <w:iCs/>
          <w:lang w:val="en-IE" w:eastAsia="en-GB"/>
        </w:rPr>
        <w:lastRenderedPageBreak/>
        <w:t xml:space="preserve">ameliorated by actions on the part of the appellant; he can put arrangements in place to secure accommodation </w:t>
      </w:r>
      <w:r w:rsidR="006200C8" w:rsidRPr="00597A71">
        <w:rPr>
          <w:rFonts w:ascii="Times New Roman" w:eastAsia="Times New Roman" w:hAnsi="Times New Roman" w:cs="Times New Roman"/>
          <w:iCs/>
          <w:lang w:val="en-IE" w:eastAsia="en-GB"/>
        </w:rPr>
        <w:t>prior to leaving custody</w:t>
      </w:r>
      <w:r w:rsidR="005A3CAF">
        <w:rPr>
          <w:rFonts w:ascii="Times New Roman" w:eastAsia="Times New Roman" w:hAnsi="Times New Roman" w:cs="Times New Roman"/>
          <w:iCs/>
          <w:lang w:val="en-IE" w:eastAsia="en-GB"/>
        </w:rPr>
        <w:t>,</w:t>
      </w:r>
      <w:r w:rsidR="006200C8" w:rsidRPr="00597A71">
        <w:rPr>
          <w:rFonts w:ascii="Times New Roman" w:eastAsia="Times New Roman" w:hAnsi="Times New Roman" w:cs="Times New Roman"/>
          <w:iCs/>
          <w:lang w:val="en-IE" w:eastAsia="en-GB"/>
        </w:rPr>
        <w:t xml:space="preserve"> </w:t>
      </w:r>
      <w:r w:rsidR="00161A1F" w:rsidRPr="00597A71">
        <w:rPr>
          <w:rFonts w:ascii="Times New Roman" w:eastAsia="Times New Roman" w:hAnsi="Times New Roman" w:cs="Times New Roman"/>
          <w:iCs/>
          <w:lang w:val="en-IE" w:eastAsia="en-GB"/>
        </w:rPr>
        <w:t>as he did on the last occasion.  The risk is also lesser than it was on the last occasion</w:t>
      </w:r>
      <w:r w:rsidR="00F249AB">
        <w:rPr>
          <w:rFonts w:ascii="Times New Roman" w:eastAsia="Times New Roman" w:hAnsi="Times New Roman" w:cs="Times New Roman"/>
          <w:iCs/>
          <w:lang w:val="en-IE" w:eastAsia="en-GB"/>
        </w:rPr>
        <w:t>,</w:t>
      </w:r>
      <w:r w:rsidR="00161A1F" w:rsidRPr="00597A71">
        <w:rPr>
          <w:rFonts w:ascii="Times New Roman" w:eastAsia="Times New Roman" w:hAnsi="Times New Roman" w:cs="Times New Roman"/>
          <w:iCs/>
          <w:lang w:val="en-IE" w:eastAsia="en-GB"/>
        </w:rPr>
        <w:t xml:space="preserve"> because it is clear that </w:t>
      </w:r>
      <w:r w:rsidR="00D43FD5" w:rsidRPr="00597A71">
        <w:rPr>
          <w:rFonts w:ascii="Times New Roman" w:eastAsia="Times New Roman" w:hAnsi="Times New Roman" w:cs="Times New Roman"/>
          <w:iCs/>
          <w:lang w:val="en-IE" w:eastAsia="en-GB"/>
        </w:rPr>
        <w:t xml:space="preserve">the intention is that </w:t>
      </w:r>
      <w:r w:rsidR="00161A1F" w:rsidRPr="00597A71">
        <w:rPr>
          <w:rFonts w:ascii="Times New Roman" w:eastAsia="Times New Roman" w:hAnsi="Times New Roman" w:cs="Times New Roman"/>
          <w:iCs/>
          <w:lang w:val="en-IE" w:eastAsia="en-GB"/>
        </w:rPr>
        <w:t>he will serve time in custody</w:t>
      </w:r>
      <w:r w:rsidR="00D43FD5" w:rsidRPr="00597A71">
        <w:rPr>
          <w:rFonts w:ascii="Times New Roman" w:eastAsia="Times New Roman" w:hAnsi="Times New Roman" w:cs="Times New Roman"/>
          <w:iCs/>
          <w:lang w:val="en-IE" w:eastAsia="en-GB"/>
        </w:rPr>
        <w:t>; the emphasis at his original sentence hearing was</w:t>
      </w:r>
      <w:r w:rsidR="005F278C">
        <w:rPr>
          <w:rFonts w:ascii="Times New Roman" w:eastAsia="Times New Roman" w:hAnsi="Times New Roman" w:cs="Times New Roman"/>
          <w:iCs/>
          <w:lang w:val="en-IE" w:eastAsia="en-GB"/>
        </w:rPr>
        <w:t xml:space="preserve"> as to his</w:t>
      </w:r>
      <w:r w:rsidR="00D43FD5" w:rsidRPr="00597A71">
        <w:rPr>
          <w:rFonts w:ascii="Times New Roman" w:eastAsia="Times New Roman" w:hAnsi="Times New Roman" w:cs="Times New Roman"/>
          <w:iCs/>
          <w:lang w:val="en-IE" w:eastAsia="en-GB"/>
        </w:rPr>
        <w:t xml:space="preserve"> serving the sentence in the community while under probation supervision</w:t>
      </w:r>
      <w:r w:rsidR="00AD577D" w:rsidRPr="00597A71">
        <w:rPr>
          <w:rFonts w:ascii="Times New Roman" w:eastAsia="Times New Roman" w:hAnsi="Times New Roman" w:cs="Times New Roman"/>
          <w:iCs/>
          <w:lang w:val="en-IE" w:eastAsia="en-GB"/>
        </w:rPr>
        <w:t xml:space="preserve">.  Moreover, while it cannot be said that the evidence reaches the state where it can be said that he is likely not to have to serve probation time in Georgia, </w:t>
      </w:r>
      <w:r w:rsidR="00DC3CB5" w:rsidRPr="00597A71">
        <w:rPr>
          <w:rFonts w:ascii="Times New Roman" w:eastAsia="Times New Roman" w:hAnsi="Times New Roman" w:cs="Times New Roman"/>
          <w:iCs/>
          <w:lang w:val="en-IE" w:eastAsia="en-GB"/>
        </w:rPr>
        <w:t>the risk is certainly lowered by the intention of the prosecution to recommend that any remaining time be terminated.  How m</w:t>
      </w:r>
      <w:r w:rsidR="00F249AB">
        <w:rPr>
          <w:rFonts w:ascii="Times New Roman" w:eastAsia="Times New Roman" w:hAnsi="Times New Roman" w:cs="Times New Roman"/>
          <w:iCs/>
          <w:lang w:val="en-IE" w:eastAsia="en-GB"/>
        </w:rPr>
        <w:t>any</w:t>
      </w:r>
      <w:r w:rsidR="00DC3CB5" w:rsidRPr="00597A71">
        <w:rPr>
          <w:rFonts w:ascii="Times New Roman" w:eastAsia="Times New Roman" w:hAnsi="Times New Roman" w:cs="Times New Roman"/>
          <w:iCs/>
          <w:lang w:val="en-IE" w:eastAsia="en-GB"/>
        </w:rPr>
        <w:t xml:space="preserve"> of the difficulties relate solely to residing within the historic district of Savannah</w:t>
      </w:r>
      <w:r w:rsidR="005A3CAF">
        <w:rPr>
          <w:rFonts w:ascii="Times New Roman" w:eastAsia="Times New Roman" w:hAnsi="Times New Roman" w:cs="Times New Roman"/>
          <w:iCs/>
          <w:lang w:val="en-IE" w:eastAsia="en-GB"/>
        </w:rPr>
        <w:t>,</w:t>
      </w:r>
      <w:r w:rsidR="00DC3CB5" w:rsidRPr="00597A71">
        <w:rPr>
          <w:rFonts w:ascii="Times New Roman" w:eastAsia="Times New Roman" w:hAnsi="Times New Roman" w:cs="Times New Roman"/>
          <w:iCs/>
          <w:lang w:val="en-IE" w:eastAsia="en-GB"/>
        </w:rPr>
        <w:t xml:space="preserve"> and not to the rest of that city</w:t>
      </w:r>
      <w:r w:rsidR="005A3CAF">
        <w:rPr>
          <w:rFonts w:ascii="Times New Roman" w:eastAsia="Times New Roman" w:hAnsi="Times New Roman" w:cs="Times New Roman"/>
          <w:iCs/>
          <w:lang w:val="en-IE" w:eastAsia="en-GB"/>
        </w:rPr>
        <w:t>,</w:t>
      </w:r>
      <w:r w:rsidR="00DC3CB5" w:rsidRPr="00597A71">
        <w:rPr>
          <w:rFonts w:ascii="Times New Roman" w:eastAsia="Times New Roman" w:hAnsi="Times New Roman" w:cs="Times New Roman"/>
          <w:iCs/>
          <w:lang w:val="en-IE" w:eastAsia="en-GB"/>
        </w:rPr>
        <w:t xml:space="preserve"> or even other cities of Georgia</w:t>
      </w:r>
      <w:r w:rsidR="005A3CAF">
        <w:rPr>
          <w:rFonts w:ascii="Times New Roman" w:eastAsia="Times New Roman" w:hAnsi="Times New Roman" w:cs="Times New Roman"/>
          <w:iCs/>
          <w:lang w:val="en-IE" w:eastAsia="en-GB"/>
        </w:rPr>
        <w:t>,</w:t>
      </w:r>
      <w:r w:rsidR="00DC3CB5" w:rsidRPr="00597A71">
        <w:rPr>
          <w:rFonts w:ascii="Times New Roman" w:eastAsia="Times New Roman" w:hAnsi="Times New Roman" w:cs="Times New Roman"/>
          <w:iCs/>
          <w:lang w:val="en-IE" w:eastAsia="en-GB"/>
        </w:rPr>
        <w:t xml:space="preserve"> </w:t>
      </w:r>
      <w:r w:rsidR="00F249AB">
        <w:rPr>
          <w:rFonts w:ascii="Times New Roman" w:eastAsia="Times New Roman" w:hAnsi="Times New Roman" w:cs="Times New Roman"/>
          <w:iCs/>
          <w:lang w:val="en-IE" w:eastAsia="en-GB"/>
        </w:rPr>
        <w:t>is a question that has</w:t>
      </w:r>
      <w:r w:rsidR="00DC3CB5" w:rsidRPr="00597A71">
        <w:rPr>
          <w:rFonts w:ascii="Times New Roman" w:eastAsia="Times New Roman" w:hAnsi="Times New Roman" w:cs="Times New Roman"/>
          <w:iCs/>
          <w:lang w:val="en-IE" w:eastAsia="en-GB"/>
        </w:rPr>
        <w:t xml:space="preserve"> not be</w:t>
      </w:r>
      <w:r w:rsidR="005F278C">
        <w:rPr>
          <w:rFonts w:ascii="Times New Roman" w:eastAsia="Times New Roman" w:hAnsi="Times New Roman" w:cs="Times New Roman"/>
          <w:iCs/>
          <w:lang w:val="en-IE" w:eastAsia="en-GB"/>
        </w:rPr>
        <w:t>en</w:t>
      </w:r>
      <w:r w:rsidR="00DC3CB5" w:rsidRPr="00597A71">
        <w:rPr>
          <w:rFonts w:ascii="Times New Roman" w:eastAsia="Times New Roman" w:hAnsi="Times New Roman" w:cs="Times New Roman"/>
          <w:iCs/>
          <w:lang w:val="en-IE" w:eastAsia="en-GB"/>
        </w:rPr>
        <w:t xml:space="preserve"> fully resolved.  </w:t>
      </w:r>
    </w:p>
    <w:p w14:paraId="00B8AF9F" w14:textId="35D6EFC3" w:rsidR="00597A71" w:rsidRPr="00597A71" w:rsidRDefault="00DC3CB5"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 xml:space="preserve">The presumption of good faith, even though of a lesser order of magnitude than the mutual trust that exists between </w:t>
      </w:r>
      <w:r w:rsidR="005F278C">
        <w:rPr>
          <w:rFonts w:ascii="Times New Roman" w:eastAsia="Times New Roman" w:hAnsi="Times New Roman" w:cs="Times New Roman"/>
          <w:iCs/>
          <w:lang w:val="en-IE" w:eastAsia="en-GB"/>
        </w:rPr>
        <w:t>M</w:t>
      </w:r>
      <w:r w:rsidRPr="00597A71">
        <w:rPr>
          <w:rFonts w:ascii="Times New Roman" w:eastAsia="Times New Roman" w:hAnsi="Times New Roman" w:cs="Times New Roman"/>
          <w:iCs/>
          <w:lang w:val="en-IE" w:eastAsia="en-GB"/>
        </w:rPr>
        <w:t xml:space="preserve">ember </w:t>
      </w:r>
      <w:r w:rsidR="005F278C">
        <w:rPr>
          <w:rFonts w:ascii="Times New Roman" w:eastAsia="Times New Roman" w:hAnsi="Times New Roman" w:cs="Times New Roman"/>
          <w:iCs/>
          <w:lang w:val="en-IE" w:eastAsia="en-GB"/>
        </w:rPr>
        <w:t>S</w:t>
      </w:r>
      <w:r w:rsidRPr="00597A71">
        <w:rPr>
          <w:rFonts w:ascii="Times New Roman" w:eastAsia="Times New Roman" w:hAnsi="Times New Roman" w:cs="Times New Roman"/>
          <w:iCs/>
          <w:lang w:val="en-IE" w:eastAsia="en-GB"/>
        </w:rPr>
        <w:t xml:space="preserve">tates of the EU, does not require a </w:t>
      </w:r>
      <w:r w:rsidR="005F278C">
        <w:rPr>
          <w:rFonts w:ascii="Times New Roman" w:eastAsia="Times New Roman" w:hAnsi="Times New Roman" w:cs="Times New Roman"/>
          <w:iCs/>
          <w:lang w:val="en-IE" w:eastAsia="en-GB"/>
        </w:rPr>
        <w:t>c</w:t>
      </w:r>
      <w:r w:rsidRPr="00597A71">
        <w:rPr>
          <w:rFonts w:ascii="Times New Roman" w:eastAsia="Times New Roman" w:hAnsi="Times New Roman" w:cs="Times New Roman"/>
          <w:iCs/>
          <w:lang w:val="en-IE" w:eastAsia="en-GB"/>
        </w:rPr>
        <w:t xml:space="preserve">ourt to discount every possible risk that an appellant will suffer inhuman and degrading treatment.  A requesting State ought not to be asked </w:t>
      </w:r>
      <w:r w:rsidR="000F7A5C">
        <w:rPr>
          <w:rFonts w:ascii="Times New Roman" w:eastAsia="Times New Roman" w:hAnsi="Times New Roman" w:cs="Times New Roman"/>
          <w:iCs/>
          <w:lang w:val="en-IE" w:eastAsia="en-GB"/>
        </w:rPr>
        <w:t xml:space="preserve">therefore </w:t>
      </w:r>
      <w:r w:rsidRPr="00597A71">
        <w:rPr>
          <w:rFonts w:ascii="Times New Roman" w:eastAsia="Times New Roman" w:hAnsi="Times New Roman" w:cs="Times New Roman"/>
          <w:iCs/>
          <w:lang w:val="en-IE" w:eastAsia="en-GB"/>
        </w:rPr>
        <w:t xml:space="preserve">to discount every </w:t>
      </w:r>
      <w:r w:rsidR="000F7A5C">
        <w:rPr>
          <w:rFonts w:ascii="Times New Roman" w:eastAsia="Times New Roman" w:hAnsi="Times New Roman" w:cs="Times New Roman"/>
          <w:iCs/>
          <w:lang w:val="en-IE" w:eastAsia="en-GB"/>
        </w:rPr>
        <w:t xml:space="preserve">possible </w:t>
      </w:r>
      <w:r w:rsidRPr="00597A71">
        <w:rPr>
          <w:rFonts w:ascii="Times New Roman" w:eastAsia="Times New Roman" w:hAnsi="Times New Roman" w:cs="Times New Roman"/>
          <w:iCs/>
          <w:lang w:val="en-IE" w:eastAsia="en-GB"/>
        </w:rPr>
        <w:t>risk that might befall a requested person.  Where there is evidence that a requesting State (and indeed the particular jurisdiction of th</w:t>
      </w:r>
      <w:r w:rsidR="005A3CAF">
        <w:rPr>
          <w:rFonts w:ascii="Times New Roman" w:eastAsia="Times New Roman" w:hAnsi="Times New Roman" w:cs="Times New Roman"/>
          <w:iCs/>
          <w:lang w:val="en-IE" w:eastAsia="en-GB"/>
        </w:rPr>
        <w:t>at</w:t>
      </w:r>
      <w:r w:rsidRPr="00597A71">
        <w:rPr>
          <w:rFonts w:ascii="Times New Roman" w:eastAsia="Times New Roman" w:hAnsi="Times New Roman" w:cs="Times New Roman"/>
          <w:iCs/>
          <w:lang w:val="en-IE" w:eastAsia="en-GB"/>
        </w:rPr>
        <w:t xml:space="preserve"> requesting State) has in place </w:t>
      </w:r>
      <w:r w:rsidR="005F278C">
        <w:rPr>
          <w:rFonts w:ascii="Times New Roman" w:eastAsia="Times New Roman" w:hAnsi="Times New Roman" w:cs="Times New Roman"/>
          <w:iCs/>
          <w:lang w:val="en-IE" w:eastAsia="en-GB"/>
        </w:rPr>
        <w:t>c</w:t>
      </w:r>
      <w:r w:rsidRPr="00597A71">
        <w:rPr>
          <w:rFonts w:ascii="Times New Roman" w:eastAsia="Times New Roman" w:hAnsi="Times New Roman" w:cs="Times New Roman"/>
          <w:iCs/>
          <w:lang w:val="en-IE" w:eastAsia="en-GB"/>
        </w:rPr>
        <w:t>onstitution</w:t>
      </w:r>
      <w:r w:rsidR="005F278C">
        <w:rPr>
          <w:rFonts w:ascii="Times New Roman" w:eastAsia="Times New Roman" w:hAnsi="Times New Roman" w:cs="Times New Roman"/>
          <w:iCs/>
          <w:lang w:val="en-IE" w:eastAsia="en-GB"/>
        </w:rPr>
        <w:t>al</w:t>
      </w:r>
      <w:r w:rsidRPr="00597A71">
        <w:rPr>
          <w:rFonts w:ascii="Times New Roman" w:eastAsia="Times New Roman" w:hAnsi="Times New Roman" w:cs="Times New Roman"/>
          <w:iCs/>
          <w:lang w:val="en-IE" w:eastAsia="en-GB"/>
        </w:rPr>
        <w:t xml:space="preserve"> provisions that prohibit treatment of an inhuman and degrading nature</w:t>
      </w:r>
      <w:r w:rsidR="00F249AB">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also allow for judicial review of punitive sanctions, that is part of the overall circumstances that a court in this jurisdiction can </w:t>
      </w:r>
      <w:proofErr w:type="gramStart"/>
      <w:r w:rsidRPr="00597A71">
        <w:rPr>
          <w:rFonts w:ascii="Times New Roman" w:eastAsia="Times New Roman" w:hAnsi="Times New Roman" w:cs="Times New Roman"/>
          <w:iCs/>
          <w:lang w:val="en-IE" w:eastAsia="en-GB"/>
        </w:rPr>
        <w:t>take into account</w:t>
      </w:r>
      <w:proofErr w:type="gramEnd"/>
      <w:r w:rsidRPr="00597A71">
        <w:rPr>
          <w:rFonts w:ascii="Times New Roman" w:eastAsia="Times New Roman" w:hAnsi="Times New Roman" w:cs="Times New Roman"/>
          <w:iCs/>
          <w:lang w:val="en-IE" w:eastAsia="en-GB"/>
        </w:rPr>
        <w:t xml:space="preserve"> in assessing the overall risk.  Naturally</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if a real risk of being subjected to prohibited treatment is established</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the Court cannot take account of the possibility of subsequent judicial review.  The fact that the risk at issue is very much downstream from the actual return of the requested </w:t>
      </w:r>
      <w:proofErr w:type="gramStart"/>
      <w:r w:rsidRPr="00597A71">
        <w:rPr>
          <w:rFonts w:ascii="Times New Roman" w:eastAsia="Times New Roman" w:hAnsi="Times New Roman" w:cs="Times New Roman"/>
          <w:iCs/>
          <w:lang w:val="en-IE" w:eastAsia="en-GB"/>
        </w:rPr>
        <w:t>person</w:t>
      </w:r>
      <w:proofErr w:type="gramEnd"/>
      <w:r w:rsidR="005A3CAF">
        <w:rPr>
          <w:rFonts w:ascii="Times New Roman" w:eastAsia="Times New Roman" w:hAnsi="Times New Roman" w:cs="Times New Roman"/>
          <w:iCs/>
          <w:lang w:val="en-IE" w:eastAsia="en-GB"/>
        </w:rPr>
        <w:t xml:space="preserve"> however,</w:t>
      </w:r>
      <w:r w:rsidRPr="00597A71">
        <w:rPr>
          <w:rFonts w:ascii="Times New Roman" w:eastAsia="Times New Roman" w:hAnsi="Times New Roman" w:cs="Times New Roman"/>
          <w:iCs/>
          <w:lang w:val="en-IE" w:eastAsia="en-GB"/>
        </w:rPr>
        <w:t xml:space="preserve"> gives a somewhat greater relevance to those protections.</w:t>
      </w:r>
    </w:p>
    <w:p w14:paraId="4836107F" w14:textId="11B8E3CF" w:rsidR="00597A71" w:rsidRDefault="00DC3CB5"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Overall</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the</w:t>
      </w:r>
      <w:r w:rsidR="00163F25" w:rsidRPr="00597A71">
        <w:rPr>
          <w:rFonts w:ascii="Times New Roman" w:eastAsia="Times New Roman" w:hAnsi="Times New Roman" w:cs="Times New Roman"/>
          <w:iCs/>
          <w:lang w:val="en-IE" w:eastAsia="en-GB"/>
        </w:rPr>
        <w:t>refore</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the risk to th</w:t>
      </w:r>
      <w:r w:rsidR="00D43FD5" w:rsidRPr="00597A71">
        <w:rPr>
          <w:rFonts w:ascii="Times New Roman" w:eastAsia="Times New Roman" w:hAnsi="Times New Roman" w:cs="Times New Roman"/>
          <w:iCs/>
          <w:lang w:val="en-IE" w:eastAsia="en-GB"/>
        </w:rPr>
        <w:t>is</w:t>
      </w:r>
      <w:r w:rsidRPr="00597A71">
        <w:rPr>
          <w:rFonts w:ascii="Times New Roman" w:eastAsia="Times New Roman" w:hAnsi="Times New Roman" w:cs="Times New Roman"/>
          <w:iCs/>
          <w:lang w:val="en-IE" w:eastAsia="en-GB"/>
        </w:rPr>
        <w:t xml:space="preserve"> appellant </w:t>
      </w:r>
      <w:r w:rsidR="00D43FD5" w:rsidRPr="00597A71">
        <w:rPr>
          <w:rFonts w:ascii="Times New Roman" w:eastAsia="Times New Roman" w:hAnsi="Times New Roman" w:cs="Times New Roman"/>
          <w:iCs/>
          <w:lang w:val="en-IE" w:eastAsia="en-GB"/>
        </w:rPr>
        <w:t xml:space="preserve">of ending up in precisely the same set of circumstances that occurred on the last occasion </w:t>
      </w:r>
      <w:r w:rsidRPr="00597A71">
        <w:rPr>
          <w:rFonts w:ascii="Times New Roman" w:eastAsia="Times New Roman" w:hAnsi="Times New Roman" w:cs="Times New Roman"/>
          <w:iCs/>
          <w:lang w:val="en-IE" w:eastAsia="en-GB"/>
        </w:rPr>
        <w:t>is too re</w:t>
      </w:r>
      <w:r w:rsidR="006200C8" w:rsidRPr="00597A71">
        <w:rPr>
          <w:rFonts w:ascii="Times New Roman" w:eastAsia="Times New Roman" w:hAnsi="Times New Roman" w:cs="Times New Roman"/>
          <w:iCs/>
          <w:lang w:val="en-IE" w:eastAsia="en-GB"/>
        </w:rPr>
        <w:t>mote to constitute</w:t>
      </w:r>
      <w:r w:rsidR="00163F25" w:rsidRPr="00597A71">
        <w:rPr>
          <w:rFonts w:ascii="Times New Roman" w:eastAsia="Times New Roman" w:hAnsi="Times New Roman" w:cs="Times New Roman"/>
          <w:iCs/>
          <w:lang w:val="en-IE" w:eastAsia="en-GB"/>
        </w:rPr>
        <w:t xml:space="preserve"> substantial</w:t>
      </w:r>
      <w:r w:rsidR="006200C8" w:rsidRPr="00597A71">
        <w:rPr>
          <w:rFonts w:ascii="Times New Roman" w:eastAsia="Times New Roman" w:hAnsi="Times New Roman" w:cs="Times New Roman"/>
          <w:iCs/>
          <w:lang w:val="en-IE" w:eastAsia="en-GB"/>
        </w:rPr>
        <w:t xml:space="preserve"> or reasonable</w:t>
      </w:r>
      <w:r w:rsidR="00163F25" w:rsidRPr="00597A71">
        <w:rPr>
          <w:rFonts w:ascii="Times New Roman" w:eastAsia="Times New Roman" w:hAnsi="Times New Roman" w:cs="Times New Roman"/>
          <w:iCs/>
          <w:lang w:val="en-IE" w:eastAsia="en-GB"/>
        </w:rPr>
        <w:t xml:space="preserve"> grounds </w:t>
      </w:r>
      <w:r w:rsidR="006200C8" w:rsidRPr="00597A71">
        <w:rPr>
          <w:rFonts w:ascii="Times New Roman" w:eastAsia="Times New Roman" w:hAnsi="Times New Roman" w:cs="Times New Roman"/>
          <w:iCs/>
          <w:lang w:val="en-IE" w:eastAsia="en-GB"/>
        </w:rPr>
        <w:t xml:space="preserve">which </w:t>
      </w:r>
      <w:r w:rsidR="00163F25" w:rsidRPr="00597A71">
        <w:rPr>
          <w:rFonts w:ascii="Times New Roman" w:eastAsia="Times New Roman" w:hAnsi="Times New Roman" w:cs="Times New Roman"/>
          <w:iCs/>
          <w:lang w:val="en-IE" w:eastAsia="en-GB"/>
        </w:rPr>
        <w:t>establish</w:t>
      </w:r>
      <w:r w:rsidRPr="00597A71">
        <w:rPr>
          <w:rFonts w:ascii="Times New Roman" w:eastAsia="Times New Roman" w:hAnsi="Times New Roman" w:cs="Times New Roman"/>
          <w:iCs/>
          <w:lang w:val="en-IE" w:eastAsia="en-GB"/>
        </w:rPr>
        <w:t xml:space="preserve"> a real risk that he will be subjected to inhuman and </w:t>
      </w:r>
      <w:r w:rsidRPr="00597A71">
        <w:rPr>
          <w:rFonts w:ascii="Times New Roman" w:eastAsia="Times New Roman" w:hAnsi="Times New Roman" w:cs="Times New Roman"/>
          <w:iCs/>
          <w:lang w:val="en-IE" w:eastAsia="en-GB"/>
        </w:rPr>
        <w:lastRenderedPageBreak/>
        <w:t>degrading treatment</w:t>
      </w:r>
      <w:r w:rsidR="00163F25" w:rsidRPr="00597A71">
        <w:rPr>
          <w:rFonts w:ascii="Times New Roman" w:eastAsia="Times New Roman" w:hAnsi="Times New Roman" w:cs="Times New Roman"/>
          <w:iCs/>
          <w:lang w:val="en-IE" w:eastAsia="en-GB"/>
        </w:rPr>
        <w:t xml:space="preserve"> if returned to the USA as a result of this request for extradition.  </w:t>
      </w:r>
      <w:r w:rsidR="00161A1F" w:rsidRPr="00597A71">
        <w:rPr>
          <w:rFonts w:ascii="Times New Roman" w:eastAsia="Times New Roman" w:hAnsi="Times New Roman" w:cs="Times New Roman"/>
          <w:iCs/>
          <w:lang w:val="en-IE" w:eastAsia="en-GB"/>
        </w:rPr>
        <w:t xml:space="preserve"> </w:t>
      </w:r>
      <w:r w:rsidR="00163F25" w:rsidRPr="00597A71">
        <w:rPr>
          <w:rFonts w:ascii="Times New Roman" w:eastAsia="Times New Roman" w:hAnsi="Times New Roman" w:cs="Times New Roman"/>
          <w:iCs/>
          <w:lang w:val="en-IE" w:eastAsia="en-GB"/>
        </w:rPr>
        <w:t>For that reason</w:t>
      </w:r>
      <w:r w:rsidR="00D43FD5" w:rsidRPr="00597A71">
        <w:rPr>
          <w:rFonts w:ascii="Times New Roman" w:eastAsia="Times New Roman" w:hAnsi="Times New Roman" w:cs="Times New Roman"/>
          <w:iCs/>
          <w:lang w:val="en-IE" w:eastAsia="en-GB"/>
        </w:rPr>
        <w:t>,</w:t>
      </w:r>
      <w:r w:rsidR="00163F25" w:rsidRPr="00597A71">
        <w:rPr>
          <w:rFonts w:ascii="Times New Roman" w:eastAsia="Times New Roman" w:hAnsi="Times New Roman" w:cs="Times New Roman"/>
          <w:iCs/>
          <w:lang w:val="en-IE" w:eastAsia="en-GB"/>
        </w:rPr>
        <w:t xml:space="preserve"> the information before this Court, which was information before the High Court, is sufficient </w:t>
      </w:r>
      <w:r w:rsidR="006200C8" w:rsidRPr="00597A71">
        <w:rPr>
          <w:rFonts w:ascii="Times New Roman" w:eastAsia="Times New Roman" w:hAnsi="Times New Roman" w:cs="Times New Roman"/>
          <w:iCs/>
          <w:lang w:val="en-IE" w:eastAsia="en-GB"/>
        </w:rPr>
        <w:t>t</w:t>
      </w:r>
      <w:r w:rsidR="00163F25" w:rsidRPr="00597A71">
        <w:rPr>
          <w:rFonts w:ascii="Times New Roman" w:eastAsia="Times New Roman" w:hAnsi="Times New Roman" w:cs="Times New Roman"/>
          <w:iCs/>
          <w:lang w:val="en-IE" w:eastAsia="en-GB"/>
        </w:rPr>
        <w:t>o determine that the appeal ought to be dismissed</w:t>
      </w:r>
      <w:r w:rsidR="005F278C">
        <w:rPr>
          <w:rFonts w:ascii="Times New Roman" w:eastAsia="Times New Roman" w:hAnsi="Times New Roman" w:cs="Times New Roman"/>
          <w:iCs/>
          <w:lang w:val="en-IE" w:eastAsia="en-GB"/>
        </w:rPr>
        <w:t>,</w:t>
      </w:r>
      <w:r w:rsidR="00163F25" w:rsidRPr="00597A71">
        <w:rPr>
          <w:rFonts w:ascii="Times New Roman" w:eastAsia="Times New Roman" w:hAnsi="Times New Roman" w:cs="Times New Roman"/>
          <w:iCs/>
          <w:lang w:val="en-IE" w:eastAsia="en-GB"/>
        </w:rPr>
        <w:t xml:space="preserve"> as no real risk to the appellant has been established.  For those reasons also, it is not necessary to consider the helpful submissions </w:t>
      </w:r>
      <w:r w:rsidR="006200C8" w:rsidRPr="00597A71">
        <w:rPr>
          <w:rFonts w:ascii="Times New Roman" w:eastAsia="Times New Roman" w:hAnsi="Times New Roman" w:cs="Times New Roman"/>
          <w:iCs/>
          <w:lang w:val="en-IE" w:eastAsia="en-GB"/>
        </w:rPr>
        <w:t>f</w:t>
      </w:r>
      <w:r w:rsidR="005A3CAF">
        <w:rPr>
          <w:rFonts w:ascii="Times New Roman" w:eastAsia="Times New Roman" w:hAnsi="Times New Roman" w:cs="Times New Roman"/>
          <w:iCs/>
          <w:lang w:val="en-IE" w:eastAsia="en-GB"/>
        </w:rPr>
        <w:t>rom</w:t>
      </w:r>
      <w:r w:rsidR="00163F25" w:rsidRPr="00597A71">
        <w:rPr>
          <w:rFonts w:ascii="Times New Roman" w:eastAsia="Times New Roman" w:hAnsi="Times New Roman" w:cs="Times New Roman"/>
          <w:iCs/>
          <w:lang w:val="en-IE" w:eastAsia="en-GB"/>
        </w:rPr>
        <w:t xml:space="preserve"> both sides as to how an appellate court in an extradition case ought to deal with a situation where that court assesses that the information before the High Court was inadequate to make a final assessment on the real risk to a violation of </w:t>
      </w:r>
      <w:r w:rsidR="005A3CAF">
        <w:rPr>
          <w:rFonts w:ascii="Times New Roman" w:eastAsia="Times New Roman" w:hAnsi="Times New Roman" w:cs="Times New Roman"/>
          <w:iCs/>
          <w:lang w:val="en-IE" w:eastAsia="en-GB"/>
        </w:rPr>
        <w:t xml:space="preserve">the </w:t>
      </w:r>
      <w:r w:rsidR="00163F25" w:rsidRPr="00597A71">
        <w:rPr>
          <w:rFonts w:ascii="Times New Roman" w:eastAsia="Times New Roman" w:hAnsi="Times New Roman" w:cs="Times New Roman"/>
          <w:iCs/>
          <w:lang w:val="en-IE" w:eastAsia="en-GB"/>
        </w:rPr>
        <w:t>fundamental rights of the requested person.</w:t>
      </w:r>
    </w:p>
    <w:p w14:paraId="64A18F6C" w14:textId="77777777" w:rsidR="005F278C" w:rsidRDefault="005F278C" w:rsidP="00597A71">
      <w:pPr>
        <w:pStyle w:val="ListParagraph"/>
        <w:spacing w:line="480" w:lineRule="auto"/>
        <w:ind w:left="0"/>
        <w:jc w:val="both"/>
        <w:rPr>
          <w:rFonts w:ascii="Times New Roman" w:eastAsia="Times New Roman" w:hAnsi="Times New Roman" w:cs="Times New Roman"/>
          <w:b/>
          <w:iCs/>
          <w:u w:val="single"/>
          <w:lang w:val="en-IE" w:eastAsia="en-GB"/>
        </w:rPr>
      </w:pPr>
    </w:p>
    <w:p w14:paraId="5D23B8A5" w14:textId="71DA7403" w:rsidR="00597A71" w:rsidRPr="00597A71" w:rsidRDefault="00D43FD5" w:rsidP="00597A71">
      <w:pPr>
        <w:pStyle w:val="ListParagraph"/>
        <w:spacing w:line="480" w:lineRule="auto"/>
        <w:ind w:left="0"/>
        <w:jc w:val="both"/>
        <w:rPr>
          <w:rFonts w:ascii="Times New Roman" w:hAnsi="Times New Roman" w:cs="Times New Roman"/>
        </w:rPr>
      </w:pPr>
      <w:r w:rsidRPr="00597A71">
        <w:rPr>
          <w:rFonts w:ascii="Times New Roman" w:eastAsia="Times New Roman" w:hAnsi="Times New Roman" w:cs="Times New Roman"/>
          <w:b/>
          <w:iCs/>
          <w:u w:val="single"/>
          <w:lang w:val="en-IE" w:eastAsia="en-GB"/>
        </w:rPr>
        <w:t>Conclusion</w:t>
      </w:r>
    </w:p>
    <w:p w14:paraId="3E6F7572" w14:textId="7D08391D" w:rsidR="00597A71" w:rsidRPr="00597A71" w:rsidRDefault="00D86556"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In the preliminary ruling</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the question as to where real risk ends and speculation begins was raised as an issue for the </w:t>
      </w:r>
      <w:r w:rsidR="005A3CAF">
        <w:rPr>
          <w:rFonts w:ascii="Times New Roman" w:eastAsia="Times New Roman" w:hAnsi="Times New Roman" w:cs="Times New Roman"/>
          <w:iCs/>
          <w:lang w:val="en-IE" w:eastAsia="en-GB"/>
        </w:rPr>
        <w:t>C</w:t>
      </w:r>
      <w:r w:rsidRPr="00597A71">
        <w:rPr>
          <w:rFonts w:ascii="Times New Roman" w:eastAsia="Times New Roman" w:hAnsi="Times New Roman" w:cs="Times New Roman"/>
          <w:iCs/>
          <w:lang w:val="en-IE" w:eastAsia="en-GB"/>
        </w:rPr>
        <w:t xml:space="preserve">ourt to address.  That question raised the issue of how to measure risk.  The </w:t>
      </w:r>
      <w:proofErr w:type="spellStart"/>
      <w:r w:rsidR="00985A3A" w:rsidRPr="00597A71">
        <w:rPr>
          <w:rFonts w:ascii="Times New Roman" w:eastAsia="Times New Roman" w:hAnsi="Times New Roman" w:cs="Times New Roman"/>
          <w:i/>
          <w:iCs/>
          <w:lang w:val="en-IE" w:eastAsia="en-GB"/>
        </w:rPr>
        <w:t>Rettinger</w:t>
      </w:r>
      <w:proofErr w:type="spellEnd"/>
      <w:r w:rsidR="00985A3A" w:rsidRPr="00597A71">
        <w:rPr>
          <w:rFonts w:ascii="Times New Roman" w:eastAsia="Times New Roman" w:hAnsi="Times New Roman" w:cs="Times New Roman"/>
          <w:i/>
          <w:iCs/>
          <w:lang w:val="en-IE" w:eastAsia="en-GB"/>
        </w:rPr>
        <w:t xml:space="preserve"> </w:t>
      </w:r>
      <w:r w:rsidR="00985A3A" w:rsidRPr="00597A71">
        <w:rPr>
          <w:rFonts w:ascii="Times New Roman" w:eastAsia="Times New Roman" w:hAnsi="Times New Roman" w:cs="Times New Roman"/>
          <w:iCs/>
          <w:lang w:val="en-IE" w:eastAsia="en-GB"/>
        </w:rPr>
        <w:t>principles</w:t>
      </w:r>
      <w:r w:rsidRPr="00597A71">
        <w:rPr>
          <w:rFonts w:ascii="Times New Roman" w:eastAsia="Times New Roman" w:hAnsi="Times New Roman" w:cs="Times New Roman"/>
          <w:iCs/>
          <w:lang w:val="en-IE" w:eastAsia="en-GB"/>
        </w:rPr>
        <w:t xml:space="preserve"> form the bedrock of that analysis.  Those principles have been applied to extradition requests and have been refined in the course of their application to the facts of the specific cases that have come before the court</w:t>
      </w:r>
      <w:r w:rsidR="005A3CAF">
        <w:rPr>
          <w:rFonts w:ascii="Times New Roman" w:eastAsia="Times New Roman" w:hAnsi="Times New Roman" w:cs="Times New Roman"/>
          <w:iCs/>
          <w:lang w:val="en-IE" w:eastAsia="en-GB"/>
        </w:rPr>
        <w:t>s</w:t>
      </w:r>
      <w:r w:rsidRPr="00597A71">
        <w:rPr>
          <w:rFonts w:ascii="Times New Roman" w:eastAsia="Times New Roman" w:hAnsi="Times New Roman" w:cs="Times New Roman"/>
          <w:iCs/>
          <w:lang w:val="en-IE" w:eastAsia="en-GB"/>
        </w:rPr>
        <w:t xml:space="preserve">.  The tools for measuring risk include the presumption of good faith and the imposition of a burden on </w:t>
      </w:r>
      <w:r w:rsidR="005152CE">
        <w:rPr>
          <w:rFonts w:ascii="Times New Roman" w:eastAsia="Times New Roman" w:hAnsi="Times New Roman" w:cs="Times New Roman"/>
          <w:iCs/>
          <w:lang w:val="en-IE" w:eastAsia="en-GB"/>
        </w:rPr>
        <w:t>the person sought to be returned</w:t>
      </w:r>
      <w:r w:rsidR="005F278C">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to establish on substantial/reasonable grounds that a real risk of being subjected to prohibited treatment on return exists at the time of the first instance decision</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making.  A possibility of ill</w:t>
      </w:r>
      <w:r w:rsidR="005F278C">
        <w:rPr>
          <w:rFonts w:ascii="Times New Roman" w:eastAsia="Times New Roman" w:hAnsi="Times New Roman" w:cs="Times New Roman"/>
          <w:iCs/>
          <w:lang w:val="en-IE" w:eastAsia="en-GB"/>
        </w:rPr>
        <w:t xml:space="preserve"> </w:t>
      </w:r>
      <w:r w:rsidRPr="00597A71">
        <w:rPr>
          <w:rFonts w:ascii="Times New Roman" w:eastAsia="Times New Roman" w:hAnsi="Times New Roman" w:cs="Times New Roman"/>
          <w:iCs/>
          <w:lang w:val="en-IE" w:eastAsia="en-GB"/>
        </w:rPr>
        <w:t>treatment is not sufficient.</w:t>
      </w:r>
    </w:p>
    <w:p w14:paraId="54F978A5" w14:textId="7CD251C2" w:rsidR="00597A71" w:rsidRPr="00597A71" w:rsidRDefault="00D43FD5"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The appellant has not demonstrated that the trial judge was in error in finding that the appellant was not at real risk of being subjected to inhuman and degrading treatment if he is returned to the USA for the purpose of a hearing into whether he has violated his parole.  The impugned risk is a risk that</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at the end of any period in custody to which the appellant may be sentenced</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he will be required to remain in Georgia under probation supervision</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and will</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as a consequence of the conditions of parole</w:t>
      </w:r>
      <w:r w:rsidR="005F278C">
        <w:rPr>
          <w:rFonts w:ascii="Times New Roman" w:eastAsia="Times New Roman" w:hAnsi="Times New Roman" w:cs="Times New Roman"/>
          <w:iCs/>
          <w:lang w:val="en-IE" w:eastAsia="en-GB"/>
        </w:rPr>
        <w:t>,</w:t>
      </w:r>
      <w:r w:rsidRPr="00597A71">
        <w:rPr>
          <w:rFonts w:ascii="Times New Roman" w:eastAsia="Times New Roman" w:hAnsi="Times New Roman" w:cs="Times New Roman"/>
          <w:iCs/>
          <w:lang w:val="en-IE" w:eastAsia="en-GB"/>
        </w:rPr>
        <w:t xml:space="preserve"> end up living in squalor and fear in a tent in a </w:t>
      </w:r>
      <w:r w:rsidR="007F557F" w:rsidRPr="00597A71">
        <w:rPr>
          <w:rFonts w:ascii="Times New Roman" w:eastAsia="Times New Roman" w:hAnsi="Times New Roman" w:cs="Times New Roman"/>
          <w:iCs/>
          <w:lang w:val="en-IE" w:eastAsia="en-GB"/>
        </w:rPr>
        <w:t xml:space="preserve">campground.  </w:t>
      </w:r>
      <w:r w:rsidR="0075022A" w:rsidRPr="00597A71">
        <w:rPr>
          <w:rFonts w:ascii="Times New Roman" w:eastAsia="Times New Roman" w:hAnsi="Times New Roman" w:cs="Times New Roman"/>
          <w:iCs/>
          <w:lang w:val="en-IE" w:eastAsia="en-GB"/>
        </w:rPr>
        <w:t xml:space="preserve">Even if it is accepted that living in </w:t>
      </w:r>
      <w:r w:rsidR="005F278C">
        <w:rPr>
          <w:rFonts w:ascii="Times New Roman" w:eastAsia="Times New Roman" w:hAnsi="Times New Roman" w:cs="Times New Roman"/>
          <w:iCs/>
          <w:lang w:val="en-IE" w:eastAsia="en-GB"/>
        </w:rPr>
        <w:t>a</w:t>
      </w:r>
      <w:r w:rsidR="0075022A" w:rsidRPr="00597A71">
        <w:rPr>
          <w:rFonts w:ascii="Times New Roman" w:eastAsia="Times New Roman" w:hAnsi="Times New Roman" w:cs="Times New Roman"/>
          <w:iCs/>
          <w:lang w:val="en-IE" w:eastAsia="en-GB"/>
        </w:rPr>
        <w:t xml:space="preserve"> </w:t>
      </w:r>
      <w:r w:rsidR="005F278C">
        <w:rPr>
          <w:rFonts w:ascii="Times New Roman" w:eastAsia="Times New Roman" w:hAnsi="Times New Roman" w:cs="Times New Roman"/>
          <w:iCs/>
          <w:lang w:val="en-IE" w:eastAsia="en-GB"/>
        </w:rPr>
        <w:t>c</w:t>
      </w:r>
      <w:r w:rsidR="0075022A" w:rsidRPr="00597A71">
        <w:rPr>
          <w:rFonts w:ascii="Times New Roman" w:eastAsia="Times New Roman" w:hAnsi="Times New Roman" w:cs="Times New Roman"/>
          <w:iCs/>
          <w:lang w:val="en-IE" w:eastAsia="en-GB"/>
        </w:rPr>
        <w:t xml:space="preserve">ampground in the circumstances </w:t>
      </w:r>
      <w:r w:rsidR="005A3CAF">
        <w:rPr>
          <w:rFonts w:ascii="Times New Roman" w:eastAsia="Times New Roman" w:hAnsi="Times New Roman" w:cs="Times New Roman"/>
          <w:iCs/>
          <w:lang w:val="en-IE" w:eastAsia="en-GB"/>
        </w:rPr>
        <w:t xml:space="preserve">in which </w:t>
      </w:r>
      <w:r w:rsidR="0075022A" w:rsidRPr="00597A71">
        <w:rPr>
          <w:rFonts w:ascii="Times New Roman" w:eastAsia="Times New Roman" w:hAnsi="Times New Roman" w:cs="Times New Roman"/>
          <w:iCs/>
          <w:lang w:val="en-IE" w:eastAsia="en-GB"/>
        </w:rPr>
        <w:lastRenderedPageBreak/>
        <w:t xml:space="preserve">the appellant found himself </w:t>
      </w:r>
      <w:r w:rsidR="00182456">
        <w:rPr>
          <w:rFonts w:ascii="Times New Roman" w:eastAsia="Times New Roman" w:hAnsi="Times New Roman" w:cs="Times New Roman"/>
          <w:iCs/>
          <w:lang w:val="en-IE" w:eastAsia="en-GB"/>
        </w:rPr>
        <w:t xml:space="preserve">is inhuman and degrading </w:t>
      </w:r>
      <w:r w:rsidR="0075022A" w:rsidRPr="00597A71">
        <w:rPr>
          <w:rFonts w:ascii="Times New Roman" w:eastAsia="Times New Roman" w:hAnsi="Times New Roman" w:cs="Times New Roman"/>
          <w:iCs/>
          <w:lang w:val="en-IE" w:eastAsia="en-GB"/>
        </w:rPr>
        <w:t xml:space="preserve">(and the Court expresses no conclusion on that), the risk that he might end up </w:t>
      </w:r>
      <w:r w:rsidR="009977C4">
        <w:rPr>
          <w:rFonts w:ascii="Times New Roman" w:eastAsia="Times New Roman" w:hAnsi="Times New Roman" w:cs="Times New Roman"/>
          <w:iCs/>
          <w:lang w:val="en-IE" w:eastAsia="en-GB"/>
        </w:rPr>
        <w:t>in such a similar situation</w:t>
      </w:r>
      <w:r w:rsidR="007F557F" w:rsidRPr="00597A71">
        <w:rPr>
          <w:rFonts w:ascii="Times New Roman" w:eastAsia="Times New Roman" w:hAnsi="Times New Roman" w:cs="Times New Roman"/>
          <w:iCs/>
          <w:lang w:val="en-IE" w:eastAsia="en-GB"/>
        </w:rPr>
        <w:t xml:space="preserve"> is too remote from the return by way of extradition to demonstrat</w:t>
      </w:r>
      <w:r w:rsidR="0075022A" w:rsidRPr="00597A71">
        <w:rPr>
          <w:rFonts w:ascii="Times New Roman" w:eastAsia="Times New Roman" w:hAnsi="Times New Roman" w:cs="Times New Roman"/>
          <w:iCs/>
          <w:lang w:val="en-IE" w:eastAsia="en-GB"/>
        </w:rPr>
        <w:t>e</w:t>
      </w:r>
      <w:r w:rsidR="007F557F" w:rsidRPr="00597A71">
        <w:rPr>
          <w:rFonts w:ascii="Times New Roman" w:eastAsia="Times New Roman" w:hAnsi="Times New Roman" w:cs="Times New Roman"/>
          <w:iCs/>
          <w:lang w:val="en-IE" w:eastAsia="en-GB"/>
        </w:rPr>
        <w:t xml:space="preserve"> substantial/reasonable grounds for believing that there is a real risk that he will be subjected to inhuman and degrading treatment on his return.</w:t>
      </w:r>
      <w:r w:rsidR="00D86556" w:rsidRPr="00597A71">
        <w:rPr>
          <w:rFonts w:ascii="Times New Roman" w:eastAsia="Times New Roman" w:hAnsi="Times New Roman" w:cs="Times New Roman"/>
          <w:iCs/>
          <w:lang w:val="en-IE" w:eastAsia="en-GB"/>
        </w:rPr>
        <w:t xml:space="preserve">  Another way of saying this is</w:t>
      </w:r>
      <w:r w:rsidR="005F278C">
        <w:rPr>
          <w:rFonts w:ascii="Times New Roman" w:eastAsia="Times New Roman" w:hAnsi="Times New Roman" w:cs="Times New Roman"/>
          <w:iCs/>
          <w:lang w:val="en-IE" w:eastAsia="en-GB"/>
        </w:rPr>
        <w:t xml:space="preserve"> stating</w:t>
      </w:r>
      <w:r w:rsidR="00D86556" w:rsidRPr="00597A71">
        <w:rPr>
          <w:rFonts w:ascii="Times New Roman" w:eastAsia="Times New Roman" w:hAnsi="Times New Roman" w:cs="Times New Roman"/>
          <w:iCs/>
          <w:lang w:val="en-IE" w:eastAsia="en-GB"/>
        </w:rPr>
        <w:t xml:space="preserve"> that the appellant</w:t>
      </w:r>
      <w:r w:rsidR="0075022A" w:rsidRPr="00597A71">
        <w:rPr>
          <w:rFonts w:ascii="Times New Roman" w:eastAsia="Times New Roman" w:hAnsi="Times New Roman" w:cs="Times New Roman"/>
          <w:iCs/>
          <w:lang w:val="en-IE" w:eastAsia="en-GB"/>
        </w:rPr>
        <w:t>’s</w:t>
      </w:r>
      <w:r w:rsidR="00D86556" w:rsidRPr="00597A71">
        <w:rPr>
          <w:rFonts w:ascii="Times New Roman" w:eastAsia="Times New Roman" w:hAnsi="Times New Roman" w:cs="Times New Roman"/>
          <w:iCs/>
          <w:lang w:val="en-IE" w:eastAsia="en-GB"/>
        </w:rPr>
        <w:t xml:space="preserve"> demonstrat</w:t>
      </w:r>
      <w:r w:rsidR="0075022A" w:rsidRPr="00597A71">
        <w:rPr>
          <w:rFonts w:ascii="Times New Roman" w:eastAsia="Times New Roman" w:hAnsi="Times New Roman" w:cs="Times New Roman"/>
          <w:iCs/>
          <w:lang w:val="en-IE" w:eastAsia="en-GB"/>
        </w:rPr>
        <w:t xml:space="preserve">ion of </w:t>
      </w:r>
      <w:r w:rsidR="00D86556" w:rsidRPr="00597A71">
        <w:rPr>
          <w:rFonts w:ascii="Times New Roman" w:eastAsia="Times New Roman" w:hAnsi="Times New Roman" w:cs="Times New Roman"/>
          <w:iCs/>
          <w:lang w:val="en-IE" w:eastAsia="en-GB"/>
        </w:rPr>
        <w:t xml:space="preserve">the possibility </w:t>
      </w:r>
      <w:r w:rsidR="0075022A" w:rsidRPr="00597A71">
        <w:rPr>
          <w:rFonts w:ascii="Times New Roman" w:eastAsia="Times New Roman" w:hAnsi="Times New Roman" w:cs="Times New Roman"/>
          <w:iCs/>
          <w:lang w:val="en-IE" w:eastAsia="en-GB"/>
        </w:rPr>
        <w:t>that he may be</w:t>
      </w:r>
      <w:r w:rsidR="006200C8" w:rsidRPr="00597A71">
        <w:rPr>
          <w:rFonts w:ascii="Times New Roman" w:eastAsia="Times New Roman" w:hAnsi="Times New Roman" w:cs="Times New Roman"/>
          <w:iCs/>
          <w:lang w:val="en-IE" w:eastAsia="en-GB"/>
        </w:rPr>
        <w:t xml:space="preserve"> </w:t>
      </w:r>
      <w:r w:rsidR="0075022A" w:rsidRPr="00597A71">
        <w:rPr>
          <w:rFonts w:ascii="Times New Roman" w:eastAsia="Times New Roman" w:hAnsi="Times New Roman" w:cs="Times New Roman"/>
          <w:iCs/>
          <w:lang w:val="en-IE" w:eastAsia="en-GB"/>
        </w:rPr>
        <w:t>subjected to inhuman and degrading i</w:t>
      </w:r>
      <w:r w:rsidR="00D86556" w:rsidRPr="00597A71">
        <w:rPr>
          <w:rFonts w:ascii="Times New Roman" w:eastAsia="Times New Roman" w:hAnsi="Times New Roman" w:cs="Times New Roman"/>
          <w:iCs/>
          <w:lang w:val="en-IE" w:eastAsia="en-GB"/>
        </w:rPr>
        <w:t>ll</w:t>
      </w:r>
      <w:r w:rsidR="005F278C">
        <w:rPr>
          <w:rFonts w:ascii="Times New Roman" w:eastAsia="Times New Roman" w:hAnsi="Times New Roman" w:cs="Times New Roman"/>
          <w:iCs/>
          <w:lang w:val="en-IE" w:eastAsia="en-GB"/>
        </w:rPr>
        <w:t xml:space="preserve"> </w:t>
      </w:r>
      <w:r w:rsidR="00D86556" w:rsidRPr="00597A71">
        <w:rPr>
          <w:rFonts w:ascii="Times New Roman" w:eastAsia="Times New Roman" w:hAnsi="Times New Roman" w:cs="Times New Roman"/>
          <w:iCs/>
          <w:lang w:val="en-IE" w:eastAsia="en-GB"/>
        </w:rPr>
        <w:t xml:space="preserve">treatment </w:t>
      </w:r>
      <w:r w:rsidR="0075022A" w:rsidRPr="00597A71">
        <w:rPr>
          <w:rFonts w:ascii="Times New Roman" w:eastAsia="Times New Roman" w:hAnsi="Times New Roman" w:cs="Times New Roman"/>
          <w:iCs/>
          <w:lang w:val="en-IE" w:eastAsia="en-GB"/>
        </w:rPr>
        <w:t xml:space="preserve">is not sufficient to </w:t>
      </w:r>
      <w:r w:rsidR="00D86556" w:rsidRPr="00597A71">
        <w:rPr>
          <w:rFonts w:ascii="Times New Roman" w:eastAsia="Times New Roman" w:hAnsi="Times New Roman" w:cs="Times New Roman"/>
          <w:iCs/>
          <w:lang w:val="en-IE" w:eastAsia="en-GB"/>
        </w:rPr>
        <w:t>demonstrate</w:t>
      </w:r>
      <w:r w:rsidR="0075022A" w:rsidRPr="00597A71">
        <w:rPr>
          <w:rFonts w:ascii="Times New Roman" w:eastAsia="Times New Roman" w:hAnsi="Times New Roman" w:cs="Times New Roman"/>
          <w:iCs/>
          <w:lang w:val="en-IE" w:eastAsia="en-GB"/>
        </w:rPr>
        <w:t xml:space="preserve"> that he is at real risk of such ill</w:t>
      </w:r>
      <w:r w:rsidR="005F278C">
        <w:rPr>
          <w:rFonts w:ascii="Times New Roman" w:eastAsia="Times New Roman" w:hAnsi="Times New Roman" w:cs="Times New Roman"/>
          <w:iCs/>
          <w:lang w:val="en-IE" w:eastAsia="en-GB"/>
        </w:rPr>
        <w:t xml:space="preserve"> </w:t>
      </w:r>
      <w:r w:rsidR="0075022A" w:rsidRPr="00597A71">
        <w:rPr>
          <w:rFonts w:ascii="Times New Roman" w:eastAsia="Times New Roman" w:hAnsi="Times New Roman" w:cs="Times New Roman"/>
          <w:iCs/>
          <w:lang w:val="en-IE" w:eastAsia="en-GB"/>
        </w:rPr>
        <w:t>treatment.</w:t>
      </w:r>
      <w:r w:rsidR="00044A08" w:rsidRPr="00597A71">
        <w:rPr>
          <w:rFonts w:ascii="Times New Roman" w:eastAsia="Times New Roman" w:hAnsi="Times New Roman" w:cs="Times New Roman"/>
          <w:iCs/>
          <w:lang w:val="en-IE" w:eastAsia="en-GB"/>
        </w:rPr>
        <w:t xml:space="preserve">  In those circumstances</w:t>
      </w:r>
      <w:r w:rsidR="005F278C">
        <w:rPr>
          <w:rFonts w:ascii="Times New Roman" w:eastAsia="Times New Roman" w:hAnsi="Times New Roman" w:cs="Times New Roman"/>
          <w:iCs/>
          <w:lang w:val="en-IE" w:eastAsia="en-GB"/>
        </w:rPr>
        <w:t>,</w:t>
      </w:r>
      <w:r w:rsidR="00044A08" w:rsidRPr="00597A71">
        <w:rPr>
          <w:rFonts w:ascii="Times New Roman" w:eastAsia="Times New Roman" w:hAnsi="Times New Roman" w:cs="Times New Roman"/>
          <w:iCs/>
          <w:lang w:val="en-IE" w:eastAsia="en-GB"/>
        </w:rPr>
        <w:t xml:space="preserve"> it is not necessary to answer the further questions that were raised in the preliminary ruling.  </w:t>
      </w:r>
    </w:p>
    <w:p w14:paraId="019630CE" w14:textId="77777777" w:rsidR="00D86556" w:rsidRPr="00597A71" w:rsidRDefault="00D86556" w:rsidP="00597A71">
      <w:pPr>
        <w:pStyle w:val="ListParagraph"/>
        <w:numPr>
          <w:ilvl w:val="0"/>
          <w:numId w:val="1"/>
        </w:numPr>
        <w:spacing w:line="480" w:lineRule="auto"/>
        <w:ind w:left="0" w:firstLine="0"/>
        <w:jc w:val="both"/>
        <w:rPr>
          <w:rFonts w:ascii="Times New Roman" w:hAnsi="Times New Roman" w:cs="Times New Roman"/>
        </w:rPr>
      </w:pPr>
      <w:r w:rsidRPr="00597A71">
        <w:rPr>
          <w:rFonts w:ascii="Times New Roman" w:eastAsia="Times New Roman" w:hAnsi="Times New Roman" w:cs="Times New Roman"/>
          <w:iCs/>
          <w:lang w:val="en-IE" w:eastAsia="en-GB"/>
        </w:rPr>
        <w:t>The appeal is dismissed.</w:t>
      </w:r>
    </w:p>
    <w:sectPr w:rsidR="00D86556" w:rsidRPr="00597A71" w:rsidSect="00EE6DFF">
      <w:head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3278" w14:textId="77777777" w:rsidR="00AA0A55" w:rsidRDefault="00AA0A55" w:rsidP="0021724D">
      <w:pPr>
        <w:spacing w:line="240" w:lineRule="auto"/>
      </w:pPr>
      <w:r>
        <w:separator/>
      </w:r>
    </w:p>
  </w:endnote>
  <w:endnote w:type="continuationSeparator" w:id="0">
    <w:p w14:paraId="0980D28C" w14:textId="77777777" w:rsidR="00AA0A55" w:rsidRDefault="00AA0A55" w:rsidP="00217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9E63" w14:textId="77777777" w:rsidR="00AA0A55" w:rsidRDefault="00AA0A55" w:rsidP="0021724D">
      <w:pPr>
        <w:spacing w:line="240" w:lineRule="auto"/>
      </w:pPr>
      <w:r>
        <w:separator/>
      </w:r>
    </w:p>
  </w:footnote>
  <w:footnote w:type="continuationSeparator" w:id="0">
    <w:p w14:paraId="7AD6671E" w14:textId="77777777" w:rsidR="00AA0A55" w:rsidRDefault="00AA0A55" w:rsidP="00217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546183"/>
      <w:docPartObj>
        <w:docPartGallery w:val="Page Numbers (Top of Page)"/>
        <w:docPartUnique/>
      </w:docPartObj>
    </w:sdtPr>
    <w:sdtEndPr>
      <w:rPr>
        <w:rFonts w:ascii="Times New Roman" w:hAnsi="Times New Roman" w:cs="Times New Roman"/>
        <w:noProof/>
        <w:sz w:val="22"/>
        <w:szCs w:val="22"/>
      </w:rPr>
    </w:sdtEndPr>
    <w:sdtContent>
      <w:p w14:paraId="34983594" w14:textId="77777777" w:rsidR="00AA0A55" w:rsidRPr="00EE6DFF" w:rsidRDefault="00AA0A55">
        <w:pPr>
          <w:pStyle w:val="Header"/>
          <w:jc w:val="center"/>
          <w:rPr>
            <w:rFonts w:ascii="Times New Roman" w:hAnsi="Times New Roman" w:cs="Times New Roman"/>
            <w:sz w:val="22"/>
            <w:szCs w:val="22"/>
          </w:rPr>
        </w:pPr>
        <w:r w:rsidRPr="00EE6DFF">
          <w:rPr>
            <w:rFonts w:ascii="Times New Roman" w:hAnsi="Times New Roman" w:cs="Times New Roman"/>
            <w:sz w:val="22"/>
            <w:szCs w:val="22"/>
          </w:rPr>
          <w:fldChar w:fldCharType="begin"/>
        </w:r>
        <w:r w:rsidRPr="00EE6DFF">
          <w:rPr>
            <w:rFonts w:ascii="Times New Roman" w:hAnsi="Times New Roman" w:cs="Times New Roman"/>
            <w:sz w:val="22"/>
            <w:szCs w:val="22"/>
          </w:rPr>
          <w:instrText xml:space="preserve"> PAGE   \* MERGEFORMAT </w:instrText>
        </w:r>
        <w:r w:rsidRPr="00EE6DFF">
          <w:rPr>
            <w:rFonts w:ascii="Times New Roman" w:hAnsi="Times New Roman" w:cs="Times New Roman"/>
            <w:sz w:val="22"/>
            <w:szCs w:val="22"/>
          </w:rPr>
          <w:fldChar w:fldCharType="separate"/>
        </w:r>
        <w:r w:rsidRPr="00EE6DFF">
          <w:rPr>
            <w:rFonts w:ascii="Times New Roman" w:hAnsi="Times New Roman" w:cs="Times New Roman"/>
            <w:noProof/>
            <w:sz w:val="22"/>
            <w:szCs w:val="22"/>
          </w:rPr>
          <w:t>2</w:t>
        </w:r>
        <w:r w:rsidRPr="00EE6DFF">
          <w:rPr>
            <w:rFonts w:ascii="Times New Roman" w:hAnsi="Times New Roman" w:cs="Times New Roman"/>
            <w:noProof/>
            <w:sz w:val="22"/>
            <w:szCs w:val="22"/>
          </w:rPr>
          <w:fldChar w:fldCharType="end"/>
        </w:r>
      </w:p>
    </w:sdtContent>
  </w:sdt>
  <w:p w14:paraId="4E4C4FB9" w14:textId="77777777" w:rsidR="00AA0A55" w:rsidRDefault="00AA0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667B5"/>
    <w:multiLevelType w:val="hybridMultilevel"/>
    <w:tmpl w:val="D33AF016"/>
    <w:lvl w:ilvl="0" w:tplc="C91476CC">
      <w:start w:val="1"/>
      <w:numFmt w:val="lowerRoman"/>
      <w:lvlText w:val="%1)"/>
      <w:lvlJc w:val="left"/>
      <w:pPr>
        <w:ind w:left="2148" w:hanging="720"/>
      </w:pPr>
      <w:rPr>
        <w:rFonts w:hint="default"/>
      </w:rPr>
    </w:lvl>
    <w:lvl w:ilvl="1" w:tplc="18090019" w:tentative="1">
      <w:start w:val="1"/>
      <w:numFmt w:val="lowerLetter"/>
      <w:lvlText w:val="%2."/>
      <w:lvlJc w:val="left"/>
      <w:pPr>
        <w:ind w:left="2508" w:hanging="360"/>
      </w:pPr>
    </w:lvl>
    <w:lvl w:ilvl="2" w:tplc="1809001B" w:tentative="1">
      <w:start w:val="1"/>
      <w:numFmt w:val="lowerRoman"/>
      <w:lvlText w:val="%3."/>
      <w:lvlJc w:val="right"/>
      <w:pPr>
        <w:ind w:left="3228" w:hanging="180"/>
      </w:pPr>
    </w:lvl>
    <w:lvl w:ilvl="3" w:tplc="1809000F" w:tentative="1">
      <w:start w:val="1"/>
      <w:numFmt w:val="decimal"/>
      <w:lvlText w:val="%4."/>
      <w:lvlJc w:val="left"/>
      <w:pPr>
        <w:ind w:left="3948" w:hanging="360"/>
      </w:pPr>
    </w:lvl>
    <w:lvl w:ilvl="4" w:tplc="18090019" w:tentative="1">
      <w:start w:val="1"/>
      <w:numFmt w:val="lowerLetter"/>
      <w:lvlText w:val="%5."/>
      <w:lvlJc w:val="left"/>
      <w:pPr>
        <w:ind w:left="4668" w:hanging="360"/>
      </w:pPr>
    </w:lvl>
    <w:lvl w:ilvl="5" w:tplc="1809001B" w:tentative="1">
      <w:start w:val="1"/>
      <w:numFmt w:val="lowerRoman"/>
      <w:lvlText w:val="%6."/>
      <w:lvlJc w:val="right"/>
      <w:pPr>
        <w:ind w:left="5388" w:hanging="180"/>
      </w:pPr>
    </w:lvl>
    <w:lvl w:ilvl="6" w:tplc="1809000F" w:tentative="1">
      <w:start w:val="1"/>
      <w:numFmt w:val="decimal"/>
      <w:lvlText w:val="%7."/>
      <w:lvlJc w:val="left"/>
      <w:pPr>
        <w:ind w:left="6108" w:hanging="360"/>
      </w:pPr>
    </w:lvl>
    <w:lvl w:ilvl="7" w:tplc="18090019" w:tentative="1">
      <w:start w:val="1"/>
      <w:numFmt w:val="lowerLetter"/>
      <w:lvlText w:val="%8."/>
      <w:lvlJc w:val="left"/>
      <w:pPr>
        <w:ind w:left="6828" w:hanging="360"/>
      </w:pPr>
    </w:lvl>
    <w:lvl w:ilvl="8" w:tplc="1809001B" w:tentative="1">
      <w:start w:val="1"/>
      <w:numFmt w:val="lowerRoman"/>
      <w:lvlText w:val="%9."/>
      <w:lvlJc w:val="right"/>
      <w:pPr>
        <w:ind w:left="7548" w:hanging="180"/>
      </w:pPr>
    </w:lvl>
  </w:abstractNum>
  <w:abstractNum w:abstractNumId="1" w15:restartNumberingAfterBreak="0">
    <w:nsid w:val="3D1500B1"/>
    <w:multiLevelType w:val="hybridMultilevel"/>
    <w:tmpl w:val="7DD837FE"/>
    <w:lvl w:ilvl="0" w:tplc="A8903556">
      <w:start w:val="1"/>
      <w:numFmt w:val="lowerLetter"/>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2" w15:restartNumberingAfterBreak="0">
    <w:nsid w:val="53A36E4D"/>
    <w:multiLevelType w:val="hybridMultilevel"/>
    <w:tmpl w:val="001A5BDC"/>
    <w:lvl w:ilvl="0" w:tplc="BEF67072">
      <w:start w:val="1"/>
      <w:numFmt w:val="decimal"/>
      <w:lvlText w:val="%1."/>
      <w:lvlJc w:val="left"/>
      <w:pPr>
        <w:ind w:left="1068" w:hanging="360"/>
      </w:pPr>
      <w:rPr>
        <w:rFonts w:hint="default"/>
        <w:b/>
        <w:bCs/>
        <w:i w:val="0"/>
        <w:iCs/>
      </w:rPr>
    </w:lvl>
    <w:lvl w:ilvl="1" w:tplc="18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247FED"/>
    <w:multiLevelType w:val="hybridMultilevel"/>
    <w:tmpl w:val="1A569C2A"/>
    <w:lvl w:ilvl="0" w:tplc="3C5C0708">
      <w:start w:val="1"/>
      <w:numFmt w:val="lowerLetter"/>
      <w:lvlText w:val="%1)"/>
      <w:lvlJc w:val="left"/>
      <w:pPr>
        <w:ind w:left="1428" w:hanging="360"/>
      </w:pPr>
      <w:rPr>
        <w:rFonts w:hint="default"/>
      </w:rPr>
    </w:lvl>
    <w:lvl w:ilvl="1" w:tplc="18090019">
      <w:start w:val="1"/>
      <w:numFmt w:val="lowerLetter"/>
      <w:lvlText w:val="%2."/>
      <w:lvlJc w:val="left"/>
      <w:pPr>
        <w:ind w:left="2148" w:hanging="360"/>
      </w:pPr>
    </w:lvl>
    <w:lvl w:ilvl="2" w:tplc="1809001B" w:tentative="1">
      <w:start w:val="1"/>
      <w:numFmt w:val="lowerRoman"/>
      <w:lvlText w:val="%3."/>
      <w:lvlJc w:val="right"/>
      <w:pPr>
        <w:ind w:left="2868" w:hanging="180"/>
      </w:pPr>
    </w:lvl>
    <w:lvl w:ilvl="3" w:tplc="1809000F" w:tentative="1">
      <w:start w:val="1"/>
      <w:numFmt w:val="decimal"/>
      <w:lvlText w:val="%4."/>
      <w:lvlJc w:val="left"/>
      <w:pPr>
        <w:ind w:left="3588" w:hanging="360"/>
      </w:pPr>
    </w:lvl>
    <w:lvl w:ilvl="4" w:tplc="18090019" w:tentative="1">
      <w:start w:val="1"/>
      <w:numFmt w:val="lowerLetter"/>
      <w:lvlText w:val="%5."/>
      <w:lvlJc w:val="left"/>
      <w:pPr>
        <w:ind w:left="4308" w:hanging="360"/>
      </w:pPr>
    </w:lvl>
    <w:lvl w:ilvl="5" w:tplc="1809001B" w:tentative="1">
      <w:start w:val="1"/>
      <w:numFmt w:val="lowerRoman"/>
      <w:lvlText w:val="%6."/>
      <w:lvlJc w:val="right"/>
      <w:pPr>
        <w:ind w:left="5028" w:hanging="180"/>
      </w:pPr>
    </w:lvl>
    <w:lvl w:ilvl="6" w:tplc="1809000F" w:tentative="1">
      <w:start w:val="1"/>
      <w:numFmt w:val="decimal"/>
      <w:lvlText w:val="%7."/>
      <w:lvlJc w:val="left"/>
      <w:pPr>
        <w:ind w:left="5748" w:hanging="360"/>
      </w:pPr>
    </w:lvl>
    <w:lvl w:ilvl="7" w:tplc="18090019" w:tentative="1">
      <w:start w:val="1"/>
      <w:numFmt w:val="lowerLetter"/>
      <w:lvlText w:val="%8."/>
      <w:lvlJc w:val="left"/>
      <w:pPr>
        <w:ind w:left="6468" w:hanging="360"/>
      </w:pPr>
    </w:lvl>
    <w:lvl w:ilvl="8" w:tplc="1809001B" w:tentative="1">
      <w:start w:val="1"/>
      <w:numFmt w:val="lowerRoman"/>
      <w:lvlText w:val="%9."/>
      <w:lvlJc w:val="right"/>
      <w:pPr>
        <w:ind w:left="7188" w:hanging="180"/>
      </w:pPr>
    </w:lvl>
  </w:abstractNum>
  <w:abstractNum w:abstractNumId="4" w15:restartNumberingAfterBreak="0">
    <w:nsid w:val="7EB82DB4"/>
    <w:multiLevelType w:val="hybridMultilevel"/>
    <w:tmpl w:val="A38E1474"/>
    <w:lvl w:ilvl="0" w:tplc="8F5C57B2">
      <w:start w:val="1"/>
      <w:numFmt w:val="lowerLetter"/>
      <w:lvlText w:val="%1)"/>
      <w:lvlJc w:val="left"/>
      <w:pPr>
        <w:ind w:left="1211" w:hanging="36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0779EC-034A-464A-9501-82A5BFAC3381}"/>
    <w:docVar w:name="dgnword-eventsink" w:val="1373185654464"/>
  </w:docVars>
  <w:rsids>
    <w:rsidRoot w:val="00CF18BD"/>
    <w:rsid w:val="00011F24"/>
    <w:rsid w:val="00020DF2"/>
    <w:rsid w:val="00031D30"/>
    <w:rsid w:val="00034214"/>
    <w:rsid w:val="00036311"/>
    <w:rsid w:val="00044A08"/>
    <w:rsid w:val="00066AD7"/>
    <w:rsid w:val="000C5C29"/>
    <w:rsid w:val="000E5A80"/>
    <w:rsid w:val="000F1ABD"/>
    <w:rsid w:val="000F6556"/>
    <w:rsid w:val="000F7A5C"/>
    <w:rsid w:val="00101CA5"/>
    <w:rsid w:val="00161A1F"/>
    <w:rsid w:val="00163F25"/>
    <w:rsid w:val="0016746E"/>
    <w:rsid w:val="00182456"/>
    <w:rsid w:val="00184E71"/>
    <w:rsid w:val="001A393D"/>
    <w:rsid w:val="001B76F7"/>
    <w:rsid w:val="001D06DC"/>
    <w:rsid w:val="001E3109"/>
    <w:rsid w:val="001E56BC"/>
    <w:rsid w:val="001F6588"/>
    <w:rsid w:val="00202C00"/>
    <w:rsid w:val="00205B5B"/>
    <w:rsid w:val="0021724D"/>
    <w:rsid w:val="00220804"/>
    <w:rsid w:val="00235CE8"/>
    <w:rsid w:val="00247A55"/>
    <w:rsid w:val="002526A8"/>
    <w:rsid w:val="00286569"/>
    <w:rsid w:val="00290F95"/>
    <w:rsid w:val="002A6D2B"/>
    <w:rsid w:val="002C7CBD"/>
    <w:rsid w:val="002D0B98"/>
    <w:rsid w:val="002D2D8B"/>
    <w:rsid w:val="002D77F5"/>
    <w:rsid w:val="002E3B5E"/>
    <w:rsid w:val="002F114C"/>
    <w:rsid w:val="0032214B"/>
    <w:rsid w:val="00322A82"/>
    <w:rsid w:val="00323027"/>
    <w:rsid w:val="00351809"/>
    <w:rsid w:val="00357E01"/>
    <w:rsid w:val="00361035"/>
    <w:rsid w:val="00380908"/>
    <w:rsid w:val="003B3A26"/>
    <w:rsid w:val="003B7669"/>
    <w:rsid w:val="003E1FE7"/>
    <w:rsid w:val="003E72A4"/>
    <w:rsid w:val="00431347"/>
    <w:rsid w:val="004626AE"/>
    <w:rsid w:val="00471404"/>
    <w:rsid w:val="004767CC"/>
    <w:rsid w:val="0049521E"/>
    <w:rsid w:val="004B7639"/>
    <w:rsid w:val="004C516F"/>
    <w:rsid w:val="004F764B"/>
    <w:rsid w:val="00507ED3"/>
    <w:rsid w:val="00512C64"/>
    <w:rsid w:val="00515263"/>
    <w:rsid w:val="005152CE"/>
    <w:rsid w:val="00516D58"/>
    <w:rsid w:val="00521E45"/>
    <w:rsid w:val="005220D9"/>
    <w:rsid w:val="00522C52"/>
    <w:rsid w:val="0052505F"/>
    <w:rsid w:val="00536EB1"/>
    <w:rsid w:val="005431B2"/>
    <w:rsid w:val="0055132A"/>
    <w:rsid w:val="0055182F"/>
    <w:rsid w:val="0057031F"/>
    <w:rsid w:val="00583F44"/>
    <w:rsid w:val="00584E9C"/>
    <w:rsid w:val="00587DEF"/>
    <w:rsid w:val="00597A71"/>
    <w:rsid w:val="005A1E9C"/>
    <w:rsid w:val="005A3CAF"/>
    <w:rsid w:val="005E2CAA"/>
    <w:rsid w:val="005F278C"/>
    <w:rsid w:val="00610BBF"/>
    <w:rsid w:val="006200C8"/>
    <w:rsid w:val="00623044"/>
    <w:rsid w:val="00626393"/>
    <w:rsid w:val="006349D6"/>
    <w:rsid w:val="00646ED0"/>
    <w:rsid w:val="00660B56"/>
    <w:rsid w:val="00670AB8"/>
    <w:rsid w:val="0067277C"/>
    <w:rsid w:val="0067660F"/>
    <w:rsid w:val="006810F8"/>
    <w:rsid w:val="0068260E"/>
    <w:rsid w:val="0069435E"/>
    <w:rsid w:val="006967FB"/>
    <w:rsid w:val="006A4234"/>
    <w:rsid w:val="006C5B04"/>
    <w:rsid w:val="006D2E23"/>
    <w:rsid w:val="006E3C13"/>
    <w:rsid w:val="006E5125"/>
    <w:rsid w:val="006F7E07"/>
    <w:rsid w:val="00701BFB"/>
    <w:rsid w:val="00706478"/>
    <w:rsid w:val="0072140C"/>
    <w:rsid w:val="0075022A"/>
    <w:rsid w:val="00772414"/>
    <w:rsid w:val="00774587"/>
    <w:rsid w:val="00781511"/>
    <w:rsid w:val="0079011D"/>
    <w:rsid w:val="00793B76"/>
    <w:rsid w:val="00797FE6"/>
    <w:rsid w:val="007A5262"/>
    <w:rsid w:val="007A53A2"/>
    <w:rsid w:val="007B47D4"/>
    <w:rsid w:val="007C611F"/>
    <w:rsid w:val="007E2458"/>
    <w:rsid w:val="007F557F"/>
    <w:rsid w:val="00805880"/>
    <w:rsid w:val="00820C9A"/>
    <w:rsid w:val="00827308"/>
    <w:rsid w:val="008335DB"/>
    <w:rsid w:val="00841906"/>
    <w:rsid w:val="00853105"/>
    <w:rsid w:val="00857E16"/>
    <w:rsid w:val="00875E93"/>
    <w:rsid w:val="008778A7"/>
    <w:rsid w:val="00887846"/>
    <w:rsid w:val="008A268C"/>
    <w:rsid w:val="008C683F"/>
    <w:rsid w:val="008D0951"/>
    <w:rsid w:val="008D34E4"/>
    <w:rsid w:val="008E073E"/>
    <w:rsid w:val="008E6B8A"/>
    <w:rsid w:val="008F4B6A"/>
    <w:rsid w:val="0091082F"/>
    <w:rsid w:val="00934931"/>
    <w:rsid w:val="00953E79"/>
    <w:rsid w:val="0095771C"/>
    <w:rsid w:val="00963749"/>
    <w:rsid w:val="00985A3A"/>
    <w:rsid w:val="0099095D"/>
    <w:rsid w:val="00990A23"/>
    <w:rsid w:val="0099713C"/>
    <w:rsid w:val="009977C4"/>
    <w:rsid w:val="009A121A"/>
    <w:rsid w:val="009B57BB"/>
    <w:rsid w:val="009C38D1"/>
    <w:rsid w:val="009E3476"/>
    <w:rsid w:val="009F07FF"/>
    <w:rsid w:val="009F59F3"/>
    <w:rsid w:val="00A26FA9"/>
    <w:rsid w:val="00A31EF9"/>
    <w:rsid w:val="00A5013E"/>
    <w:rsid w:val="00A661CD"/>
    <w:rsid w:val="00A714BC"/>
    <w:rsid w:val="00A86194"/>
    <w:rsid w:val="00A90A3C"/>
    <w:rsid w:val="00AA0A55"/>
    <w:rsid w:val="00AA1845"/>
    <w:rsid w:val="00AB41EE"/>
    <w:rsid w:val="00AC7278"/>
    <w:rsid w:val="00AD577D"/>
    <w:rsid w:val="00AF3378"/>
    <w:rsid w:val="00B00454"/>
    <w:rsid w:val="00B176D7"/>
    <w:rsid w:val="00B20AA0"/>
    <w:rsid w:val="00B2183A"/>
    <w:rsid w:val="00B44444"/>
    <w:rsid w:val="00B466AC"/>
    <w:rsid w:val="00B61D7F"/>
    <w:rsid w:val="00B83965"/>
    <w:rsid w:val="00BA1631"/>
    <w:rsid w:val="00BA17E5"/>
    <w:rsid w:val="00BB6FD9"/>
    <w:rsid w:val="00BD6A5E"/>
    <w:rsid w:val="00BE6BEA"/>
    <w:rsid w:val="00BF5039"/>
    <w:rsid w:val="00C0241D"/>
    <w:rsid w:val="00C0433F"/>
    <w:rsid w:val="00C11C1C"/>
    <w:rsid w:val="00C202AD"/>
    <w:rsid w:val="00C21ABC"/>
    <w:rsid w:val="00C33EFF"/>
    <w:rsid w:val="00C376AC"/>
    <w:rsid w:val="00C44EF3"/>
    <w:rsid w:val="00C503C1"/>
    <w:rsid w:val="00C511A7"/>
    <w:rsid w:val="00C63C2B"/>
    <w:rsid w:val="00C6788F"/>
    <w:rsid w:val="00C779BE"/>
    <w:rsid w:val="00C84411"/>
    <w:rsid w:val="00C96948"/>
    <w:rsid w:val="00CA5DAF"/>
    <w:rsid w:val="00CB44D6"/>
    <w:rsid w:val="00CB475D"/>
    <w:rsid w:val="00CB76D3"/>
    <w:rsid w:val="00CC1E2A"/>
    <w:rsid w:val="00CF18BD"/>
    <w:rsid w:val="00CF3156"/>
    <w:rsid w:val="00CF62D7"/>
    <w:rsid w:val="00D11E96"/>
    <w:rsid w:val="00D17402"/>
    <w:rsid w:val="00D33948"/>
    <w:rsid w:val="00D425CD"/>
    <w:rsid w:val="00D43FD5"/>
    <w:rsid w:val="00D46515"/>
    <w:rsid w:val="00D60E9B"/>
    <w:rsid w:val="00D61370"/>
    <w:rsid w:val="00D67827"/>
    <w:rsid w:val="00D86556"/>
    <w:rsid w:val="00DB03AA"/>
    <w:rsid w:val="00DB54B5"/>
    <w:rsid w:val="00DC26A9"/>
    <w:rsid w:val="00DC3CB5"/>
    <w:rsid w:val="00DC4A1A"/>
    <w:rsid w:val="00DD2255"/>
    <w:rsid w:val="00E0195F"/>
    <w:rsid w:val="00E12BB3"/>
    <w:rsid w:val="00E27440"/>
    <w:rsid w:val="00E410F0"/>
    <w:rsid w:val="00E55BF5"/>
    <w:rsid w:val="00E600C5"/>
    <w:rsid w:val="00E65E07"/>
    <w:rsid w:val="00E711E7"/>
    <w:rsid w:val="00E767BC"/>
    <w:rsid w:val="00E7740E"/>
    <w:rsid w:val="00E8763E"/>
    <w:rsid w:val="00E95446"/>
    <w:rsid w:val="00EB5EF7"/>
    <w:rsid w:val="00ED05A9"/>
    <w:rsid w:val="00EE6DFF"/>
    <w:rsid w:val="00EE75EE"/>
    <w:rsid w:val="00EF1235"/>
    <w:rsid w:val="00EF48D7"/>
    <w:rsid w:val="00F07454"/>
    <w:rsid w:val="00F213FD"/>
    <w:rsid w:val="00F249AB"/>
    <w:rsid w:val="00F45AC0"/>
    <w:rsid w:val="00F541E6"/>
    <w:rsid w:val="00F9298F"/>
    <w:rsid w:val="00F96A23"/>
    <w:rsid w:val="00FA6A87"/>
    <w:rsid w:val="00FB02BF"/>
    <w:rsid w:val="00FB0580"/>
    <w:rsid w:val="00FE3BCE"/>
    <w:rsid w:val="00FF0424"/>
    <w:rsid w:val="00FF44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6784D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BD"/>
    <w:pPr>
      <w:spacing w:after="0" w:line="300" w:lineRule="auto"/>
    </w:pPr>
    <w:rPr>
      <w:rFonts w:ascii="Goudy Old Style" w:hAnsi="Goudy Old Style" w:cs="Times New Roman (Body CS)"/>
      <w:sz w:val="24"/>
      <w:szCs w:val="24"/>
      <w:lang w:val="en-GB"/>
    </w:rPr>
  </w:style>
  <w:style w:type="paragraph" w:styleId="Heading2">
    <w:name w:val="heading 2"/>
    <w:basedOn w:val="Normal"/>
    <w:next w:val="Normal"/>
    <w:link w:val="Heading2Char"/>
    <w:uiPriority w:val="9"/>
    <w:unhideWhenUsed/>
    <w:qFormat/>
    <w:rsid w:val="00CF18BD"/>
    <w:pPr>
      <w:keepNext/>
      <w:keepLines/>
      <w:spacing w:before="40"/>
      <w:jc w:val="center"/>
      <w:outlineLvl w:val="1"/>
    </w:pPr>
    <w:rPr>
      <w:rFonts w:eastAsiaTheme="majorEastAsia" w:cstheme="majorBidi"/>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8BD"/>
    <w:rPr>
      <w:rFonts w:ascii="Goudy Old Style" w:eastAsiaTheme="majorEastAsia" w:hAnsi="Goudy Old Style" w:cstheme="majorBidi"/>
      <w:b/>
      <w:bCs/>
      <w:color w:val="000000" w:themeColor="text1"/>
      <w:sz w:val="26"/>
      <w:szCs w:val="26"/>
      <w:u w:val="single"/>
      <w:lang w:val="en-GB"/>
    </w:rPr>
  </w:style>
  <w:style w:type="paragraph" w:styleId="ListParagraph">
    <w:name w:val="List Paragraph"/>
    <w:basedOn w:val="Normal"/>
    <w:uiPriority w:val="34"/>
    <w:qFormat/>
    <w:rsid w:val="00CF18BD"/>
    <w:pPr>
      <w:ind w:left="720"/>
      <w:contextualSpacing/>
    </w:pPr>
  </w:style>
  <w:style w:type="paragraph" w:styleId="Header">
    <w:name w:val="header"/>
    <w:basedOn w:val="Normal"/>
    <w:link w:val="HeaderChar"/>
    <w:uiPriority w:val="99"/>
    <w:unhideWhenUsed/>
    <w:rsid w:val="0021724D"/>
    <w:pPr>
      <w:tabs>
        <w:tab w:val="center" w:pos="4513"/>
        <w:tab w:val="right" w:pos="9026"/>
      </w:tabs>
      <w:spacing w:line="240" w:lineRule="auto"/>
    </w:pPr>
  </w:style>
  <w:style w:type="character" w:customStyle="1" w:styleId="HeaderChar">
    <w:name w:val="Header Char"/>
    <w:basedOn w:val="DefaultParagraphFont"/>
    <w:link w:val="Header"/>
    <w:uiPriority w:val="99"/>
    <w:rsid w:val="0021724D"/>
    <w:rPr>
      <w:rFonts w:ascii="Goudy Old Style" w:hAnsi="Goudy Old Style" w:cs="Times New Roman (Body CS)"/>
      <w:sz w:val="24"/>
      <w:szCs w:val="24"/>
      <w:lang w:val="en-GB"/>
    </w:rPr>
  </w:style>
  <w:style w:type="paragraph" w:styleId="Footer">
    <w:name w:val="footer"/>
    <w:basedOn w:val="Normal"/>
    <w:link w:val="FooterChar"/>
    <w:uiPriority w:val="99"/>
    <w:unhideWhenUsed/>
    <w:rsid w:val="0021724D"/>
    <w:pPr>
      <w:tabs>
        <w:tab w:val="center" w:pos="4513"/>
        <w:tab w:val="right" w:pos="9026"/>
      </w:tabs>
      <w:spacing w:line="240" w:lineRule="auto"/>
    </w:pPr>
  </w:style>
  <w:style w:type="character" w:customStyle="1" w:styleId="FooterChar">
    <w:name w:val="Footer Char"/>
    <w:basedOn w:val="DefaultParagraphFont"/>
    <w:link w:val="Footer"/>
    <w:uiPriority w:val="99"/>
    <w:rsid w:val="0021724D"/>
    <w:rPr>
      <w:rFonts w:ascii="Goudy Old Style" w:hAnsi="Goudy Old Style" w:cs="Times New Roman (Body CS)"/>
      <w:sz w:val="24"/>
      <w:szCs w:val="24"/>
      <w:lang w:val="en-GB"/>
    </w:rPr>
  </w:style>
  <w:style w:type="paragraph" w:styleId="BalloonText">
    <w:name w:val="Balloon Text"/>
    <w:basedOn w:val="Normal"/>
    <w:link w:val="BalloonTextChar"/>
    <w:uiPriority w:val="99"/>
    <w:semiHidden/>
    <w:unhideWhenUsed/>
    <w:rsid w:val="008E07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73E"/>
    <w:rPr>
      <w:rFonts w:ascii="Segoe UI" w:hAnsi="Segoe UI" w:cs="Segoe UI"/>
      <w:sz w:val="18"/>
      <w:szCs w:val="18"/>
      <w:lang w:val="en-GB"/>
    </w:rPr>
  </w:style>
  <w:style w:type="character" w:styleId="CommentReference">
    <w:name w:val="annotation reference"/>
    <w:basedOn w:val="DefaultParagraphFont"/>
    <w:uiPriority w:val="99"/>
    <w:semiHidden/>
    <w:unhideWhenUsed/>
    <w:rsid w:val="006810F8"/>
    <w:rPr>
      <w:sz w:val="16"/>
      <w:szCs w:val="16"/>
    </w:rPr>
  </w:style>
  <w:style w:type="paragraph" w:styleId="CommentText">
    <w:name w:val="annotation text"/>
    <w:basedOn w:val="Normal"/>
    <w:link w:val="CommentTextChar"/>
    <w:uiPriority w:val="99"/>
    <w:semiHidden/>
    <w:unhideWhenUsed/>
    <w:rsid w:val="006810F8"/>
    <w:pPr>
      <w:spacing w:line="240" w:lineRule="auto"/>
    </w:pPr>
    <w:rPr>
      <w:sz w:val="20"/>
      <w:szCs w:val="20"/>
    </w:rPr>
  </w:style>
  <w:style w:type="character" w:customStyle="1" w:styleId="CommentTextChar">
    <w:name w:val="Comment Text Char"/>
    <w:basedOn w:val="DefaultParagraphFont"/>
    <w:link w:val="CommentText"/>
    <w:uiPriority w:val="99"/>
    <w:semiHidden/>
    <w:rsid w:val="006810F8"/>
    <w:rPr>
      <w:rFonts w:ascii="Goudy Old Style" w:hAnsi="Goudy Old Style" w:cs="Times New Roman (Body CS)"/>
      <w:sz w:val="20"/>
      <w:szCs w:val="20"/>
      <w:lang w:val="en-GB"/>
    </w:rPr>
  </w:style>
  <w:style w:type="paragraph" w:styleId="CommentSubject">
    <w:name w:val="annotation subject"/>
    <w:basedOn w:val="CommentText"/>
    <w:next w:val="CommentText"/>
    <w:link w:val="CommentSubjectChar"/>
    <w:uiPriority w:val="99"/>
    <w:semiHidden/>
    <w:unhideWhenUsed/>
    <w:rsid w:val="006810F8"/>
    <w:rPr>
      <w:b/>
      <w:bCs/>
    </w:rPr>
  </w:style>
  <w:style w:type="character" w:customStyle="1" w:styleId="CommentSubjectChar">
    <w:name w:val="Comment Subject Char"/>
    <w:basedOn w:val="CommentTextChar"/>
    <w:link w:val="CommentSubject"/>
    <w:uiPriority w:val="99"/>
    <w:semiHidden/>
    <w:rsid w:val="006810F8"/>
    <w:rPr>
      <w:rFonts w:ascii="Goudy Old Style" w:hAnsi="Goudy Old Style" w:cs="Times New Roman (Body CS)"/>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7AAA-1879-46B9-BFD8-D5D38E70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7917</Words>
  <Characters>45128</Characters>
  <Application>Microsoft Office Word</Application>
  <DocSecurity>0</DocSecurity>
  <Lines>376</Lines>
  <Paragraphs>105</Paragraphs>
  <ScaleCrop>false</ScaleCrop>
  <Company/>
  <LinksUpToDate>false</LinksUpToDate>
  <CharactersWithSpaces>52940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2022-06-30T10:43:00Z</dcterms:created>
  <dcterms:modified xsi:type="dcterms:W3CDTF">2022-06-30T10:43:00Z</dcterms:modified>
</cp:coreProperties>
</file>