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7C4D" w14:textId="77777777" w:rsidR="00292C34" w:rsidRPr="00292C34" w:rsidRDefault="00292C34" w:rsidP="00292C34">
      <w:pPr>
        <w:pStyle w:val="NormalWeb"/>
        <w:spacing w:before="0" w:beforeAutospacing="0" w:after="0" w:afterAutospacing="0" w:line="480" w:lineRule="auto"/>
        <w:jc w:val="center"/>
        <w:rPr>
          <w:b/>
          <w:color w:val="000000"/>
          <w:sz w:val="32"/>
          <w:szCs w:val="32"/>
        </w:rPr>
      </w:pPr>
      <w:r w:rsidRPr="00292C34">
        <w:rPr>
          <w:b/>
          <w:color w:val="000000"/>
          <w:sz w:val="32"/>
          <w:szCs w:val="32"/>
        </w:rPr>
        <w:t>THE HIGH COURT</w:t>
      </w:r>
    </w:p>
    <w:p w14:paraId="61AEEB3D" w14:textId="77777777" w:rsidR="00C46B47" w:rsidRDefault="00C46B47" w:rsidP="00292C34">
      <w:pPr>
        <w:pStyle w:val="NormalWeb"/>
        <w:spacing w:before="0" w:beforeAutospacing="0" w:after="0" w:afterAutospacing="0"/>
        <w:jc w:val="right"/>
        <w:rPr>
          <w:b/>
          <w:color w:val="000000"/>
        </w:rPr>
      </w:pPr>
      <w:r>
        <w:rPr>
          <w:b/>
          <w:color w:val="000000"/>
        </w:rPr>
        <w:t>[2022] IEHC 311</w:t>
      </w:r>
    </w:p>
    <w:p w14:paraId="5C834241" w14:textId="02ED38F6" w:rsidR="00292C34" w:rsidRPr="00292C34" w:rsidRDefault="00292C34" w:rsidP="00292C34">
      <w:pPr>
        <w:pStyle w:val="NormalWeb"/>
        <w:spacing w:before="0" w:beforeAutospacing="0" w:after="0" w:afterAutospacing="0"/>
        <w:jc w:val="right"/>
        <w:rPr>
          <w:b/>
          <w:color w:val="000000"/>
        </w:rPr>
      </w:pPr>
      <w:r w:rsidRPr="00292C34">
        <w:rPr>
          <w:b/>
          <w:color w:val="000000"/>
        </w:rPr>
        <w:t>[20</w:t>
      </w:r>
      <w:r w:rsidR="00253C65">
        <w:rPr>
          <w:b/>
          <w:color w:val="000000"/>
        </w:rPr>
        <w:t>2</w:t>
      </w:r>
      <w:r w:rsidRPr="00292C34">
        <w:rPr>
          <w:b/>
          <w:color w:val="000000"/>
        </w:rPr>
        <w:t>1/75 P]</w:t>
      </w:r>
    </w:p>
    <w:p w14:paraId="32919EDE" w14:textId="3014B706" w:rsidR="00292C34" w:rsidRPr="00292C34" w:rsidRDefault="00292C34" w:rsidP="00292C34">
      <w:pPr>
        <w:pStyle w:val="NormalWeb"/>
        <w:spacing w:before="0" w:beforeAutospacing="0" w:after="0" w:afterAutospacing="0"/>
        <w:jc w:val="right"/>
        <w:rPr>
          <w:b/>
          <w:color w:val="000000"/>
        </w:rPr>
      </w:pPr>
      <w:r w:rsidRPr="00292C34">
        <w:rPr>
          <w:b/>
          <w:color w:val="000000"/>
        </w:rPr>
        <w:t>[20</w:t>
      </w:r>
      <w:r w:rsidR="00253C65">
        <w:rPr>
          <w:b/>
          <w:color w:val="000000"/>
        </w:rPr>
        <w:t>2</w:t>
      </w:r>
      <w:r w:rsidRPr="00292C34">
        <w:rPr>
          <w:b/>
          <w:color w:val="000000"/>
        </w:rPr>
        <w:t>1/76 P]</w:t>
      </w:r>
    </w:p>
    <w:p w14:paraId="178869AA" w14:textId="0EC576AA" w:rsidR="00292C34" w:rsidRPr="00292C34" w:rsidRDefault="00292C34" w:rsidP="00292C34">
      <w:pPr>
        <w:pStyle w:val="NormalWeb"/>
        <w:spacing w:before="0" w:beforeAutospacing="0" w:after="0" w:afterAutospacing="0"/>
        <w:jc w:val="right"/>
        <w:rPr>
          <w:b/>
          <w:color w:val="000000"/>
        </w:rPr>
      </w:pPr>
      <w:r w:rsidRPr="00292C34">
        <w:rPr>
          <w:b/>
          <w:color w:val="000000"/>
        </w:rPr>
        <w:t>[20</w:t>
      </w:r>
      <w:r w:rsidR="00253C65">
        <w:rPr>
          <w:b/>
          <w:color w:val="000000"/>
        </w:rPr>
        <w:t>2</w:t>
      </w:r>
      <w:r w:rsidRPr="00292C34">
        <w:rPr>
          <w:b/>
          <w:color w:val="000000"/>
        </w:rPr>
        <w:t>1/77P]</w:t>
      </w:r>
    </w:p>
    <w:p w14:paraId="674A6F61" w14:textId="4866047D" w:rsidR="00292C34" w:rsidRPr="00292C34" w:rsidRDefault="00292C34" w:rsidP="00292C34">
      <w:pPr>
        <w:pStyle w:val="NormalWeb"/>
        <w:spacing w:before="0" w:beforeAutospacing="0" w:after="0" w:afterAutospacing="0"/>
        <w:jc w:val="right"/>
        <w:rPr>
          <w:b/>
          <w:color w:val="000000"/>
        </w:rPr>
      </w:pPr>
      <w:r w:rsidRPr="00292C34">
        <w:rPr>
          <w:b/>
          <w:color w:val="000000"/>
        </w:rPr>
        <w:t>[20</w:t>
      </w:r>
      <w:r w:rsidR="00253C65">
        <w:rPr>
          <w:b/>
          <w:color w:val="000000"/>
        </w:rPr>
        <w:t>2</w:t>
      </w:r>
      <w:r w:rsidRPr="00292C34">
        <w:rPr>
          <w:b/>
          <w:color w:val="000000"/>
        </w:rPr>
        <w:t>1/78 P]</w:t>
      </w:r>
    </w:p>
    <w:p w14:paraId="2D9FC72A" w14:textId="77777777" w:rsidR="00292C34" w:rsidRPr="00292C34" w:rsidRDefault="00292C34" w:rsidP="00292C34">
      <w:pPr>
        <w:pStyle w:val="NormalWeb"/>
        <w:spacing w:before="0" w:beforeAutospacing="0" w:after="0" w:afterAutospacing="0" w:line="480" w:lineRule="auto"/>
        <w:rPr>
          <w:b/>
          <w:color w:val="000000"/>
        </w:rPr>
      </w:pPr>
      <w:r w:rsidRPr="00292C34">
        <w:rPr>
          <w:b/>
          <w:color w:val="000000"/>
        </w:rPr>
        <w:t>BETWEEN</w:t>
      </w:r>
    </w:p>
    <w:p w14:paraId="65A85173" w14:textId="77777777" w:rsidR="00292C34" w:rsidRPr="00292C34" w:rsidRDefault="00292C34" w:rsidP="00292C34">
      <w:pPr>
        <w:pStyle w:val="NormalWeb"/>
        <w:spacing w:before="0" w:beforeAutospacing="0" w:after="0" w:afterAutospacing="0" w:line="480" w:lineRule="auto"/>
        <w:jc w:val="center"/>
        <w:rPr>
          <w:b/>
          <w:color w:val="000000"/>
        </w:rPr>
      </w:pPr>
      <w:r w:rsidRPr="00292C34">
        <w:rPr>
          <w:b/>
          <w:color w:val="000000"/>
        </w:rPr>
        <w:t>KEN TYRRELL AND EVERYDAY DESIGNATED ACTIVITY COMPANY</w:t>
      </w:r>
    </w:p>
    <w:p w14:paraId="054995A7" w14:textId="77777777" w:rsidR="00292C34" w:rsidRPr="00292C34" w:rsidRDefault="00292C34" w:rsidP="00292C34">
      <w:pPr>
        <w:pStyle w:val="NormalWeb"/>
        <w:spacing w:before="0" w:beforeAutospacing="0" w:after="0" w:afterAutospacing="0" w:line="480" w:lineRule="auto"/>
        <w:jc w:val="right"/>
        <w:rPr>
          <w:b/>
          <w:color w:val="000000"/>
        </w:rPr>
      </w:pPr>
      <w:r w:rsidRPr="00292C34">
        <w:rPr>
          <w:b/>
          <w:color w:val="000000"/>
        </w:rPr>
        <w:t>PLAINTIFF</w:t>
      </w:r>
      <w:r>
        <w:rPr>
          <w:b/>
          <w:color w:val="000000"/>
        </w:rPr>
        <w:t>S</w:t>
      </w:r>
    </w:p>
    <w:p w14:paraId="72FED838" w14:textId="77777777" w:rsidR="00292C34" w:rsidRPr="00292C34" w:rsidRDefault="00292C34" w:rsidP="00292C34">
      <w:pPr>
        <w:pStyle w:val="NormalWeb"/>
        <w:spacing w:before="0" w:beforeAutospacing="0" w:after="0" w:afterAutospacing="0" w:line="480" w:lineRule="auto"/>
        <w:jc w:val="center"/>
        <w:rPr>
          <w:b/>
          <w:color w:val="000000"/>
        </w:rPr>
      </w:pPr>
      <w:r w:rsidRPr="00292C34">
        <w:rPr>
          <w:b/>
          <w:color w:val="000000"/>
        </w:rPr>
        <w:t>AND</w:t>
      </w:r>
    </w:p>
    <w:p w14:paraId="35B9D128" w14:textId="77777777" w:rsidR="00292C34" w:rsidRPr="00292C34" w:rsidRDefault="00292C34" w:rsidP="00292C34">
      <w:pPr>
        <w:pStyle w:val="NormalWeb"/>
        <w:spacing w:before="0" w:beforeAutospacing="0" w:after="0" w:afterAutospacing="0" w:line="480" w:lineRule="auto"/>
        <w:jc w:val="center"/>
        <w:rPr>
          <w:b/>
          <w:color w:val="000000"/>
        </w:rPr>
      </w:pPr>
    </w:p>
    <w:p w14:paraId="3499CC44" w14:textId="77777777" w:rsidR="00292C34" w:rsidRPr="00292C34" w:rsidRDefault="00292C34" w:rsidP="00292C34">
      <w:pPr>
        <w:pStyle w:val="NormalWeb"/>
        <w:spacing w:before="0" w:beforeAutospacing="0" w:after="0" w:afterAutospacing="0" w:line="480" w:lineRule="auto"/>
        <w:jc w:val="center"/>
        <w:rPr>
          <w:b/>
          <w:color w:val="000000"/>
        </w:rPr>
      </w:pPr>
      <w:r w:rsidRPr="00292C34">
        <w:rPr>
          <w:b/>
          <w:color w:val="000000"/>
        </w:rPr>
        <w:t>MICHAEL MULLIGAN</w:t>
      </w:r>
    </w:p>
    <w:p w14:paraId="0B3E134A" w14:textId="77777777" w:rsidR="00292C34" w:rsidRPr="00292C34" w:rsidRDefault="00292C34" w:rsidP="00292C34">
      <w:pPr>
        <w:pStyle w:val="NormalWeb"/>
        <w:spacing w:before="0" w:beforeAutospacing="0" w:after="0" w:afterAutospacing="0" w:line="480" w:lineRule="auto"/>
        <w:jc w:val="right"/>
        <w:rPr>
          <w:b/>
          <w:color w:val="000000"/>
        </w:rPr>
      </w:pPr>
      <w:r w:rsidRPr="00292C34">
        <w:rPr>
          <w:b/>
          <w:color w:val="000000"/>
        </w:rPr>
        <w:t>DEFENDANT</w:t>
      </w:r>
    </w:p>
    <w:p w14:paraId="6776B567" w14:textId="6C2D1E1E" w:rsidR="00292C34" w:rsidRDefault="00292C34" w:rsidP="00292C34">
      <w:pPr>
        <w:pStyle w:val="NormalWeb"/>
        <w:spacing w:before="0" w:beforeAutospacing="0" w:after="0" w:afterAutospacing="0" w:line="480" w:lineRule="auto"/>
        <w:rPr>
          <w:b/>
          <w:color w:val="000000"/>
          <w:u w:val="single"/>
        </w:rPr>
      </w:pPr>
      <w:r>
        <w:rPr>
          <w:b/>
          <w:color w:val="000000"/>
          <w:u w:val="single"/>
        </w:rPr>
        <w:t xml:space="preserve">JUDGMENT of Ms. Justice Nuala Butler delivered on the </w:t>
      </w:r>
      <w:r w:rsidR="00B24B58">
        <w:rPr>
          <w:b/>
          <w:color w:val="000000"/>
          <w:u w:val="single"/>
        </w:rPr>
        <w:t>25</w:t>
      </w:r>
      <w:r w:rsidR="00B24B58" w:rsidRPr="00B24B58">
        <w:rPr>
          <w:b/>
          <w:color w:val="000000"/>
          <w:u w:val="single"/>
          <w:vertAlign w:val="superscript"/>
        </w:rPr>
        <w:t>th</w:t>
      </w:r>
      <w:r w:rsidR="00B24B58">
        <w:rPr>
          <w:b/>
          <w:color w:val="000000"/>
          <w:u w:val="single"/>
        </w:rPr>
        <w:t xml:space="preserve"> </w:t>
      </w:r>
      <w:r>
        <w:rPr>
          <w:b/>
          <w:color w:val="000000"/>
          <w:u w:val="single"/>
        </w:rPr>
        <w:t xml:space="preserve">day of  </w:t>
      </w:r>
      <w:r w:rsidR="003C3987">
        <w:rPr>
          <w:b/>
          <w:color w:val="000000"/>
          <w:u w:val="single"/>
        </w:rPr>
        <w:t>May</w:t>
      </w:r>
      <w:r>
        <w:rPr>
          <w:b/>
          <w:color w:val="000000"/>
          <w:u w:val="single"/>
        </w:rPr>
        <w:t>, 2022</w:t>
      </w:r>
    </w:p>
    <w:p w14:paraId="501A211C" w14:textId="77777777" w:rsidR="00292C34" w:rsidRDefault="00292C34" w:rsidP="00292C34">
      <w:pPr>
        <w:pStyle w:val="NormalWeb"/>
        <w:spacing w:before="0" w:beforeAutospacing="0" w:after="0" w:afterAutospacing="0" w:line="480" w:lineRule="auto"/>
        <w:rPr>
          <w:b/>
          <w:color w:val="000000"/>
          <w:u w:val="single"/>
        </w:rPr>
      </w:pPr>
    </w:p>
    <w:p w14:paraId="15751035" w14:textId="77777777" w:rsidR="00292C34" w:rsidRPr="00292C34" w:rsidRDefault="00292C34" w:rsidP="00A93FD5">
      <w:pPr>
        <w:pStyle w:val="NormalWeb"/>
        <w:spacing w:before="0" w:beforeAutospacing="0" w:after="0" w:afterAutospacing="0" w:line="480" w:lineRule="auto"/>
        <w:jc w:val="both"/>
        <w:rPr>
          <w:b/>
          <w:color w:val="000000"/>
          <w:u w:val="single"/>
        </w:rPr>
      </w:pPr>
      <w:r>
        <w:rPr>
          <w:b/>
          <w:color w:val="000000"/>
          <w:u w:val="single"/>
        </w:rPr>
        <w:t>Introduction</w:t>
      </w:r>
    </w:p>
    <w:p w14:paraId="46FB7D59" w14:textId="5A1431F7" w:rsidR="00163B16" w:rsidRDefault="00292C34" w:rsidP="00A93FD5">
      <w:pPr>
        <w:pStyle w:val="NormalWeb"/>
        <w:numPr>
          <w:ilvl w:val="0"/>
          <w:numId w:val="1"/>
        </w:numPr>
        <w:spacing w:before="0" w:beforeAutospacing="0" w:after="0" w:afterAutospacing="0" w:line="480" w:lineRule="auto"/>
        <w:ind w:left="0" w:firstLine="0"/>
        <w:jc w:val="both"/>
        <w:rPr>
          <w:color w:val="000000"/>
        </w:rPr>
      </w:pPr>
      <w:r>
        <w:rPr>
          <w:color w:val="000000"/>
        </w:rPr>
        <w:t>T</w:t>
      </w:r>
      <w:r w:rsidR="00AA2B36" w:rsidRPr="00292C34">
        <w:rPr>
          <w:color w:val="000000"/>
        </w:rPr>
        <w:t>here is a certain</w:t>
      </w:r>
      <w:r w:rsidR="0091699E">
        <w:rPr>
          <w:color w:val="000000"/>
        </w:rPr>
        <w:t xml:space="preserve"> sense of </w:t>
      </w:r>
      <w:r w:rsidR="000107EC" w:rsidRPr="000107EC">
        <w:rPr>
          <w:i/>
          <w:color w:val="000000"/>
        </w:rPr>
        <w:t>déjà vu</w:t>
      </w:r>
      <w:r w:rsidR="000107EC">
        <w:rPr>
          <w:color w:val="000000"/>
        </w:rPr>
        <w:t xml:space="preserve"> </w:t>
      </w:r>
      <w:r w:rsidR="0091699E">
        <w:rPr>
          <w:color w:val="000000"/>
        </w:rPr>
        <w:t xml:space="preserve">regarding </w:t>
      </w:r>
      <w:r w:rsidR="00AA2B36" w:rsidRPr="00292C34">
        <w:rPr>
          <w:color w:val="000000"/>
        </w:rPr>
        <w:t>the facts of this case which are common to many c</w:t>
      </w:r>
      <w:r>
        <w:rPr>
          <w:color w:val="000000"/>
        </w:rPr>
        <w:t>ases appearing in the Chancery List</w:t>
      </w:r>
      <w:r w:rsidR="00AA2B36" w:rsidRPr="00292C34">
        <w:rPr>
          <w:color w:val="000000"/>
        </w:rPr>
        <w:t xml:space="preserve">. The defendant borrowed money for the purpose of purchasing </w:t>
      </w:r>
      <w:r w:rsidR="00163B16">
        <w:rPr>
          <w:color w:val="000000"/>
        </w:rPr>
        <w:t>residential investment property</w:t>
      </w:r>
      <w:r w:rsidR="00AA2B36" w:rsidRPr="00292C34">
        <w:rPr>
          <w:color w:val="000000"/>
        </w:rPr>
        <w:t xml:space="preserve"> and is now in default in respect of these lo</w:t>
      </w:r>
      <w:r w:rsidR="00163B16">
        <w:rPr>
          <w:color w:val="000000"/>
        </w:rPr>
        <w:t>ans. The loans and the default are</w:t>
      </w:r>
      <w:r w:rsidR="00AA2B36" w:rsidRPr="00292C34">
        <w:rPr>
          <w:color w:val="000000"/>
        </w:rPr>
        <w:t xml:space="preserve"> not</w:t>
      </w:r>
      <w:r w:rsidR="00163B16">
        <w:rPr>
          <w:color w:val="000000"/>
        </w:rPr>
        <w:t>, in principle, disputed, a</w:t>
      </w:r>
      <w:r w:rsidR="00AA2B36" w:rsidRPr="00292C34">
        <w:rPr>
          <w:color w:val="000000"/>
        </w:rPr>
        <w:t xml:space="preserve">lthough the defendant disputes certain </w:t>
      </w:r>
      <w:r w:rsidR="000107EC">
        <w:rPr>
          <w:color w:val="000000"/>
        </w:rPr>
        <w:t xml:space="preserve">other </w:t>
      </w:r>
      <w:r w:rsidR="00AA2B36" w:rsidRPr="00292C34">
        <w:rPr>
          <w:color w:val="000000"/>
        </w:rPr>
        <w:t xml:space="preserve">matters including the amounts now </w:t>
      </w:r>
      <w:r w:rsidR="00163B16">
        <w:rPr>
          <w:color w:val="000000"/>
        </w:rPr>
        <w:t>outstanding</w:t>
      </w:r>
      <w:r w:rsidR="00AA2B36" w:rsidRPr="00292C34">
        <w:rPr>
          <w:color w:val="000000"/>
        </w:rPr>
        <w:t>. The lender appointed a receiver over the properties which were secured by various mortgages and then transferred the defendant</w:t>
      </w:r>
      <w:r w:rsidR="00163B16">
        <w:rPr>
          <w:color w:val="000000"/>
        </w:rPr>
        <w:t>’</w:t>
      </w:r>
      <w:r w:rsidR="00AA2B36" w:rsidRPr="00292C34">
        <w:rPr>
          <w:color w:val="000000"/>
        </w:rPr>
        <w:t>s loans to another entity. In this case, the defendant</w:t>
      </w:r>
      <w:r w:rsidR="00163B16">
        <w:rPr>
          <w:color w:val="000000"/>
        </w:rPr>
        <w:t>’</w:t>
      </w:r>
      <w:r w:rsidR="00AA2B36" w:rsidRPr="00292C34">
        <w:rPr>
          <w:color w:val="000000"/>
        </w:rPr>
        <w:t>s loans were transferred to the second plaintiff and the first</w:t>
      </w:r>
      <w:r w:rsidR="00163B16">
        <w:rPr>
          <w:color w:val="000000"/>
        </w:rPr>
        <w:t xml:space="preserve"> plaintiff </w:t>
      </w:r>
      <w:r w:rsidR="00AA2B36" w:rsidRPr="00292C34">
        <w:rPr>
          <w:color w:val="000000"/>
        </w:rPr>
        <w:t>is the receiver appointed by the o</w:t>
      </w:r>
      <w:r w:rsidR="00163B16">
        <w:rPr>
          <w:color w:val="000000"/>
        </w:rPr>
        <w:t>riginal lender. The properties a</w:t>
      </w:r>
      <w:r w:rsidR="00AA2B36" w:rsidRPr="00292C34">
        <w:rPr>
          <w:color w:val="000000"/>
        </w:rPr>
        <w:t>r</w:t>
      </w:r>
      <w:r w:rsidR="00163B16">
        <w:rPr>
          <w:color w:val="000000"/>
        </w:rPr>
        <w:t>e tenanted</w:t>
      </w:r>
      <w:r w:rsidR="00AA2B36" w:rsidRPr="00292C34">
        <w:rPr>
          <w:color w:val="000000"/>
        </w:rPr>
        <w:t xml:space="preserve"> and</w:t>
      </w:r>
      <w:r w:rsidR="00163B16">
        <w:rPr>
          <w:color w:val="000000"/>
        </w:rPr>
        <w:t xml:space="preserve"> the receiver has sought, unsuccessfully,</w:t>
      </w:r>
      <w:r w:rsidR="00AA2B36" w:rsidRPr="00292C34">
        <w:rPr>
          <w:color w:val="000000"/>
        </w:rPr>
        <w:t xml:space="preserve"> to have the defendant </w:t>
      </w:r>
      <w:r w:rsidR="0091699E">
        <w:rPr>
          <w:color w:val="000000"/>
        </w:rPr>
        <w:t xml:space="preserve">direct </w:t>
      </w:r>
      <w:r w:rsidR="00AA2B36" w:rsidRPr="00292C34">
        <w:rPr>
          <w:color w:val="000000"/>
        </w:rPr>
        <w:t>the tenants to pay the rent directly to him in the course of the</w:t>
      </w:r>
      <w:r w:rsidR="00163B16">
        <w:rPr>
          <w:color w:val="000000"/>
        </w:rPr>
        <w:t xml:space="preserve"> receivership</w:t>
      </w:r>
      <w:r w:rsidR="00AA2B36" w:rsidRPr="00292C34">
        <w:rPr>
          <w:color w:val="000000"/>
        </w:rPr>
        <w:t xml:space="preserve">. The plaintiffs have issued proceedings seeking permanent </w:t>
      </w:r>
      <w:r w:rsidR="00AA2B36" w:rsidRPr="00292C34">
        <w:rPr>
          <w:color w:val="000000"/>
        </w:rPr>
        <w:lastRenderedPageBreak/>
        <w:t>injunctive relief to restrain the defendant and anyone having notice of the order from trespassing on or occupying the property or otherwise interfering with the receivership and directing the defendant</w:t>
      </w:r>
      <w:r w:rsidR="00163B16">
        <w:rPr>
          <w:color w:val="000000"/>
        </w:rPr>
        <w:t xml:space="preserve"> to hand over to the first plaintiff all keys,</w:t>
      </w:r>
      <w:r w:rsidR="00AA2B36" w:rsidRPr="00292C34">
        <w:rPr>
          <w:color w:val="000000"/>
        </w:rPr>
        <w:t xml:space="preserve"> alarm codes and other access devices to the property. Apart from damag</w:t>
      </w:r>
      <w:r w:rsidR="00163B16">
        <w:rPr>
          <w:color w:val="000000"/>
        </w:rPr>
        <w:t>es, identical relief is now sought</w:t>
      </w:r>
      <w:r w:rsidR="00AA2B36" w:rsidRPr="00292C34">
        <w:rPr>
          <w:color w:val="000000"/>
        </w:rPr>
        <w:t xml:space="preserve"> on an interlocutory basis</w:t>
      </w:r>
      <w:r w:rsidR="00163B16">
        <w:rPr>
          <w:color w:val="000000"/>
        </w:rPr>
        <w:t>.</w:t>
      </w:r>
    </w:p>
    <w:p w14:paraId="39048CBC" w14:textId="77777777" w:rsidR="00163B16" w:rsidRDefault="00AA2B36" w:rsidP="00A93FD5">
      <w:pPr>
        <w:pStyle w:val="NormalWeb"/>
        <w:numPr>
          <w:ilvl w:val="0"/>
          <w:numId w:val="1"/>
        </w:numPr>
        <w:spacing w:before="0" w:beforeAutospacing="0" w:after="0" w:afterAutospacing="0" w:line="480" w:lineRule="auto"/>
        <w:ind w:left="0" w:firstLine="0"/>
        <w:jc w:val="both"/>
        <w:rPr>
          <w:color w:val="000000"/>
        </w:rPr>
      </w:pPr>
      <w:r w:rsidRPr="00292C34">
        <w:rPr>
          <w:color w:val="000000"/>
        </w:rPr>
        <w:t>Although these facts are similar to man</w:t>
      </w:r>
      <w:r w:rsidR="00163B16">
        <w:rPr>
          <w:color w:val="000000"/>
        </w:rPr>
        <w:t xml:space="preserve">y such cases, there are, as always, </w:t>
      </w:r>
      <w:r w:rsidRPr="00292C34">
        <w:rPr>
          <w:color w:val="000000"/>
        </w:rPr>
        <w:t>some particular feature</w:t>
      </w:r>
      <w:r w:rsidR="00163B16">
        <w:rPr>
          <w:color w:val="000000"/>
        </w:rPr>
        <w:t>s of the cases at hand</w:t>
      </w:r>
      <w:r w:rsidRPr="00292C34">
        <w:rPr>
          <w:color w:val="000000"/>
        </w:rPr>
        <w:t>. Firstly</w:t>
      </w:r>
      <w:r w:rsidR="00163B16">
        <w:rPr>
          <w:color w:val="000000"/>
        </w:rPr>
        <w:t>, t</w:t>
      </w:r>
      <w:r w:rsidRPr="00292C34">
        <w:rPr>
          <w:color w:val="000000"/>
        </w:rPr>
        <w:t>his judgment concerns fo</w:t>
      </w:r>
      <w:r w:rsidR="00163B16">
        <w:rPr>
          <w:color w:val="000000"/>
        </w:rPr>
        <w:t>u</w:t>
      </w:r>
      <w:r w:rsidRPr="00292C34">
        <w:rPr>
          <w:color w:val="000000"/>
        </w:rPr>
        <w:t>r separate applications brought by the plaintiffs in respect of fo</w:t>
      </w:r>
      <w:r w:rsidR="00163B16">
        <w:rPr>
          <w:color w:val="000000"/>
        </w:rPr>
        <w:t>ur different buy-to-let</w:t>
      </w:r>
      <w:r w:rsidRPr="00292C34">
        <w:rPr>
          <w:color w:val="000000"/>
        </w:rPr>
        <w:t xml:space="preserve"> properties in respect of which the defendant has outstanding loans and the first plaintiff has been appointed receiver. For the most part, the terms of these loans are similar, if not identical, and any relevant differences will be identified in the course of this judgment. The applications brought by the plaintiff</w:t>
      </w:r>
      <w:r w:rsidR="00163B16">
        <w:rPr>
          <w:color w:val="000000"/>
        </w:rPr>
        <w:t>s</w:t>
      </w:r>
      <w:r w:rsidRPr="00292C34">
        <w:rPr>
          <w:color w:val="000000"/>
        </w:rPr>
        <w:t xml:space="preserve"> are identical in all four cases</w:t>
      </w:r>
      <w:r w:rsidR="000107EC">
        <w:rPr>
          <w:color w:val="000000"/>
        </w:rPr>
        <w:t xml:space="preserve"> as is the defendant’s response</w:t>
      </w:r>
      <w:r w:rsidRPr="00292C34">
        <w:rPr>
          <w:color w:val="000000"/>
        </w:rPr>
        <w:t>.</w:t>
      </w:r>
    </w:p>
    <w:p w14:paraId="7E97D41F" w14:textId="07CB5335" w:rsidR="0029571E" w:rsidRDefault="00163B16" w:rsidP="00A93FD5">
      <w:pPr>
        <w:pStyle w:val="NormalWeb"/>
        <w:numPr>
          <w:ilvl w:val="0"/>
          <w:numId w:val="1"/>
        </w:numPr>
        <w:spacing w:before="0" w:beforeAutospacing="0" w:after="0" w:afterAutospacing="0" w:line="480" w:lineRule="auto"/>
        <w:ind w:left="0" w:firstLine="0"/>
        <w:jc w:val="both"/>
        <w:rPr>
          <w:color w:val="000000"/>
        </w:rPr>
      </w:pPr>
      <w:r>
        <w:rPr>
          <w:color w:val="000000"/>
        </w:rPr>
        <w:t xml:space="preserve">Secondly, </w:t>
      </w:r>
      <w:r w:rsidR="00AA2B36" w:rsidRPr="00292C34">
        <w:rPr>
          <w:color w:val="000000"/>
        </w:rPr>
        <w:t>although the defendant admits the fact of the loans and the default, he has</w:t>
      </w:r>
      <w:r>
        <w:rPr>
          <w:color w:val="000000"/>
        </w:rPr>
        <w:t xml:space="preserve">, </w:t>
      </w:r>
      <w:r w:rsidR="00AA2B36" w:rsidRPr="00292C34">
        <w:rPr>
          <w:color w:val="000000"/>
        </w:rPr>
        <w:t>over a co</w:t>
      </w:r>
      <w:r>
        <w:rPr>
          <w:color w:val="000000"/>
        </w:rPr>
        <w:t xml:space="preserve">nsiderable period of time, </w:t>
      </w:r>
      <w:r w:rsidR="00AA2B36" w:rsidRPr="00292C34">
        <w:rPr>
          <w:color w:val="000000"/>
        </w:rPr>
        <w:t>maintained that the original lender overchar</w:t>
      </w:r>
      <w:r>
        <w:rPr>
          <w:color w:val="000000"/>
        </w:rPr>
        <w:t>ged him on these loans. T</w:t>
      </w:r>
      <w:r w:rsidR="00AA2B36" w:rsidRPr="00292C34">
        <w:rPr>
          <w:color w:val="000000"/>
        </w:rPr>
        <w:t>he original len</w:t>
      </w:r>
      <w:r>
        <w:rPr>
          <w:color w:val="000000"/>
        </w:rPr>
        <w:t>der – whom I will refer to as</w:t>
      </w:r>
      <w:r w:rsidR="0029571E">
        <w:rPr>
          <w:color w:val="000000"/>
        </w:rPr>
        <w:t xml:space="preserve"> AIB, although, as will be seen, there</w:t>
      </w:r>
      <w:r w:rsidR="00AA2B36" w:rsidRPr="00292C34">
        <w:rPr>
          <w:color w:val="000000"/>
        </w:rPr>
        <w:t xml:space="preserve"> were in f</w:t>
      </w:r>
      <w:r w:rsidR="0029571E">
        <w:rPr>
          <w:color w:val="000000"/>
        </w:rPr>
        <w:t>act, a number of different AIB companies involved – instituted</w:t>
      </w:r>
      <w:r w:rsidR="00AA2B36" w:rsidRPr="00292C34">
        <w:rPr>
          <w:color w:val="000000"/>
        </w:rPr>
        <w:t xml:space="preserve"> two sets of summary proceedings against the defendant in 2016. The defendant claims that</w:t>
      </w:r>
      <w:r w:rsidR="0029571E">
        <w:rPr>
          <w:color w:val="000000"/>
        </w:rPr>
        <w:t>,</w:t>
      </w:r>
      <w:r w:rsidR="00AA2B36" w:rsidRPr="00292C34">
        <w:rPr>
          <w:color w:val="000000"/>
        </w:rPr>
        <w:t xml:space="preserve"> in his affidavits replying to the summary proceedings, he raised the issue </w:t>
      </w:r>
      <w:r w:rsidR="0029571E">
        <w:rPr>
          <w:color w:val="000000"/>
        </w:rPr>
        <w:t>of overcharging</w:t>
      </w:r>
      <w:r w:rsidR="00AA2B36" w:rsidRPr="00292C34">
        <w:rPr>
          <w:color w:val="000000"/>
        </w:rPr>
        <w:t xml:space="preserve"> but rather than engage with hi</w:t>
      </w:r>
      <w:r w:rsidR="0029571E">
        <w:rPr>
          <w:color w:val="000000"/>
        </w:rPr>
        <w:t xml:space="preserve">m on this issue, the </w:t>
      </w:r>
      <w:r w:rsidR="00AA2B36" w:rsidRPr="00292C34">
        <w:rPr>
          <w:color w:val="000000"/>
        </w:rPr>
        <w:t>AIB purporte</w:t>
      </w:r>
      <w:r w:rsidR="0029571E">
        <w:rPr>
          <w:color w:val="000000"/>
        </w:rPr>
        <w:t>d to appoint the first plaintiff</w:t>
      </w:r>
      <w:r w:rsidR="00AA2B36" w:rsidRPr="00292C34">
        <w:rPr>
          <w:color w:val="000000"/>
        </w:rPr>
        <w:t xml:space="preserve"> as receiver over his properties</w:t>
      </w:r>
      <w:r w:rsidR="0029571E">
        <w:rPr>
          <w:color w:val="000000"/>
        </w:rPr>
        <w:t>. A</w:t>
      </w:r>
      <w:r w:rsidR="00AA2B36" w:rsidRPr="00292C34">
        <w:rPr>
          <w:color w:val="000000"/>
        </w:rPr>
        <w:t xml:space="preserve">s it </w:t>
      </w:r>
      <w:r w:rsidR="0029571E">
        <w:rPr>
          <w:color w:val="000000"/>
        </w:rPr>
        <w:t>transpires, AI</w:t>
      </w:r>
      <w:r w:rsidR="00AA2B36" w:rsidRPr="00292C34">
        <w:rPr>
          <w:color w:val="000000"/>
        </w:rPr>
        <w:t>B subsequently accepted that the initial appointment of the first plaintiff in 2016 was invalid, and a deed of discharge was executed immediately prior to the first plaintiffs</w:t>
      </w:r>
      <w:r w:rsidR="0029571E">
        <w:rPr>
          <w:color w:val="000000"/>
        </w:rPr>
        <w:t>’</w:t>
      </w:r>
      <w:r w:rsidR="00AA2B36" w:rsidRPr="00292C34">
        <w:rPr>
          <w:color w:val="000000"/>
        </w:rPr>
        <w:t xml:space="preserve"> re</w:t>
      </w:r>
      <w:r w:rsidR="0029571E">
        <w:rPr>
          <w:color w:val="000000"/>
        </w:rPr>
        <w:t>-</w:t>
      </w:r>
      <w:r w:rsidR="00AA2B36" w:rsidRPr="00292C34">
        <w:rPr>
          <w:color w:val="000000"/>
        </w:rPr>
        <w:t>appoi</w:t>
      </w:r>
      <w:r w:rsidR="0029571E">
        <w:rPr>
          <w:color w:val="000000"/>
        </w:rPr>
        <w:t>ntment as receiver by AI</w:t>
      </w:r>
      <w:r w:rsidR="00AA2B36" w:rsidRPr="00292C34">
        <w:rPr>
          <w:color w:val="000000"/>
        </w:rPr>
        <w:t>B in February</w:t>
      </w:r>
      <w:r w:rsidR="0029571E">
        <w:rPr>
          <w:color w:val="000000"/>
        </w:rPr>
        <w:t>, 2019. As I understand it,</w:t>
      </w:r>
      <w:r w:rsidR="00AA2B36" w:rsidRPr="00292C34">
        <w:rPr>
          <w:color w:val="000000"/>
        </w:rPr>
        <w:t xml:space="preserve"> the 2016 proceedings are still extant and have not been progressed much</w:t>
      </w:r>
      <w:r w:rsidR="00253C65">
        <w:rPr>
          <w:color w:val="000000"/>
        </w:rPr>
        <w:t xml:space="preserve"> </w:t>
      </w:r>
      <w:r w:rsidR="0091699E">
        <w:rPr>
          <w:color w:val="000000"/>
        </w:rPr>
        <w:t xml:space="preserve">since </w:t>
      </w:r>
      <w:r w:rsidR="0029571E">
        <w:rPr>
          <w:color w:val="000000"/>
        </w:rPr>
        <w:t>the initial purported</w:t>
      </w:r>
      <w:r w:rsidR="00AA2B36" w:rsidRPr="00292C34">
        <w:rPr>
          <w:color w:val="000000"/>
        </w:rPr>
        <w:t xml:space="preserve"> appointment of </w:t>
      </w:r>
      <w:r w:rsidR="0029571E">
        <w:rPr>
          <w:color w:val="000000"/>
        </w:rPr>
        <w:t>a receiver.</w:t>
      </w:r>
    </w:p>
    <w:p w14:paraId="21B1A293" w14:textId="1E43D240" w:rsidR="00D44918" w:rsidRDefault="0029571E" w:rsidP="00A93FD5">
      <w:pPr>
        <w:pStyle w:val="NormalWeb"/>
        <w:numPr>
          <w:ilvl w:val="0"/>
          <w:numId w:val="1"/>
        </w:numPr>
        <w:spacing w:before="0" w:beforeAutospacing="0" w:after="0" w:afterAutospacing="0" w:line="480" w:lineRule="auto"/>
        <w:ind w:left="0" w:firstLine="0"/>
        <w:jc w:val="both"/>
        <w:rPr>
          <w:color w:val="000000"/>
        </w:rPr>
      </w:pPr>
      <w:r>
        <w:rPr>
          <w:color w:val="000000"/>
        </w:rPr>
        <w:lastRenderedPageBreak/>
        <w:t xml:space="preserve"> Thirdly, the</w:t>
      </w:r>
      <w:r w:rsidR="00AA2B36" w:rsidRPr="00292C34">
        <w:rPr>
          <w:color w:val="000000"/>
        </w:rPr>
        <w:t xml:space="preserve"> defendant also claims that </w:t>
      </w:r>
      <w:r>
        <w:rPr>
          <w:color w:val="000000"/>
        </w:rPr>
        <w:t>documents signed by him in 2010 purporting to re-finance t</w:t>
      </w:r>
      <w:r w:rsidR="00AA2B36" w:rsidRPr="00292C34">
        <w:rPr>
          <w:color w:val="000000"/>
        </w:rPr>
        <w:t>wo</w:t>
      </w:r>
      <w:r>
        <w:rPr>
          <w:color w:val="000000"/>
        </w:rPr>
        <w:t xml:space="preserve"> loans taken out by him in 2005</w:t>
      </w:r>
      <w:r w:rsidR="00AA2B36" w:rsidRPr="00292C34">
        <w:rPr>
          <w:color w:val="000000"/>
        </w:rPr>
        <w:t xml:space="preserve"> were presented to him </w:t>
      </w:r>
      <w:r w:rsidR="00E22A9C">
        <w:rPr>
          <w:color w:val="000000"/>
        </w:rPr>
        <w:t xml:space="preserve">and signed by him </w:t>
      </w:r>
      <w:r w:rsidR="00AA2B36" w:rsidRPr="00292C34">
        <w:rPr>
          <w:color w:val="000000"/>
        </w:rPr>
        <w:t>as documents related to his life insurance in</w:t>
      </w:r>
      <w:r>
        <w:rPr>
          <w:color w:val="000000"/>
        </w:rPr>
        <w:t xml:space="preserve"> respect of the </w:t>
      </w:r>
      <w:r w:rsidR="00C81F62">
        <w:rPr>
          <w:color w:val="000000"/>
        </w:rPr>
        <w:t xml:space="preserve">2005 </w:t>
      </w:r>
      <w:r>
        <w:rPr>
          <w:color w:val="000000"/>
        </w:rPr>
        <w:t>loans. Consequently, h</w:t>
      </w:r>
      <w:r w:rsidR="00AA2B36" w:rsidRPr="0029571E">
        <w:rPr>
          <w:color w:val="000000"/>
        </w:rPr>
        <w:t xml:space="preserve">e raises the plea of </w:t>
      </w:r>
      <w:proofErr w:type="spellStart"/>
      <w:r w:rsidR="00AA2B36" w:rsidRPr="0029571E">
        <w:rPr>
          <w:i/>
          <w:color w:val="000000"/>
        </w:rPr>
        <w:t xml:space="preserve">non </w:t>
      </w:r>
      <w:r w:rsidRPr="0029571E">
        <w:rPr>
          <w:i/>
          <w:color w:val="000000"/>
        </w:rPr>
        <w:t>est</w:t>
      </w:r>
      <w:proofErr w:type="spellEnd"/>
      <w:r w:rsidRPr="0029571E">
        <w:rPr>
          <w:i/>
          <w:color w:val="000000"/>
        </w:rPr>
        <w:t xml:space="preserve"> factum</w:t>
      </w:r>
      <w:r w:rsidR="00AA2B36" w:rsidRPr="0029571E">
        <w:rPr>
          <w:color w:val="000000"/>
        </w:rPr>
        <w:t xml:space="preserve"> in respect of the 20</w:t>
      </w:r>
      <w:r>
        <w:rPr>
          <w:color w:val="000000"/>
        </w:rPr>
        <w:t>10</w:t>
      </w:r>
      <w:r w:rsidR="00AA2B36" w:rsidRPr="0029571E">
        <w:rPr>
          <w:color w:val="000000"/>
        </w:rPr>
        <w:t xml:space="preserve"> loans, the terms of which differ m</w:t>
      </w:r>
      <w:r>
        <w:rPr>
          <w:color w:val="000000"/>
        </w:rPr>
        <w:t>aterially from the 2005 loans i</w:t>
      </w:r>
      <w:r w:rsidR="00AA2B36" w:rsidRPr="0029571E">
        <w:rPr>
          <w:color w:val="000000"/>
        </w:rPr>
        <w:t>n ce</w:t>
      </w:r>
      <w:r>
        <w:rPr>
          <w:color w:val="000000"/>
        </w:rPr>
        <w:t>rtain respects. T</w:t>
      </w:r>
      <w:r w:rsidR="00AA2B36" w:rsidRPr="0029571E">
        <w:rPr>
          <w:color w:val="000000"/>
        </w:rPr>
        <w:t>his issue was not canvassed extensively on</w:t>
      </w:r>
      <w:r>
        <w:rPr>
          <w:color w:val="000000"/>
        </w:rPr>
        <w:t xml:space="preserve"> this interlocutory application</w:t>
      </w:r>
      <w:r w:rsidR="00AA2B36" w:rsidRPr="0029571E">
        <w:rPr>
          <w:color w:val="000000"/>
        </w:rPr>
        <w:t xml:space="preserve"> a</w:t>
      </w:r>
      <w:r>
        <w:rPr>
          <w:color w:val="000000"/>
        </w:rPr>
        <w:t>s the defendant accepted, correctly in my view, that the properties were</w:t>
      </w:r>
      <w:r w:rsidR="00AA2B36" w:rsidRPr="0029571E">
        <w:rPr>
          <w:color w:val="000000"/>
        </w:rPr>
        <w:t xml:space="preserve"> mort</w:t>
      </w:r>
      <w:r>
        <w:rPr>
          <w:color w:val="000000"/>
        </w:rPr>
        <w:t xml:space="preserve">gaged on an </w:t>
      </w:r>
      <w:r w:rsidRPr="003C3987">
        <w:rPr>
          <w:i/>
          <w:iCs/>
          <w:color w:val="000000"/>
        </w:rPr>
        <w:t>“all sum</w:t>
      </w:r>
      <w:r w:rsidR="00AA2B36" w:rsidRPr="003C3987">
        <w:rPr>
          <w:i/>
          <w:iCs/>
          <w:color w:val="000000"/>
        </w:rPr>
        <w:t>s</w:t>
      </w:r>
      <w:r w:rsidRPr="003C3987">
        <w:rPr>
          <w:i/>
          <w:iCs/>
          <w:color w:val="000000"/>
        </w:rPr>
        <w:t xml:space="preserve"> due” </w:t>
      </w:r>
      <w:r>
        <w:rPr>
          <w:color w:val="000000"/>
        </w:rPr>
        <w:t xml:space="preserve">basis and </w:t>
      </w:r>
      <w:r w:rsidR="00E22A9C">
        <w:rPr>
          <w:color w:val="000000"/>
        </w:rPr>
        <w:t xml:space="preserve">consequently </w:t>
      </w:r>
      <w:r>
        <w:rPr>
          <w:color w:val="000000"/>
        </w:rPr>
        <w:t>the relief sought by the plaintiff on an interlocutory basis could be sought</w:t>
      </w:r>
      <w:r w:rsidR="00AA2B36" w:rsidRPr="0029571E">
        <w:rPr>
          <w:color w:val="000000"/>
        </w:rPr>
        <w:t xml:space="preserve"> by virtue of an entitlement to a</w:t>
      </w:r>
      <w:r>
        <w:rPr>
          <w:color w:val="000000"/>
        </w:rPr>
        <w:t>ppoint a</w:t>
      </w:r>
      <w:r w:rsidR="00AA2B36" w:rsidRPr="0029571E">
        <w:rPr>
          <w:color w:val="000000"/>
        </w:rPr>
        <w:t xml:space="preserve"> receiver under other loans in respect of the same properties</w:t>
      </w:r>
      <w:r w:rsidR="00E22A9C">
        <w:rPr>
          <w:color w:val="000000"/>
        </w:rPr>
        <w:t>.</w:t>
      </w:r>
      <w:r w:rsidR="00AA2B36" w:rsidRPr="0029571E">
        <w:rPr>
          <w:color w:val="000000"/>
        </w:rPr>
        <w:t xml:space="preserve"> </w:t>
      </w:r>
      <w:r>
        <w:rPr>
          <w:color w:val="000000"/>
        </w:rPr>
        <w:t>T</w:t>
      </w:r>
      <w:r w:rsidR="00AA2B36" w:rsidRPr="0029571E">
        <w:rPr>
          <w:color w:val="000000"/>
        </w:rPr>
        <w:t>he defendant reserves the right to pursue this issue in the substantive proceedings.</w:t>
      </w:r>
    </w:p>
    <w:p w14:paraId="36B697E0" w14:textId="77777777" w:rsidR="00D44918" w:rsidRDefault="00D44918" w:rsidP="00A93FD5">
      <w:pPr>
        <w:pStyle w:val="NormalWeb"/>
        <w:numPr>
          <w:ilvl w:val="0"/>
          <w:numId w:val="1"/>
        </w:numPr>
        <w:spacing w:before="0" w:beforeAutospacing="0" w:after="0" w:afterAutospacing="0" w:line="480" w:lineRule="auto"/>
        <w:ind w:left="0" w:firstLine="0"/>
        <w:jc w:val="both"/>
        <w:rPr>
          <w:color w:val="000000"/>
        </w:rPr>
      </w:pPr>
      <w:r>
        <w:rPr>
          <w:color w:val="000000"/>
        </w:rPr>
        <w:t>T</w:t>
      </w:r>
      <w:r w:rsidR="00AA2B36" w:rsidRPr="0029571E">
        <w:rPr>
          <w:color w:val="000000"/>
        </w:rPr>
        <w:t>he plaintiff</w:t>
      </w:r>
      <w:r>
        <w:rPr>
          <w:color w:val="000000"/>
        </w:rPr>
        <w:t>s</w:t>
      </w:r>
      <w:r w:rsidR="00AA2B36" w:rsidRPr="0029571E">
        <w:rPr>
          <w:color w:val="000000"/>
        </w:rPr>
        <w:t xml:space="preserve"> seek injunctions on the basis of the principles discussed by the Supreme Court in</w:t>
      </w:r>
      <w:r>
        <w:rPr>
          <w:color w:val="000000"/>
        </w:rPr>
        <w:t xml:space="preserve"> </w:t>
      </w:r>
      <w:r>
        <w:rPr>
          <w:i/>
          <w:color w:val="000000"/>
        </w:rPr>
        <w:t xml:space="preserve">Merck Sharp and Dohme v. Clonmel Healthcare Ltd </w:t>
      </w:r>
      <w:r>
        <w:rPr>
          <w:color w:val="000000"/>
        </w:rPr>
        <w:t>[2019] IESC 65</w:t>
      </w:r>
      <w:r w:rsidR="00AA2B36" w:rsidRPr="0029571E">
        <w:rPr>
          <w:color w:val="000000"/>
        </w:rPr>
        <w:t xml:space="preserve">. They contend that they have established a </w:t>
      </w:r>
      <w:r>
        <w:rPr>
          <w:color w:val="000000"/>
        </w:rPr>
        <w:t>fair question to be tried and that</w:t>
      </w:r>
      <w:r w:rsidR="00AA2B36" w:rsidRPr="0029571E">
        <w:rPr>
          <w:color w:val="000000"/>
        </w:rPr>
        <w:t xml:space="preserve"> the balance of justice must favor the plaintiffs in circumstanc</w:t>
      </w:r>
      <w:r>
        <w:rPr>
          <w:color w:val="000000"/>
        </w:rPr>
        <w:t>es where,</w:t>
      </w:r>
      <w:r w:rsidR="00AA2B36" w:rsidRPr="0029571E">
        <w:rPr>
          <w:color w:val="000000"/>
        </w:rPr>
        <w:t xml:space="preserve"> as the defendant </w:t>
      </w:r>
      <w:r w:rsidR="00C81F62">
        <w:rPr>
          <w:color w:val="000000"/>
        </w:rPr>
        <w:t>ha</w:t>
      </w:r>
      <w:r w:rsidR="00AA2B36" w:rsidRPr="0029571E">
        <w:rPr>
          <w:color w:val="000000"/>
        </w:rPr>
        <w:t>s already default</w:t>
      </w:r>
      <w:r w:rsidR="00C81F62">
        <w:rPr>
          <w:color w:val="000000"/>
        </w:rPr>
        <w:t>ed</w:t>
      </w:r>
      <w:r w:rsidR="00AA2B36" w:rsidRPr="0029571E">
        <w:rPr>
          <w:color w:val="000000"/>
        </w:rPr>
        <w:t xml:space="preserve"> </w:t>
      </w:r>
      <w:r>
        <w:rPr>
          <w:color w:val="000000"/>
        </w:rPr>
        <w:t>on repayment of his loans</w:t>
      </w:r>
      <w:r w:rsidR="00AA2B36" w:rsidRPr="0029571E">
        <w:rPr>
          <w:color w:val="000000"/>
        </w:rPr>
        <w:t>, he will be unable to meet any award of damages that might be made in the plaintiffs</w:t>
      </w:r>
      <w:r>
        <w:rPr>
          <w:color w:val="000000"/>
        </w:rPr>
        <w:t>’</w:t>
      </w:r>
      <w:r w:rsidR="00AA2B36" w:rsidRPr="0029571E">
        <w:rPr>
          <w:color w:val="000000"/>
        </w:rPr>
        <w:t xml:space="preserve"> </w:t>
      </w:r>
      <w:proofErr w:type="spellStart"/>
      <w:r w:rsidR="00AA2B36" w:rsidRPr="0029571E">
        <w:rPr>
          <w:color w:val="000000"/>
        </w:rPr>
        <w:t>favo</w:t>
      </w:r>
      <w:r>
        <w:rPr>
          <w:color w:val="000000"/>
        </w:rPr>
        <w:t>u</w:t>
      </w:r>
      <w:r w:rsidR="00AA2B36" w:rsidRPr="0029571E">
        <w:rPr>
          <w:color w:val="000000"/>
        </w:rPr>
        <w:t>r</w:t>
      </w:r>
      <w:proofErr w:type="spellEnd"/>
      <w:r>
        <w:rPr>
          <w:color w:val="000000"/>
        </w:rPr>
        <w:t>. The defendant raises a</w:t>
      </w:r>
      <w:r w:rsidR="00AA2B36" w:rsidRPr="0029571E">
        <w:rPr>
          <w:color w:val="000000"/>
        </w:rPr>
        <w:t xml:space="preserve"> number of grounds disputing the validity of the transfer of the loans to the second plaintiff and contending that the appointment of the first plaintiff as re</w:t>
      </w:r>
      <w:r>
        <w:rPr>
          <w:color w:val="000000"/>
        </w:rPr>
        <w:t>ceiver was invalid</w:t>
      </w:r>
      <w:r w:rsidR="00AA2B36" w:rsidRPr="0029571E">
        <w:rPr>
          <w:color w:val="000000"/>
        </w:rPr>
        <w:t>.</w:t>
      </w:r>
      <w:r w:rsidR="00C81F62">
        <w:rPr>
          <w:color w:val="000000"/>
        </w:rPr>
        <w:t xml:space="preserve"> </w:t>
      </w:r>
    </w:p>
    <w:p w14:paraId="15ED483D" w14:textId="2AE5AB5B" w:rsidR="00D44918" w:rsidRDefault="00D44918" w:rsidP="00A93FD5">
      <w:pPr>
        <w:pStyle w:val="NormalWeb"/>
        <w:numPr>
          <w:ilvl w:val="0"/>
          <w:numId w:val="1"/>
        </w:numPr>
        <w:spacing w:before="0" w:beforeAutospacing="0" w:after="0" w:afterAutospacing="0" w:line="480" w:lineRule="auto"/>
        <w:ind w:left="0" w:firstLine="0"/>
        <w:jc w:val="both"/>
        <w:rPr>
          <w:color w:val="000000"/>
        </w:rPr>
      </w:pPr>
      <w:r>
        <w:rPr>
          <w:color w:val="000000"/>
        </w:rPr>
        <w:t>T</w:t>
      </w:r>
      <w:r w:rsidR="00AA2B36" w:rsidRPr="0029571E">
        <w:rPr>
          <w:color w:val="000000"/>
        </w:rPr>
        <w:t xml:space="preserve">he plaintiff argues that the </w:t>
      </w:r>
      <w:r>
        <w:rPr>
          <w:color w:val="000000"/>
        </w:rPr>
        <w:t>grounds raised by the defendant are</w:t>
      </w:r>
      <w:r w:rsidR="00AA2B36" w:rsidRPr="0029571E">
        <w:rPr>
          <w:color w:val="000000"/>
        </w:rPr>
        <w:t xml:space="preserve"> purely technical ones, to</w:t>
      </w:r>
      <w:r>
        <w:rPr>
          <w:color w:val="000000"/>
        </w:rPr>
        <w:t xml:space="preserve"> which no great weight</w:t>
      </w:r>
      <w:r w:rsidR="00AA2B36" w:rsidRPr="0029571E">
        <w:rPr>
          <w:color w:val="000000"/>
        </w:rPr>
        <w:t xml:space="preserve"> should be afforded in circ</w:t>
      </w:r>
      <w:r>
        <w:rPr>
          <w:color w:val="000000"/>
        </w:rPr>
        <w:t xml:space="preserve">umstances where the loans and their default are admitted. Whilst it may be fair to </w:t>
      </w:r>
      <w:proofErr w:type="spellStart"/>
      <w:r>
        <w:rPr>
          <w:color w:val="000000"/>
        </w:rPr>
        <w:t>characteris</w:t>
      </w:r>
      <w:r w:rsidR="00AA2B36" w:rsidRPr="0029571E">
        <w:rPr>
          <w:color w:val="000000"/>
        </w:rPr>
        <w:t>e</w:t>
      </w:r>
      <w:proofErr w:type="spellEnd"/>
      <w:r w:rsidR="00AA2B36" w:rsidRPr="0029571E">
        <w:rPr>
          <w:color w:val="000000"/>
        </w:rPr>
        <w:t xml:space="preserve"> the defendant</w:t>
      </w:r>
      <w:r>
        <w:rPr>
          <w:color w:val="000000"/>
        </w:rPr>
        <w:t>’s arguments as technical,</w:t>
      </w:r>
      <w:r w:rsidR="00AA2B36" w:rsidRPr="0029571E">
        <w:rPr>
          <w:color w:val="000000"/>
        </w:rPr>
        <w:t xml:space="preserve"> I do not think that this should affect the approach of the court to them. The relationship between the parties is one founded on contracts originally entered into </w:t>
      </w:r>
      <w:r>
        <w:rPr>
          <w:color w:val="000000"/>
        </w:rPr>
        <w:t>between the defendant and AIB</w:t>
      </w:r>
      <w:r w:rsidR="00AA2B36" w:rsidRPr="0029571E">
        <w:rPr>
          <w:color w:val="000000"/>
        </w:rPr>
        <w:t xml:space="preserve">. Insofar as the plaintiffs now claim to be entitled to relief pursuant to those contracts, they must firstly establish this entitlement as a matter of law, and secondly, show that they have complied with the relevant </w:t>
      </w:r>
      <w:r w:rsidR="00AA2B36" w:rsidRPr="0029571E">
        <w:rPr>
          <w:color w:val="000000"/>
        </w:rPr>
        <w:lastRenderedPageBreak/>
        <w:t xml:space="preserve">terms of the contracts </w:t>
      </w:r>
      <w:r w:rsidR="00CC0600">
        <w:rPr>
          <w:color w:val="000000"/>
        </w:rPr>
        <w:t xml:space="preserve">as a matter of fact </w:t>
      </w:r>
      <w:r w:rsidR="00AA2B36" w:rsidRPr="0029571E">
        <w:rPr>
          <w:color w:val="000000"/>
        </w:rPr>
        <w:t>in order to be able to rely on what</w:t>
      </w:r>
      <w:r>
        <w:rPr>
          <w:color w:val="000000"/>
        </w:rPr>
        <w:t xml:space="preserve">ever </w:t>
      </w:r>
      <w:r w:rsidR="00E22A9C">
        <w:rPr>
          <w:color w:val="000000"/>
        </w:rPr>
        <w:t xml:space="preserve">such </w:t>
      </w:r>
      <w:r>
        <w:rPr>
          <w:color w:val="000000"/>
        </w:rPr>
        <w:t>entitlement exist</w:t>
      </w:r>
      <w:r w:rsidR="00C81F62">
        <w:rPr>
          <w:color w:val="000000"/>
        </w:rPr>
        <w:t>s</w:t>
      </w:r>
      <w:r>
        <w:rPr>
          <w:color w:val="000000"/>
        </w:rPr>
        <w:t>. Throughout this application, t</w:t>
      </w:r>
      <w:r w:rsidR="00AA2B36" w:rsidRPr="0029571E">
        <w:rPr>
          <w:color w:val="000000"/>
        </w:rPr>
        <w:t>he defendant has expressly placed th</w:t>
      </w:r>
      <w:r>
        <w:rPr>
          <w:color w:val="000000"/>
        </w:rPr>
        <w:t>e plaintiffs on strict proof sav</w:t>
      </w:r>
      <w:r w:rsidR="00AA2B36" w:rsidRPr="0029571E">
        <w:rPr>
          <w:color w:val="000000"/>
        </w:rPr>
        <w:t>e to the limited extent that matters are admitted in the defendant</w:t>
      </w:r>
      <w:r>
        <w:rPr>
          <w:color w:val="000000"/>
        </w:rPr>
        <w:t>’</w:t>
      </w:r>
      <w:r w:rsidR="00AA2B36" w:rsidRPr="0029571E">
        <w:rPr>
          <w:color w:val="000000"/>
        </w:rPr>
        <w:t>s affidavit</w:t>
      </w:r>
      <w:r>
        <w:rPr>
          <w:color w:val="000000"/>
        </w:rPr>
        <w:t>. I</w:t>
      </w:r>
      <w:r w:rsidR="00AA2B36" w:rsidRPr="0029571E">
        <w:rPr>
          <w:color w:val="000000"/>
        </w:rPr>
        <w:t>n my view, the defendant is en</w:t>
      </w:r>
      <w:r>
        <w:rPr>
          <w:color w:val="000000"/>
        </w:rPr>
        <w:t>titled to adopt this approach a</w:t>
      </w:r>
      <w:r w:rsidR="00AA2B36" w:rsidRPr="0029571E">
        <w:rPr>
          <w:color w:val="000000"/>
        </w:rPr>
        <w:t>nd the onus is on the plaintiffs to satisfy the court of their entitlement to th</w:t>
      </w:r>
      <w:r>
        <w:rPr>
          <w:color w:val="000000"/>
        </w:rPr>
        <w:t>e relief they now seek</w:t>
      </w:r>
      <w:r w:rsidR="00AA2B36" w:rsidRPr="0029571E">
        <w:rPr>
          <w:color w:val="000000"/>
        </w:rPr>
        <w:t xml:space="preserve">. I should also acknowledge that in addition to not pursuing the </w:t>
      </w:r>
      <w:proofErr w:type="spellStart"/>
      <w:r w:rsidR="00AA2B36" w:rsidRPr="00D44918">
        <w:rPr>
          <w:i/>
          <w:color w:val="000000"/>
        </w:rPr>
        <w:t xml:space="preserve">non </w:t>
      </w:r>
      <w:r w:rsidRPr="00D44918">
        <w:rPr>
          <w:i/>
          <w:color w:val="000000"/>
        </w:rPr>
        <w:t>est</w:t>
      </w:r>
      <w:proofErr w:type="spellEnd"/>
      <w:r w:rsidRPr="00D44918">
        <w:rPr>
          <w:i/>
          <w:color w:val="000000"/>
        </w:rPr>
        <w:t xml:space="preserve"> factum</w:t>
      </w:r>
      <w:r>
        <w:rPr>
          <w:color w:val="000000"/>
        </w:rPr>
        <w:t xml:space="preserve"> </w:t>
      </w:r>
      <w:r w:rsidR="00AA2B36" w:rsidRPr="0029571E">
        <w:rPr>
          <w:color w:val="000000"/>
        </w:rPr>
        <w:t>argument at the interlocutory hearing</w:t>
      </w:r>
      <w:r>
        <w:rPr>
          <w:color w:val="000000"/>
        </w:rPr>
        <w:t>, t</w:t>
      </w:r>
      <w:r w:rsidR="00AA2B36" w:rsidRPr="0029571E">
        <w:rPr>
          <w:color w:val="000000"/>
        </w:rPr>
        <w:t>he defendant did not pursue certain ex</w:t>
      </w:r>
      <w:r w:rsidR="00C81F62">
        <w:rPr>
          <w:color w:val="000000"/>
        </w:rPr>
        <w:t>tremely</w:t>
      </w:r>
      <w:r w:rsidR="00AA2B36" w:rsidRPr="0029571E">
        <w:rPr>
          <w:color w:val="000000"/>
        </w:rPr>
        <w:t xml:space="preserve"> technical pleading points</w:t>
      </w:r>
      <w:r w:rsidR="00E22A9C">
        <w:rPr>
          <w:color w:val="000000"/>
        </w:rPr>
        <w:t xml:space="preserve"> which had been raised in his affidavits</w:t>
      </w:r>
      <w:r>
        <w:rPr>
          <w:color w:val="000000"/>
        </w:rPr>
        <w:t>.</w:t>
      </w:r>
    </w:p>
    <w:p w14:paraId="4AF91A29" w14:textId="77777777" w:rsidR="00D44918" w:rsidRDefault="00D44918" w:rsidP="00A93FD5">
      <w:pPr>
        <w:pStyle w:val="NormalWeb"/>
        <w:numPr>
          <w:ilvl w:val="0"/>
          <w:numId w:val="1"/>
        </w:numPr>
        <w:spacing w:before="0" w:beforeAutospacing="0" w:after="0" w:afterAutospacing="0" w:line="480" w:lineRule="auto"/>
        <w:ind w:left="0" w:firstLine="0"/>
        <w:jc w:val="both"/>
        <w:rPr>
          <w:color w:val="000000"/>
        </w:rPr>
      </w:pPr>
      <w:r>
        <w:rPr>
          <w:color w:val="000000"/>
        </w:rPr>
        <w:t>H</w:t>
      </w:r>
      <w:r w:rsidR="00AA2B36" w:rsidRPr="0029571E">
        <w:rPr>
          <w:color w:val="000000"/>
        </w:rPr>
        <w:t xml:space="preserve">owever, </w:t>
      </w:r>
      <w:r>
        <w:rPr>
          <w:color w:val="000000"/>
        </w:rPr>
        <w:t>I do not accept an argument made by counsel for the defendant that b</w:t>
      </w:r>
      <w:r w:rsidR="00AA2B36" w:rsidRPr="0029571E">
        <w:rPr>
          <w:color w:val="000000"/>
        </w:rPr>
        <w:t xml:space="preserve">ecause </w:t>
      </w:r>
      <w:r>
        <w:rPr>
          <w:color w:val="000000"/>
        </w:rPr>
        <w:t>in mov</w:t>
      </w:r>
      <w:r w:rsidR="00AA2B36" w:rsidRPr="0029571E">
        <w:rPr>
          <w:color w:val="000000"/>
        </w:rPr>
        <w:t xml:space="preserve">ing the application </w:t>
      </w:r>
      <w:r w:rsidR="00E22A9C">
        <w:rPr>
          <w:color w:val="000000"/>
        </w:rPr>
        <w:t xml:space="preserve">counsel for the plaintiff </w:t>
      </w:r>
      <w:r w:rsidR="00AA2B36" w:rsidRPr="0029571E">
        <w:rPr>
          <w:color w:val="000000"/>
        </w:rPr>
        <w:t>did not open the affidavits in full</w:t>
      </w:r>
      <w:r>
        <w:rPr>
          <w:color w:val="000000"/>
        </w:rPr>
        <w:t xml:space="preserve"> (or indeed at</w:t>
      </w:r>
      <w:r w:rsidR="00AA2B36" w:rsidRPr="0029571E">
        <w:rPr>
          <w:color w:val="000000"/>
        </w:rPr>
        <w:t xml:space="preserve"> all</w:t>
      </w:r>
      <w:r>
        <w:rPr>
          <w:color w:val="000000"/>
        </w:rPr>
        <w:t>), then no evidence had</w:t>
      </w:r>
      <w:r w:rsidR="00AA2B36" w:rsidRPr="0029571E">
        <w:rPr>
          <w:color w:val="000000"/>
        </w:rPr>
        <w:t xml:space="preserve"> been proffered by the plaintiffs to the court</w:t>
      </w:r>
      <w:r w:rsidR="00C81F62">
        <w:rPr>
          <w:color w:val="000000"/>
        </w:rPr>
        <w:t xml:space="preserve"> to discharge the onus of proof which lies on them</w:t>
      </w:r>
      <w:r>
        <w:rPr>
          <w:color w:val="000000"/>
        </w:rPr>
        <w:t>. Both sides in this case were</w:t>
      </w:r>
      <w:r w:rsidR="00AA2B36" w:rsidRPr="0029571E">
        <w:rPr>
          <w:color w:val="000000"/>
        </w:rPr>
        <w:t xml:space="preserve"> represented by experienced counsel</w:t>
      </w:r>
      <w:r>
        <w:rPr>
          <w:color w:val="000000"/>
        </w:rPr>
        <w:t xml:space="preserve"> who</w:t>
      </w:r>
      <w:r w:rsidR="00AA2B36" w:rsidRPr="0029571E">
        <w:rPr>
          <w:color w:val="000000"/>
        </w:rPr>
        <w:t xml:space="preserve"> would have been aware that the case was assigned to me as trial judge</w:t>
      </w:r>
      <w:r>
        <w:rPr>
          <w:color w:val="000000"/>
        </w:rPr>
        <w:t xml:space="preserve"> some days prior to the hearing</w:t>
      </w:r>
      <w:r w:rsidR="00AA2B36" w:rsidRPr="0029571E">
        <w:rPr>
          <w:color w:val="000000"/>
        </w:rPr>
        <w:t xml:space="preserve"> and that the papers lodged in court are also provided to me in advance of the hea</w:t>
      </w:r>
      <w:r>
        <w:rPr>
          <w:color w:val="000000"/>
        </w:rPr>
        <w:t>ring. In those circumstances, the</w:t>
      </w:r>
      <w:r w:rsidR="00AA2B36" w:rsidRPr="0029571E">
        <w:rPr>
          <w:color w:val="000000"/>
        </w:rPr>
        <w:t xml:space="preserve"> normal practice</w:t>
      </w:r>
      <w:r w:rsidR="00C81F62">
        <w:rPr>
          <w:color w:val="000000"/>
        </w:rPr>
        <w:t xml:space="preserve"> i</w:t>
      </w:r>
      <w:r w:rsidR="00AA2B36" w:rsidRPr="0029571E">
        <w:rPr>
          <w:color w:val="000000"/>
        </w:rPr>
        <w:t>s for the court to have read the papers and written submissions before the case is open</w:t>
      </w:r>
      <w:r>
        <w:rPr>
          <w:color w:val="000000"/>
        </w:rPr>
        <w:t>ed</w:t>
      </w:r>
      <w:r w:rsidR="00AA2B36" w:rsidRPr="0029571E">
        <w:rPr>
          <w:color w:val="000000"/>
        </w:rPr>
        <w:t>. Certainly</w:t>
      </w:r>
      <w:r>
        <w:rPr>
          <w:color w:val="000000"/>
        </w:rPr>
        <w:t>, i</w:t>
      </w:r>
      <w:r w:rsidR="00AA2B36" w:rsidRPr="0029571E">
        <w:rPr>
          <w:color w:val="000000"/>
        </w:rPr>
        <w:t xml:space="preserve">f I have not </w:t>
      </w:r>
      <w:r>
        <w:rPr>
          <w:color w:val="000000"/>
        </w:rPr>
        <w:t>had a chance of doing so,</w:t>
      </w:r>
      <w:r w:rsidR="00AA2B36" w:rsidRPr="0029571E">
        <w:rPr>
          <w:color w:val="000000"/>
        </w:rPr>
        <w:t xml:space="preserve"> I let the parties know and expressly inv</w:t>
      </w:r>
      <w:r>
        <w:rPr>
          <w:color w:val="000000"/>
        </w:rPr>
        <w:t>ite the opening of the papers t</w:t>
      </w:r>
      <w:r w:rsidR="00AA2B36" w:rsidRPr="0029571E">
        <w:rPr>
          <w:color w:val="000000"/>
        </w:rPr>
        <w:t xml:space="preserve">o the extent that I have not </w:t>
      </w:r>
      <w:r w:rsidR="00C81F62">
        <w:rPr>
          <w:color w:val="000000"/>
        </w:rPr>
        <w:t xml:space="preserve">already </w:t>
      </w:r>
      <w:r w:rsidR="00AA2B36" w:rsidRPr="0029571E">
        <w:rPr>
          <w:color w:val="000000"/>
        </w:rPr>
        <w:t>read them. I do not equate the defendan</w:t>
      </w:r>
      <w:r>
        <w:rPr>
          <w:color w:val="000000"/>
        </w:rPr>
        <w:t>t putting the plaintiffs on full proof of their claim</w:t>
      </w:r>
      <w:r w:rsidR="00AA2B36" w:rsidRPr="0029571E">
        <w:rPr>
          <w:color w:val="000000"/>
        </w:rPr>
        <w:t xml:space="preserve"> with the imposition on them </w:t>
      </w:r>
      <w:r w:rsidR="00C81F62">
        <w:rPr>
          <w:color w:val="000000"/>
        </w:rPr>
        <w:t xml:space="preserve">of </w:t>
      </w:r>
      <w:r w:rsidR="00AA2B36" w:rsidRPr="0029571E">
        <w:rPr>
          <w:color w:val="000000"/>
        </w:rPr>
        <w:t xml:space="preserve">an obligation to formally open all affidavits and </w:t>
      </w:r>
      <w:r>
        <w:rPr>
          <w:color w:val="000000"/>
        </w:rPr>
        <w:t>to read th</w:t>
      </w:r>
      <w:r w:rsidR="00E22A9C">
        <w:rPr>
          <w:color w:val="000000"/>
        </w:rPr>
        <w:t>ose</w:t>
      </w:r>
      <w:r w:rsidR="00C81F62">
        <w:rPr>
          <w:color w:val="000000"/>
        </w:rPr>
        <w:t xml:space="preserve"> affidavits </w:t>
      </w:r>
      <w:r>
        <w:rPr>
          <w:color w:val="000000"/>
        </w:rPr>
        <w:t>and their exhibits into the record</w:t>
      </w:r>
      <w:r w:rsidR="00AA2B36" w:rsidRPr="0029571E">
        <w:rPr>
          <w:color w:val="000000"/>
        </w:rPr>
        <w:t>. This evid</w:t>
      </w:r>
      <w:r>
        <w:rPr>
          <w:color w:val="000000"/>
        </w:rPr>
        <w:t>ence is all before the court. It was</w:t>
      </w:r>
      <w:r w:rsidR="00AA2B36" w:rsidRPr="0029571E">
        <w:rPr>
          <w:color w:val="000000"/>
        </w:rPr>
        <w:t>, as the plaintiff</w:t>
      </w:r>
      <w:r w:rsidR="00E22A9C">
        <w:rPr>
          <w:color w:val="000000"/>
        </w:rPr>
        <w:t xml:space="preserve"> stated</w:t>
      </w:r>
      <w:r>
        <w:rPr>
          <w:color w:val="000000"/>
        </w:rPr>
        <w:t xml:space="preserve">, </w:t>
      </w:r>
      <w:r w:rsidR="00AA2B36" w:rsidRPr="0029571E">
        <w:rPr>
          <w:color w:val="000000"/>
        </w:rPr>
        <w:t>a more ef</w:t>
      </w:r>
      <w:r>
        <w:rPr>
          <w:color w:val="000000"/>
        </w:rPr>
        <w:t>ficient use of the court’</w:t>
      </w:r>
      <w:r w:rsidR="00AA2B36" w:rsidRPr="0029571E">
        <w:rPr>
          <w:color w:val="000000"/>
        </w:rPr>
        <w:t>s time to allow the parties to make their arguments on the correct assumption that I was already familiar with the pleadings and affidavits.</w:t>
      </w:r>
    </w:p>
    <w:p w14:paraId="516D741B" w14:textId="77777777" w:rsidR="00D44918" w:rsidRDefault="00D44918" w:rsidP="00A93FD5">
      <w:pPr>
        <w:pStyle w:val="NormalWeb"/>
        <w:numPr>
          <w:ilvl w:val="0"/>
          <w:numId w:val="1"/>
        </w:numPr>
        <w:spacing w:before="0" w:beforeAutospacing="0" w:after="0" w:afterAutospacing="0" w:line="480" w:lineRule="auto"/>
        <w:ind w:left="0" w:firstLine="0"/>
        <w:jc w:val="both"/>
        <w:rPr>
          <w:color w:val="000000"/>
        </w:rPr>
      </w:pPr>
      <w:r>
        <w:rPr>
          <w:color w:val="000000"/>
        </w:rPr>
        <w:lastRenderedPageBreak/>
        <w:t>The balance of this judgment</w:t>
      </w:r>
      <w:r w:rsidR="00AA2B36" w:rsidRPr="00D44918">
        <w:rPr>
          <w:color w:val="000000"/>
        </w:rPr>
        <w:t xml:space="preserve"> deals with the various issues raised by the defendant in response to the plaintiffs</w:t>
      </w:r>
      <w:r>
        <w:rPr>
          <w:color w:val="000000"/>
        </w:rPr>
        <w:t>’</w:t>
      </w:r>
      <w:r w:rsidR="00AA2B36" w:rsidRPr="00D44918">
        <w:rPr>
          <w:color w:val="000000"/>
        </w:rPr>
        <w:t xml:space="preserve"> applications</w:t>
      </w:r>
      <w:r>
        <w:rPr>
          <w:color w:val="000000"/>
        </w:rPr>
        <w:t>. As will</w:t>
      </w:r>
      <w:r w:rsidR="00AA2B36" w:rsidRPr="00D44918">
        <w:rPr>
          <w:color w:val="000000"/>
        </w:rPr>
        <w:t xml:space="preserve"> become apparent</w:t>
      </w:r>
      <w:r>
        <w:rPr>
          <w:color w:val="000000"/>
        </w:rPr>
        <w:t>,</w:t>
      </w:r>
      <w:r w:rsidR="00AA2B36" w:rsidRPr="00D44918">
        <w:rPr>
          <w:color w:val="000000"/>
        </w:rPr>
        <w:t xml:space="preserve"> th</w:t>
      </w:r>
      <w:r>
        <w:rPr>
          <w:color w:val="000000"/>
        </w:rPr>
        <w:t>e conclusions I have reached on</w:t>
      </w:r>
      <w:r w:rsidR="00AA2B36" w:rsidRPr="00D44918">
        <w:rPr>
          <w:color w:val="000000"/>
        </w:rPr>
        <w:t xml:space="preserve"> one of the main issues raised means that my views on the other </w:t>
      </w:r>
      <w:r>
        <w:rPr>
          <w:color w:val="000000"/>
        </w:rPr>
        <w:t xml:space="preserve">issues are essentially </w:t>
      </w:r>
      <w:r w:rsidRPr="000107EC">
        <w:rPr>
          <w:i/>
          <w:color w:val="000000"/>
        </w:rPr>
        <w:t>obiter</w:t>
      </w:r>
      <w:r w:rsidR="00AA2B36" w:rsidRPr="00D44918">
        <w:rPr>
          <w:color w:val="000000"/>
        </w:rPr>
        <w:t>.</w:t>
      </w:r>
    </w:p>
    <w:p w14:paraId="6F0C0826" w14:textId="77777777" w:rsidR="00C81F62" w:rsidRDefault="00C81F62" w:rsidP="00A93FD5">
      <w:pPr>
        <w:pStyle w:val="NormalWeb"/>
        <w:spacing w:before="0" w:beforeAutospacing="0" w:after="0" w:afterAutospacing="0" w:line="480" w:lineRule="auto"/>
        <w:jc w:val="both"/>
        <w:rPr>
          <w:b/>
          <w:color w:val="000000"/>
          <w:u w:val="single"/>
        </w:rPr>
      </w:pPr>
    </w:p>
    <w:p w14:paraId="3BA17990" w14:textId="77777777" w:rsidR="00D44918" w:rsidRPr="00D44918" w:rsidRDefault="00D44918" w:rsidP="00A93FD5">
      <w:pPr>
        <w:pStyle w:val="NormalWeb"/>
        <w:spacing w:before="0" w:beforeAutospacing="0" w:after="0" w:afterAutospacing="0" w:line="480" w:lineRule="auto"/>
        <w:jc w:val="both"/>
        <w:rPr>
          <w:b/>
          <w:color w:val="000000"/>
          <w:u w:val="single"/>
        </w:rPr>
      </w:pPr>
      <w:r>
        <w:rPr>
          <w:b/>
          <w:color w:val="000000"/>
          <w:u w:val="single"/>
        </w:rPr>
        <w:t>Applicable Test</w:t>
      </w:r>
    </w:p>
    <w:p w14:paraId="3CC1688C" w14:textId="47EB8E30" w:rsidR="00B502EF" w:rsidRDefault="00AA2B36" w:rsidP="00A93FD5">
      <w:pPr>
        <w:pStyle w:val="NormalWeb"/>
        <w:numPr>
          <w:ilvl w:val="0"/>
          <w:numId w:val="1"/>
        </w:numPr>
        <w:spacing w:before="0" w:beforeAutospacing="0" w:after="0" w:afterAutospacing="0" w:line="480" w:lineRule="auto"/>
        <w:ind w:left="0" w:firstLine="0"/>
        <w:jc w:val="both"/>
        <w:rPr>
          <w:color w:val="000000"/>
        </w:rPr>
      </w:pPr>
      <w:r w:rsidRPr="00D44918">
        <w:rPr>
          <w:color w:val="000000"/>
        </w:rPr>
        <w:t>At the outset, the parties disagreed as to whether the applicable threshold test which the plain</w:t>
      </w:r>
      <w:r w:rsidR="00D44918">
        <w:rPr>
          <w:color w:val="000000"/>
        </w:rPr>
        <w:t xml:space="preserve">tiff must meet is the standard </w:t>
      </w:r>
      <w:r w:rsidR="00D44918" w:rsidRPr="00D44918">
        <w:rPr>
          <w:i/>
          <w:color w:val="000000"/>
        </w:rPr>
        <w:t>Campus Oil v. Minister for E</w:t>
      </w:r>
      <w:r w:rsidRPr="00D44918">
        <w:rPr>
          <w:i/>
          <w:color w:val="000000"/>
        </w:rPr>
        <w:t>nergy</w:t>
      </w:r>
      <w:r w:rsidRPr="00D44918">
        <w:rPr>
          <w:color w:val="000000"/>
        </w:rPr>
        <w:t xml:space="preserve"> one of a</w:t>
      </w:r>
      <w:r w:rsidR="00665D47">
        <w:rPr>
          <w:color w:val="000000"/>
        </w:rPr>
        <w:t xml:space="preserve"> </w:t>
      </w:r>
      <w:r w:rsidR="00665D47">
        <w:rPr>
          <w:i/>
          <w:color w:val="000000"/>
        </w:rPr>
        <w:t>“fair question to be tried”</w:t>
      </w:r>
      <w:r w:rsidRPr="00D44918">
        <w:rPr>
          <w:color w:val="000000"/>
        </w:rPr>
        <w:t xml:space="preserve"> </w:t>
      </w:r>
      <w:r w:rsidR="00665D47">
        <w:rPr>
          <w:color w:val="000000"/>
        </w:rPr>
        <w:t xml:space="preserve">or the higher </w:t>
      </w:r>
      <w:proofErr w:type="spellStart"/>
      <w:r w:rsidR="00665D47">
        <w:rPr>
          <w:i/>
          <w:color w:val="000000"/>
        </w:rPr>
        <w:t>Maha</w:t>
      </w:r>
      <w:proofErr w:type="spellEnd"/>
      <w:r w:rsidR="00665D47">
        <w:rPr>
          <w:i/>
          <w:color w:val="000000"/>
        </w:rPr>
        <w:t xml:space="preserve"> </w:t>
      </w:r>
      <w:proofErr w:type="spellStart"/>
      <w:r w:rsidR="00665D47">
        <w:rPr>
          <w:i/>
          <w:color w:val="000000"/>
        </w:rPr>
        <w:t>Lingham</w:t>
      </w:r>
      <w:proofErr w:type="spellEnd"/>
      <w:r w:rsidRPr="00D44918">
        <w:rPr>
          <w:color w:val="000000"/>
        </w:rPr>
        <w:t xml:space="preserve"> test ap</w:t>
      </w:r>
      <w:r w:rsidR="00CF5B94">
        <w:rPr>
          <w:color w:val="000000"/>
        </w:rPr>
        <w:t>plicable when mandatory relief is sought on an</w:t>
      </w:r>
      <w:r w:rsidRPr="00D44918">
        <w:rPr>
          <w:color w:val="000000"/>
        </w:rPr>
        <w:t xml:space="preserve"> </w:t>
      </w:r>
      <w:r w:rsidR="00CF5B94">
        <w:rPr>
          <w:color w:val="000000"/>
        </w:rPr>
        <w:t xml:space="preserve">interlocutory basis. </w:t>
      </w:r>
      <w:r w:rsidR="00CC0600">
        <w:rPr>
          <w:color w:val="000000"/>
        </w:rPr>
        <w:t>The higher test requires the plaintiffs to establish a “</w:t>
      </w:r>
      <w:r w:rsidR="00CC0600" w:rsidRPr="003C3987">
        <w:rPr>
          <w:i/>
          <w:color w:val="000000"/>
        </w:rPr>
        <w:t>strong case</w:t>
      </w:r>
      <w:r w:rsidR="00CC0600">
        <w:rPr>
          <w:color w:val="000000"/>
        </w:rPr>
        <w:t xml:space="preserve">”. </w:t>
      </w:r>
      <w:r w:rsidR="00CF5B94">
        <w:rPr>
          <w:color w:val="000000"/>
        </w:rPr>
        <w:t>The notice</w:t>
      </w:r>
      <w:r w:rsidRPr="00D44918">
        <w:rPr>
          <w:color w:val="000000"/>
        </w:rPr>
        <w:t xml:space="preserve"> of motion seeks fo</w:t>
      </w:r>
      <w:r w:rsidR="00CF5B94">
        <w:rPr>
          <w:color w:val="000000"/>
        </w:rPr>
        <w:t>u</w:t>
      </w:r>
      <w:r w:rsidRPr="00D44918">
        <w:rPr>
          <w:color w:val="000000"/>
        </w:rPr>
        <w:t>r injunctive relief</w:t>
      </w:r>
      <w:r w:rsidR="00CF5B94">
        <w:rPr>
          <w:color w:val="000000"/>
        </w:rPr>
        <w:t>s,</w:t>
      </w:r>
      <w:r w:rsidRPr="00D44918">
        <w:rPr>
          <w:color w:val="000000"/>
        </w:rPr>
        <w:t xml:space="preserve"> two of which are expressed in prohibitory terms </w:t>
      </w:r>
      <w:r w:rsidR="00B502EF">
        <w:rPr>
          <w:color w:val="000000"/>
        </w:rPr>
        <w:t>(i.e. they seek orders</w:t>
      </w:r>
      <w:r w:rsidRPr="00D44918">
        <w:rPr>
          <w:color w:val="000000"/>
        </w:rPr>
        <w:t xml:space="preserve"> restraining the defendant and others from doing certain things</w:t>
      </w:r>
      <w:r w:rsidR="00B502EF">
        <w:rPr>
          <w:color w:val="000000"/>
        </w:rPr>
        <w:t xml:space="preserve">) </w:t>
      </w:r>
      <w:r w:rsidRPr="00D44918">
        <w:rPr>
          <w:color w:val="000000"/>
        </w:rPr>
        <w:t>and two</w:t>
      </w:r>
      <w:r w:rsidR="00B502EF">
        <w:rPr>
          <w:color w:val="000000"/>
        </w:rPr>
        <w:t xml:space="preserve"> of which are expressed in mand</w:t>
      </w:r>
      <w:r w:rsidRPr="00D44918">
        <w:rPr>
          <w:color w:val="000000"/>
        </w:rPr>
        <w:t>a</w:t>
      </w:r>
      <w:r w:rsidR="00B502EF">
        <w:rPr>
          <w:color w:val="000000"/>
        </w:rPr>
        <w:t>tory terms (</w:t>
      </w:r>
      <w:r w:rsidRPr="00D44918">
        <w:rPr>
          <w:color w:val="000000"/>
        </w:rPr>
        <w:t>i</w:t>
      </w:r>
      <w:r w:rsidR="00B502EF">
        <w:rPr>
          <w:color w:val="000000"/>
        </w:rPr>
        <w:t>.</w:t>
      </w:r>
      <w:r w:rsidRPr="00D44918">
        <w:rPr>
          <w:color w:val="000000"/>
        </w:rPr>
        <w:t>e</w:t>
      </w:r>
      <w:r w:rsidR="00B502EF">
        <w:rPr>
          <w:color w:val="000000"/>
        </w:rPr>
        <w:t>.</w:t>
      </w:r>
      <w:r w:rsidRPr="00D44918">
        <w:rPr>
          <w:color w:val="000000"/>
        </w:rPr>
        <w:t xml:space="preserve"> they seek orders directing the defendant to deliver</w:t>
      </w:r>
      <w:r w:rsidR="00B502EF">
        <w:rPr>
          <w:color w:val="000000"/>
        </w:rPr>
        <w:t xml:space="preserve"> up or</w:t>
      </w:r>
      <w:r w:rsidRPr="00D44918">
        <w:rPr>
          <w:color w:val="000000"/>
        </w:rPr>
        <w:t xml:space="preserve"> </w:t>
      </w:r>
      <w:r w:rsidR="00CC0600">
        <w:rPr>
          <w:color w:val="000000"/>
        </w:rPr>
        <w:t xml:space="preserve">to </w:t>
      </w:r>
      <w:r w:rsidRPr="00D44918">
        <w:rPr>
          <w:color w:val="000000"/>
        </w:rPr>
        <w:t>provide certain things</w:t>
      </w:r>
      <w:r w:rsidR="00B502EF">
        <w:rPr>
          <w:color w:val="000000"/>
        </w:rPr>
        <w:t>).</w:t>
      </w:r>
      <w:r w:rsidRPr="00D44918">
        <w:rPr>
          <w:color w:val="000000"/>
        </w:rPr>
        <w:t xml:space="preserve"> It is</w:t>
      </w:r>
      <w:r w:rsidR="00B502EF">
        <w:rPr>
          <w:color w:val="000000"/>
        </w:rPr>
        <w:t>,</w:t>
      </w:r>
      <w:r w:rsidRPr="00D44918">
        <w:rPr>
          <w:color w:val="000000"/>
        </w:rPr>
        <w:t xml:space="preserve"> however</w:t>
      </w:r>
      <w:r w:rsidR="00B502EF">
        <w:rPr>
          <w:color w:val="000000"/>
        </w:rPr>
        <w:t>, probably fair to regard the first two reliefs,</w:t>
      </w:r>
      <w:r w:rsidRPr="00D44918">
        <w:rPr>
          <w:color w:val="000000"/>
        </w:rPr>
        <w:t xml:space="preserve"> which are express</w:t>
      </w:r>
      <w:r w:rsidR="00B502EF">
        <w:rPr>
          <w:color w:val="000000"/>
        </w:rPr>
        <w:t xml:space="preserve">ed in prohibitory terms, </w:t>
      </w:r>
      <w:r w:rsidRPr="00D44918">
        <w:rPr>
          <w:color w:val="000000"/>
        </w:rPr>
        <w:t>as g</w:t>
      </w:r>
      <w:r w:rsidR="00B502EF">
        <w:rPr>
          <w:color w:val="000000"/>
        </w:rPr>
        <w:t>oing to the core of the plaintiffs’ application</w:t>
      </w:r>
      <w:r w:rsidRPr="00D44918">
        <w:rPr>
          <w:color w:val="000000"/>
        </w:rPr>
        <w:t xml:space="preserve">. The other two are </w:t>
      </w:r>
      <w:r w:rsidR="00C81F62">
        <w:rPr>
          <w:color w:val="000000"/>
        </w:rPr>
        <w:t xml:space="preserve">really </w:t>
      </w:r>
      <w:r w:rsidRPr="00D44918">
        <w:rPr>
          <w:color w:val="000000"/>
        </w:rPr>
        <w:t xml:space="preserve">ancillary to the first two and are unlikely to be granted </w:t>
      </w:r>
      <w:r w:rsidR="00B502EF">
        <w:rPr>
          <w:color w:val="000000"/>
        </w:rPr>
        <w:t>(or even useful) unless the first two a</w:t>
      </w:r>
      <w:r w:rsidRPr="00D44918">
        <w:rPr>
          <w:color w:val="000000"/>
        </w:rPr>
        <w:t>re</w:t>
      </w:r>
      <w:r w:rsidR="00B502EF">
        <w:rPr>
          <w:color w:val="000000"/>
        </w:rPr>
        <w:t xml:space="preserve"> also granted</w:t>
      </w:r>
      <w:r w:rsidRPr="00D44918">
        <w:rPr>
          <w:color w:val="000000"/>
        </w:rPr>
        <w:t>.</w:t>
      </w:r>
    </w:p>
    <w:p w14:paraId="62D49787" w14:textId="32BA8FE5" w:rsidR="007E57E3" w:rsidRDefault="00AA2B36" w:rsidP="00A93FD5">
      <w:pPr>
        <w:pStyle w:val="NormalWeb"/>
        <w:numPr>
          <w:ilvl w:val="0"/>
          <w:numId w:val="1"/>
        </w:numPr>
        <w:spacing w:before="0" w:beforeAutospacing="0" w:after="0" w:afterAutospacing="0" w:line="480" w:lineRule="auto"/>
        <w:ind w:left="0" w:firstLine="0"/>
        <w:jc w:val="both"/>
        <w:rPr>
          <w:color w:val="000000"/>
        </w:rPr>
      </w:pPr>
      <w:r w:rsidRPr="00D44918">
        <w:rPr>
          <w:color w:val="000000"/>
        </w:rPr>
        <w:t xml:space="preserve">The defendant argues that the fact </w:t>
      </w:r>
      <w:r w:rsidR="00B70081">
        <w:rPr>
          <w:color w:val="000000"/>
        </w:rPr>
        <w:t>relief is expressed in prohibito</w:t>
      </w:r>
      <w:r w:rsidRPr="00D44918">
        <w:rPr>
          <w:color w:val="000000"/>
        </w:rPr>
        <w:t xml:space="preserve">ry terms is not determinative of whether it is </w:t>
      </w:r>
      <w:r w:rsidR="00B70081">
        <w:rPr>
          <w:color w:val="000000"/>
        </w:rPr>
        <w:t>mandatory or prohibitory</w:t>
      </w:r>
      <w:r w:rsidRPr="00D44918">
        <w:rPr>
          <w:color w:val="000000"/>
        </w:rPr>
        <w:t>. The te</w:t>
      </w:r>
      <w:r w:rsidR="00B70081">
        <w:rPr>
          <w:color w:val="000000"/>
        </w:rPr>
        <w:t>st is one of substance and not of form</w:t>
      </w:r>
      <w:r w:rsidRPr="00D44918">
        <w:rPr>
          <w:color w:val="000000"/>
        </w:rPr>
        <w:t xml:space="preserve">. The court must look to the effect of the relief </w:t>
      </w:r>
      <w:r w:rsidR="00B70081">
        <w:rPr>
          <w:color w:val="000000"/>
        </w:rPr>
        <w:t>sought to determine whether</w:t>
      </w:r>
      <w:r w:rsidRPr="00D44918">
        <w:rPr>
          <w:color w:val="000000"/>
        </w:rPr>
        <w:t xml:space="preserve"> i</w:t>
      </w:r>
      <w:r w:rsidR="00B70081">
        <w:rPr>
          <w:color w:val="000000"/>
        </w:rPr>
        <w:t>t i</w:t>
      </w:r>
      <w:r w:rsidRPr="00D44918">
        <w:rPr>
          <w:color w:val="000000"/>
        </w:rPr>
        <w:t>s truly prohibitory in nature. As the same relief can often be framed in both proh</w:t>
      </w:r>
      <w:r w:rsidR="00B70081">
        <w:rPr>
          <w:color w:val="000000"/>
        </w:rPr>
        <w:t>ibitory and mandatory terms, t</w:t>
      </w:r>
      <w:r w:rsidRPr="00D44918">
        <w:rPr>
          <w:color w:val="000000"/>
        </w:rPr>
        <w:t>he distinct</w:t>
      </w:r>
      <w:r w:rsidR="000604E5">
        <w:rPr>
          <w:color w:val="000000"/>
        </w:rPr>
        <w:t>ion is not always easy to draw. I</w:t>
      </w:r>
      <w:r w:rsidRPr="00D44918">
        <w:rPr>
          <w:color w:val="000000"/>
        </w:rPr>
        <w:t>t is nonet</w:t>
      </w:r>
      <w:r w:rsidR="007E57E3">
        <w:rPr>
          <w:color w:val="000000"/>
        </w:rPr>
        <w:t>heless an important distinction</w:t>
      </w:r>
      <w:r w:rsidRPr="00D44918">
        <w:rPr>
          <w:color w:val="000000"/>
        </w:rPr>
        <w:t xml:space="preserve"> as courts are generally reluctant to grant mandatory interlocutory</w:t>
      </w:r>
      <w:r w:rsidR="007E57E3">
        <w:rPr>
          <w:color w:val="000000"/>
        </w:rPr>
        <w:t xml:space="preserve"> relief requiring the injuncted</w:t>
      </w:r>
      <w:r w:rsidRPr="00D44918">
        <w:rPr>
          <w:color w:val="000000"/>
        </w:rPr>
        <w:t xml:space="preserve"> party to take positive steps before his liability to do so has been determined by a court following a full hearing </w:t>
      </w:r>
      <w:r w:rsidRPr="00D44918">
        <w:rPr>
          <w:color w:val="000000"/>
        </w:rPr>
        <w:lastRenderedPageBreak/>
        <w:t xml:space="preserve">of all of the </w:t>
      </w:r>
      <w:r w:rsidR="007E57E3">
        <w:rPr>
          <w:color w:val="000000"/>
        </w:rPr>
        <w:t>evidence. Consequently, as Fenne</w:t>
      </w:r>
      <w:r w:rsidRPr="00D44918">
        <w:rPr>
          <w:color w:val="000000"/>
        </w:rPr>
        <w:t>lly J</w:t>
      </w:r>
      <w:r w:rsidR="007E57E3">
        <w:rPr>
          <w:color w:val="000000"/>
        </w:rPr>
        <w:t>. put it</w:t>
      </w:r>
      <w:r w:rsidRPr="00D44918">
        <w:rPr>
          <w:color w:val="000000"/>
        </w:rPr>
        <w:t xml:space="preserve"> in </w:t>
      </w:r>
      <w:proofErr w:type="spellStart"/>
      <w:r w:rsidR="007E57E3">
        <w:rPr>
          <w:i/>
          <w:color w:val="000000"/>
        </w:rPr>
        <w:t>Maha</w:t>
      </w:r>
      <w:proofErr w:type="spellEnd"/>
      <w:r w:rsidR="007E57E3">
        <w:rPr>
          <w:i/>
          <w:color w:val="000000"/>
        </w:rPr>
        <w:t xml:space="preserve"> </w:t>
      </w:r>
      <w:proofErr w:type="spellStart"/>
      <w:r w:rsidR="007E57E3" w:rsidRPr="007E57E3">
        <w:rPr>
          <w:i/>
          <w:color w:val="000000"/>
        </w:rPr>
        <w:t>Lingham</w:t>
      </w:r>
      <w:proofErr w:type="spellEnd"/>
      <w:r w:rsidR="007E57E3">
        <w:rPr>
          <w:i/>
          <w:color w:val="000000"/>
        </w:rPr>
        <w:t xml:space="preserve"> v. HSE </w:t>
      </w:r>
      <w:r w:rsidR="007E57E3">
        <w:rPr>
          <w:color w:val="000000"/>
        </w:rPr>
        <w:t xml:space="preserve">[2006] </w:t>
      </w:r>
      <w:r w:rsidR="00253C65">
        <w:rPr>
          <w:color w:val="000000"/>
        </w:rPr>
        <w:t xml:space="preserve">17 </w:t>
      </w:r>
      <w:r w:rsidR="007E57E3">
        <w:rPr>
          <w:color w:val="000000"/>
        </w:rPr>
        <w:t>ELR 137, i</w:t>
      </w:r>
      <w:r w:rsidRPr="00D44918">
        <w:rPr>
          <w:color w:val="000000"/>
        </w:rPr>
        <w:t>n order for a court to grant mandatory interlocutory relief, it is necessa</w:t>
      </w:r>
      <w:r w:rsidR="007E57E3">
        <w:rPr>
          <w:color w:val="000000"/>
        </w:rPr>
        <w:t xml:space="preserve">ry to show </w:t>
      </w:r>
      <w:r w:rsidR="007E57E3" w:rsidRPr="007E57E3">
        <w:rPr>
          <w:i/>
          <w:color w:val="000000"/>
        </w:rPr>
        <w:t>“</w:t>
      </w:r>
      <w:r w:rsidRPr="007E57E3">
        <w:rPr>
          <w:i/>
          <w:color w:val="000000"/>
        </w:rPr>
        <w:t>a strong case that</w:t>
      </w:r>
      <w:r w:rsidRPr="00D44918">
        <w:rPr>
          <w:color w:val="000000"/>
        </w:rPr>
        <w:t xml:space="preserve"> </w:t>
      </w:r>
      <w:r w:rsidR="007E57E3">
        <w:rPr>
          <w:color w:val="000000"/>
        </w:rPr>
        <w:t>[they</w:t>
      </w:r>
      <w:r w:rsidRPr="00D44918">
        <w:rPr>
          <w:color w:val="000000"/>
        </w:rPr>
        <w:t xml:space="preserve"> </w:t>
      </w:r>
      <w:r w:rsidRPr="003C3987">
        <w:rPr>
          <w:iCs/>
          <w:color w:val="000000"/>
        </w:rPr>
        <w:t>are</w:t>
      </w:r>
      <w:r w:rsidR="00253C65" w:rsidRPr="003C3987">
        <w:rPr>
          <w:iCs/>
          <w:color w:val="000000"/>
        </w:rPr>
        <w:t>]</w:t>
      </w:r>
      <w:r w:rsidRPr="007E57E3">
        <w:rPr>
          <w:i/>
          <w:color w:val="000000"/>
        </w:rPr>
        <w:t xml:space="preserve"> likely to succeed at the hearing of the action</w:t>
      </w:r>
      <w:r w:rsidR="007E57E3">
        <w:rPr>
          <w:i/>
          <w:color w:val="000000"/>
        </w:rPr>
        <w:t>”</w:t>
      </w:r>
      <w:r w:rsidR="007E57E3">
        <w:rPr>
          <w:color w:val="000000"/>
        </w:rPr>
        <w:t>.</w:t>
      </w:r>
      <w:r w:rsidRPr="00D44918">
        <w:rPr>
          <w:color w:val="000000"/>
        </w:rPr>
        <w:t xml:space="preserve"> </w:t>
      </w:r>
    </w:p>
    <w:p w14:paraId="10C5F9A0" w14:textId="662E2AF1" w:rsidR="00CD29A2" w:rsidRDefault="007E57E3" w:rsidP="00A93FD5">
      <w:pPr>
        <w:pStyle w:val="NormalWeb"/>
        <w:numPr>
          <w:ilvl w:val="0"/>
          <w:numId w:val="1"/>
        </w:numPr>
        <w:spacing w:before="0" w:beforeAutospacing="0" w:after="0" w:afterAutospacing="0" w:line="480" w:lineRule="auto"/>
        <w:ind w:left="0" w:firstLine="0"/>
        <w:jc w:val="both"/>
        <w:rPr>
          <w:color w:val="000000"/>
        </w:rPr>
      </w:pPr>
      <w:r>
        <w:rPr>
          <w:color w:val="000000"/>
        </w:rPr>
        <w:t>T</w:t>
      </w:r>
      <w:r w:rsidR="00AA2B36" w:rsidRPr="00D44918">
        <w:rPr>
          <w:color w:val="000000"/>
        </w:rPr>
        <w:t xml:space="preserve">he defendant </w:t>
      </w:r>
      <w:r w:rsidR="00C81F62">
        <w:rPr>
          <w:color w:val="000000"/>
        </w:rPr>
        <w:t xml:space="preserve">also </w:t>
      </w:r>
      <w:r w:rsidR="00AA2B36" w:rsidRPr="00D44918">
        <w:rPr>
          <w:color w:val="000000"/>
        </w:rPr>
        <w:t xml:space="preserve">argues that </w:t>
      </w:r>
      <w:r>
        <w:rPr>
          <w:color w:val="000000"/>
        </w:rPr>
        <w:t xml:space="preserve">where </w:t>
      </w:r>
      <w:r w:rsidR="00AA2B36" w:rsidRPr="00D44918">
        <w:rPr>
          <w:color w:val="000000"/>
        </w:rPr>
        <w:t>the grant</w:t>
      </w:r>
      <w:r>
        <w:rPr>
          <w:color w:val="000000"/>
        </w:rPr>
        <w:t xml:space="preserve"> of </w:t>
      </w:r>
      <w:r w:rsidR="00AA2B36" w:rsidRPr="007E57E3">
        <w:rPr>
          <w:color w:val="000000"/>
        </w:rPr>
        <w:t xml:space="preserve">relief would materially alter the </w:t>
      </w:r>
      <w:r w:rsidR="00AA2B36" w:rsidRPr="007E57E3">
        <w:rPr>
          <w:i/>
          <w:color w:val="000000"/>
        </w:rPr>
        <w:t>status quo</w:t>
      </w:r>
      <w:r>
        <w:rPr>
          <w:color w:val="000000"/>
        </w:rPr>
        <w:t>, the</w:t>
      </w:r>
      <w:r w:rsidR="00AA2B36" w:rsidRPr="007E57E3">
        <w:rPr>
          <w:color w:val="000000"/>
        </w:rPr>
        <w:t>n it should be treated as a mandatory application</w:t>
      </w:r>
      <w:r>
        <w:rPr>
          <w:color w:val="000000"/>
        </w:rPr>
        <w:t>. Here, t</w:t>
      </w:r>
      <w:r w:rsidR="00AA2B36" w:rsidRPr="007E57E3">
        <w:rPr>
          <w:color w:val="000000"/>
        </w:rPr>
        <w:t xml:space="preserve">he plaintiffs have not taken possession of the properties and the </w:t>
      </w:r>
      <w:r w:rsidR="00E96165">
        <w:rPr>
          <w:color w:val="000000"/>
        </w:rPr>
        <w:t xml:space="preserve">defendant contends that the </w:t>
      </w:r>
      <w:r w:rsidR="00AA2B36" w:rsidRPr="007E57E3">
        <w:rPr>
          <w:color w:val="000000"/>
        </w:rPr>
        <w:t>grant of the relief sought would operate so as to effect a transfer of possession from the defendant to the plaintiffs</w:t>
      </w:r>
      <w:r w:rsidR="00A63D5E">
        <w:rPr>
          <w:color w:val="000000"/>
        </w:rPr>
        <w:t>.</w:t>
      </w:r>
      <w:r w:rsidR="00AA2B36" w:rsidRPr="007E57E3">
        <w:rPr>
          <w:color w:val="000000"/>
        </w:rPr>
        <w:t xml:space="preserve"> I note that</w:t>
      </w:r>
      <w:r w:rsidR="00A63D5E">
        <w:rPr>
          <w:color w:val="000000"/>
        </w:rPr>
        <w:t>,</w:t>
      </w:r>
      <w:r w:rsidR="00AA2B36" w:rsidRPr="007E57E3">
        <w:rPr>
          <w:color w:val="000000"/>
        </w:rPr>
        <w:t xml:space="preserve"> in </w:t>
      </w:r>
      <w:r w:rsidR="00AA2B36" w:rsidRPr="00A63D5E">
        <w:rPr>
          <w:i/>
          <w:color w:val="000000"/>
        </w:rPr>
        <w:t>McCarthy</w:t>
      </w:r>
      <w:r w:rsidR="00A63D5E" w:rsidRPr="00A63D5E">
        <w:rPr>
          <w:i/>
          <w:color w:val="000000"/>
        </w:rPr>
        <w:t xml:space="preserve"> v. Mo</w:t>
      </w:r>
      <w:r w:rsidR="00AA2B36" w:rsidRPr="00A63D5E">
        <w:rPr>
          <w:i/>
          <w:color w:val="000000"/>
        </w:rPr>
        <w:t>roney</w:t>
      </w:r>
      <w:r w:rsidR="00AA2B36" w:rsidRPr="007E57E3">
        <w:rPr>
          <w:color w:val="000000"/>
        </w:rPr>
        <w:t xml:space="preserve"> </w:t>
      </w:r>
      <w:r w:rsidR="00A63D5E">
        <w:rPr>
          <w:color w:val="000000"/>
        </w:rPr>
        <w:t xml:space="preserve">[2018] IEHC 379, </w:t>
      </w:r>
      <w:r w:rsidR="00CC0600">
        <w:rPr>
          <w:color w:val="000000"/>
        </w:rPr>
        <w:t xml:space="preserve">where </w:t>
      </w:r>
      <w:r w:rsidR="00AA2B36" w:rsidRPr="007E57E3">
        <w:rPr>
          <w:color w:val="000000"/>
        </w:rPr>
        <w:t>somewhat similar interlocutory injunctive relief was sought to restrain the defendants from impeding a receiver fro</w:t>
      </w:r>
      <w:r w:rsidR="00A63D5E">
        <w:rPr>
          <w:color w:val="000000"/>
        </w:rPr>
        <w:t>m taking possession of property, McDonald J. regarded</w:t>
      </w:r>
      <w:r w:rsidR="00AA2B36" w:rsidRPr="007E57E3">
        <w:rPr>
          <w:color w:val="000000"/>
        </w:rPr>
        <w:t xml:space="preserve"> counsel for the defendants as </w:t>
      </w:r>
      <w:r w:rsidR="00CC0600">
        <w:rPr>
          <w:color w:val="000000"/>
        </w:rPr>
        <w:t xml:space="preserve">having </w:t>
      </w:r>
      <w:r w:rsidR="00AA2B36" w:rsidRPr="007E57E3">
        <w:rPr>
          <w:color w:val="000000"/>
        </w:rPr>
        <w:t xml:space="preserve">been </w:t>
      </w:r>
      <w:r w:rsidR="00A63D5E" w:rsidRPr="00CF591D">
        <w:rPr>
          <w:i/>
          <w:color w:val="000000"/>
        </w:rPr>
        <w:t>“</w:t>
      </w:r>
      <w:r w:rsidR="00AA2B36" w:rsidRPr="00CF591D">
        <w:rPr>
          <w:i/>
          <w:color w:val="000000"/>
        </w:rPr>
        <w:t>undoubtedly correct</w:t>
      </w:r>
      <w:r w:rsidR="00CF591D" w:rsidRPr="00CF591D">
        <w:rPr>
          <w:i/>
          <w:color w:val="000000"/>
        </w:rPr>
        <w:t>”</w:t>
      </w:r>
      <w:r w:rsidR="00AA2B36" w:rsidRPr="007E57E3">
        <w:rPr>
          <w:color w:val="000000"/>
        </w:rPr>
        <w:t xml:space="preserve"> in conceding that the relief was in substance mandatory such that the higher threshold applied</w:t>
      </w:r>
      <w:r w:rsidR="00CF591D">
        <w:rPr>
          <w:color w:val="000000"/>
        </w:rPr>
        <w:t>. Although</w:t>
      </w:r>
      <w:r w:rsidR="00AA2B36" w:rsidRPr="007E57E3">
        <w:rPr>
          <w:color w:val="000000"/>
        </w:rPr>
        <w:t xml:space="preserve"> similar</w:t>
      </w:r>
      <w:r w:rsidR="00CF591D">
        <w:rPr>
          <w:color w:val="000000"/>
        </w:rPr>
        <w:t>, t</w:t>
      </w:r>
      <w:r w:rsidR="00AA2B36" w:rsidRPr="007E57E3">
        <w:rPr>
          <w:color w:val="000000"/>
        </w:rPr>
        <w:t xml:space="preserve">hat case is not </w:t>
      </w:r>
      <w:r w:rsidR="00CC0600">
        <w:rPr>
          <w:color w:val="000000"/>
        </w:rPr>
        <w:t xml:space="preserve">exactly </w:t>
      </w:r>
      <w:r w:rsidR="00AA2B36" w:rsidRPr="007E57E3">
        <w:rPr>
          <w:color w:val="000000"/>
        </w:rPr>
        <w:t>on all fours with this</w:t>
      </w:r>
      <w:r w:rsidR="00CF591D">
        <w:rPr>
          <w:color w:val="000000"/>
        </w:rPr>
        <w:t xml:space="preserve">. The </w:t>
      </w:r>
      <w:r w:rsidR="00AA2B36" w:rsidRPr="007E57E3">
        <w:rPr>
          <w:color w:val="000000"/>
        </w:rPr>
        <w:t xml:space="preserve">defendants in </w:t>
      </w:r>
      <w:r w:rsidR="00AA2B36" w:rsidRPr="00CF591D">
        <w:rPr>
          <w:i/>
          <w:color w:val="000000"/>
        </w:rPr>
        <w:t>McCarthy</w:t>
      </w:r>
      <w:r w:rsidR="00CF591D">
        <w:rPr>
          <w:color w:val="000000"/>
        </w:rPr>
        <w:t xml:space="preserve"> we</w:t>
      </w:r>
      <w:r w:rsidR="00AA2B36" w:rsidRPr="007E57E3">
        <w:rPr>
          <w:color w:val="000000"/>
        </w:rPr>
        <w:t>re not just in possession of</w:t>
      </w:r>
      <w:r w:rsidR="00253C65">
        <w:rPr>
          <w:color w:val="000000"/>
        </w:rPr>
        <w:t>,</w:t>
      </w:r>
      <w:r w:rsidR="00AA2B36" w:rsidRPr="007E57E3">
        <w:rPr>
          <w:color w:val="000000"/>
        </w:rPr>
        <w:t xml:space="preserve"> but also in occupa</w:t>
      </w:r>
      <w:r w:rsidR="00CF591D">
        <w:rPr>
          <w:color w:val="000000"/>
        </w:rPr>
        <w:t>tion of</w:t>
      </w:r>
      <w:r w:rsidR="00253C65">
        <w:rPr>
          <w:color w:val="000000"/>
        </w:rPr>
        <w:t>,</w:t>
      </w:r>
      <w:r w:rsidR="00CF591D">
        <w:rPr>
          <w:color w:val="000000"/>
        </w:rPr>
        <w:t xml:space="preserve"> the lands in issue. </w:t>
      </w:r>
      <w:r w:rsidR="00E96165">
        <w:rPr>
          <w:color w:val="000000"/>
        </w:rPr>
        <w:t>The relief sought expressly</w:t>
      </w:r>
      <w:r w:rsidR="00E96165" w:rsidRPr="007E57E3">
        <w:rPr>
          <w:color w:val="000000"/>
        </w:rPr>
        <w:t xml:space="preserve"> referred to the defendants being restrained from impeding the receiver taking poss</w:t>
      </w:r>
      <w:r w:rsidR="00E96165">
        <w:rPr>
          <w:color w:val="000000"/>
        </w:rPr>
        <w:t>ession of the property</w:t>
      </w:r>
      <w:r w:rsidR="00E96165" w:rsidRPr="007E57E3">
        <w:rPr>
          <w:color w:val="000000"/>
        </w:rPr>
        <w:t xml:space="preserve">. </w:t>
      </w:r>
      <w:r w:rsidR="00CD29A2">
        <w:rPr>
          <w:color w:val="000000"/>
        </w:rPr>
        <w:t>Thus, the grant of the relief requiring th</w:t>
      </w:r>
      <w:r w:rsidR="00E96165">
        <w:rPr>
          <w:color w:val="000000"/>
        </w:rPr>
        <w:t>os</w:t>
      </w:r>
      <w:r w:rsidR="00CD29A2">
        <w:rPr>
          <w:color w:val="000000"/>
        </w:rPr>
        <w:t>e defendants not to interfere with the receiver taking possession of the property necessarily meant that the</w:t>
      </w:r>
      <w:r w:rsidR="00E96165">
        <w:rPr>
          <w:color w:val="000000"/>
        </w:rPr>
        <w:t>y</w:t>
      </w:r>
      <w:r w:rsidR="00CD29A2">
        <w:rPr>
          <w:color w:val="000000"/>
        </w:rPr>
        <w:t xml:space="preserve"> would have to leave the premises of which they were in occupation.</w:t>
      </w:r>
    </w:p>
    <w:p w14:paraId="160631F7" w14:textId="77777777" w:rsidR="00C779AA" w:rsidRDefault="00AA2B36" w:rsidP="00A93FD5">
      <w:pPr>
        <w:pStyle w:val="NormalWeb"/>
        <w:numPr>
          <w:ilvl w:val="0"/>
          <w:numId w:val="1"/>
        </w:numPr>
        <w:spacing w:before="0" w:beforeAutospacing="0" w:after="0" w:afterAutospacing="0" w:line="480" w:lineRule="auto"/>
        <w:ind w:left="0" w:firstLine="0"/>
        <w:jc w:val="both"/>
        <w:rPr>
          <w:color w:val="000000"/>
        </w:rPr>
      </w:pPr>
      <w:r w:rsidRPr="007E57E3">
        <w:rPr>
          <w:color w:val="000000"/>
        </w:rPr>
        <w:t>Here the properties are currently o</w:t>
      </w:r>
      <w:r w:rsidR="00CF591D">
        <w:rPr>
          <w:color w:val="000000"/>
        </w:rPr>
        <w:t>ccupied by tenants</w:t>
      </w:r>
      <w:r w:rsidRPr="007E57E3">
        <w:rPr>
          <w:color w:val="000000"/>
        </w:rPr>
        <w:t xml:space="preserve">. </w:t>
      </w:r>
      <w:r w:rsidR="00866ED0">
        <w:rPr>
          <w:color w:val="000000"/>
        </w:rPr>
        <w:t xml:space="preserve">Whilst legally possession and occupation are distinct concepts, on a very basic level </w:t>
      </w:r>
      <w:r w:rsidR="00E96165">
        <w:rPr>
          <w:color w:val="000000"/>
        </w:rPr>
        <w:t>restraining the defendant from interfering with the receiver would not necessarily result in any alteration in the occupation of the premises.  However, t</w:t>
      </w:r>
      <w:r w:rsidRPr="007E57E3">
        <w:rPr>
          <w:color w:val="000000"/>
        </w:rPr>
        <w:t xml:space="preserve">he relief is directed not only at the defendant but also seeks to restrain </w:t>
      </w:r>
      <w:r w:rsidR="00CF591D">
        <w:rPr>
          <w:i/>
          <w:color w:val="000000"/>
        </w:rPr>
        <w:t>“</w:t>
      </w:r>
      <w:r w:rsidRPr="00CF591D">
        <w:rPr>
          <w:i/>
          <w:color w:val="000000"/>
        </w:rPr>
        <w:t>an</w:t>
      </w:r>
      <w:r w:rsidR="00CF591D" w:rsidRPr="00CF591D">
        <w:rPr>
          <w:i/>
          <w:color w:val="000000"/>
        </w:rPr>
        <w:t>yone acting in concert with him</w:t>
      </w:r>
      <w:r w:rsidRPr="00CF591D">
        <w:rPr>
          <w:i/>
          <w:color w:val="000000"/>
        </w:rPr>
        <w:t xml:space="preserve"> or anyone having notice of the order</w:t>
      </w:r>
      <w:r w:rsidR="00CF591D" w:rsidRPr="00CF591D">
        <w:rPr>
          <w:i/>
          <w:color w:val="000000"/>
        </w:rPr>
        <w:t>”</w:t>
      </w:r>
      <w:r w:rsidR="00CF591D">
        <w:rPr>
          <w:color w:val="000000"/>
        </w:rPr>
        <w:t xml:space="preserve"> </w:t>
      </w:r>
      <w:r w:rsidRPr="007E57E3">
        <w:rPr>
          <w:color w:val="000000"/>
        </w:rPr>
        <w:t>from trespassing on or occupying the properties</w:t>
      </w:r>
      <w:r w:rsidR="00CF591D">
        <w:rPr>
          <w:color w:val="000000"/>
        </w:rPr>
        <w:t xml:space="preserve">. </w:t>
      </w:r>
      <w:r w:rsidRPr="007E57E3">
        <w:rPr>
          <w:color w:val="000000"/>
        </w:rPr>
        <w:t>Although the notice of motion does not ex</w:t>
      </w:r>
      <w:r w:rsidR="00C779AA">
        <w:rPr>
          <w:color w:val="000000"/>
        </w:rPr>
        <w:t>pressly refer to the first plaintiff</w:t>
      </w:r>
      <w:r w:rsidRPr="007E57E3">
        <w:rPr>
          <w:color w:val="000000"/>
        </w:rPr>
        <w:t xml:space="preserve"> taking </w:t>
      </w:r>
      <w:r w:rsidR="00C779AA">
        <w:rPr>
          <w:color w:val="000000"/>
        </w:rPr>
        <w:lastRenderedPageBreak/>
        <w:t>possession of the property</w:t>
      </w:r>
      <w:r w:rsidRPr="007E57E3">
        <w:rPr>
          <w:color w:val="000000"/>
        </w:rPr>
        <w:t>, it is implicit in the way in which the relief is framed that thi</w:t>
      </w:r>
      <w:r w:rsidR="00C779AA">
        <w:rPr>
          <w:color w:val="000000"/>
        </w:rPr>
        <w:t>s is what is envisaged</w:t>
      </w:r>
      <w:r w:rsidRPr="007E57E3">
        <w:rPr>
          <w:color w:val="000000"/>
        </w:rPr>
        <w:t>. If there were any doubt</w:t>
      </w:r>
      <w:r w:rsidR="00C779AA">
        <w:rPr>
          <w:color w:val="000000"/>
        </w:rPr>
        <w:t>, it is dispelled by the averments of the first plaintiff</w:t>
      </w:r>
      <w:r w:rsidRPr="007E57E3">
        <w:rPr>
          <w:color w:val="000000"/>
        </w:rPr>
        <w:t xml:space="preserve"> to the effect that the balance of convenience </w:t>
      </w:r>
      <w:proofErr w:type="spellStart"/>
      <w:r w:rsidRPr="007E57E3">
        <w:rPr>
          <w:color w:val="000000"/>
        </w:rPr>
        <w:t>favo</w:t>
      </w:r>
      <w:r w:rsidR="00C779AA">
        <w:rPr>
          <w:color w:val="000000"/>
        </w:rPr>
        <w:t>u</w:t>
      </w:r>
      <w:r w:rsidRPr="007E57E3">
        <w:rPr>
          <w:color w:val="000000"/>
        </w:rPr>
        <w:t>rs</w:t>
      </w:r>
      <w:proofErr w:type="spellEnd"/>
      <w:r w:rsidRPr="007E57E3">
        <w:rPr>
          <w:color w:val="000000"/>
        </w:rPr>
        <w:t xml:space="preserve"> the grant of relief as it </w:t>
      </w:r>
      <w:r w:rsidR="00C779AA">
        <w:rPr>
          <w:i/>
          <w:color w:val="000000"/>
        </w:rPr>
        <w:t>“</w:t>
      </w:r>
      <w:r w:rsidRPr="00C779AA">
        <w:rPr>
          <w:i/>
          <w:color w:val="000000"/>
        </w:rPr>
        <w:t>will ultimately facilitate the sale of the property</w:t>
      </w:r>
      <w:r w:rsidR="00C779AA" w:rsidRPr="00C779AA">
        <w:rPr>
          <w:i/>
          <w:color w:val="000000"/>
        </w:rPr>
        <w:t>”</w:t>
      </w:r>
      <w:r w:rsidR="00C779AA">
        <w:rPr>
          <w:color w:val="000000"/>
        </w:rPr>
        <w:t>.</w:t>
      </w:r>
      <w:r w:rsidRPr="007E57E3">
        <w:rPr>
          <w:color w:val="000000"/>
        </w:rPr>
        <w:t xml:space="preserve"> </w:t>
      </w:r>
    </w:p>
    <w:p w14:paraId="06B7851C" w14:textId="0EBBF214" w:rsidR="00026C03" w:rsidRDefault="00AA2B36" w:rsidP="00A93FD5">
      <w:pPr>
        <w:pStyle w:val="NormalWeb"/>
        <w:numPr>
          <w:ilvl w:val="0"/>
          <w:numId w:val="1"/>
        </w:numPr>
        <w:spacing w:before="0" w:beforeAutospacing="0" w:after="0" w:afterAutospacing="0" w:line="480" w:lineRule="auto"/>
        <w:ind w:left="0" w:firstLine="0"/>
        <w:jc w:val="both"/>
        <w:rPr>
          <w:color w:val="000000"/>
        </w:rPr>
      </w:pPr>
      <w:r w:rsidRPr="007E57E3">
        <w:rPr>
          <w:color w:val="000000"/>
        </w:rPr>
        <w:t>Although the effect of the orders</w:t>
      </w:r>
      <w:r w:rsidR="00C779AA">
        <w:rPr>
          <w:color w:val="000000"/>
        </w:rPr>
        <w:t>, if granted,</w:t>
      </w:r>
      <w:r w:rsidRPr="007E57E3">
        <w:rPr>
          <w:color w:val="000000"/>
        </w:rPr>
        <w:t xml:space="preserve"> would require the tenants currently in oc</w:t>
      </w:r>
      <w:r w:rsidR="00365DB3">
        <w:rPr>
          <w:color w:val="000000"/>
        </w:rPr>
        <w:t>cupation to vacate the propertie</w:t>
      </w:r>
      <w:r w:rsidRPr="007E57E3">
        <w:rPr>
          <w:color w:val="000000"/>
        </w:rPr>
        <w:t>s</w:t>
      </w:r>
      <w:r w:rsidR="00365DB3">
        <w:rPr>
          <w:color w:val="000000"/>
        </w:rPr>
        <w:t>, t</w:t>
      </w:r>
      <w:r w:rsidRPr="007E57E3">
        <w:rPr>
          <w:color w:val="000000"/>
        </w:rPr>
        <w:t>he tenants were not put on notice of these applications</w:t>
      </w:r>
      <w:r w:rsidR="00026C03">
        <w:rPr>
          <w:color w:val="000000"/>
        </w:rPr>
        <w:t xml:space="preserve">. </w:t>
      </w:r>
      <w:r w:rsidRPr="007E57E3">
        <w:rPr>
          <w:color w:val="000000"/>
        </w:rPr>
        <w:t>Counsel for the plaintiffs</w:t>
      </w:r>
      <w:r w:rsidR="00026C03">
        <w:rPr>
          <w:color w:val="000000"/>
        </w:rPr>
        <w:t>,</w:t>
      </w:r>
      <w:r w:rsidRPr="007E57E3">
        <w:rPr>
          <w:color w:val="000000"/>
        </w:rPr>
        <w:t xml:space="preserve"> rather delicately</w:t>
      </w:r>
      <w:r w:rsidR="00026C03">
        <w:rPr>
          <w:color w:val="000000"/>
        </w:rPr>
        <w:t>,</w:t>
      </w:r>
      <w:r w:rsidRPr="007E57E3">
        <w:rPr>
          <w:color w:val="000000"/>
        </w:rPr>
        <w:t xml:space="preserve"> indicated that this was something of which the court would have to take account in making the orders</w:t>
      </w:r>
      <w:r w:rsidR="00026C03">
        <w:rPr>
          <w:color w:val="000000"/>
        </w:rPr>
        <w:t>. I</w:t>
      </w:r>
      <w:r w:rsidRPr="007E57E3">
        <w:rPr>
          <w:color w:val="000000"/>
        </w:rPr>
        <w:t>n his reply</w:t>
      </w:r>
      <w:r w:rsidR="00026C03">
        <w:rPr>
          <w:color w:val="000000"/>
        </w:rPr>
        <w:t xml:space="preserve">, the concession went </w:t>
      </w:r>
      <w:r w:rsidRPr="007E57E3">
        <w:rPr>
          <w:color w:val="000000"/>
        </w:rPr>
        <w:t>further</w:t>
      </w:r>
      <w:r w:rsidR="00026C03">
        <w:rPr>
          <w:color w:val="000000"/>
        </w:rPr>
        <w:t xml:space="preserve"> and</w:t>
      </w:r>
      <w:r w:rsidRPr="007E57E3">
        <w:rPr>
          <w:color w:val="000000"/>
        </w:rPr>
        <w:t xml:space="preserve"> counsel acknowledged that the court would have to limit </w:t>
      </w:r>
      <w:r w:rsidR="00CC0600">
        <w:rPr>
          <w:color w:val="000000"/>
        </w:rPr>
        <w:t xml:space="preserve">any </w:t>
      </w:r>
      <w:r w:rsidRPr="007E57E3">
        <w:rPr>
          <w:color w:val="000000"/>
        </w:rPr>
        <w:t xml:space="preserve">relief </w:t>
      </w:r>
      <w:r w:rsidR="00CC0600">
        <w:rPr>
          <w:color w:val="000000"/>
        </w:rPr>
        <w:t xml:space="preserve">granted </w:t>
      </w:r>
      <w:r w:rsidRPr="007E57E3">
        <w:rPr>
          <w:color w:val="000000"/>
        </w:rPr>
        <w:t>so as to exclude the occupant</w:t>
      </w:r>
      <w:r w:rsidR="00026C03">
        <w:rPr>
          <w:color w:val="000000"/>
        </w:rPr>
        <w:t>s of the properties. Given that the defendant is not i</w:t>
      </w:r>
      <w:r w:rsidRPr="007E57E3">
        <w:rPr>
          <w:color w:val="000000"/>
        </w:rPr>
        <w:t>n occup</w:t>
      </w:r>
      <w:r w:rsidR="00026C03">
        <w:rPr>
          <w:color w:val="000000"/>
        </w:rPr>
        <w:t>ation of any of the properties, t</w:t>
      </w:r>
      <w:r w:rsidRPr="007E57E3">
        <w:rPr>
          <w:color w:val="000000"/>
        </w:rPr>
        <w:t>his concession renders</w:t>
      </w:r>
      <w:r w:rsidR="00026C03">
        <w:rPr>
          <w:color w:val="000000"/>
        </w:rPr>
        <w:t xml:space="preserve"> the first relief largely moot.</w:t>
      </w:r>
      <w:r w:rsidR="00E96165">
        <w:rPr>
          <w:color w:val="000000"/>
        </w:rPr>
        <w:t xml:space="preserve"> However</w:t>
      </w:r>
      <w:r w:rsidR="00866ED0">
        <w:rPr>
          <w:color w:val="000000"/>
        </w:rPr>
        <w:t>,</w:t>
      </w:r>
      <w:r w:rsidR="00E96165">
        <w:rPr>
          <w:color w:val="000000"/>
        </w:rPr>
        <w:t xml:space="preserve"> it would seem that the concession was made due to the fact that the tenants were not on notice of the application rather than being due to an acceptance that the relief as originally framed was mandatory in nature. </w:t>
      </w:r>
    </w:p>
    <w:p w14:paraId="497A3560" w14:textId="77777777" w:rsidR="009D61D0" w:rsidRDefault="00026C03" w:rsidP="00A93FD5">
      <w:pPr>
        <w:pStyle w:val="NormalWeb"/>
        <w:numPr>
          <w:ilvl w:val="0"/>
          <w:numId w:val="1"/>
        </w:numPr>
        <w:spacing w:before="0" w:beforeAutospacing="0" w:after="0" w:afterAutospacing="0" w:line="480" w:lineRule="auto"/>
        <w:ind w:left="0" w:firstLine="0"/>
        <w:jc w:val="both"/>
        <w:rPr>
          <w:color w:val="000000"/>
        </w:rPr>
      </w:pPr>
      <w:r>
        <w:rPr>
          <w:color w:val="000000"/>
        </w:rPr>
        <w:t>In response to</w:t>
      </w:r>
      <w:r w:rsidR="00AA2B36" w:rsidRPr="007E57E3">
        <w:rPr>
          <w:color w:val="000000"/>
        </w:rPr>
        <w:t xml:space="preserve"> the defendant</w:t>
      </w:r>
      <w:r>
        <w:rPr>
          <w:color w:val="000000"/>
        </w:rPr>
        <w:t>’</w:t>
      </w:r>
      <w:r w:rsidR="00AA2B36" w:rsidRPr="007E57E3">
        <w:rPr>
          <w:color w:val="000000"/>
        </w:rPr>
        <w:t>s argument on the appropriate test</w:t>
      </w:r>
      <w:r>
        <w:rPr>
          <w:color w:val="000000"/>
        </w:rPr>
        <w:t>,</w:t>
      </w:r>
      <w:r w:rsidR="00AA2B36" w:rsidRPr="007E57E3">
        <w:rPr>
          <w:color w:val="000000"/>
        </w:rPr>
        <w:t xml:space="preserve"> </w:t>
      </w:r>
      <w:r>
        <w:rPr>
          <w:color w:val="000000"/>
        </w:rPr>
        <w:t xml:space="preserve">the plaintiffs </w:t>
      </w:r>
      <w:proofErr w:type="spellStart"/>
      <w:r>
        <w:rPr>
          <w:color w:val="000000"/>
        </w:rPr>
        <w:t>emphasis</w:t>
      </w:r>
      <w:r w:rsidR="00AA2B36" w:rsidRPr="007E57E3">
        <w:rPr>
          <w:color w:val="000000"/>
        </w:rPr>
        <w:t>e</w:t>
      </w:r>
      <w:proofErr w:type="spellEnd"/>
      <w:r w:rsidR="00AA2B36" w:rsidRPr="007E57E3">
        <w:rPr>
          <w:color w:val="000000"/>
        </w:rPr>
        <w:t xml:space="preserve"> that the reliefs seek to restrain the defendant from interfering with the receivership or receiving rent</w:t>
      </w:r>
      <w:r>
        <w:rPr>
          <w:color w:val="000000"/>
        </w:rPr>
        <w:t>s</w:t>
      </w:r>
      <w:r w:rsidR="00AA2B36" w:rsidRPr="007E57E3">
        <w:rPr>
          <w:color w:val="000000"/>
        </w:rPr>
        <w:t xml:space="preserve"> from the tenants</w:t>
      </w:r>
      <w:r>
        <w:rPr>
          <w:color w:val="000000"/>
        </w:rPr>
        <w:t xml:space="preserve">. Although perhaps implicit, </w:t>
      </w:r>
      <w:r w:rsidR="00AA2B36" w:rsidRPr="007E57E3">
        <w:rPr>
          <w:color w:val="000000"/>
        </w:rPr>
        <w:t xml:space="preserve">the latter is not actually mentioned </w:t>
      </w:r>
      <w:r w:rsidR="00E96165">
        <w:rPr>
          <w:color w:val="000000"/>
        </w:rPr>
        <w:t xml:space="preserve">at all </w:t>
      </w:r>
      <w:r w:rsidR="00AA2B36" w:rsidRPr="007E57E3">
        <w:rPr>
          <w:color w:val="000000"/>
        </w:rPr>
        <w:t>in the relief</w:t>
      </w:r>
      <w:r>
        <w:rPr>
          <w:color w:val="000000"/>
        </w:rPr>
        <w:t>s as</w:t>
      </w:r>
      <w:r w:rsidR="00AA2B36" w:rsidRPr="007E57E3">
        <w:rPr>
          <w:color w:val="000000"/>
        </w:rPr>
        <w:t xml:space="preserve"> framed</w:t>
      </w:r>
      <w:r>
        <w:rPr>
          <w:color w:val="000000"/>
        </w:rPr>
        <w:t>. T</w:t>
      </w:r>
      <w:r w:rsidR="00AA2B36" w:rsidRPr="007E57E3">
        <w:rPr>
          <w:color w:val="000000"/>
        </w:rPr>
        <w:t xml:space="preserve">he plaintiffs did not accept the proposition that an alteration in the </w:t>
      </w:r>
      <w:r w:rsidR="00AA2B36" w:rsidRPr="00026C03">
        <w:rPr>
          <w:i/>
          <w:color w:val="000000"/>
        </w:rPr>
        <w:t>status quo</w:t>
      </w:r>
      <w:r>
        <w:rPr>
          <w:color w:val="000000"/>
        </w:rPr>
        <w:t xml:space="preserve"> was indicative</w:t>
      </w:r>
      <w:r w:rsidR="00AA2B36" w:rsidRPr="007E57E3">
        <w:rPr>
          <w:color w:val="000000"/>
        </w:rPr>
        <w:t xml:space="preserve"> that relief which would effect such an alteration was mandatory</w:t>
      </w:r>
      <w:r w:rsidR="00E96165">
        <w:rPr>
          <w:color w:val="000000"/>
        </w:rPr>
        <w:t xml:space="preserve"> in nature</w:t>
      </w:r>
      <w:r>
        <w:rPr>
          <w:color w:val="000000"/>
        </w:rPr>
        <w:t>. F</w:t>
      </w:r>
      <w:r w:rsidR="00AA2B36" w:rsidRPr="007E57E3">
        <w:rPr>
          <w:color w:val="000000"/>
        </w:rPr>
        <w:t>urther</w:t>
      </w:r>
      <w:r>
        <w:rPr>
          <w:color w:val="000000"/>
        </w:rPr>
        <w:t>,</w:t>
      </w:r>
      <w:r w:rsidR="009D61D0">
        <w:rPr>
          <w:color w:val="000000"/>
        </w:rPr>
        <w:t xml:space="preserve"> they disputed w</w:t>
      </w:r>
      <w:r w:rsidR="00AA2B36" w:rsidRPr="007E57E3">
        <w:rPr>
          <w:color w:val="000000"/>
        </w:rPr>
        <w:t>hether s</w:t>
      </w:r>
      <w:r w:rsidR="009D61D0">
        <w:rPr>
          <w:color w:val="000000"/>
        </w:rPr>
        <w:t>uch an alteration would in fact occur where the defendant, as landlord,</w:t>
      </w:r>
      <w:r w:rsidR="00AA2B36" w:rsidRPr="007E57E3">
        <w:rPr>
          <w:color w:val="000000"/>
        </w:rPr>
        <w:t xml:space="preserve"> is not actually in possession of </w:t>
      </w:r>
      <w:r w:rsidR="009D61D0">
        <w:rPr>
          <w:color w:val="000000"/>
        </w:rPr>
        <w:t>the properties. Finally, t</w:t>
      </w:r>
      <w:r w:rsidR="00AA2B36" w:rsidRPr="007E57E3">
        <w:rPr>
          <w:color w:val="000000"/>
        </w:rPr>
        <w:t>he plaintiffs argu</w:t>
      </w:r>
      <w:r w:rsidR="009D61D0">
        <w:rPr>
          <w:color w:val="000000"/>
        </w:rPr>
        <w:t>ed that even if the relief was</w:t>
      </w:r>
      <w:r w:rsidR="00AA2B36" w:rsidRPr="007E57E3">
        <w:rPr>
          <w:color w:val="000000"/>
        </w:rPr>
        <w:t xml:space="preserve"> mandatory, such that the higher t</w:t>
      </w:r>
      <w:r w:rsidR="009D61D0">
        <w:rPr>
          <w:color w:val="000000"/>
        </w:rPr>
        <w:t>hreshold test applies, if the c</w:t>
      </w:r>
      <w:r w:rsidR="00AA2B36" w:rsidRPr="007E57E3">
        <w:rPr>
          <w:color w:val="000000"/>
        </w:rPr>
        <w:t xml:space="preserve">ourt were to accept that their proofs are in order, then </w:t>
      </w:r>
      <w:r w:rsidR="009D61D0">
        <w:rPr>
          <w:color w:val="000000"/>
        </w:rPr>
        <w:t>they would in any event have ma</w:t>
      </w:r>
      <w:r w:rsidR="00AA2B36" w:rsidRPr="007E57E3">
        <w:rPr>
          <w:color w:val="000000"/>
        </w:rPr>
        <w:t>d</w:t>
      </w:r>
      <w:r w:rsidR="009D61D0">
        <w:rPr>
          <w:color w:val="000000"/>
        </w:rPr>
        <w:t>e</w:t>
      </w:r>
      <w:r w:rsidR="00AA2B36" w:rsidRPr="007E57E3">
        <w:rPr>
          <w:color w:val="000000"/>
        </w:rPr>
        <w:t xml:space="preserve"> out a strong case</w:t>
      </w:r>
      <w:r w:rsidR="00E96165">
        <w:rPr>
          <w:color w:val="000000"/>
        </w:rPr>
        <w:t xml:space="preserve"> and, thus, have met that threshold</w:t>
      </w:r>
      <w:r w:rsidR="009D61D0">
        <w:rPr>
          <w:color w:val="000000"/>
        </w:rPr>
        <w:t>.</w:t>
      </w:r>
    </w:p>
    <w:p w14:paraId="705E722C" w14:textId="162B5459" w:rsidR="00314E29" w:rsidRDefault="00AA2B36" w:rsidP="00A93FD5">
      <w:pPr>
        <w:pStyle w:val="NormalWeb"/>
        <w:numPr>
          <w:ilvl w:val="0"/>
          <w:numId w:val="1"/>
        </w:numPr>
        <w:spacing w:before="0" w:beforeAutospacing="0" w:after="0" w:afterAutospacing="0" w:line="480" w:lineRule="auto"/>
        <w:ind w:left="0" w:firstLine="0"/>
        <w:jc w:val="both"/>
        <w:rPr>
          <w:color w:val="000000"/>
        </w:rPr>
      </w:pPr>
      <w:r w:rsidRPr="007E57E3">
        <w:rPr>
          <w:color w:val="000000"/>
        </w:rPr>
        <w:lastRenderedPageBreak/>
        <w:t xml:space="preserve">As a matter of principle, an interlocutory order which restrains interference with </w:t>
      </w:r>
      <w:r w:rsidR="00E96165">
        <w:rPr>
          <w:color w:val="000000"/>
        </w:rPr>
        <w:t xml:space="preserve">a </w:t>
      </w:r>
      <w:r w:rsidRPr="007E57E3">
        <w:rPr>
          <w:color w:val="000000"/>
        </w:rPr>
        <w:t>receivership is not generall</w:t>
      </w:r>
      <w:r w:rsidR="009D61D0">
        <w:rPr>
          <w:color w:val="000000"/>
        </w:rPr>
        <w:t>y mandatory in nature. I</w:t>
      </w:r>
      <w:r w:rsidRPr="007E57E3">
        <w:rPr>
          <w:color w:val="000000"/>
        </w:rPr>
        <w:t>f the intended effect of the relief is to prevent</w:t>
      </w:r>
      <w:r w:rsidR="009D61D0">
        <w:rPr>
          <w:color w:val="000000"/>
        </w:rPr>
        <w:t xml:space="preserve"> a</w:t>
      </w:r>
      <w:r w:rsidRPr="007E57E3">
        <w:rPr>
          <w:color w:val="000000"/>
        </w:rPr>
        <w:t xml:space="preserve"> defendant from interfering with the relationship be</w:t>
      </w:r>
      <w:r w:rsidR="009D61D0">
        <w:rPr>
          <w:color w:val="000000"/>
        </w:rPr>
        <w:t>tween the receiver and those in</w:t>
      </w:r>
      <w:r w:rsidRPr="007E57E3">
        <w:rPr>
          <w:color w:val="000000"/>
        </w:rPr>
        <w:t xml:space="preserve"> occupation of the properties and to ensure that rent paid by the tenants is collected by the receiver</w:t>
      </w:r>
      <w:r w:rsidR="009D61D0">
        <w:rPr>
          <w:color w:val="000000"/>
        </w:rPr>
        <w:t>, then</w:t>
      </w:r>
      <w:r w:rsidRPr="007E57E3">
        <w:rPr>
          <w:color w:val="000000"/>
        </w:rPr>
        <w:t xml:space="preserve"> such relief </w:t>
      </w:r>
      <w:r w:rsidR="00E96165">
        <w:rPr>
          <w:color w:val="000000"/>
        </w:rPr>
        <w:t>i</w:t>
      </w:r>
      <w:r w:rsidRPr="007E57E3">
        <w:rPr>
          <w:color w:val="000000"/>
        </w:rPr>
        <w:t>s prope</w:t>
      </w:r>
      <w:r w:rsidR="009D61D0">
        <w:rPr>
          <w:color w:val="000000"/>
        </w:rPr>
        <w:t xml:space="preserve">rly </w:t>
      </w:r>
      <w:proofErr w:type="spellStart"/>
      <w:r w:rsidR="009D61D0">
        <w:rPr>
          <w:color w:val="000000"/>
        </w:rPr>
        <w:t>characterised</w:t>
      </w:r>
      <w:proofErr w:type="spellEnd"/>
      <w:r w:rsidR="009D61D0">
        <w:rPr>
          <w:color w:val="000000"/>
        </w:rPr>
        <w:t xml:space="preserve"> as prohibitory. However, i</w:t>
      </w:r>
      <w:r w:rsidRPr="007E57E3">
        <w:rPr>
          <w:color w:val="000000"/>
        </w:rPr>
        <w:t>f the effect of an interlocutory order is to impose on a defendant a fundamental change in the title to</w:t>
      </w:r>
      <w:r w:rsidR="00253C65">
        <w:rPr>
          <w:color w:val="000000"/>
        </w:rPr>
        <w:t>,</w:t>
      </w:r>
      <w:r w:rsidRPr="007E57E3">
        <w:rPr>
          <w:color w:val="000000"/>
        </w:rPr>
        <w:t xml:space="preserve"> or ownership of</w:t>
      </w:r>
      <w:r w:rsidR="00253C65">
        <w:rPr>
          <w:color w:val="000000"/>
        </w:rPr>
        <w:t>,</w:t>
      </w:r>
      <w:r w:rsidRPr="007E57E3">
        <w:rPr>
          <w:color w:val="000000"/>
        </w:rPr>
        <w:t xml:space="preserve"> a secured property, then it does represent a significant alteration in the </w:t>
      </w:r>
      <w:r w:rsidRPr="009D61D0">
        <w:rPr>
          <w:i/>
          <w:color w:val="000000"/>
        </w:rPr>
        <w:t>status quo</w:t>
      </w:r>
      <w:r w:rsidRPr="007E57E3">
        <w:rPr>
          <w:color w:val="000000"/>
        </w:rPr>
        <w:t xml:space="preserve"> </w:t>
      </w:r>
      <w:r w:rsidR="009D61D0">
        <w:rPr>
          <w:color w:val="000000"/>
        </w:rPr>
        <w:t>and</w:t>
      </w:r>
      <w:r w:rsidR="00D51392">
        <w:rPr>
          <w:color w:val="000000"/>
        </w:rPr>
        <w:t xml:space="preserve"> in my view</w:t>
      </w:r>
      <w:r w:rsidR="009D61D0">
        <w:rPr>
          <w:color w:val="000000"/>
        </w:rPr>
        <w:t xml:space="preserve"> </w:t>
      </w:r>
      <w:r w:rsidRPr="007E57E3">
        <w:rPr>
          <w:color w:val="000000"/>
        </w:rPr>
        <w:t xml:space="preserve">can </w:t>
      </w:r>
      <w:r w:rsidR="00CC0600">
        <w:rPr>
          <w:color w:val="000000"/>
        </w:rPr>
        <w:t xml:space="preserve">fairly </w:t>
      </w:r>
      <w:r w:rsidRPr="007E57E3">
        <w:rPr>
          <w:color w:val="000000"/>
        </w:rPr>
        <w:t xml:space="preserve">be considered as </w:t>
      </w:r>
      <w:r w:rsidR="00D51392">
        <w:rPr>
          <w:color w:val="000000"/>
        </w:rPr>
        <w:t xml:space="preserve">being </w:t>
      </w:r>
      <w:r w:rsidRPr="007E57E3">
        <w:rPr>
          <w:color w:val="000000"/>
        </w:rPr>
        <w:t>mandatory</w:t>
      </w:r>
      <w:r w:rsidR="001D52A1">
        <w:rPr>
          <w:color w:val="000000"/>
        </w:rPr>
        <w:t>. These are not absolute rules and m</w:t>
      </w:r>
      <w:r w:rsidRPr="007E57E3">
        <w:rPr>
          <w:color w:val="000000"/>
        </w:rPr>
        <w:t xml:space="preserve">uch will depend on the particular circumstances of each case </w:t>
      </w:r>
      <w:r w:rsidR="00D51392">
        <w:rPr>
          <w:color w:val="000000"/>
        </w:rPr>
        <w:t xml:space="preserve">as </w:t>
      </w:r>
      <w:r w:rsidR="001D52A1">
        <w:rPr>
          <w:color w:val="000000"/>
        </w:rPr>
        <w:t>the effect of the orders sought</w:t>
      </w:r>
      <w:r w:rsidRPr="007E57E3">
        <w:rPr>
          <w:color w:val="000000"/>
        </w:rPr>
        <w:t xml:space="preserve"> has to be assessed</w:t>
      </w:r>
      <w:r w:rsidR="00D51392">
        <w:rPr>
          <w:color w:val="000000"/>
        </w:rPr>
        <w:t xml:space="preserve"> by reference to their likely effect in those particular circumstances</w:t>
      </w:r>
      <w:r w:rsidR="001D52A1">
        <w:rPr>
          <w:color w:val="000000"/>
        </w:rPr>
        <w:t>. For example, where</w:t>
      </w:r>
      <w:r w:rsidRPr="001D52A1">
        <w:rPr>
          <w:color w:val="000000"/>
        </w:rPr>
        <w:t xml:space="preserve"> the making of an interlocutory order will either transfer or facilitate the transfer of possession of property</w:t>
      </w:r>
      <w:r w:rsidR="00CB2942">
        <w:rPr>
          <w:color w:val="000000"/>
        </w:rPr>
        <w:t xml:space="preserve">, then it is properly </w:t>
      </w:r>
      <w:proofErr w:type="spellStart"/>
      <w:r w:rsidR="00CB2942">
        <w:rPr>
          <w:color w:val="000000"/>
        </w:rPr>
        <w:t>characteris</w:t>
      </w:r>
      <w:r w:rsidRPr="001D52A1">
        <w:rPr>
          <w:color w:val="000000"/>
        </w:rPr>
        <w:t>ed</w:t>
      </w:r>
      <w:proofErr w:type="spellEnd"/>
      <w:r w:rsidRPr="001D52A1">
        <w:rPr>
          <w:color w:val="000000"/>
        </w:rPr>
        <w:t xml:space="preserve"> as mandatory</w:t>
      </w:r>
      <w:r w:rsidR="00CB2942">
        <w:rPr>
          <w:color w:val="000000"/>
        </w:rPr>
        <w:t xml:space="preserve"> (see </w:t>
      </w:r>
      <w:r w:rsidR="00CB2942">
        <w:rPr>
          <w:i/>
          <w:color w:val="000000"/>
        </w:rPr>
        <w:t xml:space="preserve">McCarthy v. Moroney </w:t>
      </w:r>
      <w:r w:rsidR="00CB2942">
        <w:rPr>
          <w:color w:val="000000"/>
        </w:rPr>
        <w:t>above). T</w:t>
      </w:r>
      <w:r w:rsidRPr="001D52A1">
        <w:rPr>
          <w:color w:val="000000"/>
        </w:rPr>
        <w:t>h</w:t>
      </w:r>
      <w:r w:rsidR="00CB2942">
        <w:rPr>
          <w:color w:val="000000"/>
        </w:rPr>
        <w:t xml:space="preserve">e matter is less clear cut </w:t>
      </w:r>
      <w:r w:rsidR="00D51392">
        <w:rPr>
          <w:color w:val="000000"/>
        </w:rPr>
        <w:t xml:space="preserve">where, as </w:t>
      </w:r>
      <w:r w:rsidR="00CB2942">
        <w:rPr>
          <w:color w:val="000000"/>
        </w:rPr>
        <w:t>here</w:t>
      </w:r>
      <w:r w:rsidR="00D51392">
        <w:rPr>
          <w:color w:val="000000"/>
        </w:rPr>
        <w:t>,</w:t>
      </w:r>
      <w:r w:rsidRPr="001D52A1">
        <w:rPr>
          <w:color w:val="000000"/>
        </w:rPr>
        <w:t xml:space="preserve"> neither the defendant nor the plaintiffs are in actual possession of the property during the currency of the occupation by the tenants</w:t>
      </w:r>
      <w:r w:rsidR="00CB2942">
        <w:rPr>
          <w:color w:val="000000"/>
        </w:rPr>
        <w:t xml:space="preserve">. </w:t>
      </w:r>
      <w:r w:rsidR="00866ED0">
        <w:rPr>
          <w:color w:val="000000"/>
        </w:rPr>
        <w:t>The defendant, a</w:t>
      </w:r>
      <w:r w:rsidR="00866ED0" w:rsidRPr="001D52A1">
        <w:rPr>
          <w:color w:val="000000"/>
        </w:rPr>
        <w:t>s landlord</w:t>
      </w:r>
      <w:r w:rsidR="00866ED0">
        <w:rPr>
          <w:color w:val="000000"/>
        </w:rPr>
        <w:t>,</w:t>
      </w:r>
      <w:r w:rsidR="00866ED0" w:rsidRPr="001D52A1">
        <w:rPr>
          <w:color w:val="000000"/>
        </w:rPr>
        <w:t xml:space="preserve"> has a right</w:t>
      </w:r>
      <w:r w:rsidR="00866ED0">
        <w:rPr>
          <w:color w:val="000000"/>
        </w:rPr>
        <w:t xml:space="preserve"> to possession of the properties subject to the leases on foot of which t</w:t>
      </w:r>
      <w:r w:rsidR="00866ED0" w:rsidRPr="001D52A1">
        <w:rPr>
          <w:color w:val="000000"/>
        </w:rPr>
        <w:t>he tenants ar</w:t>
      </w:r>
      <w:r w:rsidR="00866ED0">
        <w:rPr>
          <w:color w:val="000000"/>
        </w:rPr>
        <w:t xml:space="preserve">e currently in occupation. </w:t>
      </w:r>
      <w:r w:rsidR="00CC0600">
        <w:rPr>
          <w:color w:val="000000"/>
        </w:rPr>
        <w:t>Those leases</w:t>
      </w:r>
      <w:r w:rsidR="00CC0600" w:rsidRPr="001D52A1">
        <w:rPr>
          <w:color w:val="000000"/>
        </w:rPr>
        <w:t xml:space="preserve"> </w:t>
      </w:r>
      <w:r w:rsidR="00CC0600">
        <w:rPr>
          <w:color w:val="000000"/>
        </w:rPr>
        <w:t xml:space="preserve">are </w:t>
      </w:r>
      <w:r w:rsidR="00CC0600" w:rsidRPr="001D52A1">
        <w:rPr>
          <w:color w:val="000000"/>
        </w:rPr>
        <w:t>not before the court</w:t>
      </w:r>
      <w:r w:rsidR="00CC0600">
        <w:rPr>
          <w:color w:val="000000"/>
        </w:rPr>
        <w:t>.</w:t>
      </w:r>
      <w:r w:rsidR="00CC0600" w:rsidRPr="00866ED0">
        <w:rPr>
          <w:color w:val="000000"/>
        </w:rPr>
        <w:t xml:space="preserve"> </w:t>
      </w:r>
      <w:r w:rsidRPr="001D52A1">
        <w:rPr>
          <w:color w:val="000000"/>
        </w:rPr>
        <w:t>The second plaintiff claim</w:t>
      </w:r>
      <w:r w:rsidR="00CB2942">
        <w:rPr>
          <w:color w:val="000000"/>
        </w:rPr>
        <w:t>s that the mortgage deeds give it</w:t>
      </w:r>
      <w:r w:rsidRPr="001D52A1">
        <w:rPr>
          <w:color w:val="000000"/>
        </w:rPr>
        <w:t xml:space="preserve"> a right to possession of the properties in the ci</w:t>
      </w:r>
      <w:r w:rsidR="00CB2942">
        <w:rPr>
          <w:color w:val="000000"/>
        </w:rPr>
        <w:t xml:space="preserve">rcumstances which have occurred, </w:t>
      </w:r>
      <w:r w:rsidRPr="001D52A1">
        <w:rPr>
          <w:color w:val="000000"/>
        </w:rPr>
        <w:t xml:space="preserve">although the same deeds do not give </w:t>
      </w:r>
      <w:r w:rsidR="00CB2942">
        <w:rPr>
          <w:color w:val="000000"/>
        </w:rPr>
        <w:t>the first plaintiff, as receiver, such a right</w:t>
      </w:r>
      <w:r w:rsidR="00314E29">
        <w:rPr>
          <w:color w:val="000000"/>
        </w:rPr>
        <w:t xml:space="preserve">. </w:t>
      </w:r>
      <w:r w:rsidR="00866ED0">
        <w:rPr>
          <w:color w:val="000000"/>
        </w:rPr>
        <w:t>T</w:t>
      </w:r>
      <w:r w:rsidR="00866ED0" w:rsidRPr="001D52A1">
        <w:rPr>
          <w:color w:val="000000"/>
        </w:rPr>
        <w:t xml:space="preserve">he orders </w:t>
      </w:r>
      <w:r w:rsidR="00866ED0">
        <w:rPr>
          <w:color w:val="000000"/>
        </w:rPr>
        <w:t xml:space="preserve">sought </w:t>
      </w:r>
      <w:r w:rsidR="00866ED0" w:rsidRPr="001D52A1">
        <w:rPr>
          <w:color w:val="000000"/>
        </w:rPr>
        <w:t xml:space="preserve">against the </w:t>
      </w:r>
      <w:r w:rsidR="00866ED0">
        <w:rPr>
          <w:color w:val="000000"/>
        </w:rPr>
        <w:t>tenants are clearly mandatory b</w:t>
      </w:r>
      <w:r w:rsidR="00866ED0" w:rsidRPr="001D52A1">
        <w:rPr>
          <w:color w:val="000000"/>
        </w:rPr>
        <w:t>ut</w:t>
      </w:r>
      <w:r w:rsidR="00866ED0">
        <w:rPr>
          <w:color w:val="000000"/>
        </w:rPr>
        <w:t>, as noted above,</w:t>
      </w:r>
      <w:r w:rsidR="00866ED0" w:rsidRPr="001D52A1">
        <w:rPr>
          <w:color w:val="000000"/>
        </w:rPr>
        <w:t xml:space="preserve"> without actually seeking to amend </w:t>
      </w:r>
      <w:r w:rsidR="00866ED0">
        <w:rPr>
          <w:color w:val="000000"/>
        </w:rPr>
        <w:t>the relief sought, t</w:t>
      </w:r>
      <w:r w:rsidR="00866ED0" w:rsidRPr="001D52A1">
        <w:rPr>
          <w:color w:val="000000"/>
        </w:rPr>
        <w:t xml:space="preserve">he plaintiffs effectively concede that it cannot be granted </w:t>
      </w:r>
      <w:r w:rsidR="00866ED0">
        <w:rPr>
          <w:color w:val="000000"/>
        </w:rPr>
        <w:t>as against the tenants</w:t>
      </w:r>
      <w:r w:rsidR="00866ED0" w:rsidRPr="001D52A1">
        <w:rPr>
          <w:color w:val="000000"/>
        </w:rPr>
        <w:t>.</w:t>
      </w:r>
    </w:p>
    <w:p w14:paraId="724EFB11" w14:textId="64F8B659" w:rsidR="00D51392" w:rsidRDefault="00314E29" w:rsidP="00A93FD5">
      <w:pPr>
        <w:pStyle w:val="NormalWeb"/>
        <w:numPr>
          <w:ilvl w:val="0"/>
          <w:numId w:val="1"/>
        </w:numPr>
        <w:spacing w:before="0" w:beforeAutospacing="0" w:after="0" w:afterAutospacing="0" w:line="480" w:lineRule="auto"/>
        <w:ind w:left="0" w:firstLine="0"/>
        <w:jc w:val="both"/>
        <w:rPr>
          <w:color w:val="000000"/>
        </w:rPr>
      </w:pPr>
      <w:r>
        <w:rPr>
          <w:color w:val="000000"/>
        </w:rPr>
        <w:t>I</w:t>
      </w:r>
      <w:r w:rsidR="00AA2B36" w:rsidRPr="001D52A1">
        <w:rPr>
          <w:color w:val="000000"/>
        </w:rPr>
        <w:t>n these circumstances</w:t>
      </w:r>
      <w:r>
        <w:rPr>
          <w:color w:val="000000"/>
        </w:rPr>
        <w:t>, it i</w:t>
      </w:r>
      <w:r w:rsidR="00AA2B36" w:rsidRPr="001D52A1">
        <w:rPr>
          <w:color w:val="000000"/>
        </w:rPr>
        <w:t>s difficult to determine whether the relief sought in t</w:t>
      </w:r>
      <w:r>
        <w:rPr>
          <w:color w:val="000000"/>
        </w:rPr>
        <w:t xml:space="preserve">his case is properly </w:t>
      </w:r>
      <w:proofErr w:type="spellStart"/>
      <w:r>
        <w:rPr>
          <w:color w:val="000000"/>
        </w:rPr>
        <w:t>characteris</w:t>
      </w:r>
      <w:r w:rsidR="00AA2B36" w:rsidRPr="001D52A1">
        <w:rPr>
          <w:color w:val="000000"/>
        </w:rPr>
        <w:t>ed</w:t>
      </w:r>
      <w:proofErr w:type="spellEnd"/>
      <w:r w:rsidR="00AA2B36" w:rsidRPr="001D52A1">
        <w:rPr>
          <w:color w:val="000000"/>
        </w:rPr>
        <w:t xml:space="preserve"> as mandatory or prohibitory. Were it not for two significant factors, I would </w:t>
      </w:r>
      <w:r w:rsidR="00D51392">
        <w:rPr>
          <w:color w:val="000000"/>
        </w:rPr>
        <w:t>have tended to</w:t>
      </w:r>
      <w:r w:rsidR="00866ED0">
        <w:rPr>
          <w:color w:val="000000"/>
        </w:rPr>
        <w:t>wards</w:t>
      </w:r>
      <w:r w:rsidR="00D51392">
        <w:rPr>
          <w:color w:val="000000"/>
        </w:rPr>
        <w:t xml:space="preserve"> conclud</w:t>
      </w:r>
      <w:r w:rsidR="00866ED0">
        <w:rPr>
          <w:color w:val="000000"/>
        </w:rPr>
        <w:t>ing</w:t>
      </w:r>
      <w:r w:rsidR="00D51392">
        <w:rPr>
          <w:color w:val="000000"/>
        </w:rPr>
        <w:t xml:space="preserve"> </w:t>
      </w:r>
      <w:r>
        <w:rPr>
          <w:color w:val="000000"/>
        </w:rPr>
        <w:t>that it was prohibitory b</w:t>
      </w:r>
      <w:r w:rsidR="00AA2B36" w:rsidRPr="001D52A1">
        <w:rPr>
          <w:color w:val="000000"/>
        </w:rPr>
        <w:t>ut</w:t>
      </w:r>
      <w:r>
        <w:rPr>
          <w:color w:val="000000"/>
        </w:rPr>
        <w:t>,</w:t>
      </w:r>
      <w:r w:rsidR="00AA2B36" w:rsidRPr="001D52A1">
        <w:rPr>
          <w:color w:val="000000"/>
        </w:rPr>
        <w:t xml:space="preserve"> in light of those factors</w:t>
      </w:r>
      <w:r>
        <w:rPr>
          <w:color w:val="000000"/>
        </w:rPr>
        <w:t>,</w:t>
      </w:r>
      <w:r w:rsidR="00AA2B36" w:rsidRPr="001D52A1">
        <w:rPr>
          <w:color w:val="000000"/>
        </w:rPr>
        <w:t xml:space="preserve"> </w:t>
      </w:r>
      <w:r>
        <w:rPr>
          <w:color w:val="000000"/>
        </w:rPr>
        <w:t xml:space="preserve">I am minded </w:t>
      </w:r>
      <w:r>
        <w:rPr>
          <w:color w:val="000000"/>
        </w:rPr>
        <w:lastRenderedPageBreak/>
        <w:t xml:space="preserve">to treat it as </w:t>
      </w:r>
      <w:r w:rsidR="00AA2B36" w:rsidRPr="001D52A1">
        <w:rPr>
          <w:color w:val="000000"/>
        </w:rPr>
        <w:t>mandatory</w:t>
      </w:r>
      <w:r>
        <w:rPr>
          <w:color w:val="000000"/>
        </w:rPr>
        <w:t xml:space="preserve">. The two factors </w:t>
      </w:r>
      <w:r w:rsidR="00AA2B36" w:rsidRPr="001D52A1">
        <w:rPr>
          <w:color w:val="000000"/>
        </w:rPr>
        <w:t>are</w:t>
      </w:r>
      <w:r>
        <w:rPr>
          <w:color w:val="000000"/>
        </w:rPr>
        <w:t>,</w:t>
      </w:r>
      <w:r w:rsidR="00AA2B36" w:rsidRPr="001D52A1">
        <w:rPr>
          <w:color w:val="000000"/>
        </w:rPr>
        <w:t xml:space="preserve"> firstly, the admission by the first plaintiff in discussing the balance of convenience that the intended effect of granting the orders is to facilitate the </w:t>
      </w:r>
      <w:r>
        <w:rPr>
          <w:color w:val="000000"/>
        </w:rPr>
        <w:t>sale of the properties. W</w:t>
      </w:r>
      <w:r w:rsidR="00AA2B36" w:rsidRPr="001D52A1">
        <w:rPr>
          <w:color w:val="000000"/>
        </w:rPr>
        <w:t>hatever about the competing rights to possession of the second plaintif</w:t>
      </w:r>
      <w:r>
        <w:rPr>
          <w:color w:val="000000"/>
        </w:rPr>
        <w:t>f and the defendant,</w:t>
      </w:r>
      <w:r w:rsidR="00AA2B36" w:rsidRPr="001D52A1">
        <w:rPr>
          <w:color w:val="000000"/>
        </w:rPr>
        <w:t xml:space="preserve"> the intended sale of the property by the plaintiff</w:t>
      </w:r>
      <w:r>
        <w:rPr>
          <w:color w:val="000000"/>
        </w:rPr>
        <w:t>s should an</w:t>
      </w:r>
      <w:r w:rsidR="00AA2B36" w:rsidRPr="001D52A1">
        <w:rPr>
          <w:color w:val="000000"/>
        </w:rPr>
        <w:t xml:space="preserve"> interlocutory order be granted is undoubtedly transformative</w:t>
      </w:r>
      <w:r w:rsidR="00866ED0">
        <w:rPr>
          <w:color w:val="000000"/>
        </w:rPr>
        <w:t xml:space="preserve"> and would completely remove any </w:t>
      </w:r>
      <w:r w:rsidR="00CC0600">
        <w:rPr>
          <w:color w:val="000000"/>
        </w:rPr>
        <w:t>claimed</w:t>
      </w:r>
      <w:r w:rsidR="001D4505">
        <w:rPr>
          <w:color w:val="000000"/>
        </w:rPr>
        <w:t xml:space="preserve"> right</w:t>
      </w:r>
      <w:r w:rsidR="00CC0600">
        <w:rPr>
          <w:color w:val="000000"/>
        </w:rPr>
        <w:t xml:space="preserve"> </w:t>
      </w:r>
      <w:r w:rsidR="00866ED0">
        <w:rPr>
          <w:color w:val="000000"/>
        </w:rPr>
        <w:t>to possession for the defendant</w:t>
      </w:r>
      <w:r w:rsidR="00AA2B36" w:rsidRPr="001D52A1">
        <w:rPr>
          <w:color w:val="000000"/>
        </w:rPr>
        <w:t>.</w:t>
      </w:r>
    </w:p>
    <w:p w14:paraId="5B02A965" w14:textId="77777777" w:rsidR="006F6C3C" w:rsidRDefault="00AA2B36" w:rsidP="00A93FD5">
      <w:pPr>
        <w:pStyle w:val="NormalWeb"/>
        <w:numPr>
          <w:ilvl w:val="0"/>
          <w:numId w:val="1"/>
        </w:numPr>
        <w:spacing w:before="0" w:beforeAutospacing="0" w:after="0" w:afterAutospacing="0" w:line="480" w:lineRule="auto"/>
        <w:ind w:left="0" w:firstLine="0"/>
        <w:jc w:val="both"/>
        <w:rPr>
          <w:color w:val="000000"/>
        </w:rPr>
      </w:pPr>
      <w:r w:rsidRPr="001D52A1">
        <w:rPr>
          <w:color w:val="000000"/>
        </w:rPr>
        <w:t>Secondly, and related to this</w:t>
      </w:r>
      <w:r w:rsidR="00314E29">
        <w:rPr>
          <w:color w:val="000000"/>
        </w:rPr>
        <w:t>, c</w:t>
      </w:r>
      <w:r w:rsidRPr="001D52A1">
        <w:rPr>
          <w:color w:val="000000"/>
        </w:rPr>
        <w:t xml:space="preserve">ounsel for the plaintiff points out </w:t>
      </w:r>
      <w:r w:rsidR="007951E1">
        <w:rPr>
          <w:color w:val="000000"/>
        </w:rPr>
        <w:t>that receiver injunctions,</w:t>
      </w:r>
      <w:r w:rsidRPr="001D52A1">
        <w:rPr>
          <w:color w:val="000000"/>
        </w:rPr>
        <w:t xml:space="preserve"> if granted</w:t>
      </w:r>
      <w:r w:rsidR="007951E1">
        <w:rPr>
          <w:color w:val="000000"/>
        </w:rPr>
        <w:t xml:space="preserve"> on an interlocutory basis, </w:t>
      </w:r>
      <w:r w:rsidRPr="001D52A1">
        <w:rPr>
          <w:color w:val="000000"/>
        </w:rPr>
        <w:t>rarely p</w:t>
      </w:r>
      <w:r w:rsidR="007951E1">
        <w:rPr>
          <w:color w:val="000000"/>
        </w:rPr>
        <w:t>roceed to a full trial</w:t>
      </w:r>
      <w:r w:rsidRPr="001D52A1">
        <w:rPr>
          <w:color w:val="000000"/>
        </w:rPr>
        <w:t>. One of the factors identified</w:t>
      </w:r>
      <w:r w:rsidR="007951E1">
        <w:rPr>
          <w:color w:val="000000"/>
        </w:rPr>
        <w:t xml:space="preserve"> by the Supreme Court in </w:t>
      </w:r>
      <w:r w:rsidR="007951E1" w:rsidRPr="007951E1">
        <w:rPr>
          <w:i/>
          <w:color w:val="000000"/>
        </w:rPr>
        <w:t>Merck S</w:t>
      </w:r>
      <w:r w:rsidRPr="007951E1">
        <w:rPr>
          <w:i/>
          <w:color w:val="000000"/>
        </w:rPr>
        <w:t xml:space="preserve">harp and Dohme </w:t>
      </w:r>
      <w:r w:rsidR="007951E1">
        <w:rPr>
          <w:color w:val="000000"/>
        </w:rPr>
        <w:t>(above) as being relevant when</w:t>
      </w:r>
      <w:r w:rsidRPr="001D52A1">
        <w:rPr>
          <w:color w:val="000000"/>
        </w:rPr>
        <w:t xml:space="preserve"> the court is considering whether there is a fair </w:t>
      </w:r>
      <w:r w:rsidR="007951E1">
        <w:rPr>
          <w:color w:val="000000"/>
        </w:rPr>
        <w:t xml:space="preserve">question to </w:t>
      </w:r>
      <w:r w:rsidRPr="001D52A1">
        <w:rPr>
          <w:color w:val="000000"/>
        </w:rPr>
        <w:t xml:space="preserve">be tried is a consideration of whether the case </w:t>
      </w:r>
      <w:r w:rsidR="007951E1">
        <w:rPr>
          <w:color w:val="000000"/>
        </w:rPr>
        <w:t xml:space="preserve">will </w:t>
      </w:r>
      <w:r w:rsidRPr="001D52A1">
        <w:rPr>
          <w:color w:val="000000"/>
        </w:rPr>
        <w:t>probably go to tria</w:t>
      </w:r>
      <w:r w:rsidR="007951E1">
        <w:rPr>
          <w:color w:val="000000"/>
        </w:rPr>
        <w:t>l. A</w:t>
      </w:r>
      <w:r w:rsidRPr="001D52A1">
        <w:rPr>
          <w:color w:val="000000"/>
        </w:rPr>
        <w:t xml:space="preserve">lthough the judgment does not </w:t>
      </w:r>
      <w:r w:rsidR="00D51392">
        <w:rPr>
          <w:color w:val="000000"/>
        </w:rPr>
        <w:t xml:space="preserve">expressly </w:t>
      </w:r>
      <w:r w:rsidRPr="001D52A1">
        <w:rPr>
          <w:color w:val="000000"/>
        </w:rPr>
        <w:t>establish a direct correlation between the threshold standard to be applied and the likelihood of the mat</w:t>
      </w:r>
      <w:r w:rsidR="007951E1">
        <w:rPr>
          <w:color w:val="000000"/>
        </w:rPr>
        <w:t>ter going to full trial, the caution urged where the grant of</w:t>
      </w:r>
      <w:r w:rsidRPr="001D52A1">
        <w:rPr>
          <w:color w:val="000000"/>
        </w:rPr>
        <w:t xml:space="preserve"> an injunction means that </w:t>
      </w:r>
      <w:r w:rsidR="007951E1">
        <w:rPr>
          <w:color w:val="000000"/>
        </w:rPr>
        <w:t xml:space="preserve">a </w:t>
      </w:r>
      <w:r w:rsidRPr="001D52A1">
        <w:rPr>
          <w:color w:val="000000"/>
        </w:rPr>
        <w:t xml:space="preserve">case is unlikely to proceed to full trial would be consistent with the imposition of </w:t>
      </w:r>
      <w:r w:rsidR="006F6C3C">
        <w:rPr>
          <w:color w:val="000000"/>
        </w:rPr>
        <w:t>a more exacting test on</w:t>
      </w:r>
      <w:r w:rsidRPr="001D52A1">
        <w:rPr>
          <w:color w:val="000000"/>
        </w:rPr>
        <w:t xml:space="preserve"> the part</w:t>
      </w:r>
      <w:r w:rsidR="00D51392">
        <w:rPr>
          <w:color w:val="000000"/>
        </w:rPr>
        <w:t>y</w:t>
      </w:r>
      <w:r w:rsidRPr="001D52A1">
        <w:rPr>
          <w:color w:val="000000"/>
        </w:rPr>
        <w:t xml:space="preserve"> seeking the injunction.</w:t>
      </w:r>
    </w:p>
    <w:p w14:paraId="3A85F6A8" w14:textId="5261BC12" w:rsidR="000B4FA2" w:rsidRDefault="006F6C3C" w:rsidP="00A93FD5">
      <w:pPr>
        <w:pStyle w:val="NormalWeb"/>
        <w:numPr>
          <w:ilvl w:val="0"/>
          <w:numId w:val="1"/>
        </w:numPr>
        <w:spacing w:before="0" w:beforeAutospacing="0" w:after="0" w:afterAutospacing="0" w:line="480" w:lineRule="auto"/>
        <w:ind w:left="0" w:firstLine="0"/>
        <w:jc w:val="both"/>
        <w:rPr>
          <w:color w:val="000000"/>
        </w:rPr>
      </w:pPr>
      <w:r>
        <w:rPr>
          <w:color w:val="000000"/>
        </w:rPr>
        <w:t>A</w:t>
      </w:r>
      <w:r w:rsidR="00AA2B36" w:rsidRPr="001D52A1">
        <w:rPr>
          <w:color w:val="000000"/>
        </w:rPr>
        <w:t>s it happens</w:t>
      </w:r>
      <w:r>
        <w:rPr>
          <w:color w:val="000000"/>
        </w:rPr>
        <w:t>,</w:t>
      </w:r>
      <w:r w:rsidR="00AA2B36" w:rsidRPr="001D52A1">
        <w:rPr>
          <w:color w:val="000000"/>
        </w:rPr>
        <w:t xml:space="preserve"> for the reasons set out in the following section of this judgment</w:t>
      </w:r>
      <w:r>
        <w:rPr>
          <w:color w:val="000000"/>
        </w:rPr>
        <w:t>,</w:t>
      </w:r>
      <w:r w:rsidR="00AA2B36" w:rsidRPr="001D52A1">
        <w:rPr>
          <w:color w:val="000000"/>
        </w:rPr>
        <w:t xml:space="preserve"> the foregoing disc</w:t>
      </w:r>
      <w:r>
        <w:rPr>
          <w:color w:val="000000"/>
        </w:rPr>
        <w:t xml:space="preserve">ussion is largely </w:t>
      </w:r>
      <w:r w:rsidRPr="000107EC">
        <w:rPr>
          <w:i/>
          <w:color w:val="000000"/>
        </w:rPr>
        <w:t>obiter</w:t>
      </w:r>
      <w:r w:rsidR="00AA2B36" w:rsidRPr="001D52A1">
        <w:rPr>
          <w:color w:val="000000"/>
        </w:rPr>
        <w:t>. The default argument made on behalf of the plaintiffs was that</w:t>
      </w:r>
      <w:r>
        <w:rPr>
          <w:color w:val="000000"/>
        </w:rPr>
        <w:t>,</w:t>
      </w:r>
      <w:r w:rsidR="00AA2B36" w:rsidRPr="001D52A1">
        <w:rPr>
          <w:color w:val="000000"/>
        </w:rPr>
        <w:t xml:space="preserve"> if the proofs were in order</w:t>
      </w:r>
      <w:r>
        <w:rPr>
          <w:color w:val="000000"/>
        </w:rPr>
        <w:t xml:space="preserve">, then the case they make </w:t>
      </w:r>
      <w:r w:rsidR="00AA2B36" w:rsidRPr="001D52A1">
        <w:rPr>
          <w:color w:val="000000"/>
        </w:rPr>
        <w:t>will meet either the fair question or the strong case test. As I have not found the plaintiffs</w:t>
      </w:r>
      <w:r>
        <w:rPr>
          <w:color w:val="000000"/>
        </w:rPr>
        <w:t>’</w:t>
      </w:r>
      <w:r w:rsidR="00AA2B36" w:rsidRPr="001D52A1">
        <w:rPr>
          <w:color w:val="000000"/>
        </w:rPr>
        <w:t xml:space="preserve"> proofs to be in order, it follows that they have not satisfied either test.</w:t>
      </w:r>
    </w:p>
    <w:p w14:paraId="0A78DFF3" w14:textId="5A3425D9" w:rsidR="003C3987" w:rsidRDefault="003C3987" w:rsidP="003C3987">
      <w:pPr>
        <w:pStyle w:val="NormalWeb"/>
        <w:spacing w:before="0" w:beforeAutospacing="0" w:after="0" w:afterAutospacing="0" w:line="480" w:lineRule="auto"/>
        <w:jc w:val="both"/>
        <w:rPr>
          <w:color w:val="000000"/>
        </w:rPr>
      </w:pPr>
    </w:p>
    <w:p w14:paraId="1D9CD4FE" w14:textId="24A3E1FA" w:rsidR="003C3987" w:rsidRDefault="003C3987" w:rsidP="003C3987">
      <w:pPr>
        <w:pStyle w:val="NormalWeb"/>
        <w:spacing w:before="0" w:beforeAutospacing="0" w:after="0" w:afterAutospacing="0" w:line="480" w:lineRule="auto"/>
        <w:jc w:val="both"/>
        <w:rPr>
          <w:color w:val="000000"/>
        </w:rPr>
      </w:pPr>
    </w:p>
    <w:p w14:paraId="3E20F529" w14:textId="1169E85C" w:rsidR="003C3987" w:rsidRDefault="003C3987" w:rsidP="003C3987">
      <w:pPr>
        <w:pStyle w:val="NormalWeb"/>
        <w:spacing w:before="0" w:beforeAutospacing="0" w:after="0" w:afterAutospacing="0" w:line="480" w:lineRule="auto"/>
        <w:jc w:val="both"/>
        <w:rPr>
          <w:color w:val="000000"/>
        </w:rPr>
      </w:pPr>
    </w:p>
    <w:p w14:paraId="2703C952" w14:textId="77777777" w:rsidR="003C3987" w:rsidRPr="003C3987" w:rsidRDefault="003C3987" w:rsidP="003C3987">
      <w:pPr>
        <w:pStyle w:val="NormalWeb"/>
        <w:spacing w:before="0" w:beforeAutospacing="0" w:after="0" w:afterAutospacing="0" w:line="480" w:lineRule="auto"/>
        <w:jc w:val="both"/>
        <w:rPr>
          <w:color w:val="000000"/>
        </w:rPr>
      </w:pPr>
    </w:p>
    <w:p w14:paraId="134CE5B9" w14:textId="77777777" w:rsidR="007C323A" w:rsidRPr="007C323A" w:rsidRDefault="007C323A" w:rsidP="00A93FD5">
      <w:pPr>
        <w:pStyle w:val="NormalWeb"/>
        <w:spacing w:before="0" w:beforeAutospacing="0" w:after="0" w:afterAutospacing="0" w:line="480" w:lineRule="auto"/>
        <w:jc w:val="both"/>
        <w:rPr>
          <w:b/>
          <w:color w:val="000000"/>
          <w:u w:val="single"/>
        </w:rPr>
      </w:pPr>
      <w:r w:rsidRPr="007C323A">
        <w:rPr>
          <w:b/>
          <w:color w:val="000000"/>
          <w:u w:val="single"/>
        </w:rPr>
        <w:lastRenderedPageBreak/>
        <w:t>Proof</w:t>
      </w:r>
      <w:r>
        <w:rPr>
          <w:b/>
          <w:color w:val="000000"/>
          <w:u w:val="single"/>
        </w:rPr>
        <w:t xml:space="preserve"> of Ownership of Loans and Mortgages</w:t>
      </w:r>
    </w:p>
    <w:p w14:paraId="0815B789" w14:textId="77777777" w:rsidR="00214015" w:rsidRDefault="007C323A" w:rsidP="00A93FD5">
      <w:pPr>
        <w:pStyle w:val="NormalWeb"/>
        <w:numPr>
          <w:ilvl w:val="0"/>
          <w:numId w:val="1"/>
        </w:numPr>
        <w:spacing w:before="0" w:beforeAutospacing="0" w:after="0" w:afterAutospacing="0" w:line="480" w:lineRule="auto"/>
        <w:ind w:left="0" w:firstLine="0"/>
        <w:jc w:val="both"/>
        <w:rPr>
          <w:color w:val="000000"/>
        </w:rPr>
      </w:pPr>
      <w:r>
        <w:rPr>
          <w:color w:val="000000"/>
        </w:rPr>
        <w:t>H</w:t>
      </w:r>
      <w:r w:rsidR="00AA2B36" w:rsidRPr="007C323A">
        <w:rPr>
          <w:color w:val="000000"/>
        </w:rPr>
        <w:t>aving placed the plaintiffs o</w:t>
      </w:r>
      <w:r w:rsidR="00214015">
        <w:rPr>
          <w:color w:val="000000"/>
        </w:rPr>
        <w:t>n strict proof of all matters, t</w:t>
      </w:r>
      <w:r w:rsidR="00AA2B36" w:rsidRPr="007C323A">
        <w:rPr>
          <w:color w:val="000000"/>
        </w:rPr>
        <w:t xml:space="preserve">he defendant contends that the plaintiffs have not proved the transfer </w:t>
      </w:r>
      <w:r w:rsidR="00214015">
        <w:rPr>
          <w:color w:val="000000"/>
        </w:rPr>
        <w:t xml:space="preserve">to them </w:t>
      </w:r>
      <w:r w:rsidR="00AA2B36" w:rsidRPr="007C323A">
        <w:rPr>
          <w:color w:val="000000"/>
        </w:rPr>
        <w:t>of the mortgages and of the underlying loans t</w:t>
      </w:r>
      <w:r w:rsidR="00214015">
        <w:rPr>
          <w:color w:val="000000"/>
        </w:rPr>
        <w:t>o which those mortgages relate</w:t>
      </w:r>
      <w:r w:rsidR="00AA2B36" w:rsidRPr="007C323A">
        <w:rPr>
          <w:color w:val="000000"/>
        </w:rPr>
        <w:t xml:space="preserve">. </w:t>
      </w:r>
    </w:p>
    <w:p w14:paraId="442EC7A1" w14:textId="2A57916A" w:rsidR="000179A0" w:rsidRDefault="00214015" w:rsidP="00A93FD5">
      <w:pPr>
        <w:pStyle w:val="NormalWeb"/>
        <w:numPr>
          <w:ilvl w:val="0"/>
          <w:numId w:val="1"/>
        </w:numPr>
        <w:spacing w:before="0" w:beforeAutospacing="0" w:after="0" w:afterAutospacing="0" w:line="480" w:lineRule="auto"/>
        <w:ind w:left="0" w:firstLine="0"/>
        <w:jc w:val="both"/>
        <w:rPr>
          <w:color w:val="000000"/>
        </w:rPr>
      </w:pPr>
      <w:r>
        <w:rPr>
          <w:color w:val="000000"/>
        </w:rPr>
        <w:t>T</w:t>
      </w:r>
      <w:r w:rsidR="00AA2B36" w:rsidRPr="007C323A">
        <w:rPr>
          <w:color w:val="000000"/>
        </w:rPr>
        <w:t>he proof offered by the plaintiff is extracts from a redacted version of a global deed of transfer dated 14</w:t>
      </w:r>
      <w:r w:rsidR="00AA2B36" w:rsidRPr="00214015">
        <w:rPr>
          <w:color w:val="000000"/>
          <w:vertAlign w:val="superscript"/>
        </w:rPr>
        <w:t>th</w:t>
      </w:r>
      <w:r>
        <w:rPr>
          <w:color w:val="000000"/>
        </w:rPr>
        <w:t xml:space="preserve"> </w:t>
      </w:r>
      <w:r w:rsidR="00AA2B36" w:rsidRPr="007C323A">
        <w:rPr>
          <w:color w:val="000000"/>
        </w:rPr>
        <w:t>June</w:t>
      </w:r>
      <w:r>
        <w:rPr>
          <w:color w:val="000000"/>
        </w:rPr>
        <w:t>, 2019 between various AI</w:t>
      </w:r>
      <w:r w:rsidR="000179A0">
        <w:rPr>
          <w:color w:val="000000"/>
        </w:rPr>
        <w:t>B companies as sellers and</w:t>
      </w:r>
      <w:r w:rsidR="00AA2B36" w:rsidRPr="007C323A">
        <w:rPr>
          <w:color w:val="000000"/>
        </w:rPr>
        <w:t xml:space="preserve"> the second pl</w:t>
      </w:r>
      <w:r w:rsidR="000179A0">
        <w:rPr>
          <w:color w:val="000000"/>
        </w:rPr>
        <w:t>aintiff as the buyer</w:t>
      </w:r>
      <w:r w:rsidR="00AA2B36" w:rsidRPr="007C323A">
        <w:rPr>
          <w:color w:val="000000"/>
        </w:rPr>
        <w:t>. The effect o</w:t>
      </w:r>
      <w:r w:rsidR="000179A0">
        <w:rPr>
          <w:color w:val="000000"/>
        </w:rPr>
        <w:t xml:space="preserve">f that deed was to convey, </w:t>
      </w:r>
      <w:r w:rsidR="00AA2B36" w:rsidRPr="007C323A">
        <w:rPr>
          <w:color w:val="000000"/>
        </w:rPr>
        <w:t xml:space="preserve">assign </w:t>
      </w:r>
      <w:r w:rsidR="000179A0">
        <w:rPr>
          <w:color w:val="000000"/>
        </w:rPr>
        <w:t xml:space="preserve">or transfer certain properties </w:t>
      </w:r>
      <w:r w:rsidR="00AA2B36" w:rsidRPr="007C323A">
        <w:rPr>
          <w:color w:val="000000"/>
        </w:rPr>
        <w:t>of which the sellers were the legal and beneficia</w:t>
      </w:r>
      <w:r w:rsidR="000179A0">
        <w:rPr>
          <w:color w:val="000000"/>
        </w:rPr>
        <w:t>l owners to the second</w:t>
      </w:r>
      <w:r w:rsidR="00AA2B36" w:rsidRPr="007C323A">
        <w:rPr>
          <w:color w:val="000000"/>
        </w:rPr>
        <w:t xml:space="preserve"> plaintiff. Although much of the agreement</w:t>
      </w:r>
      <w:r w:rsidR="000179A0">
        <w:rPr>
          <w:color w:val="000000"/>
        </w:rPr>
        <w:t xml:space="preserve"> as exhibited is redacted, it is clear that the properties</w:t>
      </w:r>
      <w:r w:rsidR="00AA2B36" w:rsidRPr="007C323A">
        <w:rPr>
          <w:color w:val="000000"/>
        </w:rPr>
        <w:t xml:space="preserve"> comprised</w:t>
      </w:r>
      <w:r w:rsidR="000179A0">
        <w:rPr>
          <w:color w:val="000000"/>
        </w:rPr>
        <w:t xml:space="preserve">, </w:t>
      </w:r>
      <w:r w:rsidR="00AA2B36" w:rsidRPr="007C323A">
        <w:rPr>
          <w:color w:val="000000"/>
        </w:rPr>
        <w:t>at least</w:t>
      </w:r>
      <w:r w:rsidR="000179A0">
        <w:rPr>
          <w:color w:val="000000"/>
        </w:rPr>
        <w:t xml:space="preserve">, </w:t>
      </w:r>
      <w:r w:rsidR="00AA2B36" w:rsidRPr="007C323A">
        <w:rPr>
          <w:color w:val="000000"/>
        </w:rPr>
        <w:t>certain mortgages and charges entered into between the sell</w:t>
      </w:r>
      <w:r w:rsidR="000179A0">
        <w:rPr>
          <w:color w:val="000000"/>
        </w:rPr>
        <w:t xml:space="preserve">ers and their customers. </w:t>
      </w:r>
      <w:r w:rsidR="00D51392">
        <w:rPr>
          <w:color w:val="000000"/>
        </w:rPr>
        <w:t xml:space="preserve">However, none of these terms appears to be defined for the purposes of the agreement and therefore it is difficult, especially when presented </w:t>
      </w:r>
      <w:r w:rsidR="003C3987">
        <w:rPr>
          <w:color w:val="000000"/>
        </w:rPr>
        <w:t xml:space="preserve">only </w:t>
      </w:r>
      <w:r w:rsidR="00D51392">
        <w:rPr>
          <w:color w:val="000000"/>
        </w:rPr>
        <w:t xml:space="preserve">with redacted extracts, to be precise about what was actually being transferred. </w:t>
      </w:r>
      <w:r w:rsidR="000179A0">
        <w:rPr>
          <w:color w:val="000000"/>
        </w:rPr>
        <w:t>The exhibit</w:t>
      </w:r>
      <w:r w:rsidR="00AA2B36" w:rsidRPr="007C323A">
        <w:rPr>
          <w:color w:val="000000"/>
        </w:rPr>
        <w:t xml:space="preserve"> </w:t>
      </w:r>
      <w:r w:rsidR="000179A0">
        <w:rPr>
          <w:color w:val="000000"/>
        </w:rPr>
        <w:t>includes extracts from a</w:t>
      </w:r>
      <w:r w:rsidR="00AA2B36" w:rsidRPr="007C323A">
        <w:rPr>
          <w:color w:val="000000"/>
        </w:rPr>
        <w:t xml:space="preserve"> s</w:t>
      </w:r>
      <w:r w:rsidR="000179A0">
        <w:rPr>
          <w:color w:val="000000"/>
        </w:rPr>
        <w:t>c</w:t>
      </w:r>
      <w:r w:rsidR="00AA2B36" w:rsidRPr="007C323A">
        <w:rPr>
          <w:color w:val="000000"/>
        </w:rPr>
        <w:t xml:space="preserve">hedule identified along the bottom of the page as </w:t>
      </w:r>
      <w:r w:rsidR="000179A0">
        <w:rPr>
          <w:i/>
          <w:color w:val="000000"/>
        </w:rPr>
        <w:t>“</w:t>
      </w:r>
      <w:bookmarkStart w:id="0" w:name="_Hlk103013989"/>
      <w:r w:rsidR="000179A0">
        <w:rPr>
          <w:i/>
          <w:color w:val="000000"/>
        </w:rPr>
        <w:t xml:space="preserve">Deed of Conveyance and Assignment </w:t>
      </w:r>
      <w:bookmarkEnd w:id="0"/>
      <w:r w:rsidR="000179A0">
        <w:rPr>
          <w:i/>
          <w:color w:val="000000"/>
        </w:rPr>
        <w:t>– Mortgages – Batch 3”</w:t>
      </w:r>
      <w:r w:rsidR="000B4FA2">
        <w:rPr>
          <w:color w:val="000000"/>
        </w:rPr>
        <w:t xml:space="preserve"> in which the properties the subject of three of these applications are listed</w:t>
      </w:r>
      <w:r w:rsidR="000179A0">
        <w:rPr>
          <w:color w:val="000000"/>
        </w:rPr>
        <w:t xml:space="preserve">. </w:t>
      </w:r>
      <w:r w:rsidR="000B4FA2">
        <w:rPr>
          <w:color w:val="000000"/>
        </w:rPr>
        <w:t>(Rather oddly in one of these three applications the exhibit shows the same three properties in a different sequence, but the document is described as “</w:t>
      </w:r>
      <w:r w:rsidR="000B4FA2" w:rsidRPr="003C3987">
        <w:rPr>
          <w:i/>
          <w:color w:val="000000"/>
        </w:rPr>
        <w:t>Deed of Conveyance and Assignment – Mortgages – Batch 4</w:t>
      </w:r>
      <w:r w:rsidR="000B4FA2">
        <w:rPr>
          <w:color w:val="000000"/>
        </w:rPr>
        <w:t xml:space="preserve">”.  It is unclear if the properties the subject of these three applications were included twice in the global transfer or if there is some other explanation for this anomaly.  However, as the matter was not raised or discussed at the hearing I do not propose to ascribe any importance to it).  </w:t>
      </w:r>
      <w:r w:rsidR="000179A0">
        <w:rPr>
          <w:color w:val="000000"/>
        </w:rPr>
        <w:t>The details included</w:t>
      </w:r>
      <w:r w:rsidR="00AA2B36" w:rsidRPr="007C323A">
        <w:rPr>
          <w:color w:val="000000"/>
        </w:rPr>
        <w:t xml:space="preserve"> </w:t>
      </w:r>
      <w:r w:rsidR="000179A0">
        <w:rPr>
          <w:color w:val="000000"/>
        </w:rPr>
        <w:t xml:space="preserve">in </w:t>
      </w:r>
      <w:r w:rsidR="00AA2B36" w:rsidRPr="007C323A">
        <w:rPr>
          <w:color w:val="000000"/>
        </w:rPr>
        <w:t>the s</w:t>
      </w:r>
      <w:r w:rsidR="000179A0">
        <w:rPr>
          <w:color w:val="000000"/>
        </w:rPr>
        <w:t>chedule are the loan security ID, the property address</w:t>
      </w:r>
      <w:r w:rsidR="00AA2B36" w:rsidRPr="007C323A">
        <w:rPr>
          <w:color w:val="000000"/>
        </w:rPr>
        <w:t>, the county and the R</w:t>
      </w:r>
      <w:r w:rsidR="000179A0">
        <w:rPr>
          <w:color w:val="000000"/>
        </w:rPr>
        <w:t xml:space="preserve">egistry of Deeds serial number. </w:t>
      </w:r>
      <w:r w:rsidR="00D51392">
        <w:rPr>
          <w:color w:val="000000"/>
        </w:rPr>
        <w:t xml:space="preserve"> In the other application (Record No. 2021/77P) </w:t>
      </w:r>
      <w:r w:rsidR="00866085">
        <w:rPr>
          <w:color w:val="000000"/>
        </w:rPr>
        <w:t xml:space="preserve">the notation is similar except that in this case the </w:t>
      </w:r>
      <w:r w:rsidR="00866085">
        <w:rPr>
          <w:color w:val="000000"/>
        </w:rPr>
        <w:lastRenderedPageBreak/>
        <w:t xml:space="preserve">schedule from which the extract is exhibited is </w:t>
      </w:r>
      <w:r w:rsidR="00866085">
        <w:rPr>
          <w:i/>
          <w:color w:val="000000"/>
        </w:rPr>
        <w:t>“</w:t>
      </w:r>
      <w:r w:rsidR="00866ED0">
        <w:rPr>
          <w:i/>
          <w:color w:val="000000"/>
        </w:rPr>
        <w:t xml:space="preserve">Deed of Conveyance and Assignment - </w:t>
      </w:r>
      <w:r w:rsidR="00866085">
        <w:rPr>
          <w:i/>
          <w:color w:val="000000"/>
        </w:rPr>
        <w:t>Mortgages -Batch 5”</w:t>
      </w:r>
      <w:r w:rsidR="00866085">
        <w:rPr>
          <w:color w:val="000000"/>
        </w:rPr>
        <w:t>.</w:t>
      </w:r>
    </w:p>
    <w:p w14:paraId="51AD428E" w14:textId="5915A986" w:rsidR="00AA53CD" w:rsidRPr="00866ED0" w:rsidRDefault="00AA2B36" w:rsidP="00A93FD5">
      <w:pPr>
        <w:pStyle w:val="NormalWeb"/>
        <w:numPr>
          <w:ilvl w:val="0"/>
          <w:numId w:val="1"/>
        </w:numPr>
        <w:spacing w:before="0" w:beforeAutospacing="0" w:after="0" w:afterAutospacing="0" w:line="480" w:lineRule="auto"/>
        <w:ind w:left="0" w:firstLine="0"/>
        <w:jc w:val="both"/>
        <w:rPr>
          <w:color w:val="000000"/>
        </w:rPr>
      </w:pPr>
      <w:r w:rsidRPr="007C323A">
        <w:rPr>
          <w:color w:val="000000"/>
        </w:rPr>
        <w:t>The defendant argues that there is</w:t>
      </w:r>
      <w:r w:rsidR="000179A0">
        <w:rPr>
          <w:color w:val="000000"/>
        </w:rPr>
        <w:t xml:space="preserve"> no evidence before the court on</w:t>
      </w:r>
      <w:r w:rsidRPr="007C323A">
        <w:rPr>
          <w:color w:val="000000"/>
        </w:rPr>
        <w:t xml:space="preserve"> which the court can be satisfied that the mortgages and the underlying loan</w:t>
      </w:r>
      <w:r w:rsidR="000179A0">
        <w:rPr>
          <w:color w:val="000000"/>
        </w:rPr>
        <w:t>s to which the mortgages relate were transferred from AIB to the second plaintiff. N</w:t>
      </w:r>
      <w:r w:rsidRPr="007C323A">
        <w:rPr>
          <w:color w:val="000000"/>
        </w:rPr>
        <w:t xml:space="preserve">either the word </w:t>
      </w:r>
      <w:r w:rsidR="000179A0">
        <w:rPr>
          <w:i/>
          <w:color w:val="000000"/>
        </w:rPr>
        <w:t>“Properties”</w:t>
      </w:r>
      <w:r w:rsidR="0058016B">
        <w:rPr>
          <w:color w:val="000000"/>
        </w:rPr>
        <w:t xml:space="preserve"> </w:t>
      </w:r>
      <w:r w:rsidRPr="007C323A">
        <w:rPr>
          <w:color w:val="000000"/>
        </w:rPr>
        <w:t xml:space="preserve">or the word </w:t>
      </w:r>
      <w:r w:rsidR="003B61B8">
        <w:rPr>
          <w:i/>
          <w:color w:val="000000"/>
        </w:rPr>
        <w:t>“Mortgages”</w:t>
      </w:r>
      <w:r w:rsidR="003B61B8">
        <w:rPr>
          <w:color w:val="000000"/>
        </w:rPr>
        <w:t xml:space="preserve"> which are used in the global deed (</w:t>
      </w:r>
      <w:r w:rsidRPr="007C323A">
        <w:rPr>
          <w:color w:val="000000"/>
        </w:rPr>
        <w:t>and both of which appear in the deed with initial capital letters</w:t>
      </w:r>
      <w:r w:rsidR="003B61B8">
        <w:rPr>
          <w:color w:val="000000"/>
        </w:rPr>
        <w:t>)</w:t>
      </w:r>
      <w:r w:rsidRPr="007C323A">
        <w:rPr>
          <w:color w:val="000000"/>
        </w:rPr>
        <w:t xml:space="preserve"> are defined</w:t>
      </w:r>
      <w:r w:rsidR="003B61B8">
        <w:rPr>
          <w:color w:val="000000"/>
        </w:rPr>
        <w:t>. T</w:t>
      </w:r>
      <w:r w:rsidRPr="007C323A">
        <w:rPr>
          <w:color w:val="000000"/>
        </w:rPr>
        <w:t xml:space="preserve">he word </w:t>
      </w:r>
      <w:r w:rsidR="003B61B8">
        <w:rPr>
          <w:i/>
          <w:color w:val="000000"/>
        </w:rPr>
        <w:t>“loan”</w:t>
      </w:r>
      <w:r w:rsidR="003B61B8">
        <w:rPr>
          <w:color w:val="000000"/>
        </w:rPr>
        <w:t xml:space="preserve"> </w:t>
      </w:r>
      <w:r w:rsidRPr="007C323A">
        <w:rPr>
          <w:color w:val="000000"/>
        </w:rPr>
        <w:t>do</w:t>
      </w:r>
      <w:r w:rsidR="003B61B8">
        <w:rPr>
          <w:color w:val="000000"/>
        </w:rPr>
        <w:t>es not appear in the extracts from</w:t>
      </w:r>
      <w:r w:rsidRPr="007C323A">
        <w:rPr>
          <w:color w:val="000000"/>
        </w:rPr>
        <w:t xml:space="preserve"> the deed</w:t>
      </w:r>
      <w:r w:rsidR="000B4FA2">
        <w:rPr>
          <w:color w:val="000000"/>
        </w:rPr>
        <w:t>s</w:t>
      </w:r>
      <w:r w:rsidRPr="007C323A">
        <w:rPr>
          <w:color w:val="000000"/>
        </w:rPr>
        <w:t xml:space="preserve"> or the s</w:t>
      </w:r>
      <w:r w:rsidR="003B61B8">
        <w:rPr>
          <w:color w:val="000000"/>
        </w:rPr>
        <w:t>c</w:t>
      </w:r>
      <w:r w:rsidRPr="007C323A">
        <w:rPr>
          <w:color w:val="000000"/>
        </w:rPr>
        <w:t>hedule</w:t>
      </w:r>
      <w:r w:rsidR="000B4FA2">
        <w:rPr>
          <w:color w:val="000000"/>
        </w:rPr>
        <w:t>s</w:t>
      </w:r>
      <w:r w:rsidRPr="007C323A">
        <w:rPr>
          <w:color w:val="000000"/>
        </w:rPr>
        <w:t xml:space="preserve"> which have been exhibited. The purpose of the s</w:t>
      </w:r>
      <w:r w:rsidR="003B61B8">
        <w:rPr>
          <w:color w:val="000000"/>
        </w:rPr>
        <w:t>c</w:t>
      </w:r>
      <w:r w:rsidRPr="007C323A">
        <w:rPr>
          <w:color w:val="000000"/>
        </w:rPr>
        <w:t>hedule</w:t>
      </w:r>
      <w:r w:rsidR="00866085">
        <w:rPr>
          <w:color w:val="000000"/>
        </w:rPr>
        <w:t>s</w:t>
      </w:r>
      <w:r w:rsidRPr="007C323A">
        <w:rPr>
          <w:color w:val="000000"/>
        </w:rPr>
        <w:t xml:space="preserve"> is not stated in the exhibit</w:t>
      </w:r>
      <w:r w:rsidR="00866085">
        <w:rPr>
          <w:color w:val="000000"/>
        </w:rPr>
        <w:t>ed</w:t>
      </w:r>
      <w:r w:rsidRPr="007C323A">
        <w:rPr>
          <w:color w:val="000000"/>
        </w:rPr>
        <w:t xml:space="preserve"> parts of the deed</w:t>
      </w:r>
      <w:r w:rsidR="000B4FA2">
        <w:rPr>
          <w:color w:val="000000"/>
        </w:rPr>
        <w:t>s</w:t>
      </w:r>
      <w:r w:rsidR="003B61B8">
        <w:rPr>
          <w:color w:val="000000"/>
        </w:rPr>
        <w:t>.</w:t>
      </w:r>
      <w:r w:rsidR="00866ED0">
        <w:rPr>
          <w:color w:val="000000"/>
        </w:rPr>
        <w:t xml:space="preserve">  </w:t>
      </w:r>
      <w:r w:rsidRPr="00866ED0">
        <w:rPr>
          <w:color w:val="000000"/>
        </w:rPr>
        <w:t xml:space="preserve">Although the </w:t>
      </w:r>
      <w:r w:rsidR="003B61B8" w:rsidRPr="00866ED0">
        <w:rPr>
          <w:i/>
          <w:color w:val="000000"/>
        </w:rPr>
        <w:t>“hello”</w:t>
      </w:r>
      <w:r w:rsidR="003B61B8" w:rsidRPr="00866ED0">
        <w:rPr>
          <w:color w:val="000000"/>
        </w:rPr>
        <w:t xml:space="preserve"> letter</w:t>
      </w:r>
      <w:r w:rsidRPr="00866ED0">
        <w:rPr>
          <w:color w:val="000000"/>
        </w:rPr>
        <w:t xml:space="preserve"> sent by the second </w:t>
      </w:r>
      <w:r w:rsidR="003B61B8" w:rsidRPr="00866ED0">
        <w:rPr>
          <w:color w:val="000000"/>
        </w:rPr>
        <w:t>plaintiff to the defendant on 28</w:t>
      </w:r>
      <w:r w:rsidRPr="00866ED0">
        <w:rPr>
          <w:color w:val="000000"/>
          <w:vertAlign w:val="superscript"/>
        </w:rPr>
        <w:t>th</w:t>
      </w:r>
      <w:r w:rsidR="003B61B8" w:rsidRPr="00866ED0">
        <w:rPr>
          <w:color w:val="000000"/>
        </w:rPr>
        <w:t xml:space="preserve"> </w:t>
      </w:r>
      <w:r w:rsidRPr="00866ED0">
        <w:rPr>
          <w:color w:val="000000"/>
        </w:rPr>
        <w:t>June</w:t>
      </w:r>
      <w:r w:rsidR="003B61B8" w:rsidRPr="00866ED0">
        <w:rPr>
          <w:color w:val="000000"/>
        </w:rPr>
        <w:t xml:space="preserve">, 2019 </w:t>
      </w:r>
      <w:r w:rsidR="00866ED0" w:rsidRPr="00866ED0">
        <w:rPr>
          <w:color w:val="000000"/>
        </w:rPr>
        <w:t xml:space="preserve">subsequent to the transfer </w:t>
      </w:r>
      <w:r w:rsidRPr="00866ED0">
        <w:rPr>
          <w:color w:val="000000"/>
        </w:rPr>
        <w:t>lists eight loan acco</w:t>
      </w:r>
      <w:r w:rsidR="00DC3012" w:rsidRPr="00866ED0">
        <w:rPr>
          <w:color w:val="000000"/>
        </w:rPr>
        <w:t xml:space="preserve">unts formerly held </w:t>
      </w:r>
      <w:r w:rsidR="00866085" w:rsidRPr="00866ED0">
        <w:rPr>
          <w:color w:val="000000"/>
        </w:rPr>
        <w:t xml:space="preserve">by him </w:t>
      </w:r>
      <w:r w:rsidR="00DC3012" w:rsidRPr="00866ED0">
        <w:rPr>
          <w:color w:val="000000"/>
        </w:rPr>
        <w:t>with AIB companies</w:t>
      </w:r>
      <w:r w:rsidRPr="00866ED0">
        <w:rPr>
          <w:color w:val="000000"/>
        </w:rPr>
        <w:t xml:space="preserve"> to which new account numbers have been assigned by the second plaintiff</w:t>
      </w:r>
      <w:r w:rsidR="00DC3012" w:rsidRPr="00866ED0">
        <w:rPr>
          <w:color w:val="000000"/>
        </w:rPr>
        <w:t>, neither the old nor the new numbers (</w:t>
      </w:r>
      <w:r w:rsidRPr="00866ED0">
        <w:rPr>
          <w:color w:val="000000"/>
        </w:rPr>
        <w:t>all</w:t>
      </w:r>
      <w:r w:rsidR="00DC3012" w:rsidRPr="00866ED0">
        <w:rPr>
          <w:color w:val="000000"/>
        </w:rPr>
        <w:t xml:space="preserve"> of which begin with the figure “7”)</w:t>
      </w:r>
      <w:r w:rsidRPr="00866ED0">
        <w:rPr>
          <w:color w:val="000000"/>
        </w:rPr>
        <w:t xml:space="preserve"> match</w:t>
      </w:r>
      <w:r w:rsidR="00AA53CD" w:rsidRPr="00866ED0">
        <w:rPr>
          <w:color w:val="000000"/>
        </w:rPr>
        <w:t xml:space="preserve"> the </w:t>
      </w:r>
      <w:r w:rsidRPr="00866ED0">
        <w:rPr>
          <w:color w:val="000000"/>
        </w:rPr>
        <w:t>loan security ID numbers listed in respect of the plaintiffs</w:t>
      </w:r>
      <w:r w:rsidR="00AA53CD" w:rsidRPr="00866ED0">
        <w:rPr>
          <w:color w:val="000000"/>
        </w:rPr>
        <w:t>’</w:t>
      </w:r>
      <w:r w:rsidRPr="00866ED0">
        <w:rPr>
          <w:color w:val="000000"/>
        </w:rPr>
        <w:t xml:space="preserve"> propert</w:t>
      </w:r>
      <w:r w:rsidR="00AA53CD" w:rsidRPr="00866ED0">
        <w:rPr>
          <w:color w:val="000000"/>
        </w:rPr>
        <w:t>ies in the global deed.</w:t>
      </w:r>
      <w:r w:rsidR="00866085" w:rsidRPr="00866ED0">
        <w:rPr>
          <w:color w:val="000000"/>
        </w:rPr>
        <w:t xml:space="preserve">  </w:t>
      </w:r>
    </w:p>
    <w:p w14:paraId="7EDF1DF8" w14:textId="77777777" w:rsidR="00AA53CD" w:rsidRDefault="00AA53CD" w:rsidP="00A93FD5">
      <w:pPr>
        <w:pStyle w:val="NormalWeb"/>
        <w:numPr>
          <w:ilvl w:val="0"/>
          <w:numId w:val="1"/>
        </w:numPr>
        <w:spacing w:before="0" w:beforeAutospacing="0" w:after="0" w:afterAutospacing="0" w:line="480" w:lineRule="auto"/>
        <w:ind w:left="0" w:firstLine="0"/>
        <w:jc w:val="both"/>
        <w:rPr>
          <w:color w:val="000000"/>
        </w:rPr>
      </w:pPr>
      <w:r>
        <w:rPr>
          <w:color w:val="000000"/>
        </w:rPr>
        <w:t xml:space="preserve"> On the basis of these gaps, t</w:t>
      </w:r>
      <w:r w:rsidR="00AA2B36" w:rsidRPr="007C323A">
        <w:rPr>
          <w:color w:val="000000"/>
        </w:rPr>
        <w:t xml:space="preserve">he defendant argues that the exhibited documents do not refer </w:t>
      </w:r>
      <w:r w:rsidR="00866085">
        <w:rPr>
          <w:color w:val="000000"/>
        </w:rPr>
        <w:t xml:space="preserve">at all </w:t>
      </w:r>
      <w:r w:rsidR="00AA2B36" w:rsidRPr="007C323A">
        <w:rPr>
          <w:color w:val="000000"/>
        </w:rPr>
        <w:t>to the transfer of the loan agreements</w:t>
      </w:r>
      <w:r>
        <w:rPr>
          <w:color w:val="000000"/>
        </w:rPr>
        <w:t>,</w:t>
      </w:r>
      <w:r w:rsidR="00AA2B36" w:rsidRPr="007C323A">
        <w:rPr>
          <w:color w:val="000000"/>
        </w:rPr>
        <w:t xml:space="preserve"> </w:t>
      </w:r>
      <w:r w:rsidR="00866085">
        <w:rPr>
          <w:color w:val="000000"/>
        </w:rPr>
        <w:t xml:space="preserve">they </w:t>
      </w:r>
      <w:r w:rsidR="00AA2B36" w:rsidRPr="007C323A">
        <w:rPr>
          <w:color w:val="000000"/>
        </w:rPr>
        <w:t xml:space="preserve">do not define the properties </w:t>
      </w:r>
      <w:r w:rsidR="00866085">
        <w:rPr>
          <w:color w:val="000000"/>
        </w:rPr>
        <w:t xml:space="preserve">that are listed in the schedules </w:t>
      </w:r>
      <w:r w:rsidR="00AA2B36" w:rsidRPr="007C323A">
        <w:rPr>
          <w:color w:val="000000"/>
        </w:rPr>
        <w:t>and the s</w:t>
      </w:r>
      <w:r w:rsidR="00B9391F">
        <w:rPr>
          <w:color w:val="000000"/>
        </w:rPr>
        <w:t>c</w:t>
      </w:r>
      <w:r w:rsidR="00AA2B36" w:rsidRPr="007C323A">
        <w:rPr>
          <w:color w:val="000000"/>
        </w:rPr>
        <w:t>hedule</w:t>
      </w:r>
      <w:r w:rsidR="00866085">
        <w:rPr>
          <w:color w:val="000000"/>
        </w:rPr>
        <w:t>s</w:t>
      </w:r>
      <w:r w:rsidR="00AA2B36" w:rsidRPr="007C323A">
        <w:rPr>
          <w:color w:val="000000"/>
        </w:rPr>
        <w:t xml:space="preserve"> </w:t>
      </w:r>
      <w:r w:rsidR="00866085">
        <w:rPr>
          <w:color w:val="000000"/>
        </w:rPr>
        <w:t>are</w:t>
      </w:r>
      <w:r w:rsidR="00AA2B36" w:rsidRPr="007C323A">
        <w:rPr>
          <w:color w:val="000000"/>
        </w:rPr>
        <w:t xml:space="preserve"> not l</w:t>
      </w:r>
      <w:r>
        <w:rPr>
          <w:color w:val="000000"/>
        </w:rPr>
        <w:t>inked to the deed</w:t>
      </w:r>
      <w:r w:rsidR="00AA2B36" w:rsidRPr="007C323A">
        <w:rPr>
          <w:color w:val="000000"/>
        </w:rPr>
        <w:t xml:space="preserve"> in consequence of which the plaintiff has n</w:t>
      </w:r>
      <w:r>
        <w:rPr>
          <w:color w:val="000000"/>
        </w:rPr>
        <w:t xml:space="preserve">ot proved the transfer to it </w:t>
      </w:r>
      <w:r w:rsidR="00AA2B36" w:rsidRPr="007C323A">
        <w:rPr>
          <w:color w:val="000000"/>
        </w:rPr>
        <w:t>nor its ownership of the</w:t>
      </w:r>
      <w:r>
        <w:rPr>
          <w:color w:val="000000"/>
        </w:rPr>
        <w:t xml:space="preserve"> loans or the mortgages. Consequently, </w:t>
      </w:r>
      <w:r w:rsidR="00AA2B36" w:rsidRPr="007C323A">
        <w:rPr>
          <w:color w:val="000000"/>
        </w:rPr>
        <w:t xml:space="preserve">the defendant argues that the plaintiffs have not established a </w:t>
      </w:r>
      <w:r w:rsidR="00AA2B36" w:rsidRPr="00AA53CD">
        <w:rPr>
          <w:i/>
          <w:color w:val="000000"/>
        </w:rPr>
        <w:t>prima facie</w:t>
      </w:r>
      <w:r w:rsidR="00AA2B36" w:rsidRPr="007C323A">
        <w:rPr>
          <w:color w:val="000000"/>
        </w:rPr>
        <w:t xml:space="preserve"> case, much less a strong case</w:t>
      </w:r>
      <w:r>
        <w:rPr>
          <w:color w:val="000000"/>
        </w:rPr>
        <w:t>.</w:t>
      </w:r>
    </w:p>
    <w:p w14:paraId="508DB1DF" w14:textId="4522A760" w:rsidR="00120868" w:rsidRDefault="00AA53CD" w:rsidP="00A93FD5">
      <w:pPr>
        <w:pStyle w:val="NormalWeb"/>
        <w:numPr>
          <w:ilvl w:val="0"/>
          <w:numId w:val="1"/>
        </w:numPr>
        <w:spacing w:before="0" w:beforeAutospacing="0" w:after="0" w:afterAutospacing="0" w:line="480" w:lineRule="auto"/>
        <w:ind w:left="0" w:firstLine="0"/>
        <w:jc w:val="both"/>
        <w:rPr>
          <w:color w:val="000000"/>
        </w:rPr>
      </w:pPr>
      <w:r>
        <w:rPr>
          <w:color w:val="000000"/>
        </w:rPr>
        <w:t xml:space="preserve"> In response, </w:t>
      </w:r>
      <w:r w:rsidR="00AA2B36" w:rsidRPr="007C323A">
        <w:rPr>
          <w:color w:val="000000"/>
        </w:rPr>
        <w:t>the plaintiffs</w:t>
      </w:r>
      <w:r>
        <w:rPr>
          <w:color w:val="000000"/>
        </w:rPr>
        <w:t xml:space="preserve"> argue</w:t>
      </w:r>
      <w:r w:rsidR="00AA2B36" w:rsidRPr="007C323A">
        <w:rPr>
          <w:color w:val="000000"/>
        </w:rPr>
        <w:t xml:space="preserve"> that the properties are clearly set out in the s</w:t>
      </w:r>
      <w:r>
        <w:rPr>
          <w:color w:val="000000"/>
        </w:rPr>
        <w:t>c</w:t>
      </w:r>
      <w:r w:rsidR="00AA2B36" w:rsidRPr="007C323A">
        <w:rPr>
          <w:color w:val="000000"/>
        </w:rPr>
        <w:t xml:space="preserve">hedule and listed by address such that </w:t>
      </w:r>
      <w:r w:rsidR="00866ED0">
        <w:rPr>
          <w:color w:val="000000"/>
        </w:rPr>
        <w:t xml:space="preserve">they are </w:t>
      </w:r>
      <w:r w:rsidR="00736232">
        <w:rPr>
          <w:color w:val="000000"/>
        </w:rPr>
        <w:t xml:space="preserve">readily </w:t>
      </w:r>
      <w:r w:rsidR="00866ED0">
        <w:rPr>
          <w:color w:val="000000"/>
        </w:rPr>
        <w:t xml:space="preserve">identifiable and </w:t>
      </w:r>
      <w:r w:rsidR="00AA2B36" w:rsidRPr="007C323A">
        <w:rPr>
          <w:color w:val="000000"/>
        </w:rPr>
        <w:t>the only logical inference is that these properties are to be transferred pursuant to the global deed</w:t>
      </w:r>
      <w:r>
        <w:rPr>
          <w:color w:val="000000"/>
        </w:rPr>
        <w:t xml:space="preserve">. </w:t>
      </w:r>
      <w:r w:rsidR="00866085">
        <w:rPr>
          <w:color w:val="000000"/>
        </w:rPr>
        <w:t xml:space="preserve">It is perhaps telling that the plaintiffs require an inference to be drawn that these properties were to be transferred.  </w:t>
      </w:r>
      <w:r>
        <w:rPr>
          <w:color w:val="000000"/>
        </w:rPr>
        <w:t>Further</w:t>
      </w:r>
      <w:r w:rsidR="00AA2B36" w:rsidRPr="007C323A">
        <w:rPr>
          <w:color w:val="000000"/>
        </w:rPr>
        <w:t xml:space="preserve">, the Registry </w:t>
      </w:r>
      <w:r w:rsidR="00AA2B36" w:rsidRPr="007C323A">
        <w:rPr>
          <w:color w:val="000000"/>
        </w:rPr>
        <w:lastRenderedPageBreak/>
        <w:t xml:space="preserve">of Deeds serial numbers </w:t>
      </w:r>
      <w:r w:rsidR="00866085">
        <w:rPr>
          <w:color w:val="000000"/>
        </w:rPr>
        <w:t xml:space="preserve">listed in the schedules </w:t>
      </w:r>
      <w:r w:rsidR="00AA2B36" w:rsidRPr="007C323A">
        <w:rPr>
          <w:color w:val="000000"/>
        </w:rPr>
        <w:t>in respect of the mortgages can be reviewed as a matter of public record</w:t>
      </w:r>
      <w:r>
        <w:rPr>
          <w:color w:val="000000"/>
        </w:rPr>
        <w:t>. Although I</w:t>
      </w:r>
      <w:r w:rsidR="00AA2B36" w:rsidRPr="007C323A">
        <w:rPr>
          <w:color w:val="000000"/>
        </w:rPr>
        <w:t xml:space="preserve"> would be reluctant to accept a R</w:t>
      </w:r>
      <w:r>
        <w:rPr>
          <w:color w:val="000000"/>
        </w:rPr>
        <w:t>egistry of Deeds serial number a</w:t>
      </w:r>
      <w:r w:rsidR="00AA2B36" w:rsidRPr="007C323A">
        <w:rPr>
          <w:color w:val="000000"/>
        </w:rPr>
        <w:t xml:space="preserve">s sufficient proof of the deed to </w:t>
      </w:r>
      <w:r>
        <w:rPr>
          <w:color w:val="000000"/>
        </w:rPr>
        <w:t>which it refers</w:t>
      </w:r>
      <w:r w:rsidR="00AA2B36" w:rsidRPr="007C323A">
        <w:rPr>
          <w:color w:val="000000"/>
        </w:rPr>
        <w:t xml:space="preserve"> simply </w:t>
      </w:r>
      <w:r>
        <w:rPr>
          <w:color w:val="000000"/>
        </w:rPr>
        <w:t xml:space="preserve">because it </w:t>
      </w:r>
      <w:r w:rsidR="00AA2B36" w:rsidRPr="007C323A">
        <w:rPr>
          <w:color w:val="000000"/>
        </w:rPr>
        <w:t>is a public</w:t>
      </w:r>
      <w:r>
        <w:rPr>
          <w:color w:val="000000"/>
        </w:rPr>
        <w:t xml:space="preserve"> record without the deed itself being exhibited, </w:t>
      </w:r>
      <w:r w:rsidR="00866085">
        <w:rPr>
          <w:color w:val="000000"/>
        </w:rPr>
        <w:t xml:space="preserve">the exhibited material does make a case in respect of the transfer of the mortgages.  On balance </w:t>
      </w:r>
      <w:r>
        <w:rPr>
          <w:color w:val="000000"/>
        </w:rPr>
        <w:t xml:space="preserve">I </w:t>
      </w:r>
      <w:r w:rsidR="00736232">
        <w:rPr>
          <w:color w:val="000000"/>
        </w:rPr>
        <w:t xml:space="preserve">would just about </w:t>
      </w:r>
      <w:r>
        <w:rPr>
          <w:color w:val="000000"/>
        </w:rPr>
        <w:t>accept that the exhibited</w:t>
      </w:r>
      <w:r w:rsidR="00AA2B36" w:rsidRPr="007C323A">
        <w:rPr>
          <w:color w:val="000000"/>
        </w:rPr>
        <w:t xml:space="preserve"> information in respect of the mortgages raises </w:t>
      </w:r>
      <w:r>
        <w:rPr>
          <w:color w:val="000000"/>
        </w:rPr>
        <w:t>a fair question to be tried</w:t>
      </w:r>
      <w:r w:rsidR="00AA2B36" w:rsidRPr="007C323A">
        <w:rPr>
          <w:color w:val="000000"/>
        </w:rPr>
        <w:t xml:space="preserve"> as to the plaintiffs</w:t>
      </w:r>
      <w:r>
        <w:rPr>
          <w:color w:val="000000"/>
        </w:rPr>
        <w:t>’</w:t>
      </w:r>
      <w:r w:rsidR="00AA2B36" w:rsidRPr="007C323A">
        <w:rPr>
          <w:color w:val="000000"/>
        </w:rPr>
        <w:t xml:space="preserve"> ownersh</w:t>
      </w:r>
      <w:r>
        <w:rPr>
          <w:color w:val="000000"/>
        </w:rPr>
        <w:t>ip of the mortgages</w:t>
      </w:r>
      <w:r w:rsidR="00AA2B36" w:rsidRPr="007C323A">
        <w:rPr>
          <w:color w:val="000000"/>
        </w:rPr>
        <w:t xml:space="preserve">. </w:t>
      </w:r>
      <w:r w:rsidR="00866085">
        <w:rPr>
          <w:color w:val="000000"/>
        </w:rPr>
        <w:t xml:space="preserve">It would not however meet the threshold of establishing a strong case likely to succeed at trial. </w:t>
      </w:r>
      <w:r w:rsidR="00AA2B36" w:rsidRPr="007C323A">
        <w:rPr>
          <w:color w:val="000000"/>
        </w:rPr>
        <w:t>However, th</w:t>
      </w:r>
      <w:r>
        <w:rPr>
          <w:color w:val="000000"/>
        </w:rPr>
        <w:t>at is not the end of the matter</w:t>
      </w:r>
      <w:r w:rsidR="00AA2B36" w:rsidRPr="007C323A">
        <w:rPr>
          <w:color w:val="000000"/>
        </w:rPr>
        <w:t xml:space="preserve"> as there is nothing in the exhibit</w:t>
      </w:r>
      <w:r>
        <w:rPr>
          <w:color w:val="000000"/>
        </w:rPr>
        <w:t>ed</w:t>
      </w:r>
      <w:r w:rsidR="00AA2B36" w:rsidRPr="007C323A">
        <w:rPr>
          <w:color w:val="000000"/>
        </w:rPr>
        <w:t xml:space="preserve"> material which evidence</w:t>
      </w:r>
      <w:r w:rsidR="00120868">
        <w:rPr>
          <w:color w:val="000000"/>
        </w:rPr>
        <w:t>s</w:t>
      </w:r>
      <w:r w:rsidR="00AA2B36" w:rsidRPr="007C323A">
        <w:rPr>
          <w:color w:val="000000"/>
        </w:rPr>
        <w:t xml:space="preserve"> the transfer </w:t>
      </w:r>
      <w:r w:rsidR="00120868">
        <w:rPr>
          <w:color w:val="000000"/>
        </w:rPr>
        <w:t>of the underlying loans. The plaintiffs argue</w:t>
      </w:r>
      <w:r w:rsidR="00AA2B36" w:rsidRPr="007C323A">
        <w:rPr>
          <w:color w:val="000000"/>
        </w:rPr>
        <w:t xml:space="preserve"> that the </w:t>
      </w:r>
      <w:r w:rsidR="00120868">
        <w:rPr>
          <w:color w:val="000000"/>
        </w:rPr>
        <w:t>transfer of the mortgage/</w:t>
      </w:r>
      <w:r w:rsidR="00AA2B36" w:rsidRPr="007C323A">
        <w:rPr>
          <w:color w:val="000000"/>
        </w:rPr>
        <w:t>security would be worthless without the transfer of the underlying loan.</w:t>
      </w:r>
      <w:r w:rsidR="00120868">
        <w:rPr>
          <w:color w:val="000000"/>
        </w:rPr>
        <w:t xml:space="preserve"> </w:t>
      </w:r>
      <w:r w:rsidR="00AA2B36" w:rsidRPr="00120868">
        <w:rPr>
          <w:color w:val="000000"/>
        </w:rPr>
        <w:t>I accept that this is corre</w:t>
      </w:r>
      <w:r w:rsidR="00120868">
        <w:rPr>
          <w:color w:val="000000"/>
        </w:rPr>
        <w:t xml:space="preserve">ct, but it does not of itself </w:t>
      </w:r>
      <w:r w:rsidR="00AA2B36" w:rsidRPr="00120868">
        <w:rPr>
          <w:color w:val="000000"/>
        </w:rPr>
        <w:t>prove the transfer of the underlying loan</w:t>
      </w:r>
      <w:r w:rsidR="00120868">
        <w:rPr>
          <w:color w:val="000000"/>
        </w:rPr>
        <w:t>.</w:t>
      </w:r>
    </w:p>
    <w:p w14:paraId="66ED9EBD" w14:textId="72A0C9BD" w:rsidR="007A2050" w:rsidRPr="000107EC" w:rsidRDefault="00AA2B36" w:rsidP="00A93FD5">
      <w:pPr>
        <w:pStyle w:val="NormalWeb"/>
        <w:numPr>
          <w:ilvl w:val="0"/>
          <w:numId w:val="1"/>
        </w:numPr>
        <w:spacing w:before="0" w:beforeAutospacing="0" w:after="0" w:afterAutospacing="0" w:line="480" w:lineRule="auto"/>
        <w:ind w:left="0" w:firstLine="0"/>
        <w:jc w:val="both"/>
        <w:rPr>
          <w:color w:val="000000"/>
        </w:rPr>
      </w:pPr>
      <w:r w:rsidRPr="00120868">
        <w:rPr>
          <w:color w:val="000000"/>
        </w:rPr>
        <w:t>At this point in the hearing</w:t>
      </w:r>
      <w:r w:rsidR="00120868">
        <w:rPr>
          <w:color w:val="000000"/>
        </w:rPr>
        <w:t>, i.e.</w:t>
      </w:r>
      <w:r w:rsidRPr="00120868">
        <w:rPr>
          <w:color w:val="000000"/>
        </w:rPr>
        <w:t xml:space="preserve"> during plaintiffs</w:t>
      </w:r>
      <w:r w:rsidR="00120868">
        <w:rPr>
          <w:color w:val="000000"/>
        </w:rPr>
        <w:t>’ reply, c</w:t>
      </w:r>
      <w:r w:rsidRPr="00120868">
        <w:rPr>
          <w:color w:val="000000"/>
        </w:rPr>
        <w:t>ounsel for the plaintiff</w:t>
      </w:r>
      <w:r w:rsidR="00120868">
        <w:rPr>
          <w:color w:val="000000"/>
        </w:rPr>
        <w:t>s</w:t>
      </w:r>
      <w:r w:rsidRPr="00120868">
        <w:rPr>
          <w:color w:val="000000"/>
        </w:rPr>
        <w:t xml:space="preserve"> sought to int</w:t>
      </w:r>
      <w:r w:rsidR="00120868">
        <w:rPr>
          <w:color w:val="000000"/>
        </w:rPr>
        <w:t xml:space="preserve">roduce </w:t>
      </w:r>
      <w:r w:rsidR="00866085">
        <w:rPr>
          <w:color w:val="000000"/>
        </w:rPr>
        <w:t xml:space="preserve">what he called </w:t>
      </w:r>
      <w:r w:rsidR="00120868">
        <w:rPr>
          <w:color w:val="000000"/>
        </w:rPr>
        <w:t xml:space="preserve">the </w:t>
      </w:r>
      <w:r w:rsidR="00120868">
        <w:rPr>
          <w:i/>
          <w:color w:val="000000"/>
        </w:rPr>
        <w:t>“</w:t>
      </w:r>
      <w:r w:rsidRPr="00120868">
        <w:rPr>
          <w:i/>
          <w:color w:val="000000"/>
        </w:rPr>
        <w:t>loans transfer</w:t>
      </w:r>
      <w:r w:rsidR="00120868" w:rsidRPr="00120868">
        <w:rPr>
          <w:i/>
          <w:color w:val="000000"/>
        </w:rPr>
        <w:t>”</w:t>
      </w:r>
      <w:r w:rsidR="00120868">
        <w:rPr>
          <w:color w:val="000000"/>
        </w:rPr>
        <w:t xml:space="preserve"> </w:t>
      </w:r>
      <w:r w:rsidR="00AC5D60">
        <w:rPr>
          <w:color w:val="000000"/>
        </w:rPr>
        <w:t>into evidence on the basis that</w:t>
      </w:r>
      <w:r w:rsidRPr="00120868">
        <w:rPr>
          <w:color w:val="000000"/>
        </w:rPr>
        <w:t xml:space="preserve"> all relevant evidence should be before the court in order for the issue to be fairly determined</w:t>
      </w:r>
      <w:r w:rsidR="00AC5D60">
        <w:rPr>
          <w:color w:val="000000"/>
        </w:rPr>
        <w:t xml:space="preserve">. </w:t>
      </w:r>
      <w:r w:rsidR="00A46E89">
        <w:rPr>
          <w:color w:val="000000"/>
        </w:rPr>
        <w:t xml:space="preserve">Other than the fact that the plaintiffs wanted, belatedly, to introduce this material, no explanation was given for its omission nor any specific reason advanced for why they should be permitted to do so at this late stage. </w:t>
      </w:r>
      <w:r w:rsidR="00AC5D60" w:rsidRPr="00A46E89">
        <w:rPr>
          <w:color w:val="000000"/>
        </w:rPr>
        <w:t>C</w:t>
      </w:r>
      <w:r w:rsidRPr="00A46E89">
        <w:rPr>
          <w:color w:val="000000"/>
        </w:rPr>
        <w:t>ounsel for the defendant objected. He made the point that</w:t>
      </w:r>
      <w:r w:rsidR="007A2050" w:rsidRPr="00A46E89">
        <w:rPr>
          <w:color w:val="000000"/>
        </w:rPr>
        <w:t>,</w:t>
      </w:r>
      <w:r w:rsidRPr="00A46E89">
        <w:rPr>
          <w:color w:val="000000"/>
        </w:rPr>
        <w:t xml:space="preserve"> from the outset, the defendant had put the plaintiffs </w:t>
      </w:r>
      <w:r w:rsidR="007A2050" w:rsidRPr="00A46E89">
        <w:rPr>
          <w:color w:val="000000"/>
        </w:rPr>
        <w:t>on strict proof and the plaintiffs</w:t>
      </w:r>
      <w:r w:rsidRPr="00A46E89">
        <w:rPr>
          <w:color w:val="000000"/>
        </w:rPr>
        <w:t xml:space="preserve"> should not be permitted to introdu</w:t>
      </w:r>
      <w:r w:rsidR="007A2050" w:rsidRPr="00A46E89">
        <w:rPr>
          <w:color w:val="000000"/>
        </w:rPr>
        <w:t>ce new evidence on reply, the defendant</w:t>
      </w:r>
      <w:r w:rsidRPr="00A46E89">
        <w:rPr>
          <w:color w:val="000000"/>
        </w:rPr>
        <w:t xml:space="preserve"> having identified a </w:t>
      </w:r>
      <w:r w:rsidR="00866085" w:rsidRPr="00A46E89">
        <w:rPr>
          <w:color w:val="000000"/>
        </w:rPr>
        <w:t xml:space="preserve">deficit in </w:t>
      </w:r>
      <w:r w:rsidR="007A2050" w:rsidRPr="000107EC">
        <w:rPr>
          <w:color w:val="000000"/>
        </w:rPr>
        <w:t>the plaintiffs</w:t>
      </w:r>
      <w:r w:rsidR="00736232">
        <w:rPr>
          <w:color w:val="000000"/>
        </w:rPr>
        <w:t>’ case</w:t>
      </w:r>
      <w:r w:rsidR="007A2050" w:rsidRPr="000107EC">
        <w:rPr>
          <w:color w:val="000000"/>
        </w:rPr>
        <w:t>.</w:t>
      </w:r>
      <w:r w:rsidRPr="000107EC">
        <w:rPr>
          <w:color w:val="000000"/>
        </w:rPr>
        <w:t xml:space="preserve"> I refuse</w:t>
      </w:r>
      <w:r w:rsidR="007A2050" w:rsidRPr="000107EC">
        <w:rPr>
          <w:color w:val="000000"/>
        </w:rPr>
        <w:t>d</w:t>
      </w:r>
      <w:r w:rsidRPr="000107EC">
        <w:rPr>
          <w:color w:val="000000"/>
        </w:rPr>
        <w:t xml:space="preserve"> to</w:t>
      </w:r>
      <w:r w:rsidR="007A2050" w:rsidRPr="000107EC">
        <w:rPr>
          <w:color w:val="000000"/>
        </w:rPr>
        <w:t xml:space="preserve"> allow the plaintiffs introduce</w:t>
      </w:r>
      <w:r w:rsidRPr="000107EC">
        <w:rPr>
          <w:color w:val="000000"/>
        </w:rPr>
        <w:t xml:space="preserve"> additional evidence at that </w:t>
      </w:r>
      <w:r w:rsidR="007A2050" w:rsidRPr="000107EC">
        <w:rPr>
          <w:color w:val="000000"/>
        </w:rPr>
        <w:t>stage of the hearing. T</w:t>
      </w:r>
      <w:r w:rsidRPr="000107EC">
        <w:rPr>
          <w:color w:val="000000"/>
        </w:rPr>
        <w:t xml:space="preserve">he material in question </w:t>
      </w:r>
      <w:r w:rsidR="007A2050" w:rsidRPr="000107EC">
        <w:rPr>
          <w:color w:val="000000"/>
        </w:rPr>
        <w:t>(</w:t>
      </w:r>
      <w:r w:rsidRPr="000107EC">
        <w:rPr>
          <w:color w:val="000000"/>
        </w:rPr>
        <w:t>which was n</w:t>
      </w:r>
      <w:r w:rsidR="00866085" w:rsidRPr="000107EC">
        <w:rPr>
          <w:color w:val="000000"/>
        </w:rPr>
        <w:t>ever</w:t>
      </w:r>
      <w:r w:rsidR="007A2050" w:rsidRPr="000107EC">
        <w:rPr>
          <w:color w:val="000000"/>
        </w:rPr>
        <w:t xml:space="preserve"> actually produced)</w:t>
      </w:r>
      <w:r w:rsidRPr="000107EC">
        <w:rPr>
          <w:color w:val="000000"/>
        </w:rPr>
        <w:t xml:space="preserve"> was presumably documentation executed at the same time as or</w:t>
      </w:r>
      <w:r w:rsidR="007A2050" w:rsidRPr="000107EC">
        <w:rPr>
          <w:color w:val="000000"/>
        </w:rPr>
        <w:t>, any rate,</w:t>
      </w:r>
      <w:r w:rsidRPr="000107EC">
        <w:rPr>
          <w:color w:val="000000"/>
        </w:rPr>
        <w:t xml:space="preserve"> in connection with the g</w:t>
      </w:r>
      <w:r w:rsidR="007A2050" w:rsidRPr="000107EC">
        <w:rPr>
          <w:color w:val="000000"/>
        </w:rPr>
        <w:t>lobal deed of transfer</w:t>
      </w:r>
      <w:r w:rsidRPr="000107EC">
        <w:rPr>
          <w:color w:val="000000"/>
        </w:rPr>
        <w:t>. Consequently, it was most likely material which had been available t</w:t>
      </w:r>
      <w:r w:rsidR="007A2050" w:rsidRPr="000107EC">
        <w:rPr>
          <w:color w:val="000000"/>
        </w:rPr>
        <w:t>o the plaintiffs from the time at</w:t>
      </w:r>
      <w:r w:rsidRPr="000107EC">
        <w:rPr>
          <w:color w:val="000000"/>
        </w:rPr>
        <w:t xml:space="preserve"> which they is</w:t>
      </w:r>
      <w:r w:rsidR="007A2050" w:rsidRPr="000107EC">
        <w:rPr>
          <w:color w:val="000000"/>
        </w:rPr>
        <w:t xml:space="preserve">sued these </w:t>
      </w:r>
      <w:r w:rsidR="007A2050" w:rsidRPr="000107EC">
        <w:rPr>
          <w:color w:val="000000"/>
        </w:rPr>
        <w:lastRenderedPageBreak/>
        <w:t>applications</w:t>
      </w:r>
      <w:r w:rsidRPr="000107EC">
        <w:rPr>
          <w:color w:val="000000"/>
        </w:rPr>
        <w:t>. I</w:t>
      </w:r>
      <w:r w:rsidR="007A2050" w:rsidRPr="000107EC">
        <w:rPr>
          <w:color w:val="000000"/>
        </w:rPr>
        <w:t>t did not comprise new material</w:t>
      </w:r>
      <w:r w:rsidRPr="000107EC">
        <w:rPr>
          <w:color w:val="000000"/>
        </w:rPr>
        <w:t xml:space="preserve"> of which the plain</w:t>
      </w:r>
      <w:r w:rsidR="007A2050" w:rsidRPr="000107EC">
        <w:rPr>
          <w:color w:val="000000"/>
        </w:rPr>
        <w:t>tiffs were previously unaware or</w:t>
      </w:r>
      <w:r w:rsidRPr="000107EC">
        <w:rPr>
          <w:color w:val="000000"/>
        </w:rPr>
        <w:t xml:space="preserve"> which had been previously unavailable to them</w:t>
      </w:r>
      <w:r w:rsidR="007A2050" w:rsidRPr="000107EC">
        <w:rPr>
          <w:color w:val="000000"/>
        </w:rPr>
        <w:t>.</w:t>
      </w:r>
      <w:r w:rsidR="00866085" w:rsidRPr="000107EC">
        <w:rPr>
          <w:color w:val="000000"/>
        </w:rPr>
        <w:t xml:space="preserve"> </w:t>
      </w:r>
    </w:p>
    <w:p w14:paraId="44EF93A0" w14:textId="773DBACE" w:rsidR="007A2050" w:rsidRDefault="00AA2B36" w:rsidP="00A93FD5">
      <w:pPr>
        <w:pStyle w:val="NormalWeb"/>
        <w:numPr>
          <w:ilvl w:val="0"/>
          <w:numId w:val="1"/>
        </w:numPr>
        <w:spacing w:before="0" w:beforeAutospacing="0" w:after="0" w:afterAutospacing="0" w:line="480" w:lineRule="auto"/>
        <w:ind w:left="0" w:firstLine="0"/>
        <w:jc w:val="both"/>
        <w:rPr>
          <w:color w:val="000000"/>
        </w:rPr>
      </w:pPr>
      <w:r w:rsidRPr="00120868">
        <w:rPr>
          <w:color w:val="000000"/>
        </w:rPr>
        <w:t>In the circumstances, it seems to me that the plaintiffs have not established a fundamental element of the case they need to make in order to be entitled to the relief they seek</w:t>
      </w:r>
      <w:r w:rsidR="007A2050">
        <w:rPr>
          <w:color w:val="000000"/>
        </w:rPr>
        <w:t>. U</w:t>
      </w:r>
      <w:r w:rsidRPr="00120868">
        <w:rPr>
          <w:color w:val="000000"/>
        </w:rPr>
        <w:t>nder the terms of</w:t>
      </w:r>
      <w:r w:rsidR="007A2050">
        <w:rPr>
          <w:color w:val="000000"/>
        </w:rPr>
        <w:t xml:space="preserve"> the mortgages, the entitlement</w:t>
      </w:r>
      <w:r w:rsidRPr="00120868">
        <w:rPr>
          <w:color w:val="000000"/>
        </w:rPr>
        <w:t xml:space="preserve"> to appoint a receiver an</w:t>
      </w:r>
      <w:r w:rsidR="007A2050">
        <w:rPr>
          <w:color w:val="000000"/>
        </w:rPr>
        <w:t>d to exercise the power of sale</w:t>
      </w:r>
      <w:r w:rsidRPr="00120868">
        <w:rPr>
          <w:color w:val="000000"/>
        </w:rPr>
        <w:t xml:space="preserve"> which the first plaintiff intends to exercise depends on the monies the subject of the loans being </w:t>
      </w:r>
      <w:r w:rsidR="007A2050">
        <w:rPr>
          <w:color w:val="000000"/>
        </w:rPr>
        <w:t>outstanding a</w:t>
      </w:r>
      <w:r w:rsidRPr="00120868">
        <w:rPr>
          <w:color w:val="000000"/>
        </w:rPr>
        <w:t>nd having become due and p</w:t>
      </w:r>
      <w:r w:rsidR="007A2050">
        <w:rPr>
          <w:color w:val="000000"/>
        </w:rPr>
        <w:t>ayable by the defendant</w:t>
      </w:r>
      <w:r w:rsidRPr="00120868">
        <w:rPr>
          <w:color w:val="000000"/>
        </w:rPr>
        <w:t xml:space="preserve">. </w:t>
      </w:r>
      <w:r w:rsidR="00A46E89">
        <w:rPr>
          <w:color w:val="000000"/>
        </w:rPr>
        <w:t xml:space="preserve">As the plaintiffs have not established the transfer of the loans, they are not in a position to establish the defendant’s default under those loans nor, crucially, their </w:t>
      </w:r>
      <w:r w:rsidR="00736232">
        <w:rPr>
          <w:color w:val="000000"/>
        </w:rPr>
        <w:t xml:space="preserve">own </w:t>
      </w:r>
      <w:r w:rsidR="00A46E89">
        <w:rPr>
          <w:color w:val="000000"/>
        </w:rPr>
        <w:t xml:space="preserve">entitlement to act consequent to that default.  </w:t>
      </w:r>
      <w:r w:rsidRPr="00120868">
        <w:rPr>
          <w:color w:val="000000"/>
        </w:rPr>
        <w:t xml:space="preserve">In the absence of proof of the transfer of the loans to </w:t>
      </w:r>
      <w:r w:rsidR="007A2050">
        <w:rPr>
          <w:color w:val="000000"/>
        </w:rPr>
        <w:t>it, th</w:t>
      </w:r>
      <w:r w:rsidRPr="00120868">
        <w:rPr>
          <w:color w:val="000000"/>
        </w:rPr>
        <w:t xml:space="preserve">e second plaintiff cannot establish an entitlement to exercise </w:t>
      </w:r>
      <w:r w:rsidR="007A2050">
        <w:rPr>
          <w:color w:val="000000"/>
        </w:rPr>
        <w:t xml:space="preserve">either of the rights </w:t>
      </w:r>
      <w:r w:rsidR="00A46E89">
        <w:rPr>
          <w:color w:val="000000"/>
        </w:rPr>
        <w:t xml:space="preserve">under the mortgage </w:t>
      </w:r>
      <w:r w:rsidR="007A2050">
        <w:rPr>
          <w:color w:val="000000"/>
        </w:rPr>
        <w:t>even if the court were to accept</w:t>
      </w:r>
      <w:r w:rsidRPr="00120868">
        <w:rPr>
          <w:color w:val="000000"/>
        </w:rPr>
        <w:t xml:space="preserve"> that the transfer of the mortgages</w:t>
      </w:r>
      <w:r w:rsidR="00A46E89">
        <w:rPr>
          <w:color w:val="000000"/>
        </w:rPr>
        <w:t xml:space="preserve"> to the second plaintiff had been established by reference to the “</w:t>
      </w:r>
      <w:r w:rsidR="00A46E89" w:rsidRPr="000107EC">
        <w:rPr>
          <w:i/>
          <w:color w:val="000000"/>
        </w:rPr>
        <w:t>fair question</w:t>
      </w:r>
      <w:r w:rsidR="00A46E89">
        <w:rPr>
          <w:color w:val="000000"/>
        </w:rPr>
        <w:t>” threshold</w:t>
      </w:r>
      <w:r w:rsidRPr="00120868">
        <w:rPr>
          <w:color w:val="000000"/>
        </w:rPr>
        <w:t>. Consequently, it seems to me that the plaintiffs</w:t>
      </w:r>
      <w:r w:rsidR="007A2050">
        <w:rPr>
          <w:color w:val="000000"/>
        </w:rPr>
        <w:t>’</w:t>
      </w:r>
      <w:r w:rsidRPr="00120868">
        <w:rPr>
          <w:color w:val="000000"/>
        </w:rPr>
        <w:t xml:space="preserve"> applications for interlocutory relief must be refused. </w:t>
      </w:r>
    </w:p>
    <w:p w14:paraId="35FF283C" w14:textId="7743DBB2" w:rsidR="00372F76" w:rsidRPr="00866ED0" w:rsidRDefault="007A2050" w:rsidP="00A93FD5">
      <w:pPr>
        <w:pStyle w:val="NormalWeb"/>
        <w:numPr>
          <w:ilvl w:val="0"/>
          <w:numId w:val="1"/>
        </w:numPr>
        <w:spacing w:before="0" w:beforeAutospacing="0" w:after="0" w:afterAutospacing="0" w:line="480" w:lineRule="auto"/>
        <w:ind w:left="0" w:firstLine="0"/>
        <w:jc w:val="both"/>
        <w:rPr>
          <w:color w:val="000000"/>
        </w:rPr>
      </w:pPr>
      <w:r>
        <w:rPr>
          <w:color w:val="000000"/>
        </w:rPr>
        <w:t>A</w:t>
      </w:r>
      <w:r w:rsidR="00AA2B36" w:rsidRPr="007A2050">
        <w:rPr>
          <w:color w:val="000000"/>
        </w:rPr>
        <w:t>s will be appreciated</w:t>
      </w:r>
      <w:r w:rsidR="00372F76">
        <w:rPr>
          <w:color w:val="000000"/>
        </w:rPr>
        <w:t>,</w:t>
      </w:r>
      <w:r w:rsidR="00AA2B36" w:rsidRPr="007A2050">
        <w:rPr>
          <w:color w:val="000000"/>
        </w:rPr>
        <w:t xml:space="preserve"> my decision in this regard is essenti</w:t>
      </w:r>
      <w:r w:rsidR="00372F76">
        <w:rPr>
          <w:color w:val="000000"/>
        </w:rPr>
        <w:t>ally an evidential one</w:t>
      </w:r>
      <w:r w:rsidR="00AA2B36" w:rsidRPr="007A2050">
        <w:rPr>
          <w:color w:val="000000"/>
        </w:rPr>
        <w:t>. The</w:t>
      </w:r>
      <w:r w:rsidR="00372F76">
        <w:rPr>
          <w:color w:val="000000"/>
        </w:rPr>
        <w:t xml:space="preserve"> plaintiffs have failed to ad</w:t>
      </w:r>
      <w:r w:rsidR="00AA2B36" w:rsidRPr="007A2050">
        <w:rPr>
          <w:color w:val="000000"/>
        </w:rPr>
        <w:t>duce the necessary proof in order to establish their entitlement to the relief the</w:t>
      </w:r>
      <w:r w:rsidR="00372F76">
        <w:rPr>
          <w:color w:val="000000"/>
        </w:rPr>
        <w:t>y seek</w:t>
      </w:r>
      <w:r w:rsidR="00AA2B36" w:rsidRPr="007A2050">
        <w:rPr>
          <w:color w:val="000000"/>
        </w:rPr>
        <w:t>. But</w:t>
      </w:r>
      <w:r w:rsidR="00372F76">
        <w:rPr>
          <w:color w:val="000000"/>
        </w:rPr>
        <w:t>,</w:t>
      </w:r>
      <w:r w:rsidR="00AA2B36" w:rsidRPr="007A2050">
        <w:rPr>
          <w:color w:val="000000"/>
        </w:rPr>
        <w:t xml:space="preserve"> to paraphrase Clark</w:t>
      </w:r>
      <w:r w:rsidR="00372F76">
        <w:rPr>
          <w:color w:val="000000"/>
        </w:rPr>
        <w:t>e</w:t>
      </w:r>
      <w:r w:rsidR="00AA2B36" w:rsidRPr="007A2050">
        <w:rPr>
          <w:color w:val="000000"/>
        </w:rPr>
        <w:t xml:space="preserve"> J</w:t>
      </w:r>
      <w:r w:rsidR="00372F76">
        <w:rPr>
          <w:color w:val="000000"/>
        </w:rPr>
        <w:t xml:space="preserve">. in </w:t>
      </w:r>
      <w:r w:rsidR="00372F76" w:rsidRPr="00372F76">
        <w:rPr>
          <w:i/>
          <w:color w:val="000000"/>
        </w:rPr>
        <w:t>AIB v. D</w:t>
      </w:r>
      <w:r w:rsidR="00AA2B36" w:rsidRPr="00372F76">
        <w:rPr>
          <w:i/>
          <w:color w:val="000000"/>
        </w:rPr>
        <w:t>iamond</w:t>
      </w:r>
      <w:r w:rsidR="00372F76">
        <w:rPr>
          <w:color w:val="000000"/>
        </w:rPr>
        <w:t xml:space="preserve"> [2012]</w:t>
      </w:r>
      <w:r w:rsidR="00AA2B36" w:rsidRPr="007A2050">
        <w:rPr>
          <w:color w:val="000000"/>
        </w:rPr>
        <w:t xml:space="preserve"> </w:t>
      </w:r>
      <w:r w:rsidR="00372F76">
        <w:rPr>
          <w:color w:val="000000"/>
        </w:rPr>
        <w:t>3 IR 549</w:t>
      </w:r>
      <w:r w:rsidR="00AA2B36" w:rsidRPr="007A2050">
        <w:rPr>
          <w:color w:val="000000"/>
        </w:rPr>
        <w:t xml:space="preserve">, it may be that the evidence which will be available at the substantive trial will be sufficient to allow </w:t>
      </w:r>
      <w:r w:rsidR="00372F76">
        <w:rPr>
          <w:color w:val="000000"/>
        </w:rPr>
        <w:t>a court</w:t>
      </w:r>
      <w:r w:rsidR="00AA2B36" w:rsidRPr="007A2050">
        <w:rPr>
          <w:color w:val="000000"/>
        </w:rPr>
        <w:t xml:space="preserve"> </w:t>
      </w:r>
      <w:r w:rsidR="00736232">
        <w:rPr>
          <w:color w:val="000000"/>
        </w:rPr>
        <w:t xml:space="preserve">to </w:t>
      </w:r>
      <w:r w:rsidR="00AA2B36" w:rsidRPr="007A2050">
        <w:rPr>
          <w:color w:val="000000"/>
        </w:rPr>
        <w:t>be satisfied of the plaintiffs</w:t>
      </w:r>
      <w:r w:rsidR="00372F76">
        <w:rPr>
          <w:color w:val="000000"/>
        </w:rPr>
        <w:t>’</w:t>
      </w:r>
      <w:r w:rsidR="00AA2B36" w:rsidRPr="007A2050">
        <w:rPr>
          <w:color w:val="000000"/>
        </w:rPr>
        <w:t xml:space="preserve"> entitlemen</w:t>
      </w:r>
      <w:r w:rsidR="00372F76">
        <w:rPr>
          <w:color w:val="000000"/>
        </w:rPr>
        <w:t xml:space="preserve">ts in this regard. </w:t>
      </w:r>
      <w:r w:rsidR="00AA2B36" w:rsidRPr="007A2050">
        <w:rPr>
          <w:color w:val="000000"/>
        </w:rPr>
        <w:t>I am</w:t>
      </w:r>
      <w:r w:rsidR="00372F76">
        <w:rPr>
          <w:color w:val="000000"/>
        </w:rPr>
        <w:t>, however,</w:t>
      </w:r>
      <w:r w:rsidR="00AA2B36" w:rsidRPr="007A2050">
        <w:rPr>
          <w:color w:val="000000"/>
        </w:rPr>
        <w:t xml:space="preserve"> confi</w:t>
      </w:r>
      <w:r w:rsidR="00372F76">
        <w:rPr>
          <w:color w:val="000000"/>
        </w:rPr>
        <w:t>ned to the evidence before me and I a</w:t>
      </w:r>
      <w:r w:rsidR="00AA2B36" w:rsidRPr="007A2050">
        <w:rPr>
          <w:color w:val="000000"/>
        </w:rPr>
        <w:t xml:space="preserve">m not satisfied that enough evidence </w:t>
      </w:r>
      <w:r w:rsidR="00A46E89">
        <w:rPr>
          <w:color w:val="000000"/>
        </w:rPr>
        <w:t xml:space="preserve">has been adduced </w:t>
      </w:r>
      <w:r w:rsidR="00AA2B36" w:rsidRPr="007A2050">
        <w:rPr>
          <w:color w:val="000000"/>
        </w:rPr>
        <w:t>to establish the plaintiffs</w:t>
      </w:r>
      <w:r w:rsidR="00372F76">
        <w:rPr>
          <w:color w:val="000000"/>
        </w:rPr>
        <w:t>’</w:t>
      </w:r>
      <w:r w:rsidR="00AA2B36" w:rsidRPr="007A2050">
        <w:rPr>
          <w:color w:val="000000"/>
        </w:rPr>
        <w:t xml:space="preserve"> entitlement to exercise the powers in r</w:t>
      </w:r>
      <w:r w:rsidR="00372F76">
        <w:rPr>
          <w:color w:val="000000"/>
        </w:rPr>
        <w:t>espect of which the orders are sought</w:t>
      </w:r>
      <w:r w:rsidR="00AA2B36" w:rsidRPr="007A2050">
        <w:rPr>
          <w:color w:val="000000"/>
        </w:rPr>
        <w:t xml:space="preserve">. </w:t>
      </w:r>
      <w:r w:rsidR="00372F76" w:rsidRPr="00866ED0">
        <w:rPr>
          <w:color w:val="000000"/>
        </w:rPr>
        <w:t>T</w:t>
      </w:r>
      <w:r w:rsidR="00AA2B36" w:rsidRPr="00866ED0">
        <w:rPr>
          <w:color w:val="000000"/>
        </w:rPr>
        <w:t>hat conclusion is suffi</w:t>
      </w:r>
      <w:r w:rsidR="00372F76" w:rsidRPr="00866ED0">
        <w:rPr>
          <w:color w:val="000000"/>
        </w:rPr>
        <w:t>cient to dispose of the entire</w:t>
      </w:r>
      <w:r w:rsidR="00AA2B36" w:rsidRPr="00866ED0">
        <w:rPr>
          <w:color w:val="000000"/>
        </w:rPr>
        <w:t xml:space="preserve"> of this application. However, because a number of arguments </w:t>
      </w:r>
      <w:r w:rsidR="00AA2B36" w:rsidRPr="00866ED0">
        <w:rPr>
          <w:color w:val="000000"/>
        </w:rPr>
        <w:lastRenderedPageBreak/>
        <w:t>were raised and dealt with in detail by the parties, I will indicate, in</w:t>
      </w:r>
      <w:r w:rsidR="00372F76" w:rsidRPr="00866ED0">
        <w:rPr>
          <w:color w:val="000000"/>
        </w:rPr>
        <w:t xml:space="preserve"> outline</w:t>
      </w:r>
      <w:r w:rsidR="00AA2B36" w:rsidRPr="00866ED0">
        <w:rPr>
          <w:color w:val="000000"/>
        </w:rPr>
        <w:t>, my views on the other issue</w:t>
      </w:r>
      <w:r w:rsidR="00372F76" w:rsidRPr="00866ED0">
        <w:rPr>
          <w:color w:val="000000"/>
        </w:rPr>
        <w:t xml:space="preserve">s. Naturally, these views </w:t>
      </w:r>
      <w:r w:rsidR="00A46E89" w:rsidRPr="00866ED0">
        <w:rPr>
          <w:color w:val="000000"/>
        </w:rPr>
        <w:t xml:space="preserve">in the subsequent sections of this judgment </w:t>
      </w:r>
      <w:r w:rsidR="00372F76" w:rsidRPr="00866ED0">
        <w:rPr>
          <w:color w:val="000000"/>
        </w:rPr>
        <w:t xml:space="preserve">are </w:t>
      </w:r>
      <w:r w:rsidR="00372F76" w:rsidRPr="00866ED0">
        <w:rPr>
          <w:i/>
          <w:color w:val="000000"/>
        </w:rPr>
        <w:t>obiter</w:t>
      </w:r>
      <w:r w:rsidR="00372F76" w:rsidRPr="00866ED0">
        <w:rPr>
          <w:color w:val="000000"/>
        </w:rPr>
        <w:t>.</w:t>
      </w:r>
      <w:r w:rsidR="00AA2B36" w:rsidRPr="00866ED0">
        <w:rPr>
          <w:color w:val="000000"/>
        </w:rPr>
        <w:t xml:space="preserve"> </w:t>
      </w:r>
    </w:p>
    <w:p w14:paraId="3F4907BC" w14:textId="77777777" w:rsidR="00866ED0" w:rsidRDefault="00866ED0" w:rsidP="00A93FD5">
      <w:pPr>
        <w:pStyle w:val="NormalWeb"/>
        <w:spacing w:before="0" w:beforeAutospacing="0" w:after="0" w:afterAutospacing="0" w:line="480" w:lineRule="auto"/>
        <w:jc w:val="both"/>
        <w:rPr>
          <w:b/>
          <w:color w:val="000000"/>
          <w:u w:val="single"/>
        </w:rPr>
      </w:pPr>
    </w:p>
    <w:p w14:paraId="6FBA8119" w14:textId="77777777" w:rsidR="00372F76" w:rsidRPr="00372F76" w:rsidRDefault="00372F76" w:rsidP="00A93FD5">
      <w:pPr>
        <w:pStyle w:val="NormalWeb"/>
        <w:spacing w:before="0" w:beforeAutospacing="0" w:after="0" w:afterAutospacing="0" w:line="480" w:lineRule="auto"/>
        <w:jc w:val="both"/>
        <w:rPr>
          <w:b/>
          <w:color w:val="000000"/>
          <w:u w:val="single"/>
        </w:rPr>
      </w:pPr>
      <w:r w:rsidRPr="00372F76">
        <w:rPr>
          <w:b/>
          <w:color w:val="000000"/>
          <w:u w:val="single"/>
        </w:rPr>
        <w:t>Transfer of Loans and Mortgages as between AIB C</w:t>
      </w:r>
      <w:r w:rsidR="00AA2B36" w:rsidRPr="00372F76">
        <w:rPr>
          <w:b/>
          <w:color w:val="000000"/>
          <w:u w:val="single"/>
        </w:rPr>
        <w:t xml:space="preserve">ompanies </w:t>
      </w:r>
    </w:p>
    <w:p w14:paraId="60F79910" w14:textId="1D685A1D" w:rsidR="00372F76" w:rsidRDefault="00AA2B36" w:rsidP="00A93FD5">
      <w:pPr>
        <w:pStyle w:val="NormalWeb"/>
        <w:numPr>
          <w:ilvl w:val="0"/>
          <w:numId w:val="1"/>
        </w:numPr>
        <w:spacing w:before="0" w:beforeAutospacing="0" w:after="0" w:afterAutospacing="0" w:line="480" w:lineRule="auto"/>
        <w:ind w:left="0" w:firstLine="0"/>
        <w:jc w:val="both"/>
        <w:rPr>
          <w:color w:val="000000"/>
        </w:rPr>
      </w:pPr>
      <w:r w:rsidRPr="007A2050">
        <w:rPr>
          <w:color w:val="000000"/>
        </w:rPr>
        <w:t xml:space="preserve">In addition to this </w:t>
      </w:r>
      <w:r w:rsidR="00372F76">
        <w:rPr>
          <w:color w:val="000000"/>
        </w:rPr>
        <w:t>fundamental issue of proof,</w:t>
      </w:r>
      <w:r w:rsidRPr="007A2050">
        <w:rPr>
          <w:color w:val="000000"/>
        </w:rPr>
        <w:t xml:space="preserve"> the defendant makes a number of other arguments regarding the transfer and ownership of his loans as between the AIB companies prior to their alle</w:t>
      </w:r>
      <w:r w:rsidR="00372F76">
        <w:rPr>
          <w:color w:val="000000"/>
        </w:rPr>
        <w:t xml:space="preserve">ged transfer to the second plaintiff. Three of the four loans were drawn down on foot </w:t>
      </w:r>
      <w:r w:rsidRPr="007A2050">
        <w:rPr>
          <w:color w:val="000000"/>
        </w:rPr>
        <w:t>of agreements entered into between</w:t>
      </w:r>
      <w:r w:rsidR="00372F76">
        <w:rPr>
          <w:color w:val="000000"/>
        </w:rPr>
        <w:t xml:space="preserve"> the defendant and AIB F</w:t>
      </w:r>
      <w:r w:rsidRPr="007A2050">
        <w:rPr>
          <w:color w:val="000000"/>
        </w:rPr>
        <w:t xml:space="preserve">inance </w:t>
      </w:r>
      <w:r w:rsidR="00372F76">
        <w:rPr>
          <w:color w:val="000000"/>
        </w:rPr>
        <w:t>Limited (AIBFL)</w:t>
      </w:r>
      <w:r w:rsidRPr="007A2050">
        <w:rPr>
          <w:color w:val="000000"/>
        </w:rPr>
        <w:t xml:space="preserve">. The </w:t>
      </w:r>
      <w:r w:rsidR="00372F76">
        <w:rPr>
          <w:color w:val="000000"/>
        </w:rPr>
        <w:t xml:space="preserve">fourth was entered into between the defendant and AIB Mortgage Bank (AIBMB). Although a number of </w:t>
      </w:r>
      <w:r w:rsidRPr="007A2050">
        <w:rPr>
          <w:color w:val="000000"/>
        </w:rPr>
        <w:t>AIB companies were party to the global date of transfer to the seco</w:t>
      </w:r>
      <w:r w:rsidR="00372F76">
        <w:rPr>
          <w:color w:val="000000"/>
        </w:rPr>
        <w:t xml:space="preserve">nd plaintiff, including AIB plc and </w:t>
      </w:r>
      <w:r w:rsidRPr="007A2050">
        <w:rPr>
          <w:color w:val="000000"/>
        </w:rPr>
        <w:t>AIB</w:t>
      </w:r>
      <w:r w:rsidR="00372F76">
        <w:rPr>
          <w:color w:val="000000"/>
        </w:rPr>
        <w:t>MB, AIBFL</w:t>
      </w:r>
      <w:r w:rsidRPr="007A2050">
        <w:rPr>
          <w:color w:val="000000"/>
        </w:rPr>
        <w:t xml:space="preserve"> is not one of the compa</w:t>
      </w:r>
      <w:r w:rsidR="00372F76">
        <w:rPr>
          <w:color w:val="000000"/>
        </w:rPr>
        <w:t>nies which was party to that de</w:t>
      </w:r>
      <w:r w:rsidRPr="007A2050">
        <w:rPr>
          <w:color w:val="000000"/>
        </w:rPr>
        <w:t>e</w:t>
      </w:r>
      <w:r w:rsidR="00372F76">
        <w:rPr>
          <w:color w:val="000000"/>
        </w:rPr>
        <w:t xml:space="preserve">d. Thus, it was not a </w:t>
      </w:r>
      <w:r w:rsidR="00372F76">
        <w:rPr>
          <w:i/>
          <w:color w:val="000000"/>
        </w:rPr>
        <w:t>“seller”</w:t>
      </w:r>
      <w:r w:rsidR="00372F76">
        <w:rPr>
          <w:color w:val="000000"/>
        </w:rPr>
        <w:t xml:space="preserve"> of its </w:t>
      </w:r>
      <w:r w:rsidRPr="007A2050">
        <w:rPr>
          <w:color w:val="000000"/>
        </w:rPr>
        <w:t>loans to the second plaintiff.</w:t>
      </w:r>
      <w:r w:rsidR="00372F76">
        <w:rPr>
          <w:color w:val="000000"/>
        </w:rPr>
        <w:t xml:space="preserve"> Consequently, </w:t>
      </w:r>
      <w:r w:rsidRPr="00372F76">
        <w:rPr>
          <w:color w:val="000000"/>
        </w:rPr>
        <w:t>there is an onus on the plaintiffs</w:t>
      </w:r>
      <w:r w:rsidR="00372F76">
        <w:rPr>
          <w:color w:val="000000"/>
        </w:rPr>
        <w:t xml:space="preserve">, </w:t>
      </w:r>
      <w:r w:rsidRPr="00372F76">
        <w:rPr>
          <w:color w:val="000000"/>
        </w:rPr>
        <w:t>which the defendant co</w:t>
      </w:r>
      <w:r w:rsidR="00372F76">
        <w:rPr>
          <w:color w:val="000000"/>
        </w:rPr>
        <w:t>ntends has not been discharged,</w:t>
      </w:r>
      <w:r w:rsidRPr="00372F76">
        <w:rPr>
          <w:color w:val="000000"/>
        </w:rPr>
        <w:t xml:space="preserve"> to establish the transfer of the loans taken out</w:t>
      </w:r>
      <w:r w:rsidR="00372F76">
        <w:rPr>
          <w:color w:val="000000"/>
        </w:rPr>
        <w:t xml:space="preserve"> by the defendant from AIBFL</w:t>
      </w:r>
      <w:r w:rsidRPr="00372F76">
        <w:rPr>
          <w:color w:val="000000"/>
        </w:rPr>
        <w:t xml:space="preserve"> such that they were in the </w:t>
      </w:r>
      <w:r w:rsidR="00372F76">
        <w:rPr>
          <w:color w:val="000000"/>
        </w:rPr>
        <w:t>possession of one of the sellers at the date of the global transfer a</w:t>
      </w:r>
      <w:r w:rsidRPr="00372F76">
        <w:rPr>
          <w:color w:val="000000"/>
        </w:rPr>
        <w:t>greement on 14</w:t>
      </w:r>
      <w:r w:rsidR="00372F76" w:rsidRPr="00372F76">
        <w:rPr>
          <w:color w:val="000000"/>
          <w:vertAlign w:val="superscript"/>
        </w:rPr>
        <w:t>th</w:t>
      </w:r>
      <w:r w:rsidR="00372F76">
        <w:rPr>
          <w:color w:val="000000"/>
        </w:rPr>
        <w:t xml:space="preserve"> </w:t>
      </w:r>
      <w:r w:rsidRPr="00372F76">
        <w:rPr>
          <w:color w:val="000000"/>
        </w:rPr>
        <w:t>Ju</w:t>
      </w:r>
      <w:r w:rsidR="00253C65">
        <w:rPr>
          <w:color w:val="000000"/>
        </w:rPr>
        <w:t>ne</w:t>
      </w:r>
      <w:r w:rsidR="00372F76">
        <w:rPr>
          <w:color w:val="000000"/>
        </w:rPr>
        <w:t>,</w:t>
      </w:r>
      <w:r w:rsidRPr="00372F76">
        <w:rPr>
          <w:color w:val="000000"/>
        </w:rPr>
        <w:t xml:space="preserve"> 2019.</w:t>
      </w:r>
    </w:p>
    <w:p w14:paraId="15B7D3C1" w14:textId="490CF45E" w:rsidR="00453FA7" w:rsidRDefault="00372F76" w:rsidP="00A93FD5">
      <w:pPr>
        <w:pStyle w:val="NormalWeb"/>
        <w:numPr>
          <w:ilvl w:val="0"/>
          <w:numId w:val="1"/>
        </w:numPr>
        <w:spacing w:before="0" w:beforeAutospacing="0" w:after="0" w:afterAutospacing="0" w:line="480" w:lineRule="auto"/>
        <w:ind w:left="0" w:firstLine="0"/>
        <w:jc w:val="both"/>
        <w:rPr>
          <w:color w:val="000000"/>
        </w:rPr>
      </w:pPr>
      <w:r>
        <w:rPr>
          <w:color w:val="000000"/>
        </w:rPr>
        <w:t>The plaintiffs</w:t>
      </w:r>
      <w:r w:rsidR="00AA2B36" w:rsidRPr="00372F76">
        <w:rPr>
          <w:color w:val="000000"/>
        </w:rPr>
        <w:t xml:space="preserve"> rely on two statutory transfers of business a</w:t>
      </w:r>
      <w:r>
        <w:rPr>
          <w:color w:val="000000"/>
        </w:rPr>
        <w:t>s between certain AIB companies</w:t>
      </w:r>
      <w:r w:rsidR="00AA2B36" w:rsidRPr="00372F76">
        <w:rPr>
          <w:color w:val="000000"/>
        </w:rPr>
        <w:t xml:space="preserve"> which ultimately resulted in </w:t>
      </w:r>
      <w:r w:rsidR="00A46E89">
        <w:rPr>
          <w:color w:val="000000"/>
        </w:rPr>
        <w:t xml:space="preserve">all of </w:t>
      </w:r>
      <w:r w:rsidR="00AA2B36" w:rsidRPr="00372F76">
        <w:rPr>
          <w:color w:val="000000"/>
        </w:rPr>
        <w:t>the reside</w:t>
      </w:r>
      <w:r>
        <w:rPr>
          <w:color w:val="000000"/>
        </w:rPr>
        <w:t>ntial loans held by AIBFL being transferred via AIB plc to</w:t>
      </w:r>
      <w:r w:rsidR="00AA2B36" w:rsidRPr="00372F76">
        <w:rPr>
          <w:color w:val="000000"/>
        </w:rPr>
        <w:t xml:space="preserve"> AIB</w:t>
      </w:r>
      <w:r>
        <w:rPr>
          <w:color w:val="000000"/>
        </w:rPr>
        <w:t>MB. Both of these transfers we</w:t>
      </w:r>
      <w:r w:rsidR="00AA2B36" w:rsidRPr="00372F76">
        <w:rPr>
          <w:color w:val="000000"/>
        </w:rPr>
        <w:t>re subject</w:t>
      </w:r>
      <w:r>
        <w:rPr>
          <w:color w:val="000000"/>
        </w:rPr>
        <w:t xml:space="preserve"> to </w:t>
      </w:r>
      <w:r w:rsidR="00A46E89">
        <w:rPr>
          <w:color w:val="000000"/>
        </w:rPr>
        <w:t xml:space="preserve">a statutory requirement for </w:t>
      </w:r>
      <w:r w:rsidR="00AA2B36" w:rsidRPr="00372F76">
        <w:rPr>
          <w:color w:val="000000"/>
        </w:rPr>
        <w:t>appro</w:t>
      </w:r>
      <w:r>
        <w:rPr>
          <w:color w:val="000000"/>
        </w:rPr>
        <w:t xml:space="preserve">val </w:t>
      </w:r>
      <w:r w:rsidR="00A46E89">
        <w:rPr>
          <w:color w:val="000000"/>
        </w:rPr>
        <w:t xml:space="preserve">which is reflected in the making of Ministerial Orders.  </w:t>
      </w:r>
      <w:r w:rsidR="00A46E89" w:rsidRPr="00372F76">
        <w:rPr>
          <w:color w:val="000000"/>
        </w:rPr>
        <w:t xml:space="preserve">The first of these </w:t>
      </w:r>
      <w:r w:rsidR="00A46E89">
        <w:rPr>
          <w:color w:val="000000"/>
        </w:rPr>
        <w:t>was</w:t>
      </w:r>
      <w:r>
        <w:rPr>
          <w:color w:val="000000"/>
        </w:rPr>
        <w:t xml:space="preserve"> a scheme of transfer under the Central Bank Act, 1971 </w:t>
      </w:r>
      <w:r w:rsidR="00AA2B36" w:rsidRPr="00372F76">
        <w:rPr>
          <w:color w:val="000000"/>
        </w:rPr>
        <w:t xml:space="preserve">which was effected through the making of </w:t>
      </w:r>
      <w:r w:rsidR="00A46E89">
        <w:rPr>
          <w:color w:val="000000"/>
        </w:rPr>
        <w:t>a M</w:t>
      </w:r>
      <w:r w:rsidR="00AA2B36" w:rsidRPr="00372F76">
        <w:rPr>
          <w:color w:val="000000"/>
        </w:rPr>
        <w:t xml:space="preserve">inisterial </w:t>
      </w:r>
      <w:r w:rsidR="00A46E89">
        <w:rPr>
          <w:color w:val="000000"/>
        </w:rPr>
        <w:t>O</w:t>
      </w:r>
      <w:r w:rsidR="00AA2B36" w:rsidRPr="00372F76">
        <w:rPr>
          <w:color w:val="000000"/>
        </w:rPr>
        <w:t>rder f</w:t>
      </w:r>
      <w:r>
        <w:rPr>
          <w:color w:val="000000"/>
        </w:rPr>
        <w:t>ollowing consultation with the Central B</w:t>
      </w:r>
      <w:r w:rsidR="00AA2B36" w:rsidRPr="00372F76">
        <w:rPr>
          <w:color w:val="000000"/>
        </w:rPr>
        <w:t xml:space="preserve">ank. </w:t>
      </w:r>
      <w:r w:rsidR="00A46E89">
        <w:rPr>
          <w:color w:val="000000"/>
        </w:rPr>
        <w:t xml:space="preserve">The transfer </w:t>
      </w:r>
      <w:r w:rsidR="00AA2B36" w:rsidRPr="00372F76">
        <w:rPr>
          <w:color w:val="000000"/>
        </w:rPr>
        <w:t>took effec</w:t>
      </w:r>
      <w:r>
        <w:rPr>
          <w:color w:val="000000"/>
        </w:rPr>
        <w:t xml:space="preserve">t on </w:t>
      </w:r>
      <w:r w:rsidR="00253C65">
        <w:rPr>
          <w:color w:val="000000"/>
        </w:rPr>
        <w:t>31</w:t>
      </w:r>
      <w:r w:rsidR="00253C65" w:rsidRPr="003C3987">
        <w:rPr>
          <w:color w:val="000000"/>
          <w:vertAlign w:val="superscript"/>
        </w:rPr>
        <w:t>st</w:t>
      </w:r>
      <w:r w:rsidR="00253C65">
        <w:rPr>
          <w:color w:val="000000"/>
        </w:rPr>
        <w:t xml:space="preserve"> October, 2007</w:t>
      </w:r>
      <w:r w:rsidR="00AA2B36" w:rsidRPr="00372F76">
        <w:rPr>
          <w:color w:val="000000"/>
        </w:rPr>
        <w:t xml:space="preserve"> pursuant to </w:t>
      </w:r>
      <w:r>
        <w:rPr>
          <w:color w:val="000000"/>
        </w:rPr>
        <w:t xml:space="preserve">SI 557/2006 and </w:t>
      </w:r>
      <w:proofErr w:type="spellStart"/>
      <w:r>
        <w:rPr>
          <w:color w:val="000000"/>
        </w:rPr>
        <w:t>authorised</w:t>
      </w:r>
      <w:proofErr w:type="spellEnd"/>
      <w:r w:rsidR="00AA2B36" w:rsidRPr="00372F76">
        <w:rPr>
          <w:color w:val="000000"/>
        </w:rPr>
        <w:t xml:space="preserve"> the transfer of al</w:t>
      </w:r>
      <w:r>
        <w:rPr>
          <w:color w:val="000000"/>
        </w:rPr>
        <w:t>l of the loans of AIBFL save those</w:t>
      </w:r>
      <w:r w:rsidR="00AA2B36" w:rsidRPr="00372F76">
        <w:rPr>
          <w:color w:val="000000"/>
        </w:rPr>
        <w:t xml:space="preserve"> listed in a schedule as </w:t>
      </w:r>
      <w:r w:rsidR="00930222">
        <w:rPr>
          <w:i/>
          <w:color w:val="000000"/>
        </w:rPr>
        <w:t>“</w:t>
      </w:r>
      <w:r w:rsidR="00AA2B36" w:rsidRPr="00930222">
        <w:rPr>
          <w:i/>
          <w:color w:val="000000"/>
        </w:rPr>
        <w:t>excluded property</w:t>
      </w:r>
      <w:r w:rsidR="00930222" w:rsidRPr="00930222">
        <w:rPr>
          <w:i/>
          <w:color w:val="000000"/>
        </w:rPr>
        <w:t>”</w:t>
      </w:r>
      <w:r w:rsidR="00930222">
        <w:rPr>
          <w:color w:val="000000"/>
        </w:rPr>
        <w:t xml:space="preserve"> to </w:t>
      </w:r>
      <w:r w:rsidR="00AA2B36" w:rsidRPr="00372F76">
        <w:rPr>
          <w:color w:val="000000"/>
        </w:rPr>
        <w:t>AIB</w:t>
      </w:r>
      <w:r w:rsidR="00930222">
        <w:rPr>
          <w:color w:val="000000"/>
        </w:rPr>
        <w:t xml:space="preserve"> plc. T</w:t>
      </w:r>
      <w:r w:rsidR="00AA2B36" w:rsidRPr="00372F76">
        <w:rPr>
          <w:color w:val="000000"/>
        </w:rPr>
        <w:t>he second of the</w:t>
      </w:r>
      <w:r w:rsidR="00A46E89">
        <w:rPr>
          <w:color w:val="000000"/>
        </w:rPr>
        <w:t xml:space="preserve"> transfers </w:t>
      </w:r>
      <w:r w:rsidR="002F2CBB">
        <w:rPr>
          <w:color w:val="000000"/>
        </w:rPr>
        <w:t xml:space="preserve">was authorized under </w:t>
      </w:r>
      <w:r w:rsidR="002F2CBB">
        <w:rPr>
          <w:color w:val="000000"/>
        </w:rPr>
        <w:lastRenderedPageBreak/>
        <w:t>a different regulatory scheme in which the necessary approval is contained in SI 60/2006, Asset Covered Securities Act 2001 (Approval of Transfers between AIB plc and AIB</w:t>
      </w:r>
      <w:r w:rsidR="00253C65">
        <w:rPr>
          <w:color w:val="000000"/>
        </w:rPr>
        <w:t>MB</w:t>
      </w:r>
      <w:r w:rsidR="002F2CBB">
        <w:rPr>
          <w:color w:val="000000"/>
        </w:rPr>
        <w:t>) Order 2006.   This took effect on 25</w:t>
      </w:r>
      <w:r w:rsidR="002F2CBB" w:rsidRPr="000107EC">
        <w:rPr>
          <w:color w:val="000000"/>
          <w:vertAlign w:val="superscript"/>
        </w:rPr>
        <w:t>th</w:t>
      </w:r>
      <w:r w:rsidR="002F2CBB">
        <w:rPr>
          <w:color w:val="000000"/>
        </w:rPr>
        <w:t xml:space="preserve"> February 2011 </w:t>
      </w:r>
      <w:r w:rsidR="00736232">
        <w:rPr>
          <w:color w:val="000000"/>
        </w:rPr>
        <w:t xml:space="preserve">and </w:t>
      </w:r>
      <w:proofErr w:type="spellStart"/>
      <w:r w:rsidR="00930222">
        <w:rPr>
          <w:color w:val="000000"/>
        </w:rPr>
        <w:t>authoris</w:t>
      </w:r>
      <w:r w:rsidR="00AA2B36" w:rsidRPr="00372F76">
        <w:rPr>
          <w:color w:val="000000"/>
        </w:rPr>
        <w:t>e</w:t>
      </w:r>
      <w:r w:rsidR="00930222">
        <w:rPr>
          <w:color w:val="000000"/>
        </w:rPr>
        <w:t>d</w:t>
      </w:r>
      <w:proofErr w:type="spellEnd"/>
      <w:r w:rsidR="00453FA7">
        <w:rPr>
          <w:color w:val="000000"/>
        </w:rPr>
        <w:t xml:space="preserve"> the transfer of AIB plc’s</w:t>
      </w:r>
      <w:r w:rsidR="00AA2B36" w:rsidRPr="00372F76">
        <w:rPr>
          <w:color w:val="000000"/>
        </w:rPr>
        <w:t xml:space="preserve"> resident</w:t>
      </w:r>
      <w:r w:rsidR="00453FA7">
        <w:rPr>
          <w:color w:val="000000"/>
        </w:rPr>
        <w:t xml:space="preserve">ial loans </w:t>
      </w:r>
      <w:r w:rsidR="002F2CBB">
        <w:rPr>
          <w:color w:val="000000"/>
        </w:rPr>
        <w:t xml:space="preserve">(which by then included loans which had been transferred to AIB plc from AIBFL) </w:t>
      </w:r>
      <w:r w:rsidR="00453FA7">
        <w:rPr>
          <w:color w:val="000000"/>
        </w:rPr>
        <w:t>to AIBMB.</w:t>
      </w:r>
    </w:p>
    <w:p w14:paraId="48435DE4" w14:textId="6B941945" w:rsidR="00453FA7" w:rsidRDefault="00453FA7" w:rsidP="00A93FD5">
      <w:pPr>
        <w:pStyle w:val="NormalWeb"/>
        <w:numPr>
          <w:ilvl w:val="0"/>
          <w:numId w:val="1"/>
        </w:numPr>
        <w:spacing w:before="0" w:beforeAutospacing="0" w:after="0" w:afterAutospacing="0" w:line="480" w:lineRule="auto"/>
        <w:ind w:left="0" w:firstLine="0"/>
        <w:jc w:val="both"/>
        <w:rPr>
          <w:color w:val="000000"/>
        </w:rPr>
      </w:pPr>
      <w:r>
        <w:rPr>
          <w:color w:val="000000"/>
        </w:rPr>
        <w:t>I</w:t>
      </w:r>
      <w:r w:rsidR="00AA2B36" w:rsidRPr="00453FA7">
        <w:rPr>
          <w:color w:val="000000"/>
        </w:rPr>
        <w:t>n terms of proof</w:t>
      </w:r>
      <w:r>
        <w:rPr>
          <w:color w:val="000000"/>
        </w:rPr>
        <w:t>, I think</w:t>
      </w:r>
      <w:r w:rsidR="00AA2B36" w:rsidRPr="00453FA7">
        <w:rPr>
          <w:color w:val="000000"/>
        </w:rPr>
        <w:t xml:space="preserve"> that the production of the Statutory Instruments on f</w:t>
      </w:r>
      <w:r>
        <w:rPr>
          <w:color w:val="000000"/>
        </w:rPr>
        <w:t xml:space="preserve">oot of which the schemes </w:t>
      </w:r>
      <w:r w:rsidR="00736232">
        <w:rPr>
          <w:color w:val="000000"/>
        </w:rPr>
        <w:t xml:space="preserve">authorizing the relevant transfers were approved </w:t>
      </w:r>
      <w:r w:rsidR="00AA2B36" w:rsidRPr="00453FA7">
        <w:rPr>
          <w:color w:val="000000"/>
        </w:rPr>
        <w:t>is sufficient for the plaintiffs to establish either a fair question or a strong case that the defendant</w:t>
      </w:r>
      <w:r>
        <w:rPr>
          <w:color w:val="000000"/>
        </w:rPr>
        <w:t>’</w:t>
      </w:r>
      <w:r w:rsidR="00AA2B36" w:rsidRPr="00453FA7">
        <w:rPr>
          <w:color w:val="000000"/>
        </w:rPr>
        <w:t>s loa</w:t>
      </w:r>
      <w:r>
        <w:rPr>
          <w:color w:val="000000"/>
        </w:rPr>
        <w:t>ns were owned by either AIB plc or AIBM</w:t>
      </w:r>
      <w:r w:rsidR="00AA2B36" w:rsidRPr="00453FA7">
        <w:rPr>
          <w:color w:val="000000"/>
        </w:rPr>
        <w:t>B</w:t>
      </w:r>
      <w:r>
        <w:rPr>
          <w:color w:val="000000"/>
        </w:rPr>
        <w:t>,</w:t>
      </w:r>
      <w:r w:rsidR="00AA2B36" w:rsidRPr="00453FA7">
        <w:rPr>
          <w:color w:val="000000"/>
        </w:rPr>
        <w:t xml:space="preserve"> both of which were </w:t>
      </w:r>
      <w:r>
        <w:rPr>
          <w:i/>
          <w:color w:val="000000"/>
        </w:rPr>
        <w:t>“sellers”</w:t>
      </w:r>
      <w:r>
        <w:rPr>
          <w:color w:val="000000"/>
        </w:rPr>
        <w:t xml:space="preserve"> at the time</w:t>
      </w:r>
      <w:r w:rsidR="00AA2B36" w:rsidRPr="00453FA7">
        <w:rPr>
          <w:color w:val="000000"/>
        </w:rPr>
        <w:t xml:space="preserve"> the globa</w:t>
      </w:r>
      <w:r>
        <w:rPr>
          <w:color w:val="000000"/>
        </w:rPr>
        <w:t>l deed of transfer was executed</w:t>
      </w:r>
      <w:r w:rsidR="002F2CBB">
        <w:rPr>
          <w:color w:val="000000"/>
        </w:rPr>
        <w:t xml:space="preserve"> in 2019</w:t>
      </w:r>
      <w:r>
        <w:rPr>
          <w:color w:val="000000"/>
        </w:rPr>
        <w:t>. A</w:t>
      </w:r>
      <w:r w:rsidR="00AA2B36" w:rsidRPr="00453FA7">
        <w:rPr>
          <w:color w:val="000000"/>
        </w:rPr>
        <w:t>s the schemes</w:t>
      </w:r>
      <w:r w:rsidR="002F2CBB">
        <w:rPr>
          <w:color w:val="000000"/>
        </w:rPr>
        <w:t>, which</w:t>
      </w:r>
      <w:r w:rsidR="00AA2B36" w:rsidRPr="00453FA7">
        <w:rPr>
          <w:color w:val="000000"/>
        </w:rPr>
        <w:t xml:space="preserve"> </w:t>
      </w:r>
      <w:r w:rsidR="002F2CBB">
        <w:rPr>
          <w:color w:val="000000"/>
        </w:rPr>
        <w:t>were subject to significant regulatory oversight,</w:t>
      </w:r>
      <w:r w:rsidR="002F2CBB" w:rsidRPr="00453FA7">
        <w:rPr>
          <w:color w:val="000000"/>
        </w:rPr>
        <w:t xml:space="preserve"> </w:t>
      </w:r>
      <w:r w:rsidR="00AA2B36" w:rsidRPr="00453FA7">
        <w:rPr>
          <w:color w:val="000000"/>
        </w:rPr>
        <w:t>reflected the wholesale transfer of certain types of</w:t>
      </w:r>
      <w:r>
        <w:rPr>
          <w:color w:val="000000"/>
        </w:rPr>
        <w:t xml:space="preserve"> business</w:t>
      </w:r>
      <w:r w:rsidR="00AA2B36" w:rsidRPr="00453FA7">
        <w:rPr>
          <w:color w:val="000000"/>
        </w:rPr>
        <w:t xml:space="preserve"> as b</w:t>
      </w:r>
      <w:r>
        <w:rPr>
          <w:color w:val="000000"/>
        </w:rPr>
        <w:t>etween related companies,</w:t>
      </w:r>
      <w:r w:rsidR="00AA2B36" w:rsidRPr="00453FA7">
        <w:rPr>
          <w:color w:val="000000"/>
        </w:rPr>
        <w:t xml:space="preserve"> the position</w:t>
      </w:r>
      <w:r>
        <w:rPr>
          <w:color w:val="000000"/>
        </w:rPr>
        <w:t xml:space="preserve"> i</w:t>
      </w:r>
      <w:r w:rsidR="00AA2B36" w:rsidRPr="00453FA7">
        <w:rPr>
          <w:color w:val="000000"/>
        </w:rPr>
        <w:t>s materially different to the transfer of individual loan</w:t>
      </w:r>
      <w:r>
        <w:rPr>
          <w:color w:val="000000"/>
        </w:rPr>
        <w:t xml:space="preserve">s and mortgages from AIB to the second plaintiff pursuant to the global deed of transfer. The </w:t>
      </w:r>
      <w:r w:rsidR="00AA2B36" w:rsidRPr="00453FA7">
        <w:rPr>
          <w:color w:val="000000"/>
        </w:rPr>
        <w:t>lat</w:t>
      </w:r>
      <w:r>
        <w:rPr>
          <w:color w:val="000000"/>
        </w:rPr>
        <w:t>ter</w:t>
      </w:r>
      <w:r w:rsidR="00AA2B36" w:rsidRPr="00453FA7">
        <w:rPr>
          <w:color w:val="000000"/>
        </w:rPr>
        <w:t xml:space="preserve"> is structured to individually identify and li</w:t>
      </w:r>
      <w:r>
        <w:rPr>
          <w:color w:val="000000"/>
        </w:rPr>
        <w:t xml:space="preserve">st each of the loans, </w:t>
      </w:r>
      <w:r w:rsidR="00AA2B36" w:rsidRPr="00453FA7">
        <w:rPr>
          <w:color w:val="000000"/>
        </w:rPr>
        <w:t>securities and mortgages the subject of the transfer such</w:t>
      </w:r>
      <w:r>
        <w:rPr>
          <w:color w:val="000000"/>
        </w:rPr>
        <w:t xml:space="preserve"> that</w:t>
      </w:r>
      <w:r w:rsidR="00AA2B36" w:rsidRPr="00453FA7">
        <w:rPr>
          <w:color w:val="000000"/>
        </w:rPr>
        <w:t xml:space="preserve"> proof referable to the defendant</w:t>
      </w:r>
      <w:r>
        <w:rPr>
          <w:color w:val="000000"/>
        </w:rPr>
        <w:t>’s specific loans is required, and as I have held, was not ad</w:t>
      </w:r>
      <w:r w:rsidR="00AA2B36" w:rsidRPr="00453FA7">
        <w:rPr>
          <w:color w:val="000000"/>
        </w:rPr>
        <w:t>duced on this application</w:t>
      </w:r>
      <w:r>
        <w:rPr>
          <w:color w:val="000000"/>
        </w:rPr>
        <w:t>.</w:t>
      </w:r>
    </w:p>
    <w:p w14:paraId="5B75D84E" w14:textId="77777777" w:rsidR="00AA2B36" w:rsidRDefault="00B00736" w:rsidP="00A93FD5">
      <w:pPr>
        <w:pStyle w:val="NormalWeb"/>
        <w:numPr>
          <w:ilvl w:val="0"/>
          <w:numId w:val="1"/>
        </w:numPr>
        <w:spacing w:before="0" w:beforeAutospacing="0" w:after="0" w:afterAutospacing="0" w:line="480" w:lineRule="auto"/>
        <w:ind w:left="0" w:firstLine="0"/>
        <w:jc w:val="both"/>
        <w:rPr>
          <w:color w:val="000000"/>
        </w:rPr>
      </w:pPr>
      <w:r>
        <w:rPr>
          <w:color w:val="000000"/>
        </w:rPr>
        <w:t>The defendant raises a</w:t>
      </w:r>
      <w:r w:rsidR="00AA2B36" w:rsidRPr="00453FA7">
        <w:rPr>
          <w:color w:val="000000"/>
        </w:rPr>
        <w:t xml:space="preserve"> further issue with a bearing on the transfer of the loan</w:t>
      </w:r>
      <w:r>
        <w:rPr>
          <w:color w:val="000000"/>
        </w:rPr>
        <w:t>s</w:t>
      </w:r>
      <w:r w:rsidR="00AA2B36" w:rsidRPr="00453FA7">
        <w:rPr>
          <w:color w:val="000000"/>
        </w:rPr>
        <w:t xml:space="preserve"> as between the AIB companies. In his replying affidavit</w:t>
      </w:r>
      <w:r>
        <w:rPr>
          <w:color w:val="000000"/>
        </w:rPr>
        <w:t>,</w:t>
      </w:r>
      <w:r w:rsidR="00AA2B36" w:rsidRPr="00453FA7">
        <w:rPr>
          <w:color w:val="000000"/>
        </w:rPr>
        <w:t xml:space="preserve"> the def</w:t>
      </w:r>
      <w:r>
        <w:rPr>
          <w:color w:val="000000"/>
        </w:rPr>
        <w:t>endant exhibits an inter-</w:t>
      </w:r>
      <w:r w:rsidR="00AA2B36" w:rsidRPr="00453FA7">
        <w:rPr>
          <w:color w:val="000000"/>
        </w:rPr>
        <w:t>lender agreement dated 29</w:t>
      </w:r>
      <w:r w:rsidR="00AA2B36" w:rsidRPr="00B00736">
        <w:rPr>
          <w:color w:val="000000"/>
          <w:vertAlign w:val="superscript"/>
        </w:rPr>
        <w:t>th</w:t>
      </w:r>
      <w:r>
        <w:rPr>
          <w:color w:val="000000"/>
        </w:rPr>
        <w:t xml:space="preserve"> </w:t>
      </w:r>
      <w:r w:rsidR="00AA2B36" w:rsidRPr="00453FA7">
        <w:rPr>
          <w:color w:val="000000"/>
        </w:rPr>
        <w:t>December</w:t>
      </w:r>
      <w:r>
        <w:rPr>
          <w:color w:val="000000"/>
        </w:rPr>
        <w:t>, 2005 between AIB plc and AIBFL reg</w:t>
      </w:r>
      <w:r w:rsidR="00AA2B36" w:rsidRPr="00453FA7">
        <w:rPr>
          <w:color w:val="000000"/>
        </w:rPr>
        <w:t>arding the defendant</w:t>
      </w:r>
      <w:r>
        <w:rPr>
          <w:color w:val="000000"/>
        </w:rPr>
        <w:t>’</w:t>
      </w:r>
      <w:r w:rsidR="00AA2B36" w:rsidRPr="00453FA7">
        <w:rPr>
          <w:color w:val="000000"/>
        </w:rPr>
        <w:t>s loans</w:t>
      </w:r>
      <w:r>
        <w:rPr>
          <w:color w:val="000000"/>
        </w:rPr>
        <w:t>. T</w:t>
      </w:r>
      <w:r w:rsidR="00AA2B36" w:rsidRPr="00453FA7">
        <w:rPr>
          <w:color w:val="000000"/>
        </w:rPr>
        <w:t>he purpose of that agreement seems to have been to clarify the priorit</w:t>
      </w:r>
      <w:r w:rsidR="002F2CBB">
        <w:rPr>
          <w:color w:val="000000"/>
        </w:rPr>
        <w:t>ies</w:t>
      </w:r>
      <w:r w:rsidR="00AA2B36" w:rsidRPr="00453FA7">
        <w:rPr>
          <w:color w:val="000000"/>
        </w:rPr>
        <w:t xml:space="preserve"> in respect of the securities provided by the defendant for his indebtedness</w:t>
      </w:r>
      <w:r w:rsidR="002F2CBB" w:rsidRPr="002F2CBB">
        <w:rPr>
          <w:color w:val="000000"/>
        </w:rPr>
        <w:t xml:space="preserve"> </w:t>
      </w:r>
      <w:r w:rsidR="002F2CBB" w:rsidRPr="00453FA7">
        <w:rPr>
          <w:color w:val="000000"/>
        </w:rPr>
        <w:t>as between the AIB companies</w:t>
      </w:r>
      <w:r>
        <w:rPr>
          <w:color w:val="000000"/>
        </w:rPr>
        <w:t>. However, t</w:t>
      </w:r>
      <w:r w:rsidR="00AA2B36" w:rsidRPr="00453FA7">
        <w:rPr>
          <w:color w:val="000000"/>
        </w:rPr>
        <w:t>he agreem</w:t>
      </w:r>
      <w:r>
        <w:rPr>
          <w:color w:val="000000"/>
        </w:rPr>
        <w:t>ent also contains a provision at</w:t>
      </w:r>
      <w:r w:rsidR="00AA2B36" w:rsidRPr="00453FA7">
        <w:rPr>
          <w:color w:val="000000"/>
        </w:rPr>
        <w:t xml:space="preserve"> clause </w:t>
      </w:r>
      <w:r>
        <w:rPr>
          <w:color w:val="000000"/>
        </w:rPr>
        <w:t xml:space="preserve">4(a) </w:t>
      </w:r>
      <w:r w:rsidR="00AA2B36" w:rsidRPr="00453FA7">
        <w:rPr>
          <w:color w:val="000000"/>
        </w:rPr>
        <w:t>which confirms the entitlement of either part</w:t>
      </w:r>
      <w:r>
        <w:rPr>
          <w:color w:val="000000"/>
        </w:rPr>
        <w:t xml:space="preserve">y to exercise their rights under the mortgages, </w:t>
      </w:r>
      <w:r w:rsidR="00AA2B36" w:rsidRPr="00453FA7">
        <w:rPr>
          <w:color w:val="000000"/>
        </w:rPr>
        <w:t>including by way of appointment of a receiver</w:t>
      </w:r>
      <w:r>
        <w:rPr>
          <w:color w:val="000000"/>
        </w:rPr>
        <w:t>,</w:t>
      </w:r>
      <w:r w:rsidR="00AA2B36" w:rsidRPr="00453FA7">
        <w:rPr>
          <w:color w:val="000000"/>
        </w:rPr>
        <w:t xml:space="preserve"> subject to the proviso that no such appointmen</w:t>
      </w:r>
      <w:r>
        <w:rPr>
          <w:color w:val="000000"/>
        </w:rPr>
        <w:t xml:space="preserve">t would be made by either party </w:t>
      </w:r>
      <w:r>
        <w:rPr>
          <w:i/>
          <w:color w:val="000000"/>
        </w:rPr>
        <w:t>“w</w:t>
      </w:r>
      <w:r w:rsidRPr="00B00736">
        <w:rPr>
          <w:i/>
          <w:color w:val="000000"/>
        </w:rPr>
        <w:t>ithout wherever possible</w:t>
      </w:r>
      <w:r w:rsidR="00AA2B36" w:rsidRPr="00B00736">
        <w:rPr>
          <w:i/>
          <w:color w:val="000000"/>
        </w:rPr>
        <w:t xml:space="preserve"> </w:t>
      </w:r>
      <w:r w:rsidR="00AA2B36" w:rsidRPr="00B00736">
        <w:rPr>
          <w:i/>
          <w:color w:val="000000"/>
        </w:rPr>
        <w:lastRenderedPageBreak/>
        <w:t>giving</w:t>
      </w:r>
      <w:r w:rsidR="00253C65">
        <w:rPr>
          <w:i/>
          <w:color w:val="000000"/>
        </w:rPr>
        <w:t xml:space="preserve"> reasonable</w:t>
      </w:r>
      <w:r w:rsidR="00AA2B36" w:rsidRPr="00B00736">
        <w:rPr>
          <w:i/>
          <w:color w:val="000000"/>
        </w:rPr>
        <w:t xml:space="preserve"> notice to the other lender of its intention to do so</w:t>
      </w:r>
      <w:r w:rsidRPr="00B00736">
        <w:rPr>
          <w:i/>
          <w:color w:val="000000"/>
        </w:rPr>
        <w:t>”</w:t>
      </w:r>
      <w:r>
        <w:rPr>
          <w:color w:val="000000"/>
        </w:rPr>
        <w:t xml:space="preserve">. </w:t>
      </w:r>
      <w:r w:rsidR="00AA2B36" w:rsidRPr="00453FA7">
        <w:rPr>
          <w:color w:val="000000"/>
        </w:rPr>
        <w:t>The defendant states that no such notice was given</w:t>
      </w:r>
      <w:r>
        <w:rPr>
          <w:color w:val="000000"/>
        </w:rPr>
        <w:t>,</w:t>
      </w:r>
      <w:r w:rsidR="00AA2B36" w:rsidRPr="00453FA7">
        <w:rPr>
          <w:color w:val="000000"/>
        </w:rPr>
        <w:t xml:space="preserve"> or</w:t>
      </w:r>
      <w:r>
        <w:rPr>
          <w:color w:val="000000"/>
        </w:rPr>
        <w:t xml:space="preserve"> perhaps more accurately, t</w:t>
      </w:r>
      <w:r w:rsidR="00AA2B36" w:rsidRPr="00453FA7">
        <w:rPr>
          <w:color w:val="000000"/>
        </w:rPr>
        <w:t>here is no proof th</w:t>
      </w:r>
      <w:r>
        <w:rPr>
          <w:color w:val="000000"/>
        </w:rPr>
        <w:t>at any such notice was given.</w:t>
      </w:r>
    </w:p>
    <w:p w14:paraId="52F8186E" w14:textId="77777777" w:rsidR="00B00736" w:rsidRDefault="00B00736" w:rsidP="00A93FD5">
      <w:pPr>
        <w:pStyle w:val="NormalWeb"/>
        <w:numPr>
          <w:ilvl w:val="0"/>
          <w:numId w:val="1"/>
        </w:numPr>
        <w:spacing w:before="0" w:beforeAutospacing="0" w:after="0" w:afterAutospacing="0" w:line="480" w:lineRule="auto"/>
        <w:ind w:left="0" w:firstLine="0"/>
        <w:jc w:val="both"/>
        <w:rPr>
          <w:color w:val="000000"/>
        </w:rPr>
      </w:pPr>
      <w:r w:rsidRPr="00B00736">
        <w:rPr>
          <w:color w:val="000000"/>
        </w:rPr>
        <w:t>In reply</w:t>
      </w:r>
      <w:r>
        <w:rPr>
          <w:color w:val="000000"/>
        </w:rPr>
        <w:t>,</w:t>
      </w:r>
      <w:r w:rsidRPr="00B00736">
        <w:rPr>
          <w:color w:val="000000"/>
        </w:rPr>
        <w:t xml:space="preserve"> t</w:t>
      </w:r>
      <w:r w:rsidR="00AA2B36" w:rsidRPr="00B00736">
        <w:rPr>
          <w:color w:val="000000"/>
        </w:rPr>
        <w:t>he plaintiffs point out that all of the defendant</w:t>
      </w:r>
      <w:r>
        <w:rPr>
          <w:color w:val="000000"/>
        </w:rPr>
        <w:t>’s loans,</w:t>
      </w:r>
      <w:r w:rsidR="00AA2B36" w:rsidRPr="00B00736">
        <w:rPr>
          <w:color w:val="000000"/>
        </w:rPr>
        <w:t xml:space="preserve"> whether or</w:t>
      </w:r>
      <w:r>
        <w:rPr>
          <w:color w:val="000000"/>
        </w:rPr>
        <w:t xml:space="preserve">iginally taken out with AIBFL or with AIB plc </w:t>
      </w:r>
      <w:r w:rsidR="00AA2B36" w:rsidRPr="00B00736">
        <w:rPr>
          <w:color w:val="000000"/>
        </w:rPr>
        <w:t>h</w:t>
      </w:r>
      <w:r>
        <w:rPr>
          <w:color w:val="000000"/>
        </w:rPr>
        <w:t>ad been transferred to AIBM</w:t>
      </w:r>
      <w:r w:rsidR="00AA2B36" w:rsidRPr="00B00736">
        <w:rPr>
          <w:color w:val="000000"/>
        </w:rPr>
        <w:t>B prior to the appointment of the receiver. Consequently</w:t>
      </w:r>
      <w:r>
        <w:rPr>
          <w:color w:val="000000"/>
        </w:rPr>
        <w:t>, the issue r</w:t>
      </w:r>
      <w:r w:rsidR="00AA2B36" w:rsidRPr="00B00736">
        <w:rPr>
          <w:color w:val="000000"/>
        </w:rPr>
        <w:t>egarding the priority of the securit</w:t>
      </w:r>
      <w:r w:rsidR="002F2CBB">
        <w:rPr>
          <w:color w:val="000000"/>
        </w:rPr>
        <w:t>ies</w:t>
      </w:r>
      <w:r w:rsidR="00AA2B36" w:rsidRPr="00B00736">
        <w:rPr>
          <w:color w:val="000000"/>
        </w:rPr>
        <w:t xml:space="preserve"> held by different AIB entities over the defendant</w:t>
      </w:r>
      <w:r>
        <w:rPr>
          <w:color w:val="000000"/>
        </w:rPr>
        <w:t>’</w:t>
      </w:r>
      <w:r w:rsidR="00AA2B36" w:rsidRPr="00B00736">
        <w:rPr>
          <w:color w:val="000000"/>
        </w:rPr>
        <w:t>s properties which is t</w:t>
      </w:r>
      <w:r>
        <w:rPr>
          <w:color w:val="000000"/>
        </w:rPr>
        <w:t>he subject of the inter-</w:t>
      </w:r>
      <w:r w:rsidR="00AA2B36" w:rsidRPr="00B00736">
        <w:rPr>
          <w:color w:val="000000"/>
        </w:rPr>
        <w:t>lender agree</w:t>
      </w:r>
      <w:r>
        <w:rPr>
          <w:color w:val="000000"/>
        </w:rPr>
        <w:t>ment have become moot</w:t>
      </w:r>
      <w:r w:rsidR="00AA2B36" w:rsidRPr="00B00736">
        <w:rPr>
          <w:color w:val="000000"/>
        </w:rPr>
        <w:t>. According to the plaintiffs</w:t>
      </w:r>
      <w:r>
        <w:rPr>
          <w:color w:val="000000"/>
        </w:rPr>
        <w:t>,</w:t>
      </w:r>
      <w:r w:rsidR="00AA2B36" w:rsidRPr="00B00736">
        <w:rPr>
          <w:color w:val="000000"/>
        </w:rPr>
        <w:t xml:space="preserve"> </w:t>
      </w:r>
      <w:r>
        <w:rPr>
          <w:color w:val="000000"/>
        </w:rPr>
        <w:t>implementation of the agreement would</w:t>
      </w:r>
      <w:r w:rsidR="00AA2B36" w:rsidRPr="00B00736">
        <w:rPr>
          <w:color w:val="000000"/>
        </w:rPr>
        <w:t xml:space="preserve"> require either that</w:t>
      </w:r>
      <w:r>
        <w:rPr>
          <w:color w:val="000000"/>
        </w:rPr>
        <w:t xml:space="preserve"> AIBMB</w:t>
      </w:r>
      <w:r w:rsidR="00AA2B36" w:rsidRPr="00B00736">
        <w:rPr>
          <w:color w:val="000000"/>
        </w:rPr>
        <w:t xml:space="preserve"> notify itself of its intention to </w:t>
      </w:r>
      <w:r>
        <w:rPr>
          <w:color w:val="000000"/>
        </w:rPr>
        <w:t>appoint a receiver, which would be il</w:t>
      </w:r>
      <w:r w:rsidR="00AA2B36" w:rsidRPr="00B00736">
        <w:rPr>
          <w:color w:val="000000"/>
        </w:rPr>
        <w:t>logical</w:t>
      </w:r>
      <w:r>
        <w:rPr>
          <w:color w:val="000000"/>
        </w:rPr>
        <w:t xml:space="preserve">, or notify </w:t>
      </w:r>
      <w:r w:rsidR="00AA2B36" w:rsidRPr="00B00736">
        <w:rPr>
          <w:color w:val="000000"/>
        </w:rPr>
        <w:t xml:space="preserve">AIB </w:t>
      </w:r>
      <w:r>
        <w:rPr>
          <w:color w:val="000000"/>
        </w:rPr>
        <w:t>plc of its intention, which would serve no useful purpose as AIB plc</w:t>
      </w:r>
      <w:r w:rsidR="00AA2B36" w:rsidRPr="00B00736">
        <w:rPr>
          <w:color w:val="000000"/>
        </w:rPr>
        <w:t xml:space="preserve"> no longer held any interest in the loan or the security at the time the receiver was appointed.</w:t>
      </w:r>
    </w:p>
    <w:p w14:paraId="12CE039D" w14:textId="77777777" w:rsidR="00B33D9C" w:rsidRDefault="00AA2B36" w:rsidP="00A93FD5">
      <w:pPr>
        <w:pStyle w:val="NormalWeb"/>
        <w:numPr>
          <w:ilvl w:val="0"/>
          <w:numId w:val="1"/>
        </w:numPr>
        <w:spacing w:before="0" w:beforeAutospacing="0" w:after="0" w:afterAutospacing="0" w:line="480" w:lineRule="auto"/>
        <w:ind w:left="0" w:firstLine="0"/>
        <w:jc w:val="both"/>
        <w:rPr>
          <w:color w:val="000000"/>
        </w:rPr>
      </w:pPr>
      <w:r w:rsidRPr="00B00736">
        <w:rPr>
          <w:color w:val="000000"/>
        </w:rPr>
        <w:t>In general, I accept that this is the case. However, the problem is even more complex in respect of one of the loans which differs in a number of respects from the other three</w:t>
      </w:r>
      <w:r w:rsidR="00B00736">
        <w:rPr>
          <w:color w:val="000000"/>
        </w:rPr>
        <w:t>. T</w:t>
      </w:r>
      <w:r w:rsidRPr="00B00736">
        <w:rPr>
          <w:color w:val="000000"/>
        </w:rPr>
        <w:t>he</w:t>
      </w:r>
      <w:r w:rsidR="00B00736">
        <w:rPr>
          <w:color w:val="000000"/>
        </w:rPr>
        <w:t xml:space="preserve"> loan </w:t>
      </w:r>
      <w:r w:rsidR="00B33D9C">
        <w:rPr>
          <w:color w:val="000000"/>
        </w:rPr>
        <w:t>in</w:t>
      </w:r>
      <w:r w:rsidRPr="00B00736">
        <w:rPr>
          <w:color w:val="000000"/>
        </w:rPr>
        <w:t xml:space="preserve"> question is the subject of proceedings bearing record number 2021</w:t>
      </w:r>
      <w:r w:rsidR="00B33D9C">
        <w:rPr>
          <w:color w:val="000000"/>
        </w:rPr>
        <w:t>/77P</w:t>
      </w:r>
      <w:r w:rsidRPr="00B00736">
        <w:rPr>
          <w:color w:val="000000"/>
        </w:rPr>
        <w:t>. In t</w:t>
      </w:r>
      <w:r w:rsidR="00B33D9C">
        <w:rPr>
          <w:color w:val="000000"/>
        </w:rPr>
        <w:t>hat case, the monies were lent by AIBMB rather than by AIBFL. They were lent pursuant to a letter of offer dated</w:t>
      </w:r>
      <w:r w:rsidRPr="00B00736">
        <w:rPr>
          <w:color w:val="000000"/>
        </w:rPr>
        <w:t xml:space="preserve"> </w:t>
      </w:r>
      <w:r w:rsidR="00B33D9C">
        <w:rPr>
          <w:color w:val="000000"/>
        </w:rPr>
        <w:t>1</w:t>
      </w:r>
      <w:r w:rsidR="00B33D9C" w:rsidRPr="00B33D9C">
        <w:rPr>
          <w:color w:val="000000"/>
          <w:vertAlign w:val="superscript"/>
        </w:rPr>
        <w:t>st</w:t>
      </w:r>
      <w:r w:rsidR="00B33D9C">
        <w:rPr>
          <w:color w:val="000000"/>
        </w:rPr>
        <w:t xml:space="preserve"> May, 2009 and secured over 3 Irvine C</w:t>
      </w:r>
      <w:r w:rsidRPr="00B00736">
        <w:rPr>
          <w:color w:val="000000"/>
        </w:rPr>
        <w:t>o</w:t>
      </w:r>
      <w:r w:rsidR="00B33D9C">
        <w:rPr>
          <w:color w:val="000000"/>
        </w:rPr>
        <w:t>ttages by a mortgage dated 9</w:t>
      </w:r>
      <w:r w:rsidR="00B33D9C" w:rsidRPr="00B33D9C">
        <w:rPr>
          <w:color w:val="000000"/>
          <w:vertAlign w:val="superscript"/>
        </w:rPr>
        <w:t>th</w:t>
      </w:r>
      <w:r w:rsidR="00B33D9C">
        <w:rPr>
          <w:color w:val="000000"/>
        </w:rPr>
        <w:t xml:space="preserve"> J</w:t>
      </w:r>
      <w:r w:rsidRPr="00B00736">
        <w:rPr>
          <w:color w:val="000000"/>
        </w:rPr>
        <w:t>uly</w:t>
      </w:r>
      <w:r w:rsidR="00B33D9C">
        <w:rPr>
          <w:color w:val="000000"/>
        </w:rPr>
        <w:t>, 2009. T</w:t>
      </w:r>
      <w:r w:rsidRPr="00B00736">
        <w:rPr>
          <w:color w:val="000000"/>
        </w:rPr>
        <w:t>hat mortgage was entered into a number of years after the o</w:t>
      </w:r>
      <w:r w:rsidR="00B33D9C">
        <w:rPr>
          <w:color w:val="000000"/>
        </w:rPr>
        <w:t>ther three and reflects what are</w:t>
      </w:r>
      <w:r w:rsidRPr="00B00736">
        <w:rPr>
          <w:color w:val="000000"/>
        </w:rPr>
        <w:t xml:space="preserve"> stated to be the</w:t>
      </w:r>
      <w:r w:rsidR="00B33D9C">
        <w:rPr>
          <w:color w:val="000000"/>
        </w:rPr>
        <w:t xml:space="preserve"> </w:t>
      </w:r>
      <w:r w:rsidR="00B33D9C" w:rsidRPr="00B33D9C">
        <w:rPr>
          <w:i/>
          <w:color w:val="000000"/>
        </w:rPr>
        <w:t>“</w:t>
      </w:r>
      <w:r w:rsidR="00082FAE">
        <w:rPr>
          <w:i/>
          <w:color w:val="000000"/>
        </w:rPr>
        <w:t>M</w:t>
      </w:r>
      <w:r w:rsidRPr="00B33D9C">
        <w:rPr>
          <w:i/>
          <w:color w:val="000000"/>
        </w:rPr>
        <w:t>ortg</w:t>
      </w:r>
      <w:r w:rsidR="00B33D9C" w:rsidRPr="00B33D9C">
        <w:rPr>
          <w:i/>
          <w:color w:val="000000"/>
        </w:rPr>
        <w:t xml:space="preserve">age </w:t>
      </w:r>
      <w:r w:rsidR="00082FAE">
        <w:rPr>
          <w:i/>
          <w:color w:val="000000"/>
        </w:rPr>
        <w:t>C</w:t>
      </w:r>
      <w:r w:rsidR="00B33D9C" w:rsidRPr="00B33D9C">
        <w:rPr>
          <w:i/>
          <w:color w:val="000000"/>
        </w:rPr>
        <w:t>onditions (2006 edition)”</w:t>
      </w:r>
      <w:r w:rsidRPr="00B00736">
        <w:rPr>
          <w:color w:val="000000"/>
        </w:rPr>
        <w:t xml:space="preserve"> </w:t>
      </w:r>
      <w:r w:rsidR="00B33D9C">
        <w:rPr>
          <w:color w:val="000000"/>
        </w:rPr>
        <w:t>for AIBMB and AIB plc. Significantly, c</w:t>
      </w:r>
      <w:r w:rsidRPr="00B00736">
        <w:rPr>
          <w:color w:val="000000"/>
        </w:rPr>
        <w:t>lause 5.2 of the mortgage provides that</w:t>
      </w:r>
      <w:r w:rsidR="00B33D9C">
        <w:rPr>
          <w:i/>
          <w:color w:val="000000"/>
        </w:rPr>
        <w:t xml:space="preserve"> “</w:t>
      </w:r>
      <w:r w:rsidR="00082FAE">
        <w:rPr>
          <w:i/>
          <w:color w:val="000000"/>
        </w:rPr>
        <w:t>U</w:t>
      </w:r>
      <w:r w:rsidR="00B33D9C" w:rsidRPr="00B33D9C">
        <w:rPr>
          <w:i/>
          <w:color w:val="000000"/>
        </w:rPr>
        <w:t>ntil the AIB Mortgage Bank release date,</w:t>
      </w:r>
      <w:r w:rsidRPr="00B33D9C">
        <w:rPr>
          <w:i/>
          <w:color w:val="000000"/>
        </w:rPr>
        <w:t xml:space="preserve"> this mortgage</w:t>
      </w:r>
      <w:r w:rsidR="00B33D9C" w:rsidRPr="00B33D9C">
        <w:rPr>
          <w:i/>
          <w:color w:val="000000"/>
        </w:rPr>
        <w:t xml:space="preserve"> may be enforced only by AIB Mortgage Bank and AIB shall</w:t>
      </w:r>
      <w:r w:rsidRPr="00B33D9C">
        <w:rPr>
          <w:i/>
          <w:color w:val="000000"/>
        </w:rPr>
        <w:t xml:space="preserve"> not take any steps to e</w:t>
      </w:r>
      <w:r w:rsidR="00B33D9C" w:rsidRPr="00B33D9C">
        <w:rPr>
          <w:i/>
          <w:color w:val="000000"/>
        </w:rPr>
        <w:t>nforce this mortgage, appoint any</w:t>
      </w:r>
      <w:r w:rsidRPr="00B33D9C">
        <w:rPr>
          <w:i/>
          <w:color w:val="000000"/>
        </w:rPr>
        <w:t xml:space="preserve"> receiver or take possession of the mortgage</w:t>
      </w:r>
      <w:r w:rsidR="00253C65">
        <w:rPr>
          <w:i/>
          <w:color w:val="000000"/>
        </w:rPr>
        <w:t>d</w:t>
      </w:r>
      <w:r w:rsidRPr="00B33D9C">
        <w:rPr>
          <w:i/>
          <w:color w:val="000000"/>
        </w:rPr>
        <w:t xml:space="preserve"> property without </w:t>
      </w:r>
      <w:r w:rsidR="00B33D9C" w:rsidRPr="00B33D9C">
        <w:rPr>
          <w:i/>
          <w:color w:val="000000"/>
        </w:rPr>
        <w:t>prior written consent of AIB M</w:t>
      </w:r>
      <w:r w:rsidRPr="00B33D9C">
        <w:rPr>
          <w:i/>
          <w:color w:val="000000"/>
        </w:rPr>
        <w:t>o</w:t>
      </w:r>
      <w:r w:rsidR="00B33D9C" w:rsidRPr="00B33D9C">
        <w:rPr>
          <w:i/>
          <w:color w:val="000000"/>
        </w:rPr>
        <w:t>rtgage Bank”</w:t>
      </w:r>
      <w:r w:rsidR="00B33D9C">
        <w:rPr>
          <w:color w:val="000000"/>
        </w:rPr>
        <w:t>. This</w:t>
      </w:r>
      <w:r w:rsidRPr="00B00736">
        <w:rPr>
          <w:color w:val="000000"/>
        </w:rPr>
        <w:t xml:space="preserve"> clause imposes a different and more onerous obligation than </w:t>
      </w:r>
      <w:r w:rsidR="00B33D9C">
        <w:rPr>
          <w:color w:val="000000"/>
        </w:rPr>
        <w:t>that reflected in the inter-lender agreement in that it</w:t>
      </w:r>
      <w:r w:rsidRPr="00B00736">
        <w:rPr>
          <w:color w:val="000000"/>
        </w:rPr>
        <w:t xml:space="preserve"> requires not simply that notice be given</w:t>
      </w:r>
      <w:r w:rsidR="00B33D9C">
        <w:rPr>
          <w:color w:val="000000"/>
        </w:rPr>
        <w:t xml:space="preserve"> of</w:t>
      </w:r>
      <w:r w:rsidRPr="00B00736">
        <w:rPr>
          <w:color w:val="000000"/>
        </w:rPr>
        <w:t xml:space="preserve"> an </w:t>
      </w:r>
      <w:r w:rsidR="00B33D9C">
        <w:rPr>
          <w:color w:val="000000"/>
        </w:rPr>
        <w:t xml:space="preserve">intention to </w:t>
      </w:r>
      <w:r w:rsidR="00B33D9C">
        <w:rPr>
          <w:color w:val="000000"/>
        </w:rPr>
        <w:lastRenderedPageBreak/>
        <w:t>appoint a receiver</w:t>
      </w:r>
      <w:r w:rsidRPr="00B00736">
        <w:rPr>
          <w:color w:val="000000"/>
        </w:rPr>
        <w:t xml:space="preserve"> but that the prio</w:t>
      </w:r>
      <w:r w:rsidR="00B33D9C">
        <w:rPr>
          <w:color w:val="000000"/>
        </w:rPr>
        <w:t>r written consent of AIBM</w:t>
      </w:r>
      <w:r w:rsidRPr="00B00736">
        <w:rPr>
          <w:color w:val="000000"/>
        </w:rPr>
        <w:t xml:space="preserve">B be provided </w:t>
      </w:r>
      <w:r w:rsidR="00B33D9C">
        <w:rPr>
          <w:color w:val="000000"/>
        </w:rPr>
        <w:t>in advance of AIB</w:t>
      </w:r>
      <w:r w:rsidRPr="00B00736">
        <w:rPr>
          <w:color w:val="000000"/>
        </w:rPr>
        <w:t xml:space="preserve"> taking any steps to enforce the mortgage. The defendant argues that this clause has not been complied with</w:t>
      </w:r>
      <w:r w:rsidR="00B33D9C">
        <w:rPr>
          <w:color w:val="000000"/>
        </w:rPr>
        <w:t>. T</w:t>
      </w:r>
      <w:r w:rsidRPr="00B00736">
        <w:rPr>
          <w:color w:val="000000"/>
        </w:rPr>
        <w:t>he deed appointing the rec</w:t>
      </w:r>
      <w:r w:rsidR="00B33D9C">
        <w:rPr>
          <w:color w:val="000000"/>
        </w:rPr>
        <w:t>eiver in respect of 3</w:t>
      </w:r>
      <w:r w:rsidRPr="00B00736">
        <w:rPr>
          <w:color w:val="000000"/>
        </w:rPr>
        <w:t xml:space="preserve"> Irvin</w:t>
      </w:r>
      <w:r w:rsidR="00B33D9C">
        <w:rPr>
          <w:color w:val="000000"/>
        </w:rPr>
        <w:t>e Cottages is dated 28</w:t>
      </w:r>
      <w:r w:rsidRPr="00B33D9C">
        <w:rPr>
          <w:color w:val="000000"/>
          <w:vertAlign w:val="superscript"/>
        </w:rPr>
        <w:t>th</w:t>
      </w:r>
      <w:r w:rsidR="00B33D9C">
        <w:rPr>
          <w:color w:val="000000"/>
        </w:rPr>
        <w:t xml:space="preserve"> </w:t>
      </w:r>
      <w:r w:rsidRPr="00B00736">
        <w:rPr>
          <w:color w:val="000000"/>
        </w:rPr>
        <w:t>August</w:t>
      </w:r>
      <w:r w:rsidR="00B33D9C">
        <w:rPr>
          <w:color w:val="000000"/>
        </w:rPr>
        <w:t>, 2018 (</w:t>
      </w:r>
      <w:r w:rsidRPr="00B00736">
        <w:rPr>
          <w:color w:val="000000"/>
        </w:rPr>
        <w:t>and accepted by the first plaintiff on 10</w:t>
      </w:r>
      <w:r w:rsidR="00B33D9C" w:rsidRPr="00B33D9C">
        <w:rPr>
          <w:color w:val="000000"/>
          <w:vertAlign w:val="superscript"/>
        </w:rPr>
        <w:t>th</w:t>
      </w:r>
      <w:r w:rsidR="00B33D9C">
        <w:rPr>
          <w:color w:val="000000"/>
        </w:rPr>
        <w:t xml:space="preserve"> </w:t>
      </w:r>
      <w:r w:rsidRPr="00B00736">
        <w:rPr>
          <w:color w:val="000000"/>
        </w:rPr>
        <w:t>September</w:t>
      </w:r>
      <w:r w:rsidR="00B33D9C">
        <w:rPr>
          <w:color w:val="000000"/>
        </w:rPr>
        <w:t>, 2018) and names, as the partie</w:t>
      </w:r>
      <w:r w:rsidRPr="00B00736">
        <w:rPr>
          <w:color w:val="000000"/>
        </w:rPr>
        <w:t>s</w:t>
      </w:r>
      <w:r w:rsidR="00B33D9C">
        <w:rPr>
          <w:color w:val="000000"/>
        </w:rPr>
        <w:t>, AIBMB and AIB plc as well as the first plaintiff.</w:t>
      </w:r>
      <w:r w:rsidR="00082FAE" w:rsidRPr="00082FAE">
        <w:rPr>
          <w:color w:val="000000"/>
        </w:rPr>
        <w:t xml:space="preserve"> </w:t>
      </w:r>
      <w:r w:rsidR="00082FAE">
        <w:rPr>
          <w:color w:val="000000"/>
        </w:rPr>
        <w:t>Counsel for the plaintiffs</w:t>
      </w:r>
      <w:r w:rsidR="00082FAE" w:rsidRPr="004305BA">
        <w:rPr>
          <w:color w:val="000000"/>
        </w:rPr>
        <w:t xml:space="preserve"> was </w:t>
      </w:r>
      <w:r w:rsidR="00082FAE">
        <w:rPr>
          <w:color w:val="000000"/>
        </w:rPr>
        <w:t>un</w:t>
      </w:r>
      <w:r w:rsidR="00082FAE" w:rsidRPr="004305BA">
        <w:rPr>
          <w:color w:val="000000"/>
        </w:rPr>
        <w:t>able to explain why the instrument of appointment of the rec</w:t>
      </w:r>
      <w:r w:rsidR="00082FAE">
        <w:rPr>
          <w:color w:val="000000"/>
        </w:rPr>
        <w:t>eiver was executed jointly by AI</w:t>
      </w:r>
      <w:r w:rsidR="00082FAE" w:rsidRPr="004305BA">
        <w:rPr>
          <w:color w:val="000000"/>
        </w:rPr>
        <w:t>B</w:t>
      </w:r>
      <w:r w:rsidR="00082FAE">
        <w:rPr>
          <w:color w:val="000000"/>
        </w:rPr>
        <w:t>MB and AIB plc in</w:t>
      </w:r>
      <w:r w:rsidR="00082FAE" w:rsidRPr="004305BA">
        <w:rPr>
          <w:color w:val="000000"/>
        </w:rPr>
        <w:t xml:space="preserve"> circumstances </w:t>
      </w:r>
      <w:r w:rsidR="00082FAE">
        <w:rPr>
          <w:color w:val="000000"/>
        </w:rPr>
        <w:t xml:space="preserve">where AIB plc </w:t>
      </w:r>
      <w:r w:rsidR="00082FAE" w:rsidRPr="004305BA">
        <w:rPr>
          <w:color w:val="000000"/>
        </w:rPr>
        <w:t>had transferred al</w:t>
      </w:r>
      <w:r w:rsidR="00082FAE">
        <w:rPr>
          <w:color w:val="000000"/>
        </w:rPr>
        <w:t xml:space="preserve">l of its </w:t>
      </w:r>
      <w:r w:rsidR="00082FAE" w:rsidRPr="004305BA">
        <w:rPr>
          <w:color w:val="000000"/>
        </w:rPr>
        <w:t>intere</w:t>
      </w:r>
      <w:r w:rsidR="00082FAE">
        <w:rPr>
          <w:color w:val="000000"/>
        </w:rPr>
        <w:t>st in the loan to AIBMB</w:t>
      </w:r>
      <w:r w:rsidR="00082FAE" w:rsidRPr="004305BA">
        <w:rPr>
          <w:color w:val="000000"/>
        </w:rPr>
        <w:t xml:space="preserve"> prior to the appointment of the receiver</w:t>
      </w:r>
      <w:r w:rsidR="00082FAE">
        <w:rPr>
          <w:color w:val="000000"/>
        </w:rPr>
        <w:t>. I</w:t>
      </w:r>
      <w:r w:rsidR="00082FAE" w:rsidRPr="004305BA">
        <w:rPr>
          <w:color w:val="000000"/>
        </w:rPr>
        <w:t>t may be that the joint execution was intended to ensure compliance with claus</w:t>
      </w:r>
      <w:r w:rsidR="00082FAE">
        <w:rPr>
          <w:color w:val="000000"/>
        </w:rPr>
        <w:t>e 5.2 of the mortgage agreement, a</w:t>
      </w:r>
      <w:r w:rsidR="00082FAE" w:rsidRPr="00E32300">
        <w:rPr>
          <w:color w:val="000000"/>
        </w:rPr>
        <w:t>lthough</w:t>
      </w:r>
      <w:r w:rsidR="00082FAE">
        <w:rPr>
          <w:color w:val="000000"/>
        </w:rPr>
        <w:t>,</w:t>
      </w:r>
      <w:r w:rsidR="00082FAE" w:rsidRPr="00E32300">
        <w:rPr>
          <w:color w:val="000000"/>
        </w:rPr>
        <w:t xml:space="preserve"> if that were the intention, it might have been</w:t>
      </w:r>
      <w:r w:rsidR="00082FAE">
        <w:rPr>
          <w:color w:val="000000"/>
        </w:rPr>
        <w:t xml:space="preserve"> simpler</w:t>
      </w:r>
      <w:r w:rsidR="00082FAE" w:rsidRPr="00E32300">
        <w:rPr>
          <w:color w:val="000000"/>
        </w:rPr>
        <w:t xml:space="preserve"> to simply provide prior written co</w:t>
      </w:r>
      <w:r w:rsidR="00082FAE">
        <w:rPr>
          <w:color w:val="000000"/>
        </w:rPr>
        <w:t>nsent in conformity with the clause</w:t>
      </w:r>
      <w:r w:rsidR="00082FAE" w:rsidRPr="00E32300">
        <w:rPr>
          <w:color w:val="000000"/>
        </w:rPr>
        <w:t>.</w:t>
      </w:r>
    </w:p>
    <w:p w14:paraId="046D54BD" w14:textId="77777777" w:rsidR="00AA2B36" w:rsidRDefault="00B33D9C" w:rsidP="00A93FD5">
      <w:pPr>
        <w:pStyle w:val="NormalWeb"/>
        <w:numPr>
          <w:ilvl w:val="0"/>
          <w:numId w:val="1"/>
        </w:numPr>
        <w:spacing w:before="0" w:beforeAutospacing="0" w:after="0" w:afterAutospacing="0" w:line="480" w:lineRule="auto"/>
        <w:ind w:left="0" w:firstLine="0"/>
        <w:jc w:val="both"/>
        <w:rPr>
          <w:color w:val="000000"/>
        </w:rPr>
      </w:pPr>
      <w:r>
        <w:rPr>
          <w:color w:val="000000"/>
        </w:rPr>
        <w:t>Again, the plaintiffs argue</w:t>
      </w:r>
      <w:r w:rsidR="00AA2B36" w:rsidRPr="00B00736">
        <w:rPr>
          <w:color w:val="000000"/>
        </w:rPr>
        <w:t xml:space="preserve"> that the underlying loan which appears to have been</w:t>
      </w:r>
      <w:r>
        <w:rPr>
          <w:color w:val="000000"/>
        </w:rPr>
        <w:t xml:space="preserve"> one entered into jointly by AIBMB and AIB plc</w:t>
      </w:r>
      <w:r w:rsidR="00AA2B36" w:rsidRPr="00B00736">
        <w:rPr>
          <w:color w:val="000000"/>
        </w:rPr>
        <w:t xml:space="preserve"> ha</w:t>
      </w:r>
      <w:r w:rsidR="00082FAE">
        <w:rPr>
          <w:color w:val="000000"/>
        </w:rPr>
        <w:t>d</w:t>
      </w:r>
      <w:r w:rsidR="00AA2B36" w:rsidRPr="00B00736">
        <w:rPr>
          <w:color w:val="000000"/>
        </w:rPr>
        <w:t xml:space="preserve"> been transferred </w:t>
      </w:r>
      <w:r w:rsidR="00894A4E">
        <w:rPr>
          <w:color w:val="000000"/>
        </w:rPr>
        <w:t>to AIBMB prior to</w:t>
      </w:r>
      <w:r w:rsidR="00AA2B36" w:rsidRPr="00B00736">
        <w:rPr>
          <w:color w:val="000000"/>
        </w:rPr>
        <w:t xml:space="preserve"> the appointment of the receiver. In any event, the plaintiffs point to the fact that the deed of appointment i</w:t>
      </w:r>
      <w:r w:rsidR="00894A4E">
        <w:rPr>
          <w:color w:val="000000"/>
        </w:rPr>
        <w:t xml:space="preserve">s executed jointly by AIBMB and AIB plc </w:t>
      </w:r>
      <w:r w:rsidR="00AA2B36" w:rsidRPr="00B00736">
        <w:rPr>
          <w:color w:val="000000"/>
        </w:rPr>
        <w:t>and</w:t>
      </w:r>
      <w:r w:rsidR="00894A4E">
        <w:rPr>
          <w:color w:val="000000"/>
        </w:rPr>
        <w:t>,</w:t>
      </w:r>
      <w:r w:rsidR="00AA2B36" w:rsidRPr="00B00736">
        <w:rPr>
          <w:color w:val="000000"/>
        </w:rPr>
        <w:t xml:space="preserve"> thus</w:t>
      </w:r>
      <w:r w:rsidR="00894A4E">
        <w:rPr>
          <w:color w:val="000000"/>
        </w:rPr>
        <w:t>,</w:t>
      </w:r>
      <w:r w:rsidR="00AA2B36" w:rsidRPr="00B00736">
        <w:rPr>
          <w:color w:val="000000"/>
        </w:rPr>
        <w:t xml:space="preserve"> implicitly provides the necessary consent. </w:t>
      </w:r>
      <w:r w:rsidR="00894A4E">
        <w:rPr>
          <w:color w:val="000000"/>
        </w:rPr>
        <w:t>Whilst technically</w:t>
      </w:r>
      <w:r w:rsidR="00AA2B36" w:rsidRPr="00B00736">
        <w:rPr>
          <w:color w:val="000000"/>
        </w:rPr>
        <w:t xml:space="preserve"> the joint execution of a deed by t</w:t>
      </w:r>
      <w:r w:rsidR="00894A4E">
        <w:rPr>
          <w:color w:val="000000"/>
        </w:rPr>
        <w:t xml:space="preserve">wo parties does not constitute </w:t>
      </w:r>
      <w:r w:rsidR="00894A4E">
        <w:rPr>
          <w:i/>
          <w:color w:val="000000"/>
        </w:rPr>
        <w:t>“</w:t>
      </w:r>
      <w:r w:rsidR="00AA2B36" w:rsidRPr="00894A4E">
        <w:rPr>
          <w:i/>
          <w:color w:val="000000"/>
        </w:rPr>
        <w:t>prior writte</w:t>
      </w:r>
      <w:r w:rsidR="00894A4E" w:rsidRPr="00894A4E">
        <w:rPr>
          <w:i/>
          <w:color w:val="000000"/>
        </w:rPr>
        <w:t>n consent”</w:t>
      </w:r>
      <w:r w:rsidR="00894A4E">
        <w:rPr>
          <w:color w:val="000000"/>
        </w:rPr>
        <w:t>, I</w:t>
      </w:r>
      <w:r w:rsidR="00AA2B36" w:rsidRPr="00B00736">
        <w:rPr>
          <w:color w:val="000000"/>
        </w:rPr>
        <w:t xml:space="preserve"> accept the t</w:t>
      </w:r>
      <w:r w:rsidR="00894A4E">
        <w:rPr>
          <w:color w:val="000000"/>
        </w:rPr>
        <w:t>h</w:t>
      </w:r>
      <w:r w:rsidR="00AA2B36" w:rsidRPr="00B00736">
        <w:rPr>
          <w:color w:val="000000"/>
        </w:rPr>
        <w:t>rust of the plaintiffs</w:t>
      </w:r>
      <w:r w:rsidR="00894A4E">
        <w:rPr>
          <w:color w:val="000000"/>
        </w:rPr>
        <w:t>’ argument on this point also. This clau</w:t>
      </w:r>
      <w:r w:rsidR="00AA2B36" w:rsidRPr="00B00736">
        <w:rPr>
          <w:color w:val="000000"/>
        </w:rPr>
        <w:t>se in the mortgage does not appear to have been inserted for the</w:t>
      </w:r>
      <w:r w:rsidR="00894A4E">
        <w:rPr>
          <w:color w:val="000000"/>
        </w:rPr>
        <w:t xml:space="preserve"> benefit of the borrower, but i</w:t>
      </w:r>
      <w:r w:rsidR="00AA2B36" w:rsidRPr="00B00736">
        <w:rPr>
          <w:color w:val="000000"/>
        </w:rPr>
        <w:t xml:space="preserve">s intended to protect the rights of the lenders </w:t>
      </w:r>
      <w:r w:rsidR="00894A4E">
        <w:rPr>
          <w:i/>
          <w:color w:val="000000"/>
        </w:rPr>
        <w:t>inter se</w:t>
      </w:r>
      <w:r w:rsidR="00894A4E">
        <w:rPr>
          <w:color w:val="000000"/>
        </w:rPr>
        <w:t>. C</w:t>
      </w:r>
      <w:r w:rsidR="00AA2B36" w:rsidRPr="00B00736">
        <w:rPr>
          <w:color w:val="000000"/>
        </w:rPr>
        <w:t xml:space="preserve">onsequently, </w:t>
      </w:r>
      <w:r w:rsidR="00894A4E">
        <w:rPr>
          <w:color w:val="000000"/>
        </w:rPr>
        <w:t xml:space="preserve">I would not regard this issue as undermining a </w:t>
      </w:r>
      <w:r w:rsidR="00894A4E">
        <w:rPr>
          <w:i/>
          <w:color w:val="000000"/>
        </w:rPr>
        <w:t>“strong case”</w:t>
      </w:r>
      <w:r w:rsidR="00894A4E">
        <w:rPr>
          <w:color w:val="000000"/>
        </w:rPr>
        <w:t xml:space="preserve"> </w:t>
      </w:r>
      <w:r w:rsidR="00AA2B36" w:rsidRPr="00B00736">
        <w:rPr>
          <w:color w:val="000000"/>
        </w:rPr>
        <w:t xml:space="preserve">were </w:t>
      </w:r>
      <w:r w:rsidR="00894A4E">
        <w:rPr>
          <w:color w:val="000000"/>
        </w:rPr>
        <w:t xml:space="preserve">it </w:t>
      </w:r>
      <w:r w:rsidR="00AA2B36" w:rsidRPr="00B00736">
        <w:rPr>
          <w:color w:val="000000"/>
        </w:rPr>
        <w:t>otherwise to have been established by the plaintiffs.</w:t>
      </w:r>
    </w:p>
    <w:p w14:paraId="34C8A3E1" w14:textId="77777777" w:rsidR="00866ED0" w:rsidRDefault="00866ED0" w:rsidP="00A93FD5">
      <w:pPr>
        <w:pStyle w:val="NormalWeb"/>
        <w:spacing w:before="0" w:beforeAutospacing="0" w:after="0" w:afterAutospacing="0" w:line="480" w:lineRule="auto"/>
        <w:jc w:val="both"/>
        <w:rPr>
          <w:color w:val="000000"/>
        </w:rPr>
      </w:pPr>
    </w:p>
    <w:p w14:paraId="1043BC84" w14:textId="77777777" w:rsidR="00E32300" w:rsidRPr="00E32300" w:rsidRDefault="00E32300" w:rsidP="00A93FD5">
      <w:pPr>
        <w:pStyle w:val="NormalWeb"/>
        <w:spacing w:before="0" w:beforeAutospacing="0" w:after="0" w:afterAutospacing="0" w:line="480" w:lineRule="auto"/>
        <w:jc w:val="both"/>
        <w:rPr>
          <w:b/>
          <w:color w:val="000000"/>
          <w:u w:val="single"/>
        </w:rPr>
      </w:pPr>
      <w:r w:rsidRPr="00E32300">
        <w:rPr>
          <w:b/>
          <w:color w:val="000000"/>
          <w:u w:val="single"/>
        </w:rPr>
        <w:t>Validity of Appointment of the Receiver</w:t>
      </w:r>
    </w:p>
    <w:p w14:paraId="11A3DC43" w14:textId="77777777" w:rsidR="004D22A4" w:rsidRDefault="00E32300" w:rsidP="00A93FD5">
      <w:pPr>
        <w:pStyle w:val="NormalWeb"/>
        <w:numPr>
          <w:ilvl w:val="0"/>
          <w:numId w:val="1"/>
        </w:numPr>
        <w:spacing w:before="0" w:beforeAutospacing="0" w:after="0" w:afterAutospacing="0" w:line="480" w:lineRule="auto"/>
        <w:ind w:left="0" w:firstLine="0"/>
        <w:jc w:val="both"/>
        <w:rPr>
          <w:color w:val="000000"/>
        </w:rPr>
      </w:pPr>
      <w:r>
        <w:rPr>
          <w:color w:val="000000"/>
        </w:rPr>
        <w:t>The other major issues</w:t>
      </w:r>
      <w:r w:rsidR="00B8261C" w:rsidRPr="00E32300">
        <w:rPr>
          <w:color w:val="000000"/>
        </w:rPr>
        <w:t xml:space="preserve"> raised by the defendant concerns the validity of the appointment of the receiver pursuant to </w:t>
      </w:r>
      <w:r w:rsidR="00082FAE">
        <w:rPr>
          <w:color w:val="000000"/>
        </w:rPr>
        <w:t xml:space="preserve">the mortgages as a result of his alleged </w:t>
      </w:r>
      <w:r w:rsidR="00B8261C" w:rsidRPr="00E32300">
        <w:rPr>
          <w:color w:val="000000"/>
        </w:rPr>
        <w:t>breach of the</w:t>
      </w:r>
      <w:r w:rsidR="00082FAE">
        <w:rPr>
          <w:color w:val="000000"/>
        </w:rPr>
        <w:t xml:space="preserve"> loan agreements</w:t>
      </w:r>
      <w:r>
        <w:rPr>
          <w:color w:val="000000"/>
        </w:rPr>
        <w:t xml:space="preserve">. </w:t>
      </w:r>
      <w:r>
        <w:rPr>
          <w:color w:val="000000"/>
        </w:rPr>
        <w:lastRenderedPageBreak/>
        <w:t>Two points are made: firstly, t</w:t>
      </w:r>
      <w:r w:rsidR="00B8261C" w:rsidRPr="00E32300">
        <w:rPr>
          <w:color w:val="000000"/>
        </w:rPr>
        <w:t xml:space="preserve">hat the appointment is invalid because the deeds </w:t>
      </w:r>
      <w:r>
        <w:rPr>
          <w:color w:val="000000"/>
        </w:rPr>
        <w:t xml:space="preserve">purport </w:t>
      </w:r>
      <w:r w:rsidR="00082FAE">
        <w:rPr>
          <w:color w:val="000000"/>
        </w:rPr>
        <w:t xml:space="preserve">to appoint </w:t>
      </w:r>
      <w:r>
        <w:rPr>
          <w:color w:val="000000"/>
        </w:rPr>
        <w:t xml:space="preserve">the </w:t>
      </w:r>
      <w:r w:rsidR="00B8261C" w:rsidRPr="00E32300">
        <w:rPr>
          <w:color w:val="000000"/>
        </w:rPr>
        <w:t xml:space="preserve">first plaintiff </w:t>
      </w:r>
      <w:r>
        <w:rPr>
          <w:color w:val="000000"/>
        </w:rPr>
        <w:t>as receiver over the properties</w:t>
      </w:r>
      <w:r w:rsidR="00B8261C" w:rsidRPr="00E32300">
        <w:rPr>
          <w:color w:val="000000"/>
        </w:rPr>
        <w:t xml:space="preserve"> when in fact the mortgagee only had power to appoint a rec</w:t>
      </w:r>
      <w:r>
        <w:rPr>
          <w:color w:val="000000"/>
        </w:rPr>
        <w:t>eiver under statute and, th</w:t>
      </w:r>
      <w:r w:rsidR="00B8261C" w:rsidRPr="00E32300">
        <w:rPr>
          <w:color w:val="000000"/>
        </w:rPr>
        <w:t>us</w:t>
      </w:r>
      <w:r>
        <w:rPr>
          <w:color w:val="000000"/>
        </w:rPr>
        <w:t>,</w:t>
      </w:r>
      <w:r w:rsidR="00B8261C" w:rsidRPr="00E32300">
        <w:rPr>
          <w:color w:val="000000"/>
        </w:rPr>
        <w:t xml:space="preserve"> over the income of the properties rather th</w:t>
      </w:r>
      <w:r>
        <w:rPr>
          <w:color w:val="000000"/>
        </w:rPr>
        <w:t>an the properties themselves. I ha</w:t>
      </w:r>
      <w:r w:rsidR="00B8261C" w:rsidRPr="00E32300">
        <w:rPr>
          <w:color w:val="000000"/>
        </w:rPr>
        <w:t>ve described the receiver as having been appointed by the mortgagee because</w:t>
      </w:r>
      <w:r w:rsidR="004D22A4">
        <w:rPr>
          <w:color w:val="000000"/>
        </w:rPr>
        <w:t>,</w:t>
      </w:r>
      <w:r w:rsidR="00B8261C" w:rsidRPr="00E32300">
        <w:rPr>
          <w:color w:val="000000"/>
        </w:rPr>
        <w:t xml:space="preserve"> in fact, the appointments which occurr</w:t>
      </w:r>
      <w:r w:rsidR="004D22A4">
        <w:rPr>
          <w:color w:val="000000"/>
        </w:rPr>
        <w:t>ed on various dates in 2018 and 2019 were made by</w:t>
      </w:r>
      <w:r w:rsidR="00B8261C" w:rsidRPr="00E32300">
        <w:rPr>
          <w:color w:val="000000"/>
        </w:rPr>
        <w:t xml:space="preserve"> AI</w:t>
      </w:r>
      <w:r w:rsidR="004D22A4">
        <w:rPr>
          <w:color w:val="000000"/>
        </w:rPr>
        <w:t>B</w:t>
      </w:r>
      <w:r w:rsidR="00082FAE">
        <w:rPr>
          <w:color w:val="000000"/>
        </w:rPr>
        <w:t>MB</w:t>
      </w:r>
      <w:r w:rsidR="004D22A4">
        <w:rPr>
          <w:color w:val="000000"/>
        </w:rPr>
        <w:t xml:space="preserve"> (</w:t>
      </w:r>
      <w:r w:rsidR="00B8261C" w:rsidRPr="00E32300">
        <w:rPr>
          <w:color w:val="000000"/>
        </w:rPr>
        <w:t>or</w:t>
      </w:r>
      <w:r w:rsidR="004D22A4">
        <w:rPr>
          <w:color w:val="000000"/>
        </w:rPr>
        <w:t>, in the case of 3 Irvine C</w:t>
      </w:r>
      <w:r w:rsidR="00B8261C" w:rsidRPr="00E32300">
        <w:rPr>
          <w:color w:val="000000"/>
        </w:rPr>
        <w:t>ottages</w:t>
      </w:r>
      <w:r w:rsidR="004D22A4">
        <w:rPr>
          <w:color w:val="000000"/>
        </w:rPr>
        <w:t>, AIBMB and AIB plc jointly) rather than by the second plaintiff. T</w:t>
      </w:r>
      <w:r w:rsidR="00B8261C" w:rsidRPr="00E32300">
        <w:rPr>
          <w:color w:val="000000"/>
        </w:rPr>
        <w:t>he second issue raised by the defendant is</w:t>
      </w:r>
      <w:r w:rsidR="004D22A4">
        <w:rPr>
          <w:color w:val="000000"/>
        </w:rPr>
        <w:t xml:space="preserve"> that a purported n</w:t>
      </w:r>
      <w:r w:rsidR="00B8261C" w:rsidRPr="00E32300">
        <w:rPr>
          <w:color w:val="000000"/>
        </w:rPr>
        <w:t>ovation of the appointment of the receiver by AIB</w:t>
      </w:r>
      <w:r w:rsidR="00082FAE">
        <w:rPr>
          <w:color w:val="000000"/>
        </w:rPr>
        <w:t>MB</w:t>
      </w:r>
      <w:r w:rsidR="00B8261C" w:rsidRPr="00E32300">
        <w:rPr>
          <w:color w:val="000000"/>
        </w:rPr>
        <w:t xml:space="preserve"> to</w:t>
      </w:r>
      <w:r w:rsidR="004D22A4">
        <w:rPr>
          <w:color w:val="000000"/>
        </w:rPr>
        <w:t xml:space="preserve"> the second plaintiff is flawed</w:t>
      </w:r>
      <w:r w:rsidR="00B8261C" w:rsidRPr="00E32300">
        <w:rPr>
          <w:color w:val="000000"/>
        </w:rPr>
        <w:t xml:space="preserve"> and consequently inv</w:t>
      </w:r>
      <w:r w:rsidR="004D22A4">
        <w:rPr>
          <w:color w:val="000000"/>
        </w:rPr>
        <w:t>alid.</w:t>
      </w:r>
    </w:p>
    <w:p w14:paraId="5645B4AE" w14:textId="59EE5637" w:rsidR="000F17A2" w:rsidRDefault="00B8261C" w:rsidP="00A93FD5">
      <w:pPr>
        <w:pStyle w:val="NormalWeb"/>
        <w:numPr>
          <w:ilvl w:val="0"/>
          <w:numId w:val="1"/>
        </w:numPr>
        <w:spacing w:before="0" w:beforeAutospacing="0" w:after="0" w:afterAutospacing="0" w:line="480" w:lineRule="auto"/>
        <w:ind w:left="0" w:firstLine="0"/>
        <w:jc w:val="both"/>
        <w:rPr>
          <w:color w:val="000000"/>
        </w:rPr>
      </w:pPr>
      <w:r w:rsidRPr="00E32300">
        <w:rPr>
          <w:color w:val="000000"/>
        </w:rPr>
        <w:t>The first point is a variation of an argument that has been dealt</w:t>
      </w:r>
      <w:r w:rsidR="004D22A4">
        <w:rPr>
          <w:color w:val="000000"/>
        </w:rPr>
        <w:t xml:space="preserve"> with in a number of judgments, most recently by the Court of Appeal </w:t>
      </w:r>
      <w:r w:rsidRPr="00E32300">
        <w:rPr>
          <w:color w:val="000000"/>
        </w:rPr>
        <w:t xml:space="preserve">in </w:t>
      </w:r>
      <w:r w:rsidR="004D22A4">
        <w:rPr>
          <w:i/>
          <w:color w:val="000000"/>
        </w:rPr>
        <w:t xml:space="preserve">Fennell v. Corrigan </w:t>
      </w:r>
      <w:r w:rsidR="00253C65">
        <w:rPr>
          <w:iCs/>
          <w:color w:val="000000"/>
        </w:rPr>
        <w:t>[2021] IECA 248</w:t>
      </w:r>
      <w:r w:rsidR="00252169">
        <w:rPr>
          <w:iCs/>
          <w:color w:val="000000"/>
        </w:rPr>
        <w:t xml:space="preserve"> </w:t>
      </w:r>
      <w:r w:rsidRPr="00E32300">
        <w:rPr>
          <w:color w:val="000000"/>
        </w:rPr>
        <w:t>in which judgment was delivered just prior to the hearing of this application</w:t>
      </w:r>
      <w:r w:rsidR="004D22A4">
        <w:rPr>
          <w:color w:val="000000"/>
        </w:rPr>
        <w:t>. I</w:t>
      </w:r>
      <w:r w:rsidRPr="00E32300">
        <w:rPr>
          <w:color w:val="000000"/>
        </w:rPr>
        <w:t>t is common case that in the event of a default on the loans</w:t>
      </w:r>
      <w:r w:rsidR="004D22A4">
        <w:rPr>
          <w:color w:val="000000"/>
        </w:rPr>
        <w:t>, the 1998</w:t>
      </w:r>
      <w:r w:rsidRPr="00E32300">
        <w:rPr>
          <w:color w:val="000000"/>
        </w:rPr>
        <w:t xml:space="preserve"> mortgages allowed the m</w:t>
      </w:r>
      <w:r w:rsidR="004D22A4">
        <w:rPr>
          <w:color w:val="000000"/>
        </w:rPr>
        <w:t>ortgagee to appoint a receiver p</w:t>
      </w:r>
      <w:r w:rsidRPr="00E32300">
        <w:rPr>
          <w:color w:val="000000"/>
        </w:rPr>
        <w:t xml:space="preserve">ursuant to </w:t>
      </w:r>
      <w:r w:rsidR="004D22A4">
        <w:rPr>
          <w:color w:val="000000"/>
        </w:rPr>
        <w:t>the powers conferred by the Conveyancing A</w:t>
      </w:r>
      <w:r w:rsidRPr="00E32300">
        <w:rPr>
          <w:color w:val="000000"/>
        </w:rPr>
        <w:t>ct</w:t>
      </w:r>
      <w:r w:rsidR="004D22A4">
        <w:rPr>
          <w:color w:val="000000"/>
        </w:rPr>
        <w:t>, 1</w:t>
      </w:r>
      <w:r w:rsidRPr="00E32300">
        <w:rPr>
          <w:color w:val="000000"/>
        </w:rPr>
        <w:t>881</w:t>
      </w:r>
      <w:r w:rsidR="004D22A4">
        <w:rPr>
          <w:color w:val="000000"/>
        </w:rPr>
        <w:t>. T</w:t>
      </w:r>
      <w:r w:rsidRPr="00E32300">
        <w:rPr>
          <w:color w:val="000000"/>
        </w:rPr>
        <w:t xml:space="preserve">he power to appoint a receiver under </w:t>
      </w:r>
      <w:r w:rsidR="004D22A4">
        <w:rPr>
          <w:color w:val="000000"/>
        </w:rPr>
        <w:t>s. 19(1)(ii</w:t>
      </w:r>
      <w:r w:rsidR="00253C65">
        <w:rPr>
          <w:color w:val="000000"/>
        </w:rPr>
        <w:t>i</w:t>
      </w:r>
      <w:r w:rsidR="004D22A4">
        <w:rPr>
          <w:color w:val="000000"/>
        </w:rPr>
        <w:t>)</w:t>
      </w:r>
      <w:r w:rsidRPr="00E32300">
        <w:rPr>
          <w:color w:val="000000"/>
        </w:rPr>
        <w:t xml:space="preserve"> of the 1881 </w:t>
      </w:r>
      <w:r w:rsidR="004D22A4">
        <w:rPr>
          <w:color w:val="000000"/>
        </w:rPr>
        <w:t xml:space="preserve">Act </w:t>
      </w:r>
      <w:r w:rsidRPr="00E32300">
        <w:rPr>
          <w:color w:val="000000"/>
        </w:rPr>
        <w:t xml:space="preserve">is narrowly framed as being the appointment of receiver </w:t>
      </w:r>
      <w:r w:rsidR="004D22A4">
        <w:rPr>
          <w:i/>
          <w:color w:val="000000"/>
        </w:rPr>
        <w:t>“</w:t>
      </w:r>
      <w:r w:rsidR="004D22A4" w:rsidRPr="004D22A4">
        <w:rPr>
          <w:i/>
          <w:color w:val="000000"/>
        </w:rPr>
        <w:t xml:space="preserve">of </w:t>
      </w:r>
      <w:r w:rsidRPr="004D22A4">
        <w:rPr>
          <w:i/>
          <w:color w:val="000000"/>
        </w:rPr>
        <w:t xml:space="preserve">the income </w:t>
      </w:r>
      <w:r w:rsidR="004D22A4" w:rsidRPr="004D22A4">
        <w:rPr>
          <w:i/>
          <w:color w:val="000000"/>
        </w:rPr>
        <w:t>of the mortgage</w:t>
      </w:r>
      <w:r w:rsidR="00253C65">
        <w:rPr>
          <w:i/>
          <w:color w:val="000000"/>
        </w:rPr>
        <w:t>d</w:t>
      </w:r>
      <w:r w:rsidR="004D22A4" w:rsidRPr="004D22A4">
        <w:rPr>
          <w:i/>
          <w:color w:val="000000"/>
        </w:rPr>
        <w:t xml:space="preserve"> property,</w:t>
      </w:r>
      <w:r w:rsidRPr="004D22A4">
        <w:rPr>
          <w:i/>
          <w:color w:val="000000"/>
        </w:rPr>
        <w:t xml:space="preserve"> or of any part thereof</w:t>
      </w:r>
      <w:r w:rsidR="004D22A4" w:rsidRPr="004D22A4">
        <w:rPr>
          <w:i/>
          <w:color w:val="000000"/>
        </w:rPr>
        <w:t>”</w:t>
      </w:r>
      <w:r w:rsidR="004D22A4">
        <w:rPr>
          <w:color w:val="000000"/>
        </w:rPr>
        <w:t>.</w:t>
      </w:r>
      <w:r w:rsidRPr="004D22A4">
        <w:rPr>
          <w:i/>
          <w:color w:val="000000"/>
        </w:rPr>
        <w:t xml:space="preserve"> </w:t>
      </w:r>
      <w:r w:rsidR="004D22A4">
        <w:rPr>
          <w:color w:val="000000"/>
        </w:rPr>
        <w:t xml:space="preserve">A </w:t>
      </w:r>
      <w:r w:rsidRPr="00E32300">
        <w:rPr>
          <w:color w:val="000000"/>
        </w:rPr>
        <w:t>r</w:t>
      </w:r>
      <w:r w:rsidR="004D22A4">
        <w:rPr>
          <w:color w:val="000000"/>
        </w:rPr>
        <w:t>eceiver appointed under s. 19(1)(iii)</w:t>
      </w:r>
      <w:r w:rsidRPr="00E32300">
        <w:rPr>
          <w:color w:val="000000"/>
        </w:rPr>
        <w:t xml:space="preserve"> does not have a right to possession of t</w:t>
      </w:r>
      <w:r w:rsidR="004D22A4">
        <w:rPr>
          <w:color w:val="000000"/>
        </w:rPr>
        <w:t>he mortgage</w:t>
      </w:r>
      <w:r w:rsidR="00252169">
        <w:rPr>
          <w:color w:val="000000"/>
        </w:rPr>
        <w:t>d</w:t>
      </w:r>
      <w:r w:rsidR="004D22A4">
        <w:rPr>
          <w:color w:val="000000"/>
        </w:rPr>
        <w:t xml:space="preserve"> property or, </w:t>
      </w:r>
      <w:r w:rsidRPr="00E32300">
        <w:rPr>
          <w:color w:val="000000"/>
        </w:rPr>
        <w:t xml:space="preserve">more generally, to </w:t>
      </w:r>
      <w:r w:rsidR="004D22A4">
        <w:rPr>
          <w:color w:val="000000"/>
        </w:rPr>
        <w:t>manage the mortgage</w:t>
      </w:r>
      <w:r w:rsidR="00252169">
        <w:rPr>
          <w:color w:val="000000"/>
        </w:rPr>
        <w:t>d</w:t>
      </w:r>
      <w:r w:rsidR="004D22A4">
        <w:rPr>
          <w:color w:val="000000"/>
        </w:rPr>
        <w:t xml:space="preserve"> property,</w:t>
      </w:r>
      <w:r w:rsidRPr="00E32300">
        <w:rPr>
          <w:color w:val="000000"/>
        </w:rPr>
        <w:t xml:space="preserve"> save as regards the receipt of rental or ot</w:t>
      </w:r>
      <w:r w:rsidR="004D22A4">
        <w:rPr>
          <w:color w:val="000000"/>
        </w:rPr>
        <w:t>her income. Consequently</w:t>
      </w:r>
      <w:r w:rsidRPr="00E32300">
        <w:rPr>
          <w:color w:val="000000"/>
        </w:rPr>
        <w:t xml:space="preserve">, it is common for </w:t>
      </w:r>
      <w:r w:rsidR="004D22A4">
        <w:rPr>
          <w:color w:val="000000"/>
        </w:rPr>
        <w:t xml:space="preserve">a </w:t>
      </w:r>
      <w:r w:rsidRPr="00E32300">
        <w:rPr>
          <w:color w:val="000000"/>
        </w:rPr>
        <w:t xml:space="preserve">mortgage deed to contain provisions </w:t>
      </w:r>
      <w:r w:rsidR="004D22A4">
        <w:rPr>
          <w:color w:val="000000"/>
        </w:rPr>
        <w:t xml:space="preserve">allowing the </w:t>
      </w:r>
      <w:r w:rsidRPr="00E32300">
        <w:rPr>
          <w:color w:val="000000"/>
        </w:rPr>
        <w:t xml:space="preserve">receiver </w:t>
      </w:r>
      <w:r w:rsidR="00082FAE">
        <w:rPr>
          <w:color w:val="000000"/>
        </w:rPr>
        <w:t xml:space="preserve">appointed by the mortgagee </w:t>
      </w:r>
      <w:r w:rsidRPr="00E32300">
        <w:rPr>
          <w:color w:val="000000"/>
        </w:rPr>
        <w:t xml:space="preserve">to exercise broader powers than </w:t>
      </w:r>
      <w:r w:rsidR="004D22A4">
        <w:rPr>
          <w:color w:val="000000"/>
        </w:rPr>
        <w:t>those provided for under s. 19. Alternatively,</w:t>
      </w:r>
      <w:r w:rsidRPr="00E32300">
        <w:rPr>
          <w:color w:val="000000"/>
        </w:rPr>
        <w:t xml:space="preserve"> a mortgage deed might provide fo</w:t>
      </w:r>
      <w:r w:rsidR="004D22A4">
        <w:rPr>
          <w:color w:val="000000"/>
        </w:rPr>
        <w:t xml:space="preserve">r the appointment of a </w:t>
      </w:r>
      <w:r w:rsidR="004D22A4" w:rsidRPr="004D22A4">
        <w:rPr>
          <w:i/>
          <w:color w:val="000000"/>
        </w:rPr>
        <w:t>“</w:t>
      </w:r>
      <w:r w:rsidRPr="004D22A4">
        <w:rPr>
          <w:i/>
          <w:color w:val="000000"/>
        </w:rPr>
        <w:t>receiver and ma</w:t>
      </w:r>
      <w:r w:rsidR="004D22A4" w:rsidRPr="004D22A4">
        <w:rPr>
          <w:i/>
          <w:color w:val="000000"/>
        </w:rPr>
        <w:t>nager”</w:t>
      </w:r>
      <w:r w:rsidR="004D22A4">
        <w:rPr>
          <w:color w:val="000000"/>
        </w:rPr>
        <w:t>, a term which acknowledges that the person so appointed</w:t>
      </w:r>
      <w:r w:rsidRPr="00E32300">
        <w:rPr>
          <w:color w:val="000000"/>
        </w:rPr>
        <w:t xml:space="preserve"> will not be limited to the exercise of t</w:t>
      </w:r>
      <w:r w:rsidR="004D22A4">
        <w:rPr>
          <w:color w:val="000000"/>
        </w:rPr>
        <w:t>he statutory powers under s.</w:t>
      </w:r>
      <w:r w:rsidRPr="00E32300">
        <w:rPr>
          <w:color w:val="000000"/>
        </w:rPr>
        <w:t xml:space="preserve"> 19</w:t>
      </w:r>
      <w:r w:rsidR="000F17A2">
        <w:rPr>
          <w:color w:val="000000"/>
        </w:rPr>
        <w:t xml:space="preserve"> but </w:t>
      </w:r>
      <w:r w:rsidRPr="00E32300">
        <w:rPr>
          <w:color w:val="000000"/>
        </w:rPr>
        <w:t>will have broader power to manage the mortgage</w:t>
      </w:r>
      <w:r w:rsidR="00252169">
        <w:rPr>
          <w:color w:val="000000"/>
        </w:rPr>
        <w:t>d</w:t>
      </w:r>
      <w:r w:rsidRPr="00E32300">
        <w:rPr>
          <w:color w:val="000000"/>
        </w:rPr>
        <w:t xml:space="preserve"> property in order to secure the mortgage</w:t>
      </w:r>
      <w:r w:rsidR="000F17A2">
        <w:rPr>
          <w:color w:val="000000"/>
        </w:rPr>
        <w:t>e’s i</w:t>
      </w:r>
      <w:r w:rsidRPr="00E32300">
        <w:rPr>
          <w:color w:val="000000"/>
        </w:rPr>
        <w:t>nterests until the</w:t>
      </w:r>
      <w:r w:rsidR="000F17A2">
        <w:rPr>
          <w:color w:val="000000"/>
        </w:rPr>
        <w:t xml:space="preserve"> loan has been repaid.</w:t>
      </w:r>
      <w:r w:rsidRPr="00E32300">
        <w:rPr>
          <w:color w:val="000000"/>
        </w:rPr>
        <w:t xml:space="preserve"> The plaintiffs were careful to point </w:t>
      </w:r>
      <w:r w:rsidRPr="00E32300">
        <w:rPr>
          <w:color w:val="000000"/>
        </w:rPr>
        <w:lastRenderedPageBreak/>
        <w:t xml:space="preserve">out that they were not suggesting at this stage that the receiver has </w:t>
      </w:r>
      <w:r w:rsidR="000F17A2">
        <w:rPr>
          <w:color w:val="000000"/>
        </w:rPr>
        <w:t>a power of sale and were</w:t>
      </w:r>
      <w:r w:rsidRPr="00E32300">
        <w:rPr>
          <w:color w:val="000000"/>
        </w:rPr>
        <w:t xml:space="preserve"> only standing over the appointment of the first pla</w:t>
      </w:r>
      <w:r w:rsidR="000F17A2">
        <w:rPr>
          <w:color w:val="000000"/>
        </w:rPr>
        <w:t>i</w:t>
      </w:r>
      <w:r w:rsidRPr="00E32300">
        <w:rPr>
          <w:color w:val="000000"/>
        </w:rPr>
        <w:t>nt</w:t>
      </w:r>
      <w:r w:rsidR="000F17A2">
        <w:rPr>
          <w:color w:val="000000"/>
        </w:rPr>
        <w:t>iff</w:t>
      </w:r>
      <w:r w:rsidRPr="00E32300">
        <w:rPr>
          <w:color w:val="000000"/>
        </w:rPr>
        <w:t xml:space="preserve"> as a statutory receiver to receive the rental income from the properties</w:t>
      </w:r>
      <w:r w:rsidR="000F17A2">
        <w:rPr>
          <w:color w:val="000000"/>
        </w:rPr>
        <w:t>. As</w:t>
      </w:r>
      <w:r w:rsidRPr="00E32300">
        <w:rPr>
          <w:color w:val="000000"/>
        </w:rPr>
        <w:t xml:space="preserve"> against this</w:t>
      </w:r>
      <w:r w:rsidR="000F17A2">
        <w:rPr>
          <w:color w:val="000000"/>
        </w:rPr>
        <w:t>, the</w:t>
      </w:r>
      <w:r w:rsidRPr="00E32300">
        <w:rPr>
          <w:color w:val="000000"/>
        </w:rPr>
        <w:t xml:space="preserve"> defendant appear</w:t>
      </w:r>
      <w:r w:rsidR="000F17A2">
        <w:rPr>
          <w:color w:val="000000"/>
        </w:rPr>
        <w:t>ed</w:t>
      </w:r>
      <w:r w:rsidRPr="00E32300">
        <w:rPr>
          <w:color w:val="000000"/>
        </w:rPr>
        <w:t xml:space="preserve"> to accept that</w:t>
      </w:r>
      <w:r w:rsidR="000F17A2">
        <w:rPr>
          <w:color w:val="000000"/>
        </w:rPr>
        <w:t>, in certain circumstances, f</w:t>
      </w:r>
      <w:r w:rsidRPr="00E32300">
        <w:rPr>
          <w:color w:val="000000"/>
        </w:rPr>
        <w:t xml:space="preserve">or </w:t>
      </w:r>
      <w:r w:rsidR="000F17A2">
        <w:rPr>
          <w:color w:val="000000"/>
        </w:rPr>
        <w:t>a receiver to fulfil</w:t>
      </w:r>
      <w:r w:rsidRPr="00E32300">
        <w:rPr>
          <w:color w:val="000000"/>
        </w:rPr>
        <w:t xml:space="preserve"> the role of receiver over the income of a property</w:t>
      </w:r>
      <w:r w:rsidR="000F17A2">
        <w:rPr>
          <w:color w:val="000000"/>
        </w:rPr>
        <w:t>,</w:t>
      </w:r>
      <w:r w:rsidRPr="00E32300">
        <w:rPr>
          <w:color w:val="000000"/>
        </w:rPr>
        <w:t xml:space="preserve"> he may</w:t>
      </w:r>
      <w:r w:rsidR="000F17A2">
        <w:rPr>
          <w:color w:val="000000"/>
        </w:rPr>
        <w:t xml:space="preserve">, by necessary implication, </w:t>
      </w:r>
      <w:r w:rsidRPr="00E32300">
        <w:rPr>
          <w:color w:val="000000"/>
        </w:rPr>
        <w:t>have to have the power to enter into poss</w:t>
      </w:r>
      <w:r w:rsidR="000F17A2">
        <w:rPr>
          <w:color w:val="000000"/>
        </w:rPr>
        <w:t>ession of the property</w:t>
      </w:r>
      <w:r w:rsidRPr="00E32300">
        <w:rPr>
          <w:color w:val="000000"/>
        </w:rPr>
        <w:t>. This is not</w:t>
      </w:r>
      <w:r w:rsidR="000F17A2">
        <w:rPr>
          <w:color w:val="000000"/>
        </w:rPr>
        <w:t>,</w:t>
      </w:r>
      <w:r w:rsidRPr="00E32300">
        <w:rPr>
          <w:color w:val="000000"/>
        </w:rPr>
        <w:t xml:space="preserve"> howe</w:t>
      </w:r>
      <w:r w:rsidR="000F17A2">
        <w:rPr>
          <w:color w:val="000000"/>
        </w:rPr>
        <w:t>ver, the subject of the dispute in this case.</w:t>
      </w:r>
    </w:p>
    <w:p w14:paraId="4B3155D8" w14:textId="276E5DB0" w:rsidR="000F17A2" w:rsidRDefault="000F17A2" w:rsidP="00A93FD5">
      <w:pPr>
        <w:pStyle w:val="NormalWeb"/>
        <w:numPr>
          <w:ilvl w:val="0"/>
          <w:numId w:val="1"/>
        </w:numPr>
        <w:spacing w:before="0" w:beforeAutospacing="0" w:after="0" w:afterAutospacing="0" w:line="480" w:lineRule="auto"/>
        <w:ind w:left="0" w:firstLine="0"/>
        <w:jc w:val="both"/>
        <w:rPr>
          <w:color w:val="000000"/>
        </w:rPr>
      </w:pPr>
      <w:r>
        <w:rPr>
          <w:color w:val="000000"/>
        </w:rPr>
        <w:t xml:space="preserve">Instead, </w:t>
      </w:r>
      <w:r w:rsidR="00B8261C" w:rsidRPr="00E32300">
        <w:rPr>
          <w:color w:val="000000"/>
        </w:rPr>
        <w:t>the defendant</w:t>
      </w:r>
      <w:r>
        <w:rPr>
          <w:color w:val="000000"/>
        </w:rPr>
        <w:t>’</w:t>
      </w:r>
      <w:r w:rsidR="00B8261C" w:rsidRPr="00E32300">
        <w:rPr>
          <w:color w:val="000000"/>
        </w:rPr>
        <w:t>s argument focused on the technical distinction between the appointment of a receiver over the prope</w:t>
      </w:r>
      <w:r>
        <w:rPr>
          <w:color w:val="000000"/>
        </w:rPr>
        <w:t>rties and the appointment of a</w:t>
      </w:r>
      <w:r w:rsidR="00B8261C" w:rsidRPr="00E32300">
        <w:rPr>
          <w:color w:val="000000"/>
        </w:rPr>
        <w:t xml:space="preserve"> receiver over the income of those properties</w:t>
      </w:r>
      <w:r>
        <w:rPr>
          <w:color w:val="000000"/>
        </w:rPr>
        <w:t>. T</w:t>
      </w:r>
      <w:r w:rsidR="00B8261C" w:rsidRPr="00E32300">
        <w:rPr>
          <w:color w:val="000000"/>
        </w:rPr>
        <w:t>o a certain extent</w:t>
      </w:r>
      <w:r>
        <w:rPr>
          <w:color w:val="000000"/>
        </w:rPr>
        <w:t>,</w:t>
      </w:r>
      <w:r w:rsidR="00B8261C" w:rsidRPr="00E32300">
        <w:rPr>
          <w:color w:val="000000"/>
        </w:rPr>
        <w:t xml:space="preserve"> the arguments mad</w:t>
      </w:r>
      <w:r>
        <w:rPr>
          <w:color w:val="000000"/>
        </w:rPr>
        <w:t>e by the defendant covered well-</w:t>
      </w:r>
      <w:r w:rsidR="00B8261C" w:rsidRPr="00E32300">
        <w:rPr>
          <w:color w:val="000000"/>
        </w:rPr>
        <w:t>trodden territory in which the case law has veered between a requirement for strict adherence to the terms of a mortgage, e</w:t>
      </w:r>
      <w:r w:rsidR="00252169">
        <w:rPr>
          <w:color w:val="000000"/>
        </w:rPr>
        <w:t>specially</w:t>
      </w:r>
      <w:r w:rsidR="00B8261C" w:rsidRPr="00E32300">
        <w:rPr>
          <w:color w:val="000000"/>
        </w:rPr>
        <w:t xml:space="preserve"> as regards the procedural aspects of the appointment of a receiver</w:t>
      </w:r>
      <w:r>
        <w:rPr>
          <w:color w:val="000000"/>
        </w:rPr>
        <w:t xml:space="preserve"> (per Gilligan J. in </w:t>
      </w:r>
      <w:r>
        <w:rPr>
          <w:i/>
          <w:color w:val="000000"/>
        </w:rPr>
        <w:t>The Merrow v. Bank of Scotland</w:t>
      </w:r>
      <w:r>
        <w:rPr>
          <w:color w:val="000000"/>
        </w:rPr>
        <w:t xml:space="preserve"> [2013] IEHC 130),</w:t>
      </w:r>
      <w:r w:rsidR="00B8261C" w:rsidRPr="00E32300">
        <w:rPr>
          <w:color w:val="000000"/>
        </w:rPr>
        <w:t xml:space="preserve"> and </w:t>
      </w:r>
      <w:r w:rsidR="00082FAE">
        <w:rPr>
          <w:color w:val="000000"/>
        </w:rPr>
        <w:t>a</w:t>
      </w:r>
      <w:r w:rsidR="00B8261C" w:rsidRPr="00E32300">
        <w:rPr>
          <w:color w:val="000000"/>
        </w:rPr>
        <w:t xml:space="preserve">n acknowledgement </w:t>
      </w:r>
      <w:r>
        <w:rPr>
          <w:color w:val="000000"/>
        </w:rPr>
        <w:t>that once validly appointed under s. 19, the powers</w:t>
      </w:r>
      <w:r w:rsidR="00B8261C" w:rsidRPr="00E32300">
        <w:rPr>
          <w:color w:val="000000"/>
        </w:rPr>
        <w:t xml:space="preserve"> of </w:t>
      </w:r>
      <w:r>
        <w:rPr>
          <w:color w:val="000000"/>
        </w:rPr>
        <w:t xml:space="preserve">a </w:t>
      </w:r>
      <w:r w:rsidR="00B8261C" w:rsidRPr="00E32300">
        <w:rPr>
          <w:color w:val="000000"/>
        </w:rPr>
        <w:t>receiver can be extended by the terms of</w:t>
      </w:r>
      <w:r>
        <w:rPr>
          <w:color w:val="000000"/>
        </w:rPr>
        <w:t xml:space="preserve"> the mortgage itself (</w:t>
      </w:r>
      <w:r w:rsidR="00B8261C" w:rsidRPr="000107EC">
        <w:rPr>
          <w:i/>
          <w:color w:val="000000"/>
        </w:rPr>
        <w:t>per</w:t>
      </w:r>
      <w:r w:rsidRPr="000107EC">
        <w:rPr>
          <w:i/>
          <w:color w:val="000000"/>
        </w:rPr>
        <w:t xml:space="preserve"> </w:t>
      </w:r>
      <w:r>
        <w:rPr>
          <w:color w:val="000000"/>
        </w:rPr>
        <w:t xml:space="preserve">Baker J. in </w:t>
      </w:r>
      <w:r>
        <w:rPr>
          <w:i/>
          <w:color w:val="000000"/>
        </w:rPr>
        <w:t>Woods v. Ulster Bank</w:t>
      </w:r>
      <w:r>
        <w:rPr>
          <w:color w:val="000000"/>
        </w:rPr>
        <w:t xml:space="preserve"> [2017] IEHC 155). </w:t>
      </w:r>
      <w:r w:rsidR="00B8261C" w:rsidRPr="00E32300">
        <w:rPr>
          <w:color w:val="000000"/>
        </w:rPr>
        <w:t xml:space="preserve">Particular </w:t>
      </w:r>
      <w:r w:rsidR="00082FAE">
        <w:rPr>
          <w:color w:val="000000"/>
        </w:rPr>
        <w:t>r</w:t>
      </w:r>
      <w:r w:rsidR="00B8261C" w:rsidRPr="00E32300">
        <w:rPr>
          <w:color w:val="000000"/>
        </w:rPr>
        <w:t xml:space="preserve">eliance was placed by the defendant on the decision of </w:t>
      </w:r>
      <w:r>
        <w:rPr>
          <w:color w:val="000000"/>
        </w:rPr>
        <w:t xml:space="preserve">McDonald J. in </w:t>
      </w:r>
      <w:r w:rsidRPr="000F17A2">
        <w:rPr>
          <w:i/>
          <w:color w:val="000000"/>
        </w:rPr>
        <w:t>McCarthy v. Mo</w:t>
      </w:r>
      <w:r w:rsidR="00B8261C" w:rsidRPr="000F17A2">
        <w:rPr>
          <w:i/>
          <w:color w:val="000000"/>
        </w:rPr>
        <w:t>roney</w:t>
      </w:r>
      <w:r w:rsidR="00B8261C" w:rsidRPr="00E32300">
        <w:rPr>
          <w:color w:val="000000"/>
        </w:rPr>
        <w:t xml:space="preserve"> </w:t>
      </w:r>
      <w:r>
        <w:rPr>
          <w:color w:val="000000"/>
        </w:rPr>
        <w:t>(above)</w:t>
      </w:r>
      <w:r w:rsidR="00B8261C" w:rsidRPr="00E32300">
        <w:rPr>
          <w:color w:val="000000"/>
        </w:rPr>
        <w:t xml:space="preserve"> in which it was held that</w:t>
      </w:r>
      <w:r>
        <w:rPr>
          <w:color w:val="000000"/>
        </w:rPr>
        <w:t>,</w:t>
      </w:r>
      <w:r w:rsidR="00B8261C" w:rsidRPr="00E32300">
        <w:rPr>
          <w:color w:val="000000"/>
        </w:rPr>
        <w:t xml:space="preserve"> w</w:t>
      </w:r>
      <w:r>
        <w:rPr>
          <w:color w:val="000000"/>
        </w:rPr>
        <w:t>here a mortgage allowed</w:t>
      </w:r>
      <w:r w:rsidR="00B8261C" w:rsidRPr="00E32300">
        <w:rPr>
          <w:color w:val="000000"/>
        </w:rPr>
        <w:t xml:space="preserve"> for the appointment of a receiver and manager and conferr</w:t>
      </w:r>
      <w:r>
        <w:rPr>
          <w:color w:val="000000"/>
        </w:rPr>
        <w:t xml:space="preserve">ed extensive additional powers on the person so </w:t>
      </w:r>
      <w:r w:rsidR="00B8261C" w:rsidRPr="00E32300">
        <w:rPr>
          <w:color w:val="000000"/>
        </w:rPr>
        <w:t>appointed</w:t>
      </w:r>
      <w:r>
        <w:rPr>
          <w:color w:val="000000"/>
        </w:rPr>
        <w:t xml:space="preserve">, the appointment of a receiver </w:t>
      </w:r>
      <w:r w:rsidRPr="000107EC">
        <w:rPr>
          <w:i/>
          <w:color w:val="000000"/>
        </w:rPr>
        <w:t>simpliciter</w:t>
      </w:r>
      <w:r w:rsidR="00B8261C" w:rsidRPr="00E32300">
        <w:rPr>
          <w:color w:val="000000"/>
        </w:rPr>
        <w:t xml:space="preserve"> did not carry with it the broader suite of powers under the mortgage and the person so appointed was confined to the exercise of th</w:t>
      </w:r>
      <w:r>
        <w:rPr>
          <w:color w:val="000000"/>
        </w:rPr>
        <w:t>e statutory powers under s. 19(1)(iii).</w:t>
      </w:r>
    </w:p>
    <w:p w14:paraId="3EB7291E" w14:textId="0B247C8A" w:rsidR="000812E5" w:rsidRDefault="000F17A2" w:rsidP="00A93FD5">
      <w:pPr>
        <w:pStyle w:val="NormalWeb"/>
        <w:numPr>
          <w:ilvl w:val="0"/>
          <w:numId w:val="1"/>
        </w:numPr>
        <w:spacing w:before="0" w:beforeAutospacing="0" w:after="0" w:afterAutospacing="0" w:line="480" w:lineRule="auto"/>
        <w:ind w:left="0" w:firstLine="0"/>
        <w:jc w:val="both"/>
        <w:rPr>
          <w:color w:val="000000"/>
        </w:rPr>
      </w:pPr>
      <w:r>
        <w:rPr>
          <w:color w:val="000000"/>
        </w:rPr>
        <w:t>T</w:t>
      </w:r>
      <w:r w:rsidR="00B8261C" w:rsidRPr="00292C34">
        <w:rPr>
          <w:color w:val="000000"/>
        </w:rPr>
        <w:t>he plaintiffs contended</w:t>
      </w:r>
      <w:r>
        <w:rPr>
          <w:color w:val="000000"/>
        </w:rPr>
        <w:t xml:space="preserve"> that,</w:t>
      </w:r>
      <w:r w:rsidR="00B8261C" w:rsidRPr="00292C34">
        <w:rPr>
          <w:color w:val="000000"/>
        </w:rPr>
        <w:t xml:space="preserve"> insofar as there had been some divergence </w:t>
      </w:r>
      <w:r>
        <w:rPr>
          <w:color w:val="000000"/>
        </w:rPr>
        <w:t>in judicial views on this issue, t</w:t>
      </w:r>
      <w:r w:rsidR="00B8261C" w:rsidRPr="00292C34">
        <w:rPr>
          <w:color w:val="000000"/>
        </w:rPr>
        <w:t>he matter was now definitively settled by the judg</w:t>
      </w:r>
      <w:r>
        <w:rPr>
          <w:color w:val="000000"/>
        </w:rPr>
        <w:t>ment of Murra</w:t>
      </w:r>
      <w:r w:rsidR="00B8261C" w:rsidRPr="00292C34">
        <w:rPr>
          <w:color w:val="000000"/>
        </w:rPr>
        <w:t>y J</w:t>
      </w:r>
      <w:r>
        <w:rPr>
          <w:color w:val="000000"/>
        </w:rPr>
        <w:t xml:space="preserve">. </w:t>
      </w:r>
      <w:r w:rsidR="000575AD">
        <w:rPr>
          <w:color w:val="000000"/>
        </w:rPr>
        <w:t xml:space="preserve">in the Court of Appeal </w:t>
      </w:r>
      <w:r>
        <w:rPr>
          <w:color w:val="000000"/>
        </w:rPr>
        <w:t xml:space="preserve">in </w:t>
      </w:r>
      <w:r>
        <w:rPr>
          <w:i/>
          <w:color w:val="000000"/>
        </w:rPr>
        <w:t>Fennell v. Corrigan</w:t>
      </w:r>
      <w:r>
        <w:rPr>
          <w:color w:val="000000"/>
        </w:rPr>
        <w:t xml:space="preserve"> (above). This is also a receiver/</w:t>
      </w:r>
      <w:r w:rsidR="00281768">
        <w:rPr>
          <w:color w:val="000000"/>
        </w:rPr>
        <w:t xml:space="preserve"> </w:t>
      </w:r>
      <w:r>
        <w:rPr>
          <w:color w:val="000000"/>
        </w:rPr>
        <w:t>receiver and manager case,</w:t>
      </w:r>
      <w:r w:rsidR="00B8261C" w:rsidRPr="00292C34">
        <w:rPr>
          <w:color w:val="000000"/>
        </w:rPr>
        <w:t xml:space="preserve"> bu</w:t>
      </w:r>
      <w:r>
        <w:rPr>
          <w:color w:val="000000"/>
        </w:rPr>
        <w:t xml:space="preserve">t the judgment goes to some lengths to </w:t>
      </w:r>
      <w:proofErr w:type="spellStart"/>
      <w:r>
        <w:rPr>
          <w:color w:val="000000"/>
        </w:rPr>
        <w:t>analys</w:t>
      </w:r>
      <w:r w:rsidR="00B8261C" w:rsidRPr="00292C34">
        <w:rPr>
          <w:color w:val="000000"/>
        </w:rPr>
        <w:t>e</w:t>
      </w:r>
      <w:proofErr w:type="spellEnd"/>
      <w:r w:rsidR="00B8261C" w:rsidRPr="00292C34">
        <w:rPr>
          <w:color w:val="000000"/>
        </w:rPr>
        <w:t xml:space="preserve"> the underlying rationale for the distinction</w:t>
      </w:r>
      <w:r>
        <w:rPr>
          <w:color w:val="000000"/>
        </w:rPr>
        <w:t xml:space="preserve">s drawn by </w:t>
      </w:r>
      <w:r>
        <w:rPr>
          <w:color w:val="000000"/>
        </w:rPr>
        <w:lastRenderedPageBreak/>
        <w:t>various judgments</w:t>
      </w:r>
      <w:r w:rsidR="00B8261C" w:rsidRPr="00292C34">
        <w:rPr>
          <w:color w:val="000000"/>
        </w:rPr>
        <w:t xml:space="preserve"> which included variatio</w:t>
      </w:r>
      <w:r>
        <w:rPr>
          <w:color w:val="000000"/>
        </w:rPr>
        <w:t>ns in the threshold to be met at interlocutory stag</w:t>
      </w:r>
      <w:r w:rsidR="00B8261C" w:rsidRPr="00292C34">
        <w:rPr>
          <w:color w:val="000000"/>
        </w:rPr>
        <w:t>e and th</w:t>
      </w:r>
      <w:r>
        <w:rPr>
          <w:color w:val="000000"/>
        </w:rPr>
        <w:t>e fact that certain judgments (e.g. that of</w:t>
      </w:r>
      <w:r w:rsidR="00B8261C" w:rsidRPr="00292C34">
        <w:rPr>
          <w:color w:val="000000"/>
        </w:rPr>
        <w:t xml:space="preserve"> </w:t>
      </w:r>
      <w:r>
        <w:rPr>
          <w:color w:val="000000"/>
        </w:rPr>
        <w:t xml:space="preserve">Allen J. </w:t>
      </w:r>
      <w:r w:rsidR="00B8261C" w:rsidRPr="00292C34">
        <w:rPr>
          <w:color w:val="000000"/>
        </w:rPr>
        <w:t xml:space="preserve">in </w:t>
      </w:r>
      <w:r w:rsidR="00B8261C" w:rsidRPr="000F17A2">
        <w:rPr>
          <w:i/>
          <w:color w:val="000000"/>
        </w:rPr>
        <w:t>McCarthy</w:t>
      </w:r>
      <w:r>
        <w:rPr>
          <w:i/>
          <w:color w:val="000000"/>
        </w:rPr>
        <w:t xml:space="preserve"> v. </w:t>
      </w:r>
      <w:proofErr w:type="spellStart"/>
      <w:r>
        <w:rPr>
          <w:i/>
          <w:color w:val="000000"/>
        </w:rPr>
        <w:t>Langan</w:t>
      </w:r>
      <w:proofErr w:type="spellEnd"/>
      <w:r>
        <w:rPr>
          <w:i/>
          <w:color w:val="000000"/>
        </w:rPr>
        <w:t xml:space="preserve"> </w:t>
      </w:r>
      <w:r>
        <w:rPr>
          <w:color w:val="000000"/>
        </w:rPr>
        <w:t>[2019] IEHC 651</w:t>
      </w:r>
      <w:r w:rsidR="000575AD">
        <w:rPr>
          <w:color w:val="000000"/>
        </w:rPr>
        <w:t>)</w:t>
      </w:r>
      <w:r>
        <w:rPr>
          <w:color w:val="000000"/>
        </w:rPr>
        <w:t xml:space="preserve"> </w:t>
      </w:r>
      <w:r w:rsidR="00B8261C" w:rsidRPr="00292C34">
        <w:rPr>
          <w:color w:val="000000"/>
        </w:rPr>
        <w:t>were delivered at the conclusion of a substantive trial</w:t>
      </w:r>
      <w:r>
        <w:rPr>
          <w:color w:val="000000"/>
        </w:rPr>
        <w:t xml:space="preserve"> rather than an interlocutory h</w:t>
      </w:r>
      <w:r w:rsidR="00B8261C" w:rsidRPr="00292C34">
        <w:rPr>
          <w:color w:val="000000"/>
        </w:rPr>
        <w:t>earing</w:t>
      </w:r>
      <w:r>
        <w:rPr>
          <w:color w:val="000000"/>
        </w:rPr>
        <w:t>.</w:t>
      </w:r>
      <w:r w:rsidR="00B8261C" w:rsidRPr="00292C34">
        <w:rPr>
          <w:color w:val="000000"/>
        </w:rPr>
        <w:t xml:space="preserve"> </w:t>
      </w:r>
      <w:r>
        <w:rPr>
          <w:color w:val="000000"/>
        </w:rPr>
        <w:t>Ultimately,</w:t>
      </w:r>
      <w:r w:rsidR="00B8261C" w:rsidRPr="00292C34">
        <w:rPr>
          <w:color w:val="000000"/>
        </w:rPr>
        <w:t xml:space="preserve"> </w:t>
      </w:r>
      <w:r>
        <w:rPr>
          <w:color w:val="000000"/>
        </w:rPr>
        <w:t xml:space="preserve">Murray J. </w:t>
      </w:r>
      <w:r w:rsidR="00B8261C" w:rsidRPr="00292C34">
        <w:rPr>
          <w:color w:val="000000"/>
        </w:rPr>
        <w:t>regarded the issue as one dependent on the proper construction of the mortgage deed and the deed of appointment in each case</w:t>
      </w:r>
      <w:r w:rsidR="000575AD">
        <w:rPr>
          <w:color w:val="000000"/>
        </w:rPr>
        <w:t xml:space="preserve">. </w:t>
      </w:r>
      <w:r w:rsidR="00B8261C" w:rsidRPr="00292C34">
        <w:rPr>
          <w:color w:val="000000"/>
        </w:rPr>
        <w:t xml:space="preserve"> </w:t>
      </w:r>
      <w:r w:rsidR="000575AD">
        <w:rPr>
          <w:color w:val="000000"/>
        </w:rPr>
        <w:t>T</w:t>
      </w:r>
      <w:r w:rsidR="00B8261C" w:rsidRPr="00292C34">
        <w:rPr>
          <w:color w:val="000000"/>
        </w:rPr>
        <w:t xml:space="preserve">he approach </w:t>
      </w:r>
      <w:r w:rsidR="000575AD">
        <w:rPr>
          <w:color w:val="000000"/>
        </w:rPr>
        <w:t xml:space="preserve">to be taken to the construction of such contractual documents was </w:t>
      </w:r>
      <w:r w:rsidR="00B8261C" w:rsidRPr="00292C34">
        <w:rPr>
          <w:color w:val="000000"/>
        </w:rPr>
        <w:t xml:space="preserve">described by </w:t>
      </w:r>
      <w:r>
        <w:rPr>
          <w:color w:val="000000"/>
        </w:rPr>
        <w:t>Clarke</w:t>
      </w:r>
      <w:r w:rsidR="00B8261C" w:rsidRPr="00292C34">
        <w:rPr>
          <w:color w:val="000000"/>
        </w:rPr>
        <w:t xml:space="preserve"> </w:t>
      </w:r>
      <w:r>
        <w:rPr>
          <w:color w:val="000000"/>
        </w:rPr>
        <w:t>C.</w:t>
      </w:r>
      <w:r w:rsidR="00B8261C" w:rsidRPr="00292C34">
        <w:rPr>
          <w:color w:val="000000"/>
        </w:rPr>
        <w:t>J</w:t>
      </w:r>
      <w:r>
        <w:rPr>
          <w:color w:val="000000"/>
        </w:rPr>
        <w:t xml:space="preserve">. </w:t>
      </w:r>
      <w:r w:rsidR="00281768">
        <w:rPr>
          <w:color w:val="000000"/>
        </w:rPr>
        <w:t xml:space="preserve">in </w:t>
      </w:r>
      <w:r w:rsidR="00281768">
        <w:rPr>
          <w:i/>
          <w:iCs/>
          <w:color w:val="000000"/>
        </w:rPr>
        <w:t xml:space="preserve">Jackie Greene Construction Ltd v Irish Nationwide Building Society </w:t>
      </w:r>
      <w:r w:rsidR="00281768">
        <w:rPr>
          <w:color w:val="000000"/>
        </w:rPr>
        <w:t xml:space="preserve">[2019] IESC 2 </w:t>
      </w:r>
      <w:r>
        <w:rPr>
          <w:color w:val="000000"/>
        </w:rPr>
        <w:t xml:space="preserve">as </w:t>
      </w:r>
      <w:r w:rsidRPr="000F17A2">
        <w:rPr>
          <w:i/>
          <w:color w:val="000000"/>
        </w:rPr>
        <w:t>“</w:t>
      </w:r>
      <w:r w:rsidR="00B8261C" w:rsidRPr="000F17A2">
        <w:rPr>
          <w:i/>
          <w:color w:val="000000"/>
        </w:rPr>
        <w:t>text in context</w:t>
      </w:r>
      <w:r w:rsidRPr="000F17A2">
        <w:rPr>
          <w:i/>
          <w:color w:val="000000"/>
        </w:rPr>
        <w:t>”</w:t>
      </w:r>
      <w:r>
        <w:rPr>
          <w:color w:val="000000"/>
        </w:rPr>
        <w:t>. This was summari</w:t>
      </w:r>
      <w:r w:rsidR="00252169">
        <w:rPr>
          <w:color w:val="000000"/>
        </w:rPr>
        <w:t>z</w:t>
      </w:r>
      <w:r w:rsidR="00B8261C" w:rsidRPr="00292C34">
        <w:rPr>
          <w:color w:val="000000"/>
        </w:rPr>
        <w:t xml:space="preserve">ed </w:t>
      </w:r>
      <w:r w:rsidR="000575AD">
        <w:rPr>
          <w:color w:val="000000"/>
        </w:rPr>
        <w:t xml:space="preserve">by Murray J. </w:t>
      </w:r>
      <w:r w:rsidR="00B8261C" w:rsidRPr="00292C34">
        <w:rPr>
          <w:color w:val="000000"/>
        </w:rPr>
        <w:t xml:space="preserve">as requiring a court to </w:t>
      </w:r>
      <w:r>
        <w:rPr>
          <w:i/>
          <w:color w:val="000000"/>
        </w:rPr>
        <w:t>“approach</w:t>
      </w:r>
      <w:r w:rsidR="00B8261C" w:rsidRPr="00292C34">
        <w:rPr>
          <w:color w:val="000000"/>
        </w:rPr>
        <w:t xml:space="preserve"> </w:t>
      </w:r>
      <w:r w:rsidR="00B8261C" w:rsidRPr="000F17A2">
        <w:rPr>
          <w:i/>
          <w:color w:val="000000"/>
        </w:rPr>
        <w:t>the document being interpreted on the basis that governing legal rights and obligations sh</w:t>
      </w:r>
      <w:r w:rsidRPr="000F17A2">
        <w:rPr>
          <w:i/>
          <w:color w:val="000000"/>
        </w:rPr>
        <w:t>ould be interpreted as they would</w:t>
      </w:r>
      <w:r w:rsidR="00B8261C" w:rsidRPr="000F17A2">
        <w:rPr>
          <w:i/>
          <w:color w:val="000000"/>
        </w:rPr>
        <w:t xml:space="preserve"> be understood by </w:t>
      </w:r>
      <w:r w:rsidRPr="000F17A2">
        <w:rPr>
          <w:i/>
          <w:color w:val="000000"/>
        </w:rPr>
        <w:t xml:space="preserve">a </w:t>
      </w:r>
      <w:r w:rsidR="00B8261C" w:rsidRPr="000F17A2">
        <w:rPr>
          <w:i/>
          <w:color w:val="000000"/>
        </w:rPr>
        <w:t>reasonable and informed me</w:t>
      </w:r>
      <w:r w:rsidRPr="000F17A2">
        <w:rPr>
          <w:i/>
          <w:color w:val="000000"/>
        </w:rPr>
        <w:t xml:space="preserve">mber of the public who is </w:t>
      </w:r>
      <w:proofErr w:type="spellStart"/>
      <w:r w:rsidRPr="000F17A2">
        <w:rPr>
          <w:i/>
          <w:color w:val="000000"/>
        </w:rPr>
        <w:t>cognisant</w:t>
      </w:r>
      <w:proofErr w:type="spellEnd"/>
      <w:r w:rsidRPr="000F17A2">
        <w:rPr>
          <w:i/>
          <w:color w:val="000000"/>
        </w:rPr>
        <w:t xml:space="preserve"> of the purpose and intent of,</w:t>
      </w:r>
      <w:r w:rsidR="00B8261C" w:rsidRPr="000F17A2">
        <w:rPr>
          <w:i/>
          <w:color w:val="000000"/>
        </w:rPr>
        <w:t xml:space="preserve"> and background to</w:t>
      </w:r>
      <w:r w:rsidR="00281768">
        <w:rPr>
          <w:i/>
          <w:color w:val="000000"/>
        </w:rPr>
        <w:t>,</w:t>
      </w:r>
      <w:r w:rsidR="00B8261C" w:rsidRPr="000F17A2">
        <w:rPr>
          <w:i/>
          <w:color w:val="000000"/>
        </w:rPr>
        <w:t xml:space="preserve"> the documents in question</w:t>
      </w:r>
      <w:r w:rsidRPr="000F17A2">
        <w:rPr>
          <w:i/>
          <w:color w:val="000000"/>
        </w:rPr>
        <w:t>”</w:t>
      </w:r>
      <w:r w:rsidR="00B8261C" w:rsidRPr="00292C34">
        <w:rPr>
          <w:color w:val="000000"/>
        </w:rPr>
        <w:t xml:space="preserve"> </w:t>
      </w:r>
      <w:r>
        <w:rPr>
          <w:color w:val="000000"/>
        </w:rPr>
        <w:t>(see para.</w:t>
      </w:r>
      <w:r w:rsidR="00B8261C" w:rsidRPr="00292C34">
        <w:rPr>
          <w:color w:val="000000"/>
        </w:rPr>
        <w:t xml:space="preserve"> 30</w:t>
      </w:r>
      <w:r>
        <w:rPr>
          <w:color w:val="000000"/>
        </w:rPr>
        <w:t>). I</w:t>
      </w:r>
      <w:r w:rsidR="00B8261C" w:rsidRPr="00292C34">
        <w:rPr>
          <w:color w:val="000000"/>
        </w:rPr>
        <w:t>n the context of a dispu</w:t>
      </w:r>
      <w:r>
        <w:rPr>
          <w:color w:val="000000"/>
        </w:rPr>
        <w:t xml:space="preserve">te as to whether a deed appointing somebody to act as a </w:t>
      </w:r>
      <w:r>
        <w:rPr>
          <w:i/>
          <w:color w:val="000000"/>
        </w:rPr>
        <w:t>“</w:t>
      </w:r>
      <w:r w:rsidR="00B8261C" w:rsidRPr="000F17A2">
        <w:rPr>
          <w:i/>
          <w:color w:val="000000"/>
        </w:rPr>
        <w:t>receiver</w:t>
      </w:r>
      <w:r w:rsidRPr="000F17A2">
        <w:rPr>
          <w:i/>
          <w:color w:val="000000"/>
        </w:rPr>
        <w:t>”</w:t>
      </w:r>
      <w:r w:rsidR="00BD0224">
        <w:rPr>
          <w:color w:val="000000"/>
        </w:rPr>
        <w:t xml:space="preserve"> was effective to confer on</w:t>
      </w:r>
      <w:r w:rsidR="00B8261C" w:rsidRPr="00292C34">
        <w:rPr>
          <w:color w:val="000000"/>
        </w:rPr>
        <w:t xml:space="preserve"> that person the powers of a </w:t>
      </w:r>
      <w:r w:rsidR="00BD0224" w:rsidRPr="00BD0224">
        <w:rPr>
          <w:i/>
          <w:color w:val="000000"/>
        </w:rPr>
        <w:t>“receiver and manager”</w:t>
      </w:r>
      <w:r w:rsidR="00BD0224">
        <w:rPr>
          <w:color w:val="000000"/>
        </w:rPr>
        <w:t>, Murray J. noted that</w:t>
      </w:r>
      <w:r w:rsidR="00B8261C" w:rsidRPr="00292C34">
        <w:rPr>
          <w:color w:val="000000"/>
        </w:rPr>
        <w:t xml:space="preserve"> the starting point should be</w:t>
      </w:r>
      <w:r w:rsidR="00BD0224">
        <w:rPr>
          <w:color w:val="000000"/>
        </w:rPr>
        <w:t xml:space="preserve"> </w:t>
      </w:r>
      <w:r w:rsidR="00BD0224" w:rsidRPr="00BD0224">
        <w:rPr>
          <w:i/>
          <w:color w:val="000000"/>
        </w:rPr>
        <w:t>“</w:t>
      </w:r>
      <w:r w:rsidR="00B8261C" w:rsidRPr="00BD0224">
        <w:rPr>
          <w:i/>
          <w:color w:val="000000"/>
        </w:rPr>
        <w:t xml:space="preserve">that language used in that deed was intended by the parties to carry the same meaning as </w:t>
      </w:r>
      <w:r w:rsidR="00281768">
        <w:rPr>
          <w:i/>
          <w:color w:val="000000"/>
        </w:rPr>
        <w:t>it bears</w:t>
      </w:r>
      <w:r w:rsidR="00281768" w:rsidRPr="00BD0224">
        <w:rPr>
          <w:i/>
          <w:color w:val="000000"/>
        </w:rPr>
        <w:t xml:space="preserve"> </w:t>
      </w:r>
      <w:r w:rsidR="00BD0224" w:rsidRPr="00BD0224">
        <w:rPr>
          <w:i/>
          <w:color w:val="000000"/>
        </w:rPr>
        <w:t>in the mortgage agreement on foot of which the appointment was made”</w:t>
      </w:r>
      <w:r w:rsidR="00BD0224">
        <w:rPr>
          <w:color w:val="000000"/>
        </w:rPr>
        <w:t xml:space="preserve">. Thus, whilst it </w:t>
      </w:r>
      <w:r w:rsidR="00B8261C" w:rsidRPr="00BD0224">
        <w:rPr>
          <w:color w:val="000000"/>
        </w:rPr>
        <w:t xml:space="preserve">might have been more </w:t>
      </w:r>
      <w:r w:rsidR="00BD0224">
        <w:rPr>
          <w:color w:val="000000"/>
        </w:rPr>
        <w:t xml:space="preserve">prudent for </w:t>
      </w:r>
      <w:r w:rsidR="00B8261C" w:rsidRPr="00BD0224">
        <w:rPr>
          <w:color w:val="000000"/>
        </w:rPr>
        <w:t xml:space="preserve">the deed of appointment to </w:t>
      </w:r>
      <w:r w:rsidR="00BD0224">
        <w:rPr>
          <w:color w:val="000000"/>
        </w:rPr>
        <w:t xml:space="preserve">have </w:t>
      </w:r>
      <w:r w:rsidR="00B8261C" w:rsidRPr="00BD0224">
        <w:rPr>
          <w:color w:val="000000"/>
        </w:rPr>
        <w:t>describe</w:t>
      </w:r>
      <w:r w:rsidR="00BD0224">
        <w:rPr>
          <w:color w:val="000000"/>
        </w:rPr>
        <w:t>d</w:t>
      </w:r>
      <w:r w:rsidR="00B8261C" w:rsidRPr="00BD0224">
        <w:rPr>
          <w:color w:val="000000"/>
        </w:rPr>
        <w:t xml:space="preserve"> the appointee as a</w:t>
      </w:r>
      <w:r w:rsidR="00BD0224">
        <w:rPr>
          <w:color w:val="000000"/>
        </w:rPr>
        <w:t xml:space="preserve"> </w:t>
      </w:r>
      <w:r w:rsidR="00BD0224">
        <w:rPr>
          <w:i/>
          <w:color w:val="000000"/>
        </w:rPr>
        <w:t>“</w:t>
      </w:r>
      <w:r w:rsidR="00B8261C" w:rsidRPr="00BD0224">
        <w:rPr>
          <w:i/>
          <w:color w:val="000000"/>
        </w:rPr>
        <w:t>receiver and manager</w:t>
      </w:r>
      <w:r w:rsidR="00BD0224" w:rsidRPr="00BD0224">
        <w:rPr>
          <w:i/>
          <w:color w:val="000000"/>
        </w:rPr>
        <w:t>”</w:t>
      </w:r>
      <w:r w:rsidR="00BD0224">
        <w:rPr>
          <w:color w:val="000000"/>
        </w:rPr>
        <w:t>, given that a</w:t>
      </w:r>
      <w:r w:rsidR="00B8261C" w:rsidRPr="00BD0224">
        <w:rPr>
          <w:color w:val="000000"/>
        </w:rPr>
        <w:t xml:space="preserve"> rece</w:t>
      </w:r>
      <w:r w:rsidR="00BD0224">
        <w:rPr>
          <w:color w:val="000000"/>
        </w:rPr>
        <w:t>iver and manager is a receiver with</w:t>
      </w:r>
      <w:r w:rsidR="00B8261C" w:rsidRPr="00BD0224">
        <w:rPr>
          <w:color w:val="000000"/>
        </w:rPr>
        <w:t xml:space="preserve"> powers of management</w:t>
      </w:r>
      <w:r w:rsidR="00BD0224">
        <w:rPr>
          <w:color w:val="000000"/>
        </w:rPr>
        <w:t>,</w:t>
      </w:r>
      <w:r w:rsidR="00B8261C" w:rsidRPr="00BD0224">
        <w:rPr>
          <w:color w:val="000000"/>
        </w:rPr>
        <w:t xml:space="preserve"> the</w:t>
      </w:r>
      <w:r w:rsidR="00BD0224">
        <w:rPr>
          <w:color w:val="000000"/>
        </w:rPr>
        <w:t xml:space="preserve"> appointment of a personal </w:t>
      </w:r>
      <w:r w:rsidR="00BD0224">
        <w:rPr>
          <w:i/>
          <w:color w:val="000000"/>
        </w:rPr>
        <w:t>qua</w:t>
      </w:r>
      <w:r w:rsidR="00B8261C" w:rsidRPr="00BD0224">
        <w:rPr>
          <w:color w:val="000000"/>
        </w:rPr>
        <w:t xml:space="preserve"> receiver by an instrum</w:t>
      </w:r>
      <w:r w:rsidR="00BD0224">
        <w:rPr>
          <w:color w:val="000000"/>
        </w:rPr>
        <w:t xml:space="preserve">ent which properly construed had </w:t>
      </w:r>
      <w:r w:rsidR="00B8261C" w:rsidRPr="00BD0224">
        <w:rPr>
          <w:color w:val="000000"/>
        </w:rPr>
        <w:t>the effect of conferring on him powers of management achieve</w:t>
      </w:r>
      <w:r w:rsidR="00BD0224">
        <w:rPr>
          <w:color w:val="000000"/>
        </w:rPr>
        <w:t xml:space="preserve">d the same end (see para. </w:t>
      </w:r>
      <w:r w:rsidR="00B8261C" w:rsidRPr="00BD0224">
        <w:rPr>
          <w:color w:val="000000"/>
        </w:rPr>
        <w:t>43</w:t>
      </w:r>
      <w:r w:rsidR="008F769A">
        <w:rPr>
          <w:color w:val="000000"/>
        </w:rPr>
        <w:t>). All of this led Murray J.</w:t>
      </w:r>
      <w:r w:rsidR="00B8261C" w:rsidRPr="00BD0224">
        <w:rPr>
          <w:color w:val="000000"/>
        </w:rPr>
        <w:t xml:space="preserve"> to the conclusion that the authorities to the effect that the </w:t>
      </w:r>
      <w:r w:rsidR="000812E5">
        <w:rPr>
          <w:color w:val="000000"/>
        </w:rPr>
        <w:t>terms of a mortgage relati</w:t>
      </w:r>
      <w:r w:rsidR="00B8261C" w:rsidRPr="00BD0224">
        <w:rPr>
          <w:color w:val="000000"/>
        </w:rPr>
        <w:t>n</w:t>
      </w:r>
      <w:r w:rsidR="000812E5">
        <w:rPr>
          <w:color w:val="000000"/>
        </w:rPr>
        <w:t>g</w:t>
      </w:r>
      <w:r w:rsidR="00B8261C" w:rsidRPr="00BD0224">
        <w:rPr>
          <w:color w:val="000000"/>
        </w:rPr>
        <w:t xml:space="preserve"> to the appointment of a receiver mus</w:t>
      </w:r>
      <w:r w:rsidR="000812E5">
        <w:rPr>
          <w:color w:val="000000"/>
        </w:rPr>
        <w:t xml:space="preserve">t be strictly complied with </w:t>
      </w:r>
      <w:r w:rsidR="000812E5" w:rsidRPr="000812E5">
        <w:rPr>
          <w:i/>
          <w:color w:val="000000"/>
        </w:rPr>
        <w:t>“</w:t>
      </w:r>
      <w:r w:rsidR="00B8261C" w:rsidRPr="000812E5">
        <w:rPr>
          <w:i/>
          <w:color w:val="000000"/>
        </w:rPr>
        <w:t>w</w:t>
      </w:r>
      <w:r w:rsidR="000812E5" w:rsidRPr="000812E5">
        <w:rPr>
          <w:i/>
          <w:color w:val="000000"/>
        </w:rPr>
        <w:t xml:space="preserve">ere concerned with the point when, </w:t>
      </w:r>
      <w:r w:rsidR="00B8261C" w:rsidRPr="000812E5">
        <w:rPr>
          <w:i/>
          <w:color w:val="000000"/>
        </w:rPr>
        <w:t>or the manner in which</w:t>
      </w:r>
      <w:r w:rsidR="00281768">
        <w:rPr>
          <w:i/>
          <w:color w:val="000000"/>
        </w:rPr>
        <w:t>,</w:t>
      </w:r>
      <w:r w:rsidR="00B8261C" w:rsidRPr="000812E5">
        <w:rPr>
          <w:i/>
          <w:color w:val="000000"/>
        </w:rPr>
        <w:t xml:space="preserve"> the deed was executed</w:t>
      </w:r>
      <w:r w:rsidR="000812E5" w:rsidRPr="000812E5">
        <w:rPr>
          <w:i/>
          <w:color w:val="000000"/>
        </w:rPr>
        <w:t>”</w:t>
      </w:r>
      <w:r w:rsidR="000812E5">
        <w:rPr>
          <w:color w:val="000000"/>
        </w:rPr>
        <w:t xml:space="preserve"> and not </w:t>
      </w:r>
      <w:r w:rsidR="00B8261C" w:rsidRPr="00BD0224">
        <w:rPr>
          <w:color w:val="000000"/>
        </w:rPr>
        <w:t>concern</w:t>
      </w:r>
      <w:r w:rsidR="000812E5">
        <w:rPr>
          <w:color w:val="000000"/>
        </w:rPr>
        <w:t>ed</w:t>
      </w:r>
      <w:r w:rsidR="00B8261C" w:rsidRPr="00BD0224">
        <w:rPr>
          <w:color w:val="000000"/>
        </w:rPr>
        <w:t xml:space="preserve"> </w:t>
      </w:r>
      <w:r w:rsidR="000812E5">
        <w:rPr>
          <w:i/>
          <w:color w:val="000000"/>
        </w:rPr>
        <w:t>“</w:t>
      </w:r>
      <w:r w:rsidR="000812E5" w:rsidRPr="000812E5">
        <w:rPr>
          <w:i/>
          <w:color w:val="000000"/>
        </w:rPr>
        <w:t>with the terms i</w:t>
      </w:r>
      <w:r w:rsidR="00B8261C" w:rsidRPr="000812E5">
        <w:rPr>
          <w:i/>
          <w:color w:val="000000"/>
        </w:rPr>
        <w:t>n which the appointment was expressed</w:t>
      </w:r>
      <w:r w:rsidR="000812E5" w:rsidRPr="000812E5">
        <w:rPr>
          <w:i/>
          <w:color w:val="000000"/>
        </w:rPr>
        <w:t>”</w:t>
      </w:r>
      <w:r w:rsidR="000812E5">
        <w:rPr>
          <w:color w:val="000000"/>
        </w:rPr>
        <w:t>.</w:t>
      </w:r>
    </w:p>
    <w:p w14:paraId="13B14216" w14:textId="77777777" w:rsidR="00617953" w:rsidRDefault="00B8261C" w:rsidP="00A93FD5">
      <w:pPr>
        <w:pStyle w:val="NormalWeb"/>
        <w:numPr>
          <w:ilvl w:val="0"/>
          <w:numId w:val="1"/>
        </w:numPr>
        <w:spacing w:before="0" w:beforeAutospacing="0" w:after="0" w:afterAutospacing="0" w:line="480" w:lineRule="auto"/>
        <w:ind w:left="0" w:firstLine="0"/>
        <w:jc w:val="both"/>
        <w:rPr>
          <w:color w:val="000000"/>
        </w:rPr>
      </w:pPr>
      <w:r w:rsidRPr="00BD0224">
        <w:rPr>
          <w:color w:val="000000"/>
        </w:rPr>
        <w:lastRenderedPageBreak/>
        <w:t xml:space="preserve"> </w:t>
      </w:r>
      <w:r w:rsidR="000812E5">
        <w:rPr>
          <w:color w:val="000000"/>
        </w:rPr>
        <w:t>Applying that rational</w:t>
      </w:r>
      <w:r w:rsidR="000575AD">
        <w:rPr>
          <w:color w:val="000000"/>
        </w:rPr>
        <w:t>e</w:t>
      </w:r>
      <w:r w:rsidR="000812E5">
        <w:rPr>
          <w:color w:val="000000"/>
        </w:rPr>
        <w:t xml:space="preserve"> to</w:t>
      </w:r>
      <w:r w:rsidRPr="00BD0224">
        <w:rPr>
          <w:color w:val="000000"/>
        </w:rPr>
        <w:t xml:space="preserve"> this case</w:t>
      </w:r>
      <w:r w:rsidR="000812E5">
        <w:rPr>
          <w:color w:val="000000"/>
        </w:rPr>
        <w:t>, it seems to me that the plaintiffs</w:t>
      </w:r>
      <w:r w:rsidRPr="00BD0224">
        <w:rPr>
          <w:color w:val="000000"/>
        </w:rPr>
        <w:t xml:space="preserve"> are correct in saying that as long as the formal requirements </w:t>
      </w:r>
      <w:r w:rsidR="000575AD">
        <w:rPr>
          <w:color w:val="000000"/>
        </w:rPr>
        <w:t>for</w:t>
      </w:r>
      <w:r w:rsidRPr="00BD0224">
        <w:rPr>
          <w:color w:val="000000"/>
        </w:rPr>
        <w:t xml:space="preserve"> t</w:t>
      </w:r>
      <w:r w:rsidR="000812E5">
        <w:rPr>
          <w:color w:val="000000"/>
        </w:rPr>
        <w:t>he appointment of a receiver have been complied with, t</w:t>
      </w:r>
      <w:r w:rsidRPr="00BD0224">
        <w:rPr>
          <w:color w:val="000000"/>
        </w:rPr>
        <w:t xml:space="preserve">he fact that the precise wording of the deed of appointment diverges </w:t>
      </w:r>
      <w:r w:rsidR="000812E5">
        <w:rPr>
          <w:color w:val="000000"/>
        </w:rPr>
        <w:t xml:space="preserve">somewhat </w:t>
      </w:r>
      <w:r w:rsidRPr="00BD0224">
        <w:rPr>
          <w:color w:val="000000"/>
        </w:rPr>
        <w:t>from the mortgage does not undermine the validity of the appointment</w:t>
      </w:r>
      <w:r w:rsidR="000812E5">
        <w:rPr>
          <w:color w:val="000000"/>
        </w:rPr>
        <w:t>. T</w:t>
      </w:r>
      <w:r w:rsidRPr="00BD0224">
        <w:rPr>
          <w:color w:val="000000"/>
        </w:rPr>
        <w:t>he use of language which no</w:t>
      </w:r>
      <w:r w:rsidR="000575AD">
        <w:rPr>
          <w:color w:val="000000"/>
        </w:rPr>
        <w:t>minally</w:t>
      </w:r>
      <w:r w:rsidRPr="00BD0224">
        <w:rPr>
          <w:color w:val="000000"/>
        </w:rPr>
        <w:t xml:space="preserve"> </w:t>
      </w:r>
      <w:r w:rsidR="000812E5">
        <w:rPr>
          <w:color w:val="000000"/>
        </w:rPr>
        <w:t>ap</w:t>
      </w:r>
      <w:r w:rsidRPr="00BD0224">
        <w:rPr>
          <w:color w:val="000000"/>
        </w:rPr>
        <w:t>points the receiver over the propert</w:t>
      </w:r>
      <w:r w:rsidR="000812E5">
        <w:rPr>
          <w:color w:val="000000"/>
        </w:rPr>
        <w:t>ies in circumstances where</w:t>
      </w:r>
      <w:r w:rsidRPr="00BD0224">
        <w:rPr>
          <w:color w:val="000000"/>
        </w:rPr>
        <w:t xml:space="preserve"> the mortgages confer upon the receiver only the statutory power over the income of those properties does not have the effect of extending the receiver</w:t>
      </w:r>
      <w:r w:rsidR="00BF7084">
        <w:rPr>
          <w:color w:val="000000"/>
        </w:rPr>
        <w:t>’</w:t>
      </w:r>
      <w:r w:rsidRPr="00BD0224">
        <w:rPr>
          <w:color w:val="000000"/>
        </w:rPr>
        <w:t>s powers in a manner contrary to the agreement between the parties</w:t>
      </w:r>
      <w:r w:rsidR="00617953">
        <w:rPr>
          <w:color w:val="000000"/>
        </w:rPr>
        <w:t xml:space="preserve">. </w:t>
      </w:r>
      <w:r w:rsidRPr="00BD0224">
        <w:rPr>
          <w:color w:val="000000"/>
        </w:rPr>
        <w:t>I do not think that the terms of the deed of appointment create any confusion in this regard</w:t>
      </w:r>
      <w:r w:rsidR="000575AD">
        <w:rPr>
          <w:color w:val="000000"/>
        </w:rPr>
        <w:t xml:space="preserve"> and certainly should not be construed in a manner which gives rise to confusion when, as read by a reasonable and informed member of the public with some background knowledge, they would not do so</w:t>
      </w:r>
      <w:r w:rsidRPr="00BD0224">
        <w:rPr>
          <w:color w:val="000000"/>
        </w:rPr>
        <w:t>.</w:t>
      </w:r>
    </w:p>
    <w:p w14:paraId="124105D6" w14:textId="062983F0" w:rsidR="00240BE3" w:rsidRDefault="00B8261C" w:rsidP="00A93FD5">
      <w:pPr>
        <w:pStyle w:val="NormalWeb"/>
        <w:numPr>
          <w:ilvl w:val="0"/>
          <w:numId w:val="1"/>
        </w:numPr>
        <w:spacing w:before="0" w:beforeAutospacing="0" w:after="0" w:afterAutospacing="0" w:line="480" w:lineRule="auto"/>
        <w:ind w:left="0" w:firstLine="0"/>
        <w:jc w:val="both"/>
        <w:rPr>
          <w:color w:val="000000"/>
        </w:rPr>
      </w:pPr>
      <w:r w:rsidRPr="00617953">
        <w:rPr>
          <w:color w:val="000000"/>
        </w:rPr>
        <w:t>The second of the two issues raised by the defendant concerning the validity of the receiver</w:t>
      </w:r>
      <w:r w:rsidR="00617953">
        <w:rPr>
          <w:color w:val="000000"/>
        </w:rPr>
        <w:t>’</w:t>
      </w:r>
      <w:r w:rsidRPr="00617953">
        <w:rPr>
          <w:color w:val="000000"/>
        </w:rPr>
        <w:t>s appointment is more difficult. In each of the four cases</w:t>
      </w:r>
      <w:r w:rsidR="00617953">
        <w:rPr>
          <w:color w:val="000000"/>
        </w:rPr>
        <w:t>, the receiver was appointed p</w:t>
      </w:r>
      <w:r w:rsidRPr="00617953">
        <w:rPr>
          <w:color w:val="000000"/>
        </w:rPr>
        <w:t>rior to the transfer of the mortgage to the second plaintiff. In my experience, a variety of different approaches have been adopted in similar circu</w:t>
      </w:r>
      <w:r w:rsidR="00617953">
        <w:rPr>
          <w:color w:val="000000"/>
        </w:rPr>
        <w:t>mstances. In some instances where a mortgage in respect of which a receiver has been appointed</w:t>
      </w:r>
      <w:r w:rsidRPr="00617953">
        <w:rPr>
          <w:color w:val="000000"/>
        </w:rPr>
        <w:t xml:space="preserve"> is transferred</w:t>
      </w:r>
      <w:r w:rsidR="00617953">
        <w:rPr>
          <w:color w:val="000000"/>
        </w:rPr>
        <w:t>, the appoint</w:t>
      </w:r>
      <w:r w:rsidRPr="00617953">
        <w:rPr>
          <w:color w:val="000000"/>
        </w:rPr>
        <w:t xml:space="preserve">ment of the receiver by the original mortgagee is discharged and a fresh appointment made by the transferee of the mortgage. </w:t>
      </w:r>
      <w:r w:rsidR="000575AD">
        <w:rPr>
          <w:color w:val="000000"/>
        </w:rPr>
        <w:t xml:space="preserve">In others, the prior appointment of a receiver is expressly approved or adopted by the transferee after the transfer has concluded. Neither of these approaches were </w:t>
      </w:r>
      <w:r w:rsidR="00617953">
        <w:rPr>
          <w:color w:val="000000"/>
        </w:rPr>
        <w:t>chosen in this case. Instead, AIB as the transferor,</w:t>
      </w:r>
      <w:r w:rsidRPr="00617953">
        <w:rPr>
          <w:color w:val="000000"/>
        </w:rPr>
        <w:t xml:space="preserve"> the secon</w:t>
      </w:r>
      <w:r w:rsidR="00617953">
        <w:rPr>
          <w:color w:val="000000"/>
        </w:rPr>
        <w:t>d plaintiff as the transferee a</w:t>
      </w:r>
      <w:r w:rsidRPr="00617953">
        <w:rPr>
          <w:color w:val="000000"/>
        </w:rPr>
        <w:t>nd the first plaintiff as the r</w:t>
      </w:r>
      <w:r w:rsidR="00617953">
        <w:rPr>
          <w:color w:val="000000"/>
        </w:rPr>
        <w:t xml:space="preserve">eceiver entered into a deed of novation on the same date (i.e. </w:t>
      </w:r>
      <w:r w:rsidRPr="00617953">
        <w:rPr>
          <w:color w:val="000000"/>
        </w:rPr>
        <w:t>14</w:t>
      </w:r>
      <w:r w:rsidRPr="00617953">
        <w:rPr>
          <w:color w:val="000000"/>
          <w:vertAlign w:val="superscript"/>
        </w:rPr>
        <w:t>th</w:t>
      </w:r>
      <w:r w:rsidR="00617953">
        <w:rPr>
          <w:color w:val="000000"/>
        </w:rPr>
        <w:t xml:space="preserve"> </w:t>
      </w:r>
      <w:r w:rsidRPr="00617953">
        <w:rPr>
          <w:color w:val="000000"/>
        </w:rPr>
        <w:t>June</w:t>
      </w:r>
      <w:r w:rsidR="00617953">
        <w:rPr>
          <w:color w:val="000000"/>
        </w:rPr>
        <w:t>,</w:t>
      </w:r>
      <w:r w:rsidRPr="00617953">
        <w:rPr>
          <w:color w:val="000000"/>
        </w:rPr>
        <w:t xml:space="preserve"> 2019</w:t>
      </w:r>
      <w:r w:rsidR="00617953">
        <w:rPr>
          <w:color w:val="000000"/>
        </w:rPr>
        <w:t xml:space="preserve">) </w:t>
      </w:r>
      <w:r w:rsidR="00426A14">
        <w:rPr>
          <w:color w:val="000000"/>
        </w:rPr>
        <w:t xml:space="preserve">as the global transfer </w:t>
      </w:r>
      <w:r w:rsidRPr="00617953">
        <w:rPr>
          <w:color w:val="000000"/>
        </w:rPr>
        <w:t xml:space="preserve">under which the receiver consented to the substitution of </w:t>
      </w:r>
      <w:r w:rsidR="00617953">
        <w:rPr>
          <w:color w:val="000000"/>
        </w:rPr>
        <w:t>the transfere</w:t>
      </w:r>
      <w:r w:rsidRPr="00617953">
        <w:rPr>
          <w:color w:val="000000"/>
        </w:rPr>
        <w:t xml:space="preserve">e </w:t>
      </w:r>
      <w:r w:rsidR="00617953">
        <w:rPr>
          <w:color w:val="000000"/>
        </w:rPr>
        <w:t>(i.e. the second plaintiff) for the transferors (</w:t>
      </w:r>
      <w:r w:rsidRPr="00617953">
        <w:rPr>
          <w:color w:val="000000"/>
        </w:rPr>
        <w:t>i</w:t>
      </w:r>
      <w:r w:rsidR="00617953">
        <w:rPr>
          <w:color w:val="000000"/>
        </w:rPr>
        <w:t>.</w:t>
      </w:r>
      <w:r w:rsidRPr="00617953">
        <w:rPr>
          <w:color w:val="000000"/>
        </w:rPr>
        <w:t>e</w:t>
      </w:r>
      <w:r w:rsidR="00617953">
        <w:rPr>
          <w:color w:val="000000"/>
        </w:rPr>
        <w:t xml:space="preserve">. </w:t>
      </w:r>
      <w:r w:rsidRPr="00617953">
        <w:rPr>
          <w:color w:val="000000"/>
        </w:rPr>
        <w:t>AIB</w:t>
      </w:r>
      <w:r w:rsidR="00617953">
        <w:rPr>
          <w:color w:val="000000"/>
        </w:rPr>
        <w:t>)</w:t>
      </w:r>
      <w:r w:rsidRPr="00617953">
        <w:rPr>
          <w:color w:val="000000"/>
        </w:rPr>
        <w:t xml:space="preserve"> </w:t>
      </w:r>
      <w:r w:rsidR="00426A14">
        <w:rPr>
          <w:color w:val="000000"/>
        </w:rPr>
        <w:t xml:space="preserve">in </w:t>
      </w:r>
      <w:r w:rsidR="000575AD">
        <w:rPr>
          <w:color w:val="000000"/>
        </w:rPr>
        <w:t xml:space="preserve">what are </w:t>
      </w:r>
      <w:r w:rsidR="00426A14">
        <w:rPr>
          <w:color w:val="000000"/>
        </w:rPr>
        <w:t xml:space="preserve">termed </w:t>
      </w:r>
      <w:r w:rsidRPr="00617953">
        <w:rPr>
          <w:color w:val="000000"/>
        </w:rPr>
        <w:t>the receiver agreements</w:t>
      </w:r>
      <w:r w:rsidR="00617953">
        <w:rPr>
          <w:color w:val="000000"/>
        </w:rPr>
        <w:t xml:space="preserve">. </w:t>
      </w:r>
      <w:r w:rsidR="00240BE3">
        <w:rPr>
          <w:color w:val="000000"/>
        </w:rPr>
        <w:t xml:space="preserve">The receiver agreements are defined in the deed of novation by reference to all deeds of appointment etc. entered into </w:t>
      </w:r>
      <w:r w:rsidR="00240BE3">
        <w:rPr>
          <w:color w:val="000000"/>
        </w:rPr>
        <w:lastRenderedPageBreak/>
        <w:t>between AIB and the first plaintiff (who is titled the “continuing party”) in relation to the assets that are the subject of the transfer “</w:t>
      </w:r>
      <w:r w:rsidR="00240BE3" w:rsidRPr="000107EC">
        <w:rPr>
          <w:i/>
          <w:color w:val="000000"/>
        </w:rPr>
        <w:t>as listed in Schedule 1 to this Deed</w:t>
      </w:r>
      <w:r w:rsidR="00240BE3">
        <w:rPr>
          <w:color w:val="000000"/>
        </w:rPr>
        <w:t xml:space="preserve">”. </w:t>
      </w:r>
    </w:p>
    <w:p w14:paraId="63898CED" w14:textId="0F1B3E20" w:rsidR="00240BE3" w:rsidRDefault="00617953" w:rsidP="00A93FD5">
      <w:pPr>
        <w:pStyle w:val="NormalWeb"/>
        <w:numPr>
          <w:ilvl w:val="0"/>
          <w:numId w:val="1"/>
        </w:numPr>
        <w:spacing w:before="0" w:beforeAutospacing="0" w:after="0" w:afterAutospacing="0" w:line="480" w:lineRule="auto"/>
        <w:ind w:left="0" w:firstLine="0"/>
        <w:jc w:val="both"/>
        <w:rPr>
          <w:color w:val="000000"/>
        </w:rPr>
      </w:pPr>
      <w:r>
        <w:rPr>
          <w:color w:val="000000"/>
        </w:rPr>
        <w:t>T</w:t>
      </w:r>
      <w:r w:rsidR="00B8261C" w:rsidRPr="00617953">
        <w:rPr>
          <w:color w:val="000000"/>
        </w:rPr>
        <w:t>he difficulty arises from the fact</w:t>
      </w:r>
      <w:r>
        <w:rPr>
          <w:color w:val="000000"/>
        </w:rPr>
        <w:t xml:space="preserve"> that the exhibited</w:t>
      </w:r>
      <w:r w:rsidR="00B8261C" w:rsidRPr="00617953">
        <w:rPr>
          <w:color w:val="000000"/>
        </w:rPr>
        <w:t xml:space="preserve"> </w:t>
      </w:r>
      <w:r w:rsidR="00240BE3">
        <w:rPr>
          <w:color w:val="000000"/>
        </w:rPr>
        <w:t xml:space="preserve">extracts of the novation deed </w:t>
      </w:r>
      <w:r w:rsidR="00B8261C" w:rsidRPr="00617953">
        <w:rPr>
          <w:color w:val="000000"/>
        </w:rPr>
        <w:t>contains a s</w:t>
      </w:r>
      <w:r>
        <w:rPr>
          <w:color w:val="000000"/>
        </w:rPr>
        <w:t>c</w:t>
      </w:r>
      <w:r w:rsidR="00B8261C" w:rsidRPr="00617953">
        <w:rPr>
          <w:color w:val="000000"/>
        </w:rPr>
        <w:t>hedule, in which the receiver</w:t>
      </w:r>
      <w:r>
        <w:rPr>
          <w:color w:val="000000"/>
        </w:rPr>
        <w:t xml:space="preserve"> agreements the subject of the n</w:t>
      </w:r>
      <w:r w:rsidR="00B8261C" w:rsidRPr="00617953">
        <w:rPr>
          <w:color w:val="000000"/>
        </w:rPr>
        <w:t>ovation</w:t>
      </w:r>
      <w:r>
        <w:rPr>
          <w:color w:val="000000"/>
        </w:rPr>
        <w:t>,</w:t>
      </w:r>
      <w:r w:rsidR="00B8261C" w:rsidRPr="00617953">
        <w:rPr>
          <w:color w:val="000000"/>
        </w:rPr>
        <w:t xml:space="preserve"> are set out. In the case of the defendant</w:t>
      </w:r>
      <w:r>
        <w:rPr>
          <w:color w:val="000000"/>
        </w:rPr>
        <w:t>’</w:t>
      </w:r>
      <w:r w:rsidR="00B8261C" w:rsidRPr="00617953">
        <w:rPr>
          <w:color w:val="000000"/>
        </w:rPr>
        <w:t>s properties, the date on w</w:t>
      </w:r>
      <w:r>
        <w:rPr>
          <w:color w:val="000000"/>
        </w:rPr>
        <w:t xml:space="preserve">hich the receiver was appointed is identified in each case </w:t>
      </w:r>
      <w:r w:rsidR="00B8261C" w:rsidRPr="00617953">
        <w:rPr>
          <w:color w:val="000000"/>
        </w:rPr>
        <w:t>as</w:t>
      </w:r>
      <w:r>
        <w:rPr>
          <w:color w:val="000000"/>
        </w:rPr>
        <w:t xml:space="preserve"> being</w:t>
      </w:r>
      <w:r w:rsidR="00B8261C" w:rsidRPr="00617953">
        <w:rPr>
          <w:color w:val="000000"/>
        </w:rPr>
        <w:t xml:space="preserve"> 18</w:t>
      </w:r>
      <w:r w:rsidR="00B8261C" w:rsidRPr="00617953">
        <w:rPr>
          <w:color w:val="000000"/>
          <w:vertAlign w:val="superscript"/>
        </w:rPr>
        <w:t>th</w:t>
      </w:r>
      <w:r>
        <w:rPr>
          <w:color w:val="000000"/>
        </w:rPr>
        <w:t xml:space="preserve"> </w:t>
      </w:r>
      <w:r w:rsidR="00B8261C" w:rsidRPr="00617953">
        <w:rPr>
          <w:color w:val="000000"/>
        </w:rPr>
        <w:t>November</w:t>
      </w:r>
      <w:r>
        <w:rPr>
          <w:color w:val="000000"/>
        </w:rPr>
        <w:t>, 2016. T</w:t>
      </w:r>
      <w:r w:rsidR="00B8261C" w:rsidRPr="00617953">
        <w:rPr>
          <w:color w:val="000000"/>
        </w:rPr>
        <w:t>hat is not the dat</w:t>
      </w:r>
      <w:r>
        <w:rPr>
          <w:color w:val="000000"/>
        </w:rPr>
        <w:t>e of the relevant appointment i</w:t>
      </w:r>
      <w:r w:rsidR="00B8261C" w:rsidRPr="00617953">
        <w:rPr>
          <w:color w:val="000000"/>
        </w:rPr>
        <w:t xml:space="preserve">n </w:t>
      </w:r>
      <w:r w:rsidR="00240BE3">
        <w:rPr>
          <w:color w:val="000000"/>
        </w:rPr>
        <w:t xml:space="preserve">respect </w:t>
      </w:r>
      <w:r w:rsidR="00B8261C" w:rsidRPr="00617953">
        <w:rPr>
          <w:color w:val="000000"/>
        </w:rPr>
        <w:t>of any of</w:t>
      </w:r>
      <w:r>
        <w:rPr>
          <w:color w:val="000000"/>
        </w:rPr>
        <w:t xml:space="preserve"> the properties. To be precise, a receiv</w:t>
      </w:r>
      <w:r w:rsidR="00B8261C" w:rsidRPr="00617953">
        <w:rPr>
          <w:color w:val="000000"/>
        </w:rPr>
        <w:t>e</w:t>
      </w:r>
      <w:r>
        <w:rPr>
          <w:color w:val="000000"/>
        </w:rPr>
        <w:t>r was appointed on</w:t>
      </w:r>
      <w:r w:rsidR="00B8261C" w:rsidRPr="00617953">
        <w:rPr>
          <w:color w:val="000000"/>
        </w:rPr>
        <w:t xml:space="preserve"> 18</w:t>
      </w:r>
      <w:r w:rsidR="00B8261C" w:rsidRPr="00617953">
        <w:rPr>
          <w:color w:val="000000"/>
          <w:vertAlign w:val="superscript"/>
        </w:rPr>
        <w:t>th</w:t>
      </w:r>
      <w:r>
        <w:rPr>
          <w:color w:val="000000"/>
        </w:rPr>
        <w:t xml:space="preserve"> </w:t>
      </w:r>
      <w:r w:rsidR="00B8261C" w:rsidRPr="00617953">
        <w:rPr>
          <w:color w:val="000000"/>
        </w:rPr>
        <w:t>November</w:t>
      </w:r>
      <w:r>
        <w:rPr>
          <w:color w:val="000000"/>
        </w:rPr>
        <w:t>, 2016 o</w:t>
      </w:r>
      <w:r w:rsidR="00B8261C" w:rsidRPr="00617953">
        <w:rPr>
          <w:color w:val="000000"/>
        </w:rPr>
        <w:t xml:space="preserve">ver </w:t>
      </w:r>
      <w:r>
        <w:rPr>
          <w:color w:val="000000"/>
        </w:rPr>
        <w:t xml:space="preserve">a property at 11 </w:t>
      </w:r>
      <w:r w:rsidR="00B8261C" w:rsidRPr="00617953">
        <w:rPr>
          <w:color w:val="000000"/>
        </w:rPr>
        <w:t>A</w:t>
      </w:r>
      <w:r>
        <w:rPr>
          <w:color w:val="000000"/>
        </w:rPr>
        <w:t>bercorn Road (</w:t>
      </w:r>
      <w:r w:rsidR="00B8261C" w:rsidRPr="00617953">
        <w:rPr>
          <w:color w:val="000000"/>
        </w:rPr>
        <w:t xml:space="preserve">which </w:t>
      </w:r>
      <w:r>
        <w:rPr>
          <w:color w:val="000000"/>
        </w:rPr>
        <w:t>is the subject of proceedings bea</w:t>
      </w:r>
      <w:r w:rsidR="00B8261C" w:rsidRPr="00617953">
        <w:rPr>
          <w:color w:val="000000"/>
        </w:rPr>
        <w:t>ri</w:t>
      </w:r>
      <w:r>
        <w:rPr>
          <w:color w:val="000000"/>
        </w:rPr>
        <w:t>ng reference number 2021/75</w:t>
      </w:r>
      <w:r w:rsidR="00B8261C" w:rsidRPr="00617953">
        <w:rPr>
          <w:color w:val="000000"/>
        </w:rPr>
        <w:t>P</w:t>
      </w:r>
      <w:r>
        <w:rPr>
          <w:color w:val="000000"/>
        </w:rPr>
        <w:t>) but, following correspondence</w:t>
      </w:r>
      <w:r w:rsidR="00B8261C" w:rsidRPr="00617953">
        <w:rPr>
          <w:color w:val="000000"/>
        </w:rPr>
        <w:t xml:space="preserve"> from the defendant</w:t>
      </w:r>
      <w:r>
        <w:rPr>
          <w:color w:val="000000"/>
        </w:rPr>
        <w:t>’s solicitor,</w:t>
      </w:r>
      <w:r w:rsidR="00B8261C" w:rsidRPr="00617953">
        <w:rPr>
          <w:color w:val="000000"/>
        </w:rPr>
        <w:t xml:space="preserve"> it appears </w:t>
      </w:r>
      <w:r>
        <w:rPr>
          <w:color w:val="000000"/>
        </w:rPr>
        <w:t>to have been accepted by</w:t>
      </w:r>
      <w:r w:rsidR="00B8261C" w:rsidRPr="00617953">
        <w:rPr>
          <w:color w:val="000000"/>
        </w:rPr>
        <w:t xml:space="preserve"> AIB that </w:t>
      </w:r>
      <w:r>
        <w:rPr>
          <w:color w:val="000000"/>
        </w:rPr>
        <w:t xml:space="preserve">that </w:t>
      </w:r>
      <w:r w:rsidR="00B8261C" w:rsidRPr="00617953">
        <w:rPr>
          <w:color w:val="000000"/>
        </w:rPr>
        <w:t>appointment wa</w:t>
      </w:r>
      <w:r>
        <w:rPr>
          <w:color w:val="000000"/>
        </w:rPr>
        <w:t>s invalid</w:t>
      </w:r>
      <w:r w:rsidR="008B2C65">
        <w:rPr>
          <w:color w:val="000000"/>
        </w:rPr>
        <w:t>.</w:t>
      </w:r>
      <w:r>
        <w:rPr>
          <w:color w:val="000000"/>
        </w:rPr>
        <w:t xml:space="preserve"> </w:t>
      </w:r>
      <w:r w:rsidR="008B2C65">
        <w:rPr>
          <w:color w:val="000000"/>
        </w:rPr>
        <w:t xml:space="preserve"> C</w:t>
      </w:r>
      <w:r>
        <w:rPr>
          <w:color w:val="000000"/>
        </w:rPr>
        <w:t>onsequently, a dee</w:t>
      </w:r>
      <w:r w:rsidR="00B8261C" w:rsidRPr="00617953">
        <w:rPr>
          <w:color w:val="000000"/>
        </w:rPr>
        <w:t xml:space="preserve">d </w:t>
      </w:r>
      <w:r>
        <w:rPr>
          <w:color w:val="000000"/>
        </w:rPr>
        <w:t xml:space="preserve">of </w:t>
      </w:r>
      <w:r w:rsidR="00B8261C" w:rsidRPr="00617953">
        <w:rPr>
          <w:color w:val="000000"/>
        </w:rPr>
        <w:t>discharge was executed on 31</w:t>
      </w:r>
      <w:r w:rsidR="00B8261C" w:rsidRPr="00617953">
        <w:rPr>
          <w:color w:val="000000"/>
          <w:vertAlign w:val="superscript"/>
        </w:rPr>
        <w:t>st</w:t>
      </w:r>
      <w:r>
        <w:rPr>
          <w:color w:val="000000"/>
        </w:rPr>
        <w:t xml:space="preserve"> </w:t>
      </w:r>
      <w:r w:rsidR="00B8261C" w:rsidRPr="00617953">
        <w:rPr>
          <w:color w:val="000000"/>
        </w:rPr>
        <w:t>January</w:t>
      </w:r>
      <w:r>
        <w:rPr>
          <w:color w:val="000000"/>
        </w:rPr>
        <w:t>, 2019 and the receiver was re-appointed on the same date. I note</w:t>
      </w:r>
      <w:r w:rsidR="00B8261C" w:rsidRPr="00617953">
        <w:rPr>
          <w:color w:val="000000"/>
        </w:rPr>
        <w:t xml:space="preserve"> that the </w:t>
      </w:r>
      <w:r>
        <w:rPr>
          <w:color w:val="000000"/>
        </w:rPr>
        <w:t>defendant contends that the deed</w:t>
      </w:r>
      <w:r w:rsidR="00B8261C" w:rsidRPr="00617953">
        <w:rPr>
          <w:color w:val="000000"/>
        </w:rPr>
        <w:t xml:space="preserve"> of discharge is of no legal effect in circumstances where the appointment was not valid to start with. Eithe</w:t>
      </w:r>
      <w:r>
        <w:rPr>
          <w:color w:val="000000"/>
        </w:rPr>
        <w:t>r way, by the time the deed of novation was executed in</w:t>
      </w:r>
      <w:r w:rsidR="00B8261C" w:rsidRPr="00617953">
        <w:rPr>
          <w:color w:val="000000"/>
        </w:rPr>
        <w:t xml:space="preserve"> June</w:t>
      </w:r>
      <w:r>
        <w:rPr>
          <w:color w:val="000000"/>
        </w:rPr>
        <w:t>,</w:t>
      </w:r>
      <w:r w:rsidR="00B8261C" w:rsidRPr="00617953">
        <w:rPr>
          <w:color w:val="000000"/>
        </w:rPr>
        <w:t xml:space="preserve"> 2019</w:t>
      </w:r>
      <w:r>
        <w:rPr>
          <w:color w:val="000000"/>
        </w:rPr>
        <w:t>, the</w:t>
      </w:r>
      <w:r w:rsidR="00B8261C" w:rsidRPr="00617953">
        <w:rPr>
          <w:color w:val="000000"/>
        </w:rPr>
        <w:t xml:space="preserve"> 2016 appointment of the r</w:t>
      </w:r>
      <w:r>
        <w:rPr>
          <w:color w:val="000000"/>
        </w:rPr>
        <w:t>eceiver was no longer operative</w:t>
      </w:r>
      <w:r w:rsidR="00B8261C" w:rsidRPr="00617953">
        <w:rPr>
          <w:color w:val="000000"/>
        </w:rPr>
        <w:t xml:space="preserve"> eit</w:t>
      </w:r>
      <w:r>
        <w:rPr>
          <w:color w:val="000000"/>
        </w:rPr>
        <w:t>her because that appointment had</w:t>
      </w:r>
      <w:r w:rsidR="00B8261C" w:rsidRPr="00617953">
        <w:rPr>
          <w:color w:val="000000"/>
        </w:rPr>
        <w:t xml:space="preserve"> been discharged or because it was never valid to start with.</w:t>
      </w:r>
      <w:r>
        <w:rPr>
          <w:color w:val="000000"/>
        </w:rPr>
        <w:t xml:space="preserve"> </w:t>
      </w:r>
      <w:r w:rsidR="00B8261C" w:rsidRPr="00617953">
        <w:rPr>
          <w:color w:val="000000"/>
        </w:rPr>
        <w:t>The rel</w:t>
      </w:r>
      <w:r>
        <w:rPr>
          <w:color w:val="000000"/>
        </w:rPr>
        <w:t>evant date of</w:t>
      </w:r>
      <w:r w:rsidR="00B8261C" w:rsidRPr="00617953">
        <w:rPr>
          <w:color w:val="000000"/>
        </w:rPr>
        <w:t xml:space="preserve"> appointment is instead 31</w:t>
      </w:r>
      <w:r w:rsidR="00B8261C" w:rsidRPr="00617953">
        <w:rPr>
          <w:color w:val="000000"/>
          <w:vertAlign w:val="superscript"/>
        </w:rPr>
        <w:t>st</w:t>
      </w:r>
      <w:r>
        <w:rPr>
          <w:color w:val="000000"/>
        </w:rPr>
        <w:t xml:space="preserve"> </w:t>
      </w:r>
      <w:r w:rsidR="00B8261C" w:rsidRPr="00617953">
        <w:rPr>
          <w:color w:val="000000"/>
        </w:rPr>
        <w:t>January</w:t>
      </w:r>
      <w:r>
        <w:rPr>
          <w:color w:val="000000"/>
        </w:rPr>
        <w:t>, 2019. I</w:t>
      </w:r>
      <w:r w:rsidR="00B8261C" w:rsidRPr="00617953">
        <w:rPr>
          <w:color w:val="000000"/>
        </w:rPr>
        <w:t>n respect of the other mortgages</w:t>
      </w:r>
      <w:r>
        <w:rPr>
          <w:color w:val="000000"/>
        </w:rPr>
        <w:t>, the relevant dates of</w:t>
      </w:r>
      <w:r w:rsidR="00B8261C" w:rsidRPr="00617953">
        <w:rPr>
          <w:color w:val="000000"/>
        </w:rPr>
        <w:t xml:space="preserve"> appointment are 1</w:t>
      </w:r>
      <w:r w:rsidR="00281768">
        <w:rPr>
          <w:color w:val="000000"/>
        </w:rPr>
        <w:t>7</w:t>
      </w:r>
      <w:r w:rsidRPr="00617953">
        <w:rPr>
          <w:color w:val="000000"/>
          <w:vertAlign w:val="superscript"/>
        </w:rPr>
        <w:t>th</w:t>
      </w:r>
      <w:r>
        <w:rPr>
          <w:color w:val="000000"/>
        </w:rPr>
        <w:t xml:space="preserve"> </w:t>
      </w:r>
      <w:r w:rsidR="00B8261C" w:rsidRPr="00617953">
        <w:rPr>
          <w:color w:val="000000"/>
        </w:rPr>
        <w:t>July</w:t>
      </w:r>
      <w:r>
        <w:rPr>
          <w:color w:val="000000"/>
        </w:rPr>
        <w:t>, 2018 (</w:t>
      </w:r>
      <w:r w:rsidR="008B2C65">
        <w:rPr>
          <w:color w:val="000000"/>
        </w:rPr>
        <w:t xml:space="preserve">in respect </w:t>
      </w:r>
      <w:r>
        <w:rPr>
          <w:color w:val="000000"/>
        </w:rPr>
        <w:t>property at a 4 Church P</w:t>
      </w:r>
      <w:r w:rsidR="00B8261C" w:rsidRPr="00617953">
        <w:rPr>
          <w:color w:val="000000"/>
        </w:rPr>
        <w:t>lace</w:t>
      </w:r>
      <w:r>
        <w:rPr>
          <w:color w:val="000000"/>
        </w:rPr>
        <w:t>, the subject of proceedings bearing record number 202</w:t>
      </w:r>
      <w:r w:rsidR="00B8261C" w:rsidRPr="00617953">
        <w:rPr>
          <w:color w:val="000000"/>
        </w:rPr>
        <w:t>1</w:t>
      </w:r>
      <w:r>
        <w:rPr>
          <w:color w:val="000000"/>
        </w:rPr>
        <w:t>/76P); 10</w:t>
      </w:r>
      <w:r w:rsidRPr="00617953">
        <w:rPr>
          <w:color w:val="000000"/>
          <w:vertAlign w:val="superscript"/>
        </w:rPr>
        <w:t>th</w:t>
      </w:r>
      <w:r>
        <w:rPr>
          <w:color w:val="000000"/>
        </w:rPr>
        <w:t xml:space="preserve"> </w:t>
      </w:r>
      <w:r w:rsidR="00B8261C" w:rsidRPr="00617953">
        <w:rPr>
          <w:color w:val="000000"/>
        </w:rPr>
        <w:t>September</w:t>
      </w:r>
      <w:r>
        <w:rPr>
          <w:color w:val="000000"/>
        </w:rPr>
        <w:t>, 2018 (</w:t>
      </w:r>
      <w:r w:rsidR="00B8261C" w:rsidRPr="00617953">
        <w:rPr>
          <w:color w:val="000000"/>
        </w:rPr>
        <w:t xml:space="preserve">in </w:t>
      </w:r>
      <w:r>
        <w:rPr>
          <w:color w:val="000000"/>
        </w:rPr>
        <w:t>respect of the property at 3 Irvine C</w:t>
      </w:r>
      <w:r w:rsidR="00B8261C" w:rsidRPr="00617953">
        <w:rPr>
          <w:color w:val="000000"/>
        </w:rPr>
        <w:t>ottages, the subject of proceedings be</w:t>
      </w:r>
      <w:r>
        <w:rPr>
          <w:color w:val="000000"/>
        </w:rPr>
        <w:t>aring record number 2021/77P</w:t>
      </w:r>
      <w:r w:rsidR="008B2C65">
        <w:rPr>
          <w:color w:val="000000"/>
        </w:rPr>
        <w:t>)</w:t>
      </w:r>
      <w:r>
        <w:rPr>
          <w:color w:val="000000"/>
        </w:rPr>
        <w:t xml:space="preserve">; and </w:t>
      </w:r>
      <w:r w:rsidR="00B8261C" w:rsidRPr="00617953">
        <w:rPr>
          <w:color w:val="000000"/>
        </w:rPr>
        <w:t>17</w:t>
      </w:r>
      <w:r w:rsidRPr="00617953">
        <w:rPr>
          <w:color w:val="000000"/>
          <w:vertAlign w:val="superscript"/>
        </w:rPr>
        <w:t>th</w:t>
      </w:r>
      <w:r>
        <w:rPr>
          <w:color w:val="000000"/>
        </w:rPr>
        <w:t xml:space="preserve"> </w:t>
      </w:r>
      <w:r w:rsidR="00B8261C" w:rsidRPr="00617953">
        <w:rPr>
          <w:color w:val="000000"/>
        </w:rPr>
        <w:t>July</w:t>
      </w:r>
      <w:r>
        <w:rPr>
          <w:color w:val="000000"/>
        </w:rPr>
        <w:t>, 2018 (in respect of property at 10 Blessing</w:t>
      </w:r>
      <w:r w:rsidR="00B8261C" w:rsidRPr="00617953">
        <w:rPr>
          <w:color w:val="000000"/>
        </w:rPr>
        <w:t>to</w:t>
      </w:r>
      <w:r>
        <w:rPr>
          <w:color w:val="000000"/>
        </w:rPr>
        <w:t>n Lane,</w:t>
      </w:r>
      <w:r w:rsidR="00B8261C" w:rsidRPr="00617953">
        <w:rPr>
          <w:color w:val="000000"/>
        </w:rPr>
        <w:t xml:space="preserve"> the subject of proceedings bea</w:t>
      </w:r>
      <w:r>
        <w:rPr>
          <w:color w:val="000000"/>
        </w:rPr>
        <w:t>ring record number 2021/78</w:t>
      </w:r>
      <w:r w:rsidR="00B8261C" w:rsidRPr="00617953">
        <w:rPr>
          <w:color w:val="000000"/>
        </w:rPr>
        <w:t>P</w:t>
      </w:r>
      <w:r>
        <w:rPr>
          <w:color w:val="000000"/>
        </w:rPr>
        <w:t>)</w:t>
      </w:r>
      <w:r w:rsidR="00B8261C" w:rsidRPr="00617953">
        <w:rPr>
          <w:color w:val="000000"/>
        </w:rPr>
        <w:t xml:space="preserve">. </w:t>
      </w:r>
    </w:p>
    <w:p w14:paraId="526F8C66" w14:textId="58E11CDB" w:rsidR="00BF7084" w:rsidRPr="00A6574C" w:rsidRDefault="00B8261C" w:rsidP="00A93FD5">
      <w:pPr>
        <w:pStyle w:val="NormalWeb"/>
        <w:numPr>
          <w:ilvl w:val="0"/>
          <w:numId w:val="1"/>
        </w:numPr>
        <w:spacing w:before="0" w:beforeAutospacing="0" w:after="0" w:afterAutospacing="0" w:line="480" w:lineRule="auto"/>
        <w:ind w:left="0" w:firstLine="0"/>
        <w:jc w:val="both"/>
        <w:rPr>
          <w:color w:val="000000"/>
        </w:rPr>
      </w:pPr>
      <w:r w:rsidRPr="00617953">
        <w:rPr>
          <w:color w:val="000000"/>
        </w:rPr>
        <w:t>What then is</w:t>
      </w:r>
      <w:r w:rsidR="00617953">
        <w:rPr>
          <w:color w:val="000000"/>
        </w:rPr>
        <w:t xml:space="preserve"> the legal effect of a deed of n</w:t>
      </w:r>
      <w:r w:rsidRPr="00617953">
        <w:rPr>
          <w:color w:val="000000"/>
        </w:rPr>
        <w:t>o</w:t>
      </w:r>
      <w:r w:rsidR="00617953">
        <w:rPr>
          <w:color w:val="000000"/>
        </w:rPr>
        <w:t>vation which purports to novate</w:t>
      </w:r>
      <w:r w:rsidRPr="00617953">
        <w:rPr>
          <w:color w:val="000000"/>
        </w:rPr>
        <w:t xml:space="preserve"> receiverships </w:t>
      </w:r>
      <w:r w:rsidR="00617953">
        <w:rPr>
          <w:color w:val="000000"/>
        </w:rPr>
        <w:t xml:space="preserve">which </w:t>
      </w:r>
      <w:r w:rsidR="00240BE3">
        <w:rPr>
          <w:color w:val="000000"/>
        </w:rPr>
        <w:t xml:space="preserve">either never existed or </w:t>
      </w:r>
      <w:r w:rsidR="00617953">
        <w:rPr>
          <w:color w:val="000000"/>
        </w:rPr>
        <w:t>we</w:t>
      </w:r>
      <w:r w:rsidRPr="00617953">
        <w:rPr>
          <w:color w:val="000000"/>
        </w:rPr>
        <w:t>re no lo</w:t>
      </w:r>
      <w:r w:rsidR="00617953">
        <w:rPr>
          <w:color w:val="000000"/>
        </w:rPr>
        <w:t xml:space="preserve">nger in existence at the date of </w:t>
      </w:r>
      <w:r w:rsidRPr="00617953">
        <w:rPr>
          <w:color w:val="000000"/>
        </w:rPr>
        <w:t>no</w:t>
      </w:r>
      <w:r w:rsidR="00617953">
        <w:rPr>
          <w:color w:val="000000"/>
        </w:rPr>
        <w:t xml:space="preserve">vation and </w:t>
      </w:r>
      <w:r w:rsidR="008B2C65">
        <w:rPr>
          <w:color w:val="000000"/>
        </w:rPr>
        <w:t xml:space="preserve">which </w:t>
      </w:r>
      <w:r w:rsidR="00617953">
        <w:rPr>
          <w:color w:val="000000"/>
        </w:rPr>
        <w:t xml:space="preserve">does </w:t>
      </w:r>
      <w:r w:rsidR="00617953">
        <w:rPr>
          <w:color w:val="000000"/>
        </w:rPr>
        <w:lastRenderedPageBreak/>
        <w:t>not purport to novate the receiverships which we</w:t>
      </w:r>
      <w:r w:rsidRPr="00617953">
        <w:rPr>
          <w:color w:val="000000"/>
        </w:rPr>
        <w:t xml:space="preserve">re actually in existence at </w:t>
      </w:r>
      <w:r w:rsidR="00617953">
        <w:rPr>
          <w:color w:val="000000"/>
        </w:rPr>
        <w:t>the material time?</w:t>
      </w:r>
      <w:r w:rsidR="00A6574C">
        <w:rPr>
          <w:color w:val="000000"/>
        </w:rPr>
        <w:t xml:space="preserve"> This must depend to </w:t>
      </w:r>
      <w:r w:rsidR="008B2C65">
        <w:rPr>
          <w:color w:val="000000"/>
        </w:rPr>
        <w:t xml:space="preserve">a considerable </w:t>
      </w:r>
      <w:r w:rsidR="00A6574C">
        <w:rPr>
          <w:color w:val="000000"/>
        </w:rPr>
        <w:t xml:space="preserve">extent on what effect the transfer would have on the receivership in the absence of the novation or some equivalent mechanism.  </w:t>
      </w:r>
      <w:r w:rsidR="00617953" w:rsidRPr="00A6574C">
        <w:rPr>
          <w:color w:val="000000"/>
        </w:rPr>
        <w:t>The parties take diametrically</w:t>
      </w:r>
      <w:r w:rsidRPr="00A6574C">
        <w:rPr>
          <w:color w:val="000000"/>
        </w:rPr>
        <w:t xml:space="preserve"> opposed positions as to the effect of a transfer on an existing receivership</w:t>
      </w:r>
      <w:r w:rsidR="00617953" w:rsidRPr="00A6574C">
        <w:rPr>
          <w:color w:val="000000"/>
        </w:rPr>
        <w:t>. T</w:t>
      </w:r>
      <w:r w:rsidRPr="00A6574C">
        <w:rPr>
          <w:color w:val="000000"/>
        </w:rPr>
        <w:t>he defendant takes the view that if a transfer t</w:t>
      </w:r>
      <w:r w:rsidR="008B2C65">
        <w:rPr>
          <w:color w:val="000000"/>
        </w:rPr>
        <w:t>akes</w:t>
      </w:r>
      <w:r w:rsidRPr="00A6574C">
        <w:rPr>
          <w:color w:val="000000"/>
        </w:rPr>
        <w:t xml:space="preserve"> place, then the </w:t>
      </w:r>
      <w:r w:rsidR="00617953" w:rsidRPr="00A6574C">
        <w:rPr>
          <w:color w:val="000000"/>
        </w:rPr>
        <w:t xml:space="preserve">receivership </w:t>
      </w:r>
      <w:r w:rsidR="00BF7084" w:rsidRPr="00A6574C">
        <w:rPr>
          <w:color w:val="000000"/>
        </w:rPr>
        <w:t xml:space="preserve">automatically </w:t>
      </w:r>
      <w:r w:rsidR="00617953" w:rsidRPr="00A6574C">
        <w:rPr>
          <w:color w:val="000000"/>
        </w:rPr>
        <w:t>expire</w:t>
      </w:r>
      <w:r w:rsidR="008B2C65">
        <w:rPr>
          <w:color w:val="000000"/>
        </w:rPr>
        <w:t>s</w:t>
      </w:r>
      <w:r w:rsidR="00617953" w:rsidRPr="00A6574C">
        <w:rPr>
          <w:color w:val="000000"/>
        </w:rPr>
        <w:t xml:space="preserve"> and, on the particular facts</w:t>
      </w:r>
      <w:r w:rsidRPr="00A6574C">
        <w:rPr>
          <w:color w:val="000000"/>
        </w:rPr>
        <w:t>, the receiver</w:t>
      </w:r>
      <w:r w:rsidR="00617953" w:rsidRPr="00A6574C">
        <w:rPr>
          <w:color w:val="000000"/>
        </w:rPr>
        <w:t>’</w:t>
      </w:r>
      <w:r w:rsidRPr="00A6574C">
        <w:rPr>
          <w:color w:val="000000"/>
        </w:rPr>
        <w:t>s appoint</w:t>
      </w:r>
      <w:r w:rsidR="00617953" w:rsidRPr="00A6574C">
        <w:rPr>
          <w:color w:val="000000"/>
        </w:rPr>
        <w:t>ment terminated as the deed of n</w:t>
      </w:r>
      <w:r w:rsidRPr="00A6574C">
        <w:rPr>
          <w:color w:val="000000"/>
        </w:rPr>
        <w:t>ovation was inval</w:t>
      </w:r>
      <w:r w:rsidR="00617953" w:rsidRPr="00A6574C">
        <w:rPr>
          <w:color w:val="000000"/>
        </w:rPr>
        <w:t>id and ineffective</w:t>
      </w:r>
      <w:r w:rsidRPr="00A6574C">
        <w:rPr>
          <w:color w:val="000000"/>
        </w:rPr>
        <w:t>. The plaintiffs, on the other hand</w:t>
      </w:r>
      <w:r w:rsidR="00617953" w:rsidRPr="00A6574C">
        <w:rPr>
          <w:color w:val="000000"/>
        </w:rPr>
        <w:t>, argue that the deed of novation, much like the inter-</w:t>
      </w:r>
      <w:r w:rsidRPr="00A6574C">
        <w:rPr>
          <w:color w:val="000000"/>
        </w:rPr>
        <w:t>lender agreement, is of no real concern to the de</w:t>
      </w:r>
      <w:r w:rsidR="00617953" w:rsidRPr="00A6574C">
        <w:rPr>
          <w:color w:val="000000"/>
        </w:rPr>
        <w:t>fendant who is not a party to it. Instead, the plaintiffs argue that it</w:t>
      </w:r>
      <w:r w:rsidRPr="00A6574C">
        <w:rPr>
          <w:color w:val="000000"/>
        </w:rPr>
        <w:t xml:space="preserve"> affects the relationship between the charge holder and t</w:t>
      </w:r>
      <w:r w:rsidR="00617953" w:rsidRPr="00A6574C">
        <w:rPr>
          <w:color w:val="000000"/>
        </w:rPr>
        <w:t xml:space="preserve">he receiver. At the same time, </w:t>
      </w:r>
      <w:r w:rsidR="00240BE3" w:rsidRPr="00A6574C">
        <w:rPr>
          <w:color w:val="000000"/>
        </w:rPr>
        <w:t>t</w:t>
      </w:r>
      <w:r w:rsidR="00617953" w:rsidRPr="00A6574C">
        <w:rPr>
          <w:color w:val="000000"/>
        </w:rPr>
        <w:t>h</w:t>
      </w:r>
      <w:r w:rsidRPr="00A6574C">
        <w:rPr>
          <w:color w:val="000000"/>
        </w:rPr>
        <w:t>e</w:t>
      </w:r>
      <w:r w:rsidR="00240BE3" w:rsidRPr="00A6574C">
        <w:rPr>
          <w:color w:val="000000"/>
        </w:rPr>
        <w:t>y</w:t>
      </w:r>
      <w:r w:rsidRPr="00A6574C">
        <w:rPr>
          <w:color w:val="000000"/>
        </w:rPr>
        <w:t xml:space="preserve"> acknowledge</w:t>
      </w:r>
      <w:r w:rsidR="00617953" w:rsidRPr="00A6574C">
        <w:rPr>
          <w:color w:val="000000"/>
        </w:rPr>
        <w:t>d that it was common to novate</w:t>
      </w:r>
      <w:r w:rsidRPr="00A6574C">
        <w:rPr>
          <w:color w:val="000000"/>
        </w:rPr>
        <w:t xml:space="preserve"> a receivership as one contract needed to end and another </w:t>
      </w:r>
      <w:r w:rsidR="00617953" w:rsidRPr="00A6574C">
        <w:rPr>
          <w:color w:val="000000"/>
        </w:rPr>
        <w:t>one to come into being</w:t>
      </w:r>
      <w:r w:rsidRPr="00A6574C">
        <w:rPr>
          <w:color w:val="000000"/>
        </w:rPr>
        <w:t>. The</w:t>
      </w:r>
      <w:r w:rsidR="00617953" w:rsidRPr="00A6574C">
        <w:rPr>
          <w:color w:val="000000"/>
        </w:rPr>
        <w:t>y</w:t>
      </w:r>
      <w:r w:rsidR="0000419A" w:rsidRPr="00A6574C">
        <w:rPr>
          <w:color w:val="000000"/>
        </w:rPr>
        <w:t xml:space="preserve"> pointed out that, once</w:t>
      </w:r>
      <w:r w:rsidRPr="00A6574C">
        <w:rPr>
          <w:color w:val="000000"/>
        </w:rPr>
        <w:t xml:space="preserve"> appointed</w:t>
      </w:r>
      <w:r w:rsidR="0000419A" w:rsidRPr="00A6574C">
        <w:rPr>
          <w:color w:val="000000"/>
        </w:rPr>
        <w:t>,</w:t>
      </w:r>
      <w:r w:rsidRPr="00A6574C">
        <w:rPr>
          <w:color w:val="000000"/>
        </w:rPr>
        <w:t xml:space="preserve"> the receiv</w:t>
      </w:r>
      <w:r w:rsidR="0000419A" w:rsidRPr="00A6574C">
        <w:rPr>
          <w:color w:val="000000"/>
        </w:rPr>
        <w:t>er is the agent of the mortgagor (i.e.</w:t>
      </w:r>
      <w:r w:rsidRPr="00A6574C">
        <w:rPr>
          <w:color w:val="000000"/>
        </w:rPr>
        <w:t xml:space="preserve"> the defendant</w:t>
      </w:r>
      <w:r w:rsidR="0000419A" w:rsidRPr="00A6574C">
        <w:rPr>
          <w:color w:val="000000"/>
        </w:rPr>
        <w:t>)</w:t>
      </w:r>
      <w:r w:rsidRPr="00A6574C">
        <w:rPr>
          <w:color w:val="000000"/>
        </w:rPr>
        <w:t xml:space="preserve"> </w:t>
      </w:r>
      <w:r w:rsidR="0000419A" w:rsidRPr="00A6574C">
        <w:rPr>
          <w:color w:val="000000"/>
        </w:rPr>
        <w:t>albeit</w:t>
      </w:r>
      <w:r w:rsidRPr="00A6574C">
        <w:rPr>
          <w:color w:val="000000"/>
        </w:rPr>
        <w:t xml:space="preserve"> that</w:t>
      </w:r>
      <w:r w:rsidR="0000419A" w:rsidRPr="00A6574C">
        <w:rPr>
          <w:color w:val="000000"/>
        </w:rPr>
        <w:t xml:space="preserve"> his responsibility is to </w:t>
      </w:r>
      <w:proofErr w:type="spellStart"/>
      <w:r w:rsidR="0000419A" w:rsidRPr="00A6574C">
        <w:rPr>
          <w:color w:val="000000"/>
        </w:rPr>
        <w:t>realis</w:t>
      </w:r>
      <w:r w:rsidRPr="00A6574C">
        <w:rPr>
          <w:color w:val="000000"/>
        </w:rPr>
        <w:t>e</w:t>
      </w:r>
      <w:proofErr w:type="spellEnd"/>
      <w:r w:rsidRPr="00A6574C">
        <w:rPr>
          <w:color w:val="000000"/>
        </w:rPr>
        <w:t xml:space="preserve"> the defendant</w:t>
      </w:r>
      <w:r w:rsidR="0000419A" w:rsidRPr="00A6574C">
        <w:rPr>
          <w:color w:val="000000"/>
        </w:rPr>
        <w:t>’</w:t>
      </w:r>
      <w:r w:rsidRPr="00A6574C">
        <w:rPr>
          <w:color w:val="000000"/>
        </w:rPr>
        <w:t>s assets in order to disperse them to meet the defendant</w:t>
      </w:r>
      <w:r w:rsidR="0000419A" w:rsidRPr="00A6574C">
        <w:rPr>
          <w:color w:val="000000"/>
        </w:rPr>
        <w:t>’</w:t>
      </w:r>
      <w:r w:rsidRPr="00A6574C">
        <w:rPr>
          <w:color w:val="000000"/>
        </w:rPr>
        <w:t>s liabilitie</w:t>
      </w:r>
      <w:r w:rsidR="0000419A" w:rsidRPr="00A6574C">
        <w:rPr>
          <w:color w:val="000000"/>
        </w:rPr>
        <w:t>s to the mortgagee or charge holder. Counsel argu</w:t>
      </w:r>
      <w:r w:rsidRPr="00A6574C">
        <w:rPr>
          <w:color w:val="000000"/>
        </w:rPr>
        <w:t xml:space="preserve">ed that the receivership did not end with the transfer of the charge </w:t>
      </w:r>
      <w:r w:rsidR="0000419A" w:rsidRPr="00A6574C">
        <w:rPr>
          <w:color w:val="000000"/>
        </w:rPr>
        <w:t xml:space="preserve">as otherwise it would require </w:t>
      </w:r>
      <w:r w:rsidRPr="00A6574C">
        <w:rPr>
          <w:color w:val="000000"/>
        </w:rPr>
        <w:t>novation at the same precise moment as that transfer. This a</w:t>
      </w:r>
      <w:r w:rsidR="0000419A" w:rsidRPr="00A6574C">
        <w:rPr>
          <w:color w:val="000000"/>
        </w:rPr>
        <w:t>rgument might carry more weight</w:t>
      </w:r>
      <w:r w:rsidRPr="00A6574C">
        <w:rPr>
          <w:color w:val="000000"/>
        </w:rPr>
        <w:t xml:space="preserve"> if</w:t>
      </w:r>
      <w:r w:rsidR="0000419A" w:rsidRPr="00A6574C">
        <w:rPr>
          <w:color w:val="000000"/>
        </w:rPr>
        <w:t>, in fact, the purported n</w:t>
      </w:r>
      <w:r w:rsidRPr="00A6574C">
        <w:rPr>
          <w:color w:val="000000"/>
        </w:rPr>
        <w:t>ovation of the receivership had</w:t>
      </w:r>
      <w:r w:rsidR="0000419A" w:rsidRPr="00A6574C">
        <w:rPr>
          <w:color w:val="000000"/>
        </w:rPr>
        <w:t xml:space="preserve"> not taken place on the same date as the global deed</w:t>
      </w:r>
      <w:r w:rsidRPr="00A6574C">
        <w:rPr>
          <w:color w:val="000000"/>
        </w:rPr>
        <w:t xml:space="preserve"> of transfer</w:t>
      </w:r>
      <w:r w:rsidR="0000419A" w:rsidRPr="00A6574C">
        <w:rPr>
          <w:color w:val="000000"/>
        </w:rPr>
        <w:t xml:space="preserve"> which suggests that it was clear</w:t>
      </w:r>
      <w:r w:rsidRPr="00A6574C">
        <w:rPr>
          <w:color w:val="000000"/>
        </w:rPr>
        <w:t>ly co</w:t>
      </w:r>
      <w:r w:rsidR="0000419A" w:rsidRPr="00A6574C">
        <w:rPr>
          <w:color w:val="000000"/>
        </w:rPr>
        <w:t>nsidered by the parties to the n</w:t>
      </w:r>
      <w:r w:rsidRPr="00A6574C">
        <w:rPr>
          <w:color w:val="000000"/>
        </w:rPr>
        <w:t xml:space="preserve">ovation to be part of the </w:t>
      </w:r>
      <w:r w:rsidR="0000419A" w:rsidRPr="00A6574C">
        <w:rPr>
          <w:color w:val="000000"/>
        </w:rPr>
        <w:t>same suite of documents and, thus,</w:t>
      </w:r>
      <w:r w:rsidRPr="00A6574C">
        <w:rPr>
          <w:color w:val="000000"/>
        </w:rPr>
        <w:t xml:space="preserve"> inextricably linked to the transfer itself</w:t>
      </w:r>
      <w:r w:rsidR="0000419A" w:rsidRPr="00A6574C">
        <w:rPr>
          <w:color w:val="000000"/>
        </w:rPr>
        <w:t xml:space="preserve">. </w:t>
      </w:r>
      <w:r w:rsidR="00240BE3" w:rsidRPr="00A6574C">
        <w:rPr>
          <w:color w:val="000000"/>
        </w:rPr>
        <w:t xml:space="preserve">  </w:t>
      </w:r>
    </w:p>
    <w:p w14:paraId="1C6A118E" w14:textId="0F3181E7" w:rsidR="000E0F66" w:rsidRDefault="0000419A" w:rsidP="00A93FD5">
      <w:pPr>
        <w:pStyle w:val="NormalWeb"/>
        <w:numPr>
          <w:ilvl w:val="0"/>
          <w:numId w:val="1"/>
        </w:numPr>
        <w:spacing w:before="0" w:beforeAutospacing="0" w:after="0" w:afterAutospacing="0" w:line="480" w:lineRule="auto"/>
        <w:ind w:left="0" w:firstLine="0"/>
        <w:jc w:val="both"/>
        <w:rPr>
          <w:color w:val="000000"/>
        </w:rPr>
      </w:pPr>
      <w:r>
        <w:rPr>
          <w:color w:val="000000"/>
        </w:rPr>
        <w:t>I struggle</w:t>
      </w:r>
      <w:r w:rsidR="00B8261C" w:rsidRPr="00617953">
        <w:rPr>
          <w:color w:val="000000"/>
        </w:rPr>
        <w:t xml:space="preserve"> to se</w:t>
      </w:r>
      <w:r>
        <w:rPr>
          <w:color w:val="000000"/>
        </w:rPr>
        <w:t>e how it can be said, certainly</w:t>
      </w:r>
      <w:r w:rsidR="00B8261C" w:rsidRPr="00617953">
        <w:rPr>
          <w:color w:val="000000"/>
        </w:rPr>
        <w:t xml:space="preserve"> to the extent required to establish a strong case</w:t>
      </w:r>
      <w:r>
        <w:rPr>
          <w:color w:val="000000"/>
        </w:rPr>
        <w:t>,</w:t>
      </w:r>
      <w:r w:rsidR="00B8261C" w:rsidRPr="00617953">
        <w:rPr>
          <w:color w:val="000000"/>
        </w:rPr>
        <w:t xml:space="preserve"> that the contractual relations</w:t>
      </w:r>
      <w:r>
        <w:rPr>
          <w:color w:val="000000"/>
        </w:rPr>
        <w:t xml:space="preserve">hip between </w:t>
      </w:r>
      <w:r w:rsidR="008B2C65">
        <w:rPr>
          <w:color w:val="000000"/>
        </w:rPr>
        <w:t xml:space="preserve">the </w:t>
      </w:r>
      <w:r>
        <w:rPr>
          <w:color w:val="000000"/>
        </w:rPr>
        <w:t xml:space="preserve">receiver and </w:t>
      </w:r>
      <w:r w:rsidR="008B2C65">
        <w:rPr>
          <w:color w:val="000000"/>
        </w:rPr>
        <w:t>the</w:t>
      </w:r>
      <w:r w:rsidR="00B8261C" w:rsidRPr="00617953">
        <w:rPr>
          <w:color w:val="000000"/>
        </w:rPr>
        <w:t xml:space="preserve"> charge holder has no material effect on the receivership. Put simply, </w:t>
      </w:r>
      <w:r w:rsidR="008B2C65">
        <w:rPr>
          <w:color w:val="000000"/>
        </w:rPr>
        <w:t xml:space="preserve">in the context of the facts of this case </w:t>
      </w:r>
      <w:r>
        <w:rPr>
          <w:color w:val="000000"/>
        </w:rPr>
        <w:t>if the deed of n</w:t>
      </w:r>
      <w:r w:rsidR="00B8261C" w:rsidRPr="00617953">
        <w:rPr>
          <w:color w:val="000000"/>
        </w:rPr>
        <w:t>ovation was ineffective to transfe</w:t>
      </w:r>
      <w:r>
        <w:rPr>
          <w:color w:val="000000"/>
        </w:rPr>
        <w:t xml:space="preserve">r the receivership from </w:t>
      </w:r>
      <w:r w:rsidR="00B8261C" w:rsidRPr="00617953">
        <w:rPr>
          <w:color w:val="000000"/>
        </w:rPr>
        <w:t>AIB to the second</w:t>
      </w:r>
      <w:r>
        <w:rPr>
          <w:color w:val="000000"/>
        </w:rPr>
        <w:t xml:space="preserve"> plaintiff, it means that AIB</w:t>
      </w:r>
      <w:r w:rsidR="00B8261C" w:rsidRPr="00617953">
        <w:rPr>
          <w:color w:val="000000"/>
        </w:rPr>
        <w:t xml:space="preserve"> </w:t>
      </w:r>
      <w:r w:rsidR="00B8261C" w:rsidRPr="00617953">
        <w:rPr>
          <w:color w:val="000000"/>
        </w:rPr>
        <w:lastRenderedPageBreak/>
        <w:t>conti</w:t>
      </w:r>
      <w:r>
        <w:rPr>
          <w:color w:val="000000"/>
        </w:rPr>
        <w:t>nues to have a receiver appointed</w:t>
      </w:r>
      <w:r w:rsidR="00B8261C" w:rsidRPr="00617953">
        <w:rPr>
          <w:color w:val="000000"/>
        </w:rPr>
        <w:t xml:space="preserve"> over property in respect of which it no longer holds a mortgage or security and that the second plaintiff holds the mortgage and securi</w:t>
      </w:r>
      <w:r>
        <w:rPr>
          <w:color w:val="000000"/>
        </w:rPr>
        <w:t>ty over property in respect of wh</w:t>
      </w:r>
      <w:r w:rsidR="00B8261C" w:rsidRPr="00617953">
        <w:rPr>
          <w:color w:val="000000"/>
        </w:rPr>
        <w:t>ic</w:t>
      </w:r>
      <w:r>
        <w:rPr>
          <w:color w:val="000000"/>
        </w:rPr>
        <w:t xml:space="preserve">h it </w:t>
      </w:r>
      <w:r w:rsidR="00B8261C" w:rsidRPr="00617953">
        <w:rPr>
          <w:color w:val="000000"/>
        </w:rPr>
        <w:t>ha</w:t>
      </w:r>
      <w:r>
        <w:rPr>
          <w:color w:val="000000"/>
        </w:rPr>
        <w:t>s not appointed a receiver. I note</w:t>
      </w:r>
      <w:r w:rsidR="00B8261C" w:rsidRPr="00617953">
        <w:rPr>
          <w:color w:val="000000"/>
        </w:rPr>
        <w:t>, for example, that in accepting the original deed of appointment</w:t>
      </w:r>
      <w:r w:rsidR="00240BE3">
        <w:rPr>
          <w:color w:val="000000"/>
        </w:rPr>
        <w:t xml:space="preserve"> </w:t>
      </w:r>
      <w:r w:rsidR="00A6574C">
        <w:rPr>
          <w:color w:val="000000"/>
        </w:rPr>
        <w:t xml:space="preserve">in respect of Abercorn Road </w:t>
      </w:r>
      <w:r w:rsidR="00240BE3">
        <w:rPr>
          <w:color w:val="000000"/>
        </w:rPr>
        <w:t>in 2016</w:t>
      </w:r>
      <w:r w:rsidR="00B8261C" w:rsidRPr="00617953">
        <w:rPr>
          <w:color w:val="000000"/>
        </w:rPr>
        <w:t xml:space="preserve">, </w:t>
      </w:r>
      <w:r w:rsidR="00A6574C">
        <w:rPr>
          <w:color w:val="000000"/>
        </w:rPr>
        <w:t xml:space="preserve">and again in accepting his </w:t>
      </w:r>
      <w:r w:rsidR="008B2C65">
        <w:rPr>
          <w:color w:val="000000"/>
        </w:rPr>
        <w:t>re-</w:t>
      </w:r>
      <w:r w:rsidR="00A6574C">
        <w:rPr>
          <w:color w:val="000000"/>
        </w:rPr>
        <w:t xml:space="preserve">appointment in 2019 </w:t>
      </w:r>
      <w:r>
        <w:rPr>
          <w:color w:val="000000"/>
        </w:rPr>
        <w:t>the first plaintiff undertook,</w:t>
      </w:r>
      <w:r w:rsidR="00B8261C" w:rsidRPr="00617953">
        <w:rPr>
          <w:color w:val="000000"/>
        </w:rPr>
        <w:t xml:space="preserve"> </w:t>
      </w:r>
      <w:r>
        <w:rPr>
          <w:i/>
          <w:color w:val="000000"/>
        </w:rPr>
        <w:t xml:space="preserve">inter </w:t>
      </w:r>
      <w:r w:rsidRPr="0000419A">
        <w:rPr>
          <w:i/>
          <w:color w:val="000000"/>
        </w:rPr>
        <w:t>alia</w:t>
      </w:r>
      <w:r>
        <w:rPr>
          <w:color w:val="000000"/>
        </w:rPr>
        <w:t>, t</w:t>
      </w:r>
      <w:r w:rsidR="00B8261C" w:rsidRPr="00617953">
        <w:rPr>
          <w:color w:val="000000"/>
        </w:rPr>
        <w:t xml:space="preserve">o regularly account </w:t>
      </w:r>
      <w:r w:rsidR="00F063F5">
        <w:rPr>
          <w:color w:val="000000"/>
        </w:rPr>
        <w:t xml:space="preserve">to </w:t>
      </w:r>
      <w:r w:rsidR="00B8261C" w:rsidRPr="00617953">
        <w:rPr>
          <w:color w:val="000000"/>
        </w:rPr>
        <w:t xml:space="preserve">the bank </w:t>
      </w:r>
      <w:r w:rsidR="00240BE3">
        <w:rPr>
          <w:color w:val="000000"/>
        </w:rPr>
        <w:t xml:space="preserve">(i.e. AIB) </w:t>
      </w:r>
      <w:r w:rsidR="00B8261C" w:rsidRPr="00617953">
        <w:rPr>
          <w:color w:val="000000"/>
        </w:rPr>
        <w:t>for the monies received by him as a receiver. If the rec</w:t>
      </w:r>
      <w:r w:rsidR="00F063F5">
        <w:rPr>
          <w:color w:val="000000"/>
        </w:rPr>
        <w:t>eivership has not been validly novated</w:t>
      </w:r>
      <w:r w:rsidR="00B8261C" w:rsidRPr="00617953">
        <w:rPr>
          <w:color w:val="000000"/>
        </w:rPr>
        <w:t>, then the first plaintiff remains under an obligation to account</w:t>
      </w:r>
      <w:r w:rsidR="00F063F5">
        <w:rPr>
          <w:color w:val="000000"/>
        </w:rPr>
        <w:t xml:space="preserve"> to </w:t>
      </w:r>
      <w:r w:rsidR="00240BE3">
        <w:rPr>
          <w:color w:val="000000"/>
        </w:rPr>
        <w:t xml:space="preserve">AIB </w:t>
      </w:r>
      <w:r w:rsidR="00B8261C" w:rsidRPr="00617953">
        <w:rPr>
          <w:color w:val="000000"/>
        </w:rPr>
        <w:t>in respect of monies received fr</w:t>
      </w:r>
      <w:r w:rsidR="00F063F5">
        <w:rPr>
          <w:color w:val="000000"/>
        </w:rPr>
        <w:t>om the receivership and, technically</w:t>
      </w:r>
      <w:r w:rsidR="00B8261C" w:rsidRPr="00617953">
        <w:rPr>
          <w:color w:val="000000"/>
        </w:rPr>
        <w:t xml:space="preserve">, the defendant </w:t>
      </w:r>
      <w:r w:rsidR="00240BE3">
        <w:rPr>
          <w:color w:val="000000"/>
        </w:rPr>
        <w:t xml:space="preserve">will not </w:t>
      </w:r>
      <w:r w:rsidR="00B8261C" w:rsidRPr="00617953">
        <w:rPr>
          <w:color w:val="000000"/>
        </w:rPr>
        <w:t xml:space="preserve">benefit </w:t>
      </w:r>
      <w:r w:rsidR="00240BE3">
        <w:rPr>
          <w:color w:val="000000"/>
        </w:rPr>
        <w:t>from</w:t>
      </w:r>
      <w:r w:rsidR="00B8261C" w:rsidRPr="00617953">
        <w:rPr>
          <w:color w:val="000000"/>
        </w:rPr>
        <w:t xml:space="preserve"> those monies being applied towards his outstanding indebtedness</w:t>
      </w:r>
      <w:r w:rsidR="00F063F5">
        <w:rPr>
          <w:color w:val="000000"/>
        </w:rPr>
        <w:t xml:space="preserve"> to the second plaintiff</w:t>
      </w:r>
      <w:r w:rsidR="00B8261C" w:rsidRPr="00617953">
        <w:rPr>
          <w:color w:val="000000"/>
        </w:rPr>
        <w:t xml:space="preserve">. </w:t>
      </w:r>
      <w:r w:rsidR="00240BE3">
        <w:rPr>
          <w:color w:val="000000"/>
        </w:rPr>
        <w:t>Whilst this may not be what the plaintiffs intend will happen in practi</w:t>
      </w:r>
      <w:r w:rsidR="00BF7084">
        <w:rPr>
          <w:color w:val="000000"/>
        </w:rPr>
        <w:t>c</w:t>
      </w:r>
      <w:r w:rsidR="00240BE3">
        <w:rPr>
          <w:color w:val="000000"/>
        </w:rPr>
        <w:t xml:space="preserve">e, it is what is legally required on </w:t>
      </w:r>
      <w:r w:rsidR="00BF7084">
        <w:rPr>
          <w:color w:val="000000"/>
        </w:rPr>
        <w:t xml:space="preserve">foot of </w:t>
      </w:r>
      <w:r w:rsidR="00240BE3">
        <w:rPr>
          <w:color w:val="000000"/>
        </w:rPr>
        <w:t xml:space="preserve">the </w:t>
      </w:r>
      <w:r w:rsidR="00BF7084">
        <w:rPr>
          <w:color w:val="000000"/>
        </w:rPr>
        <w:t xml:space="preserve">exhibited </w:t>
      </w:r>
      <w:r w:rsidR="00240BE3">
        <w:rPr>
          <w:color w:val="000000"/>
        </w:rPr>
        <w:t xml:space="preserve">documents. </w:t>
      </w:r>
      <w:r w:rsidR="00B8261C" w:rsidRPr="00617953">
        <w:rPr>
          <w:color w:val="000000"/>
        </w:rPr>
        <w:t>Therefore, I do not think that the issues</w:t>
      </w:r>
      <w:r w:rsidR="000E0F66">
        <w:rPr>
          <w:color w:val="000000"/>
        </w:rPr>
        <w:t xml:space="preserve"> raised concerning the deed of n</w:t>
      </w:r>
      <w:r w:rsidR="00B8261C" w:rsidRPr="00617953">
        <w:rPr>
          <w:color w:val="000000"/>
        </w:rPr>
        <w:t xml:space="preserve">ovation can be treated in the same manner as </w:t>
      </w:r>
      <w:r w:rsidR="000E0F66">
        <w:rPr>
          <w:color w:val="000000"/>
        </w:rPr>
        <w:t>those concerning the inter-lender agreement. Were I</w:t>
      </w:r>
      <w:r w:rsidR="00B8261C" w:rsidRPr="00617953">
        <w:rPr>
          <w:color w:val="000000"/>
        </w:rPr>
        <w:t xml:space="preserve"> not</w:t>
      </w:r>
      <w:r w:rsidR="000E0F66">
        <w:rPr>
          <w:color w:val="000000"/>
        </w:rPr>
        <w:t xml:space="preserve"> to have alrea</w:t>
      </w:r>
      <w:r w:rsidR="00B8261C" w:rsidRPr="00617953">
        <w:rPr>
          <w:color w:val="000000"/>
        </w:rPr>
        <w:t>dy taken the view that the plaintiffs ha</w:t>
      </w:r>
      <w:r w:rsidR="002D05B2">
        <w:rPr>
          <w:color w:val="000000"/>
        </w:rPr>
        <w:t>ve</w:t>
      </w:r>
      <w:r w:rsidR="00B8261C" w:rsidRPr="00617953">
        <w:rPr>
          <w:color w:val="000000"/>
        </w:rPr>
        <w:t xml:space="preserve"> failed to establish their interest in the loans underlying the mortgages the subject of the proceedings, I would be inclined to take the view that the plaintiffs had not established the continuing validity of the receivership subsequent to the transfer of those loans to the second plaintiff</w:t>
      </w:r>
      <w:r w:rsidR="000E0F66">
        <w:rPr>
          <w:color w:val="000000"/>
        </w:rPr>
        <w:t>.</w:t>
      </w:r>
    </w:p>
    <w:p w14:paraId="2C3028AA" w14:textId="77777777" w:rsidR="00240BE3" w:rsidRDefault="00240BE3" w:rsidP="00A93FD5">
      <w:pPr>
        <w:pStyle w:val="NormalWeb"/>
        <w:spacing w:before="0" w:beforeAutospacing="0" w:after="0" w:afterAutospacing="0" w:line="480" w:lineRule="auto"/>
        <w:jc w:val="both"/>
        <w:rPr>
          <w:b/>
          <w:color w:val="000000"/>
          <w:u w:val="single"/>
        </w:rPr>
      </w:pPr>
    </w:p>
    <w:p w14:paraId="4E94BE73" w14:textId="77777777" w:rsidR="000E0F66" w:rsidRPr="000E0F66" w:rsidRDefault="000E0F66" w:rsidP="00A93FD5">
      <w:pPr>
        <w:pStyle w:val="NormalWeb"/>
        <w:spacing w:before="0" w:beforeAutospacing="0" w:after="0" w:afterAutospacing="0" w:line="480" w:lineRule="auto"/>
        <w:jc w:val="both"/>
        <w:rPr>
          <w:b/>
          <w:color w:val="000000"/>
          <w:u w:val="single"/>
        </w:rPr>
      </w:pPr>
      <w:r w:rsidRPr="000E0F66">
        <w:rPr>
          <w:b/>
          <w:color w:val="000000"/>
          <w:u w:val="single"/>
        </w:rPr>
        <w:t>Balance of Convenience/Balance of Justice</w:t>
      </w:r>
    </w:p>
    <w:p w14:paraId="3B5B2090" w14:textId="509ABEA1" w:rsidR="00240BE3" w:rsidRDefault="000E0F66" w:rsidP="00A93FD5">
      <w:pPr>
        <w:pStyle w:val="NormalWeb"/>
        <w:numPr>
          <w:ilvl w:val="0"/>
          <w:numId w:val="1"/>
        </w:numPr>
        <w:spacing w:before="0" w:beforeAutospacing="0" w:after="0" w:afterAutospacing="0" w:line="480" w:lineRule="auto"/>
        <w:ind w:left="0" w:firstLine="0"/>
        <w:jc w:val="both"/>
        <w:rPr>
          <w:color w:val="000000"/>
        </w:rPr>
      </w:pPr>
      <w:r>
        <w:rPr>
          <w:color w:val="000000"/>
        </w:rPr>
        <w:t>By reason of</w:t>
      </w:r>
      <w:r w:rsidR="00B8261C" w:rsidRPr="00617953">
        <w:rPr>
          <w:color w:val="000000"/>
        </w:rPr>
        <w:t xml:space="preserve"> these conclusions</w:t>
      </w:r>
      <w:r>
        <w:rPr>
          <w:color w:val="000000"/>
        </w:rPr>
        <w:t>,</w:t>
      </w:r>
      <w:r w:rsidR="00B8261C" w:rsidRPr="00617953">
        <w:rPr>
          <w:color w:val="000000"/>
        </w:rPr>
        <w:t xml:space="preserve"> it is technically unnecessary for me to proceed t</w:t>
      </w:r>
      <w:r>
        <w:rPr>
          <w:color w:val="000000"/>
        </w:rPr>
        <w:t>o consider where</w:t>
      </w:r>
      <w:r w:rsidR="00B8261C" w:rsidRPr="00617953">
        <w:rPr>
          <w:color w:val="000000"/>
        </w:rPr>
        <w:t xml:space="preserve"> the balance of justice lies as between the parties.</w:t>
      </w:r>
      <w:r>
        <w:rPr>
          <w:color w:val="000000"/>
        </w:rPr>
        <w:t xml:space="preserve"> Were that to be necessary, I would,</w:t>
      </w:r>
      <w:r w:rsidR="00B8261C" w:rsidRPr="000E0F66">
        <w:rPr>
          <w:color w:val="000000"/>
        </w:rPr>
        <w:t xml:space="preserve"> as in other cases, have considerable di</w:t>
      </w:r>
      <w:r>
        <w:rPr>
          <w:color w:val="000000"/>
        </w:rPr>
        <w:t>fficulty in doing this</w:t>
      </w:r>
      <w:r w:rsidR="002D05B2">
        <w:rPr>
          <w:color w:val="000000"/>
        </w:rPr>
        <w:t xml:space="preserve"> due to the dearth of evidence before the court to support the arguments made by both parties</w:t>
      </w:r>
      <w:r w:rsidR="00B8261C" w:rsidRPr="000E0F66">
        <w:rPr>
          <w:color w:val="000000"/>
        </w:rPr>
        <w:t>. The defendant</w:t>
      </w:r>
      <w:r>
        <w:rPr>
          <w:color w:val="000000"/>
        </w:rPr>
        <w:t>’</w:t>
      </w:r>
      <w:r w:rsidR="00B8261C" w:rsidRPr="000E0F66">
        <w:rPr>
          <w:color w:val="000000"/>
        </w:rPr>
        <w:t xml:space="preserve">s position is that there is a </w:t>
      </w:r>
      <w:r w:rsidR="00B8261C" w:rsidRPr="000E0F66">
        <w:rPr>
          <w:i/>
          <w:color w:val="000000"/>
        </w:rPr>
        <w:t>bona</w:t>
      </w:r>
      <w:r w:rsidRPr="000E0F66">
        <w:rPr>
          <w:i/>
          <w:color w:val="000000"/>
        </w:rPr>
        <w:t xml:space="preserve"> </w:t>
      </w:r>
      <w:r w:rsidR="00B8261C" w:rsidRPr="000E0F66">
        <w:rPr>
          <w:i/>
          <w:color w:val="000000"/>
        </w:rPr>
        <w:t>fide</w:t>
      </w:r>
      <w:r w:rsidR="00B8261C" w:rsidRPr="000E0F66">
        <w:rPr>
          <w:color w:val="000000"/>
        </w:rPr>
        <w:t xml:space="preserve"> dispute be</w:t>
      </w:r>
      <w:r>
        <w:rPr>
          <w:color w:val="000000"/>
        </w:rPr>
        <w:t xml:space="preserve">tween himself and </w:t>
      </w:r>
      <w:r w:rsidR="00B8261C" w:rsidRPr="000E0F66">
        <w:rPr>
          <w:color w:val="000000"/>
        </w:rPr>
        <w:t>AIB as to whether he</w:t>
      </w:r>
      <w:r>
        <w:rPr>
          <w:color w:val="000000"/>
        </w:rPr>
        <w:t xml:space="preserve"> was overcharged on these loans</w:t>
      </w:r>
      <w:r w:rsidR="00B8261C" w:rsidRPr="000E0F66">
        <w:rPr>
          <w:color w:val="000000"/>
        </w:rPr>
        <w:t xml:space="preserve"> which will have </w:t>
      </w:r>
      <w:r w:rsidR="00B8261C" w:rsidRPr="000E0F66">
        <w:rPr>
          <w:color w:val="000000"/>
        </w:rPr>
        <w:lastRenderedPageBreak/>
        <w:t>a material bearing on the extent of his indebtedness</w:t>
      </w:r>
      <w:r w:rsidR="008B2C65">
        <w:rPr>
          <w:color w:val="000000"/>
        </w:rPr>
        <w:t xml:space="preserve"> although the nature of that dispute </w:t>
      </w:r>
      <w:r w:rsidR="00047A8D">
        <w:rPr>
          <w:color w:val="000000"/>
        </w:rPr>
        <w:t xml:space="preserve">nor the effect a resolution of it in the defendant’s </w:t>
      </w:r>
      <w:proofErr w:type="spellStart"/>
      <w:r w:rsidR="00047A8D">
        <w:rPr>
          <w:color w:val="000000"/>
        </w:rPr>
        <w:t>favour</w:t>
      </w:r>
      <w:proofErr w:type="spellEnd"/>
      <w:r w:rsidR="00047A8D">
        <w:rPr>
          <w:color w:val="000000"/>
        </w:rPr>
        <w:t xml:space="preserve"> would have on the </w:t>
      </w:r>
      <w:r w:rsidR="00C459C7">
        <w:rPr>
          <w:color w:val="000000"/>
        </w:rPr>
        <w:t xml:space="preserve">amounts outstanding </w:t>
      </w:r>
      <w:r w:rsidR="008B2C65">
        <w:rPr>
          <w:color w:val="000000"/>
        </w:rPr>
        <w:t>has not been described to the court</w:t>
      </w:r>
      <w:r w:rsidR="00B8261C" w:rsidRPr="000E0F66">
        <w:rPr>
          <w:color w:val="000000"/>
        </w:rPr>
        <w:t xml:space="preserve">. Coupled with this, he claims that </w:t>
      </w:r>
      <w:r>
        <w:rPr>
          <w:color w:val="000000"/>
        </w:rPr>
        <w:t>he is the owner of other assets</w:t>
      </w:r>
      <w:r w:rsidR="00B8261C" w:rsidRPr="000E0F66">
        <w:rPr>
          <w:color w:val="000000"/>
        </w:rPr>
        <w:t xml:space="preserve"> which, along with the mortgage</w:t>
      </w:r>
      <w:r w:rsidR="00C459C7">
        <w:rPr>
          <w:color w:val="000000"/>
        </w:rPr>
        <w:t>d</w:t>
      </w:r>
      <w:r w:rsidR="00B8261C" w:rsidRPr="000E0F66">
        <w:rPr>
          <w:color w:val="000000"/>
        </w:rPr>
        <w:t xml:space="preserve"> propertie</w:t>
      </w:r>
      <w:r>
        <w:rPr>
          <w:color w:val="000000"/>
        </w:rPr>
        <w:t>s,</w:t>
      </w:r>
      <w:r w:rsidR="00B8261C" w:rsidRPr="000E0F66">
        <w:rPr>
          <w:color w:val="000000"/>
        </w:rPr>
        <w:t xml:space="preserve"> mean that the defendant is not at any real risk of </w:t>
      </w:r>
      <w:r>
        <w:rPr>
          <w:color w:val="000000"/>
        </w:rPr>
        <w:t>being unable to recover damages in the event that an injunction is not granted and</w:t>
      </w:r>
      <w:r w:rsidR="00B8261C" w:rsidRPr="000E0F66">
        <w:rPr>
          <w:color w:val="000000"/>
        </w:rPr>
        <w:t xml:space="preserve"> the plaintiff</w:t>
      </w:r>
      <w:r>
        <w:rPr>
          <w:color w:val="000000"/>
        </w:rPr>
        <w:t>s succeed at</w:t>
      </w:r>
      <w:r w:rsidR="00B8261C" w:rsidRPr="000E0F66">
        <w:rPr>
          <w:color w:val="000000"/>
        </w:rPr>
        <w:t xml:space="preserve"> trial. </w:t>
      </w:r>
      <w:r w:rsidR="00240BE3">
        <w:rPr>
          <w:color w:val="000000"/>
        </w:rPr>
        <w:t xml:space="preserve">The defendant has not put any evidence before the court as to the existence </w:t>
      </w:r>
      <w:r w:rsidR="00BF7084">
        <w:rPr>
          <w:color w:val="000000"/>
        </w:rPr>
        <w:t xml:space="preserve">or </w:t>
      </w:r>
      <w:r w:rsidR="00240BE3">
        <w:rPr>
          <w:color w:val="000000"/>
        </w:rPr>
        <w:t>the value of the other assets to which he refers.</w:t>
      </w:r>
      <w:r w:rsidR="000107EC" w:rsidRPr="000107EC">
        <w:rPr>
          <w:color w:val="000000"/>
        </w:rPr>
        <w:t xml:space="preserve"> </w:t>
      </w:r>
      <w:r w:rsidR="000107EC" w:rsidRPr="000E0F66">
        <w:rPr>
          <w:color w:val="000000"/>
        </w:rPr>
        <w:t>I do n</w:t>
      </w:r>
      <w:r w:rsidR="000107EC">
        <w:rPr>
          <w:color w:val="000000"/>
        </w:rPr>
        <w:t>ot place any particular weight</w:t>
      </w:r>
      <w:r w:rsidR="000107EC" w:rsidRPr="000E0F66">
        <w:rPr>
          <w:color w:val="000000"/>
        </w:rPr>
        <w:t xml:space="preserve"> on the defendant</w:t>
      </w:r>
      <w:r w:rsidR="000107EC">
        <w:rPr>
          <w:color w:val="000000"/>
        </w:rPr>
        <w:t>’</w:t>
      </w:r>
      <w:r w:rsidR="000107EC" w:rsidRPr="000E0F66">
        <w:rPr>
          <w:color w:val="000000"/>
        </w:rPr>
        <w:t xml:space="preserve">s stated fondness for the properties </w:t>
      </w:r>
      <w:r w:rsidR="000107EC">
        <w:rPr>
          <w:color w:val="000000"/>
        </w:rPr>
        <w:t>n</w:t>
      </w:r>
      <w:r w:rsidR="000107EC" w:rsidRPr="000E0F66">
        <w:rPr>
          <w:color w:val="000000"/>
        </w:rPr>
        <w:t>or his amicable relations with his l</w:t>
      </w:r>
      <w:r w:rsidR="000107EC">
        <w:rPr>
          <w:color w:val="000000"/>
        </w:rPr>
        <w:t>ong-term tenants. Indeed, I note</w:t>
      </w:r>
      <w:r w:rsidR="000107EC" w:rsidRPr="000E0F66">
        <w:rPr>
          <w:color w:val="000000"/>
        </w:rPr>
        <w:t xml:space="preserve"> that the defendant states that</w:t>
      </w:r>
      <w:r w:rsidR="000107EC">
        <w:rPr>
          <w:color w:val="000000"/>
        </w:rPr>
        <w:t>,</w:t>
      </w:r>
      <w:r w:rsidR="000107EC" w:rsidRPr="000E0F66">
        <w:rPr>
          <w:color w:val="000000"/>
        </w:rPr>
        <w:t xml:space="preserve"> as a result of these relationships, he is charging the tenant</w:t>
      </w:r>
      <w:r w:rsidR="000107EC">
        <w:rPr>
          <w:color w:val="000000"/>
        </w:rPr>
        <w:t>s</w:t>
      </w:r>
      <w:r w:rsidR="000107EC" w:rsidRPr="000E0F66">
        <w:rPr>
          <w:color w:val="000000"/>
        </w:rPr>
        <w:t xml:space="preserve"> significantly less than the market </w:t>
      </w:r>
      <w:r w:rsidR="000107EC">
        <w:rPr>
          <w:color w:val="000000"/>
        </w:rPr>
        <w:t>rate</w:t>
      </w:r>
      <w:r w:rsidR="000107EC" w:rsidRPr="000E0F66">
        <w:rPr>
          <w:color w:val="000000"/>
        </w:rPr>
        <w:t xml:space="preserve"> for the properties, something to which legitimate objection might be taken by the plaintiffs to whom the defendant is still indebted</w:t>
      </w:r>
    </w:p>
    <w:p w14:paraId="31FD0589" w14:textId="3D566461" w:rsidR="000107EC" w:rsidRDefault="00B8261C" w:rsidP="00A93FD5">
      <w:pPr>
        <w:pStyle w:val="NormalWeb"/>
        <w:numPr>
          <w:ilvl w:val="0"/>
          <w:numId w:val="1"/>
        </w:numPr>
        <w:spacing w:before="0" w:beforeAutospacing="0" w:after="0" w:afterAutospacing="0" w:line="480" w:lineRule="auto"/>
        <w:ind w:left="0" w:firstLine="0"/>
        <w:jc w:val="both"/>
        <w:rPr>
          <w:color w:val="000000"/>
        </w:rPr>
      </w:pPr>
      <w:r w:rsidRPr="000E0F66">
        <w:rPr>
          <w:color w:val="000000"/>
        </w:rPr>
        <w:t>The plaintiffs argue that damages are necessaril</w:t>
      </w:r>
      <w:r w:rsidR="000E0F66">
        <w:rPr>
          <w:color w:val="000000"/>
        </w:rPr>
        <w:t>y an inadequate remedy as t</w:t>
      </w:r>
      <w:r w:rsidRPr="000E0F66">
        <w:rPr>
          <w:color w:val="000000"/>
        </w:rPr>
        <w:t xml:space="preserve">he defendant has been </w:t>
      </w:r>
      <w:r w:rsidR="000E0F66">
        <w:rPr>
          <w:color w:val="000000"/>
        </w:rPr>
        <w:t>un</w:t>
      </w:r>
      <w:r w:rsidRPr="000E0F66">
        <w:rPr>
          <w:color w:val="000000"/>
        </w:rPr>
        <w:t xml:space="preserve">able to make the repayments on his loans over a considerable period of time. </w:t>
      </w:r>
      <w:r w:rsidR="00C459C7">
        <w:rPr>
          <w:color w:val="000000"/>
        </w:rPr>
        <w:t>However, i</w:t>
      </w:r>
      <w:r w:rsidR="008B2C65">
        <w:rPr>
          <w:color w:val="000000"/>
        </w:rPr>
        <w:t>t</w:t>
      </w:r>
      <w:r w:rsidRPr="000E0F66">
        <w:rPr>
          <w:color w:val="000000"/>
        </w:rPr>
        <w:t xml:space="preserve"> seem</w:t>
      </w:r>
      <w:r w:rsidR="00503A37">
        <w:rPr>
          <w:color w:val="000000"/>
        </w:rPr>
        <w:t>s</w:t>
      </w:r>
      <w:r w:rsidRPr="000E0F66">
        <w:rPr>
          <w:color w:val="000000"/>
        </w:rPr>
        <w:t xml:space="preserve"> that the defendant</w:t>
      </w:r>
      <w:r w:rsidR="000E0F66">
        <w:rPr>
          <w:color w:val="000000"/>
        </w:rPr>
        <w:t>’</w:t>
      </w:r>
      <w:r w:rsidRPr="000E0F66">
        <w:rPr>
          <w:color w:val="000000"/>
        </w:rPr>
        <w:t>s loans were</w:t>
      </w:r>
      <w:r w:rsidR="000E0F66">
        <w:rPr>
          <w:color w:val="000000"/>
        </w:rPr>
        <w:t xml:space="preserve"> ones which were initially servi</w:t>
      </w:r>
      <w:r w:rsidRPr="000E0F66">
        <w:rPr>
          <w:color w:val="000000"/>
        </w:rPr>
        <w:t xml:space="preserve">ced by him and </w:t>
      </w:r>
      <w:r w:rsidR="000E0F66">
        <w:rPr>
          <w:color w:val="000000"/>
        </w:rPr>
        <w:t xml:space="preserve">it was only </w:t>
      </w:r>
      <w:r w:rsidRPr="000E0F66">
        <w:rPr>
          <w:color w:val="000000"/>
        </w:rPr>
        <w:t>in the latter stages of</w:t>
      </w:r>
      <w:r w:rsidR="000E0F66">
        <w:rPr>
          <w:color w:val="000000"/>
        </w:rPr>
        <w:t xml:space="preserve"> their original terms (</w:t>
      </w:r>
      <w:r w:rsidRPr="000E0F66">
        <w:rPr>
          <w:color w:val="000000"/>
        </w:rPr>
        <w:t>i</w:t>
      </w:r>
      <w:r w:rsidR="000E0F66">
        <w:rPr>
          <w:color w:val="000000"/>
        </w:rPr>
        <w:t>.</w:t>
      </w:r>
      <w:r w:rsidRPr="000E0F66">
        <w:rPr>
          <w:color w:val="000000"/>
        </w:rPr>
        <w:t>e</w:t>
      </w:r>
      <w:r w:rsidR="000E0F66">
        <w:rPr>
          <w:color w:val="000000"/>
        </w:rPr>
        <w:t>. post-</w:t>
      </w:r>
      <w:r w:rsidRPr="000E0F66">
        <w:rPr>
          <w:color w:val="000000"/>
        </w:rPr>
        <w:t>2013</w:t>
      </w:r>
      <w:r w:rsidR="000E0F66">
        <w:rPr>
          <w:color w:val="000000"/>
        </w:rPr>
        <w:t>)</w:t>
      </w:r>
      <w:r w:rsidRPr="000E0F66">
        <w:rPr>
          <w:color w:val="000000"/>
        </w:rPr>
        <w:t xml:space="preserve"> that he fell into arrears. Consequently, it is not entirely clear the extent to which the available security is sufficient or insufficient having regard to the defendant</w:t>
      </w:r>
      <w:r w:rsidR="000E0F66">
        <w:rPr>
          <w:color w:val="000000"/>
        </w:rPr>
        <w:t>’</w:t>
      </w:r>
      <w:r w:rsidRPr="000E0F66">
        <w:rPr>
          <w:color w:val="000000"/>
        </w:rPr>
        <w:t xml:space="preserve">s current level of indebtedness. For example, in respect of the property the subject of </w:t>
      </w:r>
      <w:r w:rsidR="000E0F66">
        <w:rPr>
          <w:color w:val="000000"/>
        </w:rPr>
        <w:t xml:space="preserve">the </w:t>
      </w:r>
      <w:r w:rsidRPr="000E0F66">
        <w:rPr>
          <w:color w:val="000000"/>
        </w:rPr>
        <w:t>proceedings be</w:t>
      </w:r>
      <w:r w:rsidR="000E0F66">
        <w:rPr>
          <w:color w:val="000000"/>
        </w:rPr>
        <w:t xml:space="preserve">aring </w:t>
      </w:r>
      <w:r w:rsidR="00240BE3">
        <w:rPr>
          <w:color w:val="000000"/>
        </w:rPr>
        <w:t>R</w:t>
      </w:r>
      <w:r w:rsidR="000E0F66">
        <w:rPr>
          <w:color w:val="000000"/>
        </w:rPr>
        <w:t xml:space="preserve">eference </w:t>
      </w:r>
      <w:r w:rsidR="00240BE3">
        <w:rPr>
          <w:color w:val="000000"/>
        </w:rPr>
        <w:t>No.</w:t>
      </w:r>
      <w:r w:rsidR="000E0F66">
        <w:rPr>
          <w:color w:val="000000"/>
        </w:rPr>
        <w:t>2021/75</w:t>
      </w:r>
      <w:r w:rsidRPr="000E0F66">
        <w:rPr>
          <w:color w:val="000000"/>
        </w:rPr>
        <w:t>P</w:t>
      </w:r>
      <w:r w:rsidR="00240BE3">
        <w:rPr>
          <w:color w:val="000000"/>
        </w:rPr>
        <w:t xml:space="preserve"> (11 Abercorn Road)</w:t>
      </w:r>
      <w:r w:rsidR="000E0F66">
        <w:rPr>
          <w:color w:val="000000"/>
        </w:rPr>
        <w:t>,</w:t>
      </w:r>
      <w:r w:rsidRPr="000E0F66">
        <w:rPr>
          <w:color w:val="000000"/>
        </w:rPr>
        <w:t xml:space="preserve"> the plaintiffs claim that the defendant</w:t>
      </w:r>
      <w:r w:rsidR="000E0F66">
        <w:rPr>
          <w:color w:val="000000"/>
        </w:rPr>
        <w:t>’s indebtedness at</w:t>
      </w:r>
      <w:r w:rsidRPr="000E0F66">
        <w:rPr>
          <w:color w:val="000000"/>
        </w:rPr>
        <w:t xml:space="preserve"> th</w:t>
      </w:r>
      <w:r w:rsidR="000E0F66">
        <w:rPr>
          <w:color w:val="000000"/>
        </w:rPr>
        <w:t>e time the first plaintiff swore</w:t>
      </w:r>
      <w:r w:rsidRPr="000E0F66">
        <w:rPr>
          <w:color w:val="000000"/>
        </w:rPr>
        <w:t xml:space="preserve"> his affidavit was some </w:t>
      </w:r>
      <w:r w:rsidR="000E0F66">
        <w:rPr>
          <w:color w:val="000000"/>
        </w:rPr>
        <w:t>€</w:t>
      </w:r>
      <w:r w:rsidRPr="000E0F66">
        <w:rPr>
          <w:color w:val="000000"/>
        </w:rPr>
        <w:t>290</w:t>
      </w:r>
      <w:r w:rsidR="000E0F66">
        <w:rPr>
          <w:color w:val="000000"/>
        </w:rPr>
        <w:t>,000 wherea</w:t>
      </w:r>
      <w:r w:rsidRPr="000E0F66">
        <w:rPr>
          <w:color w:val="000000"/>
        </w:rPr>
        <w:t xml:space="preserve">s the value of the property </w:t>
      </w:r>
      <w:r w:rsidR="00BF7084">
        <w:rPr>
          <w:color w:val="000000"/>
        </w:rPr>
        <w:t xml:space="preserve">immediately prior to the issuing of the application </w:t>
      </w:r>
      <w:r w:rsidR="00240BE3">
        <w:rPr>
          <w:color w:val="000000"/>
        </w:rPr>
        <w:t xml:space="preserve">was approximately </w:t>
      </w:r>
      <w:r w:rsidR="000E0F66">
        <w:rPr>
          <w:color w:val="000000"/>
        </w:rPr>
        <w:t>€</w:t>
      </w:r>
      <w:r w:rsidRPr="000E0F66">
        <w:rPr>
          <w:color w:val="000000"/>
        </w:rPr>
        <w:t>280,000</w:t>
      </w:r>
      <w:r w:rsidR="000E0F66">
        <w:rPr>
          <w:color w:val="000000"/>
        </w:rPr>
        <w:t>. T</w:t>
      </w:r>
      <w:r w:rsidRPr="000E0F66">
        <w:rPr>
          <w:color w:val="000000"/>
        </w:rPr>
        <w:t>his does not represent a particularly large deficit, especially in a strong property market. I accept that the mortgages</w:t>
      </w:r>
      <w:r w:rsidR="007071E2">
        <w:rPr>
          <w:color w:val="000000"/>
        </w:rPr>
        <w:t xml:space="preserve"> were ultimately </w:t>
      </w:r>
      <w:r w:rsidR="007071E2" w:rsidRPr="007071E2">
        <w:rPr>
          <w:i/>
          <w:color w:val="000000"/>
        </w:rPr>
        <w:t>“all sums due”</w:t>
      </w:r>
      <w:r w:rsidR="007071E2">
        <w:rPr>
          <w:color w:val="000000"/>
        </w:rPr>
        <w:t xml:space="preserve"> mortgages </w:t>
      </w:r>
      <w:r w:rsidR="00240BE3">
        <w:rPr>
          <w:color w:val="000000"/>
        </w:rPr>
        <w:t xml:space="preserve">which allow the </w:t>
      </w:r>
      <w:r w:rsidR="000107EC">
        <w:rPr>
          <w:color w:val="000000"/>
        </w:rPr>
        <w:t xml:space="preserve">mortgagee to </w:t>
      </w:r>
      <w:r w:rsidR="00240BE3">
        <w:rPr>
          <w:color w:val="000000"/>
        </w:rPr>
        <w:t xml:space="preserve">have recourse </w:t>
      </w:r>
      <w:r w:rsidR="000107EC">
        <w:rPr>
          <w:color w:val="000000"/>
        </w:rPr>
        <w:t xml:space="preserve">to the property in respect of all outstanding debts of the </w:t>
      </w:r>
      <w:r w:rsidR="000107EC">
        <w:rPr>
          <w:color w:val="000000"/>
        </w:rPr>
        <w:lastRenderedPageBreak/>
        <w:t xml:space="preserve">borrower and not just the debt on the particular loan for which the property was offered as security, </w:t>
      </w:r>
      <w:r w:rsidR="007071E2">
        <w:rPr>
          <w:color w:val="000000"/>
        </w:rPr>
        <w:t xml:space="preserve">but without a clearer </w:t>
      </w:r>
      <w:r w:rsidRPr="000E0F66">
        <w:rPr>
          <w:color w:val="000000"/>
        </w:rPr>
        <w:t>breakdown of the defendant</w:t>
      </w:r>
      <w:r w:rsidR="007071E2">
        <w:rPr>
          <w:color w:val="000000"/>
        </w:rPr>
        <w:t>’</w:t>
      </w:r>
      <w:r w:rsidRPr="000E0F66">
        <w:rPr>
          <w:color w:val="000000"/>
        </w:rPr>
        <w:t>s indebtedness relative to the v</w:t>
      </w:r>
      <w:r w:rsidR="007071E2">
        <w:rPr>
          <w:color w:val="000000"/>
        </w:rPr>
        <w:t>alue of the secured properties, i</w:t>
      </w:r>
      <w:r w:rsidRPr="000E0F66">
        <w:rPr>
          <w:color w:val="000000"/>
        </w:rPr>
        <w:t>t is difficult to assess whether the plaintiffs are</w:t>
      </w:r>
      <w:r w:rsidR="00E70AA3">
        <w:rPr>
          <w:color w:val="000000"/>
        </w:rPr>
        <w:t xml:space="preserve"> at</w:t>
      </w:r>
      <w:r w:rsidRPr="000E0F66">
        <w:rPr>
          <w:color w:val="000000"/>
        </w:rPr>
        <w:t xml:space="preserve"> </w:t>
      </w:r>
      <w:r w:rsidR="00E70AA3">
        <w:rPr>
          <w:color w:val="000000"/>
        </w:rPr>
        <w:t>real risk if the injunction were</w:t>
      </w:r>
      <w:r w:rsidRPr="000E0F66">
        <w:rPr>
          <w:color w:val="000000"/>
        </w:rPr>
        <w:t xml:space="preserve"> not </w:t>
      </w:r>
      <w:r w:rsidR="00E70AA3">
        <w:rPr>
          <w:color w:val="000000"/>
        </w:rPr>
        <w:t xml:space="preserve">to </w:t>
      </w:r>
      <w:r w:rsidRPr="000E0F66">
        <w:rPr>
          <w:color w:val="000000"/>
        </w:rPr>
        <w:t xml:space="preserve">be granted. </w:t>
      </w:r>
    </w:p>
    <w:p w14:paraId="52CA2EB6" w14:textId="37E41526" w:rsidR="00E70AA3" w:rsidRDefault="00B8261C" w:rsidP="00A93FD5">
      <w:pPr>
        <w:pStyle w:val="NormalWeb"/>
        <w:numPr>
          <w:ilvl w:val="0"/>
          <w:numId w:val="1"/>
        </w:numPr>
        <w:spacing w:before="0" w:beforeAutospacing="0" w:after="0" w:afterAutospacing="0" w:line="480" w:lineRule="auto"/>
        <w:ind w:left="0" w:firstLine="0"/>
        <w:jc w:val="both"/>
        <w:rPr>
          <w:color w:val="000000"/>
        </w:rPr>
      </w:pPr>
      <w:r w:rsidRPr="000E0F66">
        <w:rPr>
          <w:color w:val="000000"/>
        </w:rPr>
        <w:t>As against that</w:t>
      </w:r>
      <w:r w:rsidR="00E70AA3">
        <w:rPr>
          <w:color w:val="000000"/>
        </w:rPr>
        <w:t>,</w:t>
      </w:r>
      <w:r w:rsidRPr="000E0F66">
        <w:rPr>
          <w:color w:val="000000"/>
        </w:rPr>
        <w:t xml:space="preserve"> if the injunction were limited to allowing the receiver </w:t>
      </w:r>
      <w:r w:rsidR="003C3987">
        <w:rPr>
          <w:color w:val="000000"/>
        </w:rPr>
        <w:t xml:space="preserve">to </w:t>
      </w:r>
      <w:r w:rsidRPr="000E0F66">
        <w:rPr>
          <w:color w:val="000000"/>
        </w:rPr>
        <w:t>exercise the statutory power in respect of the rents and other income from the properties</w:t>
      </w:r>
      <w:r w:rsidR="00E70AA3">
        <w:rPr>
          <w:color w:val="000000"/>
        </w:rPr>
        <w:t>,</w:t>
      </w:r>
      <w:r w:rsidRPr="000E0F66">
        <w:rPr>
          <w:color w:val="000000"/>
        </w:rPr>
        <w:t xml:space="preserve"> the fairest approach might be to restrain the defendant from interfering with </w:t>
      </w:r>
      <w:r w:rsidR="00E70AA3">
        <w:rPr>
          <w:color w:val="000000"/>
        </w:rPr>
        <w:t>the receivership to that extent</w:t>
      </w:r>
      <w:r w:rsidR="000107EC">
        <w:rPr>
          <w:color w:val="000000"/>
        </w:rPr>
        <w:t>.</w:t>
      </w:r>
      <w:r w:rsidRPr="000E0F66">
        <w:rPr>
          <w:color w:val="000000"/>
        </w:rPr>
        <w:t xml:space="preserve"> </w:t>
      </w:r>
      <w:r w:rsidR="000107EC">
        <w:rPr>
          <w:color w:val="000000"/>
        </w:rPr>
        <w:t>To achieve this</w:t>
      </w:r>
      <w:r w:rsidR="00BF7084">
        <w:rPr>
          <w:color w:val="000000"/>
        </w:rPr>
        <w:t>,</w:t>
      </w:r>
      <w:r w:rsidR="000107EC">
        <w:rPr>
          <w:color w:val="000000"/>
        </w:rPr>
        <w:t xml:space="preserve"> it would be necessary to </w:t>
      </w:r>
      <w:r w:rsidRPr="000E0F66">
        <w:rPr>
          <w:color w:val="000000"/>
        </w:rPr>
        <w:t>modify the order</w:t>
      </w:r>
      <w:r w:rsidR="00E70AA3">
        <w:rPr>
          <w:color w:val="000000"/>
        </w:rPr>
        <w:t>s</w:t>
      </w:r>
      <w:r w:rsidRPr="000E0F66">
        <w:rPr>
          <w:color w:val="000000"/>
        </w:rPr>
        <w:t xml:space="preserve"> sought so that they did not </w:t>
      </w:r>
      <w:r w:rsidR="003C3987">
        <w:rPr>
          <w:color w:val="000000"/>
        </w:rPr>
        <w:t xml:space="preserve">bind nor </w:t>
      </w:r>
      <w:r w:rsidRPr="000E0F66">
        <w:rPr>
          <w:color w:val="000000"/>
        </w:rPr>
        <w:t>affect the sitting tenants and also</w:t>
      </w:r>
      <w:r w:rsidR="003C3987">
        <w:rPr>
          <w:color w:val="000000"/>
        </w:rPr>
        <w:t xml:space="preserve"> to</w:t>
      </w:r>
      <w:r w:rsidRPr="000E0F66">
        <w:rPr>
          <w:color w:val="000000"/>
        </w:rPr>
        <w:t xml:space="preserve"> ensur</w:t>
      </w:r>
      <w:r w:rsidR="000107EC">
        <w:rPr>
          <w:color w:val="000000"/>
        </w:rPr>
        <w:t>e</w:t>
      </w:r>
      <w:r w:rsidRPr="000E0F66">
        <w:rPr>
          <w:color w:val="000000"/>
        </w:rPr>
        <w:t xml:space="preserve"> that the first plaintiff did not proceed to exerci</w:t>
      </w:r>
      <w:r w:rsidR="00E70AA3">
        <w:rPr>
          <w:color w:val="000000"/>
        </w:rPr>
        <w:t>se a power of sale (as envisaged in his grounding affidavit)</w:t>
      </w:r>
      <w:r w:rsidR="000107EC">
        <w:rPr>
          <w:color w:val="000000"/>
        </w:rPr>
        <w:t xml:space="preserve"> prior to the determination of the proceedings. </w:t>
      </w:r>
      <w:r w:rsidR="00E70AA3">
        <w:rPr>
          <w:color w:val="000000"/>
        </w:rPr>
        <w:t xml:space="preserve"> I note that whilst</w:t>
      </w:r>
      <w:r w:rsidRPr="000E0F66">
        <w:rPr>
          <w:color w:val="000000"/>
        </w:rPr>
        <w:t xml:space="preserve"> the defendant clearly</w:t>
      </w:r>
      <w:r w:rsidR="00E70AA3">
        <w:rPr>
          <w:color w:val="000000"/>
        </w:rPr>
        <w:t xml:space="preserve"> has property rights to which due protection must be afforded, </w:t>
      </w:r>
      <w:r w:rsidRPr="000E0F66">
        <w:rPr>
          <w:color w:val="000000"/>
        </w:rPr>
        <w:t>he has</w:t>
      </w:r>
      <w:r w:rsidR="00E70AA3">
        <w:rPr>
          <w:color w:val="000000"/>
        </w:rPr>
        <w:t xml:space="preserve"> himself limited those rights t</w:t>
      </w:r>
      <w:r w:rsidRPr="000E0F66">
        <w:rPr>
          <w:color w:val="000000"/>
        </w:rPr>
        <w:t xml:space="preserve">hrough the agreements he has entered into with AIB </w:t>
      </w:r>
      <w:r w:rsidR="00E70AA3">
        <w:rPr>
          <w:color w:val="000000"/>
        </w:rPr>
        <w:t>and, of course, hi</w:t>
      </w:r>
      <w:r w:rsidRPr="000E0F66">
        <w:rPr>
          <w:color w:val="000000"/>
        </w:rPr>
        <w:t>s subsequent default on those agreements.</w:t>
      </w:r>
    </w:p>
    <w:p w14:paraId="316EE312" w14:textId="77777777" w:rsidR="00E70AA3" w:rsidRDefault="00E70AA3" w:rsidP="00A93FD5">
      <w:pPr>
        <w:pStyle w:val="NormalWeb"/>
        <w:numPr>
          <w:ilvl w:val="0"/>
          <w:numId w:val="1"/>
        </w:numPr>
        <w:spacing w:before="0" w:beforeAutospacing="0" w:after="0" w:afterAutospacing="0" w:line="480" w:lineRule="auto"/>
        <w:ind w:left="0" w:firstLine="0"/>
        <w:jc w:val="both"/>
        <w:rPr>
          <w:color w:val="000000"/>
        </w:rPr>
      </w:pPr>
      <w:r>
        <w:rPr>
          <w:color w:val="000000"/>
        </w:rPr>
        <w:t>I</w:t>
      </w:r>
      <w:r w:rsidR="00B8261C" w:rsidRPr="000E0F66">
        <w:rPr>
          <w:color w:val="000000"/>
        </w:rPr>
        <w:t>n light of the conclusions reached by me earlier in this judgment, it is not necessary for me to also reach a conclusion on the ba</w:t>
      </w:r>
      <w:r>
        <w:rPr>
          <w:color w:val="000000"/>
        </w:rPr>
        <w:t xml:space="preserve">lance of justice issue. Were it </w:t>
      </w:r>
      <w:r w:rsidR="00B8261C" w:rsidRPr="000E0F66">
        <w:rPr>
          <w:color w:val="000000"/>
        </w:rPr>
        <w:t>s</w:t>
      </w:r>
      <w:r>
        <w:rPr>
          <w:color w:val="000000"/>
        </w:rPr>
        <w:t>o necessary, I would,</w:t>
      </w:r>
      <w:r w:rsidR="00B8261C" w:rsidRPr="000E0F66">
        <w:rPr>
          <w:color w:val="000000"/>
        </w:rPr>
        <w:t xml:space="preserve"> yet again, </w:t>
      </w:r>
      <w:r>
        <w:rPr>
          <w:color w:val="000000"/>
        </w:rPr>
        <w:t xml:space="preserve">find myself in </w:t>
      </w:r>
      <w:r w:rsidR="000107EC">
        <w:rPr>
          <w:color w:val="000000"/>
        </w:rPr>
        <w:t xml:space="preserve">difficulty in </w:t>
      </w:r>
      <w:r>
        <w:rPr>
          <w:color w:val="000000"/>
        </w:rPr>
        <w:t>circumstances where</w:t>
      </w:r>
      <w:r w:rsidR="00B8261C" w:rsidRPr="000E0F66">
        <w:rPr>
          <w:color w:val="000000"/>
        </w:rPr>
        <w:t xml:space="preserve"> basic information on this issue upon which the parties</w:t>
      </w:r>
      <w:r>
        <w:rPr>
          <w:color w:val="000000"/>
        </w:rPr>
        <w:t xml:space="preserve"> apparently rely on h</w:t>
      </w:r>
      <w:r w:rsidR="00B8261C" w:rsidRPr="000E0F66">
        <w:rPr>
          <w:color w:val="000000"/>
        </w:rPr>
        <w:t>as not been placed before the court</w:t>
      </w:r>
      <w:r>
        <w:rPr>
          <w:color w:val="000000"/>
        </w:rPr>
        <w:t>. F</w:t>
      </w:r>
      <w:r w:rsidR="00B8261C" w:rsidRPr="000E0F66">
        <w:rPr>
          <w:color w:val="000000"/>
        </w:rPr>
        <w:t xml:space="preserve">ortunately, for the reasons already expressed, </w:t>
      </w:r>
      <w:r>
        <w:rPr>
          <w:color w:val="000000"/>
        </w:rPr>
        <w:t xml:space="preserve">I do </w:t>
      </w:r>
      <w:r w:rsidR="00B8261C" w:rsidRPr="000E0F66">
        <w:rPr>
          <w:color w:val="000000"/>
        </w:rPr>
        <w:t xml:space="preserve">need to address this matter further. </w:t>
      </w:r>
    </w:p>
    <w:p w14:paraId="7A98A4DE" w14:textId="77777777" w:rsidR="00BF7084" w:rsidRDefault="00BF7084" w:rsidP="00A93FD5">
      <w:pPr>
        <w:pStyle w:val="NormalWeb"/>
        <w:spacing w:before="0" w:beforeAutospacing="0" w:after="0" w:afterAutospacing="0" w:line="480" w:lineRule="auto"/>
        <w:jc w:val="both"/>
        <w:rPr>
          <w:b/>
          <w:color w:val="000000"/>
          <w:u w:val="single"/>
        </w:rPr>
      </w:pPr>
    </w:p>
    <w:p w14:paraId="4CF9C84B" w14:textId="77777777" w:rsidR="00E70AA3" w:rsidRPr="00E70AA3" w:rsidRDefault="00E70AA3" w:rsidP="00A93FD5">
      <w:pPr>
        <w:pStyle w:val="NormalWeb"/>
        <w:spacing w:before="0" w:beforeAutospacing="0" w:after="0" w:afterAutospacing="0" w:line="480" w:lineRule="auto"/>
        <w:jc w:val="both"/>
        <w:rPr>
          <w:b/>
          <w:color w:val="000000"/>
          <w:u w:val="single"/>
        </w:rPr>
      </w:pPr>
      <w:r>
        <w:rPr>
          <w:b/>
          <w:color w:val="000000"/>
          <w:u w:val="single"/>
        </w:rPr>
        <w:t>Conclusions</w:t>
      </w:r>
    </w:p>
    <w:p w14:paraId="2585B19A" w14:textId="22DF99A7" w:rsidR="009252A9" w:rsidRPr="00E70AA3" w:rsidRDefault="00B8261C" w:rsidP="00A93FD5">
      <w:pPr>
        <w:pStyle w:val="NormalWeb"/>
        <w:numPr>
          <w:ilvl w:val="0"/>
          <w:numId w:val="1"/>
        </w:numPr>
        <w:spacing w:before="0" w:beforeAutospacing="0" w:after="0" w:afterAutospacing="0" w:line="480" w:lineRule="auto"/>
        <w:ind w:left="0" w:firstLine="0"/>
        <w:jc w:val="both"/>
        <w:rPr>
          <w:color w:val="000000"/>
        </w:rPr>
      </w:pPr>
      <w:r w:rsidRPr="000E0F66">
        <w:rPr>
          <w:color w:val="000000"/>
        </w:rPr>
        <w:t>In conclusion, I am not sat</w:t>
      </w:r>
      <w:r w:rsidR="00E70AA3">
        <w:rPr>
          <w:color w:val="000000"/>
        </w:rPr>
        <w:t>isfied that the plaintiffs have</w:t>
      </w:r>
      <w:r w:rsidRPr="000E0F66">
        <w:rPr>
          <w:color w:val="000000"/>
        </w:rPr>
        <w:t xml:space="preserve"> discharge</w:t>
      </w:r>
      <w:r w:rsidR="00E70AA3">
        <w:rPr>
          <w:color w:val="000000"/>
        </w:rPr>
        <w:t>d</w:t>
      </w:r>
      <w:r w:rsidRPr="000E0F66">
        <w:rPr>
          <w:color w:val="000000"/>
        </w:rPr>
        <w:t xml:space="preserve"> the onus of proof that lies upon them to show ownership of the loans underlying the mortgages</w:t>
      </w:r>
      <w:r w:rsidR="00E70AA3">
        <w:rPr>
          <w:color w:val="000000"/>
        </w:rPr>
        <w:t xml:space="preserve"> on which </w:t>
      </w:r>
      <w:r w:rsidRPr="000E0F66">
        <w:rPr>
          <w:color w:val="000000"/>
        </w:rPr>
        <w:t>they purport to rely</w:t>
      </w:r>
      <w:r w:rsidR="00E70AA3">
        <w:rPr>
          <w:color w:val="000000"/>
        </w:rPr>
        <w:t>.</w:t>
      </w:r>
      <w:r w:rsidR="003C3987">
        <w:rPr>
          <w:color w:val="000000"/>
        </w:rPr>
        <w:t xml:space="preserve"> Additionally, the extent to which it can be said that the plaintiffs have met the onus on them </w:t>
      </w:r>
      <w:r w:rsidR="003C3987">
        <w:rPr>
          <w:color w:val="000000"/>
        </w:rPr>
        <w:lastRenderedPageBreak/>
        <w:t xml:space="preserve">to establish ownership of the mortgages is open to question. </w:t>
      </w:r>
      <w:r w:rsidR="00E70AA3">
        <w:rPr>
          <w:color w:val="000000"/>
        </w:rPr>
        <w:t xml:space="preserve"> I</w:t>
      </w:r>
      <w:r w:rsidRPr="000E0F66">
        <w:rPr>
          <w:color w:val="000000"/>
        </w:rPr>
        <w:t>n those circumstances, the plaintiffs have not met the necessary threshol</w:t>
      </w:r>
      <w:r w:rsidR="00E70AA3">
        <w:rPr>
          <w:color w:val="000000"/>
        </w:rPr>
        <w:t>d for the grant of an interlocutory injunction, w</w:t>
      </w:r>
      <w:r w:rsidRPr="000E0F66">
        <w:rPr>
          <w:color w:val="000000"/>
        </w:rPr>
        <w:t>hether that threshold</w:t>
      </w:r>
      <w:r w:rsidR="00E70AA3">
        <w:rPr>
          <w:color w:val="000000"/>
        </w:rPr>
        <w:t xml:space="preserve"> is a fair question to be tried or a strong case</w:t>
      </w:r>
      <w:r w:rsidRPr="000E0F66">
        <w:rPr>
          <w:color w:val="000000"/>
        </w:rPr>
        <w:t>. I also have serious concerns as to whether the plaintiffs</w:t>
      </w:r>
      <w:r w:rsidR="00E70AA3">
        <w:rPr>
          <w:color w:val="000000"/>
        </w:rPr>
        <w:t xml:space="preserve"> have met the onus</w:t>
      </w:r>
      <w:r w:rsidRPr="000E0F66">
        <w:rPr>
          <w:color w:val="000000"/>
        </w:rPr>
        <w:t xml:space="preserve"> upon them as regards the transfer of the receivership in c</w:t>
      </w:r>
      <w:r w:rsidR="00E70AA3">
        <w:rPr>
          <w:color w:val="000000"/>
        </w:rPr>
        <w:t>ircumstances where the deed of n</w:t>
      </w:r>
      <w:r w:rsidRPr="000E0F66">
        <w:rPr>
          <w:color w:val="000000"/>
        </w:rPr>
        <w:t>ovation of the receivership does not appear to relate to the receiverships which are the subject of thi</w:t>
      </w:r>
      <w:r w:rsidR="00E70AA3">
        <w:rPr>
          <w:color w:val="000000"/>
        </w:rPr>
        <w:t>s application for an injunction. Consequently, the plaintiffs</w:t>
      </w:r>
      <w:r w:rsidRPr="000E0F66">
        <w:rPr>
          <w:color w:val="000000"/>
        </w:rPr>
        <w:t xml:space="preserve"> have failed to establish a strong case under this heading also</w:t>
      </w:r>
      <w:r w:rsidR="00E70AA3">
        <w:rPr>
          <w:color w:val="000000"/>
        </w:rPr>
        <w:t>. I</w:t>
      </w:r>
      <w:r w:rsidRPr="000E0F66">
        <w:rPr>
          <w:color w:val="000000"/>
        </w:rPr>
        <w:t>n those circumstances</w:t>
      </w:r>
      <w:r w:rsidR="00E70AA3">
        <w:rPr>
          <w:color w:val="000000"/>
        </w:rPr>
        <w:t>, I refuse</w:t>
      </w:r>
      <w:r w:rsidRPr="000E0F66">
        <w:rPr>
          <w:color w:val="000000"/>
        </w:rPr>
        <w:t xml:space="preserve"> the plaintiffs</w:t>
      </w:r>
      <w:r w:rsidR="00E70AA3">
        <w:rPr>
          <w:color w:val="000000"/>
        </w:rPr>
        <w:t>’</w:t>
      </w:r>
      <w:r w:rsidRPr="000E0F66">
        <w:rPr>
          <w:color w:val="000000"/>
        </w:rPr>
        <w:t xml:space="preserve"> appli</w:t>
      </w:r>
      <w:r w:rsidR="00E70AA3">
        <w:rPr>
          <w:color w:val="000000"/>
        </w:rPr>
        <w:t>cation for interlocutory relief.</w:t>
      </w:r>
    </w:p>
    <w:sectPr w:rsidR="009252A9" w:rsidRPr="00E70AA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8D7A0" w14:textId="77777777" w:rsidR="00253C65" w:rsidRDefault="00253C65" w:rsidP="00253C65">
      <w:pPr>
        <w:spacing w:after="0" w:line="240" w:lineRule="auto"/>
      </w:pPr>
      <w:r>
        <w:separator/>
      </w:r>
    </w:p>
  </w:endnote>
  <w:endnote w:type="continuationSeparator" w:id="0">
    <w:p w14:paraId="44140913" w14:textId="77777777" w:rsidR="00253C65" w:rsidRDefault="00253C65" w:rsidP="00253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7597" w14:textId="77777777" w:rsidR="00253C65" w:rsidRDefault="00253C65" w:rsidP="00253C65">
      <w:pPr>
        <w:spacing w:after="0" w:line="240" w:lineRule="auto"/>
      </w:pPr>
      <w:r>
        <w:separator/>
      </w:r>
    </w:p>
  </w:footnote>
  <w:footnote w:type="continuationSeparator" w:id="0">
    <w:p w14:paraId="57B6EDA6" w14:textId="77777777" w:rsidR="00253C65" w:rsidRDefault="00253C65" w:rsidP="00253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09541"/>
      <w:docPartObj>
        <w:docPartGallery w:val="Page Numbers (Top of Page)"/>
        <w:docPartUnique/>
      </w:docPartObj>
    </w:sdtPr>
    <w:sdtEndPr>
      <w:rPr>
        <w:noProof/>
      </w:rPr>
    </w:sdtEndPr>
    <w:sdtContent>
      <w:p w14:paraId="39F98213" w14:textId="77777777" w:rsidR="00253C65" w:rsidRDefault="00253C6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3FFEBFE" w14:textId="77777777" w:rsidR="00253C65" w:rsidRDefault="00253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85B34"/>
    <w:multiLevelType w:val="hybridMultilevel"/>
    <w:tmpl w:val="07AA46A4"/>
    <w:lvl w:ilvl="0" w:tplc="03FC27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B7C"/>
    <w:rsid w:val="00003691"/>
    <w:rsid w:val="0000419A"/>
    <w:rsid w:val="000107EC"/>
    <w:rsid w:val="000179A0"/>
    <w:rsid w:val="00026C03"/>
    <w:rsid w:val="00047A8D"/>
    <w:rsid w:val="000575AD"/>
    <w:rsid w:val="000604E5"/>
    <w:rsid w:val="000812E5"/>
    <w:rsid w:val="00082FAE"/>
    <w:rsid w:val="000B4FA2"/>
    <w:rsid w:val="000E0F66"/>
    <w:rsid w:val="000F17A2"/>
    <w:rsid w:val="00120868"/>
    <w:rsid w:val="00163B16"/>
    <w:rsid w:val="001D4505"/>
    <w:rsid w:val="001D52A1"/>
    <w:rsid w:val="00214015"/>
    <w:rsid w:val="00240BE3"/>
    <w:rsid w:val="00252169"/>
    <w:rsid w:val="00253C65"/>
    <w:rsid w:val="00281768"/>
    <w:rsid w:val="00292C34"/>
    <w:rsid w:val="0029571E"/>
    <w:rsid w:val="002D05B2"/>
    <w:rsid w:val="002F2CBB"/>
    <w:rsid w:val="00314E29"/>
    <w:rsid w:val="00355840"/>
    <w:rsid w:val="00365DB3"/>
    <w:rsid w:val="00372F76"/>
    <w:rsid w:val="00393876"/>
    <w:rsid w:val="003B61B8"/>
    <w:rsid w:val="003C1A7C"/>
    <w:rsid w:val="003C3987"/>
    <w:rsid w:val="00426A14"/>
    <w:rsid w:val="004305BA"/>
    <w:rsid w:val="00453FA7"/>
    <w:rsid w:val="004D22A4"/>
    <w:rsid w:val="00503A37"/>
    <w:rsid w:val="00516791"/>
    <w:rsid w:val="0058016B"/>
    <w:rsid w:val="00585B7C"/>
    <w:rsid w:val="00617953"/>
    <w:rsid w:val="00665D47"/>
    <w:rsid w:val="006F6C3C"/>
    <w:rsid w:val="007071E2"/>
    <w:rsid w:val="00736232"/>
    <w:rsid w:val="007951E1"/>
    <w:rsid w:val="007A2050"/>
    <w:rsid w:val="007C323A"/>
    <w:rsid w:val="007E57E3"/>
    <w:rsid w:val="0081634A"/>
    <w:rsid w:val="00866085"/>
    <w:rsid w:val="00866ED0"/>
    <w:rsid w:val="00894A4E"/>
    <w:rsid w:val="008B2C65"/>
    <w:rsid w:val="008F769A"/>
    <w:rsid w:val="0091699E"/>
    <w:rsid w:val="009252A9"/>
    <w:rsid w:val="00930222"/>
    <w:rsid w:val="009D61D0"/>
    <w:rsid w:val="00A46E89"/>
    <w:rsid w:val="00A63D5E"/>
    <w:rsid w:val="00A6574C"/>
    <w:rsid w:val="00A93FD5"/>
    <w:rsid w:val="00AA2B36"/>
    <w:rsid w:val="00AA53CD"/>
    <w:rsid w:val="00AC12E6"/>
    <w:rsid w:val="00AC5D60"/>
    <w:rsid w:val="00B00736"/>
    <w:rsid w:val="00B07CF4"/>
    <w:rsid w:val="00B152F5"/>
    <w:rsid w:val="00B24B58"/>
    <w:rsid w:val="00B33D9C"/>
    <w:rsid w:val="00B502EF"/>
    <w:rsid w:val="00B60B48"/>
    <w:rsid w:val="00B658F3"/>
    <w:rsid w:val="00B70081"/>
    <w:rsid w:val="00B8261C"/>
    <w:rsid w:val="00B9391F"/>
    <w:rsid w:val="00BD0224"/>
    <w:rsid w:val="00BF7084"/>
    <w:rsid w:val="00BF7EBA"/>
    <w:rsid w:val="00C05CC4"/>
    <w:rsid w:val="00C459C7"/>
    <w:rsid w:val="00C46B47"/>
    <w:rsid w:val="00C779AA"/>
    <w:rsid w:val="00C81F62"/>
    <w:rsid w:val="00CB2942"/>
    <w:rsid w:val="00CC0600"/>
    <w:rsid w:val="00CD12C5"/>
    <w:rsid w:val="00CD29A2"/>
    <w:rsid w:val="00CF591D"/>
    <w:rsid w:val="00CF5B94"/>
    <w:rsid w:val="00D44918"/>
    <w:rsid w:val="00D51392"/>
    <w:rsid w:val="00D605F5"/>
    <w:rsid w:val="00DC3012"/>
    <w:rsid w:val="00E22A9C"/>
    <w:rsid w:val="00E32300"/>
    <w:rsid w:val="00E41A94"/>
    <w:rsid w:val="00E70AA3"/>
    <w:rsid w:val="00E96165"/>
    <w:rsid w:val="00F063F5"/>
    <w:rsid w:val="00F4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F7E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2B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1F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F62"/>
    <w:rPr>
      <w:rFonts w:ascii="Segoe UI" w:hAnsi="Segoe UI" w:cs="Segoe UI"/>
      <w:sz w:val="18"/>
      <w:szCs w:val="18"/>
    </w:rPr>
  </w:style>
  <w:style w:type="paragraph" w:styleId="Header">
    <w:name w:val="header"/>
    <w:basedOn w:val="Normal"/>
    <w:link w:val="HeaderChar"/>
    <w:uiPriority w:val="99"/>
    <w:unhideWhenUsed/>
    <w:rsid w:val="00253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C65"/>
  </w:style>
  <w:style w:type="paragraph" w:styleId="Footer">
    <w:name w:val="footer"/>
    <w:basedOn w:val="Normal"/>
    <w:link w:val="FooterChar"/>
    <w:uiPriority w:val="99"/>
    <w:unhideWhenUsed/>
    <w:rsid w:val="00253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C65"/>
  </w:style>
  <w:style w:type="character" w:styleId="CommentReference">
    <w:name w:val="annotation reference"/>
    <w:basedOn w:val="DefaultParagraphFont"/>
    <w:uiPriority w:val="99"/>
    <w:semiHidden/>
    <w:unhideWhenUsed/>
    <w:rsid w:val="00253C65"/>
    <w:rPr>
      <w:sz w:val="16"/>
      <w:szCs w:val="16"/>
    </w:rPr>
  </w:style>
  <w:style w:type="paragraph" w:styleId="CommentText">
    <w:name w:val="annotation text"/>
    <w:basedOn w:val="Normal"/>
    <w:link w:val="CommentTextChar"/>
    <w:uiPriority w:val="99"/>
    <w:semiHidden/>
    <w:unhideWhenUsed/>
    <w:rsid w:val="00253C65"/>
    <w:pPr>
      <w:spacing w:line="240" w:lineRule="auto"/>
    </w:pPr>
    <w:rPr>
      <w:sz w:val="20"/>
      <w:szCs w:val="20"/>
    </w:rPr>
  </w:style>
  <w:style w:type="character" w:customStyle="1" w:styleId="CommentTextChar">
    <w:name w:val="Comment Text Char"/>
    <w:basedOn w:val="DefaultParagraphFont"/>
    <w:link w:val="CommentText"/>
    <w:uiPriority w:val="99"/>
    <w:semiHidden/>
    <w:rsid w:val="00253C65"/>
    <w:rPr>
      <w:sz w:val="20"/>
      <w:szCs w:val="20"/>
    </w:rPr>
  </w:style>
  <w:style w:type="paragraph" w:styleId="CommentSubject">
    <w:name w:val="annotation subject"/>
    <w:basedOn w:val="CommentText"/>
    <w:next w:val="CommentText"/>
    <w:link w:val="CommentSubjectChar"/>
    <w:uiPriority w:val="99"/>
    <w:semiHidden/>
    <w:unhideWhenUsed/>
    <w:rsid w:val="00253C65"/>
    <w:rPr>
      <w:b/>
      <w:bCs/>
    </w:rPr>
  </w:style>
  <w:style w:type="character" w:customStyle="1" w:styleId="CommentSubjectChar">
    <w:name w:val="Comment Subject Char"/>
    <w:basedOn w:val="CommentTextChar"/>
    <w:link w:val="CommentSubject"/>
    <w:uiPriority w:val="99"/>
    <w:semiHidden/>
    <w:rsid w:val="00253C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4749">
      <w:bodyDiv w:val="1"/>
      <w:marLeft w:val="0"/>
      <w:marRight w:val="0"/>
      <w:marTop w:val="0"/>
      <w:marBottom w:val="0"/>
      <w:divBdr>
        <w:top w:val="none" w:sz="0" w:space="0" w:color="auto"/>
        <w:left w:val="none" w:sz="0" w:space="0" w:color="auto"/>
        <w:bottom w:val="none" w:sz="0" w:space="0" w:color="auto"/>
        <w:right w:val="none" w:sz="0" w:space="0" w:color="auto"/>
      </w:divBdr>
    </w:div>
    <w:div w:id="147803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3B977-6805-4CC8-B8D9-85420D519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8092</Words>
  <Characters>46131</Characters>
  <Application>Microsoft Office Word</Application>
  <DocSecurity>4</DocSecurity>
  <Lines>384</Lines>
  <Paragraphs>108</Paragraphs>
  <ScaleCrop>false</ScaleCrop>
  <Company/>
  <LinksUpToDate>false</LinksUpToDate>
  <CharactersWithSpaces>54115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2022-05-31T14:11:00Z</dcterms:created>
  <dcterms:modified xsi:type="dcterms:W3CDTF">2022-05-31T14:11:00Z</dcterms:modified>
</cp:coreProperties>
</file>