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68BB" w14:textId="77777777" w:rsidR="00C33AEF" w:rsidRPr="00CF2D87" w:rsidRDefault="007F1903" w:rsidP="00DE7A87">
      <w:pPr>
        <w:spacing w:line="276" w:lineRule="auto"/>
        <w:jc w:val="center"/>
        <w:rPr>
          <w:rFonts w:ascii="Calibri" w:hAnsi="Calibri" w:cs="Calibri"/>
          <w:b/>
          <w:sz w:val="22"/>
          <w:szCs w:val="22"/>
        </w:rPr>
      </w:pPr>
      <w:r w:rsidRPr="00CF2D87">
        <w:rPr>
          <w:rFonts w:ascii="Calibri" w:hAnsi="Calibri" w:cs="Calibri"/>
          <w:b/>
          <w:sz w:val="22"/>
          <w:szCs w:val="22"/>
        </w:rPr>
        <w:t>THE HIGH COURT</w:t>
      </w:r>
    </w:p>
    <w:p w14:paraId="489099BC" w14:textId="70269200" w:rsidR="0084457E" w:rsidRPr="0084457E" w:rsidRDefault="0084457E" w:rsidP="00DE7A87">
      <w:pPr>
        <w:spacing w:line="276" w:lineRule="auto"/>
        <w:jc w:val="right"/>
        <w:rPr>
          <w:rFonts w:ascii="Calibri" w:hAnsi="Calibri" w:cs="Calibri"/>
          <w:bCs/>
          <w:sz w:val="22"/>
          <w:szCs w:val="22"/>
        </w:rPr>
      </w:pPr>
      <w:r w:rsidRPr="0084457E">
        <w:rPr>
          <w:rFonts w:ascii="Calibri" w:hAnsi="Calibri" w:cs="Calibri"/>
          <w:bCs/>
          <w:sz w:val="22"/>
          <w:szCs w:val="22"/>
        </w:rPr>
        <w:t>[2022] IEHC 317</w:t>
      </w:r>
    </w:p>
    <w:p w14:paraId="668DC6F1" w14:textId="77E5DE5D" w:rsidR="007F1903" w:rsidRPr="00CF2D87" w:rsidRDefault="006D7B9E" w:rsidP="00DE7A87">
      <w:pPr>
        <w:spacing w:line="276" w:lineRule="auto"/>
        <w:jc w:val="right"/>
        <w:rPr>
          <w:rFonts w:ascii="Calibri" w:hAnsi="Calibri" w:cs="Calibri"/>
          <w:b/>
          <w:sz w:val="22"/>
          <w:szCs w:val="22"/>
        </w:rPr>
      </w:pPr>
      <w:r w:rsidRPr="00CF2D87">
        <w:rPr>
          <w:rFonts w:ascii="Calibri" w:hAnsi="Calibri" w:cs="Calibri"/>
          <w:b/>
          <w:sz w:val="22"/>
          <w:szCs w:val="22"/>
        </w:rPr>
        <w:t>[</w:t>
      </w:r>
      <w:r w:rsidR="003A68B2" w:rsidRPr="00CF2D87">
        <w:rPr>
          <w:rFonts w:ascii="Calibri" w:hAnsi="Calibri" w:cs="Calibri"/>
          <w:b/>
          <w:sz w:val="22"/>
          <w:szCs w:val="22"/>
        </w:rPr>
        <w:t>2020</w:t>
      </w:r>
      <w:r w:rsidR="004B2883" w:rsidRPr="00CF2D87">
        <w:rPr>
          <w:rFonts w:ascii="Calibri" w:hAnsi="Calibri" w:cs="Calibri"/>
          <w:b/>
          <w:sz w:val="22"/>
          <w:szCs w:val="22"/>
        </w:rPr>
        <w:t>/</w:t>
      </w:r>
      <w:r w:rsidR="003A68B2" w:rsidRPr="00CF2D87">
        <w:rPr>
          <w:rFonts w:ascii="Calibri" w:hAnsi="Calibri" w:cs="Calibri"/>
          <w:b/>
          <w:sz w:val="22"/>
          <w:szCs w:val="22"/>
        </w:rPr>
        <w:t>99</w:t>
      </w:r>
      <w:r w:rsidR="002A584A" w:rsidRPr="00CF2D87">
        <w:rPr>
          <w:rFonts w:ascii="Calibri" w:hAnsi="Calibri" w:cs="Calibri"/>
          <w:b/>
          <w:sz w:val="22"/>
          <w:szCs w:val="22"/>
        </w:rPr>
        <w:t xml:space="preserve"> S</w:t>
      </w:r>
      <w:r w:rsidR="005A466E" w:rsidRPr="00CF2D87">
        <w:rPr>
          <w:rFonts w:ascii="Calibri" w:hAnsi="Calibri" w:cs="Calibri"/>
          <w:b/>
          <w:sz w:val="22"/>
          <w:szCs w:val="22"/>
        </w:rPr>
        <w:t>]</w:t>
      </w:r>
    </w:p>
    <w:p w14:paraId="6815F2E0" w14:textId="18425ECC" w:rsidR="002E41CE" w:rsidRPr="00CF2D87" w:rsidRDefault="002E41CE" w:rsidP="00DE7A87">
      <w:pPr>
        <w:spacing w:line="276" w:lineRule="auto"/>
        <w:rPr>
          <w:rFonts w:ascii="Calibri" w:hAnsi="Calibri" w:cs="Calibri"/>
          <w:b/>
          <w:sz w:val="22"/>
          <w:szCs w:val="22"/>
        </w:rPr>
      </w:pPr>
      <w:r w:rsidRPr="00CF2D87">
        <w:rPr>
          <w:rFonts w:ascii="Calibri" w:hAnsi="Calibri" w:cs="Calibri"/>
          <w:b/>
          <w:sz w:val="22"/>
          <w:szCs w:val="22"/>
        </w:rPr>
        <w:t>BETWEEN</w:t>
      </w:r>
    </w:p>
    <w:p w14:paraId="2D1367B9" w14:textId="77777777" w:rsidR="002E41CE" w:rsidRPr="00CF2D87" w:rsidRDefault="002A584A" w:rsidP="00DE7A87">
      <w:pPr>
        <w:spacing w:line="276" w:lineRule="auto"/>
        <w:jc w:val="center"/>
        <w:rPr>
          <w:rFonts w:ascii="Calibri" w:hAnsi="Calibri" w:cs="Calibri"/>
          <w:b/>
          <w:sz w:val="22"/>
          <w:szCs w:val="22"/>
        </w:rPr>
      </w:pPr>
      <w:r w:rsidRPr="00CF2D87">
        <w:rPr>
          <w:rFonts w:ascii="Calibri" w:hAnsi="Calibri" w:cs="Calibri"/>
          <w:b/>
          <w:sz w:val="22"/>
          <w:szCs w:val="22"/>
        </w:rPr>
        <w:t>ALLIED IRISH BANKS PLC</w:t>
      </w:r>
    </w:p>
    <w:p w14:paraId="5C7EF0B5" w14:textId="77777777" w:rsidR="002E41CE" w:rsidRPr="00CF2D87" w:rsidRDefault="00536877" w:rsidP="00DE7A87">
      <w:pPr>
        <w:spacing w:line="276" w:lineRule="auto"/>
        <w:jc w:val="right"/>
        <w:rPr>
          <w:rFonts w:ascii="Calibri" w:hAnsi="Calibri" w:cs="Calibri"/>
          <w:b/>
          <w:sz w:val="22"/>
          <w:szCs w:val="22"/>
        </w:rPr>
      </w:pPr>
      <w:r w:rsidRPr="00CF2D87">
        <w:rPr>
          <w:rFonts w:ascii="Calibri" w:hAnsi="Calibri" w:cs="Calibri"/>
          <w:b/>
          <w:sz w:val="22"/>
          <w:szCs w:val="22"/>
        </w:rPr>
        <w:t>PLAINTIFF</w:t>
      </w:r>
    </w:p>
    <w:p w14:paraId="51173FC2" w14:textId="4CE8C109" w:rsidR="00536877" w:rsidRPr="00CF2D87" w:rsidRDefault="002E41CE" w:rsidP="007773A1">
      <w:pPr>
        <w:spacing w:line="276" w:lineRule="auto"/>
        <w:rPr>
          <w:rFonts w:ascii="Calibri" w:hAnsi="Calibri" w:cs="Calibri"/>
          <w:b/>
          <w:sz w:val="22"/>
          <w:szCs w:val="22"/>
        </w:rPr>
      </w:pPr>
      <w:r w:rsidRPr="00CF2D87">
        <w:rPr>
          <w:rFonts w:ascii="Calibri" w:hAnsi="Calibri" w:cs="Calibri"/>
          <w:b/>
          <w:sz w:val="22"/>
          <w:szCs w:val="22"/>
        </w:rPr>
        <w:t>AND</w:t>
      </w:r>
    </w:p>
    <w:p w14:paraId="03F5CDBF" w14:textId="77777777" w:rsidR="002E41CE" w:rsidRPr="00CF2D87" w:rsidRDefault="003A68B2" w:rsidP="00DE7A87">
      <w:pPr>
        <w:spacing w:line="276" w:lineRule="auto"/>
        <w:jc w:val="center"/>
        <w:rPr>
          <w:rFonts w:ascii="Calibri" w:hAnsi="Calibri" w:cs="Calibri"/>
          <w:b/>
          <w:sz w:val="22"/>
          <w:szCs w:val="22"/>
        </w:rPr>
      </w:pPr>
      <w:r w:rsidRPr="00CF2D87">
        <w:rPr>
          <w:rFonts w:ascii="Calibri" w:hAnsi="Calibri" w:cs="Calibri"/>
          <w:b/>
          <w:sz w:val="22"/>
          <w:szCs w:val="22"/>
        </w:rPr>
        <w:t>OLIVER DOREY</w:t>
      </w:r>
    </w:p>
    <w:p w14:paraId="07E2CAD1" w14:textId="0062CE81" w:rsidR="002E41CE" w:rsidRPr="00CF2D87" w:rsidRDefault="00301550" w:rsidP="00DE7A87">
      <w:pPr>
        <w:spacing w:line="276" w:lineRule="auto"/>
        <w:jc w:val="right"/>
        <w:rPr>
          <w:rFonts w:ascii="Calibri" w:hAnsi="Calibri" w:cs="Calibri"/>
          <w:b/>
          <w:sz w:val="22"/>
          <w:szCs w:val="22"/>
        </w:rPr>
      </w:pPr>
      <w:r w:rsidRPr="00CF2D87">
        <w:rPr>
          <w:rFonts w:ascii="Calibri" w:hAnsi="Calibri" w:cs="Calibri"/>
          <w:b/>
          <w:sz w:val="22"/>
          <w:szCs w:val="22"/>
        </w:rPr>
        <w:t>DEFENDANT</w:t>
      </w:r>
    </w:p>
    <w:p w14:paraId="6998CC47" w14:textId="77777777" w:rsidR="00803377" w:rsidRPr="00CF2D87" w:rsidRDefault="00803377" w:rsidP="00DE7A87">
      <w:pPr>
        <w:spacing w:line="276" w:lineRule="auto"/>
        <w:jc w:val="right"/>
        <w:rPr>
          <w:rFonts w:ascii="Calibri" w:hAnsi="Calibri" w:cs="Calibri"/>
          <w:b/>
          <w:sz w:val="22"/>
          <w:szCs w:val="22"/>
        </w:rPr>
      </w:pPr>
    </w:p>
    <w:p w14:paraId="228B70C5" w14:textId="78A8CB86" w:rsidR="00160F57" w:rsidRPr="00CF2D87" w:rsidRDefault="002E41CE" w:rsidP="00F41C31">
      <w:pPr>
        <w:pStyle w:val="Heading2"/>
        <w:rPr>
          <w:szCs w:val="22"/>
        </w:rPr>
      </w:pPr>
      <w:r w:rsidRPr="00CF2D87">
        <w:rPr>
          <w:szCs w:val="22"/>
        </w:rPr>
        <w:t>JUDGMENT of M</w:t>
      </w:r>
      <w:r w:rsidR="007A698B" w:rsidRPr="00CF2D87">
        <w:rPr>
          <w:szCs w:val="22"/>
        </w:rPr>
        <w:t>r</w:t>
      </w:r>
      <w:r w:rsidRPr="00CF2D87">
        <w:rPr>
          <w:szCs w:val="22"/>
        </w:rPr>
        <w:t xml:space="preserve">. </w:t>
      </w:r>
      <w:r w:rsidR="00C33AEF" w:rsidRPr="00CF2D87">
        <w:rPr>
          <w:szCs w:val="22"/>
        </w:rPr>
        <w:t xml:space="preserve">Justice </w:t>
      </w:r>
      <w:r w:rsidR="007A698B" w:rsidRPr="00CF2D87">
        <w:rPr>
          <w:szCs w:val="22"/>
        </w:rPr>
        <w:t>Holland</w:t>
      </w:r>
      <w:r w:rsidRPr="00CF2D87">
        <w:rPr>
          <w:szCs w:val="22"/>
        </w:rPr>
        <w:t xml:space="preserve"> delivered on </w:t>
      </w:r>
      <w:r w:rsidR="00517F3A" w:rsidRPr="00CF2D87">
        <w:rPr>
          <w:szCs w:val="22"/>
        </w:rPr>
        <w:t xml:space="preserve">31 </w:t>
      </w:r>
      <w:proofErr w:type="gramStart"/>
      <w:r w:rsidR="003A68B2" w:rsidRPr="00CF2D87">
        <w:rPr>
          <w:szCs w:val="22"/>
        </w:rPr>
        <w:t>May</w:t>
      </w:r>
      <w:r w:rsidR="00FA54F7" w:rsidRPr="00CF2D87">
        <w:rPr>
          <w:szCs w:val="22"/>
        </w:rPr>
        <w:t>,</w:t>
      </w:r>
      <w:proofErr w:type="gramEnd"/>
      <w:r w:rsidR="00FA54F7" w:rsidRPr="00CF2D87">
        <w:rPr>
          <w:szCs w:val="22"/>
        </w:rPr>
        <w:t xml:space="preserve"> 2022</w:t>
      </w:r>
    </w:p>
    <w:p w14:paraId="61DA7C13" w14:textId="77777777" w:rsidR="00DE7A87" w:rsidRPr="00CF2D87" w:rsidRDefault="00DE7A87" w:rsidP="00DE7A87">
      <w:pPr>
        <w:pStyle w:val="ListParagraph"/>
        <w:spacing w:line="276" w:lineRule="auto"/>
        <w:ind w:left="0"/>
        <w:rPr>
          <w:rFonts w:ascii="Calibri" w:hAnsi="Calibri" w:cs="Calibri"/>
          <w:sz w:val="22"/>
          <w:szCs w:val="22"/>
        </w:rPr>
      </w:pPr>
    </w:p>
    <w:p w14:paraId="15D6E1F6" w14:textId="4462EA74" w:rsidR="00F14C08" w:rsidRPr="00CF2D87" w:rsidRDefault="003A68B2" w:rsidP="00DE7A87">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On foot of </w:t>
      </w:r>
      <w:r w:rsidR="007773A1" w:rsidRPr="00CF2D87">
        <w:rPr>
          <w:rFonts w:ascii="Calibri" w:hAnsi="Calibri" w:cs="Calibri"/>
          <w:sz w:val="22"/>
          <w:szCs w:val="22"/>
        </w:rPr>
        <w:t xml:space="preserve">a </w:t>
      </w:r>
      <w:r w:rsidRPr="00CF2D87">
        <w:rPr>
          <w:rFonts w:ascii="Calibri" w:hAnsi="Calibri" w:cs="Calibri"/>
          <w:sz w:val="22"/>
          <w:szCs w:val="22"/>
        </w:rPr>
        <w:t>summary summons dated 18</w:t>
      </w:r>
      <w:r w:rsidRPr="00CF2D87">
        <w:rPr>
          <w:rFonts w:ascii="Calibri" w:hAnsi="Calibri" w:cs="Calibri"/>
          <w:sz w:val="22"/>
          <w:szCs w:val="22"/>
          <w:vertAlign w:val="superscript"/>
        </w:rPr>
        <w:t>th</w:t>
      </w:r>
      <w:r w:rsidRPr="00CF2D87">
        <w:rPr>
          <w:rFonts w:ascii="Calibri" w:hAnsi="Calibri" w:cs="Calibri"/>
          <w:sz w:val="22"/>
          <w:szCs w:val="22"/>
        </w:rPr>
        <w:t xml:space="preserve"> </w:t>
      </w:r>
      <w:proofErr w:type="gramStart"/>
      <w:r w:rsidRPr="00CF2D87">
        <w:rPr>
          <w:rFonts w:ascii="Calibri" w:hAnsi="Calibri" w:cs="Calibri"/>
          <w:sz w:val="22"/>
          <w:szCs w:val="22"/>
        </w:rPr>
        <w:t>March,</w:t>
      </w:r>
      <w:proofErr w:type="gramEnd"/>
      <w:r w:rsidRPr="00CF2D87">
        <w:rPr>
          <w:rFonts w:ascii="Calibri" w:hAnsi="Calibri" w:cs="Calibri"/>
          <w:sz w:val="22"/>
          <w:szCs w:val="22"/>
        </w:rPr>
        <w:t xml:space="preserve"> 2020, notice of motion for judgment in default of appearance dated 21</w:t>
      </w:r>
      <w:r w:rsidRPr="00CF2D87">
        <w:rPr>
          <w:rFonts w:ascii="Calibri" w:hAnsi="Calibri" w:cs="Calibri"/>
          <w:sz w:val="22"/>
          <w:szCs w:val="22"/>
          <w:vertAlign w:val="superscript"/>
        </w:rPr>
        <w:t>st</w:t>
      </w:r>
      <w:r w:rsidRPr="00CF2D87">
        <w:rPr>
          <w:rFonts w:ascii="Calibri" w:hAnsi="Calibri" w:cs="Calibri"/>
          <w:sz w:val="22"/>
          <w:szCs w:val="22"/>
        </w:rPr>
        <w:t xml:space="preserve"> September, 2021 and the grounding affidavit of Stephen Clarke sworn 27</w:t>
      </w:r>
      <w:r w:rsidRPr="00CF2D87">
        <w:rPr>
          <w:rFonts w:ascii="Calibri" w:hAnsi="Calibri" w:cs="Calibri"/>
          <w:sz w:val="22"/>
          <w:szCs w:val="22"/>
          <w:vertAlign w:val="superscript"/>
        </w:rPr>
        <w:t>th</w:t>
      </w:r>
      <w:r w:rsidRPr="00CF2D87">
        <w:rPr>
          <w:rFonts w:ascii="Calibri" w:hAnsi="Calibri" w:cs="Calibri"/>
          <w:sz w:val="22"/>
          <w:szCs w:val="22"/>
        </w:rPr>
        <w:t xml:space="preserve"> August, 2021, the plaintiff seeks judgment in default of appearance in the sum of €809,531.10 on foot of three loans </w:t>
      </w:r>
      <w:r w:rsidR="00DE7A87" w:rsidRPr="00CF2D87">
        <w:rPr>
          <w:rFonts w:ascii="Calibri" w:hAnsi="Calibri" w:cs="Calibri"/>
          <w:sz w:val="22"/>
          <w:szCs w:val="22"/>
        </w:rPr>
        <w:t>made</w:t>
      </w:r>
      <w:r w:rsidRPr="00CF2D87">
        <w:rPr>
          <w:rFonts w:ascii="Calibri" w:hAnsi="Calibri" w:cs="Calibri"/>
          <w:sz w:val="22"/>
          <w:szCs w:val="22"/>
        </w:rPr>
        <w:t xml:space="preserve"> in 2008.</w:t>
      </w:r>
      <w:r w:rsidR="00F14C08" w:rsidRPr="00CF2D87">
        <w:rPr>
          <w:rFonts w:ascii="Calibri" w:hAnsi="Calibri" w:cs="Calibri"/>
          <w:sz w:val="22"/>
          <w:szCs w:val="22"/>
        </w:rPr>
        <w:t xml:space="preserve"> </w:t>
      </w:r>
      <w:r w:rsidR="00CF66F7" w:rsidRPr="00CF2D87">
        <w:rPr>
          <w:rFonts w:ascii="Calibri" w:hAnsi="Calibri" w:cs="Calibri"/>
          <w:sz w:val="22"/>
          <w:szCs w:val="22"/>
        </w:rPr>
        <w:t>I part-heard t</w:t>
      </w:r>
      <w:r w:rsidR="00F14C08" w:rsidRPr="00CF2D87">
        <w:rPr>
          <w:rFonts w:ascii="Calibri" w:hAnsi="Calibri" w:cs="Calibri"/>
          <w:sz w:val="22"/>
          <w:szCs w:val="22"/>
        </w:rPr>
        <w:t>he motion on</w:t>
      </w:r>
      <w:r w:rsidRPr="00CF2D87">
        <w:rPr>
          <w:rFonts w:ascii="Calibri" w:hAnsi="Calibri" w:cs="Calibri"/>
          <w:sz w:val="22"/>
          <w:szCs w:val="22"/>
        </w:rPr>
        <w:t xml:space="preserve"> 23</w:t>
      </w:r>
      <w:r w:rsidRPr="00CF2D87">
        <w:rPr>
          <w:rFonts w:ascii="Calibri" w:hAnsi="Calibri" w:cs="Calibri"/>
          <w:sz w:val="22"/>
          <w:szCs w:val="22"/>
          <w:vertAlign w:val="superscript"/>
        </w:rPr>
        <w:t>rd</w:t>
      </w:r>
      <w:r w:rsidR="00F14C08" w:rsidRPr="00CF2D87">
        <w:rPr>
          <w:rFonts w:ascii="Calibri" w:hAnsi="Calibri" w:cs="Calibri"/>
          <w:sz w:val="22"/>
          <w:szCs w:val="22"/>
        </w:rPr>
        <w:t xml:space="preserve"> </w:t>
      </w:r>
      <w:proofErr w:type="gramStart"/>
      <w:r w:rsidRPr="00CF2D87">
        <w:rPr>
          <w:rFonts w:ascii="Calibri" w:hAnsi="Calibri" w:cs="Calibri"/>
          <w:sz w:val="22"/>
          <w:szCs w:val="22"/>
        </w:rPr>
        <w:t>May</w:t>
      </w:r>
      <w:r w:rsidR="00F14C08" w:rsidRPr="00CF2D87">
        <w:rPr>
          <w:rFonts w:ascii="Calibri" w:hAnsi="Calibri" w:cs="Calibri"/>
          <w:sz w:val="22"/>
          <w:szCs w:val="22"/>
        </w:rPr>
        <w:t>,</w:t>
      </w:r>
      <w:proofErr w:type="gramEnd"/>
      <w:r w:rsidR="00F14C08" w:rsidRPr="00CF2D87">
        <w:rPr>
          <w:rFonts w:ascii="Calibri" w:hAnsi="Calibri" w:cs="Calibri"/>
          <w:sz w:val="22"/>
          <w:szCs w:val="22"/>
        </w:rPr>
        <w:t xml:space="preserve"> 2022, t</w:t>
      </w:r>
      <w:r w:rsidRPr="00CF2D87">
        <w:rPr>
          <w:rFonts w:ascii="Calibri" w:hAnsi="Calibri" w:cs="Calibri"/>
          <w:sz w:val="22"/>
          <w:szCs w:val="22"/>
        </w:rPr>
        <w:t>he d</w:t>
      </w:r>
      <w:r w:rsidR="00F14C08" w:rsidRPr="00CF2D87">
        <w:rPr>
          <w:rFonts w:ascii="Calibri" w:hAnsi="Calibri" w:cs="Calibri"/>
          <w:sz w:val="22"/>
          <w:szCs w:val="22"/>
        </w:rPr>
        <w:t>efendant having been called and</w:t>
      </w:r>
      <w:r w:rsidRPr="00CF2D87">
        <w:rPr>
          <w:rFonts w:ascii="Calibri" w:hAnsi="Calibri" w:cs="Calibri"/>
          <w:sz w:val="22"/>
          <w:szCs w:val="22"/>
        </w:rPr>
        <w:t xml:space="preserve"> not having appeared</w:t>
      </w:r>
      <w:r w:rsidR="00F14C08" w:rsidRPr="00CF2D87">
        <w:rPr>
          <w:rFonts w:ascii="Calibri" w:hAnsi="Calibri" w:cs="Calibri"/>
          <w:sz w:val="22"/>
          <w:szCs w:val="22"/>
        </w:rPr>
        <w:t xml:space="preserve">. For </w:t>
      </w:r>
      <w:r w:rsidRPr="00CF2D87">
        <w:rPr>
          <w:rFonts w:ascii="Calibri" w:hAnsi="Calibri" w:cs="Calibri"/>
          <w:sz w:val="22"/>
          <w:szCs w:val="22"/>
        </w:rPr>
        <w:t>reasons which will become apparent</w:t>
      </w:r>
      <w:r w:rsidR="00F14C08" w:rsidRPr="00CF2D87">
        <w:rPr>
          <w:rFonts w:ascii="Calibri" w:hAnsi="Calibri" w:cs="Calibri"/>
          <w:sz w:val="22"/>
          <w:szCs w:val="22"/>
        </w:rPr>
        <w:t xml:space="preserve">, I need say </w:t>
      </w:r>
      <w:r w:rsidRPr="00CF2D87">
        <w:rPr>
          <w:rFonts w:ascii="Calibri" w:hAnsi="Calibri" w:cs="Calibri"/>
          <w:sz w:val="22"/>
          <w:szCs w:val="22"/>
        </w:rPr>
        <w:t>no mor</w:t>
      </w:r>
      <w:r w:rsidR="00F14C08" w:rsidRPr="00CF2D87">
        <w:rPr>
          <w:rFonts w:ascii="Calibri" w:hAnsi="Calibri" w:cs="Calibri"/>
          <w:sz w:val="22"/>
          <w:szCs w:val="22"/>
        </w:rPr>
        <w:t>e of the substance of the action.</w:t>
      </w:r>
    </w:p>
    <w:p w14:paraId="6FA753E9" w14:textId="77777777" w:rsidR="00DE7A87" w:rsidRPr="00CF2D87" w:rsidRDefault="00DE7A87" w:rsidP="00DE7A87">
      <w:pPr>
        <w:pStyle w:val="ListParagraph"/>
        <w:spacing w:line="276" w:lineRule="auto"/>
        <w:ind w:left="0"/>
        <w:rPr>
          <w:rFonts w:ascii="Calibri" w:hAnsi="Calibri" w:cs="Calibri"/>
          <w:sz w:val="22"/>
          <w:szCs w:val="22"/>
        </w:rPr>
      </w:pPr>
    </w:p>
    <w:p w14:paraId="014AFEAB" w14:textId="77777777" w:rsidR="00DE7A87" w:rsidRPr="00CF2D87" w:rsidRDefault="00DE7A87" w:rsidP="00DE7A87">
      <w:pPr>
        <w:pStyle w:val="ListParagraph"/>
        <w:spacing w:line="276" w:lineRule="auto"/>
        <w:ind w:left="0"/>
        <w:rPr>
          <w:rFonts w:ascii="Calibri" w:hAnsi="Calibri" w:cs="Calibri"/>
          <w:sz w:val="22"/>
          <w:szCs w:val="22"/>
        </w:rPr>
      </w:pPr>
    </w:p>
    <w:p w14:paraId="3518A4B0" w14:textId="77777777" w:rsidR="00F14C08" w:rsidRPr="00CF2D87" w:rsidRDefault="00F14C08" w:rsidP="00DE7A87">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I</w:t>
      </w:r>
      <w:r w:rsidR="003A68B2" w:rsidRPr="00CF2D87">
        <w:rPr>
          <w:rFonts w:ascii="Calibri" w:hAnsi="Calibri" w:cs="Calibri"/>
          <w:sz w:val="22"/>
          <w:szCs w:val="22"/>
        </w:rPr>
        <w:t>n the summary</w:t>
      </w:r>
      <w:r w:rsidR="00DE7A87" w:rsidRPr="00CF2D87">
        <w:rPr>
          <w:rFonts w:ascii="Calibri" w:hAnsi="Calibri" w:cs="Calibri"/>
          <w:sz w:val="22"/>
          <w:szCs w:val="22"/>
        </w:rPr>
        <w:t xml:space="preserve"> summons</w:t>
      </w:r>
      <w:r w:rsidR="003A68B2" w:rsidRPr="00CF2D87">
        <w:rPr>
          <w:rFonts w:ascii="Calibri" w:hAnsi="Calibri" w:cs="Calibri"/>
          <w:sz w:val="22"/>
          <w:szCs w:val="22"/>
        </w:rPr>
        <w:t xml:space="preserve"> and </w:t>
      </w:r>
      <w:r w:rsidR="00DE7A87" w:rsidRPr="00CF2D87">
        <w:rPr>
          <w:rFonts w:ascii="Calibri" w:hAnsi="Calibri" w:cs="Calibri"/>
          <w:sz w:val="22"/>
          <w:szCs w:val="22"/>
        </w:rPr>
        <w:t>as to</w:t>
      </w:r>
      <w:r w:rsidRPr="00CF2D87">
        <w:rPr>
          <w:rFonts w:ascii="Calibri" w:hAnsi="Calibri" w:cs="Calibri"/>
          <w:sz w:val="22"/>
          <w:szCs w:val="22"/>
        </w:rPr>
        <w:t xml:space="preserve"> each of the three loan</w:t>
      </w:r>
      <w:r w:rsidR="003A68B2" w:rsidRPr="00CF2D87">
        <w:rPr>
          <w:rFonts w:ascii="Calibri" w:hAnsi="Calibri" w:cs="Calibri"/>
          <w:sz w:val="22"/>
          <w:szCs w:val="22"/>
        </w:rPr>
        <w:t>s</w:t>
      </w:r>
      <w:r w:rsidRPr="00CF2D87">
        <w:rPr>
          <w:rFonts w:ascii="Calibri" w:hAnsi="Calibri" w:cs="Calibri"/>
          <w:sz w:val="22"/>
          <w:szCs w:val="22"/>
        </w:rPr>
        <w:t>,</w:t>
      </w:r>
      <w:r w:rsidR="003A68B2" w:rsidRPr="00CF2D87">
        <w:rPr>
          <w:rFonts w:ascii="Calibri" w:hAnsi="Calibri" w:cs="Calibri"/>
          <w:sz w:val="22"/>
          <w:szCs w:val="22"/>
        </w:rPr>
        <w:t xml:space="preserve"> the plaintiff plead</w:t>
      </w:r>
      <w:r w:rsidRPr="00CF2D87">
        <w:rPr>
          <w:rFonts w:ascii="Calibri" w:hAnsi="Calibri" w:cs="Calibri"/>
          <w:sz w:val="22"/>
          <w:szCs w:val="22"/>
        </w:rPr>
        <w:t>s</w:t>
      </w:r>
      <w:r w:rsidR="003A68B2" w:rsidRPr="00CF2D87">
        <w:rPr>
          <w:rFonts w:ascii="Calibri" w:hAnsi="Calibri" w:cs="Calibri"/>
          <w:sz w:val="22"/>
          <w:szCs w:val="22"/>
        </w:rPr>
        <w:t xml:space="preserve"> </w:t>
      </w:r>
      <w:r w:rsidR="00DE7A87" w:rsidRPr="00CF2D87">
        <w:rPr>
          <w:rFonts w:ascii="Calibri" w:hAnsi="Calibri" w:cs="Calibri"/>
          <w:sz w:val="22"/>
          <w:szCs w:val="22"/>
        </w:rPr>
        <w:t xml:space="preserve">as follows </w:t>
      </w:r>
      <w:r w:rsidR="003A68B2" w:rsidRPr="00CF2D87">
        <w:rPr>
          <w:rFonts w:ascii="Calibri" w:hAnsi="Calibri" w:cs="Calibri"/>
          <w:sz w:val="22"/>
          <w:szCs w:val="22"/>
        </w:rPr>
        <w:t xml:space="preserve">as to the alleged indebtedness of the </w:t>
      </w:r>
      <w:proofErr w:type="gramStart"/>
      <w:r w:rsidR="003A68B2" w:rsidRPr="00CF2D87">
        <w:rPr>
          <w:rFonts w:ascii="Calibri" w:hAnsi="Calibri" w:cs="Calibri"/>
          <w:sz w:val="22"/>
          <w:szCs w:val="22"/>
        </w:rPr>
        <w:t>defendant</w:t>
      </w:r>
      <w:r w:rsidRPr="00CF2D87">
        <w:rPr>
          <w:rFonts w:ascii="Calibri" w:hAnsi="Calibri" w:cs="Calibri"/>
          <w:sz w:val="22"/>
          <w:szCs w:val="22"/>
        </w:rPr>
        <w:t>:-</w:t>
      </w:r>
      <w:proofErr w:type="gramEnd"/>
    </w:p>
    <w:p w14:paraId="0D72C11E" w14:textId="77777777" w:rsidR="00DE7A87" w:rsidRPr="00CF2D87" w:rsidRDefault="00DE7A87" w:rsidP="00DE7A87">
      <w:pPr>
        <w:pStyle w:val="ListParagraph"/>
        <w:spacing w:line="276" w:lineRule="auto"/>
        <w:rPr>
          <w:rFonts w:ascii="Calibri" w:hAnsi="Calibri" w:cs="Calibri"/>
          <w:i/>
          <w:sz w:val="22"/>
          <w:szCs w:val="22"/>
        </w:rPr>
      </w:pPr>
    </w:p>
    <w:p w14:paraId="06675E54" w14:textId="0FB451A8" w:rsidR="00F14C08" w:rsidRPr="00CF2D87" w:rsidRDefault="00F14C08" w:rsidP="00DE7A87">
      <w:pPr>
        <w:pStyle w:val="ListParagraph"/>
        <w:spacing w:line="276" w:lineRule="auto"/>
        <w:rPr>
          <w:rFonts w:ascii="Calibri" w:hAnsi="Calibri" w:cs="Calibri"/>
          <w:i/>
          <w:sz w:val="22"/>
          <w:szCs w:val="22"/>
        </w:rPr>
      </w:pPr>
      <w:r w:rsidRPr="00CF2D87">
        <w:rPr>
          <w:rFonts w:ascii="Calibri" w:hAnsi="Calibri" w:cs="Calibri"/>
          <w:i/>
          <w:sz w:val="22"/>
          <w:szCs w:val="22"/>
        </w:rPr>
        <w:t>“Short particulars of that amount are set out hereunder</w:t>
      </w:r>
      <w:r w:rsidR="003A68B2" w:rsidRPr="00CF2D87">
        <w:rPr>
          <w:rFonts w:ascii="Calibri" w:hAnsi="Calibri" w:cs="Calibri"/>
          <w:i/>
          <w:sz w:val="22"/>
          <w:szCs w:val="22"/>
        </w:rPr>
        <w:t xml:space="preserve"> and f</w:t>
      </w:r>
      <w:r w:rsidR="00DE7A87" w:rsidRPr="00CF2D87">
        <w:rPr>
          <w:rFonts w:ascii="Calibri" w:hAnsi="Calibri" w:cs="Calibri"/>
          <w:i/>
          <w:sz w:val="22"/>
          <w:szCs w:val="22"/>
        </w:rPr>
        <w:t>ull</w:t>
      </w:r>
      <w:r w:rsidR="003A68B2" w:rsidRPr="00CF2D87">
        <w:rPr>
          <w:rFonts w:ascii="Calibri" w:hAnsi="Calibri" w:cs="Calibri"/>
          <w:i/>
          <w:sz w:val="22"/>
          <w:szCs w:val="22"/>
        </w:rPr>
        <w:t xml:space="preserve"> particulars of the </w:t>
      </w:r>
      <w:r w:rsidR="008A6F0F" w:rsidRPr="00CF2D87">
        <w:rPr>
          <w:rFonts w:ascii="Calibri" w:hAnsi="Calibri" w:cs="Calibri"/>
          <w:i/>
          <w:sz w:val="22"/>
          <w:szCs w:val="22"/>
        </w:rPr>
        <w:t>D</w:t>
      </w:r>
      <w:r w:rsidR="003A68B2" w:rsidRPr="00CF2D87">
        <w:rPr>
          <w:rFonts w:ascii="Calibri" w:hAnsi="Calibri" w:cs="Calibri"/>
          <w:i/>
          <w:sz w:val="22"/>
          <w:szCs w:val="22"/>
        </w:rPr>
        <w:t>efendant</w:t>
      </w:r>
      <w:r w:rsidRPr="00CF2D87">
        <w:rPr>
          <w:rFonts w:ascii="Calibri" w:hAnsi="Calibri" w:cs="Calibri"/>
          <w:i/>
          <w:sz w:val="22"/>
          <w:szCs w:val="22"/>
        </w:rPr>
        <w:t>’s indebtedness</w:t>
      </w:r>
      <w:r w:rsidR="003A68B2" w:rsidRPr="00CF2D87">
        <w:rPr>
          <w:rFonts w:ascii="Calibri" w:hAnsi="Calibri" w:cs="Calibri"/>
          <w:i/>
          <w:sz w:val="22"/>
          <w:szCs w:val="22"/>
        </w:rPr>
        <w:t xml:space="preserve"> have previously been notified to him by the delivery from time to ti</w:t>
      </w:r>
      <w:r w:rsidRPr="00CF2D87">
        <w:rPr>
          <w:rFonts w:ascii="Calibri" w:hAnsi="Calibri" w:cs="Calibri"/>
          <w:i/>
          <w:sz w:val="22"/>
          <w:szCs w:val="22"/>
        </w:rPr>
        <w:t>me of bank account statements i</w:t>
      </w:r>
      <w:r w:rsidR="003A68B2" w:rsidRPr="00CF2D87">
        <w:rPr>
          <w:rFonts w:ascii="Calibri" w:hAnsi="Calibri" w:cs="Calibri"/>
          <w:i/>
          <w:sz w:val="22"/>
          <w:szCs w:val="22"/>
        </w:rPr>
        <w:t>n respect of each of the accounts</w:t>
      </w:r>
      <w:r w:rsidR="008A6F0F" w:rsidRPr="00CF2D87">
        <w:rPr>
          <w:rFonts w:ascii="Calibri" w:hAnsi="Calibri" w:cs="Calibri"/>
          <w:i/>
          <w:sz w:val="22"/>
          <w:szCs w:val="22"/>
        </w:rPr>
        <w:t xml:space="preserve"> set out below</w:t>
      </w:r>
      <w:r w:rsidRPr="00CF2D87">
        <w:rPr>
          <w:rFonts w:ascii="Calibri" w:hAnsi="Calibri" w:cs="Calibri"/>
          <w:i/>
          <w:sz w:val="22"/>
          <w:szCs w:val="22"/>
        </w:rPr>
        <w:t>.”</w:t>
      </w:r>
    </w:p>
    <w:p w14:paraId="469A5DBF" w14:textId="77777777" w:rsidR="00DE7A87" w:rsidRPr="00CF2D87" w:rsidRDefault="00DE7A87" w:rsidP="00DE7A87">
      <w:pPr>
        <w:spacing w:line="276" w:lineRule="auto"/>
        <w:rPr>
          <w:rFonts w:ascii="Calibri" w:hAnsi="Calibri" w:cs="Calibri"/>
          <w:sz w:val="22"/>
          <w:szCs w:val="22"/>
        </w:rPr>
      </w:pPr>
    </w:p>
    <w:p w14:paraId="2B0B4470" w14:textId="77777777" w:rsidR="00DE7A87" w:rsidRPr="00CF2D87" w:rsidRDefault="00DE7A87" w:rsidP="00DE7A87">
      <w:pPr>
        <w:spacing w:line="276" w:lineRule="auto"/>
        <w:rPr>
          <w:rFonts w:ascii="Calibri" w:hAnsi="Calibri" w:cs="Calibri"/>
          <w:sz w:val="22"/>
          <w:szCs w:val="22"/>
        </w:rPr>
      </w:pPr>
    </w:p>
    <w:p w14:paraId="31F50220" w14:textId="11A6DBE6" w:rsidR="00DE7A87" w:rsidRPr="00CF2D87" w:rsidRDefault="00F14C08" w:rsidP="00CF66F7">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The issue on which</w:t>
      </w:r>
      <w:r w:rsidR="003A68B2" w:rsidRPr="00CF2D87">
        <w:rPr>
          <w:rFonts w:ascii="Calibri" w:hAnsi="Calibri" w:cs="Calibri"/>
          <w:sz w:val="22"/>
          <w:szCs w:val="22"/>
        </w:rPr>
        <w:t xml:space="preserve"> I now give judgment is whether that plea suffices to satisfy the requirem</w:t>
      </w:r>
      <w:r w:rsidRPr="00CF2D87">
        <w:rPr>
          <w:rFonts w:ascii="Calibri" w:hAnsi="Calibri" w:cs="Calibri"/>
          <w:sz w:val="22"/>
          <w:szCs w:val="22"/>
        </w:rPr>
        <w:t>ents as to particulars to be se</w:t>
      </w:r>
      <w:r w:rsidR="003A68B2" w:rsidRPr="00CF2D87">
        <w:rPr>
          <w:rFonts w:ascii="Calibri" w:hAnsi="Calibri" w:cs="Calibri"/>
          <w:sz w:val="22"/>
          <w:szCs w:val="22"/>
        </w:rPr>
        <w:t>t</w:t>
      </w:r>
      <w:r w:rsidRPr="00CF2D87">
        <w:rPr>
          <w:rFonts w:ascii="Calibri" w:hAnsi="Calibri" w:cs="Calibri"/>
          <w:sz w:val="22"/>
          <w:szCs w:val="22"/>
        </w:rPr>
        <w:t xml:space="preserve"> out in</w:t>
      </w:r>
      <w:r w:rsidR="003A68B2" w:rsidRPr="00CF2D87">
        <w:rPr>
          <w:rFonts w:ascii="Calibri" w:hAnsi="Calibri" w:cs="Calibri"/>
          <w:sz w:val="22"/>
          <w:szCs w:val="22"/>
        </w:rPr>
        <w:t xml:space="preserve"> a summary summons laid down by the Su</w:t>
      </w:r>
      <w:r w:rsidRPr="00CF2D87">
        <w:rPr>
          <w:rFonts w:ascii="Calibri" w:hAnsi="Calibri" w:cs="Calibri"/>
          <w:sz w:val="22"/>
          <w:szCs w:val="22"/>
        </w:rPr>
        <w:t xml:space="preserve">preme Court in </w:t>
      </w:r>
      <w:r w:rsidRPr="00CF2D87">
        <w:rPr>
          <w:rFonts w:ascii="Calibri" w:hAnsi="Calibri" w:cs="Calibri"/>
          <w:i/>
          <w:sz w:val="22"/>
          <w:szCs w:val="22"/>
        </w:rPr>
        <w:t>Bank of Ireland Mortgage B</w:t>
      </w:r>
      <w:r w:rsidR="003A68B2" w:rsidRPr="00CF2D87">
        <w:rPr>
          <w:rFonts w:ascii="Calibri" w:hAnsi="Calibri" w:cs="Calibri"/>
          <w:i/>
          <w:sz w:val="22"/>
          <w:szCs w:val="22"/>
        </w:rPr>
        <w:t xml:space="preserve">ank </w:t>
      </w:r>
      <w:r w:rsidR="007773A1" w:rsidRPr="00CF2D87">
        <w:rPr>
          <w:rFonts w:ascii="Calibri" w:hAnsi="Calibri" w:cs="Calibri"/>
          <w:i/>
          <w:sz w:val="22"/>
          <w:szCs w:val="22"/>
        </w:rPr>
        <w:t>v</w:t>
      </w:r>
      <w:r w:rsidRPr="00CF2D87">
        <w:rPr>
          <w:rFonts w:ascii="Calibri" w:hAnsi="Calibri" w:cs="Calibri"/>
          <w:i/>
          <w:sz w:val="22"/>
          <w:szCs w:val="22"/>
        </w:rPr>
        <w:t xml:space="preserve"> O’</w:t>
      </w:r>
      <w:r w:rsidR="003A68B2" w:rsidRPr="00CF2D87">
        <w:rPr>
          <w:rFonts w:ascii="Calibri" w:hAnsi="Calibri" w:cs="Calibri"/>
          <w:i/>
          <w:sz w:val="22"/>
          <w:szCs w:val="22"/>
        </w:rPr>
        <w:t>Malley</w:t>
      </w:r>
      <w:r w:rsidRPr="00CF2D87">
        <w:rPr>
          <w:rStyle w:val="FootnoteReference"/>
          <w:rFonts w:ascii="Calibri" w:hAnsi="Calibri" w:cs="Calibri"/>
          <w:sz w:val="22"/>
          <w:szCs w:val="22"/>
        </w:rPr>
        <w:footnoteReference w:id="1"/>
      </w:r>
      <w:r w:rsidRPr="00CF2D87">
        <w:rPr>
          <w:rFonts w:ascii="Calibri" w:hAnsi="Calibri" w:cs="Calibri"/>
          <w:sz w:val="22"/>
          <w:szCs w:val="22"/>
        </w:rPr>
        <w:t xml:space="preserve">. The </w:t>
      </w:r>
      <w:r w:rsidR="00CF66F7" w:rsidRPr="00CF2D87">
        <w:rPr>
          <w:rFonts w:ascii="Calibri" w:hAnsi="Calibri" w:cs="Calibri"/>
          <w:sz w:val="22"/>
          <w:szCs w:val="22"/>
        </w:rPr>
        <w:t>plaintiff</w:t>
      </w:r>
      <w:r w:rsidRPr="00CF2D87">
        <w:rPr>
          <w:rFonts w:ascii="Calibri" w:hAnsi="Calibri" w:cs="Calibri"/>
          <w:sz w:val="22"/>
          <w:szCs w:val="22"/>
        </w:rPr>
        <w:t xml:space="preserve"> asked that I give a judgment confined to this issue</w:t>
      </w:r>
      <w:r w:rsidR="003A68B2" w:rsidRPr="00CF2D87">
        <w:rPr>
          <w:rFonts w:ascii="Calibri" w:hAnsi="Calibri" w:cs="Calibri"/>
          <w:sz w:val="22"/>
          <w:szCs w:val="22"/>
        </w:rPr>
        <w:t xml:space="preserve"> as it is likely to arise in more than one set of </w:t>
      </w:r>
      <w:r w:rsidRPr="00CF2D87">
        <w:rPr>
          <w:rFonts w:ascii="Calibri" w:hAnsi="Calibri" w:cs="Calibri"/>
          <w:sz w:val="22"/>
          <w:szCs w:val="22"/>
        </w:rPr>
        <w:t>such proceedings.</w:t>
      </w:r>
      <w:r w:rsidR="00DE7A87" w:rsidRPr="00CF2D87">
        <w:rPr>
          <w:rFonts w:ascii="Calibri" w:hAnsi="Calibri" w:cs="Calibri"/>
          <w:sz w:val="22"/>
          <w:szCs w:val="22"/>
        </w:rPr>
        <w:t xml:space="preserve"> This judgment is given</w:t>
      </w:r>
      <w:r w:rsidR="007773A1" w:rsidRPr="00CF2D87">
        <w:rPr>
          <w:rFonts w:ascii="Calibri" w:hAnsi="Calibri" w:cs="Calibri"/>
          <w:sz w:val="22"/>
          <w:szCs w:val="22"/>
        </w:rPr>
        <w:t xml:space="preserve"> </w:t>
      </w:r>
      <w:r w:rsidR="00DE7A87" w:rsidRPr="00CF2D87">
        <w:rPr>
          <w:rFonts w:ascii="Calibri" w:hAnsi="Calibri" w:cs="Calibri"/>
          <w:sz w:val="22"/>
          <w:szCs w:val="22"/>
        </w:rPr>
        <w:t>without prejudice to the position of either</w:t>
      </w:r>
      <w:r w:rsidR="00CF66F7" w:rsidRPr="00CF2D87">
        <w:rPr>
          <w:rFonts w:ascii="Calibri" w:hAnsi="Calibri" w:cs="Calibri"/>
          <w:sz w:val="22"/>
          <w:szCs w:val="22"/>
        </w:rPr>
        <w:t xml:space="preserve"> </w:t>
      </w:r>
      <w:r w:rsidR="00DE7A87" w:rsidRPr="00CF2D87">
        <w:rPr>
          <w:rFonts w:ascii="Calibri" w:hAnsi="Calibri" w:cs="Calibri"/>
          <w:sz w:val="22"/>
          <w:szCs w:val="22"/>
        </w:rPr>
        <w:t>part</w:t>
      </w:r>
      <w:r w:rsidR="00CF66F7" w:rsidRPr="00CF2D87">
        <w:rPr>
          <w:rFonts w:ascii="Calibri" w:hAnsi="Calibri" w:cs="Calibri"/>
          <w:sz w:val="22"/>
          <w:szCs w:val="22"/>
        </w:rPr>
        <w:t xml:space="preserve">y </w:t>
      </w:r>
      <w:r w:rsidR="00DE7A87" w:rsidRPr="00CF2D87">
        <w:rPr>
          <w:rFonts w:ascii="Calibri" w:hAnsi="Calibri" w:cs="Calibri"/>
          <w:sz w:val="22"/>
          <w:szCs w:val="22"/>
        </w:rPr>
        <w:t xml:space="preserve">as to any other issues which may arise in the motion, which issues stand adjourned </w:t>
      </w:r>
      <w:r w:rsidR="00DE7A87" w:rsidRPr="00CF2D87">
        <w:rPr>
          <w:rFonts w:ascii="Calibri" w:hAnsi="Calibri" w:cs="Calibri"/>
          <w:i/>
          <w:sz w:val="22"/>
          <w:szCs w:val="22"/>
        </w:rPr>
        <w:t>pro tem</w:t>
      </w:r>
      <w:r w:rsidR="00DE7A87" w:rsidRPr="00CF2D87">
        <w:rPr>
          <w:rFonts w:ascii="Calibri" w:hAnsi="Calibri" w:cs="Calibri"/>
          <w:sz w:val="22"/>
          <w:szCs w:val="22"/>
        </w:rPr>
        <w:t xml:space="preserve"> and pending this judgment.</w:t>
      </w:r>
    </w:p>
    <w:p w14:paraId="1F5F49AA" w14:textId="77777777" w:rsidR="000B2344" w:rsidRPr="00CF2D87" w:rsidRDefault="000B2344" w:rsidP="00DE7A87">
      <w:pPr>
        <w:pStyle w:val="ListParagraph"/>
        <w:spacing w:line="276" w:lineRule="auto"/>
        <w:ind w:left="0"/>
        <w:rPr>
          <w:rFonts w:ascii="Calibri" w:hAnsi="Calibri" w:cs="Calibri"/>
          <w:sz w:val="22"/>
          <w:szCs w:val="22"/>
        </w:rPr>
      </w:pPr>
    </w:p>
    <w:p w14:paraId="2599AF8A" w14:textId="77777777" w:rsidR="000B2344" w:rsidRPr="00CF2D87" w:rsidRDefault="000B2344" w:rsidP="00DE7A87">
      <w:pPr>
        <w:pStyle w:val="ListParagraph"/>
        <w:spacing w:line="276" w:lineRule="auto"/>
        <w:ind w:left="0"/>
        <w:rPr>
          <w:rFonts w:ascii="Calibri" w:hAnsi="Calibri" w:cs="Calibri"/>
          <w:sz w:val="22"/>
          <w:szCs w:val="22"/>
        </w:rPr>
      </w:pPr>
    </w:p>
    <w:p w14:paraId="1B50FE83" w14:textId="77777777" w:rsidR="002D7576" w:rsidRPr="00CF2D87" w:rsidRDefault="000B2344" w:rsidP="00DE7A87">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 xml:space="preserve">I should add that I raised with the </w:t>
      </w:r>
      <w:r w:rsidR="00C65632" w:rsidRPr="00CF2D87">
        <w:rPr>
          <w:rFonts w:ascii="Calibri" w:hAnsi="Calibri" w:cs="Calibri"/>
          <w:sz w:val="22"/>
          <w:szCs w:val="22"/>
        </w:rPr>
        <w:t>plaintiff</w:t>
      </w:r>
      <w:r w:rsidRPr="00CF2D87">
        <w:rPr>
          <w:rFonts w:ascii="Calibri" w:hAnsi="Calibri" w:cs="Calibri"/>
          <w:sz w:val="22"/>
          <w:szCs w:val="22"/>
        </w:rPr>
        <w:t xml:space="preserve"> the question whether they wished to rely on the view that they are no</w:t>
      </w:r>
      <w:r w:rsidR="00C65632" w:rsidRPr="00CF2D87">
        <w:rPr>
          <w:rFonts w:ascii="Calibri" w:hAnsi="Calibri" w:cs="Calibri"/>
          <w:sz w:val="22"/>
          <w:szCs w:val="22"/>
        </w:rPr>
        <w:t>t</w:t>
      </w:r>
      <w:r w:rsidRPr="00CF2D87">
        <w:rPr>
          <w:rFonts w:ascii="Calibri" w:hAnsi="Calibri" w:cs="Calibri"/>
          <w:sz w:val="22"/>
          <w:szCs w:val="22"/>
        </w:rPr>
        <w:t xml:space="preserve"> oblig</w:t>
      </w:r>
      <w:r w:rsidR="00C65632" w:rsidRPr="00CF2D87">
        <w:rPr>
          <w:rFonts w:ascii="Calibri" w:hAnsi="Calibri" w:cs="Calibri"/>
          <w:sz w:val="22"/>
          <w:szCs w:val="22"/>
        </w:rPr>
        <w:t>ed</w:t>
      </w:r>
      <w:r w:rsidRPr="00CF2D87">
        <w:rPr>
          <w:rFonts w:ascii="Calibri" w:hAnsi="Calibri" w:cs="Calibri"/>
          <w:sz w:val="22"/>
          <w:szCs w:val="22"/>
        </w:rPr>
        <w:t xml:space="preserve"> to prove</w:t>
      </w:r>
      <w:r w:rsidR="00C65632" w:rsidRPr="00CF2D87">
        <w:rPr>
          <w:rFonts w:ascii="Calibri" w:hAnsi="Calibri" w:cs="Calibri"/>
          <w:sz w:val="22"/>
          <w:szCs w:val="22"/>
        </w:rPr>
        <w:t>,</w:t>
      </w:r>
      <w:r w:rsidRPr="00CF2D87">
        <w:rPr>
          <w:rFonts w:ascii="Calibri" w:hAnsi="Calibri" w:cs="Calibri"/>
          <w:sz w:val="22"/>
          <w:szCs w:val="22"/>
        </w:rPr>
        <w:t xml:space="preserve"> in a motion in default of appearance</w:t>
      </w:r>
      <w:r w:rsidR="00C65632" w:rsidRPr="00CF2D87">
        <w:rPr>
          <w:rFonts w:ascii="Calibri" w:hAnsi="Calibri" w:cs="Calibri"/>
          <w:sz w:val="22"/>
          <w:szCs w:val="22"/>
        </w:rPr>
        <w:t>,</w:t>
      </w:r>
      <w:r w:rsidRPr="00CF2D87">
        <w:rPr>
          <w:rFonts w:ascii="Calibri" w:hAnsi="Calibri" w:cs="Calibri"/>
          <w:sz w:val="22"/>
          <w:szCs w:val="22"/>
        </w:rPr>
        <w:t xml:space="preserve"> the substantive indebtedness </w:t>
      </w:r>
      <w:r w:rsidR="00C65632" w:rsidRPr="00CF2D87">
        <w:rPr>
          <w:rFonts w:ascii="Calibri" w:hAnsi="Calibri" w:cs="Calibri"/>
          <w:sz w:val="22"/>
          <w:szCs w:val="22"/>
        </w:rPr>
        <w:t>it</w:t>
      </w:r>
      <w:r w:rsidRPr="00CF2D87">
        <w:rPr>
          <w:rFonts w:ascii="Calibri" w:hAnsi="Calibri" w:cs="Calibri"/>
          <w:sz w:val="22"/>
          <w:szCs w:val="22"/>
        </w:rPr>
        <w:t xml:space="preserve"> allege</w:t>
      </w:r>
      <w:r w:rsidR="00C65632" w:rsidRPr="00CF2D87">
        <w:rPr>
          <w:rFonts w:ascii="Calibri" w:hAnsi="Calibri" w:cs="Calibri"/>
          <w:sz w:val="22"/>
          <w:szCs w:val="22"/>
        </w:rPr>
        <w:t>s</w:t>
      </w:r>
      <w:r w:rsidRPr="00CF2D87">
        <w:rPr>
          <w:rStyle w:val="FootnoteReference"/>
          <w:rFonts w:ascii="Calibri" w:hAnsi="Calibri" w:cs="Calibri"/>
          <w:sz w:val="22"/>
          <w:szCs w:val="22"/>
        </w:rPr>
        <w:footnoteReference w:id="2"/>
      </w:r>
      <w:r w:rsidRPr="00CF2D87">
        <w:rPr>
          <w:rFonts w:ascii="Calibri" w:hAnsi="Calibri" w:cs="Calibri"/>
          <w:sz w:val="22"/>
          <w:szCs w:val="22"/>
        </w:rPr>
        <w:t xml:space="preserve"> or, indeed, to meet any concerns as to the quality of their pleadings</w:t>
      </w:r>
      <w:r w:rsidR="00C65632" w:rsidRPr="00CF2D87">
        <w:rPr>
          <w:rFonts w:ascii="Calibri" w:hAnsi="Calibri" w:cs="Calibri"/>
          <w:sz w:val="22"/>
          <w:szCs w:val="22"/>
        </w:rPr>
        <w:t>,</w:t>
      </w:r>
      <w:r w:rsidRPr="00CF2D87">
        <w:rPr>
          <w:rFonts w:ascii="Calibri" w:hAnsi="Calibri" w:cs="Calibri"/>
          <w:sz w:val="22"/>
          <w:szCs w:val="22"/>
        </w:rPr>
        <w:t xml:space="preserve"> in the absence of such concerns being raised by the defendant. The Bank has requested that I determine this issue on the assumption that they are obliged to adduce such proofs without prejudice to their argu</w:t>
      </w:r>
      <w:r w:rsidR="00C65632" w:rsidRPr="00CF2D87">
        <w:rPr>
          <w:rFonts w:ascii="Calibri" w:hAnsi="Calibri" w:cs="Calibri"/>
          <w:sz w:val="22"/>
          <w:szCs w:val="22"/>
        </w:rPr>
        <w:t>ing</w:t>
      </w:r>
      <w:r w:rsidRPr="00CF2D87">
        <w:rPr>
          <w:rFonts w:ascii="Calibri" w:hAnsi="Calibri" w:cs="Calibri"/>
          <w:sz w:val="22"/>
          <w:szCs w:val="22"/>
        </w:rPr>
        <w:t xml:space="preserve"> later that they are not so obliged.</w:t>
      </w:r>
      <w:r w:rsidR="00702C05" w:rsidRPr="00CF2D87">
        <w:rPr>
          <w:rFonts w:ascii="Calibri" w:hAnsi="Calibri" w:cs="Calibri"/>
          <w:sz w:val="22"/>
          <w:szCs w:val="22"/>
        </w:rPr>
        <w:t xml:space="preserve"> In that sense the issue placed before me is less akin to a motion in default of appearance than to a question in an application for summary judgment </w:t>
      </w:r>
      <w:r w:rsidR="002D7576" w:rsidRPr="00CF2D87">
        <w:rPr>
          <w:rFonts w:ascii="Calibri" w:hAnsi="Calibri" w:cs="Calibri"/>
          <w:sz w:val="22"/>
          <w:szCs w:val="22"/>
        </w:rPr>
        <w:t xml:space="preserve">whether </w:t>
      </w:r>
      <w:r w:rsidR="002D7576" w:rsidRPr="00CF2D87">
        <w:rPr>
          <w:rFonts w:ascii="Calibri" w:hAnsi="Calibri" w:cs="Calibri"/>
          <w:sz w:val="22"/>
          <w:szCs w:val="22"/>
        </w:rPr>
        <w:lastRenderedPageBreak/>
        <w:t xml:space="preserve">the plaintiff has adequately pleaded and proved a prima facie case sufficient to require the defendant to surmount the low threshold of showing a defence. </w:t>
      </w:r>
    </w:p>
    <w:p w14:paraId="04F3B10C" w14:textId="77777777" w:rsidR="002D7576" w:rsidRPr="00CF2D87" w:rsidRDefault="002D7576" w:rsidP="002D7576">
      <w:pPr>
        <w:pStyle w:val="ListParagraph"/>
        <w:spacing w:line="276" w:lineRule="auto"/>
        <w:ind w:left="0"/>
        <w:rPr>
          <w:rFonts w:ascii="Calibri" w:hAnsi="Calibri" w:cs="Calibri"/>
          <w:sz w:val="22"/>
          <w:szCs w:val="22"/>
        </w:rPr>
      </w:pPr>
    </w:p>
    <w:p w14:paraId="66254F78" w14:textId="0D40AB2E" w:rsidR="00DE7A87" w:rsidRPr="00CF2D87" w:rsidRDefault="002D7576" w:rsidP="002D7576">
      <w:pPr>
        <w:pStyle w:val="ListParagraph"/>
        <w:spacing w:line="276" w:lineRule="auto"/>
        <w:ind w:left="0"/>
        <w:rPr>
          <w:rFonts w:ascii="Calibri" w:hAnsi="Calibri" w:cs="Calibri"/>
          <w:b/>
          <w:sz w:val="22"/>
          <w:szCs w:val="22"/>
        </w:rPr>
      </w:pPr>
      <w:r w:rsidRPr="00CF2D87">
        <w:rPr>
          <w:rFonts w:ascii="Calibri" w:hAnsi="Calibri" w:cs="Calibri"/>
          <w:sz w:val="22"/>
          <w:szCs w:val="22"/>
        </w:rPr>
        <w:t xml:space="preserve"> </w:t>
      </w:r>
    </w:p>
    <w:p w14:paraId="4066AC66" w14:textId="00DF68A5" w:rsidR="00F14C08" w:rsidRPr="00CF2D87" w:rsidRDefault="00DE7A87" w:rsidP="000B2344">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There</w:t>
      </w:r>
      <w:r w:rsidR="003A68B2" w:rsidRPr="00CF2D87">
        <w:rPr>
          <w:rFonts w:ascii="Calibri" w:hAnsi="Calibri" w:cs="Calibri"/>
          <w:sz w:val="22"/>
          <w:szCs w:val="22"/>
        </w:rPr>
        <w:t xml:space="preserve"> are conflicting judgments on th</w:t>
      </w:r>
      <w:r w:rsidR="000B2344" w:rsidRPr="00CF2D87">
        <w:rPr>
          <w:rFonts w:ascii="Calibri" w:hAnsi="Calibri" w:cs="Calibri"/>
          <w:sz w:val="22"/>
          <w:szCs w:val="22"/>
        </w:rPr>
        <w:t>e adequacy of a plea such as that set out above</w:t>
      </w:r>
      <w:r w:rsidR="00F14C08" w:rsidRPr="00CF2D87">
        <w:rPr>
          <w:rFonts w:ascii="Calibri" w:hAnsi="Calibri" w:cs="Calibri"/>
          <w:sz w:val="22"/>
          <w:szCs w:val="22"/>
        </w:rPr>
        <w:t xml:space="preserve">. </w:t>
      </w:r>
      <w:r w:rsidR="00F14C08" w:rsidRPr="00CF2D87">
        <w:rPr>
          <w:rFonts w:ascii="Calibri" w:hAnsi="Calibri" w:cs="Calibri"/>
          <w:i/>
          <w:sz w:val="22"/>
          <w:szCs w:val="22"/>
        </w:rPr>
        <w:t xml:space="preserve">AIB Mortgage Bank </w:t>
      </w:r>
      <w:r w:rsidR="007773A1" w:rsidRPr="00CF2D87">
        <w:rPr>
          <w:rFonts w:ascii="Calibri" w:hAnsi="Calibri" w:cs="Calibri"/>
          <w:i/>
          <w:sz w:val="22"/>
          <w:szCs w:val="22"/>
        </w:rPr>
        <w:t>v</w:t>
      </w:r>
      <w:r w:rsidR="003A68B2" w:rsidRPr="00CF2D87">
        <w:rPr>
          <w:rFonts w:ascii="Calibri" w:hAnsi="Calibri" w:cs="Calibri"/>
          <w:i/>
          <w:sz w:val="22"/>
          <w:szCs w:val="22"/>
        </w:rPr>
        <w:t xml:space="preserve"> Hayden</w:t>
      </w:r>
      <w:r w:rsidR="00F14C08" w:rsidRPr="00CF2D87">
        <w:rPr>
          <w:rStyle w:val="FootnoteReference"/>
          <w:rFonts w:ascii="Calibri" w:hAnsi="Calibri" w:cs="Calibri"/>
          <w:sz w:val="22"/>
          <w:szCs w:val="22"/>
        </w:rPr>
        <w:footnoteReference w:id="3"/>
      </w:r>
      <w:r w:rsidR="00F14C08" w:rsidRPr="00CF2D87">
        <w:rPr>
          <w:rFonts w:ascii="Calibri" w:hAnsi="Calibri" w:cs="Calibri"/>
          <w:sz w:val="22"/>
          <w:szCs w:val="22"/>
        </w:rPr>
        <w:t xml:space="preserve"> </w:t>
      </w:r>
      <w:r w:rsidRPr="00CF2D87">
        <w:rPr>
          <w:rFonts w:ascii="Calibri" w:hAnsi="Calibri" w:cs="Calibri"/>
          <w:sz w:val="22"/>
          <w:szCs w:val="22"/>
        </w:rPr>
        <w:t>hold</w:t>
      </w:r>
      <w:r w:rsidR="00434E39" w:rsidRPr="00CF2D87">
        <w:rPr>
          <w:rFonts w:ascii="Calibri" w:hAnsi="Calibri" w:cs="Calibri"/>
          <w:sz w:val="22"/>
          <w:szCs w:val="22"/>
        </w:rPr>
        <w:t>s</w:t>
      </w:r>
      <w:r w:rsidR="00F14C08" w:rsidRPr="00CF2D87">
        <w:rPr>
          <w:rFonts w:ascii="Calibri" w:hAnsi="Calibri" w:cs="Calibri"/>
          <w:sz w:val="22"/>
          <w:szCs w:val="22"/>
        </w:rPr>
        <w:t xml:space="preserve"> that the plea suffices. </w:t>
      </w:r>
      <w:r w:rsidR="00434E39" w:rsidRPr="00CF2D87">
        <w:rPr>
          <w:rFonts w:ascii="Calibri" w:hAnsi="Calibri" w:cs="Calibri"/>
          <w:sz w:val="22"/>
          <w:szCs w:val="22"/>
        </w:rPr>
        <w:t xml:space="preserve">It is less clear that </w:t>
      </w:r>
      <w:r w:rsidR="00434E39" w:rsidRPr="00CF2D87">
        <w:rPr>
          <w:rFonts w:ascii="Calibri" w:hAnsi="Calibri" w:cs="Calibri"/>
          <w:i/>
          <w:sz w:val="22"/>
          <w:szCs w:val="22"/>
        </w:rPr>
        <w:t>Allied Irish Banks v Ahern</w:t>
      </w:r>
      <w:r w:rsidR="00434E39" w:rsidRPr="00CF2D87">
        <w:rPr>
          <w:rStyle w:val="FootnoteReference"/>
          <w:rFonts w:ascii="Calibri" w:hAnsi="Calibri" w:cs="Calibri"/>
          <w:sz w:val="22"/>
          <w:szCs w:val="22"/>
        </w:rPr>
        <w:footnoteReference w:id="4"/>
      </w:r>
      <w:r w:rsidR="00434E39" w:rsidRPr="00CF2D87">
        <w:rPr>
          <w:rFonts w:ascii="Calibri" w:hAnsi="Calibri" w:cs="Calibri"/>
          <w:sz w:val="22"/>
          <w:szCs w:val="22"/>
        </w:rPr>
        <w:t xml:space="preserve"> does. </w:t>
      </w:r>
      <w:r w:rsidR="00F14C08" w:rsidRPr="00CF2D87">
        <w:rPr>
          <w:rFonts w:ascii="Calibri" w:hAnsi="Calibri" w:cs="Calibri"/>
          <w:i/>
          <w:sz w:val="22"/>
          <w:szCs w:val="22"/>
        </w:rPr>
        <w:t xml:space="preserve">Havbell </w:t>
      </w:r>
      <w:r w:rsidR="007773A1" w:rsidRPr="00CF2D87">
        <w:rPr>
          <w:rFonts w:ascii="Calibri" w:hAnsi="Calibri" w:cs="Calibri"/>
          <w:i/>
          <w:sz w:val="22"/>
          <w:szCs w:val="22"/>
        </w:rPr>
        <w:t>v</w:t>
      </w:r>
      <w:r w:rsidR="00F14C08" w:rsidRPr="00CF2D87">
        <w:rPr>
          <w:rFonts w:ascii="Calibri" w:hAnsi="Calibri" w:cs="Calibri"/>
          <w:i/>
          <w:sz w:val="22"/>
          <w:szCs w:val="22"/>
        </w:rPr>
        <w:t xml:space="preserve"> Harris</w:t>
      </w:r>
      <w:r w:rsidR="00F14C08" w:rsidRPr="00CF2D87">
        <w:rPr>
          <w:rStyle w:val="FootnoteReference"/>
          <w:rFonts w:ascii="Calibri" w:hAnsi="Calibri" w:cs="Calibri"/>
          <w:sz w:val="22"/>
          <w:szCs w:val="22"/>
        </w:rPr>
        <w:footnoteReference w:id="5"/>
      </w:r>
      <w:r w:rsidR="003A68B2" w:rsidRPr="00CF2D87">
        <w:rPr>
          <w:rFonts w:ascii="Calibri" w:hAnsi="Calibri" w:cs="Calibri"/>
          <w:sz w:val="22"/>
          <w:szCs w:val="22"/>
        </w:rPr>
        <w:t xml:space="preserve"> </w:t>
      </w:r>
      <w:r w:rsidR="00C65632" w:rsidRPr="00CF2D87">
        <w:rPr>
          <w:rFonts w:ascii="Calibri" w:hAnsi="Calibri" w:cs="Calibri"/>
          <w:sz w:val="22"/>
          <w:szCs w:val="22"/>
        </w:rPr>
        <w:t>holds that it does not</w:t>
      </w:r>
      <w:r w:rsidRPr="00CF2D87">
        <w:rPr>
          <w:rFonts w:ascii="Calibri" w:hAnsi="Calibri" w:cs="Calibri"/>
          <w:sz w:val="22"/>
          <w:szCs w:val="22"/>
        </w:rPr>
        <w:t xml:space="preserve">. </w:t>
      </w:r>
      <w:r w:rsidR="000B2344" w:rsidRPr="00CF2D87">
        <w:rPr>
          <w:rFonts w:ascii="Calibri" w:hAnsi="Calibri" w:cs="Calibri"/>
          <w:sz w:val="22"/>
          <w:szCs w:val="22"/>
        </w:rPr>
        <w:t xml:space="preserve">I am grateful for the written submissions of counsel for the </w:t>
      </w:r>
      <w:r w:rsidR="00C65632" w:rsidRPr="00CF2D87">
        <w:rPr>
          <w:rFonts w:ascii="Calibri" w:hAnsi="Calibri" w:cs="Calibri"/>
          <w:sz w:val="22"/>
          <w:szCs w:val="22"/>
        </w:rPr>
        <w:t>plaintiff on</w:t>
      </w:r>
      <w:r w:rsidR="000B2344" w:rsidRPr="00CF2D87">
        <w:rPr>
          <w:rFonts w:ascii="Calibri" w:hAnsi="Calibri" w:cs="Calibri"/>
          <w:sz w:val="22"/>
          <w:szCs w:val="22"/>
        </w:rPr>
        <w:t xml:space="preserve"> this issue. He seeks to distinguish the latter decision.</w:t>
      </w:r>
    </w:p>
    <w:p w14:paraId="3DF09DEC" w14:textId="77777777" w:rsidR="000B2344" w:rsidRPr="00CF2D87" w:rsidRDefault="000B2344" w:rsidP="000B2344">
      <w:pPr>
        <w:pStyle w:val="ListParagraph"/>
        <w:spacing w:line="276" w:lineRule="auto"/>
        <w:ind w:left="0"/>
        <w:rPr>
          <w:rFonts w:ascii="Calibri" w:hAnsi="Calibri" w:cs="Calibri"/>
          <w:b/>
          <w:sz w:val="22"/>
          <w:szCs w:val="22"/>
        </w:rPr>
      </w:pPr>
    </w:p>
    <w:p w14:paraId="52E72A8B" w14:textId="77777777" w:rsidR="000B2344" w:rsidRPr="00CF2D87" w:rsidRDefault="000B2344" w:rsidP="000B2344">
      <w:pPr>
        <w:pStyle w:val="ListParagraph"/>
        <w:spacing w:line="276" w:lineRule="auto"/>
        <w:ind w:left="0"/>
        <w:rPr>
          <w:rFonts w:ascii="Calibri" w:hAnsi="Calibri" w:cs="Calibri"/>
          <w:b/>
          <w:sz w:val="22"/>
          <w:szCs w:val="22"/>
        </w:rPr>
      </w:pPr>
    </w:p>
    <w:p w14:paraId="0957FF1A" w14:textId="43445C4D" w:rsidR="00DE7A87" w:rsidRPr="00CF2D87" w:rsidRDefault="003A68B2" w:rsidP="000B2344">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 xml:space="preserve">It is clear from </w:t>
      </w:r>
      <w:r w:rsidR="00F14C08" w:rsidRPr="00CF2D87">
        <w:rPr>
          <w:rFonts w:ascii="Calibri" w:hAnsi="Calibri" w:cs="Calibri"/>
          <w:i/>
          <w:sz w:val="22"/>
          <w:szCs w:val="22"/>
        </w:rPr>
        <w:t>O’</w:t>
      </w:r>
      <w:r w:rsidRPr="00CF2D87">
        <w:rPr>
          <w:rFonts w:ascii="Calibri" w:hAnsi="Calibri" w:cs="Calibri"/>
          <w:i/>
          <w:sz w:val="22"/>
          <w:szCs w:val="22"/>
        </w:rPr>
        <w:t>Malley</w:t>
      </w:r>
      <w:r w:rsidRPr="00CF2D87">
        <w:rPr>
          <w:rFonts w:ascii="Calibri" w:hAnsi="Calibri" w:cs="Calibri"/>
          <w:sz w:val="22"/>
          <w:szCs w:val="22"/>
        </w:rPr>
        <w:t xml:space="preserve"> that</w:t>
      </w:r>
      <w:r w:rsidR="00C65632" w:rsidRPr="00CF2D87">
        <w:rPr>
          <w:rFonts w:ascii="Calibri" w:hAnsi="Calibri" w:cs="Calibri"/>
          <w:sz w:val="22"/>
          <w:szCs w:val="22"/>
        </w:rPr>
        <w:t xml:space="preserve"> </w:t>
      </w:r>
      <w:r w:rsidRPr="00CF2D87">
        <w:rPr>
          <w:rFonts w:ascii="Calibri" w:hAnsi="Calibri" w:cs="Calibri"/>
          <w:sz w:val="22"/>
          <w:szCs w:val="22"/>
        </w:rPr>
        <w:t xml:space="preserve">a plaintiff issuing a summary summons </w:t>
      </w:r>
      <w:r w:rsidR="00DE7A87" w:rsidRPr="00CF2D87">
        <w:rPr>
          <w:rFonts w:ascii="Calibri" w:hAnsi="Calibri" w:cs="Calibri"/>
          <w:sz w:val="22"/>
          <w:szCs w:val="22"/>
        </w:rPr>
        <w:t>may</w:t>
      </w:r>
      <w:r w:rsidRPr="00CF2D87">
        <w:rPr>
          <w:rFonts w:ascii="Calibri" w:hAnsi="Calibri" w:cs="Calibri"/>
          <w:sz w:val="22"/>
          <w:szCs w:val="22"/>
        </w:rPr>
        <w:t xml:space="preserve"> plead the calculation of the </w:t>
      </w:r>
      <w:r w:rsidR="00DE7A87" w:rsidRPr="00CF2D87">
        <w:rPr>
          <w:rFonts w:ascii="Calibri" w:hAnsi="Calibri" w:cs="Calibri"/>
          <w:sz w:val="22"/>
          <w:szCs w:val="22"/>
        </w:rPr>
        <w:t xml:space="preserve">alleged </w:t>
      </w:r>
      <w:r w:rsidRPr="00CF2D87">
        <w:rPr>
          <w:rFonts w:ascii="Calibri" w:hAnsi="Calibri" w:cs="Calibri"/>
          <w:sz w:val="22"/>
          <w:szCs w:val="22"/>
        </w:rPr>
        <w:t xml:space="preserve">indebtedness </w:t>
      </w:r>
      <w:r w:rsidR="00F14C08" w:rsidRPr="00CF2D87">
        <w:rPr>
          <w:rFonts w:ascii="Calibri" w:hAnsi="Calibri" w:cs="Calibri"/>
          <w:sz w:val="22"/>
          <w:szCs w:val="22"/>
        </w:rPr>
        <w:t>by reference to other documents s</w:t>
      </w:r>
      <w:r w:rsidRPr="00CF2D87">
        <w:rPr>
          <w:rFonts w:ascii="Calibri" w:hAnsi="Calibri" w:cs="Calibri"/>
          <w:sz w:val="22"/>
          <w:szCs w:val="22"/>
        </w:rPr>
        <w:t>etting out that calculation and previously furnished to the defendant</w:t>
      </w:r>
      <w:r w:rsidR="00C65632" w:rsidRPr="00CF2D87">
        <w:rPr>
          <w:rFonts w:ascii="Calibri" w:hAnsi="Calibri" w:cs="Calibri"/>
          <w:sz w:val="22"/>
          <w:szCs w:val="22"/>
        </w:rPr>
        <w:t xml:space="preserve"> - assuming the content of those documents suffices for the purposes identified in </w:t>
      </w:r>
      <w:r w:rsidR="00C65632" w:rsidRPr="00CF2D87">
        <w:rPr>
          <w:rFonts w:ascii="Calibri" w:hAnsi="Calibri" w:cs="Calibri"/>
          <w:i/>
          <w:sz w:val="22"/>
          <w:szCs w:val="22"/>
        </w:rPr>
        <w:t>O’Malley</w:t>
      </w:r>
      <w:r w:rsidR="00F14C08" w:rsidRPr="00CF2D87">
        <w:rPr>
          <w:rFonts w:ascii="Calibri" w:hAnsi="Calibri" w:cs="Calibri"/>
          <w:sz w:val="22"/>
          <w:szCs w:val="22"/>
        </w:rPr>
        <w:t xml:space="preserve">. This </w:t>
      </w:r>
      <w:r w:rsidR="00DE7A87" w:rsidRPr="00CF2D87">
        <w:rPr>
          <w:rFonts w:ascii="Calibri" w:hAnsi="Calibri" w:cs="Calibri"/>
          <w:sz w:val="22"/>
          <w:szCs w:val="22"/>
        </w:rPr>
        <w:t>i</w:t>
      </w:r>
      <w:r w:rsidRPr="00CF2D87">
        <w:rPr>
          <w:rFonts w:ascii="Calibri" w:hAnsi="Calibri" w:cs="Calibri"/>
          <w:sz w:val="22"/>
          <w:szCs w:val="22"/>
        </w:rPr>
        <w:t>s an altern</w:t>
      </w:r>
      <w:r w:rsidR="00F14C08" w:rsidRPr="00CF2D87">
        <w:rPr>
          <w:rFonts w:ascii="Calibri" w:hAnsi="Calibri" w:cs="Calibri"/>
          <w:sz w:val="22"/>
          <w:szCs w:val="22"/>
        </w:rPr>
        <w:t>ative to setting out</w:t>
      </w:r>
      <w:r w:rsidRPr="00CF2D87">
        <w:rPr>
          <w:rFonts w:ascii="Calibri" w:hAnsi="Calibri" w:cs="Calibri"/>
          <w:sz w:val="22"/>
          <w:szCs w:val="22"/>
        </w:rPr>
        <w:t xml:space="preserve"> the </w:t>
      </w:r>
      <w:r w:rsidR="00DE7A87" w:rsidRPr="00CF2D87">
        <w:rPr>
          <w:rFonts w:ascii="Calibri" w:hAnsi="Calibri" w:cs="Calibri"/>
          <w:sz w:val="22"/>
          <w:szCs w:val="22"/>
        </w:rPr>
        <w:t xml:space="preserve">calculation </w:t>
      </w:r>
      <w:r w:rsidRPr="00CF2D87">
        <w:rPr>
          <w:rFonts w:ascii="Calibri" w:hAnsi="Calibri" w:cs="Calibri"/>
          <w:sz w:val="22"/>
          <w:szCs w:val="22"/>
        </w:rPr>
        <w:t>in</w:t>
      </w:r>
      <w:r w:rsidR="00F14C08" w:rsidRPr="00CF2D87">
        <w:rPr>
          <w:rFonts w:ascii="Calibri" w:hAnsi="Calibri" w:cs="Calibri"/>
          <w:sz w:val="22"/>
          <w:szCs w:val="22"/>
        </w:rPr>
        <w:t xml:space="preserve"> the summons</w:t>
      </w:r>
      <w:r w:rsidRPr="00CF2D87">
        <w:rPr>
          <w:rFonts w:ascii="Calibri" w:hAnsi="Calibri" w:cs="Calibri"/>
          <w:sz w:val="22"/>
          <w:szCs w:val="22"/>
        </w:rPr>
        <w:t xml:space="preserve"> itself. It has therefore</w:t>
      </w:r>
      <w:r w:rsidR="00DE7A87" w:rsidRPr="00CF2D87">
        <w:rPr>
          <w:rFonts w:ascii="Calibri" w:hAnsi="Calibri" w:cs="Calibri"/>
          <w:sz w:val="22"/>
          <w:szCs w:val="22"/>
        </w:rPr>
        <w:t xml:space="preserve"> since </w:t>
      </w:r>
      <w:r w:rsidR="00DE7A87" w:rsidRPr="00CF2D87">
        <w:rPr>
          <w:rFonts w:ascii="Calibri" w:hAnsi="Calibri" w:cs="Calibri"/>
          <w:i/>
          <w:sz w:val="22"/>
          <w:szCs w:val="22"/>
        </w:rPr>
        <w:t>O’Malley</w:t>
      </w:r>
      <w:r w:rsidRPr="00CF2D87">
        <w:rPr>
          <w:rFonts w:ascii="Calibri" w:hAnsi="Calibri" w:cs="Calibri"/>
          <w:sz w:val="22"/>
          <w:szCs w:val="22"/>
        </w:rPr>
        <w:t xml:space="preserve"> become commonplace </w:t>
      </w:r>
      <w:r w:rsidR="00DE7A87" w:rsidRPr="00CF2D87">
        <w:rPr>
          <w:rFonts w:ascii="Calibri" w:hAnsi="Calibri" w:cs="Calibri"/>
          <w:sz w:val="22"/>
          <w:szCs w:val="22"/>
        </w:rPr>
        <w:t>that</w:t>
      </w:r>
      <w:r w:rsidR="00C65632" w:rsidRPr="00CF2D87">
        <w:rPr>
          <w:rFonts w:ascii="Calibri" w:hAnsi="Calibri" w:cs="Calibri"/>
          <w:sz w:val="22"/>
          <w:szCs w:val="22"/>
        </w:rPr>
        <w:t>,</w:t>
      </w:r>
      <w:r w:rsidR="00DE7A87" w:rsidRPr="00CF2D87">
        <w:rPr>
          <w:rFonts w:ascii="Calibri" w:hAnsi="Calibri" w:cs="Calibri"/>
          <w:sz w:val="22"/>
          <w:szCs w:val="22"/>
        </w:rPr>
        <w:t xml:space="preserve"> </w:t>
      </w:r>
      <w:r w:rsidR="00C65632" w:rsidRPr="00CF2D87">
        <w:rPr>
          <w:rFonts w:ascii="Calibri" w:hAnsi="Calibri" w:cs="Calibri"/>
          <w:sz w:val="22"/>
          <w:szCs w:val="22"/>
        </w:rPr>
        <w:t xml:space="preserve">shortly before issuing a summary summons, the intending plaintiff </w:t>
      </w:r>
      <w:r w:rsidR="00F14C08" w:rsidRPr="00CF2D87">
        <w:rPr>
          <w:rFonts w:ascii="Calibri" w:hAnsi="Calibri" w:cs="Calibri"/>
          <w:sz w:val="22"/>
          <w:szCs w:val="22"/>
        </w:rPr>
        <w:t>write</w:t>
      </w:r>
      <w:r w:rsidR="00C65632" w:rsidRPr="00CF2D87">
        <w:rPr>
          <w:rFonts w:ascii="Calibri" w:hAnsi="Calibri" w:cs="Calibri"/>
          <w:sz w:val="22"/>
          <w:szCs w:val="22"/>
        </w:rPr>
        <w:t>s</w:t>
      </w:r>
      <w:r w:rsidRPr="00CF2D87">
        <w:rPr>
          <w:rFonts w:ascii="Calibri" w:hAnsi="Calibri" w:cs="Calibri"/>
          <w:sz w:val="22"/>
          <w:szCs w:val="22"/>
        </w:rPr>
        <w:t xml:space="preserve"> to</w:t>
      </w:r>
      <w:r w:rsidR="00F14C08" w:rsidRPr="00CF2D87">
        <w:rPr>
          <w:rFonts w:ascii="Calibri" w:hAnsi="Calibri" w:cs="Calibri"/>
          <w:sz w:val="22"/>
          <w:szCs w:val="22"/>
        </w:rPr>
        <w:t xml:space="preserve"> the</w:t>
      </w:r>
      <w:r w:rsidR="00DE7A87" w:rsidRPr="00CF2D87">
        <w:rPr>
          <w:rFonts w:ascii="Calibri" w:hAnsi="Calibri" w:cs="Calibri"/>
          <w:sz w:val="22"/>
          <w:szCs w:val="22"/>
        </w:rPr>
        <w:t xml:space="preserve"> intended</w:t>
      </w:r>
      <w:r w:rsidR="00F14C08" w:rsidRPr="00CF2D87">
        <w:rPr>
          <w:rFonts w:ascii="Calibri" w:hAnsi="Calibri" w:cs="Calibri"/>
          <w:sz w:val="22"/>
          <w:szCs w:val="22"/>
        </w:rPr>
        <w:t xml:space="preserve"> defendant </w:t>
      </w:r>
      <w:r w:rsidR="00DE7A87" w:rsidRPr="00CF2D87">
        <w:rPr>
          <w:rFonts w:ascii="Calibri" w:hAnsi="Calibri" w:cs="Calibri"/>
          <w:sz w:val="22"/>
          <w:szCs w:val="22"/>
        </w:rPr>
        <w:t>en</w:t>
      </w:r>
      <w:r w:rsidRPr="00CF2D87">
        <w:rPr>
          <w:rFonts w:ascii="Calibri" w:hAnsi="Calibri" w:cs="Calibri"/>
          <w:sz w:val="22"/>
          <w:szCs w:val="22"/>
        </w:rPr>
        <w:t>closing a full set of statements of the loan account in ques</w:t>
      </w:r>
      <w:r w:rsidR="00F14C08" w:rsidRPr="00CF2D87">
        <w:rPr>
          <w:rFonts w:ascii="Calibri" w:hAnsi="Calibri" w:cs="Calibri"/>
          <w:sz w:val="22"/>
          <w:szCs w:val="22"/>
        </w:rPr>
        <w:t xml:space="preserve">tion from </w:t>
      </w:r>
      <w:r w:rsidRPr="00CF2D87">
        <w:rPr>
          <w:rFonts w:ascii="Calibri" w:hAnsi="Calibri" w:cs="Calibri"/>
          <w:sz w:val="22"/>
          <w:szCs w:val="22"/>
        </w:rPr>
        <w:t>drawdown of the</w:t>
      </w:r>
      <w:r w:rsidR="00F14C08" w:rsidRPr="00CF2D87">
        <w:rPr>
          <w:rFonts w:ascii="Calibri" w:hAnsi="Calibri" w:cs="Calibri"/>
          <w:sz w:val="22"/>
          <w:szCs w:val="22"/>
        </w:rPr>
        <w:t xml:space="preserve"> loan to date. S</w:t>
      </w:r>
      <w:r w:rsidRPr="00CF2D87">
        <w:rPr>
          <w:rFonts w:ascii="Calibri" w:hAnsi="Calibri" w:cs="Calibri"/>
          <w:sz w:val="22"/>
          <w:szCs w:val="22"/>
        </w:rPr>
        <w:t xml:space="preserve">uch a statement </w:t>
      </w:r>
      <w:r w:rsidR="00DE7A87" w:rsidRPr="00CF2D87">
        <w:rPr>
          <w:rFonts w:ascii="Calibri" w:hAnsi="Calibri" w:cs="Calibri"/>
          <w:sz w:val="22"/>
          <w:szCs w:val="22"/>
        </w:rPr>
        <w:t>states the rate of interest applicable from time to time and</w:t>
      </w:r>
      <w:r w:rsidRPr="00CF2D87">
        <w:rPr>
          <w:rFonts w:ascii="Calibri" w:hAnsi="Calibri" w:cs="Calibri"/>
          <w:sz w:val="22"/>
          <w:szCs w:val="22"/>
        </w:rPr>
        <w:t xml:space="preserve"> record</w:t>
      </w:r>
      <w:r w:rsidR="00DE7A87" w:rsidRPr="00CF2D87">
        <w:rPr>
          <w:rFonts w:ascii="Calibri" w:hAnsi="Calibri" w:cs="Calibri"/>
          <w:sz w:val="22"/>
          <w:szCs w:val="22"/>
        </w:rPr>
        <w:t>s</w:t>
      </w:r>
      <w:r w:rsidRPr="00CF2D87">
        <w:rPr>
          <w:rFonts w:ascii="Calibri" w:hAnsi="Calibri" w:cs="Calibri"/>
          <w:sz w:val="22"/>
          <w:szCs w:val="22"/>
        </w:rPr>
        <w:t xml:space="preserve"> each increment of interest applied to the loan.</w:t>
      </w:r>
    </w:p>
    <w:p w14:paraId="0FE22B71" w14:textId="77777777" w:rsidR="00DE7A87" w:rsidRPr="00CF2D87" w:rsidRDefault="00DE7A87" w:rsidP="00DE7A87">
      <w:pPr>
        <w:pStyle w:val="ListParagraph"/>
        <w:spacing w:line="276" w:lineRule="auto"/>
        <w:ind w:left="0"/>
        <w:rPr>
          <w:rFonts w:ascii="Calibri" w:hAnsi="Calibri" w:cs="Calibri"/>
          <w:b/>
          <w:sz w:val="22"/>
          <w:szCs w:val="22"/>
        </w:rPr>
      </w:pPr>
    </w:p>
    <w:p w14:paraId="72A93ADB" w14:textId="77777777" w:rsidR="00DE7A87" w:rsidRPr="00CF2D87" w:rsidRDefault="00DE7A87" w:rsidP="00DE7A87">
      <w:pPr>
        <w:pStyle w:val="ListParagraph"/>
        <w:spacing w:line="276" w:lineRule="auto"/>
        <w:ind w:left="0"/>
        <w:rPr>
          <w:rFonts w:ascii="Calibri" w:hAnsi="Calibri" w:cs="Calibri"/>
          <w:b/>
          <w:sz w:val="22"/>
          <w:szCs w:val="22"/>
        </w:rPr>
      </w:pPr>
    </w:p>
    <w:p w14:paraId="6143D539" w14:textId="128974AA" w:rsidR="000B2344" w:rsidRPr="00CF2D87" w:rsidRDefault="003A68B2" w:rsidP="00DE7A87">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It is important t</w:t>
      </w:r>
      <w:r w:rsidR="00F14C08" w:rsidRPr="00CF2D87">
        <w:rPr>
          <w:rFonts w:ascii="Calibri" w:hAnsi="Calibri" w:cs="Calibri"/>
          <w:sz w:val="22"/>
          <w:szCs w:val="22"/>
        </w:rPr>
        <w:t xml:space="preserve">o state that the </w:t>
      </w:r>
      <w:r w:rsidR="00C65632" w:rsidRPr="00CF2D87">
        <w:rPr>
          <w:rFonts w:ascii="Calibri" w:hAnsi="Calibri" w:cs="Calibri"/>
          <w:sz w:val="22"/>
          <w:szCs w:val="22"/>
        </w:rPr>
        <w:t xml:space="preserve">practical </w:t>
      </w:r>
      <w:r w:rsidR="00F14C08" w:rsidRPr="00CF2D87">
        <w:rPr>
          <w:rFonts w:ascii="Calibri" w:hAnsi="Calibri" w:cs="Calibri"/>
          <w:sz w:val="22"/>
          <w:szCs w:val="22"/>
        </w:rPr>
        <w:t xml:space="preserve">purpose of pleading </w:t>
      </w:r>
      <w:r w:rsidR="000B2344" w:rsidRPr="00CF2D87">
        <w:rPr>
          <w:rFonts w:ascii="Calibri" w:hAnsi="Calibri" w:cs="Calibri"/>
          <w:sz w:val="22"/>
          <w:szCs w:val="22"/>
        </w:rPr>
        <w:t>such particulars</w:t>
      </w:r>
      <w:r w:rsidRPr="00CF2D87">
        <w:rPr>
          <w:rFonts w:ascii="Calibri" w:hAnsi="Calibri" w:cs="Calibri"/>
          <w:sz w:val="22"/>
          <w:szCs w:val="22"/>
        </w:rPr>
        <w:t xml:space="preserve"> is to enable the defendant to satisfy himself or herself of the accuracy of calcu</w:t>
      </w:r>
      <w:r w:rsidR="00F14C08" w:rsidRPr="00CF2D87">
        <w:rPr>
          <w:rFonts w:ascii="Calibri" w:hAnsi="Calibri" w:cs="Calibri"/>
          <w:sz w:val="22"/>
          <w:szCs w:val="22"/>
        </w:rPr>
        <w:t>lation of the indebtedness alle</w:t>
      </w:r>
      <w:r w:rsidRPr="00CF2D87">
        <w:rPr>
          <w:rFonts w:ascii="Calibri" w:hAnsi="Calibri" w:cs="Calibri"/>
          <w:sz w:val="22"/>
          <w:szCs w:val="22"/>
        </w:rPr>
        <w:t xml:space="preserve">ged in the </w:t>
      </w:r>
      <w:r w:rsidR="000B2344" w:rsidRPr="00CF2D87">
        <w:rPr>
          <w:rFonts w:ascii="Calibri" w:hAnsi="Calibri" w:cs="Calibri"/>
          <w:sz w:val="22"/>
          <w:szCs w:val="22"/>
        </w:rPr>
        <w:t xml:space="preserve">specific </w:t>
      </w:r>
      <w:r w:rsidRPr="00CF2D87">
        <w:rPr>
          <w:rFonts w:ascii="Calibri" w:hAnsi="Calibri" w:cs="Calibri"/>
          <w:sz w:val="22"/>
          <w:szCs w:val="22"/>
        </w:rPr>
        <w:t>amount of the</w:t>
      </w:r>
      <w:r w:rsidR="00F14C08" w:rsidRPr="00CF2D87">
        <w:rPr>
          <w:rFonts w:ascii="Calibri" w:hAnsi="Calibri" w:cs="Calibri"/>
          <w:sz w:val="22"/>
          <w:szCs w:val="22"/>
        </w:rPr>
        <w:t xml:space="preserve"> sum</w:t>
      </w:r>
      <w:r w:rsidRPr="00CF2D87">
        <w:rPr>
          <w:rFonts w:ascii="Calibri" w:hAnsi="Calibri" w:cs="Calibri"/>
          <w:sz w:val="22"/>
          <w:szCs w:val="22"/>
        </w:rPr>
        <w:t xml:space="preserve"> claim</w:t>
      </w:r>
      <w:r w:rsidR="00F14C08" w:rsidRPr="00CF2D87">
        <w:rPr>
          <w:rFonts w:ascii="Calibri" w:hAnsi="Calibri" w:cs="Calibri"/>
          <w:sz w:val="22"/>
          <w:szCs w:val="22"/>
        </w:rPr>
        <w:t>ed</w:t>
      </w:r>
      <w:r w:rsidR="00C65632" w:rsidRPr="00CF2D87">
        <w:rPr>
          <w:rFonts w:ascii="Calibri" w:hAnsi="Calibri" w:cs="Calibri"/>
          <w:sz w:val="22"/>
          <w:szCs w:val="22"/>
        </w:rPr>
        <w:t>,</w:t>
      </w:r>
      <w:r w:rsidRPr="00CF2D87">
        <w:rPr>
          <w:rFonts w:ascii="Calibri" w:hAnsi="Calibri" w:cs="Calibri"/>
          <w:sz w:val="22"/>
          <w:szCs w:val="22"/>
        </w:rPr>
        <w:t xml:space="preserve"> so that </w:t>
      </w:r>
      <w:r w:rsidR="00F14C08" w:rsidRPr="00CF2D87">
        <w:rPr>
          <w:rFonts w:ascii="Calibri" w:hAnsi="Calibri" w:cs="Calibri"/>
          <w:sz w:val="22"/>
          <w:szCs w:val="22"/>
        </w:rPr>
        <w:t>he or she can properly decide</w:t>
      </w:r>
      <w:r w:rsidR="00C65632" w:rsidRPr="00CF2D87">
        <w:rPr>
          <w:rFonts w:ascii="Calibri" w:hAnsi="Calibri" w:cs="Calibri"/>
          <w:sz w:val="22"/>
          <w:szCs w:val="22"/>
        </w:rPr>
        <w:t>, and be expected to decide,</w:t>
      </w:r>
      <w:r w:rsidR="00F14C08" w:rsidRPr="00CF2D87">
        <w:rPr>
          <w:rFonts w:ascii="Calibri" w:hAnsi="Calibri" w:cs="Calibri"/>
          <w:sz w:val="22"/>
          <w:szCs w:val="22"/>
        </w:rPr>
        <w:t xml:space="preserve"> on</w:t>
      </w:r>
      <w:r w:rsidRPr="00CF2D87">
        <w:rPr>
          <w:rFonts w:ascii="Calibri" w:hAnsi="Calibri" w:cs="Calibri"/>
          <w:sz w:val="22"/>
          <w:szCs w:val="22"/>
        </w:rPr>
        <w:t xml:space="preserve"> </w:t>
      </w:r>
      <w:r w:rsidR="00C65632" w:rsidRPr="00CF2D87">
        <w:rPr>
          <w:rFonts w:ascii="Calibri" w:hAnsi="Calibri" w:cs="Calibri"/>
          <w:sz w:val="22"/>
          <w:szCs w:val="22"/>
        </w:rPr>
        <w:t xml:space="preserve">adequate </w:t>
      </w:r>
      <w:r w:rsidRPr="00CF2D87">
        <w:rPr>
          <w:rFonts w:ascii="Calibri" w:hAnsi="Calibri" w:cs="Calibri"/>
          <w:sz w:val="22"/>
          <w:szCs w:val="22"/>
        </w:rPr>
        <w:t>information</w:t>
      </w:r>
      <w:r w:rsidR="00C65632" w:rsidRPr="00CF2D87">
        <w:rPr>
          <w:rFonts w:ascii="Calibri" w:hAnsi="Calibri" w:cs="Calibri"/>
          <w:sz w:val="22"/>
          <w:szCs w:val="22"/>
        </w:rPr>
        <w:t>,</w:t>
      </w:r>
      <w:r w:rsidRPr="00CF2D87">
        <w:rPr>
          <w:rFonts w:ascii="Calibri" w:hAnsi="Calibri" w:cs="Calibri"/>
          <w:sz w:val="22"/>
          <w:szCs w:val="22"/>
        </w:rPr>
        <w:t xml:space="preserve"> whether </w:t>
      </w:r>
      <w:r w:rsidR="00F14C08" w:rsidRPr="00CF2D87">
        <w:rPr>
          <w:rFonts w:ascii="Calibri" w:hAnsi="Calibri" w:cs="Calibri"/>
          <w:sz w:val="22"/>
          <w:szCs w:val="22"/>
        </w:rPr>
        <w:t>to defend the proceedings or submit</w:t>
      </w:r>
      <w:r w:rsidRPr="00CF2D87">
        <w:rPr>
          <w:rFonts w:ascii="Calibri" w:hAnsi="Calibri" w:cs="Calibri"/>
          <w:sz w:val="22"/>
          <w:szCs w:val="22"/>
        </w:rPr>
        <w:t xml:space="preserve"> to judgment.</w:t>
      </w:r>
    </w:p>
    <w:p w14:paraId="0257DAAE" w14:textId="77777777" w:rsidR="000B2344" w:rsidRPr="00CF2D87" w:rsidRDefault="000B2344" w:rsidP="000B2344">
      <w:pPr>
        <w:pStyle w:val="ListParagraph"/>
        <w:spacing w:line="276" w:lineRule="auto"/>
        <w:ind w:left="0"/>
        <w:rPr>
          <w:rFonts w:ascii="Calibri" w:hAnsi="Calibri" w:cs="Calibri"/>
          <w:b/>
          <w:sz w:val="22"/>
          <w:szCs w:val="22"/>
        </w:rPr>
      </w:pPr>
    </w:p>
    <w:p w14:paraId="7F6CF90F" w14:textId="77777777" w:rsidR="000B2344" w:rsidRPr="00CF2D87" w:rsidRDefault="000B2344" w:rsidP="000B2344">
      <w:pPr>
        <w:pStyle w:val="ListParagraph"/>
        <w:spacing w:line="276" w:lineRule="auto"/>
        <w:ind w:left="0"/>
        <w:rPr>
          <w:rFonts w:ascii="Calibri" w:hAnsi="Calibri" w:cs="Calibri"/>
          <w:b/>
          <w:sz w:val="22"/>
          <w:szCs w:val="22"/>
        </w:rPr>
      </w:pPr>
    </w:p>
    <w:p w14:paraId="129BA8F8" w14:textId="349B8E4A" w:rsidR="000B2344" w:rsidRPr="00CF2D87" w:rsidRDefault="003A68B2" w:rsidP="000B2344">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It is important also to recall that</w:t>
      </w:r>
      <w:r w:rsidR="00F14C08" w:rsidRPr="00CF2D87">
        <w:rPr>
          <w:rFonts w:ascii="Calibri" w:hAnsi="Calibri" w:cs="Calibri"/>
          <w:sz w:val="22"/>
          <w:szCs w:val="22"/>
        </w:rPr>
        <w:t xml:space="preserve"> </w:t>
      </w:r>
      <w:r w:rsidR="00F14C08" w:rsidRPr="00CF2D87">
        <w:rPr>
          <w:rFonts w:ascii="Calibri" w:hAnsi="Calibri" w:cs="Calibri"/>
          <w:i/>
          <w:sz w:val="22"/>
          <w:szCs w:val="22"/>
        </w:rPr>
        <w:t>O’Malle</w:t>
      </w:r>
      <w:r w:rsidR="000B2344" w:rsidRPr="00CF2D87">
        <w:rPr>
          <w:rFonts w:ascii="Calibri" w:hAnsi="Calibri" w:cs="Calibri"/>
          <w:i/>
          <w:sz w:val="22"/>
          <w:szCs w:val="22"/>
        </w:rPr>
        <w:t>y</w:t>
      </w:r>
      <w:r w:rsidRPr="00CF2D87">
        <w:rPr>
          <w:rFonts w:ascii="Calibri" w:hAnsi="Calibri" w:cs="Calibri"/>
          <w:sz w:val="22"/>
          <w:szCs w:val="22"/>
        </w:rPr>
        <w:t xml:space="preserve"> made clear that this obligati</w:t>
      </w:r>
      <w:r w:rsidR="00F14C08" w:rsidRPr="00CF2D87">
        <w:rPr>
          <w:rFonts w:ascii="Calibri" w:hAnsi="Calibri" w:cs="Calibri"/>
          <w:sz w:val="22"/>
          <w:szCs w:val="22"/>
        </w:rPr>
        <w:t>on</w:t>
      </w:r>
      <w:r w:rsidR="00C65632" w:rsidRPr="00CF2D87">
        <w:rPr>
          <w:rFonts w:ascii="Calibri" w:hAnsi="Calibri" w:cs="Calibri"/>
          <w:sz w:val="22"/>
          <w:szCs w:val="22"/>
        </w:rPr>
        <w:t xml:space="preserve"> to provide information</w:t>
      </w:r>
      <w:r w:rsidR="00F14C08" w:rsidRPr="00CF2D87">
        <w:rPr>
          <w:rFonts w:ascii="Calibri" w:hAnsi="Calibri" w:cs="Calibri"/>
          <w:sz w:val="22"/>
          <w:szCs w:val="22"/>
        </w:rPr>
        <w:t xml:space="preserve"> arises at two points in</w:t>
      </w:r>
      <w:r w:rsidRPr="00CF2D87">
        <w:rPr>
          <w:rFonts w:ascii="Calibri" w:hAnsi="Calibri" w:cs="Calibri"/>
          <w:sz w:val="22"/>
          <w:szCs w:val="22"/>
        </w:rPr>
        <w:t xml:space="preserve"> th</w:t>
      </w:r>
      <w:r w:rsidR="00F14C08" w:rsidRPr="00CF2D87">
        <w:rPr>
          <w:rFonts w:ascii="Calibri" w:hAnsi="Calibri" w:cs="Calibri"/>
          <w:sz w:val="22"/>
          <w:szCs w:val="22"/>
        </w:rPr>
        <w:t>e process</w:t>
      </w:r>
      <w:r w:rsidR="00C65632" w:rsidRPr="00CF2D87">
        <w:rPr>
          <w:rFonts w:ascii="Calibri" w:hAnsi="Calibri" w:cs="Calibri"/>
          <w:sz w:val="22"/>
          <w:szCs w:val="22"/>
        </w:rPr>
        <w:t>:</w:t>
      </w:r>
      <w:r w:rsidR="00F14C08" w:rsidRPr="00CF2D87">
        <w:rPr>
          <w:rFonts w:ascii="Calibri" w:hAnsi="Calibri" w:cs="Calibri"/>
          <w:sz w:val="22"/>
          <w:szCs w:val="22"/>
        </w:rPr>
        <w:t xml:space="preserve"> as a matter of </w:t>
      </w:r>
      <w:r w:rsidR="00C65632" w:rsidRPr="00CF2D87">
        <w:rPr>
          <w:rFonts w:ascii="Calibri" w:hAnsi="Calibri" w:cs="Calibri"/>
          <w:sz w:val="22"/>
          <w:szCs w:val="22"/>
        </w:rPr>
        <w:t xml:space="preserve">asserting – </w:t>
      </w:r>
      <w:r w:rsidR="00F14C08" w:rsidRPr="00CF2D87">
        <w:rPr>
          <w:rFonts w:ascii="Calibri" w:hAnsi="Calibri" w:cs="Calibri"/>
          <w:sz w:val="22"/>
          <w:szCs w:val="22"/>
        </w:rPr>
        <w:t>pleading</w:t>
      </w:r>
      <w:r w:rsidR="00C65632" w:rsidRPr="00CF2D87">
        <w:rPr>
          <w:rFonts w:ascii="Calibri" w:hAnsi="Calibri" w:cs="Calibri"/>
          <w:sz w:val="22"/>
          <w:szCs w:val="22"/>
        </w:rPr>
        <w:t xml:space="preserve"> – the debt</w:t>
      </w:r>
      <w:r w:rsidR="00F14C08" w:rsidRPr="00CF2D87">
        <w:rPr>
          <w:rFonts w:ascii="Calibri" w:hAnsi="Calibri" w:cs="Calibri"/>
          <w:sz w:val="22"/>
          <w:szCs w:val="22"/>
        </w:rPr>
        <w:t xml:space="preserve"> in the</w:t>
      </w:r>
      <w:r w:rsidRPr="00CF2D87">
        <w:rPr>
          <w:rFonts w:ascii="Calibri" w:hAnsi="Calibri" w:cs="Calibri"/>
          <w:sz w:val="22"/>
          <w:szCs w:val="22"/>
        </w:rPr>
        <w:t xml:space="preserve"> summary summons</w:t>
      </w:r>
      <w:r w:rsidR="00C65632" w:rsidRPr="00CF2D87">
        <w:rPr>
          <w:rFonts w:ascii="Calibri" w:hAnsi="Calibri" w:cs="Calibri"/>
          <w:sz w:val="22"/>
          <w:szCs w:val="22"/>
        </w:rPr>
        <w:t xml:space="preserve">; </w:t>
      </w:r>
      <w:r w:rsidR="00F14C08" w:rsidRPr="00CF2D87">
        <w:rPr>
          <w:rFonts w:ascii="Calibri" w:hAnsi="Calibri" w:cs="Calibri"/>
          <w:sz w:val="22"/>
          <w:szCs w:val="22"/>
        </w:rPr>
        <w:t>as a separate matter</w:t>
      </w:r>
      <w:r w:rsidR="00C65632" w:rsidRPr="00CF2D87">
        <w:rPr>
          <w:rFonts w:ascii="Calibri" w:hAnsi="Calibri" w:cs="Calibri"/>
          <w:sz w:val="22"/>
          <w:szCs w:val="22"/>
        </w:rPr>
        <w:t xml:space="preserve"> of evidence - proof of the debt - by</w:t>
      </w:r>
      <w:r w:rsidR="00F14C08" w:rsidRPr="00CF2D87">
        <w:rPr>
          <w:rFonts w:ascii="Calibri" w:hAnsi="Calibri" w:cs="Calibri"/>
          <w:sz w:val="22"/>
          <w:szCs w:val="22"/>
        </w:rPr>
        <w:t xml:space="preserve"> </w:t>
      </w:r>
      <w:r w:rsidRPr="00CF2D87">
        <w:rPr>
          <w:rFonts w:ascii="Calibri" w:hAnsi="Calibri" w:cs="Calibri"/>
          <w:sz w:val="22"/>
          <w:szCs w:val="22"/>
        </w:rPr>
        <w:t xml:space="preserve">exhibition of the statements in the </w:t>
      </w:r>
      <w:r w:rsidR="000B2344" w:rsidRPr="00CF2D87">
        <w:rPr>
          <w:rFonts w:ascii="Calibri" w:hAnsi="Calibri" w:cs="Calibri"/>
          <w:sz w:val="22"/>
          <w:szCs w:val="22"/>
        </w:rPr>
        <w:t xml:space="preserve">motion </w:t>
      </w:r>
      <w:r w:rsidRPr="00CF2D87">
        <w:rPr>
          <w:rFonts w:ascii="Calibri" w:hAnsi="Calibri" w:cs="Calibri"/>
          <w:sz w:val="22"/>
          <w:szCs w:val="22"/>
        </w:rPr>
        <w:t>papers seeking judgment.</w:t>
      </w:r>
      <w:r w:rsidR="00F14C08" w:rsidRPr="00CF2D87">
        <w:rPr>
          <w:rFonts w:ascii="Calibri" w:hAnsi="Calibri" w:cs="Calibri"/>
          <w:sz w:val="22"/>
          <w:szCs w:val="22"/>
        </w:rPr>
        <w:t xml:space="preserve"> The latter issue does not arise at present in this case.</w:t>
      </w:r>
    </w:p>
    <w:p w14:paraId="78ADE784" w14:textId="77777777" w:rsidR="000B2344" w:rsidRPr="00CF2D87" w:rsidRDefault="000B2344" w:rsidP="000B2344">
      <w:pPr>
        <w:pStyle w:val="ListParagraph"/>
        <w:spacing w:line="276" w:lineRule="auto"/>
        <w:ind w:left="0"/>
        <w:rPr>
          <w:rFonts w:ascii="Calibri" w:hAnsi="Calibri" w:cs="Calibri"/>
          <w:b/>
          <w:sz w:val="22"/>
          <w:szCs w:val="22"/>
        </w:rPr>
      </w:pPr>
    </w:p>
    <w:p w14:paraId="4297A059" w14:textId="77777777" w:rsidR="000B2344" w:rsidRPr="00CF2D87" w:rsidRDefault="000B2344" w:rsidP="000B2344">
      <w:pPr>
        <w:pStyle w:val="ListParagraph"/>
        <w:spacing w:line="276" w:lineRule="auto"/>
        <w:ind w:left="0"/>
        <w:rPr>
          <w:rFonts w:ascii="Calibri" w:hAnsi="Calibri" w:cs="Calibri"/>
          <w:b/>
          <w:sz w:val="22"/>
          <w:szCs w:val="22"/>
        </w:rPr>
      </w:pPr>
    </w:p>
    <w:p w14:paraId="4DEF57AA" w14:textId="50B3297C" w:rsidR="000B2344" w:rsidRPr="00CF2D87" w:rsidRDefault="000B2344" w:rsidP="000B2344">
      <w:pPr>
        <w:pStyle w:val="ListParagraph"/>
        <w:numPr>
          <w:ilvl w:val="0"/>
          <w:numId w:val="4"/>
        </w:numPr>
        <w:spacing w:line="276" w:lineRule="auto"/>
        <w:rPr>
          <w:rFonts w:ascii="Calibri" w:hAnsi="Calibri" w:cs="Calibri"/>
          <w:b/>
          <w:sz w:val="22"/>
          <w:szCs w:val="22"/>
        </w:rPr>
      </w:pPr>
      <w:r w:rsidRPr="00CF2D87">
        <w:rPr>
          <w:rFonts w:ascii="Calibri" w:hAnsi="Calibri" w:cs="Calibri"/>
          <w:sz w:val="22"/>
          <w:szCs w:val="22"/>
        </w:rPr>
        <w:t xml:space="preserve">While </w:t>
      </w:r>
      <w:r w:rsidRPr="00CF2D87">
        <w:rPr>
          <w:rFonts w:ascii="Calibri" w:hAnsi="Calibri" w:cs="Calibri"/>
          <w:i/>
          <w:sz w:val="22"/>
          <w:szCs w:val="22"/>
        </w:rPr>
        <w:t>O’Malley</w:t>
      </w:r>
      <w:r w:rsidRPr="00CF2D87">
        <w:rPr>
          <w:rStyle w:val="FootnoteReference"/>
          <w:rFonts w:ascii="Calibri" w:hAnsi="Calibri" w:cs="Calibri"/>
          <w:sz w:val="22"/>
          <w:szCs w:val="22"/>
        </w:rPr>
        <w:footnoteReference w:id="6"/>
      </w:r>
      <w:r w:rsidRPr="00CF2D87">
        <w:rPr>
          <w:rFonts w:ascii="Calibri" w:hAnsi="Calibri" w:cs="Calibri"/>
          <w:b/>
          <w:sz w:val="22"/>
          <w:szCs w:val="22"/>
        </w:rPr>
        <w:t xml:space="preserve"> </w:t>
      </w:r>
      <w:r w:rsidRPr="00CF2D87">
        <w:rPr>
          <w:rFonts w:ascii="Calibri" w:hAnsi="Calibri" w:cs="Calibri"/>
          <w:sz w:val="22"/>
          <w:szCs w:val="22"/>
        </w:rPr>
        <w:t>is the earliest and most important of the relevant judgments, I will leave its consideration to last.</w:t>
      </w:r>
    </w:p>
    <w:p w14:paraId="7202ECB9" w14:textId="77777777" w:rsidR="000B2344" w:rsidRPr="00CF2D87" w:rsidRDefault="000B2344" w:rsidP="000B2344">
      <w:pPr>
        <w:spacing w:line="276" w:lineRule="auto"/>
        <w:rPr>
          <w:rFonts w:ascii="Calibri" w:hAnsi="Calibri" w:cs="Calibri"/>
          <w:sz w:val="22"/>
          <w:szCs w:val="22"/>
        </w:rPr>
      </w:pPr>
    </w:p>
    <w:p w14:paraId="7540587C" w14:textId="77777777" w:rsidR="000B2344" w:rsidRPr="00CF2D87" w:rsidRDefault="000B2344" w:rsidP="000B2344">
      <w:pPr>
        <w:spacing w:line="276" w:lineRule="auto"/>
        <w:rPr>
          <w:rFonts w:ascii="Calibri" w:hAnsi="Calibri" w:cs="Calibri"/>
          <w:sz w:val="22"/>
          <w:szCs w:val="22"/>
        </w:rPr>
      </w:pPr>
    </w:p>
    <w:p w14:paraId="408F80D0" w14:textId="77777777" w:rsidR="000B2344" w:rsidRPr="00CF2D87" w:rsidRDefault="000B2344" w:rsidP="000B2344">
      <w:pPr>
        <w:spacing w:line="276" w:lineRule="auto"/>
        <w:rPr>
          <w:rFonts w:ascii="Calibri" w:hAnsi="Calibri" w:cs="Calibri"/>
          <w:sz w:val="22"/>
          <w:szCs w:val="22"/>
        </w:rPr>
      </w:pPr>
    </w:p>
    <w:p w14:paraId="5C4D7777" w14:textId="77777777" w:rsidR="000B2344" w:rsidRPr="00CF2D87" w:rsidRDefault="000B2344" w:rsidP="000B2344">
      <w:pPr>
        <w:pStyle w:val="Heading2"/>
        <w:spacing w:line="276" w:lineRule="auto"/>
        <w:rPr>
          <w:szCs w:val="22"/>
        </w:rPr>
      </w:pPr>
      <w:r w:rsidRPr="00CF2D87">
        <w:rPr>
          <w:szCs w:val="22"/>
        </w:rPr>
        <w:t>AIB Mortgage Bank v Hayden</w:t>
      </w:r>
      <w:r w:rsidRPr="00CF2D87">
        <w:rPr>
          <w:rStyle w:val="FootnoteReference"/>
          <w:szCs w:val="22"/>
        </w:rPr>
        <w:footnoteReference w:id="7"/>
      </w:r>
    </w:p>
    <w:p w14:paraId="22ECEA26" w14:textId="77777777" w:rsidR="000B2344" w:rsidRPr="00CF2D87" w:rsidRDefault="000B2344" w:rsidP="000B2344">
      <w:pPr>
        <w:shd w:val="clear" w:color="auto" w:fill="FFFFFF"/>
        <w:spacing w:line="276" w:lineRule="auto"/>
        <w:rPr>
          <w:rFonts w:ascii="Calibri" w:hAnsi="Calibri" w:cs="Calibri"/>
          <w:sz w:val="22"/>
          <w:szCs w:val="22"/>
        </w:rPr>
      </w:pPr>
    </w:p>
    <w:p w14:paraId="75DF6614" w14:textId="4939786C" w:rsidR="000B2344" w:rsidRPr="00CF2D87" w:rsidRDefault="000B2344" w:rsidP="000B2344">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lastRenderedPageBreak/>
        <w:t xml:space="preserve">In </w:t>
      </w:r>
      <w:r w:rsidRPr="00CF2D87">
        <w:rPr>
          <w:rFonts w:ascii="Calibri" w:hAnsi="Calibri" w:cs="Calibri"/>
          <w:i/>
          <w:sz w:val="22"/>
          <w:szCs w:val="22"/>
        </w:rPr>
        <w:t>Hayden</w:t>
      </w:r>
      <w:r w:rsidR="00C65632" w:rsidRPr="00CF2D87">
        <w:rPr>
          <w:rFonts w:ascii="Calibri" w:hAnsi="Calibri" w:cs="Calibri"/>
          <w:sz w:val="22"/>
          <w:szCs w:val="22"/>
        </w:rPr>
        <w:t>,</w:t>
      </w:r>
      <w:r w:rsidRPr="00CF2D87">
        <w:rPr>
          <w:rFonts w:ascii="Calibri" w:hAnsi="Calibri" w:cs="Calibri"/>
          <w:sz w:val="22"/>
          <w:szCs w:val="22"/>
        </w:rPr>
        <w:t xml:space="preserve"> summary judgment was granted on foot of various loans. The Defendants resisted judgment, inter alia, in reliance on </w:t>
      </w:r>
      <w:r w:rsidRPr="00CF2D87">
        <w:rPr>
          <w:rFonts w:ascii="Calibri" w:hAnsi="Calibri" w:cs="Calibri"/>
          <w:i/>
          <w:sz w:val="22"/>
          <w:szCs w:val="22"/>
        </w:rPr>
        <w:t>O’Malley</w:t>
      </w:r>
      <w:r w:rsidRPr="00CF2D87">
        <w:rPr>
          <w:rFonts w:ascii="Calibri" w:hAnsi="Calibri" w:cs="Calibri"/>
          <w:sz w:val="22"/>
          <w:szCs w:val="22"/>
        </w:rPr>
        <w:t>.  Meenan J dealt with the pleadings issue briefly and on the basis that the Plaintiff had “</w:t>
      </w:r>
      <w:r w:rsidRPr="00CF2D87">
        <w:rPr>
          <w:rFonts w:ascii="Calibri" w:hAnsi="Calibri" w:cs="Calibri"/>
          <w:i/>
          <w:sz w:val="22"/>
          <w:szCs w:val="22"/>
        </w:rPr>
        <w:t>satisfied the “O’Malley test</w:t>
      </w:r>
      <w:r w:rsidRPr="00CF2D87">
        <w:rPr>
          <w:rFonts w:ascii="Calibri" w:hAnsi="Calibri" w:cs="Calibri"/>
          <w:sz w:val="22"/>
          <w:szCs w:val="22"/>
        </w:rPr>
        <w:t>”” (which he recited) by a plea that:</w:t>
      </w:r>
    </w:p>
    <w:p w14:paraId="165C08E6" w14:textId="77777777" w:rsidR="000B2344" w:rsidRPr="00CF2D87" w:rsidRDefault="000B2344" w:rsidP="000B2344">
      <w:pPr>
        <w:pStyle w:val="ListParagraph"/>
        <w:shd w:val="clear" w:color="auto" w:fill="FFFFFF"/>
        <w:spacing w:line="276" w:lineRule="auto"/>
        <w:ind w:left="360"/>
        <w:rPr>
          <w:rFonts w:ascii="Calibri" w:hAnsi="Calibri" w:cs="Calibri"/>
          <w:sz w:val="22"/>
          <w:szCs w:val="22"/>
        </w:rPr>
      </w:pPr>
    </w:p>
    <w:p w14:paraId="63CE2E4D" w14:textId="77777777" w:rsidR="000B2344" w:rsidRPr="00CF2D87" w:rsidRDefault="000B2344" w:rsidP="000B2344">
      <w:pPr>
        <w:pStyle w:val="ListParagraph"/>
        <w:shd w:val="clear" w:color="auto" w:fill="FFFFFF"/>
        <w:spacing w:line="276" w:lineRule="auto"/>
        <w:rPr>
          <w:rFonts w:ascii="Calibri" w:hAnsi="Calibri" w:cs="Calibri"/>
          <w:i/>
          <w:sz w:val="22"/>
          <w:szCs w:val="22"/>
        </w:rPr>
      </w:pPr>
      <w:r w:rsidRPr="00CF2D87">
        <w:rPr>
          <w:rFonts w:ascii="Calibri" w:hAnsi="Calibri" w:cs="Calibri"/>
          <w:i/>
          <w:sz w:val="22"/>
          <w:szCs w:val="22"/>
        </w:rPr>
        <w:t>“The particulars of the amount due and owing are calculated as detailed in the bank account statements in respect of loan account no. [blank] and have previously been notified to the defendants by the delivery of same from time to time.”</w:t>
      </w:r>
    </w:p>
    <w:p w14:paraId="77D33C80" w14:textId="77777777" w:rsidR="000B2344" w:rsidRPr="00CF2D87" w:rsidRDefault="000B2344" w:rsidP="000B2344">
      <w:pPr>
        <w:pStyle w:val="ListParagraph"/>
        <w:shd w:val="clear" w:color="auto" w:fill="FFFFFF"/>
        <w:spacing w:line="276" w:lineRule="auto"/>
        <w:ind w:left="360"/>
        <w:rPr>
          <w:rFonts w:ascii="Calibri" w:hAnsi="Calibri" w:cs="Calibri"/>
          <w:sz w:val="22"/>
          <w:szCs w:val="22"/>
        </w:rPr>
      </w:pPr>
    </w:p>
    <w:p w14:paraId="082BE4A4" w14:textId="7F938965" w:rsidR="000B2344" w:rsidRPr="00CF2D87" w:rsidRDefault="000B2344" w:rsidP="007773A1">
      <w:pPr>
        <w:pStyle w:val="ListParagraph"/>
        <w:shd w:val="clear" w:color="auto" w:fill="FFFFFF"/>
        <w:spacing w:line="276" w:lineRule="auto"/>
        <w:ind w:left="0"/>
        <w:rPr>
          <w:rFonts w:ascii="Calibri" w:hAnsi="Calibri" w:cs="Calibri"/>
          <w:sz w:val="22"/>
          <w:szCs w:val="22"/>
        </w:rPr>
      </w:pPr>
      <w:r w:rsidRPr="00CF2D87">
        <w:rPr>
          <w:rFonts w:ascii="Calibri" w:hAnsi="Calibri" w:cs="Calibri"/>
          <w:sz w:val="22"/>
          <w:szCs w:val="22"/>
        </w:rPr>
        <w:t>That plea is in all material respects the same as</w:t>
      </w:r>
      <w:r w:rsidR="000C346D" w:rsidRPr="00CF2D87">
        <w:rPr>
          <w:rFonts w:ascii="Calibri" w:hAnsi="Calibri" w:cs="Calibri"/>
          <w:sz w:val="22"/>
          <w:szCs w:val="22"/>
        </w:rPr>
        <w:t xml:space="preserve"> that</w:t>
      </w:r>
      <w:r w:rsidRPr="00CF2D87">
        <w:rPr>
          <w:rFonts w:ascii="Calibri" w:hAnsi="Calibri" w:cs="Calibri"/>
          <w:sz w:val="22"/>
          <w:szCs w:val="22"/>
        </w:rPr>
        <w:t xml:space="preserve"> made in the present case.</w:t>
      </w:r>
    </w:p>
    <w:p w14:paraId="16EF2A7E" w14:textId="77777777" w:rsidR="000B2344" w:rsidRPr="00CF2D87" w:rsidRDefault="000B2344" w:rsidP="000B2344">
      <w:pPr>
        <w:pStyle w:val="ListParagraph"/>
        <w:shd w:val="clear" w:color="auto" w:fill="FFFFFF"/>
        <w:spacing w:line="276" w:lineRule="auto"/>
        <w:ind w:left="360"/>
        <w:rPr>
          <w:rFonts w:ascii="Calibri" w:hAnsi="Calibri" w:cs="Calibri"/>
          <w:sz w:val="22"/>
          <w:szCs w:val="22"/>
        </w:rPr>
      </w:pPr>
    </w:p>
    <w:p w14:paraId="703DDF1D" w14:textId="77777777" w:rsidR="000B2344" w:rsidRPr="00CF2D87" w:rsidRDefault="000B2344" w:rsidP="000B2344">
      <w:pPr>
        <w:pStyle w:val="ListParagraph"/>
        <w:shd w:val="clear" w:color="auto" w:fill="FFFFFF"/>
        <w:spacing w:line="276" w:lineRule="auto"/>
        <w:ind w:left="360"/>
        <w:rPr>
          <w:rFonts w:ascii="Calibri" w:hAnsi="Calibri" w:cs="Calibri"/>
          <w:sz w:val="22"/>
          <w:szCs w:val="22"/>
        </w:rPr>
      </w:pPr>
    </w:p>
    <w:p w14:paraId="10A55659" w14:textId="6E224B2F" w:rsidR="000B2344" w:rsidRPr="00CF2D87" w:rsidRDefault="000B2344" w:rsidP="000B2344">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t xml:space="preserve">Meenan J noted that the defendant’s replying affidavits were filed before the decision in O’Malley and made no complaint of lack of particularity such as would allow the defendants to </w:t>
      </w:r>
      <w:r w:rsidR="00AA0330" w:rsidRPr="00CF2D87">
        <w:rPr>
          <w:rFonts w:ascii="Calibri" w:hAnsi="Calibri" w:cs="Calibri"/>
          <w:sz w:val="22"/>
          <w:szCs w:val="22"/>
        </w:rPr>
        <w:t xml:space="preserve">decide </w:t>
      </w:r>
      <w:r w:rsidRPr="00CF2D87">
        <w:rPr>
          <w:rFonts w:ascii="Calibri" w:hAnsi="Calibri" w:cs="Calibri"/>
          <w:sz w:val="22"/>
          <w:szCs w:val="22"/>
        </w:rPr>
        <w:t xml:space="preserve">whether to concede or resist the claim. Meenan J also noted the exhibition by the </w:t>
      </w:r>
      <w:r w:rsidR="00434E39" w:rsidRPr="00CF2D87">
        <w:rPr>
          <w:rFonts w:ascii="Calibri" w:hAnsi="Calibri" w:cs="Calibri"/>
          <w:sz w:val="22"/>
          <w:szCs w:val="22"/>
        </w:rPr>
        <w:t>p</w:t>
      </w:r>
      <w:r w:rsidRPr="00CF2D87">
        <w:rPr>
          <w:rFonts w:ascii="Calibri" w:hAnsi="Calibri" w:cs="Calibri"/>
          <w:sz w:val="22"/>
          <w:szCs w:val="22"/>
        </w:rPr>
        <w:t xml:space="preserve">laintiff of all relevant </w:t>
      </w:r>
      <w:r w:rsidR="00434E39" w:rsidRPr="00CF2D87">
        <w:rPr>
          <w:rFonts w:ascii="Calibri" w:hAnsi="Calibri" w:cs="Calibri"/>
          <w:sz w:val="22"/>
          <w:szCs w:val="22"/>
        </w:rPr>
        <w:t>bank statements</w:t>
      </w:r>
      <w:r w:rsidRPr="00CF2D87">
        <w:rPr>
          <w:rFonts w:ascii="Calibri" w:hAnsi="Calibri" w:cs="Calibri"/>
          <w:sz w:val="22"/>
          <w:szCs w:val="22"/>
        </w:rPr>
        <w:t xml:space="preserve">. He was therefore satisfied that the </w:t>
      </w:r>
      <w:r w:rsidR="00434E39" w:rsidRPr="00CF2D87">
        <w:rPr>
          <w:rFonts w:ascii="Calibri" w:hAnsi="Calibri" w:cs="Calibri"/>
          <w:sz w:val="22"/>
          <w:szCs w:val="22"/>
        </w:rPr>
        <w:t>d</w:t>
      </w:r>
      <w:r w:rsidRPr="00CF2D87">
        <w:rPr>
          <w:rFonts w:ascii="Calibri" w:hAnsi="Calibri" w:cs="Calibri"/>
          <w:sz w:val="22"/>
          <w:szCs w:val="22"/>
        </w:rPr>
        <w:t>efendants ha</w:t>
      </w:r>
      <w:r w:rsidR="00434E39" w:rsidRPr="00CF2D87">
        <w:rPr>
          <w:rFonts w:ascii="Calibri" w:hAnsi="Calibri" w:cs="Calibri"/>
          <w:sz w:val="22"/>
          <w:szCs w:val="22"/>
        </w:rPr>
        <w:t xml:space="preserve">d </w:t>
      </w:r>
      <w:r w:rsidRPr="00CF2D87">
        <w:rPr>
          <w:rFonts w:ascii="Calibri" w:hAnsi="Calibri" w:cs="Calibri"/>
          <w:sz w:val="22"/>
          <w:szCs w:val="22"/>
        </w:rPr>
        <w:t>not established any defence in this regard.</w:t>
      </w:r>
    </w:p>
    <w:p w14:paraId="31EE3CB8" w14:textId="77777777" w:rsidR="000B2344" w:rsidRPr="00CF2D87" w:rsidRDefault="000B2344" w:rsidP="000B2344">
      <w:pPr>
        <w:shd w:val="clear" w:color="auto" w:fill="FFFFFF"/>
        <w:spacing w:line="276" w:lineRule="auto"/>
        <w:rPr>
          <w:rFonts w:ascii="Calibri" w:hAnsi="Calibri" w:cs="Calibri"/>
          <w:sz w:val="22"/>
          <w:szCs w:val="22"/>
          <w:highlight w:val="yellow"/>
        </w:rPr>
      </w:pPr>
    </w:p>
    <w:p w14:paraId="1B9C3504" w14:textId="77777777" w:rsidR="000B2344" w:rsidRPr="00CF2D87" w:rsidRDefault="000B2344" w:rsidP="007773A1">
      <w:pPr>
        <w:spacing w:line="276" w:lineRule="auto"/>
        <w:rPr>
          <w:rFonts w:ascii="Calibri" w:hAnsi="Calibri" w:cs="Calibri"/>
          <w:sz w:val="22"/>
          <w:szCs w:val="22"/>
        </w:rPr>
      </w:pPr>
    </w:p>
    <w:p w14:paraId="52AA8995" w14:textId="77777777" w:rsidR="000B2344" w:rsidRPr="00CF2D87" w:rsidRDefault="000B2344" w:rsidP="000B2344">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t>It is not clear to what extent, if at all, the issue was argued before Meenan J whether the specific feature of reliance on the statements issued periodically over the entire life of the loan sufficed for purposes of pleading particulars of the debt by reference to such statements.</w:t>
      </w:r>
    </w:p>
    <w:p w14:paraId="736CFCA2" w14:textId="77777777" w:rsidR="000B2344" w:rsidRPr="00CF2D87" w:rsidRDefault="000B2344" w:rsidP="000B2344">
      <w:pPr>
        <w:spacing w:line="276" w:lineRule="auto"/>
        <w:rPr>
          <w:rFonts w:ascii="Calibri" w:hAnsi="Calibri" w:cs="Calibri"/>
          <w:sz w:val="22"/>
          <w:szCs w:val="22"/>
        </w:rPr>
      </w:pPr>
    </w:p>
    <w:p w14:paraId="3724B515" w14:textId="77777777" w:rsidR="000B2344" w:rsidRPr="00CF2D87" w:rsidRDefault="000B2344" w:rsidP="000B2344">
      <w:pPr>
        <w:spacing w:line="276" w:lineRule="auto"/>
        <w:rPr>
          <w:rFonts w:ascii="Calibri" w:hAnsi="Calibri" w:cs="Calibri"/>
          <w:sz w:val="22"/>
          <w:szCs w:val="22"/>
        </w:rPr>
      </w:pPr>
    </w:p>
    <w:p w14:paraId="1643C591" w14:textId="77777777" w:rsidR="000B2344" w:rsidRPr="00CF2D87" w:rsidRDefault="000B2344" w:rsidP="000B2344">
      <w:pPr>
        <w:spacing w:line="276" w:lineRule="auto"/>
        <w:rPr>
          <w:rFonts w:ascii="Calibri" w:hAnsi="Calibri" w:cs="Calibri"/>
          <w:sz w:val="22"/>
          <w:szCs w:val="22"/>
        </w:rPr>
      </w:pPr>
    </w:p>
    <w:p w14:paraId="40FF0479" w14:textId="77777777" w:rsidR="000B2344" w:rsidRPr="00CF2D87" w:rsidRDefault="000B2344" w:rsidP="000B2344">
      <w:pPr>
        <w:pStyle w:val="Heading2"/>
        <w:spacing w:line="276" w:lineRule="auto"/>
        <w:rPr>
          <w:szCs w:val="22"/>
        </w:rPr>
      </w:pPr>
      <w:r w:rsidRPr="00CF2D87">
        <w:rPr>
          <w:szCs w:val="22"/>
        </w:rPr>
        <w:t>AIB v Ahern</w:t>
      </w:r>
      <w:r w:rsidRPr="00CF2D87">
        <w:rPr>
          <w:rStyle w:val="FootnoteReference"/>
          <w:b w:val="0"/>
          <w:szCs w:val="22"/>
        </w:rPr>
        <w:footnoteReference w:id="8"/>
      </w:r>
    </w:p>
    <w:p w14:paraId="125B63A9" w14:textId="77777777" w:rsidR="000B2344" w:rsidRPr="00CF2D87" w:rsidRDefault="000B2344" w:rsidP="000B2344">
      <w:pPr>
        <w:spacing w:line="276" w:lineRule="auto"/>
        <w:rPr>
          <w:rFonts w:ascii="Calibri" w:hAnsi="Calibri" w:cs="Calibri"/>
          <w:sz w:val="22"/>
          <w:szCs w:val="22"/>
        </w:rPr>
      </w:pPr>
    </w:p>
    <w:p w14:paraId="08282231" w14:textId="5F1B1229" w:rsidR="00AA0330" w:rsidRPr="00CF2D87" w:rsidRDefault="000B2344" w:rsidP="00AA0330">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t xml:space="preserve">In </w:t>
      </w:r>
      <w:r w:rsidRPr="00CF2D87">
        <w:rPr>
          <w:rFonts w:ascii="Calibri" w:hAnsi="Calibri" w:cs="Calibri"/>
          <w:i/>
          <w:sz w:val="22"/>
          <w:szCs w:val="22"/>
        </w:rPr>
        <w:t>Ahern,</w:t>
      </w:r>
      <w:r w:rsidRPr="00CF2D87">
        <w:rPr>
          <w:rFonts w:ascii="Calibri" w:hAnsi="Calibri" w:cs="Calibri"/>
          <w:sz w:val="22"/>
          <w:szCs w:val="22"/>
        </w:rPr>
        <w:t xml:space="preserve"> summary judgment was granted on foot of various loans.  The </w:t>
      </w:r>
      <w:r w:rsidR="00434E39" w:rsidRPr="00CF2D87">
        <w:rPr>
          <w:rFonts w:ascii="Calibri" w:hAnsi="Calibri" w:cs="Calibri"/>
          <w:sz w:val="22"/>
          <w:szCs w:val="22"/>
        </w:rPr>
        <w:t>d</w:t>
      </w:r>
      <w:r w:rsidRPr="00CF2D87">
        <w:rPr>
          <w:rFonts w:ascii="Calibri" w:hAnsi="Calibri" w:cs="Calibri"/>
          <w:sz w:val="22"/>
          <w:szCs w:val="22"/>
        </w:rPr>
        <w:t xml:space="preserve">efendants resisted judgment, inter alia, in reliance on </w:t>
      </w:r>
      <w:r w:rsidRPr="00CF2D87">
        <w:rPr>
          <w:rFonts w:ascii="Calibri" w:hAnsi="Calibri" w:cs="Calibri"/>
          <w:i/>
          <w:sz w:val="22"/>
          <w:szCs w:val="22"/>
        </w:rPr>
        <w:t>O’Malley.</w:t>
      </w:r>
      <w:r w:rsidRPr="00CF2D87">
        <w:rPr>
          <w:rFonts w:ascii="Calibri" w:hAnsi="Calibri" w:cs="Calibri"/>
          <w:sz w:val="22"/>
          <w:szCs w:val="22"/>
        </w:rPr>
        <w:t xml:space="preserve"> The summons </w:t>
      </w:r>
      <w:r w:rsidR="00434E39" w:rsidRPr="00CF2D87">
        <w:rPr>
          <w:rFonts w:ascii="Calibri" w:hAnsi="Calibri" w:cs="Calibri"/>
          <w:sz w:val="22"/>
          <w:szCs w:val="22"/>
        </w:rPr>
        <w:t xml:space="preserve">had been issued before O’Malley and before O’Malley the plaintiff sought summary judgment on foot of an affidavit which exhibited the relevant bank statements. After O’Malley the summons </w:t>
      </w:r>
      <w:r w:rsidR="00AA0330" w:rsidRPr="00CF2D87">
        <w:rPr>
          <w:rFonts w:ascii="Calibri" w:hAnsi="Calibri" w:cs="Calibri"/>
          <w:sz w:val="22"/>
          <w:szCs w:val="22"/>
        </w:rPr>
        <w:t>was amended to comply with O’Malley</w:t>
      </w:r>
      <w:r w:rsidR="00434E39" w:rsidRPr="00CF2D87">
        <w:rPr>
          <w:rFonts w:ascii="Calibri" w:hAnsi="Calibri" w:cs="Calibri"/>
          <w:sz w:val="22"/>
          <w:szCs w:val="22"/>
        </w:rPr>
        <w:t xml:space="preserve">. As amended, it pleaded </w:t>
      </w:r>
      <w:r w:rsidRPr="00CF2D87">
        <w:rPr>
          <w:rFonts w:ascii="Calibri" w:hAnsi="Calibri" w:cs="Calibri"/>
          <w:sz w:val="22"/>
          <w:szCs w:val="22"/>
        </w:rPr>
        <w:t xml:space="preserve">the bank statements which the defendants had received regularly over the </w:t>
      </w:r>
      <w:proofErr w:type="gramStart"/>
      <w:r w:rsidRPr="00CF2D87">
        <w:rPr>
          <w:rFonts w:ascii="Calibri" w:hAnsi="Calibri" w:cs="Calibri"/>
          <w:sz w:val="22"/>
          <w:szCs w:val="22"/>
        </w:rPr>
        <w:t>years</w:t>
      </w:r>
      <w:proofErr w:type="gramEnd"/>
      <w:r w:rsidRPr="00CF2D87">
        <w:rPr>
          <w:rFonts w:ascii="Calibri" w:hAnsi="Calibri" w:cs="Calibri"/>
          <w:sz w:val="22"/>
          <w:szCs w:val="22"/>
        </w:rPr>
        <w:t xml:space="preserve"> and which had been furnished again in the proceedings. </w:t>
      </w:r>
    </w:p>
    <w:p w14:paraId="530E15E9" w14:textId="5E6B6EA0" w:rsidR="00AA0330" w:rsidRPr="00CF2D87" w:rsidRDefault="00AA0330" w:rsidP="00AA0330">
      <w:pPr>
        <w:pStyle w:val="ListParagraph"/>
        <w:shd w:val="clear" w:color="auto" w:fill="FFFFFF"/>
        <w:spacing w:line="276" w:lineRule="auto"/>
        <w:ind w:left="0"/>
        <w:rPr>
          <w:rFonts w:ascii="Calibri" w:hAnsi="Calibri" w:cs="Calibri"/>
          <w:sz w:val="22"/>
          <w:szCs w:val="22"/>
        </w:rPr>
      </w:pPr>
    </w:p>
    <w:p w14:paraId="5A7FC7F1" w14:textId="77777777" w:rsidR="00AA0330" w:rsidRPr="00CF2D87" w:rsidRDefault="00AA0330" w:rsidP="00AA0330">
      <w:pPr>
        <w:pStyle w:val="ListParagraph"/>
        <w:shd w:val="clear" w:color="auto" w:fill="FFFFFF"/>
        <w:spacing w:line="276" w:lineRule="auto"/>
        <w:ind w:left="0"/>
        <w:rPr>
          <w:rFonts w:ascii="Calibri" w:hAnsi="Calibri" w:cs="Calibri"/>
          <w:sz w:val="22"/>
          <w:szCs w:val="22"/>
        </w:rPr>
      </w:pPr>
    </w:p>
    <w:p w14:paraId="794944D5" w14:textId="77777777" w:rsidR="00AA0330" w:rsidRPr="00CF2D87" w:rsidRDefault="00AA0330" w:rsidP="00AA0330">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t xml:space="preserve">Notably, that plea in the amended summons differs from that in the present case in that it pleads, not merely the statements sent to the Defendant over the period of the loan, but the statements already furnished again in the proceedings – in other words, those exhibited in the motion for judgment prior to the amendment of the summons. Thus, the amended summons asserted that, on their receipt of the amended summons, the defendants had, by the earlier exhibition of those statements, the necessary information to enable them to decide whether to concede or resist the claim. In a sense this is a reversal of the normal sequence in which pleading precedes evidence: here earlier evidence is being retrofitted, as it were, as pleading. But there </w:t>
      </w:r>
      <w:r w:rsidRPr="00CF2D87">
        <w:rPr>
          <w:rFonts w:ascii="Calibri" w:hAnsi="Calibri" w:cs="Calibri"/>
          <w:sz w:val="22"/>
          <w:szCs w:val="22"/>
        </w:rPr>
        <w:lastRenderedPageBreak/>
        <w:t xml:space="preserve">seems to me to be nothing wrong with that if it achieves the required practical objectives of justice identified in O’Malley as to the provision of particulars. In my experience, this reflects an approach commonly adopted by Plaintiffs. </w:t>
      </w:r>
    </w:p>
    <w:p w14:paraId="183E93D0" w14:textId="32C673E8" w:rsidR="00AA0330" w:rsidRPr="00CF2D87" w:rsidRDefault="00AA0330" w:rsidP="00AA0330">
      <w:pPr>
        <w:pStyle w:val="ListParagraph"/>
        <w:numPr>
          <w:ilvl w:val="0"/>
          <w:numId w:val="4"/>
        </w:numPr>
        <w:shd w:val="clear" w:color="auto" w:fill="FFFFFF"/>
        <w:spacing w:line="276" w:lineRule="auto"/>
        <w:rPr>
          <w:rFonts w:ascii="Calibri" w:hAnsi="Calibri" w:cs="Calibri"/>
          <w:sz w:val="22"/>
          <w:szCs w:val="22"/>
        </w:rPr>
      </w:pPr>
      <w:r w:rsidRPr="00CF2D87">
        <w:rPr>
          <w:rFonts w:ascii="Calibri" w:hAnsi="Calibri" w:cs="Calibri"/>
          <w:sz w:val="22"/>
          <w:szCs w:val="22"/>
        </w:rPr>
        <w:t>The difference in the present case is the absence of a plea in an amended summons of reliance for purposed of furnishing particulars in an amended summons on statements exhibited before the amendment.</w:t>
      </w:r>
      <w:r w:rsidR="00517A65" w:rsidRPr="00CF2D87">
        <w:rPr>
          <w:rFonts w:ascii="Calibri" w:hAnsi="Calibri" w:cs="Calibri"/>
          <w:sz w:val="22"/>
          <w:szCs w:val="22"/>
        </w:rPr>
        <w:t xml:space="preserve"> The present summons pleads only the statements sent to the borrowers from time to time since the loans were made.</w:t>
      </w:r>
    </w:p>
    <w:p w14:paraId="402709BD" w14:textId="77777777" w:rsidR="000B2344" w:rsidRPr="00CF2D87" w:rsidRDefault="000B2344" w:rsidP="000B2344">
      <w:pPr>
        <w:pStyle w:val="ListParagraph"/>
        <w:spacing w:line="276" w:lineRule="auto"/>
        <w:ind w:left="360"/>
        <w:rPr>
          <w:rFonts w:ascii="Calibri" w:hAnsi="Calibri" w:cs="Calibri"/>
          <w:sz w:val="22"/>
          <w:szCs w:val="22"/>
        </w:rPr>
      </w:pPr>
    </w:p>
    <w:p w14:paraId="34AD5E78" w14:textId="77777777" w:rsidR="000B2344" w:rsidRPr="00CF2D87" w:rsidRDefault="000B2344" w:rsidP="000B2344">
      <w:pPr>
        <w:pStyle w:val="ListParagraph"/>
        <w:spacing w:line="276" w:lineRule="auto"/>
        <w:ind w:left="360"/>
        <w:rPr>
          <w:rFonts w:ascii="Calibri" w:hAnsi="Calibri" w:cs="Calibri"/>
          <w:sz w:val="22"/>
          <w:szCs w:val="22"/>
        </w:rPr>
      </w:pPr>
    </w:p>
    <w:p w14:paraId="7A0DEE04" w14:textId="0DBEDA68" w:rsidR="000B2344" w:rsidRPr="00CF2D87" w:rsidRDefault="000B2344" w:rsidP="000B2344">
      <w:pPr>
        <w:pStyle w:val="ListParagraph"/>
        <w:numPr>
          <w:ilvl w:val="0"/>
          <w:numId w:val="4"/>
        </w:numPr>
        <w:spacing w:line="276" w:lineRule="auto"/>
        <w:rPr>
          <w:rFonts w:ascii="Calibri" w:hAnsi="Calibri" w:cs="Calibri"/>
          <w:i/>
          <w:iCs/>
          <w:sz w:val="22"/>
          <w:szCs w:val="22"/>
        </w:rPr>
      </w:pPr>
      <w:r w:rsidRPr="00CF2D87">
        <w:rPr>
          <w:rFonts w:ascii="Calibri" w:hAnsi="Calibri" w:cs="Calibri"/>
          <w:sz w:val="22"/>
          <w:szCs w:val="22"/>
        </w:rPr>
        <w:t xml:space="preserve">Barr J </w:t>
      </w:r>
      <w:r w:rsidR="00517A65" w:rsidRPr="00CF2D87">
        <w:rPr>
          <w:rFonts w:ascii="Calibri" w:hAnsi="Calibri" w:cs="Calibri"/>
          <w:sz w:val="22"/>
          <w:szCs w:val="22"/>
        </w:rPr>
        <w:t xml:space="preserve">in Ahern </w:t>
      </w:r>
      <w:r w:rsidRPr="00CF2D87">
        <w:rPr>
          <w:rFonts w:ascii="Calibri" w:hAnsi="Calibri" w:cs="Calibri"/>
          <w:sz w:val="22"/>
          <w:szCs w:val="22"/>
        </w:rPr>
        <w:t xml:space="preserve">recorded that </w:t>
      </w:r>
      <w:r w:rsidRPr="00CF2D87">
        <w:rPr>
          <w:rFonts w:ascii="Calibri" w:hAnsi="Calibri" w:cs="Calibri"/>
          <w:i/>
          <w:iCs/>
          <w:sz w:val="22"/>
          <w:szCs w:val="22"/>
        </w:rPr>
        <w:t xml:space="preserve">O’Malley </w:t>
      </w:r>
      <w:r w:rsidRPr="00CF2D87">
        <w:rPr>
          <w:rFonts w:ascii="Calibri" w:hAnsi="Calibri" w:cs="Calibri"/>
          <w:sz w:val="22"/>
          <w:szCs w:val="22"/>
        </w:rPr>
        <w:t>dealt with two distinct questions. The first concerned the level of detail required for a special endorsement of claim to be compliant with the Rules of the Superior Courts in a case involving a claim for debt on foot of a loan. The second concerned the evidence required to justify summary judgment on a motion to that end. As</w:t>
      </w:r>
      <w:r w:rsidR="006C4E44" w:rsidRPr="00CF2D87">
        <w:rPr>
          <w:rFonts w:ascii="Calibri" w:hAnsi="Calibri" w:cs="Calibri"/>
          <w:sz w:val="22"/>
          <w:szCs w:val="22"/>
        </w:rPr>
        <w:t xml:space="preserve"> to</w:t>
      </w:r>
      <w:r w:rsidRPr="00CF2D87">
        <w:rPr>
          <w:rFonts w:ascii="Calibri" w:hAnsi="Calibri" w:cs="Calibri"/>
          <w:sz w:val="22"/>
          <w:szCs w:val="22"/>
        </w:rPr>
        <w:t xml:space="preserve"> the first question, </w:t>
      </w:r>
      <w:r w:rsidRPr="00CF2D87">
        <w:rPr>
          <w:rFonts w:ascii="Calibri" w:hAnsi="Calibri" w:cs="Calibri"/>
          <w:i/>
          <w:iCs/>
          <w:sz w:val="22"/>
          <w:szCs w:val="22"/>
        </w:rPr>
        <w:t>O’Malley</w:t>
      </w:r>
      <w:r w:rsidRPr="00CF2D87">
        <w:rPr>
          <w:rFonts w:ascii="Calibri" w:hAnsi="Calibri" w:cs="Calibri"/>
          <w:iCs/>
          <w:sz w:val="22"/>
          <w:szCs w:val="22"/>
        </w:rPr>
        <w:t xml:space="preserve"> decided that the Defendant was </w:t>
      </w:r>
      <w:r w:rsidRPr="00CF2D87">
        <w:rPr>
          <w:rFonts w:ascii="Calibri" w:hAnsi="Calibri" w:cs="Calibri"/>
          <w:sz w:val="22"/>
          <w:szCs w:val="22"/>
        </w:rPr>
        <w:t>entitled to sufficient particulars in the summons to enable him “</w:t>
      </w:r>
      <w:r w:rsidRPr="00CF2D87">
        <w:rPr>
          <w:rFonts w:ascii="Calibri" w:hAnsi="Calibri" w:cs="Calibri"/>
          <w:i/>
          <w:sz w:val="22"/>
          <w:szCs w:val="22"/>
        </w:rPr>
        <w:t>to satisfy his mind whether he ought to pay or resist</w:t>
      </w:r>
      <w:r w:rsidRPr="00CF2D87">
        <w:rPr>
          <w:rFonts w:ascii="Calibri" w:hAnsi="Calibri" w:cs="Calibri"/>
          <w:sz w:val="22"/>
          <w:szCs w:val="22"/>
        </w:rPr>
        <w:t xml:space="preserve">”. </w:t>
      </w:r>
      <w:r w:rsidR="00517A65" w:rsidRPr="00CF2D87">
        <w:rPr>
          <w:rFonts w:ascii="Calibri" w:hAnsi="Calibri" w:cs="Calibri"/>
          <w:sz w:val="22"/>
          <w:szCs w:val="22"/>
        </w:rPr>
        <w:t xml:space="preserve">Barr J very briefly cited </w:t>
      </w:r>
      <w:r w:rsidR="00517A65" w:rsidRPr="00CF2D87">
        <w:rPr>
          <w:rFonts w:ascii="Calibri" w:hAnsi="Calibri" w:cs="Calibri"/>
          <w:b/>
          <w:sz w:val="22"/>
          <w:szCs w:val="22"/>
        </w:rPr>
        <w:t>Hayden</w:t>
      </w:r>
      <w:r w:rsidR="00517A65" w:rsidRPr="00CF2D87">
        <w:rPr>
          <w:rFonts w:ascii="Calibri" w:hAnsi="Calibri" w:cs="Calibri"/>
          <w:sz w:val="22"/>
          <w:szCs w:val="22"/>
        </w:rPr>
        <w:t xml:space="preserve"> in considering the particulars adequate to O’Malley requirements</w:t>
      </w:r>
      <w:r w:rsidR="00517A65" w:rsidRPr="00CF2D87">
        <w:rPr>
          <w:rStyle w:val="FootnoteReference"/>
          <w:rFonts w:ascii="Calibri" w:hAnsi="Calibri" w:cs="Calibri"/>
          <w:sz w:val="22"/>
          <w:szCs w:val="22"/>
        </w:rPr>
        <w:footnoteReference w:id="9"/>
      </w:r>
      <w:r w:rsidR="00517A65" w:rsidRPr="00CF2D87">
        <w:rPr>
          <w:rFonts w:ascii="Calibri" w:hAnsi="Calibri" w:cs="Calibri"/>
          <w:sz w:val="22"/>
          <w:szCs w:val="22"/>
        </w:rPr>
        <w:t xml:space="preserve">. Barr J </w:t>
      </w:r>
      <w:r w:rsidRPr="00CF2D87">
        <w:rPr>
          <w:rFonts w:ascii="Calibri" w:hAnsi="Calibri" w:cs="Calibri"/>
          <w:sz w:val="22"/>
          <w:szCs w:val="22"/>
        </w:rPr>
        <w:t>conclu</w:t>
      </w:r>
      <w:r w:rsidR="00517A65" w:rsidRPr="00CF2D87">
        <w:rPr>
          <w:rFonts w:ascii="Calibri" w:hAnsi="Calibri" w:cs="Calibri"/>
          <w:sz w:val="22"/>
          <w:szCs w:val="22"/>
        </w:rPr>
        <w:t>ded that</w:t>
      </w:r>
      <w:r w:rsidRPr="00CF2D87">
        <w:rPr>
          <w:rFonts w:ascii="Calibri" w:hAnsi="Calibri" w:cs="Calibri"/>
          <w:sz w:val="22"/>
          <w:szCs w:val="22"/>
        </w:rPr>
        <w:t>:</w:t>
      </w:r>
    </w:p>
    <w:p w14:paraId="03711A26" w14:textId="77777777" w:rsidR="000B2344" w:rsidRPr="00CF2D87" w:rsidRDefault="000B2344" w:rsidP="000B2344">
      <w:pPr>
        <w:pStyle w:val="ListParagraph"/>
        <w:spacing w:line="276" w:lineRule="auto"/>
        <w:ind w:left="360"/>
        <w:rPr>
          <w:rFonts w:ascii="Calibri" w:hAnsi="Calibri" w:cs="Calibri"/>
          <w:i/>
          <w:iCs/>
          <w:sz w:val="22"/>
          <w:szCs w:val="22"/>
        </w:rPr>
      </w:pPr>
    </w:p>
    <w:p w14:paraId="2504DFAD" w14:textId="77777777" w:rsidR="000B2344" w:rsidRPr="00CF2D87" w:rsidRDefault="000B2344" w:rsidP="000B2344">
      <w:pPr>
        <w:pStyle w:val="ListParagraph"/>
        <w:spacing w:line="276" w:lineRule="auto"/>
        <w:rPr>
          <w:rFonts w:ascii="Calibri" w:hAnsi="Calibri" w:cs="Calibri"/>
          <w:i/>
          <w:sz w:val="22"/>
          <w:szCs w:val="22"/>
        </w:rPr>
      </w:pPr>
      <w:r w:rsidRPr="00CF2D87">
        <w:rPr>
          <w:rFonts w:ascii="Calibri" w:hAnsi="Calibri" w:cs="Calibri"/>
          <w:i/>
          <w:sz w:val="22"/>
          <w:szCs w:val="22"/>
        </w:rPr>
        <w:t xml:space="preserve">“75. </w:t>
      </w:r>
      <w:r w:rsidRPr="00CF2D87">
        <w:rPr>
          <w:rFonts w:ascii="Calibri" w:hAnsi="Calibri" w:cs="Calibri"/>
          <w:i/>
          <w:sz w:val="22"/>
          <w:szCs w:val="22"/>
        </w:rPr>
        <w:tab/>
        <w:t>Having regard to the matters pleaded in the amended summons and to the fact that the facility letters and the relevant account statements were furnished to the defendants from time to time during the lifetime of the accounts and having regard to the fact that in the account statements, the rate of interest charged was clearly identified; changes in interest were clearly identified and once the facility limit was exceeded, the amount of interest accruing, but not applied to the account, was clearly stated in a separate box; the court is satisfied that the defendants were given adequate particulars of both the principal sums claimed and the amount of interest constituted therein, together with the amount of interest that had accrued since 4th August, 2016.”</w:t>
      </w:r>
    </w:p>
    <w:p w14:paraId="4705A858" w14:textId="34630C05" w:rsidR="000B2344" w:rsidRPr="00CF2D87" w:rsidRDefault="000B2344" w:rsidP="00517A65">
      <w:pPr>
        <w:spacing w:line="276" w:lineRule="auto"/>
        <w:rPr>
          <w:rFonts w:ascii="Calibri" w:hAnsi="Calibri" w:cs="Calibri"/>
          <w:i/>
          <w:iCs/>
          <w:sz w:val="22"/>
          <w:szCs w:val="22"/>
        </w:rPr>
      </w:pPr>
    </w:p>
    <w:p w14:paraId="28ED8489" w14:textId="6E2E0C97" w:rsidR="00517A65" w:rsidRPr="00CF2D87" w:rsidRDefault="00517A65" w:rsidP="00517A65">
      <w:pPr>
        <w:spacing w:line="276" w:lineRule="auto"/>
        <w:rPr>
          <w:rFonts w:ascii="Calibri" w:hAnsi="Calibri" w:cs="Calibri"/>
          <w:sz w:val="22"/>
          <w:szCs w:val="22"/>
        </w:rPr>
      </w:pPr>
      <w:r w:rsidRPr="00CF2D87">
        <w:rPr>
          <w:rFonts w:ascii="Calibri" w:hAnsi="Calibri" w:cs="Calibri"/>
          <w:iCs/>
          <w:sz w:val="22"/>
          <w:szCs w:val="22"/>
        </w:rPr>
        <w:t>It must be said that, here, Barr J in terms upheld the plaintiff’s reliance for purposes of particulars on “</w:t>
      </w:r>
      <w:r w:rsidRPr="00CF2D87">
        <w:rPr>
          <w:rFonts w:ascii="Calibri" w:hAnsi="Calibri" w:cs="Calibri"/>
          <w:i/>
          <w:sz w:val="22"/>
          <w:szCs w:val="22"/>
        </w:rPr>
        <w:t xml:space="preserve">statements </w:t>
      </w:r>
      <w:proofErr w:type="gramStart"/>
      <w:r w:rsidRPr="00CF2D87">
        <w:rPr>
          <w:rFonts w:ascii="Calibri" w:hAnsi="Calibri" w:cs="Calibri"/>
          <w:i/>
          <w:sz w:val="22"/>
          <w:szCs w:val="22"/>
        </w:rPr>
        <w:t>…..</w:t>
      </w:r>
      <w:proofErr w:type="gramEnd"/>
      <w:r w:rsidRPr="00CF2D87">
        <w:rPr>
          <w:rFonts w:ascii="Calibri" w:hAnsi="Calibri" w:cs="Calibri"/>
          <w:i/>
          <w:sz w:val="22"/>
          <w:szCs w:val="22"/>
        </w:rPr>
        <w:t xml:space="preserve"> furnished to the defendants from time to time during the lifetime of the accounts …”. </w:t>
      </w:r>
      <w:r w:rsidRPr="00CF2D87">
        <w:rPr>
          <w:rFonts w:ascii="Calibri" w:hAnsi="Calibri" w:cs="Calibri"/>
          <w:sz w:val="22"/>
          <w:szCs w:val="22"/>
        </w:rPr>
        <w:t xml:space="preserve">It can also be said that Barr J did so in the context of a plea which he identified as referring, </w:t>
      </w:r>
      <w:r w:rsidRPr="00CF2D87">
        <w:rPr>
          <w:rFonts w:ascii="Calibri" w:hAnsi="Calibri" w:cs="Calibri"/>
          <w:i/>
          <w:sz w:val="22"/>
          <w:szCs w:val="22"/>
        </w:rPr>
        <w:t>“</w:t>
      </w:r>
      <w:r w:rsidRPr="00CF2D87">
        <w:rPr>
          <w:rFonts w:ascii="Calibri" w:hAnsi="Calibri" w:cs="Calibri"/>
          <w:i/>
          <w:iCs/>
          <w:sz w:val="22"/>
          <w:szCs w:val="22"/>
        </w:rPr>
        <w:t>to the bank statements, which the defendants had received on a regular basis over</w:t>
      </w:r>
      <w:r w:rsidRPr="00CF2D87">
        <w:rPr>
          <w:rFonts w:ascii="Calibri" w:hAnsi="Calibri" w:cs="Calibri"/>
          <w:i/>
          <w:sz w:val="22"/>
          <w:szCs w:val="22"/>
        </w:rPr>
        <w:t xml:space="preserve"> </w:t>
      </w:r>
      <w:r w:rsidRPr="00CF2D87">
        <w:rPr>
          <w:rFonts w:ascii="Calibri" w:hAnsi="Calibri" w:cs="Calibri"/>
          <w:i/>
          <w:iCs/>
          <w:sz w:val="22"/>
          <w:szCs w:val="22"/>
        </w:rPr>
        <w:t xml:space="preserve">the </w:t>
      </w:r>
      <w:proofErr w:type="gramStart"/>
      <w:r w:rsidRPr="00CF2D87">
        <w:rPr>
          <w:rFonts w:ascii="Calibri" w:hAnsi="Calibri" w:cs="Calibri"/>
          <w:i/>
          <w:iCs/>
          <w:sz w:val="22"/>
          <w:szCs w:val="22"/>
        </w:rPr>
        <w:t>years</w:t>
      </w:r>
      <w:proofErr w:type="gramEnd"/>
      <w:r w:rsidRPr="00CF2D87">
        <w:rPr>
          <w:rFonts w:ascii="Calibri" w:hAnsi="Calibri" w:cs="Calibri"/>
          <w:i/>
          <w:iCs/>
          <w:sz w:val="22"/>
          <w:szCs w:val="22"/>
        </w:rPr>
        <w:t xml:space="preserve"> </w:t>
      </w:r>
      <w:r w:rsidRPr="00CF2D87">
        <w:rPr>
          <w:rFonts w:ascii="Calibri" w:hAnsi="Calibri" w:cs="Calibri"/>
          <w:i/>
          <w:iCs/>
          <w:sz w:val="22"/>
          <w:szCs w:val="22"/>
          <w:u w:val="single"/>
        </w:rPr>
        <w:t>and which had been furnished again in the course of these proceedings</w:t>
      </w:r>
      <w:r w:rsidRPr="00CF2D87">
        <w:rPr>
          <w:rStyle w:val="FootnoteReference"/>
          <w:rFonts w:ascii="Calibri" w:hAnsi="Calibri" w:cs="Calibri"/>
          <w:i/>
          <w:iCs/>
          <w:sz w:val="22"/>
          <w:szCs w:val="22"/>
          <w:u w:val="single"/>
        </w:rPr>
        <w:footnoteReference w:id="10"/>
      </w:r>
      <w:r w:rsidRPr="00CF2D87">
        <w:rPr>
          <w:rFonts w:ascii="Calibri" w:hAnsi="Calibri" w:cs="Calibri"/>
          <w:i/>
          <w:iCs/>
          <w:sz w:val="22"/>
          <w:szCs w:val="22"/>
        </w:rPr>
        <w:t>.”</w:t>
      </w:r>
    </w:p>
    <w:p w14:paraId="62DD5BE1" w14:textId="611AA393" w:rsidR="00517A65" w:rsidRPr="00CF2D87" w:rsidRDefault="00517A65" w:rsidP="00517A65">
      <w:pPr>
        <w:spacing w:line="276" w:lineRule="auto"/>
        <w:rPr>
          <w:rFonts w:ascii="Calibri" w:hAnsi="Calibri" w:cs="Calibri"/>
          <w:iCs/>
          <w:sz w:val="22"/>
          <w:szCs w:val="22"/>
        </w:rPr>
      </w:pPr>
    </w:p>
    <w:p w14:paraId="56021A43" w14:textId="77777777" w:rsidR="00517A65" w:rsidRPr="00CF2D87" w:rsidRDefault="00517A65" w:rsidP="00517A65">
      <w:pPr>
        <w:spacing w:line="276" w:lineRule="auto"/>
        <w:rPr>
          <w:rFonts w:ascii="Calibri" w:hAnsi="Calibri" w:cs="Calibri"/>
          <w:iCs/>
          <w:sz w:val="22"/>
          <w:szCs w:val="22"/>
        </w:rPr>
      </w:pPr>
    </w:p>
    <w:p w14:paraId="1930C6B8" w14:textId="528D31DD" w:rsidR="000B2344" w:rsidRPr="00CF2D87" w:rsidRDefault="000B2344" w:rsidP="000B2344">
      <w:pPr>
        <w:pStyle w:val="ListParagraph"/>
        <w:numPr>
          <w:ilvl w:val="0"/>
          <w:numId w:val="4"/>
        </w:numPr>
        <w:spacing w:line="276" w:lineRule="auto"/>
        <w:rPr>
          <w:rFonts w:ascii="Calibri" w:hAnsi="Calibri" w:cs="Calibri"/>
          <w:i/>
          <w:iCs/>
          <w:sz w:val="22"/>
          <w:szCs w:val="22"/>
        </w:rPr>
      </w:pPr>
      <w:r w:rsidRPr="00CF2D87">
        <w:rPr>
          <w:rFonts w:ascii="Calibri" w:hAnsi="Calibri" w:cs="Calibri"/>
          <w:sz w:val="22"/>
          <w:szCs w:val="22"/>
        </w:rPr>
        <w:t>As relevant to the issue before me and his consideration of</w:t>
      </w:r>
      <w:r w:rsidRPr="00CF2D87">
        <w:rPr>
          <w:rFonts w:ascii="Calibri" w:hAnsi="Calibri" w:cs="Calibri"/>
          <w:b/>
          <w:sz w:val="22"/>
          <w:szCs w:val="22"/>
        </w:rPr>
        <w:t xml:space="preserve"> Havbell v Harris</w:t>
      </w:r>
      <w:r w:rsidRPr="00CF2D87">
        <w:rPr>
          <w:rStyle w:val="FootnoteReference"/>
          <w:rFonts w:ascii="Calibri" w:hAnsi="Calibri" w:cs="Calibri"/>
          <w:sz w:val="22"/>
          <w:szCs w:val="22"/>
        </w:rPr>
        <w:footnoteReference w:id="11"/>
      </w:r>
      <w:r w:rsidRPr="00CF2D87">
        <w:rPr>
          <w:rFonts w:ascii="Calibri" w:hAnsi="Calibri" w:cs="Calibri"/>
          <w:sz w:val="22"/>
          <w:szCs w:val="22"/>
        </w:rPr>
        <w:t>, Barr J said:</w:t>
      </w:r>
    </w:p>
    <w:p w14:paraId="7F4441CE" w14:textId="77777777" w:rsidR="000B2344" w:rsidRPr="00CF2D87" w:rsidRDefault="000B2344" w:rsidP="000B2344">
      <w:pPr>
        <w:pStyle w:val="ListParagraph"/>
        <w:spacing w:line="276" w:lineRule="auto"/>
        <w:ind w:left="360"/>
        <w:rPr>
          <w:rFonts w:ascii="Calibri" w:hAnsi="Calibri" w:cs="Calibri"/>
          <w:i/>
          <w:iCs/>
          <w:sz w:val="22"/>
          <w:szCs w:val="22"/>
        </w:rPr>
      </w:pPr>
    </w:p>
    <w:p w14:paraId="789D682E" w14:textId="6711E2C6"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 xml:space="preserve">“72. </w:t>
      </w:r>
      <w:r w:rsidRPr="00CF2D87">
        <w:rPr>
          <w:rFonts w:ascii="Calibri" w:hAnsi="Calibri" w:cs="Calibri"/>
          <w:i/>
          <w:sz w:val="22"/>
          <w:szCs w:val="22"/>
        </w:rPr>
        <w:tab/>
        <w:t xml:space="preserve">When one has regard to the essence of the decisions in the </w:t>
      </w:r>
      <w:r w:rsidRPr="00CF2D87">
        <w:rPr>
          <w:rFonts w:ascii="Calibri" w:hAnsi="Calibri" w:cs="Calibri"/>
          <w:i/>
          <w:iCs/>
          <w:sz w:val="22"/>
          <w:szCs w:val="22"/>
        </w:rPr>
        <w:t>O’Malley</w:t>
      </w:r>
      <w:r w:rsidRPr="00CF2D87">
        <w:rPr>
          <w:rFonts w:ascii="Calibri" w:hAnsi="Calibri" w:cs="Calibri"/>
          <w:i/>
          <w:sz w:val="22"/>
          <w:szCs w:val="22"/>
        </w:rPr>
        <w:t xml:space="preserve">; Fergus and </w:t>
      </w:r>
      <w:r w:rsidRPr="00CF2D87">
        <w:rPr>
          <w:rFonts w:ascii="Calibri" w:hAnsi="Calibri" w:cs="Calibri"/>
          <w:i/>
          <w:iCs/>
          <w:sz w:val="22"/>
          <w:szCs w:val="22"/>
        </w:rPr>
        <w:t xml:space="preserve">O’Brien </w:t>
      </w:r>
      <w:r w:rsidRPr="00CF2D87">
        <w:rPr>
          <w:rFonts w:ascii="Calibri" w:hAnsi="Calibri" w:cs="Calibri"/>
          <w:i/>
          <w:sz w:val="22"/>
          <w:szCs w:val="22"/>
        </w:rPr>
        <w:t xml:space="preserve">cases, the rationale for the requirement that the creditor should provide adequate particulars of the debt, is to enable the person sued to know precisely what sums are being claimed from him or her; how such sums are calculated and armed with that information, the defendant will be in a position to know whether he or she has either a merits based defence to the sum claimed, or may have a defence based on the fact that the plaintiff may have </w:t>
      </w:r>
      <w:r w:rsidRPr="00CF2D87">
        <w:rPr>
          <w:rFonts w:ascii="Calibri" w:hAnsi="Calibri" w:cs="Calibri"/>
          <w:i/>
          <w:sz w:val="22"/>
          <w:szCs w:val="22"/>
        </w:rPr>
        <w:lastRenderedPageBreak/>
        <w:t>made an error in its calculations. The essential requirement is that the defendant is given adequate information to enable him or her to know whether such defences are open to them.</w:t>
      </w:r>
    </w:p>
    <w:p w14:paraId="49B29FBA" w14:textId="77777777" w:rsidR="000B2344" w:rsidRPr="00CF2D87" w:rsidRDefault="000B2344" w:rsidP="000B2344">
      <w:pPr>
        <w:pStyle w:val="Default"/>
        <w:spacing w:line="276" w:lineRule="auto"/>
        <w:ind w:left="720"/>
        <w:rPr>
          <w:rFonts w:ascii="Calibri" w:hAnsi="Calibri" w:cs="Calibri"/>
          <w:sz w:val="22"/>
          <w:szCs w:val="22"/>
        </w:rPr>
      </w:pPr>
    </w:p>
    <w:p w14:paraId="64A67584" w14:textId="64BF9DA0"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 xml:space="preserve">73. </w:t>
      </w:r>
      <w:r w:rsidRPr="00CF2D87">
        <w:rPr>
          <w:rFonts w:ascii="Calibri" w:hAnsi="Calibri" w:cs="Calibri"/>
          <w:i/>
          <w:sz w:val="22"/>
          <w:szCs w:val="22"/>
        </w:rPr>
        <w:tab/>
        <w:t xml:space="preserve">However, it is not necessary that the matter be pleaded in minute detail </w:t>
      </w:r>
      <w:r w:rsidRPr="00CF2D87">
        <w:rPr>
          <w:rFonts w:ascii="Calibri" w:hAnsi="Calibri" w:cs="Calibri"/>
          <w:i/>
          <w:sz w:val="22"/>
          <w:szCs w:val="22"/>
          <w:u w:val="single"/>
        </w:rPr>
        <w:t>in the summons itself</w:t>
      </w:r>
      <w:r w:rsidR="00C9364F" w:rsidRPr="00CF2D87">
        <w:rPr>
          <w:rStyle w:val="FootnoteReference"/>
          <w:rFonts w:ascii="Calibri" w:hAnsi="Calibri" w:cs="Calibri"/>
          <w:i/>
          <w:sz w:val="22"/>
          <w:szCs w:val="22"/>
          <w:u w:val="single"/>
        </w:rPr>
        <w:footnoteReference w:id="12"/>
      </w:r>
      <w:r w:rsidRPr="00CF2D87">
        <w:rPr>
          <w:rFonts w:ascii="Calibri" w:hAnsi="Calibri" w:cs="Calibri"/>
          <w:i/>
          <w:sz w:val="22"/>
          <w:szCs w:val="22"/>
        </w:rPr>
        <w:t xml:space="preserve">. That is made clear in the </w:t>
      </w:r>
      <w:r w:rsidRPr="00CF2D87">
        <w:rPr>
          <w:rFonts w:ascii="Calibri" w:hAnsi="Calibri" w:cs="Calibri"/>
          <w:i/>
          <w:iCs/>
          <w:sz w:val="22"/>
          <w:szCs w:val="22"/>
        </w:rPr>
        <w:t xml:space="preserve">Havbell </w:t>
      </w:r>
      <w:r w:rsidR="007773A1" w:rsidRPr="00CF2D87">
        <w:rPr>
          <w:rFonts w:ascii="Calibri" w:hAnsi="Calibri" w:cs="Calibri"/>
          <w:i/>
          <w:iCs/>
          <w:sz w:val="22"/>
          <w:szCs w:val="22"/>
        </w:rPr>
        <w:t>v</w:t>
      </w:r>
      <w:r w:rsidRPr="00CF2D87">
        <w:rPr>
          <w:rFonts w:ascii="Calibri" w:hAnsi="Calibri" w:cs="Calibri"/>
          <w:i/>
          <w:iCs/>
          <w:sz w:val="22"/>
          <w:szCs w:val="22"/>
        </w:rPr>
        <w:t xml:space="preserve"> Harris </w:t>
      </w:r>
      <w:r w:rsidRPr="00CF2D87">
        <w:rPr>
          <w:rFonts w:ascii="Calibri" w:hAnsi="Calibri" w:cs="Calibri"/>
          <w:i/>
          <w:sz w:val="22"/>
          <w:szCs w:val="22"/>
        </w:rPr>
        <w:t xml:space="preserve">case, where Humphreys J. stated as follows at para. </w:t>
      </w:r>
      <w:proofErr w:type="gramStart"/>
      <w:r w:rsidRPr="00CF2D87">
        <w:rPr>
          <w:rFonts w:ascii="Calibri" w:hAnsi="Calibri" w:cs="Calibri"/>
          <w:i/>
          <w:sz w:val="22"/>
          <w:szCs w:val="22"/>
        </w:rPr>
        <w:t>21:-</w:t>
      </w:r>
      <w:proofErr w:type="gramEnd"/>
    </w:p>
    <w:p w14:paraId="60F725B6" w14:textId="77777777" w:rsidR="000B2344" w:rsidRPr="00CF2D87" w:rsidRDefault="000B2344" w:rsidP="000B2344">
      <w:pPr>
        <w:pStyle w:val="Default"/>
        <w:spacing w:line="276" w:lineRule="auto"/>
        <w:ind w:left="1440"/>
        <w:rPr>
          <w:rFonts w:ascii="Calibri" w:hAnsi="Calibri" w:cs="Calibri"/>
          <w:i/>
          <w:iCs/>
          <w:sz w:val="22"/>
          <w:szCs w:val="22"/>
        </w:rPr>
      </w:pPr>
    </w:p>
    <w:p w14:paraId="046EB261" w14:textId="30C9FB3A" w:rsidR="000B2344" w:rsidRPr="00CF2D87" w:rsidRDefault="000B2344" w:rsidP="000B2344">
      <w:pPr>
        <w:pStyle w:val="Default"/>
        <w:spacing w:line="276" w:lineRule="auto"/>
        <w:ind w:left="1440"/>
        <w:rPr>
          <w:rFonts w:ascii="Calibri" w:hAnsi="Calibri" w:cs="Calibri"/>
          <w:i/>
          <w:iCs/>
          <w:sz w:val="22"/>
          <w:szCs w:val="22"/>
        </w:rPr>
      </w:pPr>
      <w:r w:rsidRPr="00CF2D87">
        <w:rPr>
          <w:rFonts w:ascii="Calibri" w:hAnsi="Calibri" w:cs="Calibri"/>
          <w:i/>
          <w:iCs/>
          <w:sz w:val="22"/>
          <w:szCs w:val="22"/>
        </w:rPr>
        <w:t xml:space="preserve">“The need for the claim to be sufficiently particularised is stressed in Bank of Ireland </w:t>
      </w:r>
      <w:r w:rsidR="007773A1" w:rsidRPr="00CF2D87">
        <w:rPr>
          <w:rFonts w:ascii="Calibri" w:hAnsi="Calibri" w:cs="Calibri"/>
          <w:i/>
          <w:iCs/>
          <w:sz w:val="22"/>
          <w:szCs w:val="22"/>
        </w:rPr>
        <w:t>v</w:t>
      </w:r>
      <w:r w:rsidRPr="00CF2D87">
        <w:rPr>
          <w:rFonts w:ascii="Calibri" w:hAnsi="Calibri" w:cs="Calibri"/>
          <w:i/>
          <w:iCs/>
          <w:sz w:val="22"/>
          <w:szCs w:val="22"/>
        </w:rPr>
        <w:t xml:space="preserve"> O’Malley (see paras. 5.5 to 5.9 in particular). The particularisation may be done indirectly by referring to another identified document which provides the necessary information (see para. 5.6).”</w:t>
      </w:r>
    </w:p>
    <w:p w14:paraId="0020B97A" w14:textId="25E93BF2" w:rsidR="000B2344" w:rsidRPr="00CF2D87" w:rsidRDefault="000B2344" w:rsidP="00C9364F">
      <w:pPr>
        <w:pStyle w:val="Default"/>
        <w:spacing w:line="276" w:lineRule="auto"/>
        <w:rPr>
          <w:rFonts w:ascii="Calibri" w:hAnsi="Calibri" w:cs="Calibri"/>
          <w:i/>
          <w:sz w:val="22"/>
          <w:szCs w:val="22"/>
        </w:rPr>
      </w:pPr>
    </w:p>
    <w:p w14:paraId="36D9B6A4" w14:textId="594083D9" w:rsidR="00C9364F" w:rsidRPr="00CF2D87" w:rsidRDefault="000B2344" w:rsidP="00C9364F">
      <w:pPr>
        <w:pStyle w:val="Default"/>
        <w:spacing w:line="276" w:lineRule="auto"/>
        <w:rPr>
          <w:rFonts w:ascii="Calibri" w:hAnsi="Calibri" w:cs="Calibri"/>
          <w:sz w:val="22"/>
          <w:szCs w:val="22"/>
        </w:rPr>
      </w:pPr>
      <w:r w:rsidRPr="00CF2D87">
        <w:rPr>
          <w:rFonts w:ascii="Calibri" w:hAnsi="Calibri" w:cs="Calibri"/>
          <w:sz w:val="22"/>
          <w:szCs w:val="22"/>
        </w:rPr>
        <w:t xml:space="preserve">Barr J cited </w:t>
      </w:r>
      <w:r w:rsidRPr="00CF2D87">
        <w:rPr>
          <w:rFonts w:ascii="Calibri" w:hAnsi="Calibri" w:cs="Calibri"/>
          <w:i/>
          <w:sz w:val="22"/>
          <w:szCs w:val="22"/>
        </w:rPr>
        <w:t>Havbell v Harris</w:t>
      </w:r>
      <w:r w:rsidRPr="00CF2D87">
        <w:rPr>
          <w:rFonts w:ascii="Calibri" w:hAnsi="Calibri" w:cs="Calibri"/>
          <w:b/>
          <w:sz w:val="22"/>
          <w:szCs w:val="22"/>
        </w:rPr>
        <w:t xml:space="preserve"> </w:t>
      </w:r>
      <w:r w:rsidRPr="00CF2D87">
        <w:rPr>
          <w:rFonts w:ascii="Calibri" w:hAnsi="Calibri" w:cs="Calibri"/>
          <w:sz w:val="22"/>
          <w:szCs w:val="22"/>
        </w:rPr>
        <w:t>specifically for the point</w:t>
      </w:r>
      <w:r w:rsidR="00C9364F" w:rsidRPr="00CF2D87">
        <w:rPr>
          <w:rFonts w:ascii="Calibri" w:hAnsi="Calibri" w:cs="Calibri"/>
          <w:sz w:val="22"/>
          <w:szCs w:val="22"/>
        </w:rPr>
        <w:t>,</w:t>
      </w:r>
      <w:r w:rsidRPr="00CF2D87">
        <w:rPr>
          <w:rFonts w:ascii="Calibri" w:hAnsi="Calibri" w:cs="Calibri"/>
          <w:sz w:val="22"/>
          <w:szCs w:val="22"/>
        </w:rPr>
        <w:t xml:space="preserve"> also made in </w:t>
      </w:r>
      <w:r w:rsidRPr="00CF2D87">
        <w:rPr>
          <w:rFonts w:ascii="Calibri" w:hAnsi="Calibri" w:cs="Calibri"/>
          <w:i/>
          <w:sz w:val="22"/>
          <w:szCs w:val="22"/>
        </w:rPr>
        <w:t>O’Malley</w:t>
      </w:r>
      <w:r w:rsidRPr="00CF2D87">
        <w:rPr>
          <w:rFonts w:ascii="Calibri" w:hAnsi="Calibri" w:cs="Calibri"/>
          <w:b/>
          <w:sz w:val="22"/>
          <w:szCs w:val="22"/>
        </w:rPr>
        <w:t xml:space="preserve"> </w:t>
      </w:r>
      <w:r w:rsidRPr="00CF2D87">
        <w:rPr>
          <w:rFonts w:ascii="Calibri" w:hAnsi="Calibri" w:cs="Calibri"/>
          <w:sz w:val="22"/>
          <w:szCs w:val="22"/>
        </w:rPr>
        <w:t>and</w:t>
      </w:r>
      <w:r w:rsidRPr="00CF2D87">
        <w:rPr>
          <w:rFonts w:ascii="Calibri" w:hAnsi="Calibri" w:cs="Calibri"/>
          <w:b/>
          <w:sz w:val="22"/>
          <w:szCs w:val="22"/>
        </w:rPr>
        <w:t xml:space="preserve"> </w:t>
      </w:r>
      <w:r w:rsidRPr="00CF2D87">
        <w:rPr>
          <w:rFonts w:ascii="Calibri" w:hAnsi="Calibri" w:cs="Calibri"/>
          <w:sz w:val="22"/>
          <w:szCs w:val="22"/>
        </w:rPr>
        <w:t>which is beyond dispute</w:t>
      </w:r>
      <w:r w:rsidR="00C9364F" w:rsidRPr="00CF2D87">
        <w:rPr>
          <w:rFonts w:ascii="Calibri" w:hAnsi="Calibri" w:cs="Calibri"/>
          <w:sz w:val="22"/>
          <w:szCs w:val="22"/>
        </w:rPr>
        <w:t>,</w:t>
      </w:r>
      <w:r w:rsidRPr="00CF2D87">
        <w:rPr>
          <w:rFonts w:ascii="Calibri" w:hAnsi="Calibri" w:cs="Calibri"/>
          <w:sz w:val="22"/>
          <w:szCs w:val="22"/>
        </w:rPr>
        <w:t xml:space="preserve"> that</w:t>
      </w:r>
      <w:r w:rsidRPr="00CF2D87">
        <w:rPr>
          <w:rFonts w:ascii="Calibri" w:hAnsi="Calibri" w:cs="Calibri"/>
          <w:b/>
          <w:sz w:val="22"/>
          <w:szCs w:val="22"/>
        </w:rPr>
        <w:t xml:space="preserve"> </w:t>
      </w:r>
      <w:r w:rsidRPr="00CF2D87">
        <w:rPr>
          <w:rFonts w:ascii="Calibri" w:hAnsi="Calibri" w:cs="Calibri"/>
          <w:sz w:val="22"/>
          <w:szCs w:val="22"/>
        </w:rPr>
        <w:t>the indorsement on the summons can plead the necessary particulars of the debt by referring to another document in which those particulars are to be found.</w:t>
      </w:r>
      <w:r w:rsidR="00C9364F" w:rsidRPr="00CF2D87">
        <w:rPr>
          <w:rFonts w:ascii="Calibri" w:hAnsi="Calibri" w:cs="Calibri"/>
          <w:sz w:val="22"/>
          <w:szCs w:val="22"/>
        </w:rPr>
        <w:t xml:space="preserve"> It bears observing that Barr J here and this excerpt from </w:t>
      </w:r>
      <w:r w:rsidR="00C9364F" w:rsidRPr="00CF2D87">
        <w:rPr>
          <w:rFonts w:ascii="Calibri" w:hAnsi="Calibri" w:cs="Calibri"/>
          <w:i/>
          <w:sz w:val="22"/>
          <w:szCs w:val="22"/>
        </w:rPr>
        <w:t>Havbell v Harris</w:t>
      </w:r>
      <w:r w:rsidR="00C9364F" w:rsidRPr="00CF2D87">
        <w:rPr>
          <w:rFonts w:ascii="Calibri" w:hAnsi="Calibri" w:cs="Calibri"/>
          <w:sz w:val="22"/>
          <w:szCs w:val="22"/>
        </w:rPr>
        <w:t xml:space="preserve"> address the question where the particulars are to be found as opposed to the detail they must contain.</w:t>
      </w:r>
    </w:p>
    <w:p w14:paraId="027832D3" w14:textId="727B1582" w:rsidR="000B2344" w:rsidRPr="00CF2D87" w:rsidRDefault="000B2344" w:rsidP="00C9364F">
      <w:pPr>
        <w:pStyle w:val="ListParagraph"/>
        <w:spacing w:line="276" w:lineRule="auto"/>
        <w:ind w:left="0"/>
        <w:rPr>
          <w:rFonts w:ascii="Calibri" w:hAnsi="Calibri" w:cs="Calibri"/>
          <w:sz w:val="22"/>
          <w:szCs w:val="22"/>
        </w:rPr>
      </w:pPr>
    </w:p>
    <w:p w14:paraId="07DAB279" w14:textId="77777777" w:rsidR="000B2344" w:rsidRPr="00CF2D87" w:rsidRDefault="000B2344" w:rsidP="00C9364F">
      <w:pPr>
        <w:spacing w:line="276" w:lineRule="auto"/>
        <w:rPr>
          <w:rFonts w:ascii="Calibri" w:hAnsi="Calibri" w:cs="Calibri"/>
          <w:sz w:val="22"/>
          <w:szCs w:val="22"/>
        </w:rPr>
      </w:pPr>
    </w:p>
    <w:p w14:paraId="6BFD7936" w14:textId="3E5E43DB" w:rsidR="000B2344" w:rsidRPr="00CF2D87" w:rsidRDefault="000B2344" w:rsidP="001A1F6B">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The passages from the judgment of Barr J set out above address the question of the substantive content of those particulars in terms which are not at issue in the present case. Barr J addressed that content </w:t>
      </w:r>
      <w:r w:rsidR="00D0508D" w:rsidRPr="00CF2D87">
        <w:rPr>
          <w:rFonts w:ascii="Calibri" w:hAnsi="Calibri" w:cs="Calibri"/>
          <w:sz w:val="22"/>
          <w:szCs w:val="22"/>
        </w:rPr>
        <w:t xml:space="preserve">and, as I record above, did rely in upholding the particulars on the statements issued from time to time </w:t>
      </w:r>
      <w:r w:rsidR="001A1F6B" w:rsidRPr="00CF2D87">
        <w:rPr>
          <w:rFonts w:ascii="Calibri" w:hAnsi="Calibri" w:cs="Calibri"/>
          <w:sz w:val="22"/>
          <w:szCs w:val="22"/>
        </w:rPr>
        <w:t xml:space="preserve">in the ordinary way </w:t>
      </w:r>
      <w:r w:rsidR="00D0508D" w:rsidRPr="00CF2D87">
        <w:rPr>
          <w:rFonts w:ascii="Calibri" w:hAnsi="Calibri" w:cs="Calibri"/>
          <w:sz w:val="22"/>
          <w:szCs w:val="22"/>
        </w:rPr>
        <w:t>over the life of the loan</w:t>
      </w:r>
      <w:r w:rsidR="001A1F6B" w:rsidRPr="00CF2D87">
        <w:rPr>
          <w:rFonts w:ascii="Calibri" w:hAnsi="Calibri" w:cs="Calibri"/>
          <w:sz w:val="22"/>
          <w:szCs w:val="22"/>
        </w:rPr>
        <w:t xml:space="preserve"> since drawdown</w:t>
      </w:r>
      <w:r w:rsidR="00D0508D" w:rsidRPr="00CF2D87">
        <w:rPr>
          <w:rFonts w:ascii="Calibri" w:hAnsi="Calibri" w:cs="Calibri"/>
          <w:sz w:val="22"/>
          <w:szCs w:val="22"/>
        </w:rPr>
        <w:t xml:space="preserve">. </w:t>
      </w:r>
      <w:proofErr w:type="gramStart"/>
      <w:r w:rsidR="00D0508D" w:rsidRPr="00CF2D87">
        <w:rPr>
          <w:rFonts w:ascii="Calibri" w:hAnsi="Calibri" w:cs="Calibri"/>
          <w:sz w:val="22"/>
          <w:szCs w:val="22"/>
        </w:rPr>
        <w:t>However</w:t>
      </w:r>
      <w:proofErr w:type="gramEnd"/>
      <w:r w:rsidR="00D0508D" w:rsidRPr="00CF2D87">
        <w:rPr>
          <w:rFonts w:ascii="Calibri" w:hAnsi="Calibri" w:cs="Calibri"/>
          <w:sz w:val="22"/>
          <w:szCs w:val="22"/>
        </w:rPr>
        <w:t xml:space="preserve"> it is not clear that Barr J was concerned with that mode and timing of provision of statements as opposed to their content. </w:t>
      </w:r>
      <w:r w:rsidRPr="00CF2D87">
        <w:rPr>
          <w:rFonts w:ascii="Calibri" w:hAnsi="Calibri" w:cs="Calibri"/>
          <w:sz w:val="22"/>
          <w:szCs w:val="22"/>
        </w:rPr>
        <w:t xml:space="preserve">It is not apparent that the specific question of the adequacy of that means of provision of the requisite information was argued before Barr J. </w:t>
      </w:r>
      <w:proofErr w:type="gramStart"/>
      <w:r w:rsidRPr="00CF2D87">
        <w:rPr>
          <w:rFonts w:ascii="Calibri" w:hAnsi="Calibri" w:cs="Calibri"/>
          <w:sz w:val="22"/>
          <w:szCs w:val="22"/>
        </w:rPr>
        <w:t>Indeed</w:t>
      </w:r>
      <w:proofErr w:type="gramEnd"/>
      <w:r w:rsidRPr="00CF2D87">
        <w:rPr>
          <w:rFonts w:ascii="Calibri" w:hAnsi="Calibri" w:cs="Calibri"/>
          <w:sz w:val="22"/>
          <w:szCs w:val="22"/>
        </w:rPr>
        <w:t xml:space="preserve"> Barr J records the arguments the Defendants did make as follows:</w:t>
      </w:r>
    </w:p>
    <w:p w14:paraId="762001BA" w14:textId="77777777" w:rsidR="000B2344" w:rsidRPr="00CF2D87" w:rsidRDefault="000B2344" w:rsidP="000B2344">
      <w:pPr>
        <w:pStyle w:val="Default"/>
        <w:spacing w:line="276" w:lineRule="auto"/>
        <w:ind w:left="360"/>
        <w:rPr>
          <w:rFonts w:ascii="Calibri" w:hAnsi="Calibri" w:cs="Calibri"/>
          <w:sz w:val="22"/>
          <w:szCs w:val="22"/>
        </w:rPr>
      </w:pPr>
    </w:p>
    <w:p w14:paraId="44EF392D" w14:textId="5749E6F8"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 xml:space="preserve">37. </w:t>
      </w:r>
      <w:r w:rsidRPr="00CF2D87">
        <w:rPr>
          <w:rFonts w:ascii="Calibri" w:hAnsi="Calibri" w:cs="Calibri"/>
          <w:i/>
          <w:sz w:val="22"/>
          <w:szCs w:val="22"/>
        </w:rPr>
        <w:tab/>
        <w:t xml:space="preserve">The defendants also raised the defence, that having regard to the decision of the Supreme Court in </w:t>
      </w:r>
      <w:r w:rsidRPr="00CF2D87">
        <w:rPr>
          <w:rFonts w:ascii="Calibri" w:hAnsi="Calibri" w:cs="Calibri"/>
          <w:i/>
          <w:iCs/>
          <w:sz w:val="22"/>
          <w:szCs w:val="22"/>
        </w:rPr>
        <w:t xml:space="preserve">Bank of Ireland </w:t>
      </w:r>
      <w:r w:rsidR="007773A1" w:rsidRPr="00CF2D87">
        <w:rPr>
          <w:rFonts w:ascii="Calibri" w:hAnsi="Calibri" w:cs="Calibri"/>
          <w:i/>
          <w:iCs/>
          <w:sz w:val="22"/>
          <w:szCs w:val="22"/>
        </w:rPr>
        <w:t>v</w:t>
      </w:r>
      <w:r w:rsidRPr="00CF2D87">
        <w:rPr>
          <w:rFonts w:ascii="Calibri" w:hAnsi="Calibri" w:cs="Calibri"/>
          <w:i/>
          <w:iCs/>
          <w:sz w:val="22"/>
          <w:szCs w:val="22"/>
        </w:rPr>
        <w:t xml:space="preserve"> O’Malley</w:t>
      </w:r>
      <w:r w:rsidRPr="00CF2D87">
        <w:rPr>
          <w:rFonts w:ascii="Calibri" w:hAnsi="Calibri" w:cs="Calibri"/>
          <w:i/>
          <w:sz w:val="22"/>
          <w:szCs w:val="22"/>
        </w:rPr>
        <w:t xml:space="preserve">, and notwithstanding the amendment of the summary summons herein, the pleadings were still deficient in respect of the particulars that the plaintiff was obliged to provide in respect of the alleged debt the subject matter of its claim. </w:t>
      </w:r>
      <w:proofErr w:type="gramStart"/>
      <w:r w:rsidRPr="00CF2D87">
        <w:rPr>
          <w:rFonts w:ascii="Calibri" w:hAnsi="Calibri" w:cs="Calibri"/>
          <w:i/>
          <w:sz w:val="22"/>
          <w:szCs w:val="22"/>
        </w:rPr>
        <w:t>In particular, it</w:t>
      </w:r>
      <w:proofErr w:type="gramEnd"/>
      <w:r w:rsidRPr="00CF2D87">
        <w:rPr>
          <w:rFonts w:ascii="Calibri" w:hAnsi="Calibri" w:cs="Calibri"/>
          <w:i/>
          <w:sz w:val="22"/>
          <w:szCs w:val="22"/>
        </w:rPr>
        <w:t xml:space="preserve"> was submitted that the amended summary summons was deficient in the following respects: there was no evidence showing the breakdown between interest and principal for any of the accounts; the amended summons set out that the amount due on each account was made up of principal and interest accrued but not yet applied. No particulars were given of whether the principal figure due was made up of any interest charged throughout the lifetime of the loans; the figures in the amended summons setting out the interest not yet accrued differed from the figures provided in the bank statements for interest not yet accrued. No reason was given for this difference, or how the amount was </w:t>
      </w:r>
      <w:proofErr w:type="gramStart"/>
      <w:r w:rsidRPr="00CF2D87">
        <w:rPr>
          <w:rFonts w:ascii="Calibri" w:hAnsi="Calibri" w:cs="Calibri"/>
          <w:i/>
          <w:sz w:val="22"/>
          <w:szCs w:val="22"/>
        </w:rPr>
        <w:t>calculated</w:t>
      </w:r>
      <w:proofErr w:type="gramEnd"/>
      <w:r w:rsidRPr="00CF2D87">
        <w:rPr>
          <w:rFonts w:ascii="Calibri" w:hAnsi="Calibri" w:cs="Calibri"/>
          <w:i/>
          <w:sz w:val="22"/>
          <w:szCs w:val="22"/>
        </w:rPr>
        <w:t xml:space="preserve"> and the demand letter suggested that there was a surcharge interest of 12%, but the summons set out that there was no surcharge interest. There was no explanation for the inconsistency.</w:t>
      </w:r>
    </w:p>
    <w:p w14:paraId="28714FE3" w14:textId="77777777" w:rsidR="000B2344" w:rsidRPr="00CF2D87" w:rsidRDefault="000B2344" w:rsidP="000B2344">
      <w:pPr>
        <w:pStyle w:val="Default"/>
        <w:spacing w:line="276" w:lineRule="auto"/>
        <w:ind w:left="720"/>
        <w:rPr>
          <w:rFonts w:ascii="Calibri" w:hAnsi="Calibri" w:cs="Calibri"/>
          <w:i/>
          <w:sz w:val="22"/>
          <w:szCs w:val="22"/>
        </w:rPr>
      </w:pPr>
    </w:p>
    <w:p w14:paraId="1E127775" w14:textId="50C75E5E"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 xml:space="preserve">38. </w:t>
      </w:r>
      <w:r w:rsidRPr="00CF2D87">
        <w:rPr>
          <w:rFonts w:ascii="Calibri" w:hAnsi="Calibri" w:cs="Calibri"/>
          <w:i/>
          <w:sz w:val="22"/>
          <w:szCs w:val="22"/>
        </w:rPr>
        <w:tab/>
        <w:t xml:space="preserve">It was submitted that having regard to the cases dealing with the level of particulars that had to be furnished in debt collection proceedings following the </w:t>
      </w:r>
      <w:r w:rsidRPr="00CF2D87">
        <w:rPr>
          <w:rFonts w:ascii="Calibri" w:hAnsi="Calibri" w:cs="Calibri"/>
          <w:i/>
          <w:iCs/>
          <w:sz w:val="22"/>
          <w:szCs w:val="22"/>
        </w:rPr>
        <w:t xml:space="preserve">O’Malley </w:t>
      </w:r>
      <w:r w:rsidRPr="00CF2D87">
        <w:rPr>
          <w:rFonts w:ascii="Calibri" w:hAnsi="Calibri" w:cs="Calibri"/>
          <w:i/>
          <w:sz w:val="22"/>
          <w:szCs w:val="22"/>
        </w:rPr>
        <w:t xml:space="preserve">judgment, it was clear that the pleadings herein and the evidence tendered, did not comply with the requirements of the law. In this regard counsel referred to the decisions in </w:t>
      </w:r>
      <w:r w:rsidRPr="00CF2D87">
        <w:rPr>
          <w:rFonts w:ascii="Calibri" w:hAnsi="Calibri" w:cs="Calibri"/>
          <w:i/>
          <w:iCs/>
          <w:sz w:val="22"/>
          <w:szCs w:val="22"/>
        </w:rPr>
        <w:t xml:space="preserve">Bank of Scotland </w:t>
      </w:r>
      <w:r w:rsidR="007773A1" w:rsidRPr="00CF2D87">
        <w:rPr>
          <w:rFonts w:ascii="Calibri" w:hAnsi="Calibri" w:cs="Calibri"/>
          <w:i/>
          <w:iCs/>
          <w:sz w:val="22"/>
          <w:szCs w:val="22"/>
        </w:rPr>
        <w:t>v</w:t>
      </w:r>
      <w:r w:rsidRPr="00CF2D87">
        <w:rPr>
          <w:rFonts w:ascii="Calibri" w:hAnsi="Calibri" w:cs="Calibri"/>
          <w:i/>
          <w:iCs/>
          <w:sz w:val="22"/>
          <w:szCs w:val="22"/>
        </w:rPr>
        <w:t xml:space="preserve"> Fergus </w:t>
      </w:r>
      <w:r w:rsidRPr="00CF2D87">
        <w:rPr>
          <w:rFonts w:ascii="Calibri" w:hAnsi="Calibri" w:cs="Calibri"/>
          <w:i/>
          <w:sz w:val="22"/>
          <w:szCs w:val="22"/>
        </w:rPr>
        <w:t xml:space="preserve">[2019] IESC 91; </w:t>
      </w:r>
      <w:r w:rsidRPr="00CF2D87">
        <w:rPr>
          <w:rFonts w:ascii="Calibri" w:hAnsi="Calibri" w:cs="Calibri"/>
          <w:i/>
          <w:iCs/>
          <w:sz w:val="22"/>
          <w:szCs w:val="22"/>
        </w:rPr>
        <w:t xml:space="preserve">AIB Mortgage Bank </w:t>
      </w:r>
      <w:r w:rsidR="007773A1" w:rsidRPr="00CF2D87">
        <w:rPr>
          <w:rFonts w:ascii="Calibri" w:hAnsi="Calibri" w:cs="Calibri"/>
          <w:i/>
          <w:iCs/>
          <w:sz w:val="22"/>
          <w:szCs w:val="22"/>
        </w:rPr>
        <w:t>v</w:t>
      </w:r>
      <w:r w:rsidRPr="00CF2D87">
        <w:rPr>
          <w:rFonts w:ascii="Calibri" w:hAnsi="Calibri" w:cs="Calibri"/>
          <w:i/>
          <w:iCs/>
          <w:sz w:val="22"/>
          <w:szCs w:val="22"/>
        </w:rPr>
        <w:t xml:space="preserve"> O’Brien </w:t>
      </w:r>
      <w:r w:rsidRPr="00CF2D87">
        <w:rPr>
          <w:rFonts w:ascii="Calibri" w:hAnsi="Calibri" w:cs="Calibri"/>
          <w:i/>
          <w:sz w:val="22"/>
          <w:szCs w:val="22"/>
        </w:rPr>
        <w:t xml:space="preserve">[2020] IECA 191 and </w:t>
      </w:r>
      <w:r w:rsidRPr="00CF2D87">
        <w:rPr>
          <w:rFonts w:ascii="Calibri" w:hAnsi="Calibri" w:cs="Calibri"/>
          <w:i/>
          <w:iCs/>
          <w:sz w:val="22"/>
          <w:szCs w:val="22"/>
        </w:rPr>
        <w:t xml:space="preserve">Havbell </w:t>
      </w:r>
      <w:r w:rsidR="007773A1" w:rsidRPr="00CF2D87">
        <w:rPr>
          <w:rFonts w:ascii="Calibri" w:hAnsi="Calibri" w:cs="Calibri"/>
          <w:i/>
          <w:iCs/>
          <w:sz w:val="22"/>
          <w:szCs w:val="22"/>
        </w:rPr>
        <w:t>v</w:t>
      </w:r>
      <w:r w:rsidRPr="00CF2D87">
        <w:rPr>
          <w:rFonts w:ascii="Calibri" w:hAnsi="Calibri" w:cs="Calibri"/>
          <w:i/>
          <w:iCs/>
          <w:sz w:val="22"/>
          <w:szCs w:val="22"/>
        </w:rPr>
        <w:t xml:space="preserve"> Harris </w:t>
      </w:r>
      <w:r w:rsidRPr="00CF2D87">
        <w:rPr>
          <w:rFonts w:ascii="Calibri" w:hAnsi="Calibri" w:cs="Calibri"/>
          <w:i/>
          <w:sz w:val="22"/>
          <w:szCs w:val="22"/>
        </w:rPr>
        <w:t>[2020] IEHC 147.”</w:t>
      </w:r>
    </w:p>
    <w:p w14:paraId="457D7BA0" w14:textId="77777777" w:rsidR="000B2344" w:rsidRPr="00CF2D87" w:rsidRDefault="000B2344" w:rsidP="000B2344">
      <w:pPr>
        <w:pStyle w:val="Default"/>
        <w:spacing w:line="276" w:lineRule="auto"/>
        <w:rPr>
          <w:rFonts w:ascii="Calibri" w:hAnsi="Calibri" w:cs="Calibri"/>
          <w:sz w:val="22"/>
          <w:szCs w:val="22"/>
        </w:rPr>
      </w:pPr>
    </w:p>
    <w:p w14:paraId="79FC84D6" w14:textId="77777777" w:rsidR="000B2344" w:rsidRPr="00CF2D87" w:rsidRDefault="000B2344" w:rsidP="000B2344">
      <w:pPr>
        <w:pStyle w:val="Default"/>
        <w:spacing w:line="276" w:lineRule="auto"/>
        <w:rPr>
          <w:rFonts w:ascii="Calibri" w:hAnsi="Calibri" w:cs="Calibri"/>
          <w:sz w:val="22"/>
          <w:szCs w:val="22"/>
        </w:rPr>
      </w:pPr>
    </w:p>
    <w:p w14:paraId="6780EC2B" w14:textId="77777777"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It will be apparent from the foregoing that the Defendant’s arguments related to the substantive content of the documents incorporated by reference in the Summons by way of particulars </w:t>
      </w:r>
      <w:proofErr w:type="gramStart"/>
      <w:r w:rsidRPr="00CF2D87">
        <w:rPr>
          <w:rFonts w:ascii="Calibri" w:hAnsi="Calibri" w:cs="Calibri"/>
          <w:sz w:val="22"/>
          <w:szCs w:val="22"/>
        </w:rPr>
        <w:t>-  as</w:t>
      </w:r>
      <w:proofErr w:type="gramEnd"/>
      <w:r w:rsidRPr="00CF2D87">
        <w:rPr>
          <w:rFonts w:ascii="Calibri" w:hAnsi="Calibri" w:cs="Calibri"/>
          <w:sz w:val="22"/>
          <w:szCs w:val="22"/>
        </w:rPr>
        <w:t xml:space="preserve"> opposed to the form and timescale in which those documents were provided. And it was in addressing those arguments that Barr J cited </w:t>
      </w:r>
      <w:r w:rsidRPr="00CF2D87">
        <w:rPr>
          <w:rFonts w:ascii="Calibri" w:hAnsi="Calibri" w:cs="Calibri"/>
          <w:i/>
          <w:sz w:val="22"/>
          <w:szCs w:val="22"/>
        </w:rPr>
        <w:t>Havbell v Harris</w:t>
      </w:r>
      <w:r w:rsidRPr="00CF2D87">
        <w:rPr>
          <w:rFonts w:ascii="Calibri" w:hAnsi="Calibri" w:cs="Calibri"/>
          <w:sz w:val="22"/>
          <w:szCs w:val="22"/>
        </w:rPr>
        <w:t>.</w:t>
      </w:r>
    </w:p>
    <w:p w14:paraId="57F11326" w14:textId="77777777" w:rsidR="000B2344" w:rsidRPr="00CF2D87" w:rsidRDefault="000B2344" w:rsidP="000B2344">
      <w:pPr>
        <w:pStyle w:val="ListParagraph"/>
        <w:spacing w:line="276" w:lineRule="auto"/>
        <w:ind w:left="360"/>
        <w:rPr>
          <w:rFonts w:ascii="Calibri" w:hAnsi="Calibri" w:cs="Calibri"/>
          <w:sz w:val="22"/>
          <w:szCs w:val="22"/>
        </w:rPr>
      </w:pPr>
    </w:p>
    <w:p w14:paraId="5678775D" w14:textId="77777777" w:rsidR="000B2344" w:rsidRPr="00CF2D87" w:rsidRDefault="000B2344" w:rsidP="000B2344">
      <w:pPr>
        <w:pStyle w:val="ListParagraph"/>
        <w:spacing w:line="276" w:lineRule="auto"/>
        <w:ind w:left="360"/>
        <w:rPr>
          <w:rFonts w:ascii="Calibri" w:hAnsi="Calibri" w:cs="Calibri"/>
          <w:sz w:val="22"/>
          <w:szCs w:val="22"/>
        </w:rPr>
      </w:pPr>
    </w:p>
    <w:p w14:paraId="66880D77" w14:textId="50298705"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Barr J did not cite </w:t>
      </w:r>
      <w:r w:rsidRPr="00CF2D87">
        <w:rPr>
          <w:rFonts w:ascii="Calibri" w:hAnsi="Calibri" w:cs="Calibri"/>
          <w:i/>
          <w:sz w:val="22"/>
          <w:szCs w:val="22"/>
        </w:rPr>
        <w:t>Havbell v Harris</w:t>
      </w:r>
      <w:r w:rsidRPr="00CF2D87">
        <w:rPr>
          <w:rFonts w:ascii="Calibri" w:hAnsi="Calibri" w:cs="Calibri"/>
          <w:b/>
          <w:sz w:val="22"/>
          <w:szCs w:val="22"/>
        </w:rPr>
        <w:t xml:space="preserve"> </w:t>
      </w:r>
      <w:r w:rsidRPr="00CF2D87">
        <w:rPr>
          <w:rFonts w:ascii="Calibri" w:hAnsi="Calibri" w:cs="Calibri"/>
          <w:sz w:val="22"/>
          <w:szCs w:val="22"/>
        </w:rPr>
        <w:t xml:space="preserve">as to its consideration of the issue, which I now consider, as </w:t>
      </w:r>
      <w:proofErr w:type="gramStart"/>
      <w:r w:rsidRPr="00CF2D87">
        <w:rPr>
          <w:rFonts w:ascii="Calibri" w:hAnsi="Calibri" w:cs="Calibri"/>
          <w:sz w:val="22"/>
          <w:szCs w:val="22"/>
        </w:rPr>
        <w:t>to  the</w:t>
      </w:r>
      <w:proofErr w:type="gramEnd"/>
      <w:r w:rsidRPr="00CF2D87">
        <w:rPr>
          <w:rFonts w:ascii="Calibri" w:hAnsi="Calibri" w:cs="Calibri"/>
          <w:sz w:val="22"/>
          <w:szCs w:val="22"/>
        </w:rPr>
        <w:t xml:space="preserve"> form and timescale in which those documents were provided and Barr J did not cite §22 of Havbell v Harris, to which I will come in due course.</w:t>
      </w:r>
      <w:r w:rsidR="001A1F6B" w:rsidRPr="00CF2D87">
        <w:rPr>
          <w:rFonts w:ascii="Calibri" w:hAnsi="Calibri" w:cs="Calibri"/>
          <w:sz w:val="22"/>
          <w:szCs w:val="22"/>
        </w:rPr>
        <w:t xml:space="preserve"> </w:t>
      </w:r>
    </w:p>
    <w:p w14:paraId="642DB42A" w14:textId="486597EF" w:rsidR="001A1F6B" w:rsidRPr="00CF2D87" w:rsidRDefault="001A1F6B" w:rsidP="001A1F6B">
      <w:pPr>
        <w:pStyle w:val="ListParagraph"/>
        <w:spacing w:line="276" w:lineRule="auto"/>
        <w:ind w:left="0"/>
        <w:rPr>
          <w:rFonts w:ascii="Calibri" w:hAnsi="Calibri" w:cs="Calibri"/>
          <w:sz w:val="22"/>
          <w:szCs w:val="22"/>
        </w:rPr>
      </w:pPr>
    </w:p>
    <w:p w14:paraId="7C827C25" w14:textId="77777777" w:rsidR="001A1F6B" w:rsidRPr="00CF2D87" w:rsidRDefault="001A1F6B" w:rsidP="001A1F6B">
      <w:pPr>
        <w:pStyle w:val="ListParagraph"/>
        <w:spacing w:line="276" w:lineRule="auto"/>
        <w:ind w:left="0"/>
        <w:rPr>
          <w:rFonts w:ascii="Calibri" w:hAnsi="Calibri" w:cs="Calibri"/>
          <w:sz w:val="22"/>
          <w:szCs w:val="22"/>
        </w:rPr>
      </w:pPr>
    </w:p>
    <w:p w14:paraId="1D25DA04" w14:textId="1F79CC34" w:rsidR="001A1F6B" w:rsidRPr="00CF2D87" w:rsidRDefault="001A1F6B"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In summary, it appears to me that it is not clear that Barr J in </w:t>
      </w:r>
      <w:r w:rsidRPr="00CF2D87">
        <w:rPr>
          <w:rFonts w:ascii="Calibri" w:hAnsi="Calibri" w:cs="Calibri"/>
          <w:i/>
          <w:sz w:val="22"/>
          <w:szCs w:val="22"/>
        </w:rPr>
        <w:t>Ahern</w:t>
      </w:r>
      <w:r w:rsidRPr="00CF2D87">
        <w:rPr>
          <w:rFonts w:ascii="Calibri" w:hAnsi="Calibri" w:cs="Calibri"/>
          <w:sz w:val="22"/>
          <w:szCs w:val="22"/>
        </w:rPr>
        <w:t xml:space="preserve"> is to be understood as having laid down that it suffices for the provision of the particulars required by O’Malley, to plead by reference the statements provided from time to time since drawdown of the loan.</w:t>
      </w:r>
    </w:p>
    <w:p w14:paraId="0C79708A" w14:textId="77777777" w:rsidR="000B2344" w:rsidRPr="00CF2D87" w:rsidRDefault="000B2344" w:rsidP="000B2344">
      <w:pPr>
        <w:spacing w:line="276" w:lineRule="auto"/>
        <w:rPr>
          <w:rFonts w:ascii="Calibri" w:hAnsi="Calibri" w:cs="Calibri"/>
          <w:sz w:val="22"/>
          <w:szCs w:val="22"/>
        </w:rPr>
      </w:pPr>
    </w:p>
    <w:p w14:paraId="29DF1D99" w14:textId="77777777" w:rsidR="000B2344" w:rsidRPr="00CF2D87" w:rsidRDefault="000B2344" w:rsidP="000B2344">
      <w:pPr>
        <w:spacing w:line="276" w:lineRule="auto"/>
        <w:rPr>
          <w:rFonts w:ascii="Calibri" w:hAnsi="Calibri" w:cs="Calibri"/>
          <w:sz w:val="22"/>
          <w:szCs w:val="22"/>
        </w:rPr>
      </w:pPr>
    </w:p>
    <w:p w14:paraId="6F7F4AA6" w14:textId="77777777" w:rsidR="000B2344" w:rsidRPr="00CF2D87" w:rsidRDefault="000B2344" w:rsidP="000B2344">
      <w:pPr>
        <w:spacing w:line="276" w:lineRule="auto"/>
        <w:rPr>
          <w:rFonts w:ascii="Calibri" w:hAnsi="Calibri" w:cs="Calibri"/>
          <w:sz w:val="22"/>
          <w:szCs w:val="22"/>
        </w:rPr>
      </w:pPr>
    </w:p>
    <w:p w14:paraId="015FBADE" w14:textId="32A9597B" w:rsidR="000B2344" w:rsidRPr="00CF2D87" w:rsidRDefault="000B2344" w:rsidP="000B2344">
      <w:pPr>
        <w:pStyle w:val="Heading2"/>
        <w:spacing w:line="276" w:lineRule="auto"/>
        <w:rPr>
          <w:szCs w:val="22"/>
        </w:rPr>
      </w:pPr>
      <w:r w:rsidRPr="00CF2D87">
        <w:rPr>
          <w:szCs w:val="22"/>
        </w:rPr>
        <w:t xml:space="preserve">Bank of Scotland </w:t>
      </w:r>
      <w:r w:rsidR="007773A1" w:rsidRPr="00CF2D87">
        <w:rPr>
          <w:szCs w:val="22"/>
        </w:rPr>
        <w:t>v</w:t>
      </w:r>
      <w:r w:rsidRPr="00CF2D87">
        <w:rPr>
          <w:szCs w:val="22"/>
        </w:rPr>
        <w:t xml:space="preserve"> Fergus</w:t>
      </w:r>
      <w:r w:rsidRPr="00CF2D87">
        <w:rPr>
          <w:rStyle w:val="FootnoteReference"/>
          <w:b w:val="0"/>
          <w:iCs/>
          <w:szCs w:val="22"/>
        </w:rPr>
        <w:footnoteReference w:id="13"/>
      </w:r>
    </w:p>
    <w:p w14:paraId="5090942A" w14:textId="77777777" w:rsidR="000B2344" w:rsidRPr="00CF2D87" w:rsidRDefault="000B2344" w:rsidP="000B2344">
      <w:pPr>
        <w:pStyle w:val="Default"/>
        <w:spacing w:line="276" w:lineRule="auto"/>
        <w:rPr>
          <w:rFonts w:ascii="Calibri" w:hAnsi="Calibri" w:cs="Calibri"/>
          <w:sz w:val="22"/>
          <w:szCs w:val="22"/>
        </w:rPr>
      </w:pPr>
    </w:p>
    <w:p w14:paraId="5590EDF8" w14:textId="1E9BB711" w:rsidR="000B2344" w:rsidRPr="00CF2D87" w:rsidRDefault="000B2344" w:rsidP="000B2344">
      <w:pPr>
        <w:pStyle w:val="Default"/>
        <w:numPr>
          <w:ilvl w:val="0"/>
          <w:numId w:val="4"/>
        </w:numPr>
        <w:spacing w:line="276" w:lineRule="auto"/>
        <w:rPr>
          <w:rFonts w:ascii="Calibri" w:hAnsi="Calibri" w:cs="Calibri"/>
          <w:sz w:val="22"/>
          <w:szCs w:val="22"/>
        </w:rPr>
      </w:pPr>
      <w:r w:rsidRPr="00CF2D87">
        <w:rPr>
          <w:rFonts w:ascii="Calibri" w:hAnsi="Calibri" w:cs="Calibri"/>
          <w:sz w:val="22"/>
          <w:szCs w:val="22"/>
        </w:rPr>
        <w:t xml:space="preserve">In </w:t>
      </w:r>
      <w:r w:rsidRPr="00CF2D87">
        <w:rPr>
          <w:rFonts w:ascii="Calibri" w:hAnsi="Calibri" w:cs="Calibri"/>
          <w:i/>
          <w:sz w:val="22"/>
          <w:szCs w:val="22"/>
        </w:rPr>
        <w:t>Fergus</w:t>
      </w:r>
      <w:r w:rsidR="001A1F6B" w:rsidRPr="00CF2D87">
        <w:rPr>
          <w:rFonts w:ascii="Calibri" w:hAnsi="Calibri" w:cs="Calibri"/>
          <w:sz w:val="22"/>
          <w:szCs w:val="22"/>
        </w:rPr>
        <w:t>,</w:t>
      </w:r>
      <w:r w:rsidRPr="00CF2D87">
        <w:rPr>
          <w:rFonts w:ascii="Calibri" w:hAnsi="Calibri" w:cs="Calibri"/>
          <w:sz w:val="22"/>
          <w:szCs w:val="22"/>
        </w:rPr>
        <w:t xml:space="preserve"> Charleton J observed of </w:t>
      </w:r>
      <w:r w:rsidRPr="00CF2D87">
        <w:rPr>
          <w:rFonts w:ascii="Calibri" w:hAnsi="Calibri" w:cs="Calibri"/>
          <w:i/>
          <w:sz w:val="22"/>
          <w:szCs w:val="22"/>
        </w:rPr>
        <w:t xml:space="preserve">O’Malley </w:t>
      </w:r>
      <w:r w:rsidRPr="00CF2D87">
        <w:rPr>
          <w:rFonts w:ascii="Calibri" w:hAnsi="Calibri" w:cs="Calibri"/>
          <w:sz w:val="22"/>
          <w:szCs w:val="22"/>
        </w:rPr>
        <w:t>that:</w:t>
      </w:r>
    </w:p>
    <w:p w14:paraId="340618D0" w14:textId="77777777" w:rsidR="000B2344" w:rsidRPr="00CF2D87" w:rsidRDefault="000B2344" w:rsidP="000B2344">
      <w:pPr>
        <w:pStyle w:val="Default"/>
        <w:spacing w:line="276" w:lineRule="auto"/>
        <w:ind w:left="720"/>
        <w:rPr>
          <w:rFonts w:ascii="Calibri" w:hAnsi="Calibri" w:cs="Calibri"/>
          <w:sz w:val="22"/>
          <w:szCs w:val="22"/>
        </w:rPr>
      </w:pPr>
    </w:p>
    <w:p w14:paraId="68F2B59B" w14:textId="77777777"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“19.</w:t>
      </w:r>
      <w:r w:rsidRPr="00CF2D87">
        <w:rPr>
          <w:rFonts w:ascii="Calibri" w:hAnsi="Calibri" w:cs="Calibri"/>
          <w:i/>
          <w:sz w:val="22"/>
          <w:szCs w:val="22"/>
        </w:rPr>
        <w:tab/>
        <w:t xml:space="preserve">………………… The requirement for particularity, on a summary summons is necessary because if no appearances entered to a liquidated claim, judgment may be marked in the Central Office of the High Court, or in the Circuit Court by the country registrar. When an affidavit explaining the nature of the debt is put in by a bank it is necessary for that bank to indicate clearly what sum is capital, arising from what loan, what sum is interest and charged on which account, if there are many, and how, if this arises, penalties are calculated by way of increased interest charges on overdue loans or overdraft facilities drawn in excess without permission. </w:t>
      </w:r>
    </w:p>
    <w:p w14:paraId="422DF78A" w14:textId="77777777" w:rsidR="000B2344" w:rsidRPr="00CF2D87" w:rsidRDefault="000B2344" w:rsidP="000B2344">
      <w:pPr>
        <w:pStyle w:val="Default"/>
        <w:spacing w:line="276" w:lineRule="auto"/>
        <w:ind w:left="720"/>
        <w:rPr>
          <w:rFonts w:ascii="Calibri" w:hAnsi="Calibri" w:cs="Calibri"/>
          <w:i/>
          <w:sz w:val="22"/>
          <w:szCs w:val="22"/>
        </w:rPr>
      </w:pPr>
    </w:p>
    <w:p w14:paraId="787E491D" w14:textId="77777777" w:rsidR="000B2344" w:rsidRPr="00CF2D87" w:rsidRDefault="000B2344" w:rsidP="000B2344">
      <w:pPr>
        <w:pStyle w:val="Default"/>
        <w:spacing w:line="276" w:lineRule="auto"/>
        <w:ind w:left="720"/>
        <w:rPr>
          <w:rFonts w:ascii="Calibri" w:hAnsi="Calibri" w:cs="Calibri"/>
          <w:i/>
          <w:sz w:val="22"/>
          <w:szCs w:val="22"/>
        </w:rPr>
      </w:pPr>
      <w:r w:rsidRPr="00CF2D87">
        <w:rPr>
          <w:rFonts w:ascii="Calibri" w:hAnsi="Calibri" w:cs="Calibri"/>
          <w:i/>
          <w:sz w:val="22"/>
          <w:szCs w:val="22"/>
        </w:rPr>
        <w:t xml:space="preserve">20. </w:t>
      </w:r>
      <w:r w:rsidRPr="00CF2D87">
        <w:rPr>
          <w:rFonts w:ascii="Calibri" w:hAnsi="Calibri" w:cs="Calibri"/>
          <w:i/>
          <w:sz w:val="22"/>
          <w:szCs w:val="22"/>
        </w:rPr>
        <w:tab/>
        <w:t xml:space="preserve">……………… The nature of these requirements is to put a debtor in a position where on an individualised basis he or she may see where perhaps a mistake has been made or where interest may have been overcharged or penalties may have been misapplied. Thus, not only is any proposed defendant in a claim for a liquidated sum required to engage with the evidence </w:t>
      </w:r>
      <w:r w:rsidRPr="00CF2D87">
        <w:rPr>
          <w:rFonts w:ascii="Calibri" w:hAnsi="Calibri" w:cs="Calibri"/>
          <w:i/>
          <w:sz w:val="22"/>
          <w:szCs w:val="22"/>
        </w:rPr>
        <w:lastRenderedPageBreak/>
        <w:t>and to demonstrate a defence and to be denied a plenary hearing unless those steps are taken, but it is also required of a plaintiff financial institution to make it clear as to the precise basis that a sum of money is owed. …”</w:t>
      </w:r>
    </w:p>
    <w:p w14:paraId="1FC7D187" w14:textId="77777777" w:rsidR="000B2344" w:rsidRPr="00CF2D87" w:rsidRDefault="000B2344" w:rsidP="000B2344">
      <w:pPr>
        <w:pStyle w:val="Default"/>
        <w:spacing w:line="276" w:lineRule="auto"/>
        <w:rPr>
          <w:rFonts w:ascii="Calibri" w:hAnsi="Calibri" w:cs="Calibri"/>
          <w:i/>
          <w:sz w:val="22"/>
          <w:szCs w:val="22"/>
        </w:rPr>
      </w:pPr>
    </w:p>
    <w:p w14:paraId="4FBDE269" w14:textId="77777777" w:rsidR="000B2344" w:rsidRPr="00CF2D87" w:rsidRDefault="000B2344" w:rsidP="000B2344">
      <w:pPr>
        <w:pStyle w:val="Default"/>
        <w:spacing w:line="276" w:lineRule="auto"/>
        <w:rPr>
          <w:rFonts w:ascii="Calibri" w:hAnsi="Calibri" w:cs="Calibri"/>
          <w:sz w:val="22"/>
          <w:szCs w:val="22"/>
        </w:rPr>
      </w:pPr>
    </w:p>
    <w:p w14:paraId="42A3C317" w14:textId="1276AD19" w:rsidR="000B2344" w:rsidRPr="00CF2D87" w:rsidRDefault="000B2344" w:rsidP="000B2344">
      <w:pPr>
        <w:pStyle w:val="Default"/>
        <w:numPr>
          <w:ilvl w:val="0"/>
          <w:numId w:val="4"/>
        </w:numPr>
        <w:spacing w:line="276" w:lineRule="auto"/>
        <w:rPr>
          <w:rFonts w:ascii="Calibri" w:hAnsi="Calibri" w:cs="Calibri"/>
          <w:sz w:val="22"/>
          <w:szCs w:val="22"/>
        </w:rPr>
      </w:pPr>
      <w:r w:rsidRPr="00CF2D87">
        <w:rPr>
          <w:rFonts w:ascii="Calibri" w:hAnsi="Calibri" w:cs="Calibri"/>
          <w:sz w:val="22"/>
          <w:szCs w:val="22"/>
        </w:rPr>
        <w:t xml:space="preserve">For present purposes, it seems to me that the important element of the </w:t>
      </w:r>
      <w:r w:rsidR="001A1F6B" w:rsidRPr="00CF2D87">
        <w:rPr>
          <w:rFonts w:ascii="Calibri" w:hAnsi="Calibri" w:cs="Calibri"/>
          <w:sz w:val="22"/>
          <w:szCs w:val="22"/>
        </w:rPr>
        <w:t>j</w:t>
      </w:r>
      <w:r w:rsidRPr="00CF2D87">
        <w:rPr>
          <w:rFonts w:ascii="Calibri" w:hAnsi="Calibri" w:cs="Calibri"/>
          <w:sz w:val="22"/>
          <w:szCs w:val="22"/>
        </w:rPr>
        <w:t>udgment of Charleton J is that “</w:t>
      </w:r>
      <w:r w:rsidRPr="00CF2D87">
        <w:rPr>
          <w:rFonts w:ascii="Calibri" w:hAnsi="Calibri" w:cs="Calibri"/>
          <w:i/>
          <w:sz w:val="22"/>
          <w:szCs w:val="22"/>
        </w:rPr>
        <w:t>The nature of these requirements is to put a debtor in a position where on an individualised basis he or she may see where perhaps a mistake has been made or where interest may have been overcharged or penalties may have been misapplied.”</w:t>
      </w:r>
    </w:p>
    <w:p w14:paraId="1F80273E" w14:textId="77777777" w:rsidR="000B2344" w:rsidRPr="00CF2D87" w:rsidRDefault="000B2344" w:rsidP="000B2344">
      <w:pPr>
        <w:pStyle w:val="Default"/>
        <w:spacing w:line="276" w:lineRule="auto"/>
        <w:rPr>
          <w:rFonts w:ascii="Calibri" w:hAnsi="Calibri" w:cs="Calibri"/>
          <w:i/>
          <w:sz w:val="22"/>
          <w:szCs w:val="22"/>
        </w:rPr>
      </w:pPr>
    </w:p>
    <w:p w14:paraId="126E3FDB" w14:textId="77777777" w:rsidR="000B2344" w:rsidRPr="00CF2D87" w:rsidRDefault="000B2344" w:rsidP="000B2344">
      <w:pPr>
        <w:pStyle w:val="Default"/>
        <w:spacing w:line="276" w:lineRule="auto"/>
        <w:rPr>
          <w:rFonts w:ascii="Calibri" w:hAnsi="Calibri" w:cs="Calibri"/>
          <w:i/>
          <w:sz w:val="22"/>
          <w:szCs w:val="22"/>
        </w:rPr>
      </w:pPr>
    </w:p>
    <w:p w14:paraId="2A946F3B" w14:textId="77777777" w:rsidR="000B2344" w:rsidRPr="00CF2D87" w:rsidRDefault="000B2344" w:rsidP="000B2344">
      <w:pPr>
        <w:pStyle w:val="Default"/>
        <w:spacing w:line="276" w:lineRule="auto"/>
        <w:rPr>
          <w:rFonts w:ascii="Calibri" w:hAnsi="Calibri" w:cs="Calibri"/>
          <w:i/>
          <w:sz w:val="22"/>
          <w:szCs w:val="22"/>
        </w:rPr>
      </w:pPr>
    </w:p>
    <w:p w14:paraId="1B7BE687" w14:textId="0A6158AC" w:rsidR="000B2344" w:rsidRPr="00CF2D87" w:rsidRDefault="000B2344" w:rsidP="000B2344">
      <w:pPr>
        <w:pStyle w:val="Heading2"/>
        <w:spacing w:line="276" w:lineRule="auto"/>
        <w:rPr>
          <w:szCs w:val="22"/>
        </w:rPr>
      </w:pPr>
      <w:r w:rsidRPr="00CF2D87">
        <w:rPr>
          <w:szCs w:val="22"/>
        </w:rPr>
        <w:t>A.I.B. Mortgage Bank v O'Brien</w:t>
      </w:r>
      <w:r w:rsidRPr="00CF2D87">
        <w:rPr>
          <w:rStyle w:val="FootnoteReference"/>
          <w:b w:val="0"/>
          <w:szCs w:val="22"/>
        </w:rPr>
        <w:footnoteReference w:id="14"/>
      </w:r>
    </w:p>
    <w:p w14:paraId="7B479671" w14:textId="77777777" w:rsidR="000B2344" w:rsidRPr="00CF2D87" w:rsidRDefault="000B2344" w:rsidP="000B2344">
      <w:pPr>
        <w:pStyle w:val="Default"/>
        <w:spacing w:line="276" w:lineRule="auto"/>
        <w:rPr>
          <w:rFonts w:ascii="Calibri" w:hAnsi="Calibri" w:cs="Calibri"/>
          <w:i/>
          <w:sz w:val="22"/>
          <w:szCs w:val="22"/>
        </w:rPr>
      </w:pPr>
    </w:p>
    <w:p w14:paraId="04635F3F" w14:textId="4C2B193A"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In </w:t>
      </w:r>
      <w:r w:rsidRPr="00CF2D87">
        <w:rPr>
          <w:rFonts w:ascii="Calibri" w:hAnsi="Calibri" w:cs="Calibri"/>
          <w:i/>
          <w:sz w:val="22"/>
          <w:szCs w:val="22"/>
        </w:rPr>
        <w:t>O’Brien</w:t>
      </w:r>
      <w:r w:rsidR="001A1F6B" w:rsidRPr="00CF2D87">
        <w:rPr>
          <w:rFonts w:ascii="Calibri" w:hAnsi="Calibri" w:cs="Calibri"/>
          <w:sz w:val="22"/>
          <w:szCs w:val="22"/>
        </w:rPr>
        <w:t>,</w:t>
      </w:r>
      <w:r w:rsidRPr="00CF2D87">
        <w:rPr>
          <w:rFonts w:ascii="Calibri" w:hAnsi="Calibri" w:cs="Calibri"/>
          <w:sz w:val="22"/>
          <w:szCs w:val="22"/>
        </w:rPr>
        <w:t xml:space="preserve"> Faherty J considered the indorsement of claim inadequate </w:t>
      </w:r>
      <w:r w:rsidR="001A1F6B" w:rsidRPr="00CF2D87">
        <w:rPr>
          <w:rFonts w:ascii="Calibri" w:hAnsi="Calibri" w:cs="Calibri"/>
          <w:sz w:val="22"/>
          <w:szCs w:val="22"/>
        </w:rPr>
        <w:t xml:space="preserve">- </w:t>
      </w:r>
      <w:r w:rsidRPr="00CF2D87">
        <w:rPr>
          <w:rFonts w:ascii="Calibri" w:hAnsi="Calibri" w:cs="Calibri"/>
          <w:sz w:val="22"/>
          <w:szCs w:val="22"/>
        </w:rPr>
        <w:t>but in respects quite different to those with which I am concerned. However</w:t>
      </w:r>
      <w:r w:rsidR="001A1F6B" w:rsidRPr="00CF2D87">
        <w:rPr>
          <w:rFonts w:ascii="Calibri" w:hAnsi="Calibri" w:cs="Calibri"/>
          <w:sz w:val="22"/>
          <w:szCs w:val="22"/>
        </w:rPr>
        <w:t>,</w:t>
      </w:r>
      <w:r w:rsidRPr="00CF2D87">
        <w:rPr>
          <w:rFonts w:ascii="Calibri" w:hAnsi="Calibri" w:cs="Calibri"/>
          <w:sz w:val="22"/>
          <w:szCs w:val="22"/>
        </w:rPr>
        <w:t xml:space="preserve"> the case is an application of </w:t>
      </w:r>
      <w:r w:rsidRPr="00CF2D87">
        <w:rPr>
          <w:rFonts w:ascii="Calibri" w:hAnsi="Calibri" w:cs="Calibri"/>
          <w:i/>
          <w:sz w:val="22"/>
          <w:szCs w:val="22"/>
        </w:rPr>
        <w:t xml:space="preserve">O’Malley </w:t>
      </w:r>
      <w:r w:rsidRPr="00CF2D87">
        <w:rPr>
          <w:rFonts w:ascii="Calibri" w:hAnsi="Calibri" w:cs="Calibri"/>
          <w:sz w:val="22"/>
          <w:szCs w:val="22"/>
        </w:rPr>
        <w:t>as to “</w:t>
      </w:r>
      <w:r w:rsidRPr="00CF2D87">
        <w:rPr>
          <w:rFonts w:ascii="Calibri" w:hAnsi="Calibri" w:cs="Calibri"/>
          <w:i/>
          <w:sz w:val="22"/>
          <w:szCs w:val="22"/>
          <w:shd w:val="clear" w:color="auto" w:fill="FFFFFF"/>
        </w:rPr>
        <w:t>the necessity for proper pleading</w:t>
      </w:r>
      <w:r w:rsidRPr="00CF2D87">
        <w:rPr>
          <w:rFonts w:ascii="Calibri" w:hAnsi="Calibri" w:cs="Calibri"/>
          <w:sz w:val="22"/>
          <w:szCs w:val="22"/>
          <w:shd w:val="clear" w:color="auto" w:fill="FFFFFF"/>
        </w:rPr>
        <w:t>”</w:t>
      </w:r>
      <w:r w:rsidRPr="00CF2D87">
        <w:rPr>
          <w:rFonts w:ascii="Calibri" w:hAnsi="Calibri" w:cs="Calibri"/>
          <w:sz w:val="22"/>
          <w:szCs w:val="22"/>
        </w:rPr>
        <w:t xml:space="preserve"> and assists for present purposes as a reminder, via citation of </w:t>
      </w:r>
      <w:r w:rsidRPr="00CF2D87">
        <w:rPr>
          <w:rFonts w:ascii="Calibri" w:hAnsi="Calibri" w:cs="Calibri"/>
          <w:i/>
          <w:sz w:val="22"/>
          <w:szCs w:val="22"/>
          <w:shd w:val="clear" w:color="auto" w:fill="FFFFFF"/>
        </w:rPr>
        <w:t xml:space="preserve">AIB </w:t>
      </w:r>
      <w:r w:rsidR="007773A1" w:rsidRPr="00CF2D87">
        <w:rPr>
          <w:rFonts w:ascii="Calibri" w:hAnsi="Calibri" w:cs="Calibri"/>
          <w:i/>
          <w:sz w:val="22"/>
          <w:szCs w:val="22"/>
          <w:shd w:val="clear" w:color="auto" w:fill="FFFFFF"/>
        </w:rPr>
        <w:t>v</w:t>
      </w:r>
      <w:r w:rsidRPr="00CF2D87">
        <w:rPr>
          <w:rFonts w:ascii="Calibri" w:hAnsi="Calibri" w:cs="Calibri"/>
          <w:i/>
          <w:sz w:val="22"/>
          <w:szCs w:val="22"/>
          <w:shd w:val="clear" w:color="auto" w:fill="FFFFFF"/>
        </w:rPr>
        <w:t xml:space="preserve"> Purcell</w:t>
      </w:r>
      <w:r w:rsidRPr="00CF2D87">
        <w:rPr>
          <w:rStyle w:val="FootnoteReference"/>
          <w:rFonts w:ascii="Calibri" w:hAnsi="Calibri" w:cs="Calibri"/>
          <w:sz w:val="22"/>
          <w:szCs w:val="22"/>
          <w:shd w:val="clear" w:color="auto" w:fill="FFFFFF"/>
        </w:rPr>
        <w:footnoteReference w:id="15"/>
      </w:r>
      <w:r w:rsidRPr="00CF2D87">
        <w:rPr>
          <w:rFonts w:ascii="Calibri" w:hAnsi="Calibri" w:cs="Calibri"/>
          <w:sz w:val="22"/>
          <w:szCs w:val="22"/>
          <w:shd w:val="clear" w:color="auto" w:fill="FFFFFF"/>
        </w:rPr>
        <w:t xml:space="preserve"> and</w:t>
      </w:r>
      <w:r w:rsidRPr="00CF2D87">
        <w:rPr>
          <w:rFonts w:ascii="Calibri" w:hAnsi="Calibri" w:cs="Calibri"/>
          <w:b/>
          <w:sz w:val="22"/>
          <w:szCs w:val="22"/>
          <w:shd w:val="clear" w:color="auto" w:fill="FFFFFF"/>
        </w:rPr>
        <w:t xml:space="preserve"> </w:t>
      </w:r>
      <w:bookmarkStart w:id="0" w:name="_Hlk94517442"/>
      <w:r w:rsidRPr="00CF2D87">
        <w:rPr>
          <w:rFonts w:ascii="Calibri" w:hAnsi="Calibri" w:cs="Calibri"/>
          <w:i/>
          <w:sz w:val="22"/>
          <w:szCs w:val="22"/>
          <w:shd w:val="clear" w:color="auto" w:fill="FFFFFF"/>
        </w:rPr>
        <w:t xml:space="preserve">Harrisrange </w:t>
      </w:r>
      <w:r w:rsidR="007773A1" w:rsidRPr="00CF2D87">
        <w:rPr>
          <w:rFonts w:ascii="Calibri" w:hAnsi="Calibri" w:cs="Calibri"/>
          <w:i/>
          <w:sz w:val="22"/>
          <w:szCs w:val="22"/>
          <w:shd w:val="clear" w:color="auto" w:fill="FFFFFF"/>
        </w:rPr>
        <w:t>v</w:t>
      </w:r>
      <w:r w:rsidRPr="00CF2D87">
        <w:rPr>
          <w:rFonts w:ascii="Calibri" w:hAnsi="Calibri" w:cs="Calibri"/>
          <w:i/>
          <w:sz w:val="22"/>
          <w:szCs w:val="22"/>
          <w:shd w:val="clear" w:color="auto" w:fill="FFFFFF"/>
        </w:rPr>
        <w:t xml:space="preserve"> Duncan</w:t>
      </w:r>
      <w:bookmarkEnd w:id="0"/>
      <w:r w:rsidRPr="00CF2D87">
        <w:rPr>
          <w:rStyle w:val="FootnoteReference"/>
          <w:rFonts w:ascii="Calibri" w:hAnsi="Calibri" w:cs="Calibri"/>
          <w:sz w:val="22"/>
          <w:szCs w:val="22"/>
          <w:shd w:val="clear" w:color="auto" w:fill="FFFFFF"/>
        </w:rPr>
        <w:footnoteReference w:id="16"/>
      </w:r>
      <w:r w:rsidRPr="00CF2D87">
        <w:rPr>
          <w:rFonts w:ascii="Calibri" w:hAnsi="Calibri" w:cs="Calibri"/>
          <w:b/>
          <w:sz w:val="22"/>
          <w:szCs w:val="22"/>
          <w:shd w:val="clear" w:color="auto" w:fill="FFFFFF"/>
        </w:rPr>
        <w:t xml:space="preserve"> </w:t>
      </w:r>
      <w:r w:rsidRPr="00CF2D87">
        <w:rPr>
          <w:rFonts w:ascii="Calibri" w:hAnsi="Calibri" w:cs="Calibri"/>
          <w:sz w:val="22"/>
          <w:szCs w:val="22"/>
          <w:shd w:val="clear" w:color="auto" w:fill="FFFFFF"/>
        </w:rPr>
        <w:t>of the requirement of</w:t>
      </w:r>
      <w:r w:rsidRPr="00CF2D87">
        <w:rPr>
          <w:rFonts w:ascii="Calibri" w:hAnsi="Calibri" w:cs="Calibri"/>
          <w:b/>
          <w:sz w:val="22"/>
          <w:szCs w:val="22"/>
          <w:shd w:val="clear" w:color="auto" w:fill="FFFFFF"/>
        </w:rPr>
        <w:t xml:space="preserve"> </w:t>
      </w:r>
      <w:r w:rsidRPr="00CF2D87">
        <w:rPr>
          <w:rFonts w:ascii="Calibri" w:hAnsi="Calibri" w:cs="Calibri"/>
          <w:sz w:val="22"/>
          <w:szCs w:val="22"/>
          <w:shd w:val="clear" w:color="auto" w:fill="FFFFFF"/>
        </w:rPr>
        <w:t>“</w:t>
      </w:r>
      <w:r w:rsidRPr="00CF2D87">
        <w:rPr>
          <w:rFonts w:ascii="Calibri" w:hAnsi="Calibri" w:cs="Calibri"/>
          <w:i/>
          <w:sz w:val="22"/>
          <w:szCs w:val="22"/>
          <w:shd w:val="clear" w:color="auto" w:fill="FFFFFF"/>
        </w:rPr>
        <w:t>discernible caution</w:t>
      </w:r>
      <w:r w:rsidRPr="00CF2D87">
        <w:rPr>
          <w:rFonts w:ascii="Calibri" w:hAnsi="Calibri" w:cs="Calibri"/>
          <w:sz w:val="22"/>
          <w:szCs w:val="22"/>
          <w:shd w:val="clear" w:color="auto" w:fill="FFFFFF"/>
        </w:rPr>
        <w:t xml:space="preserve">” in granting summary judgment. It also assists in citing Humphreys J. in </w:t>
      </w:r>
      <w:r w:rsidRPr="00CF2D87">
        <w:rPr>
          <w:rFonts w:ascii="Calibri" w:hAnsi="Calibri" w:cs="Calibri"/>
          <w:i/>
          <w:sz w:val="22"/>
          <w:szCs w:val="22"/>
          <w:shd w:val="clear" w:color="auto" w:fill="FFFFFF"/>
        </w:rPr>
        <w:t xml:space="preserve">Allied Irish Banks </w:t>
      </w:r>
      <w:r w:rsidR="007773A1" w:rsidRPr="00CF2D87">
        <w:rPr>
          <w:rFonts w:ascii="Calibri" w:hAnsi="Calibri" w:cs="Calibri"/>
          <w:i/>
          <w:sz w:val="22"/>
          <w:szCs w:val="22"/>
          <w:shd w:val="clear" w:color="auto" w:fill="FFFFFF"/>
        </w:rPr>
        <w:t>v</w:t>
      </w:r>
      <w:r w:rsidRPr="00CF2D87">
        <w:rPr>
          <w:rFonts w:ascii="Calibri" w:hAnsi="Calibri" w:cs="Calibri"/>
          <w:i/>
          <w:sz w:val="22"/>
          <w:szCs w:val="22"/>
          <w:shd w:val="clear" w:color="auto" w:fill="FFFFFF"/>
        </w:rPr>
        <w:t xml:space="preserve"> McGowan</w:t>
      </w:r>
      <w:r w:rsidRPr="00CF2D87">
        <w:rPr>
          <w:rStyle w:val="FootnoteReference"/>
          <w:rFonts w:ascii="Calibri" w:hAnsi="Calibri" w:cs="Calibri"/>
          <w:sz w:val="22"/>
          <w:szCs w:val="22"/>
          <w:shd w:val="clear" w:color="auto" w:fill="FFFFFF"/>
        </w:rPr>
        <w:footnoteReference w:id="17"/>
      </w:r>
      <w:r w:rsidRPr="00CF2D87">
        <w:rPr>
          <w:rFonts w:ascii="Calibri" w:hAnsi="Calibri" w:cs="Calibri"/>
          <w:sz w:val="22"/>
          <w:szCs w:val="22"/>
          <w:shd w:val="clear" w:color="auto" w:fill="FFFFFF"/>
        </w:rPr>
        <w:t xml:space="preserve"> as having</w:t>
      </w:r>
      <w:r w:rsidRPr="00CF2D87">
        <w:rPr>
          <w:rFonts w:ascii="Calibri" w:hAnsi="Calibri" w:cs="Calibri"/>
          <w:b/>
          <w:sz w:val="22"/>
          <w:szCs w:val="22"/>
          <w:shd w:val="clear" w:color="auto" w:fill="FFFFFF"/>
        </w:rPr>
        <w:t xml:space="preserve"> </w:t>
      </w:r>
      <w:r w:rsidRPr="00CF2D87">
        <w:rPr>
          <w:rFonts w:ascii="Calibri" w:hAnsi="Calibri" w:cs="Calibri"/>
          <w:sz w:val="22"/>
          <w:szCs w:val="22"/>
          <w:shd w:val="clear" w:color="auto" w:fill="FFFFFF"/>
        </w:rPr>
        <w:t>“</w:t>
      </w:r>
      <w:r w:rsidRPr="00CF2D87">
        <w:rPr>
          <w:rFonts w:ascii="Calibri" w:hAnsi="Calibri" w:cs="Calibri"/>
          <w:i/>
          <w:sz w:val="22"/>
          <w:szCs w:val="22"/>
          <w:shd w:val="clear" w:color="auto" w:fill="FFFFFF"/>
        </w:rPr>
        <w:t>pithily summarised</w:t>
      </w:r>
      <w:r w:rsidRPr="00CF2D87">
        <w:rPr>
          <w:rFonts w:ascii="Calibri" w:hAnsi="Calibri" w:cs="Calibri"/>
          <w:sz w:val="22"/>
          <w:szCs w:val="22"/>
          <w:shd w:val="clear" w:color="auto" w:fill="FFFFFF"/>
        </w:rPr>
        <w:t xml:space="preserve">” the </w:t>
      </w:r>
      <w:r w:rsidRPr="00CF2D87">
        <w:rPr>
          <w:rFonts w:ascii="Calibri" w:hAnsi="Calibri" w:cs="Calibri"/>
          <w:i/>
          <w:sz w:val="22"/>
          <w:szCs w:val="22"/>
          <w:shd w:val="clear" w:color="auto" w:fill="FFFFFF"/>
        </w:rPr>
        <w:t>O’Malley</w:t>
      </w:r>
      <w:r w:rsidRPr="00CF2D87">
        <w:rPr>
          <w:rFonts w:ascii="Calibri" w:hAnsi="Calibri" w:cs="Calibri"/>
          <w:sz w:val="22"/>
          <w:szCs w:val="22"/>
        </w:rPr>
        <w:t xml:space="preserve"> </w:t>
      </w:r>
      <w:r w:rsidRPr="00CF2D87">
        <w:rPr>
          <w:rFonts w:ascii="Calibri" w:hAnsi="Calibri" w:cs="Calibri"/>
          <w:sz w:val="22"/>
          <w:szCs w:val="22"/>
          <w:shd w:val="clear" w:color="auto" w:fill="FFFFFF"/>
        </w:rPr>
        <w:t>principles as rebalancing the criteria for summary judgment in imposing somewhat more</w:t>
      </w:r>
      <w:r w:rsidRPr="00CF2D87">
        <w:rPr>
          <w:rFonts w:ascii="Calibri" w:hAnsi="Calibri" w:cs="Calibri"/>
          <w:sz w:val="22"/>
          <w:szCs w:val="22"/>
        </w:rPr>
        <w:t xml:space="preserve"> </w:t>
      </w:r>
      <w:r w:rsidRPr="00CF2D87">
        <w:rPr>
          <w:rFonts w:ascii="Calibri" w:hAnsi="Calibri" w:cs="Calibri"/>
          <w:sz w:val="22"/>
          <w:szCs w:val="22"/>
          <w:shd w:val="clear" w:color="auto" w:fill="FFFFFF"/>
        </w:rPr>
        <w:t xml:space="preserve">onerous requirements on plaintiffs than was previously understood. Humphreys J. referred to his decision in </w:t>
      </w:r>
      <w:r w:rsidRPr="00CF2D87">
        <w:rPr>
          <w:rFonts w:ascii="Calibri" w:hAnsi="Calibri" w:cs="Calibri"/>
          <w:i/>
          <w:sz w:val="22"/>
          <w:szCs w:val="22"/>
          <w:shd w:val="clear" w:color="auto" w:fill="FFFFFF"/>
        </w:rPr>
        <w:t>Havbell v Harris</w:t>
      </w:r>
      <w:r w:rsidRPr="00CF2D87">
        <w:rPr>
          <w:rFonts w:ascii="Calibri" w:hAnsi="Calibri" w:cs="Calibri"/>
          <w:sz w:val="22"/>
          <w:szCs w:val="22"/>
          <w:shd w:val="clear" w:color="auto" w:fill="FFFFFF"/>
        </w:rPr>
        <w:t xml:space="preserve">. Of the four criteria </w:t>
      </w:r>
      <w:r w:rsidR="001A1F6B" w:rsidRPr="00CF2D87">
        <w:rPr>
          <w:rFonts w:ascii="Calibri" w:hAnsi="Calibri" w:cs="Calibri"/>
          <w:sz w:val="22"/>
          <w:szCs w:val="22"/>
          <w:shd w:val="clear" w:color="auto" w:fill="FFFFFF"/>
        </w:rPr>
        <w:t>identifi</w:t>
      </w:r>
      <w:r w:rsidRPr="00CF2D87">
        <w:rPr>
          <w:rFonts w:ascii="Calibri" w:hAnsi="Calibri" w:cs="Calibri"/>
          <w:sz w:val="22"/>
          <w:szCs w:val="22"/>
          <w:shd w:val="clear" w:color="auto" w:fill="FFFFFF"/>
        </w:rPr>
        <w:t xml:space="preserve">ed by Humphreys J </w:t>
      </w:r>
      <w:r w:rsidR="001A1F6B" w:rsidRPr="00CF2D87">
        <w:rPr>
          <w:rFonts w:ascii="Calibri" w:hAnsi="Calibri" w:cs="Calibri"/>
          <w:sz w:val="22"/>
          <w:szCs w:val="22"/>
          <w:shd w:val="clear" w:color="auto" w:fill="FFFFFF"/>
        </w:rPr>
        <w:t xml:space="preserve">in </w:t>
      </w:r>
      <w:r w:rsidR="001A1F6B" w:rsidRPr="00CF2D87">
        <w:rPr>
          <w:rFonts w:ascii="Calibri" w:hAnsi="Calibri" w:cs="Calibri"/>
          <w:i/>
          <w:sz w:val="22"/>
          <w:szCs w:val="22"/>
          <w:shd w:val="clear" w:color="auto" w:fill="FFFFFF"/>
        </w:rPr>
        <w:t>McGowan</w:t>
      </w:r>
      <w:r w:rsidR="001A1F6B" w:rsidRPr="00CF2D87">
        <w:rPr>
          <w:rFonts w:ascii="Calibri" w:hAnsi="Calibri" w:cs="Calibri"/>
          <w:sz w:val="22"/>
          <w:szCs w:val="22"/>
          <w:shd w:val="clear" w:color="auto" w:fill="FFFFFF"/>
        </w:rPr>
        <w:t xml:space="preserve">, </w:t>
      </w:r>
      <w:r w:rsidRPr="00CF2D87">
        <w:rPr>
          <w:rFonts w:ascii="Calibri" w:hAnsi="Calibri" w:cs="Calibri"/>
          <w:sz w:val="22"/>
          <w:szCs w:val="22"/>
          <w:shd w:val="clear" w:color="auto" w:fill="FFFFFF"/>
        </w:rPr>
        <w:t>I am concerned with only the first: is the plaintiff’s claim sufficiently pleaded and particularised.</w:t>
      </w:r>
    </w:p>
    <w:p w14:paraId="7349A077" w14:textId="77777777" w:rsidR="000B2344" w:rsidRPr="00CF2D87" w:rsidRDefault="000B2344" w:rsidP="000B2344">
      <w:pPr>
        <w:pStyle w:val="ListParagraph"/>
        <w:spacing w:line="276" w:lineRule="auto"/>
        <w:ind w:left="360"/>
        <w:rPr>
          <w:rFonts w:ascii="Calibri" w:hAnsi="Calibri" w:cs="Calibri"/>
          <w:sz w:val="22"/>
          <w:szCs w:val="22"/>
        </w:rPr>
      </w:pPr>
    </w:p>
    <w:p w14:paraId="6A9DF85A" w14:textId="77777777" w:rsidR="000B2344" w:rsidRPr="00CF2D87" w:rsidRDefault="000B2344" w:rsidP="000B2344">
      <w:pPr>
        <w:pStyle w:val="ListParagraph"/>
        <w:spacing w:line="276" w:lineRule="auto"/>
        <w:ind w:left="360"/>
        <w:rPr>
          <w:rFonts w:ascii="Calibri" w:hAnsi="Calibri" w:cs="Calibri"/>
          <w:sz w:val="22"/>
          <w:szCs w:val="22"/>
        </w:rPr>
      </w:pPr>
    </w:p>
    <w:p w14:paraId="494D901A" w14:textId="77777777" w:rsidR="000B2344" w:rsidRPr="00CF2D87" w:rsidRDefault="000B2344" w:rsidP="000B2344">
      <w:pPr>
        <w:pStyle w:val="ListParagraph"/>
        <w:spacing w:line="276" w:lineRule="auto"/>
        <w:ind w:left="360"/>
        <w:rPr>
          <w:rFonts w:ascii="Calibri" w:hAnsi="Calibri" w:cs="Calibri"/>
          <w:sz w:val="22"/>
          <w:szCs w:val="22"/>
        </w:rPr>
      </w:pPr>
    </w:p>
    <w:p w14:paraId="3F9E1581" w14:textId="2B0CDAB1" w:rsidR="000B2344" w:rsidRPr="00CF2D87" w:rsidRDefault="000B2344" w:rsidP="000B2344">
      <w:pPr>
        <w:pStyle w:val="Heading2"/>
        <w:spacing w:line="276" w:lineRule="auto"/>
        <w:rPr>
          <w:szCs w:val="22"/>
        </w:rPr>
      </w:pPr>
      <w:r w:rsidRPr="00CF2D87">
        <w:rPr>
          <w:szCs w:val="22"/>
          <w:shd w:val="clear" w:color="auto" w:fill="FFFFFF"/>
        </w:rPr>
        <w:t>Havbell v Harris</w:t>
      </w:r>
      <w:r w:rsidR="001A1F6B" w:rsidRPr="00CF2D87">
        <w:rPr>
          <w:rStyle w:val="FootnoteReference"/>
          <w:szCs w:val="22"/>
        </w:rPr>
        <w:footnoteReference w:id="18"/>
      </w:r>
    </w:p>
    <w:p w14:paraId="2EABCA75" w14:textId="77777777" w:rsidR="000B2344" w:rsidRPr="00CF2D87" w:rsidRDefault="000B2344" w:rsidP="000B2344">
      <w:pPr>
        <w:pStyle w:val="ListParagraph"/>
        <w:spacing w:line="276" w:lineRule="auto"/>
        <w:ind w:left="0"/>
        <w:rPr>
          <w:rFonts w:ascii="Calibri" w:hAnsi="Calibri" w:cs="Calibri"/>
          <w:sz w:val="22"/>
          <w:szCs w:val="22"/>
        </w:rPr>
      </w:pPr>
    </w:p>
    <w:p w14:paraId="5BF26745" w14:textId="77777777" w:rsidR="001A1F6B"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Havbell was an action on a loan made to the Defendant by Permanent TSB and later assigned to Havbell. Humphreys J referred to “</w:t>
      </w:r>
      <w:r w:rsidRPr="00CF2D87">
        <w:rPr>
          <w:rFonts w:ascii="Calibri" w:hAnsi="Calibri" w:cs="Calibri"/>
          <w:i/>
          <w:sz w:val="22"/>
          <w:szCs w:val="22"/>
        </w:rPr>
        <w:t xml:space="preserve">the significant refinement of the requirements of pleading introduced by the Supreme Court in O’Malley” </w:t>
      </w:r>
      <w:r w:rsidRPr="00CF2D87">
        <w:rPr>
          <w:rFonts w:ascii="Calibri" w:hAnsi="Calibri" w:cs="Calibri"/>
          <w:sz w:val="22"/>
          <w:szCs w:val="22"/>
        </w:rPr>
        <w:t xml:space="preserve">as </w:t>
      </w:r>
      <w:r w:rsidRPr="00CF2D87">
        <w:rPr>
          <w:rFonts w:ascii="Calibri" w:hAnsi="Calibri" w:cs="Calibri"/>
          <w:i/>
          <w:sz w:val="22"/>
          <w:szCs w:val="22"/>
        </w:rPr>
        <w:t xml:space="preserve">“a tangible modification to the previous law”. </w:t>
      </w:r>
    </w:p>
    <w:p w14:paraId="66644A92" w14:textId="308D9FE0" w:rsidR="001A1F6B" w:rsidRPr="00CF2D87" w:rsidRDefault="001A1F6B" w:rsidP="001A1F6B">
      <w:pPr>
        <w:pStyle w:val="ListParagraph"/>
        <w:spacing w:line="276" w:lineRule="auto"/>
        <w:ind w:left="0"/>
        <w:rPr>
          <w:rFonts w:ascii="Calibri" w:hAnsi="Calibri" w:cs="Calibri"/>
          <w:sz w:val="22"/>
          <w:szCs w:val="22"/>
        </w:rPr>
      </w:pPr>
    </w:p>
    <w:p w14:paraId="443B303D" w14:textId="77777777" w:rsidR="001A1F6B" w:rsidRPr="00CF2D87" w:rsidRDefault="001A1F6B" w:rsidP="001A1F6B">
      <w:pPr>
        <w:pStyle w:val="ListParagraph"/>
        <w:spacing w:line="276" w:lineRule="auto"/>
        <w:ind w:left="0"/>
        <w:rPr>
          <w:rFonts w:ascii="Calibri" w:hAnsi="Calibri" w:cs="Calibri"/>
          <w:sz w:val="22"/>
          <w:szCs w:val="22"/>
        </w:rPr>
      </w:pPr>
    </w:p>
    <w:p w14:paraId="0F82C71E" w14:textId="0141308D"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Humphreys J noted that </w:t>
      </w:r>
      <w:r w:rsidRPr="00CF2D87">
        <w:rPr>
          <w:rFonts w:ascii="Calibri" w:hAnsi="Calibri" w:cs="Calibri"/>
          <w:i/>
          <w:sz w:val="22"/>
          <w:szCs w:val="22"/>
        </w:rPr>
        <w:t>O’Malley</w:t>
      </w:r>
      <w:r w:rsidRPr="00CF2D87">
        <w:rPr>
          <w:rFonts w:ascii="Calibri" w:hAnsi="Calibri" w:cs="Calibri"/>
          <w:sz w:val="22"/>
          <w:szCs w:val="22"/>
        </w:rPr>
        <w:t xml:space="preserve"> required that the pleadings must specify how the sum due was calculated - the jurisprudence is clear that the amount claimed must be explained and indeed explained precisely - but permitted pleading the requisite particulars indirectly by referring to another identified document which provides the necessary information. The </w:t>
      </w:r>
      <w:r w:rsidR="001A1F6B" w:rsidRPr="00CF2D87">
        <w:rPr>
          <w:rFonts w:ascii="Calibri" w:hAnsi="Calibri" w:cs="Calibri"/>
          <w:sz w:val="22"/>
          <w:szCs w:val="22"/>
        </w:rPr>
        <w:t>d</w:t>
      </w:r>
      <w:r w:rsidRPr="00CF2D87">
        <w:rPr>
          <w:rFonts w:ascii="Calibri" w:hAnsi="Calibri" w:cs="Calibri"/>
          <w:sz w:val="22"/>
          <w:szCs w:val="22"/>
        </w:rPr>
        <w:t>efendants asserted a lack of pleaded detail as to the calculation of the interest claimed. Humphreys J said:</w:t>
      </w:r>
    </w:p>
    <w:p w14:paraId="271D90DB" w14:textId="77777777" w:rsidR="000B2344" w:rsidRPr="00CF2D87" w:rsidRDefault="000B2344" w:rsidP="000B2344">
      <w:pPr>
        <w:pStyle w:val="ListParagraph"/>
        <w:spacing w:line="276" w:lineRule="auto"/>
        <w:ind w:left="360"/>
        <w:rPr>
          <w:rFonts w:ascii="Calibri" w:hAnsi="Calibri" w:cs="Calibri"/>
          <w:sz w:val="22"/>
          <w:szCs w:val="22"/>
        </w:rPr>
      </w:pPr>
    </w:p>
    <w:p w14:paraId="344AFBEC" w14:textId="67C2019F" w:rsidR="000B2344" w:rsidRPr="00CF2D87" w:rsidRDefault="000B2344" w:rsidP="000B2344">
      <w:pPr>
        <w:pStyle w:val="ListParagraph"/>
        <w:spacing w:line="276" w:lineRule="auto"/>
        <w:rPr>
          <w:rFonts w:ascii="Calibri" w:hAnsi="Calibri" w:cs="Calibri"/>
          <w:i/>
          <w:sz w:val="22"/>
          <w:szCs w:val="22"/>
        </w:rPr>
      </w:pPr>
      <w:r w:rsidRPr="00CF2D87">
        <w:rPr>
          <w:rFonts w:ascii="Calibri" w:hAnsi="Calibri" w:cs="Calibri"/>
          <w:i/>
          <w:sz w:val="22"/>
          <w:szCs w:val="22"/>
        </w:rPr>
        <w:lastRenderedPageBreak/>
        <w:t>“All that the amended summary summons says is that it specifies the interest rate on 26</w:t>
      </w:r>
      <w:r w:rsidRPr="00CF2D87">
        <w:rPr>
          <w:rFonts w:ascii="Calibri" w:hAnsi="Calibri" w:cs="Calibri"/>
          <w:i/>
          <w:sz w:val="22"/>
          <w:szCs w:val="22"/>
          <w:vertAlign w:val="superscript"/>
        </w:rPr>
        <w:t>th</w:t>
      </w:r>
      <w:r w:rsidRPr="00CF2D87">
        <w:rPr>
          <w:rFonts w:ascii="Calibri" w:hAnsi="Calibri" w:cs="Calibri"/>
          <w:i/>
          <w:sz w:val="22"/>
          <w:szCs w:val="22"/>
        </w:rPr>
        <w:t xml:space="preserve"> </w:t>
      </w:r>
      <w:proofErr w:type="gramStart"/>
      <w:r w:rsidRPr="00CF2D87">
        <w:rPr>
          <w:rFonts w:ascii="Calibri" w:hAnsi="Calibri" w:cs="Calibri"/>
          <w:i/>
          <w:sz w:val="22"/>
          <w:szCs w:val="22"/>
        </w:rPr>
        <w:t>October,</w:t>
      </w:r>
      <w:proofErr w:type="gramEnd"/>
      <w:r w:rsidRPr="00CF2D87">
        <w:rPr>
          <w:rFonts w:ascii="Calibri" w:hAnsi="Calibri" w:cs="Calibri"/>
          <w:i/>
          <w:sz w:val="22"/>
          <w:szCs w:val="22"/>
        </w:rPr>
        <w:t xml:space="preserve"> 2017. It also refers to statements of account although they aren’t expressly identified in the summons. Clarke C.J. in O’Malley refers (at para. 5.6), to the possibility of giving particulars via an “identified” document. </w:t>
      </w:r>
      <w:bookmarkStart w:id="2" w:name="_Hlk99302940"/>
      <w:bookmarkStart w:id="3" w:name="_Hlk103937028"/>
      <w:r w:rsidRPr="00CF2D87">
        <w:rPr>
          <w:rFonts w:ascii="Calibri" w:hAnsi="Calibri" w:cs="Calibri"/>
          <w:i/>
          <w:sz w:val="22"/>
          <w:szCs w:val="22"/>
        </w:rPr>
        <w:t xml:space="preserve">A general plea as set out in the amended summary summons at para. 10, which states </w:t>
      </w:r>
      <w:bookmarkStart w:id="4" w:name="_Hlk101875983"/>
      <w:r w:rsidRPr="00CF2D87">
        <w:rPr>
          <w:rFonts w:ascii="Calibri" w:hAnsi="Calibri" w:cs="Calibri"/>
          <w:i/>
          <w:sz w:val="22"/>
          <w:szCs w:val="22"/>
        </w:rPr>
        <w:t>that “the defendants have been regularly supplied with statements of account …” does not constitute reference to an “identified” document</w:t>
      </w:r>
      <w:bookmarkEnd w:id="2"/>
      <w:r w:rsidRPr="00CF2D87">
        <w:rPr>
          <w:rFonts w:ascii="Calibri" w:hAnsi="Calibri" w:cs="Calibri"/>
          <w:i/>
          <w:sz w:val="22"/>
          <w:szCs w:val="22"/>
        </w:rPr>
        <w:t>.</w:t>
      </w:r>
      <w:bookmarkEnd w:id="3"/>
      <w:bookmarkEnd w:id="4"/>
      <w:r w:rsidRPr="00CF2D87">
        <w:rPr>
          <w:rFonts w:ascii="Calibri" w:hAnsi="Calibri" w:cs="Calibri"/>
          <w:i/>
          <w:sz w:val="22"/>
          <w:szCs w:val="22"/>
        </w:rPr>
        <w:t>”</w:t>
      </w:r>
    </w:p>
    <w:p w14:paraId="3BAF68D2" w14:textId="3A4F9F1C" w:rsidR="000B2344" w:rsidRPr="00CF2D87" w:rsidRDefault="000B2344" w:rsidP="000B2344">
      <w:pPr>
        <w:spacing w:line="276" w:lineRule="auto"/>
        <w:rPr>
          <w:rFonts w:ascii="Calibri" w:hAnsi="Calibri" w:cs="Calibri"/>
          <w:sz w:val="22"/>
          <w:szCs w:val="22"/>
        </w:rPr>
      </w:pPr>
    </w:p>
    <w:p w14:paraId="1B97D4EF" w14:textId="77777777" w:rsidR="00707310" w:rsidRPr="00CF2D87" w:rsidRDefault="00707310" w:rsidP="000B2344">
      <w:pPr>
        <w:spacing w:line="276" w:lineRule="auto"/>
        <w:rPr>
          <w:rFonts w:ascii="Calibri" w:hAnsi="Calibri" w:cs="Calibri"/>
          <w:sz w:val="22"/>
          <w:szCs w:val="22"/>
        </w:rPr>
      </w:pPr>
    </w:p>
    <w:p w14:paraId="5E399951" w14:textId="75A85AEB" w:rsidR="001A1F6B" w:rsidRPr="00CF2D87" w:rsidRDefault="001A1F6B" w:rsidP="00707310">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It seems to me this this passage</w:t>
      </w:r>
      <w:r w:rsidR="00707310" w:rsidRPr="00CF2D87">
        <w:rPr>
          <w:rFonts w:ascii="Calibri" w:hAnsi="Calibri" w:cs="Calibri"/>
          <w:sz w:val="22"/>
          <w:szCs w:val="22"/>
        </w:rPr>
        <w:t>, if it represents the law generally,</w:t>
      </w:r>
      <w:r w:rsidRPr="00CF2D87">
        <w:rPr>
          <w:rFonts w:ascii="Calibri" w:hAnsi="Calibri" w:cs="Calibri"/>
          <w:sz w:val="22"/>
          <w:szCs w:val="22"/>
        </w:rPr>
        <w:t xml:space="preserve"> </w:t>
      </w:r>
      <w:r w:rsidR="00707310" w:rsidRPr="00CF2D87">
        <w:rPr>
          <w:rFonts w:ascii="Calibri" w:hAnsi="Calibri" w:cs="Calibri"/>
          <w:sz w:val="22"/>
          <w:szCs w:val="22"/>
        </w:rPr>
        <w:t>in terms</w:t>
      </w:r>
      <w:r w:rsidRPr="00CF2D87">
        <w:rPr>
          <w:rFonts w:ascii="Calibri" w:hAnsi="Calibri" w:cs="Calibri"/>
          <w:sz w:val="22"/>
          <w:szCs w:val="22"/>
        </w:rPr>
        <w:t xml:space="preserve"> invalidates</w:t>
      </w:r>
      <w:r w:rsidR="00707310" w:rsidRPr="00CF2D87">
        <w:rPr>
          <w:rFonts w:ascii="Calibri" w:hAnsi="Calibri" w:cs="Calibri"/>
          <w:sz w:val="22"/>
          <w:szCs w:val="22"/>
        </w:rPr>
        <w:t xml:space="preserve"> the plea in the present case. </w:t>
      </w:r>
    </w:p>
    <w:p w14:paraId="53552332" w14:textId="77777777" w:rsidR="000B2344" w:rsidRPr="00CF2D87" w:rsidRDefault="000B2344" w:rsidP="000B2344">
      <w:pPr>
        <w:spacing w:line="276" w:lineRule="auto"/>
        <w:rPr>
          <w:rFonts w:ascii="Calibri" w:hAnsi="Calibri" w:cs="Calibri"/>
          <w:sz w:val="22"/>
          <w:szCs w:val="22"/>
        </w:rPr>
      </w:pPr>
    </w:p>
    <w:p w14:paraId="04340604" w14:textId="56B4E2C1" w:rsidR="000B2344" w:rsidRPr="00CF2D87" w:rsidRDefault="000B2344" w:rsidP="000B2344">
      <w:pPr>
        <w:spacing w:line="276" w:lineRule="auto"/>
        <w:rPr>
          <w:rFonts w:ascii="Calibri" w:hAnsi="Calibri" w:cs="Calibri"/>
          <w:sz w:val="22"/>
          <w:szCs w:val="22"/>
        </w:rPr>
      </w:pPr>
    </w:p>
    <w:p w14:paraId="746BE9D7" w14:textId="77777777" w:rsidR="00707310" w:rsidRPr="00CF2D87" w:rsidRDefault="00707310" w:rsidP="000B2344">
      <w:pPr>
        <w:spacing w:line="276" w:lineRule="auto"/>
        <w:rPr>
          <w:rFonts w:ascii="Calibri" w:hAnsi="Calibri" w:cs="Calibri"/>
          <w:sz w:val="22"/>
          <w:szCs w:val="22"/>
        </w:rPr>
      </w:pPr>
    </w:p>
    <w:p w14:paraId="5AD77A8E" w14:textId="42555BB5" w:rsidR="000B2344" w:rsidRPr="00CF2D87" w:rsidRDefault="000B2344" w:rsidP="000B2344">
      <w:pPr>
        <w:pStyle w:val="Heading2"/>
        <w:spacing w:line="276" w:lineRule="auto"/>
        <w:rPr>
          <w:szCs w:val="22"/>
        </w:rPr>
      </w:pPr>
      <w:r w:rsidRPr="00CF2D87">
        <w:rPr>
          <w:szCs w:val="22"/>
        </w:rPr>
        <w:t xml:space="preserve">Distinguishing Havbell &amp; the </w:t>
      </w:r>
      <w:r w:rsidR="00707310" w:rsidRPr="00CF2D87">
        <w:rPr>
          <w:szCs w:val="22"/>
        </w:rPr>
        <w:t>P</w:t>
      </w:r>
      <w:r w:rsidRPr="00CF2D87">
        <w:rPr>
          <w:szCs w:val="22"/>
        </w:rPr>
        <w:t xml:space="preserve">osition on the </w:t>
      </w:r>
      <w:r w:rsidR="00707310" w:rsidRPr="00CF2D87">
        <w:rPr>
          <w:szCs w:val="22"/>
        </w:rPr>
        <w:t>A</w:t>
      </w:r>
      <w:r w:rsidRPr="00CF2D87">
        <w:rPr>
          <w:szCs w:val="22"/>
        </w:rPr>
        <w:t>uthorities</w:t>
      </w:r>
      <w:r w:rsidR="007773A1" w:rsidRPr="00CF2D87">
        <w:rPr>
          <w:szCs w:val="22"/>
        </w:rPr>
        <w:t>.</w:t>
      </w:r>
    </w:p>
    <w:p w14:paraId="17856EC8" w14:textId="77777777" w:rsidR="000B2344" w:rsidRPr="00CF2D87" w:rsidRDefault="000B2344" w:rsidP="000B2344">
      <w:pPr>
        <w:pStyle w:val="ListParagraph"/>
        <w:spacing w:line="276" w:lineRule="auto"/>
        <w:ind w:left="360"/>
        <w:rPr>
          <w:rFonts w:ascii="Calibri" w:hAnsi="Calibri" w:cs="Calibri"/>
          <w:sz w:val="22"/>
          <w:szCs w:val="22"/>
        </w:rPr>
      </w:pPr>
    </w:p>
    <w:p w14:paraId="74F7B649" w14:textId="6842126C"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Counsel for the </w:t>
      </w:r>
      <w:r w:rsidR="00707310" w:rsidRPr="00CF2D87">
        <w:rPr>
          <w:rFonts w:ascii="Calibri" w:hAnsi="Calibri" w:cs="Calibri"/>
          <w:sz w:val="22"/>
          <w:szCs w:val="22"/>
        </w:rPr>
        <w:t>p</w:t>
      </w:r>
      <w:r w:rsidRPr="00CF2D87">
        <w:rPr>
          <w:rFonts w:ascii="Calibri" w:hAnsi="Calibri" w:cs="Calibri"/>
          <w:sz w:val="22"/>
          <w:szCs w:val="22"/>
        </w:rPr>
        <w:t>laintiff sought to distinguish</w:t>
      </w:r>
      <w:r w:rsidRPr="00CF2D87">
        <w:rPr>
          <w:rFonts w:ascii="Calibri" w:hAnsi="Calibri" w:cs="Calibri"/>
          <w:i/>
          <w:sz w:val="22"/>
          <w:szCs w:val="22"/>
        </w:rPr>
        <w:t xml:space="preserve"> Havbell</w:t>
      </w:r>
      <w:r w:rsidRPr="00CF2D87">
        <w:rPr>
          <w:rFonts w:ascii="Calibri" w:hAnsi="Calibri" w:cs="Calibri"/>
          <w:sz w:val="22"/>
          <w:szCs w:val="22"/>
        </w:rPr>
        <w:t xml:space="preserve"> on the basis that the loan </w:t>
      </w:r>
      <w:r w:rsidR="00B463A2" w:rsidRPr="00CF2D87">
        <w:rPr>
          <w:rFonts w:ascii="Calibri" w:hAnsi="Calibri" w:cs="Calibri"/>
          <w:sz w:val="22"/>
          <w:szCs w:val="22"/>
        </w:rPr>
        <w:t xml:space="preserve">in that case </w:t>
      </w:r>
      <w:r w:rsidRPr="00CF2D87">
        <w:rPr>
          <w:rFonts w:ascii="Calibri" w:hAnsi="Calibri" w:cs="Calibri"/>
          <w:sz w:val="22"/>
          <w:szCs w:val="22"/>
        </w:rPr>
        <w:t>had been assigned such that</w:t>
      </w:r>
      <w:r w:rsidR="00B463A2" w:rsidRPr="00CF2D87">
        <w:rPr>
          <w:rFonts w:ascii="Calibri" w:hAnsi="Calibri" w:cs="Calibri"/>
          <w:sz w:val="22"/>
          <w:szCs w:val="22"/>
        </w:rPr>
        <w:t>,</w:t>
      </w:r>
      <w:r w:rsidRPr="00CF2D87">
        <w:rPr>
          <w:rFonts w:ascii="Calibri" w:hAnsi="Calibri" w:cs="Calibri"/>
          <w:sz w:val="22"/>
          <w:szCs w:val="22"/>
        </w:rPr>
        <w:t xml:space="preserve"> whereas later statements presumably issued from Havbell to </w:t>
      </w:r>
      <w:r w:rsidR="00707310" w:rsidRPr="00CF2D87">
        <w:rPr>
          <w:rFonts w:ascii="Calibri" w:hAnsi="Calibri" w:cs="Calibri"/>
          <w:sz w:val="22"/>
          <w:szCs w:val="22"/>
        </w:rPr>
        <w:t>the Harrises</w:t>
      </w:r>
      <w:r w:rsidRPr="00CF2D87">
        <w:rPr>
          <w:rFonts w:ascii="Calibri" w:hAnsi="Calibri" w:cs="Calibri"/>
          <w:sz w:val="22"/>
          <w:szCs w:val="22"/>
        </w:rPr>
        <w:t xml:space="preserve">, earlier statements had issued from Permanent TSB. I confess I was not quite clear why this </w:t>
      </w:r>
      <w:r w:rsidR="00707310" w:rsidRPr="00CF2D87">
        <w:rPr>
          <w:rFonts w:ascii="Calibri" w:hAnsi="Calibri" w:cs="Calibri"/>
          <w:sz w:val="22"/>
          <w:szCs w:val="22"/>
        </w:rPr>
        <w:t xml:space="preserve">distinction </w:t>
      </w:r>
      <w:r w:rsidRPr="00CF2D87">
        <w:rPr>
          <w:rFonts w:ascii="Calibri" w:hAnsi="Calibri" w:cs="Calibri"/>
          <w:sz w:val="22"/>
          <w:szCs w:val="22"/>
        </w:rPr>
        <w:t>was thought to make a difference. I respectfully reject the attempt to distinguish Havbell.</w:t>
      </w:r>
    </w:p>
    <w:p w14:paraId="5E19013C" w14:textId="77777777" w:rsidR="000B2344" w:rsidRPr="00CF2D87" w:rsidRDefault="000B2344" w:rsidP="007773A1">
      <w:pPr>
        <w:spacing w:line="276" w:lineRule="auto"/>
        <w:rPr>
          <w:rFonts w:ascii="Calibri" w:hAnsi="Calibri" w:cs="Calibri"/>
          <w:sz w:val="22"/>
          <w:szCs w:val="22"/>
        </w:rPr>
      </w:pPr>
    </w:p>
    <w:p w14:paraId="0051383D" w14:textId="77777777" w:rsidR="000B2344" w:rsidRPr="00CF2D87" w:rsidRDefault="000B2344" w:rsidP="007773A1">
      <w:pPr>
        <w:spacing w:line="276" w:lineRule="auto"/>
        <w:rPr>
          <w:rFonts w:ascii="Calibri" w:hAnsi="Calibri" w:cs="Calibri"/>
          <w:sz w:val="22"/>
          <w:szCs w:val="22"/>
        </w:rPr>
      </w:pPr>
    </w:p>
    <w:p w14:paraId="46E71CAE" w14:textId="73A94651"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It appears to me that the </w:t>
      </w:r>
      <w:r w:rsidR="00B463A2" w:rsidRPr="00CF2D87">
        <w:rPr>
          <w:rFonts w:ascii="Calibri" w:hAnsi="Calibri" w:cs="Calibri"/>
          <w:sz w:val="22"/>
          <w:szCs w:val="22"/>
        </w:rPr>
        <w:t xml:space="preserve">foregoing </w:t>
      </w:r>
      <w:r w:rsidRPr="00CF2D87">
        <w:rPr>
          <w:rFonts w:ascii="Calibri" w:hAnsi="Calibri" w:cs="Calibri"/>
          <w:sz w:val="22"/>
          <w:szCs w:val="22"/>
        </w:rPr>
        <w:t xml:space="preserve">authorities are at odds on the net question whether it suffices to satisfy </w:t>
      </w:r>
      <w:r w:rsidRPr="00CF2D87">
        <w:rPr>
          <w:rFonts w:ascii="Calibri" w:hAnsi="Calibri" w:cs="Calibri"/>
          <w:i/>
          <w:sz w:val="22"/>
          <w:szCs w:val="22"/>
        </w:rPr>
        <w:t>O’Malley</w:t>
      </w:r>
      <w:r w:rsidRPr="00CF2D87">
        <w:rPr>
          <w:rFonts w:ascii="Calibri" w:hAnsi="Calibri" w:cs="Calibri"/>
          <w:sz w:val="22"/>
          <w:szCs w:val="22"/>
        </w:rPr>
        <w:t xml:space="preserve"> requirements as to particulars of calculation of the sum claimed </w:t>
      </w:r>
      <w:r w:rsidR="00B463A2" w:rsidRPr="00CF2D87">
        <w:rPr>
          <w:rFonts w:ascii="Calibri" w:hAnsi="Calibri" w:cs="Calibri"/>
          <w:sz w:val="22"/>
          <w:szCs w:val="22"/>
        </w:rPr>
        <w:t>to incorporate by reference in the Indorsement of claim</w:t>
      </w:r>
      <w:r w:rsidRPr="00CF2D87">
        <w:rPr>
          <w:rFonts w:ascii="Calibri" w:hAnsi="Calibri" w:cs="Calibri"/>
          <w:sz w:val="22"/>
          <w:szCs w:val="22"/>
        </w:rPr>
        <w:t xml:space="preserve"> </w:t>
      </w:r>
      <w:r w:rsidR="00B463A2" w:rsidRPr="00CF2D87">
        <w:rPr>
          <w:rFonts w:ascii="Calibri" w:hAnsi="Calibri" w:cs="Calibri"/>
          <w:sz w:val="22"/>
          <w:szCs w:val="22"/>
        </w:rPr>
        <w:t>s</w:t>
      </w:r>
      <w:r w:rsidRPr="00CF2D87">
        <w:rPr>
          <w:rFonts w:ascii="Calibri" w:hAnsi="Calibri" w:cs="Calibri"/>
          <w:sz w:val="22"/>
          <w:szCs w:val="22"/>
        </w:rPr>
        <w:t xml:space="preserve">tatements provided from time to time in the ordinary administration of the loan in question: Hayden </w:t>
      </w:r>
      <w:r w:rsidR="00707310" w:rsidRPr="00CF2D87">
        <w:rPr>
          <w:rFonts w:ascii="Calibri" w:hAnsi="Calibri" w:cs="Calibri"/>
          <w:sz w:val="22"/>
          <w:szCs w:val="22"/>
        </w:rPr>
        <w:t xml:space="preserve">says yes; Havbell says no; </w:t>
      </w:r>
      <w:r w:rsidRPr="00CF2D87">
        <w:rPr>
          <w:rFonts w:ascii="Calibri" w:hAnsi="Calibri" w:cs="Calibri"/>
          <w:sz w:val="22"/>
          <w:szCs w:val="22"/>
        </w:rPr>
        <w:t xml:space="preserve">Ahern </w:t>
      </w:r>
      <w:r w:rsidR="00707310" w:rsidRPr="00CF2D87">
        <w:rPr>
          <w:rFonts w:ascii="Calibri" w:hAnsi="Calibri" w:cs="Calibri"/>
          <w:sz w:val="22"/>
          <w:szCs w:val="22"/>
        </w:rPr>
        <w:t xml:space="preserve">is unclear, though that is no criticism of the judgment – it is merely an artefact of how that case was argued. </w:t>
      </w:r>
      <w:r w:rsidRPr="00CF2D87">
        <w:rPr>
          <w:rFonts w:ascii="Calibri" w:hAnsi="Calibri" w:cs="Calibri"/>
          <w:sz w:val="22"/>
          <w:szCs w:val="22"/>
        </w:rPr>
        <w:t xml:space="preserve">I consider it open to me to follow either line of authority </w:t>
      </w:r>
      <w:proofErr w:type="gramStart"/>
      <w:r w:rsidRPr="00CF2D87">
        <w:rPr>
          <w:rFonts w:ascii="Calibri" w:hAnsi="Calibri" w:cs="Calibri"/>
          <w:sz w:val="22"/>
          <w:szCs w:val="22"/>
        </w:rPr>
        <w:t>and</w:t>
      </w:r>
      <w:proofErr w:type="gramEnd"/>
      <w:r w:rsidRPr="00CF2D87">
        <w:rPr>
          <w:rFonts w:ascii="Calibri" w:hAnsi="Calibri" w:cs="Calibri"/>
          <w:sz w:val="22"/>
          <w:szCs w:val="22"/>
        </w:rPr>
        <w:t xml:space="preserve"> </w:t>
      </w:r>
      <w:r w:rsidR="00B463A2" w:rsidRPr="00CF2D87">
        <w:rPr>
          <w:rFonts w:ascii="Calibri" w:hAnsi="Calibri" w:cs="Calibri"/>
          <w:sz w:val="22"/>
          <w:szCs w:val="22"/>
        </w:rPr>
        <w:t xml:space="preserve">that </w:t>
      </w:r>
      <w:r w:rsidRPr="00CF2D87">
        <w:rPr>
          <w:rFonts w:ascii="Calibri" w:hAnsi="Calibri" w:cs="Calibri"/>
          <w:sz w:val="22"/>
          <w:szCs w:val="22"/>
        </w:rPr>
        <w:t>to choose between them the best course is to return to O’Malley.</w:t>
      </w:r>
    </w:p>
    <w:p w14:paraId="2B44129C" w14:textId="77777777" w:rsidR="000B2344" w:rsidRPr="00CF2D87" w:rsidRDefault="000B2344" w:rsidP="000B2344">
      <w:pPr>
        <w:spacing w:line="276" w:lineRule="auto"/>
        <w:rPr>
          <w:rFonts w:ascii="Calibri" w:hAnsi="Calibri" w:cs="Calibri"/>
          <w:sz w:val="22"/>
          <w:szCs w:val="22"/>
        </w:rPr>
      </w:pPr>
    </w:p>
    <w:p w14:paraId="6D8AB2E6" w14:textId="77777777" w:rsidR="000B2344" w:rsidRPr="00CF2D87" w:rsidRDefault="000B2344" w:rsidP="000B2344">
      <w:pPr>
        <w:spacing w:line="276" w:lineRule="auto"/>
        <w:rPr>
          <w:rFonts w:ascii="Calibri" w:hAnsi="Calibri" w:cs="Calibri"/>
          <w:sz w:val="22"/>
          <w:szCs w:val="22"/>
        </w:rPr>
      </w:pPr>
    </w:p>
    <w:p w14:paraId="7CFE25A6" w14:textId="77777777" w:rsidR="000B2344" w:rsidRPr="00CF2D87" w:rsidRDefault="000B2344" w:rsidP="000B2344">
      <w:pPr>
        <w:spacing w:line="276" w:lineRule="auto"/>
        <w:rPr>
          <w:rFonts w:ascii="Calibri" w:hAnsi="Calibri" w:cs="Calibri"/>
          <w:sz w:val="22"/>
          <w:szCs w:val="22"/>
        </w:rPr>
      </w:pPr>
    </w:p>
    <w:p w14:paraId="3CF75A80" w14:textId="77777777" w:rsidR="000B2344" w:rsidRPr="00CF2D87" w:rsidRDefault="000B2344" w:rsidP="000B2344">
      <w:pPr>
        <w:pStyle w:val="Heading2"/>
        <w:spacing w:line="276" w:lineRule="auto"/>
        <w:rPr>
          <w:szCs w:val="22"/>
        </w:rPr>
      </w:pPr>
      <w:r w:rsidRPr="00CF2D87">
        <w:rPr>
          <w:szCs w:val="22"/>
        </w:rPr>
        <w:t>Current Practice &amp; the Facts in this Case</w:t>
      </w:r>
    </w:p>
    <w:p w14:paraId="7857AA73" w14:textId="77777777" w:rsidR="000B2344" w:rsidRPr="00CF2D87" w:rsidRDefault="000B2344" w:rsidP="007773A1">
      <w:pPr>
        <w:spacing w:line="276" w:lineRule="auto"/>
        <w:rPr>
          <w:rFonts w:ascii="Calibri" w:hAnsi="Calibri" w:cs="Calibri"/>
          <w:sz w:val="22"/>
          <w:szCs w:val="22"/>
        </w:rPr>
      </w:pPr>
    </w:p>
    <w:p w14:paraId="563308B2" w14:textId="67238406" w:rsidR="00B463A2" w:rsidRPr="00CF2D87" w:rsidRDefault="00B463A2"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Before I do so i</w:t>
      </w:r>
      <w:r w:rsidR="000B2344" w:rsidRPr="00CF2D87">
        <w:rPr>
          <w:rFonts w:ascii="Calibri" w:hAnsi="Calibri" w:cs="Calibri"/>
          <w:sz w:val="22"/>
          <w:szCs w:val="22"/>
        </w:rPr>
        <w:t>t seems not unreasonable to note that, as counsel for the Plaintiff accepted</w:t>
      </w:r>
      <w:r w:rsidRPr="00CF2D87">
        <w:rPr>
          <w:rFonts w:ascii="Calibri" w:hAnsi="Calibri" w:cs="Calibri"/>
          <w:sz w:val="22"/>
          <w:szCs w:val="22"/>
        </w:rPr>
        <w:t xml:space="preserve"> and as I have recorded above</w:t>
      </w:r>
      <w:r w:rsidR="000B2344" w:rsidRPr="00CF2D87">
        <w:rPr>
          <w:rFonts w:ascii="Calibri" w:hAnsi="Calibri" w:cs="Calibri"/>
          <w:sz w:val="22"/>
          <w:szCs w:val="22"/>
        </w:rPr>
        <w:t xml:space="preserve">, the current practice on foot of the O’Malley requirements is that shortly prior to the issuing of the summons, often with the last demand for payment before action, the </w:t>
      </w:r>
      <w:r w:rsidR="00707310" w:rsidRPr="00CF2D87">
        <w:rPr>
          <w:rFonts w:ascii="Calibri" w:hAnsi="Calibri" w:cs="Calibri"/>
          <w:sz w:val="22"/>
          <w:szCs w:val="22"/>
        </w:rPr>
        <w:t>p</w:t>
      </w:r>
      <w:r w:rsidR="000B2344" w:rsidRPr="00CF2D87">
        <w:rPr>
          <w:rFonts w:ascii="Calibri" w:hAnsi="Calibri" w:cs="Calibri"/>
          <w:sz w:val="22"/>
          <w:szCs w:val="22"/>
        </w:rPr>
        <w:t xml:space="preserve">laintiff bank sends the </w:t>
      </w:r>
      <w:r w:rsidR="00707310" w:rsidRPr="00CF2D87">
        <w:rPr>
          <w:rFonts w:ascii="Calibri" w:hAnsi="Calibri" w:cs="Calibri"/>
          <w:sz w:val="22"/>
          <w:szCs w:val="22"/>
        </w:rPr>
        <w:t>intended d</w:t>
      </w:r>
      <w:r w:rsidR="000B2344" w:rsidRPr="00CF2D87">
        <w:rPr>
          <w:rFonts w:ascii="Calibri" w:hAnsi="Calibri" w:cs="Calibri"/>
          <w:sz w:val="22"/>
          <w:szCs w:val="22"/>
        </w:rPr>
        <w:t>efendant a complete set of statements of the account from drawdown. Those statements record all transactions on the account including each application of interest and each change in the rate of interest. These statements combine to “</w:t>
      </w:r>
      <w:r w:rsidR="000B2344" w:rsidRPr="00CF2D87">
        <w:rPr>
          <w:rFonts w:ascii="Calibri" w:hAnsi="Calibri" w:cs="Calibri"/>
          <w:i/>
          <w:sz w:val="22"/>
          <w:szCs w:val="22"/>
        </w:rPr>
        <w:t>put a debtor in a position where on an individualised basis he or she may see where perhaps a mistake has been made or where interest may have been overcharged or penalties may have been misapplied”</w:t>
      </w:r>
      <w:r w:rsidR="000B2344" w:rsidRPr="00CF2D87">
        <w:rPr>
          <w:rFonts w:ascii="Calibri" w:hAnsi="Calibri" w:cs="Calibri"/>
          <w:sz w:val="22"/>
          <w:szCs w:val="22"/>
        </w:rPr>
        <w:t xml:space="preserve"> as Charleton J said in </w:t>
      </w:r>
      <w:r w:rsidR="000B2344" w:rsidRPr="00CF2D87">
        <w:rPr>
          <w:rFonts w:ascii="Calibri" w:hAnsi="Calibri" w:cs="Calibri"/>
          <w:i/>
          <w:sz w:val="22"/>
          <w:szCs w:val="22"/>
        </w:rPr>
        <w:t>Fergus</w:t>
      </w:r>
      <w:r w:rsidR="000B2344" w:rsidRPr="00CF2D87">
        <w:rPr>
          <w:rFonts w:ascii="Calibri" w:hAnsi="Calibri" w:cs="Calibri"/>
          <w:sz w:val="22"/>
          <w:szCs w:val="22"/>
        </w:rPr>
        <w:t xml:space="preserve">. It is no burden on the </w:t>
      </w:r>
      <w:r w:rsidR="00707310" w:rsidRPr="00CF2D87">
        <w:rPr>
          <w:rFonts w:ascii="Calibri" w:hAnsi="Calibri" w:cs="Calibri"/>
          <w:sz w:val="22"/>
          <w:szCs w:val="22"/>
        </w:rPr>
        <w:t>p</w:t>
      </w:r>
      <w:r w:rsidR="000B2344" w:rsidRPr="00CF2D87">
        <w:rPr>
          <w:rFonts w:ascii="Calibri" w:hAnsi="Calibri" w:cs="Calibri"/>
          <w:sz w:val="22"/>
          <w:szCs w:val="22"/>
        </w:rPr>
        <w:t>laintiff</w:t>
      </w:r>
      <w:r w:rsidR="00707310" w:rsidRPr="00CF2D87">
        <w:rPr>
          <w:rFonts w:ascii="Calibri" w:hAnsi="Calibri" w:cs="Calibri"/>
          <w:sz w:val="22"/>
          <w:szCs w:val="22"/>
        </w:rPr>
        <w:t xml:space="preserve"> bank</w:t>
      </w:r>
      <w:r w:rsidR="000B2344" w:rsidRPr="00CF2D87">
        <w:rPr>
          <w:rFonts w:ascii="Calibri" w:hAnsi="Calibri" w:cs="Calibri"/>
          <w:sz w:val="22"/>
          <w:szCs w:val="22"/>
        </w:rPr>
        <w:t xml:space="preserve"> to do so as it will, as a matter of course in the ordinary conduct of its banking business, maintain such records on its books and can as readily produce them to the Debtor prior to the issue of the summons in order to plead them by reference </w:t>
      </w:r>
      <w:r w:rsidR="000B2344" w:rsidRPr="00CF2D87">
        <w:rPr>
          <w:rFonts w:ascii="Calibri" w:hAnsi="Calibri" w:cs="Calibri"/>
          <w:sz w:val="22"/>
          <w:szCs w:val="22"/>
        </w:rPr>
        <w:lastRenderedPageBreak/>
        <w:t>in the summons, as it can, as it will be required to do in any event to get judgment, exhibit them in its affidavit seeking judgment.</w:t>
      </w:r>
    </w:p>
    <w:p w14:paraId="7EE16582" w14:textId="77777777" w:rsidR="00B463A2" w:rsidRPr="00CF2D87" w:rsidRDefault="00B463A2" w:rsidP="00B463A2">
      <w:pPr>
        <w:pStyle w:val="ListParagraph"/>
        <w:spacing w:line="276" w:lineRule="auto"/>
        <w:ind w:left="0"/>
        <w:rPr>
          <w:rFonts w:ascii="Calibri" w:hAnsi="Calibri" w:cs="Calibri"/>
          <w:sz w:val="22"/>
          <w:szCs w:val="22"/>
        </w:rPr>
      </w:pPr>
    </w:p>
    <w:p w14:paraId="28002C0E" w14:textId="77777777" w:rsidR="00B463A2" w:rsidRPr="00CF2D87" w:rsidRDefault="00B463A2" w:rsidP="00B463A2">
      <w:pPr>
        <w:pStyle w:val="ListParagraph"/>
        <w:spacing w:line="276" w:lineRule="auto"/>
        <w:ind w:left="0"/>
        <w:rPr>
          <w:rFonts w:ascii="Calibri" w:hAnsi="Calibri" w:cs="Calibri"/>
          <w:sz w:val="22"/>
          <w:szCs w:val="22"/>
        </w:rPr>
      </w:pPr>
    </w:p>
    <w:p w14:paraId="29A6EA6E" w14:textId="564A92DA"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Of course</w:t>
      </w:r>
      <w:r w:rsidR="00707310" w:rsidRPr="00CF2D87">
        <w:rPr>
          <w:rFonts w:ascii="Calibri" w:hAnsi="Calibri" w:cs="Calibri"/>
          <w:sz w:val="22"/>
          <w:szCs w:val="22"/>
        </w:rPr>
        <w:t>,</w:t>
      </w:r>
      <w:r w:rsidRPr="00CF2D87">
        <w:rPr>
          <w:rFonts w:ascii="Calibri" w:hAnsi="Calibri" w:cs="Calibri"/>
          <w:sz w:val="22"/>
          <w:szCs w:val="22"/>
        </w:rPr>
        <w:t xml:space="preserve"> that the foregoing is now standard practice does not of itself imply that </w:t>
      </w:r>
      <w:r w:rsidR="00B463A2" w:rsidRPr="00CF2D87">
        <w:rPr>
          <w:rFonts w:ascii="Calibri" w:hAnsi="Calibri" w:cs="Calibri"/>
          <w:sz w:val="22"/>
          <w:szCs w:val="22"/>
        </w:rPr>
        <w:t xml:space="preserve">it is </w:t>
      </w:r>
      <w:r w:rsidR="00707310" w:rsidRPr="00CF2D87">
        <w:rPr>
          <w:rFonts w:ascii="Calibri" w:hAnsi="Calibri" w:cs="Calibri"/>
          <w:sz w:val="22"/>
          <w:szCs w:val="22"/>
        </w:rPr>
        <w:t xml:space="preserve">a </w:t>
      </w:r>
      <w:r w:rsidR="00B463A2" w:rsidRPr="00CF2D87">
        <w:rPr>
          <w:rFonts w:ascii="Calibri" w:hAnsi="Calibri" w:cs="Calibri"/>
          <w:sz w:val="22"/>
          <w:szCs w:val="22"/>
        </w:rPr>
        <w:t xml:space="preserve">necessary </w:t>
      </w:r>
      <w:r w:rsidR="00707310" w:rsidRPr="00CF2D87">
        <w:rPr>
          <w:rFonts w:ascii="Calibri" w:hAnsi="Calibri" w:cs="Calibri"/>
          <w:sz w:val="22"/>
          <w:szCs w:val="22"/>
        </w:rPr>
        <w:t xml:space="preserve">practice </w:t>
      </w:r>
      <w:r w:rsidR="00B463A2" w:rsidRPr="00CF2D87">
        <w:rPr>
          <w:rFonts w:ascii="Calibri" w:hAnsi="Calibri" w:cs="Calibri"/>
          <w:sz w:val="22"/>
          <w:szCs w:val="22"/>
        </w:rPr>
        <w:t xml:space="preserve">or that </w:t>
      </w:r>
      <w:r w:rsidRPr="00CF2D87">
        <w:rPr>
          <w:rFonts w:ascii="Calibri" w:hAnsi="Calibri" w:cs="Calibri"/>
          <w:sz w:val="22"/>
          <w:szCs w:val="22"/>
        </w:rPr>
        <w:t>other practices will not also suffice</w:t>
      </w:r>
      <w:r w:rsidR="00707310" w:rsidRPr="00CF2D87">
        <w:rPr>
          <w:rFonts w:ascii="Calibri" w:hAnsi="Calibri" w:cs="Calibri"/>
          <w:sz w:val="22"/>
          <w:szCs w:val="22"/>
        </w:rPr>
        <w:t>.</w:t>
      </w:r>
      <w:r w:rsidRPr="00CF2D87">
        <w:rPr>
          <w:rFonts w:ascii="Calibri" w:hAnsi="Calibri" w:cs="Calibri"/>
          <w:sz w:val="22"/>
          <w:szCs w:val="22"/>
        </w:rPr>
        <w:t xml:space="preserve"> </w:t>
      </w:r>
      <w:r w:rsidR="00707310" w:rsidRPr="00CF2D87">
        <w:rPr>
          <w:rFonts w:ascii="Calibri" w:hAnsi="Calibri" w:cs="Calibri"/>
          <w:sz w:val="22"/>
          <w:szCs w:val="22"/>
        </w:rPr>
        <w:t>B</w:t>
      </w:r>
      <w:r w:rsidRPr="00CF2D87">
        <w:rPr>
          <w:rFonts w:ascii="Calibri" w:hAnsi="Calibri" w:cs="Calibri"/>
          <w:sz w:val="22"/>
          <w:szCs w:val="22"/>
        </w:rPr>
        <w:t>ut it is useful to observe that the practice commonly adopted imposes no great burden on the Plaintiff.</w:t>
      </w:r>
    </w:p>
    <w:p w14:paraId="037C5388" w14:textId="77777777" w:rsidR="000B2344" w:rsidRPr="00CF2D87" w:rsidRDefault="000B2344" w:rsidP="007773A1">
      <w:pPr>
        <w:spacing w:line="276" w:lineRule="auto"/>
        <w:rPr>
          <w:rFonts w:ascii="Calibri" w:hAnsi="Calibri" w:cs="Calibri"/>
          <w:sz w:val="22"/>
          <w:szCs w:val="22"/>
        </w:rPr>
      </w:pPr>
    </w:p>
    <w:p w14:paraId="539D4C84" w14:textId="77777777" w:rsidR="000B2344" w:rsidRPr="00CF2D87" w:rsidRDefault="000B2344" w:rsidP="007773A1">
      <w:pPr>
        <w:spacing w:line="276" w:lineRule="auto"/>
        <w:rPr>
          <w:rFonts w:ascii="Calibri" w:hAnsi="Calibri" w:cs="Calibri"/>
          <w:sz w:val="22"/>
          <w:szCs w:val="22"/>
        </w:rPr>
      </w:pPr>
    </w:p>
    <w:p w14:paraId="548D4210" w14:textId="7A82642B" w:rsidR="00B463A2"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Though I do not see that my decision is highly particular to the facts of this case, nonetheless the facts provide a good illustration of my reasons underlying it. The two loans in this case were made in 2008. The summons was served in September 2020 – </w:t>
      </w:r>
      <w:r w:rsidR="00707310" w:rsidRPr="00CF2D87">
        <w:rPr>
          <w:rFonts w:ascii="Calibri" w:hAnsi="Calibri" w:cs="Calibri"/>
          <w:sz w:val="22"/>
          <w:szCs w:val="22"/>
        </w:rPr>
        <w:t xml:space="preserve">about </w:t>
      </w:r>
      <w:r w:rsidRPr="00CF2D87">
        <w:rPr>
          <w:rFonts w:ascii="Calibri" w:hAnsi="Calibri" w:cs="Calibri"/>
          <w:sz w:val="22"/>
          <w:szCs w:val="22"/>
        </w:rPr>
        <w:t xml:space="preserve">twelve years later. What is pressed on me by the Plaintiff, in effect, is that it is reasonable to </w:t>
      </w:r>
      <w:r w:rsidR="00F41C31" w:rsidRPr="00CF2D87">
        <w:rPr>
          <w:rFonts w:ascii="Calibri" w:hAnsi="Calibri" w:cs="Calibri"/>
          <w:sz w:val="22"/>
          <w:szCs w:val="22"/>
        </w:rPr>
        <w:t>assume</w:t>
      </w:r>
      <w:r w:rsidRPr="00CF2D87">
        <w:rPr>
          <w:rFonts w:ascii="Calibri" w:hAnsi="Calibri" w:cs="Calibri"/>
          <w:sz w:val="22"/>
          <w:szCs w:val="22"/>
        </w:rPr>
        <w:t xml:space="preserve"> of the Defendant that he will over those 12 years </w:t>
      </w:r>
      <w:r w:rsidR="00F41C31" w:rsidRPr="00CF2D87">
        <w:rPr>
          <w:rFonts w:ascii="Calibri" w:hAnsi="Calibri" w:cs="Calibri"/>
          <w:sz w:val="22"/>
          <w:szCs w:val="22"/>
        </w:rPr>
        <w:t xml:space="preserve">since 2008 </w:t>
      </w:r>
      <w:r w:rsidRPr="00CF2D87">
        <w:rPr>
          <w:rFonts w:ascii="Calibri" w:hAnsi="Calibri" w:cs="Calibri"/>
          <w:sz w:val="22"/>
          <w:szCs w:val="22"/>
        </w:rPr>
        <w:t xml:space="preserve">safely and effectively have preserved the </w:t>
      </w:r>
      <w:r w:rsidR="00B463A2" w:rsidRPr="00CF2D87">
        <w:rPr>
          <w:rFonts w:ascii="Calibri" w:hAnsi="Calibri" w:cs="Calibri"/>
          <w:sz w:val="22"/>
          <w:szCs w:val="22"/>
        </w:rPr>
        <w:t>ban</w:t>
      </w:r>
      <w:r w:rsidR="00045FBD" w:rsidRPr="00CF2D87">
        <w:rPr>
          <w:rFonts w:ascii="Calibri" w:hAnsi="Calibri" w:cs="Calibri"/>
          <w:sz w:val="22"/>
          <w:szCs w:val="22"/>
        </w:rPr>
        <w:t>k</w:t>
      </w:r>
      <w:r w:rsidR="00B463A2" w:rsidRPr="00CF2D87">
        <w:rPr>
          <w:rFonts w:ascii="Calibri" w:hAnsi="Calibri" w:cs="Calibri"/>
          <w:sz w:val="22"/>
          <w:szCs w:val="22"/>
        </w:rPr>
        <w:t xml:space="preserve"> </w:t>
      </w:r>
      <w:r w:rsidRPr="00CF2D87">
        <w:rPr>
          <w:rFonts w:ascii="Calibri" w:hAnsi="Calibri" w:cs="Calibri"/>
          <w:sz w:val="22"/>
          <w:szCs w:val="22"/>
        </w:rPr>
        <w:t xml:space="preserve">statements </w:t>
      </w:r>
      <w:r w:rsidR="00F41C31" w:rsidRPr="00CF2D87">
        <w:rPr>
          <w:rFonts w:ascii="Calibri" w:hAnsi="Calibri" w:cs="Calibri"/>
          <w:sz w:val="22"/>
          <w:szCs w:val="22"/>
        </w:rPr>
        <w:t xml:space="preserve">issued </w:t>
      </w:r>
      <w:r w:rsidRPr="00CF2D87">
        <w:rPr>
          <w:rFonts w:ascii="Calibri" w:hAnsi="Calibri" w:cs="Calibri"/>
          <w:sz w:val="22"/>
          <w:szCs w:val="22"/>
        </w:rPr>
        <w:t xml:space="preserve">in both accounts from time to time – it seems generally annually but some statements are dated to shorter intervals – such that they will effectively serve as particulars which he will have been able to consult on receipt of the summons </w:t>
      </w:r>
      <w:r w:rsidR="00F41C31" w:rsidRPr="00CF2D87">
        <w:rPr>
          <w:rFonts w:ascii="Calibri" w:hAnsi="Calibri" w:cs="Calibri"/>
          <w:sz w:val="22"/>
          <w:szCs w:val="22"/>
        </w:rPr>
        <w:t xml:space="preserve">in 2020 </w:t>
      </w:r>
      <w:r w:rsidRPr="00CF2D87">
        <w:rPr>
          <w:rFonts w:ascii="Calibri" w:hAnsi="Calibri" w:cs="Calibri"/>
          <w:sz w:val="22"/>
          <w:szCs w:val="22"/>
        </w:rPr>
        <w:t>to check “</w:t>
      </w:r>
      <w:r w:rsidRPr="00CF2D87">
        <w:rPr>
          <w:rFonts w:ascii="Calibri" w:hAnsi="Calibri" w:cs="Calibri"/>
          <w:i/>
          <w:sz w:val="22"/>
          <w:szCs w:val="22"/>
        </w:rPr>
        <w:t>where perhaps a mistake has been made or where interest may have been overcharged or penalties may have been misapplied”.</w:t>
      </w:r>
    </w:p>
    <w:p w14:paraId="4A2C3F0C" w14:textId="77777777" w:rsidR="00B463A2" w:rsidRPr="00CF2D87" w:rsidRDefault="00B463A2" w:rsidP="00B463A2">
      <w:pPr>
        <w:pStyle w:val="ListParagraph"/>
        <w:spacing w:line="276" w:lineRule="auto"/>
        <w:ind w:left="0"/>
        <w:rPr>
          <w:rFonts w:ascii="Calibri" w:hAnsi="Calibri" w:cs="Calibri"/>
          <w:sz w:val="22"/>
          <w:szCs w:val="22"/>
        </w:rPr>
      </w:pPr>
    </w:p>
    <w:p w14:paraId="1E7B8408" w14:textId="77777777" w:rsidR="00B463A2" w:rsidRPr="00CF2D87" w:rsidRDefault="00B463A2" w:rsidP="00B463A2">
      <w:pPr>
        <w:pStyle w:val="ListParagraph"/>
        <w:spacing w:line="276" w:lineRule="auto"/>
        <w:ind w:left="0"/>
        <w:rPr>
          <w:rFonts w:ascii="Calibri" w:hAnsi="Calibri" w:cs="Calibri"/>
          <w:sz w:val="22"/>
          <w:szCs w:val="22"/>
        </w:rPr>
      </w:pPr>
    </w:p>
    <w:p w14:paraId="0384E420" w14:textId="4E7EECA8"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As exhibited</w:t>
      </w:r>
      <w:r w:rsidR="00B463A2" w:rsidRPr="00CF2D87">
        <w:rPr>
          <w:rFonts w:ascii="Calibri" w:hAnsi="Calibri" w:cs="Calibri"/>
          <w:sz w:val="22"/>
          <w:szCs w:val="22"/>
        </w:rPr>
        <w:t>,</w:t>
      </w:r>
      <w:r w:rsidRPr="00CF2D87">
        <w:rPr>
          <w:rFonts w:ascii="Calibri" w:hAnsi="Calibri" w:cs="Calibri"/>
          <w:sz w:val="22"/>
          <w:szCs w:val="22"/>
        </w:rPr>
        <w:t xml:space="preserve"> the statements run to 72 pages. It is entirely reasonable to expect a bank to maintain its records effectively and carefully. In a perfect world </w:t>
      </w:r>
      <w:proofErr w:type="gramStart"/>
      <w:r w:rsidRPr="00CF2D87">
        <w:rPr>
          <w:rFonts w:ascii="Calibri" w:hAnsi="Calibri" w:cs="Calibri"/>
          <w:sz w:val="22"/>
          <w:szCs w:val="22"/>
        </w:rPr>
        <w:t>debtors</w:t>
      </w:r>
      <w:proofErr w:type="gramEnd"/>
      <w:r w:rsidRPr="00CF2D87">
        <w:rPr>
          <w:rFonts w:ascii="Calibri" w:hAnsi="Calibri" w:cs="Calibri"/>
          <w:sz w:val="22"/>
          <w:szCs w:val="22"/>
        </w:rPr>
        <w:t xml:space="preserve"> would do so also. Many debtors no doubt </w:t>
      </w:r>
      <w:proofErr w:type="gramStart"/>
      <w:r w:rsidRPr="00CF2D87">
        <w:rPr>
          <w:rFonts w:ascii="Calibri" w:hAnsi="Calibri" w:cs="Calibri"/>
          <w:sz w:val="22"/>
          <w:szCs w:val="22"/>
        </w:rPr>
        <w:t>do</w:t>
      </w:r>
      <w:proofErr w:type="gramEnd"/>
      <w:r w:rsidRPr="00CF2D87">
        <w:rPr>
          <w:rFonts w:ascii="Calibri" w:hAnsi="Calibri" w:cs="Calibri"/>
          <w:sz w:val="22"/>
          <w:szCs w:val="22"/>
        </w:rPr>
        <w:t xml:space="preserve">. </w:t>
      </w:r>
      <w:r w:rsidR="00FC3AA9" w:rsidRPr="00CF2D87">
        <w:rPr>
          <w:rFonts w:ascii="Calibri" w:hAnsi="Calibri" w:cs="Calibri"/>
          <w:sz w:val="22"/>
          <w:szCs w:val="22"/>
        </w:rPr>
        <w:t>Some, or more than some, debtors will be able readily to access a decade</w:t>
      </w:r>
      <w:r w:rsidR="008D00E0" w:rsidRPr="00CF2D87">
        <w:rPr>
          <w:rFonts w:ascii="Calibri" w:hAnsi="Calibri" w:cs="Calibri"/>
          <w:sz w:val="22"/>
          <w:szCs w:val="22"/>
        </w:rPr>
        <w:t>,</w:t>
      </w:r>
      <w:r w:rsidR="00FC3AA9" w:rsidRPr="00CF2D87">
        <w:rPr>
          <w:rFonts w:ascii="Calibri" w:hAnsi="Calibri" w:cs="Calibri"/>
          <w:sz w:val="22"/>
          <w:szCs w:val="22"/>
        </w:rPr>
        <w:t xml:space="preserve"> or </w:t>
      </w:r>
      <w:r w:rsidR="008D00E0" w:rsidRPr="00CF2D87">
        <w:rPr>
          <w:rFonts w:ascii="Calibri" w:hAnsi="Calibri" w:cs="Calibri"/>
          <w:sz w:val="22"/>
          <w:szCs w:val="22"/>
        </w:rPr>
        <w:t>even</w:t>
      </w:r>
      <w:r w:rsidR="00FC3AA9" w:rsidRPr="00CF2D87">
        <w:rPr>
          <w:rFonts w:ascii="Calibri" w:hAnsi="Calibri" w:cs="Calibri"/>
          <w:sz w:val="22"/>
          <w:szCs w:val="22"/>
        </w:rPr>
        <w:t xml:space="preserve"> many more years</w:t>
      </w:r>
      <w:r w:rsidR="008D00E0" w:rsidRPr="00CF2D87">
        <w:rPr>
          <w:rFonts w:ascii="Calibri" w:hAnsi="Calibri" w:cs="Calibri"/>
          <w:sz w:val="22"/>
          <w:szCs w:val="22"/>
        </w:rPr>
        <w:t>,</w:t>
      </w:r>
      <w:r w:rsidR="00FC3AA9" w:rsidRPr="00CF2D87">
        <w:rPr>
          <w:rFonts w:ascii="Calibri" w:hAnsi="Calibri" w:cs="Calibri"/>
          <w:sz w:val="22"/>
          <w:szCs w:val="22"/>
        </w:rPr>
        <w:t xml:space="preserve"> of bank statements. </w:t>
      </w:r>
      <w:r w:rsidRPr="00CF2D87">
        <w:rPr>
          <w:rFonts w:ascii="Calibri" w:hAnsi="Calibri" w:cs="Calibri"/>
          <w:sz w:val="22"/>
          <w:szCs w:val="22"/>
        </w:rPr>
        <w:t xml:space="preserve">But it does not take much appreciation of human nature and the vagaries of life to know that often, and for many and varied reasons, </w:t>
      </w:r>
      <w:r w:rsidR="00B463A2" w:rsidRPr="00CF2D87">
        <w:rPr>
          <w:rFonts w:ascii="Calibri" w:hAnsi="Calibri" w:cs="Calibri"/>
          <w:sz w:val="22"/>
          <w:szCs w:val="22"/>
        </w:rPr>
        <w:t xml:space="preserve">some good, some less so, </w:t>
      </w:r>
      <w:r w:rsidRPr="00CF2D87">
        <w:rPr>
          <w:rFonts w:ascii="Calibri" w:hAnsi="Calibri" w:cs="Calibri"/>
          <w:sz w:val="22"/>
          <w:szCs w:val="22"/>
        </w:rPr>
        <w:t xml:space="preserve">that does not occur. Some people are just careless or bad at “paperwork”. Others lose documents </w:t>
      </w:r>
      <w:r w:rsidR="00803377" w:rsidRPr="00CF2D87">
        <w:rPr>
          <w:rFonts w:ascii="Calibri" w:hAnsi="Calibri" w:cs="Calibri"/>
          <w:sz w:val="22"/>
          <w:szCs w:val="22"/>
        </w:rPr>
        <w:t xml:space="preserve">when </w:t>
      </w:r>
      <w:r w:rsidRPr="00CF2D87">
        <w:rPr>
          <w:rFonts w:ascii="Calibri" w:hAnsi="Calibri" w:cs="Calibri"/>
          <w:sz w:val="22"/>
          <w:szCs w:val="22"/>
        </w:rPr>
        <w:t>moving house. Others again fall victim to fire or flood</w:t>
      </w:r>
      <w:r w:rsidR="00803377" w:rsidRPr="00CF2D87">
        <w:rPr>
          <w:rFonts w:ascii="Calibri" w:hAnsi="Calibri" w:cs="Calibri"/>
          <w:sz w:val="22"/>
          <w:szCs w:val="22"/>
        </w:rPr>
        <w:t xml:space="preserve"> or other accident</w:t>
      </w:r>
      <w:r w:rsidRPr="00CF2D87">
        <w:rPr>
          <w:rFonts w:ascii="Calibri" w:hAnsi="Calibri" w:cs="Calibri"/>
          <w:sz w:val="22"/>
          <w:szCs w:val="22"/>
        </w:rPr>
        <w:t>. Marital separation may result in loss of</w:t>
      </w:r>
      <w:r w:rsidR="00803377" w:rsidRPr="00CF2D87">
        <w:rPr>
          <w:rFonts w:ascii="Calibri" w:hAnsi="Calibri" w:cs="Calibri"/>
          <w:sz w:val="22"/>
          <w:szCs w:val="22"/>
        </w:rPr>
        <w:t>,</w:t>
      </w:r>
      <w:r w:rsidRPr="00CF2D87">
        <w:rPr>
          <w:rFonts w:ascii="Calibri" w:hAnsi="Calibri" w:cs="Calibri"/>
          <w:sz w:val="22"/>
          <w:szCs w:val="22"/>
        </w:rPr>
        <w:t xml:space="preserve"> or loss of access to</w:t>
      </w:r>
      <w:r w:rsidR="00803377" w:rsidRPr="00CF2D87">
        <w:rPr>
          <w:rFonts w:ascii="Calibri" w:hAnsi="Calibri" w:cs="Calibri"/>
          <w:sz w:val="22"/>
          <w:szCs w:val="22"/>
        </w:rPr>
        <w:t>,</w:t>
      </w:r>
      <w:r w:rsidRPr="00CF2D87">
        <w:rPr>
          <w:rFonts w:ascii="Calibri" w:hAnsi="Calibri" w:cs="Calibri"/>
          <w:sz w:val="22"/>
          <w:szCs w:val="22"/>
        </w:rPr>
        <w:t xml:space="preserve"> such documents. I have no idea of the personal circumstances of the present Defendant but note that the loans on which he only is sued were made jointly to him and another. That other appears to have been a staff member of the Plaintiff. One or other or both may have been responsible, as between themselves, for </w:t>
      </w:r>
      <w:proofErr w:type="gramStart"/>
      <w:r w:rsidRPr="00CF2D87">
        <w:rPr>
          <w:rFonts w:ascii="Calibri" w:hAnsi="Calibri" w:cs="Calibri"/>
          <w:sz w:val="22"/>
          <w:szCs w:val="22"/>
        </w:rPr>
        <w:t>safe-keeping</w:t>
      </w:r>
      <w:proofErr w:type="gramEnd"/>
      <w:r w:rsidRPr="00CF2D87">
        <w:rPr>
          <w:rFonts w:ascii="Calibri" w:hAnsi="Calibri" w:cs="Calibri"/>
          <w:sz w:val="22"/>
          <w:szCs w:val="22"/>
        </w:rPr>
        <w:t xml:space="preserve"> of the statements received from time to time. </w:t>
      </w:r>
      <w:r w:rsidR="008D00E0" w:rsidRPr="00CF2D87">
        <w:rPr>
          <w:rFonts w:ascii="Calibri" w:hAnsi="Calibri" w:cs="Calibri"/>
          <w:sz w:val="22"/>
          <w:szCs w:val="22"/>
        </w:rPr>
        <w:t>T</w:t>
      </w:r>
      <w:r w:rsidR="00B463A2" w:rsidRPr="00CF2D87">
        <w:rPr>
          <w:rFonts w:ascii="Calibri" w:hAnsi="Calibri" w:cs="Calibri"/>
          <w:sz w:val="22"/>
          <w:szCs w:val="22"/>
        </w:rPr>
        <w:t>here seems to me</w:t>
      </w:r>
      <w:r w:rsidRPr="00CF2D87">
        <w:rPr>
          <w:rFonts w:ascii="Calibri" w:hAnsi="Calibri" w:cs="Calibri"/>
          <w:sz w:val="22"/>
          <w:szCs w:val="22"/>
        </w:rPr>
        <w:t xml:space="preserve"> </w:t>
      </w:r>
      <w:r w:rsidR="00B463A2" w:rsidRPr="00CF2D87">
        <w:rPr>
          <w:rFonts w:ascii="Calibri" w:hAnsi="Calibri" w:cs="Calibri"/>
          <w:sz w:val="22"/>
          <w:szCs w:val="22"/>
        </w:rPr>
        <w:t>to be</w:t>
      </w:r>
      <w:r w:rsidRPr="00CF2D87">
        <w:rPr>
          <w:rFonts w:ascii="Calibri" w:hAnsi="Calibri" w:cs="Calibri"/>
          <w:sz w:val="22"/>
          <w:szCs w:val="22"/>
        </w:rPr>
        <w:t xml:space="preserve"> a considerable lack of realism in an expectation</w:t>
      </w:r>
      <w:r w:rsidR="00803377" w:rsidRPr="00CF2D87">
        <w:rPr>
          <w:rFonts w:ascii="Calibri" w:hAnsi="Calibri" w:cs="Calibri"/>
          <w:sz w:val="22"/>
          <w:szCs w:val="22"/>
        </w:rPr>
        <w:t>,</w:t>
      </w:r>
      <w:r w:rsidRPr="00CF2D87">
        <w:rPr>
          <w:rFonts w:ascii="Calibri" w:hAnsi="Calibri" w:cs="Calibri"/>
          <w:sz w:val="22"/>
          <w:szCs w:val="22"/>
        </w:rPr>
        <w:t xml:space="preserve"> for purposes of the exercise of a jurisdiction to be exercised with “</w:t>
      </w:r>
      <w:r w:rsidRPr="00CF2D87">
        <w:rPr>
          <w:rFonts w:ascii="Calibri" w:hAnsi="Calibri" w:cs="Calibri"/>
          <w:i/>
          <w:sz w:val="22"/>
          <w:szCs w:val="22"/>
        </w:rPr>
        <w:t>discernible caution</w:t>
      </w:r>
      <w:r w:rsidRPr="00CF2D87">
        <w:rPr>
          <w:rFonts w:ascii="Calibri" w:hAnsi="Calibri" w:cs="Calibri"/>
          <w:sz w:val="22"/>
          <w:szCs w:val="22"/>
        </w:rPr>
        <w:t>”</w:t>
      </w:r>
      <w:r w:rsidR="00803377" w:rsidRPr="00CF2D87">
        <w:rPr>
          <w:rFonts w:ascii="Calibri" w:hAnsi="Calibri" w:cs="Calibri"/>
          <w:sz w:val="22"/>
          <w:szCs w:val="22"/>
        </w:rPr>
        <w:t>,</w:t>
      </w:r>
      <w:r w:rsidRPr="00CF2D87">
        <w:rPr>
          <w:rFonts w:ascii="Calibri" w:hAnsi="Calibri" w:cs="Calibri"/>
          <w:sz w:val="22"/>
          <w:szCs w:val="22"/>
        </w:rPr>
        <w:t xml:space="preserve"> that, as even a general proposition, they will be able to do so.</w:t>
      </w:r>
    </w:p>
    <w:p w14:paraId="1C306277" w14:textId="77777777" w:rsidR="000B2344" w:rsidRPr="00CF2D87" w:rsidRDefault="000B2344" w:rsidP="007773A1">
      <w:pPr>
        <w:spacing w:line="276" w:lineRule="auto"/>
        <w:rPr>
          <w:rFonts w:ascii="Calibri" w:hAnsi="Calibri" w:cs="Calibri"/>
          <w:sz w:val="22"/>
          <w:szCs w:val="22"/>
        </w:rPr>
      </w:pPr>
    </w:p>
    <w:p w14:paraId="073E239C" w14:textId="77777777" w:rsidR="000B2344" w:rsidRPr="00CF2D87" w:rsidRDefault="000B2344" w:rsidP="007773A1">
      <w:pPr>
        <w:spacing w:line="276" w:lineRule="auto"/>
        <w:rPr>
          <w:rFonts w:ascii="Calibri" w:hAnsi="Calibri" w:cs="Calibri"/>
          <w:sz w:val="22"/>
          <w:szCs w:val="22"/>
        </w:rPr>
      </w:pPr>
    </w:p>
    <w:p w14:paraId="75E8C9DF" w14:textId="0F4294A6" w:rsidR="000B2344" w:rsidRPr="00CF2D87" w:rsidRDefault="008D00E0" w:rsidP="000B2344">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 xml:space="preserve">Also, </w:t>
      </w:r>
      <w:r w:rsidR="000B2344" w:rsidRPr="00CF2D87">
        <w:rPr>
          <w:rFonts w:ascii="Calibri" w:hAnsi="Calibri" w:cs="Calibri"/>
          <w:sz w:val="22"/>
          <w:szCs w:val="22"/>
        </w:rPr>
        <w:t>it may well be that the form and content of statements issued from time to time has been constant over the 12 years in question and conformed to the content of the statements</w:t>
      </w:r>
      <w:r w:rsidRPr="00CF2D87">
        <w:rPr>
          <w:rFonts w:ascii="Calibri" w:hAnsi="Calibri" w:cs="Calibri"/>
          <w:sz w:val="22"/>
          <w:szCs w:val="22"/>
        </w:rPr>
        <w:t xml:space="preserve"> now exhibited</w:t>
      </w:r>
      <w:r w:rsidR="00B463A2" w:rsidRPr="00CF2D87">
        <w:rPr>
          <w:rFonts w:ascii="Calibri" w:hAnsi="Calibri" w:cs="Calibri"/>
          <w:sz w:val="22"/>
          <w:szCs w:val="22"/>
        </w:rPr>
        <w:t>,</w:t>
      </w:r>
      <w:r w:rsidR="000B2344" w:rsidRPr="00CF2D87">
        <w:rPr>
          <w:rFonts w:ascii="Calibri" w:hAnsi="Calibri" w:cs="Calibri"/>
          <w:sz w:val="22"/>
          <w:szCs w:val="22"/>
        </w:rPr>
        <w:t xml:space="preserve"> which I infer are recently printed</w:t>
      </w:r>
      <w:r w:rsidRPr="00CF2D87">
        <w:rPr>
          <w:rFonts w:ascii="Calibri" w:hAnsi="Calibri" w:cs="Calibri"/>
          <w:sz w:val="22"/>
          <w:szCs w:val="22"/>
        </w:rPr>
        <w:t>.</w:t>
      </w:r>
      <w:r w:rsidR="000B2344" w:rsidRPr="00CF2D87">
        <w:rPr>
          <w:rFonts w:ascii="Calibri" w:hAnsi="Calibri" w:cs="Calibri"/>
          <w:sz w:val="22"/>
          <w:szCs w:val="22"/>
        </w:rPr>
        <w:t xml:space="preserve"> I have no reason to believe that </w:t>
      </w:r>
      <w:r w:rsidR="00B463A2" w:rsidRPr="00CF2D87">
        <w:rPr>
          <w:rFonts w:ascii="Calibri" w:hAnsi="Calibri" w:cs="Calibri"/>
          <w:sz w:val="22"/>
          <w:szCs w:val="22"/>
        </w:rPr>
        <w:t xml:space="preserve">such </w:t>
      </w:r>
      <w:r w:rsidR="000B2344" w:rsidRPr="00CF2D87">
        <w:rPr>
          <w:rFonts w:ascii="Calibri" w:hAnsi="Calibri" w:cs="Calibri"/>
          <w:sz w:val="22"/>
          <w:szCs w:val="22"/>
        </w:rPr>
        <w:t xml:space="preserve">form </w:t>
      </w:r>
      <w:r w:rsidR="00B463A2" w:rsidRPr="00CF2D87">
        <w:rPr>
          <w:rFonts w:ascii="Calibri" w:hAnsi="Calibri" w:cs="Calibri"/>
          <w:sz w:val="22"/>
          <w:szCs w:val="22"/>
        </w:rPr>
        <w:t>and</w:t>
      </w:r>
      <w:r w:rsidR="000B2344" w:rsidRPr="00CF2D87">
        <w:rPr>
          <w:rFonts w:ascii="Calibri" w:hAnsi="Calibri" w:cs="Calibri"/>
          <w:sz w:val="22"/>
          <w:szCs w:val="22"/>
        </w:rPr>
        <w:t xml:space="preserve"> content has changed over time</w:t>
      </w:r>
      <w:r w:rsidRPr="00CF2D87">
        <w:rPr>
          <w:rFonts w:ascii="Calibri" w:hAnsi="Calibri" w:cs="Calibri"/>
          <w:sz w:val="22"/>
          <w:szCs w:val="22"/>
        </w:rPr>
        <w:t>. But equally</w:t>
      </w:r>
      <w:r w:rsidR="000B2344" w:rsidRPr="00CF2D87">
        <w:rPr>
          <w:rFonts w:ascii="Calibri" w:hAnsi="Calibri" w:cs="Calibri"/>
          <w:sz w:val="22"/>
          <w:szCs w:val="22"/>
        </w:rPr>
        <w:t xml:space="preserve"> I have no evidence it did not. I note that in </w:t>
      </w:r>
      <w:r w:rsidR="000B2344" w:rsidRPr="00CF2D87">
        <w:rPr>
          <w:rFonts w:ascii="Calibri" w:hAnsi="Calibri" w:cs="Calibri"/>
          <w:i/>
          <w:sz w:val="22"/>
          <w:szCs w:val="22"/>
        </w:rPr>
        <w:t>O’Malley</w:t>
      </w:r>
      <w:r w:rsidR="000B2344" w:rsidRPr="00CF2D87">
        <w:rPr>
          <w:rFonts w:ascii="Calibri" w:hAnsi="Calibri" w:cs="Calibri"/>
          <w:sz w:val="22"/>
          <w:szCs w:val="22"/>
        </w:rPr>
        <w:t xml:space="preserve"> there was </w:t>
      </w:r>
      <w:r w:rsidR="000B2344" w:rsidRPr="00CF2D87">
        <w:rPr>
          <w:rFonts w:ascii="Calibri" w:hAnsi="Calibri" w:cs="Calibri"/>
          <w:i/>
          <w:sz w:val="22"/>
          <w:szCs w:val="22"/>
        </w:rPr>
        <w:t xml:space="preserve">“nothing in the Statement of Account itself which specifies that there has been a change of interest or what the change actually was” </w:t>
      </w:r>
      <w:r w:rsidR="000B2344" w:rsidRPr="00CF2D87">
        <w:rPr>
          <w:rFonts w:ascii="Calibri" w:hAnsi="Calibri" w:cs="Calibri"/>
          <w:sz w:val="22"/>
          <w:szCs w:val="22"/>
        </w:rPr>
        <w:t xml:space="preserve">such that </w:t>
      </w:r>
      <w:r w:rsidR="000B2344" w:rsidRPr="00CF2D87">
        <w:rPr>
          <w:rFonts w:ascii="Calibri" w:hAnsi="Calibri" w:cs="Calibri"/>
          <w:i/>
          <w:sz w:val="22"/>
          <w:szCs w:val="22"/>
        </w:rPr>
        <w:t>“</w:t>
      </w:r>
      <w:r w:rsidR="000B2344" w:rsidRPr="00CF2D87">
        <w:rPr>
          <w:rFonts w:ascii="Calibri" w:hAnsi="Calibri" w:cs="Calibri"/>
          <w:bCs/>
          <w:i/>
          <w:sz w:val="22"/>
          <w:szCs w:val="22"/>
        </w:rPr>
        <w:t>the absence of any indication on the Statement of Account as to the interest rate actually being applied from time to time would not have made it easy to ascertain whether the rates actually being applied were those which had been notified</w:t>
      </w:r>
      <w:r w:rsidR="000B2344" w:rsidRPr="00CF2D87">
        <w:rPr>
          <w:rFonts w:ascii="Calibri" w:hAnsi="Calibri" w:cs="Calibri"/>
          <w:i/>
          <w:sz w:val="22"/>
          <w:szCs w:val="22"/>
        </w:rPr>
        <w:t xml:space="preserve">.” </w:t>
      </w:r>
      <w:r w:rsidR="000B2344" w:rsidRPr="00CF2D87">
        <w:rPr>
          <w:rFonts w:ascii="Calibri" w:hAnsi="Calibri" w:cs="Calibri"/>
          <w:sz w:val="22"/>
          <w:szCs w:val="22"/>
        </w:rPr>
        <w:t xml:space="preserve">Such </w:t>
      </w:r>
      <w:r w:rsidR="000B2344" w:rsidRPr="00CF2D87">
        <w:rPr>
          <w:rFonts w:ascii="Calibri" w:hAnsi="Calibri" w:cs="Calibri"/>
          <w:sz w:val="22"/>
          <w:szCs w:val="22"/>
        </w:rPr>
        <w:lastRenderedPageBreak/>
        <w:t xml:space="preserve">details do appear on the </w:t>
      </w:r>
      <w:proofErr w:type="gramStart"/>
      <w:r w:rsidR="000B2344" w:rsidRPr="00CF2D87">
        <w:rPr>
          <w:rFonts w:ascii="Calibri" w:hAnsi="Calibri" w:cs="Calibri"/>
          <w:sz w:val="22"/>
          <w:szCs w:val="22"/>
        </w:rPr>
        <w:t>recently-printed</w:t>
      </w:r>
      <w:proofErr w:type="gramEnd"/>
      <w:r w:rsidR="000B2344" w:rsidRPr="00CF2D87">
        <w:rPr>
          <w:rFonts w:ascii="Calibri" w:hAnsi="Calibri" w:cs="Calibri"/>
          <w:sz w:val="22"/>
          <w:szCs w:val="22"/>
        </w:rPr>
        <w:t xml:space="preserve"> statements exhibited in the present case but </w:t>
      </w:r>
      <w:r w:rsidR="000B2344" w:rsidRPr="00CF2D87">
        <w:rPr>
          <w:rFonts w:ascii="Calibri" w:hAnsi="Calibri" w:cs="Calibri"/>
          <w:i/>
          <w:sz w:val="22"/>
          <w:szCs w:val="22"/>
        </w:rPr>
        <w:t>O’Malley</w:t>
      </w:r>
      <w:r w:rsidR="000B2344" w:rsidRPr="00CF2D87">
        <w:rPr>
          <w:rFonts w:ascii="Calibri" w:hAnsi="Calibri" w:cs="Calibri"/>
          <w:sz w:val="22"/>
          <w:szCs w:val="22"/>
        </w:rPr>
        <w:t xml:space="preserve"> suggests that </w:t>
      </w:r>
      <w:r w:rsidRPr="00CF2D87">
        <w:rPr>
          <w:rFonts w:ascii="Calibri" w:hAnsi="Calibri" w:cs="Calibri"/>
          <w:sz w:val="22"/>
          <w:szCs w:val="22"/>
        </w:rPr>
        <w:t xml:space="preserve">at least </w:t>
      </w:r>
      <w:r w:rsidR="000B2344" w:rsidRPr="00CF2D87">
        <w:rPr>
          <w:rFonts w:ascii="Calibri" w:hAnsi="Calibri" w:cs="Calibri"/>
          <w:sz w:val="22"/>
          <w:szCs w:val="22"/>
        </w:rPr>
        <w:t xml:space="preserve">some </w:t>
      </w:r>
      <w:r w:rsidR="00B463A2" w:rsidRPr="00CF2D87">
        <w:rPr>
          <w:rFonts w:ascii="Calibri" w:hAnsi="Calibri" w:cs="Calibri"/>
          <w:sz w:val="22"/>
          <w:szCs w:val="22"/>
        </w:rPr>
        <w:t xml:space="preserve">statements of account </w:t>
      </w:r>
      <w:r w:rsidR="000B2344" w:rsidRPr="00CF2D87">
        <w:rPr>
          <w:rFonts w:ascii="Calibri" w:hAnsi="Calibri" w:cs="Calibri"/>
          <w:sz w:val="22"/>
          <w:szCs w:val="22"/>
        </w:rPr>
        <w:t>produced by banks do not contain such details.</w:t>
      </w:r>
    </w:p>
    <w:p w14:paraId="7E9564AC" w14:textId="77777777" w:rsidR="000B2344" w:rsidRPr="00CF2D87" w:rsidRDefault="000B2344" w:rsidP="000B2344">
      <w:pPr>
        <w:pStyle w:val="ListParagraph"/>
        <w:spacing w:line="276" w:lineRule="auto"/>
        <w:ind w:left="360"/>
        <w:rPr>
          <w:rFonts w:ascii="Calibri" w:hAnsi="Calibri" w:cs="Calibri"/>
          <w:sz w:val="22"/>
          <w:szCs w:val="22"/>
        </w:rPr>
      </w:pPr>
    </w:p>
    <w:p w14:paraId="444413A5" w14:textId="77777777" w:rsidR="000B2344" w:rsidRPr="00CF2D87" w:rsidRDefault="000B2344" w:rsidP="000B2344">
      <w:pPr>
        <w:pStyle w:val="ListParagraph"/>
        <w:spacing w:line="276" w:lineRule="auto"/>
        <w:ind w:left="360"/>
        <w:rPr>
          <w:rFonts w:ascii="Calibri" w:hAnsi="Calibri" w:cs="Calibri"/>
          <w:sz w:val="22"/>
          <w:szCs w:val="22"/>
        </w:rPr>
      </w:pPr>
    </w:p>
    <w:p w14:paraId="02B26FD8" w14:textId="77777777" w:rsidR="000B2344" w:rsidRPr="00CF2D87" w:rsidRDefault="000B2344" w:rsidP="000B2344">
      <w:pPr>
        <w:pStyle w:val="ListParagraph"/>
        <w:spacing w:line="276" w:lineRule="auto"/>
        <w:ind w:left="360"/>
        <w:rPr>
          <w:rFonts w:ascii="Calibri" w:hAnsi="Calibri" w:cs="Calibri"/>
          <w:sz w:val="22"/>
          <w:szCs w:val="22"/>
        </w:rPr>
      </w:pPr>
    </w:p>
    <w:p w14:paraId="12796F36" w14:textId="6169D6DC" w:rsidR="000B2344" w:rsidRPr="00CF2D87" w:rsidRDefault="000B2344" w:rsidP="000B2344">
      <w:pPr>
        <w:pStyle w:val="Heading2"/>
        <w:spacing w:line="276" w:lineRule="auto"/>
        <w:rPr>
          <w:szCs w:val="22"/>
        </w:rPr>
      </w:pPr>
      <w:r w:rsidRPr="00CF2D87">
        <w:rPr>
          <w:szCs w:val="22"/>
        </w:rPr>
        <w:t xml:space="preserve">Bank of Ireland Mortgage Bank </w:t>
      </w:r>
      <w:r w:rsidR="007773A1" w:rsidRPr="00CF2D87">
        <w:rPr>
          <w:szCs w:val="22"/>
        </w:rPr>
        <w:t>v</w:t>
      </w:r>
      <w:r w:rsidRPr="00CF2D87">
        <w:rPr>
          <w:szCs w:val="22"/>
        </w:rPr>
        <w:t xml:space="preserve"> O'Malley</w:t>
      </w:r>
      <w:r w:rsidRPr="00CF2D87">
        <w:rPr>
          <w:rStyle w:val="FootnoteReference"/>
          <w:b w:val="0"/>
          <w:szCs w:val="22"/>
        </w:rPr>
        <w:footnoteReference w:id="19"/>
      </w:r>
    </w:p>
    <w:p w14:paraId="57AC37DF" w14:textId="77777777" w:rsidR="000B2344" w:rsidRPr="00CF2D87" w:rsidRDefault="000B2344" w:rsidP="000B2344">
      <w:pPr>
        <w:spacing w:line="276" w:lineRule="auto"/>
        <w:rPr>
          <w:rFonts w:ascii="Calibri" w:hAnsi="Calibri" w:cs="Calibri"/>
          <w:sz w:val="22"/>
          <w:szCs w:val="22"/>
        </w:rPr>
      </w:pPr>
    </w:p>
    <w:p w14:paraId="04E83AE9" w14:textId="77777777"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O’Malley was an action on a mortgage loan made in 2008. A summary summons on foot of default in repayment issued in 2014. It did not plead detailed particular</w:t>
      </w:r>
      <w:r w:rsidR="00B463A2" w:rsidRPr="00CF2D87">
        <w:rPr>
          <w:rFonts w:ascii="Calibri" w:hAnsi="Calibri" w:cs="Calibri"/>
          <w:sz w:val="22"/>
          <w:szCs w:val="22"/>
        </w:rPr>
        <w:t>s</w:t>
      </w:r>
      <w:r w:rsidRPr="00CF2D87">
        <w:rPr>
          <w:rFonts w:ascii="Calibri" w:hAnsi="Calibri" w:cs="Calibri"/>
          <w:sz w:val="22"/>
          <w:szCs w:val="22"/>
        </w:rPr>
        <w:t xml:space="preserve"> of the calculation of the debt. The Bank got judgment in the High Court. Clarke CJ in the Supreme Court on appeal cited Order</w:t>
      </w:r>
      <w:bookmarkStart w:id="5" w:name="_Hlk101863714"/>
      <w:r w:rsidRPr="00CF2D87">
        <w:rPr>
          <w:rFonts w:ascii="Calibri" w:hAnsi="Calibri" w:cs="Calibri"/>
          <w:sz w:val="22"/>
          <w:szCs w:val="22"/>
        </w:rPr>
        <w:t xml:space="preserve"> 4, rule 4 of the Rules of the Superior Courts which requires that:</w:t>
      </w:r>
    </w:p>
    <w:p w14:paraId="5C28A867" w14:textId="77777777" w:rsidR="000B2344" w:rsidRPr="00CF2D87" w:rsidRDefault="000B2344" w:rsidP="000B2344">
      <w:pPr>
        <w:spacing w:line="276" w:lineRule="auto"/>
        <w:rPr>
          <w:rFonts w:ascii="Calibri" w:hAnsi="Calibri" w:cs="Calibri"/>
          <w:sz w:val="22"/>
          <w:szCs w:val="22"/>
        </w:rPr>
      </w:pPr>
    </w:p>
    <w:p w14:paraId="1ED15442" w14:textId="77777777" w:rsidR="000B2344" w:rsidRPr="00CF2D87" w:rsidRDefault="000B2344" w:rsidP="000B2344">
      <w:pPr>
        <w:pStyle w:val="Quote"/>
      </w:pPr>
      <w:r w:rsidRPr="00CF2D87">
        <w:t xml:space="preserve">“4. </w:t>
      </w:r>
      <w:r w:rsidRPr="00CF2D87">
        <w:tab/>
        <w:t>The indorsement of claim on a summary summons and on a special summons shall be entitled "SPECIAL INDORSEMENT OF CLAIM," and shall state specifically and with all necessary particulars the relief claimed and the grounds thereof. ……..”</w:t>
      </w:r>
    </w:p>
    <w:bookmarkEnd w:id="5"/>
    <w:p w14:paraId="5F9A1D79" w14:textId="77777777" w:rsidR="000B2344" w:rsidRPr="00CF2D87" w:rsidRDefault="000B2344" w:rsidP="000B2344">
      <w:pPr>
        <w:spacing w:line="276" w:lineRule="auto"/>
        <w:rPr>
          <w:rFonts w:ascii="Calibri" w:hAnsi="Calibri" w:cs="Calibri"/>
          <w:sz w:val="22"/>
          <w:szCs w:val="22"/>
        </w:rPr>
      </w:pPr>
    </w:p>
    <w:p w14:paraId="36699F52" w14:textId="77777777" w:rsidR="00B463A2" w:rsidRPr="00CF2D87" w:rsidRDefault="00B463A2" w:rsidP="000B2344">
      <w:pPr>
        <w:spacing w:line="276" w:lineRule="auto"/>
        <w:rPr>
          <w:rFonts w:ascii="Calibri" w:hAnsi="Calibri" w:cs="Calibri"/>
          <w:sz w:val="22"/>
          <w:szCs w:val="22"/>
        </w:rPr>
      </w:pPr>
    </w:p>
    <w:p w14:paraId="0D11EA01" w14:textId="4E6B8E44"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Importantly for present purposes, Clarke CJ identified a very practical </w:t>
      </w:r>
      <w:r w:rsidRPr="00CF2D87">
        <w:rPr>
          <w:rFonts w:ascii="Calibri" w:hAnsi="Calibri" w:cs="Calibri"/>
          <w:i/>
          <w:sz w:val="22"/>
          <w:szCs w:val="22"/>
        </w:rPr>
        <w:t>“underlying rationale for the requirement as to detail”</w:t>
      </w:r>
      <w:r w:rsidRPr="00CF2D87">
        <w:rPr>
          <w:rFonts w:ascii="Calibri" w:hAnsi="Calibri" w:cs="Calibri"/>
          <w:sz w:val="22"/>
          <w:szCs w:val="22"/>
        </w:rPr>
        <w:t xml:space="preserve"> which went back at least 140 years: he </w:t>
      </w:r>
      <w:r w:rsidR="008D00E0" w:rsidRPr="00CF2D87">
        <w:rPr>
          <w:rFonts w:ascii="Calibri" w:hAnsi="Calibri" w:cs="Calibri"/>
          <w:sz w:val="22"/>
          <w:szCs w:val="22"/>
        </w:rPr>
        <w:t>recorded that</w:t>
      </w:r>
      <w:r w:rsidR="00B463A2" w:rsidRPr="00CF2D87">
        <w:rPr>
          <w:rFonts w:ascii="Calibri" w:hAnsi="Calibri" w:cs="Calibri"/>
          <w:sz w:val="22"/>
          <w:szCs w:val="22"/>
        </w:rPr>
        <w:t>:</w:t>
      </w:r>
    </w:p>
    <w:p w14:paraId="034ADA58" w14:textId="77777777" w:rsidR="000B2344" w:rsidRPr="00CF2D87" w:rsidRDefault="000B2344" w:rsidP="000B2344">
      <w:pPr>
        <w:spacing w:line="276" w:lineRule="auto"/>
        <w:rPr>
          <w:rFonts w:ascii="Calibri" w:hAnsi="Calibri" w:cs="Calibri"/>
          <w:sz w:val="22"/>
          <w:szCs w:val="22"/>
        </w:rPr>
      </w:pPr>
    </w:p>
    <w:p w14:paraId="69A71B5D" w14:textId="11DD72A7" w:rsidR="000B2344" w:rsidRPr="00CF2D87" w:rsidRDefault="000B2344" w:rsidP="000B2344">
      <w:pPr>
        <w:spacing w:line="276" w:lineRule="auto"/>
        <w:ind w:left="720"/>
        <w:rPr>
          <w:rFonts w:ascii="Calibri" w:hAnsi="Calibri" w:cs="Calibri"/>
          <w:i/>
          <w:sz w:val="22"/>
          <w:szCs w:val="22"/>
        </w:rPr>
      </w:pPr>
      <w:r w:rsidRPr="00CF2D87">
        <w:rPr>
          <w:rFonts w:ascii="Calibri" w:hAnsi="Calibri" w:cs="Calibri"/>
          <w:i/>
          <w:sz w:val="22"/>
          <w:szCs w:val="22"/>
        </w:rPr>
        <w:t xml:space="preserve">“….. the general obligation to provide sufficient particulars in a summary claim has the </w:t>
      </w:r>
      <w:r w:rsidRPr="00CF2D87">
        <w:rPr>
          <w:rFonts w:ascii="Calibri" w:hAnsi="Calibri" w:cs="Calibri"/>
          <w:bCs/>
          <w:i/>
          <w:sz w:val="22"/>
          <w:szCs w:val="22"/>
        </w:rPr>
        <w:t xml:space="preserve">objective of </w:t>
      </w:r>
      <w:bookmarkStart w:id="6" w:name="_Hlk101863801"/>
      <w:r w:rsidRPr="00CF2D87">
        <w:rPr>
          <w:rFonts w:ascii="Calibri" w:hAnsi="Calibri" w:cs="Calibri"/>
          <w:bCs/>
          <w:i/>
          <w:sz w:val="22"/>
          <w:szCs w:val="22"/>
        </w:rPr>
        <w:t xml:space="preserve">ensuring that litigants properly know the case which they </w:t>
      </w:r>
      <w:proofErr w:type="gramStart"/>
      <w:r w:rsidRPr="00CF2D87">
        <w:rPr>
          <w:rFonts w:ascii="Calibri" w:hAnsi="Calibri" w:cs="Calibri"/>
          <w:bCs/>
          <w:i/>
          <w:sz w:val="22"/>
          <w:szCs w:val="22"/>
        </w:rPr>
        <w:t>have to</w:t>
      </w:r>
      <w:proofErr w:type="gramEnd"/>
      <w:r w:rsidRPr="00CF2D87">
        <w:rPr>
          <w:rFonts w:ascii="Calibri" w:hAnsi="Calibri" w:cs="Calibri"/>
          <w:bCs/>
          <w:i/>
          <w:sz w:val="22"/>
          <w:szCs w:val="22"/>
        </w:rPr>
        <w:t xml:space="preserve"> meet</w:t>
      </w:r>
      <w:r w:rsidRPr="00CF2D87">
        <w:rPr>
          <w:rFonts w:ascii="Calibri" w:hAnsi="Calibri" w:cs="Calibri"/>
          <w:i/>
          <w:sz w:val="22"/>
          <w:szCs w:val="22"/>
        </w:rPr>
        <w:t xml:space="preserve">. As stated by Cockburn C.J. in Walker </w:t>
      </w:r>
      <w:r w:rsidR="007773A1" w:rsidRPr="00CF2D87">
        <w:rPr>
          <w:rFonts w:ascii="Calibri" w:hAnsi="Calibri" w:cs="Calibri"/>
          <w:i/>
          <w:sz w:val="22"/>
          <w:szCs w:val="22"/>
        </w:rPr>
        <w:t>v</w:t>
      </w:r>
      <w:r w:rsidRPr="00CF2D87">
        <w:rPr>
          <w:rFonts w:ascii="Calibri" w:hAnsi="Calibri" w:cs="Calibri"/>
          <w:i/>
          <w:sz w:val="22"/>
          <w:szCs w:val="22"/>
        </w:rPr>
        <w:t xml:space="preserve"> Hicks (1877) 3 Q.B.D. 8, at p. </w:t>
      </w:r>
      <w:proofErr w:type="gramStart"/>
      <w:r w:rsidRPr="00CF2D87">
        <w:rPr>
          <w:rFonts w:ascii="Calibri" w:hAnsi="Calibri" w:cs="Calibri"/>
          <w:i/>
          <w:sz w:val="22"/>
          <w:szCs w:val="22"/>
        </w:rPr>
        <w:t>9:-</w:t>
      </w:r>
      <w:proofErr w:type="gramEnd"/>
    </w:p>
    <w:p w14:paraId="4AD19DDF" w14:textId="77777777" w:rsidR="000B2344" w:rsidRPr="00CF2D87" w:rsidRDefault="000B2344" w:rsidP="000B2344">
      <w:pPr>
        <w:spacing w:line="276" w:lineRule="auto"/>
        <w:rPr>
          <w:rFonts w:ascii="Calibri" w:hAnsi="Calibri" w:cs="Calibri"/>
          <w:i/>
          <w:sz w:val="22"/>
          <w:szCs w:val="22"/>
        </w:rPr>
      </w:pPr>
    </w:p>
    <w:p w14:paraId="66A251BF" w14:textId="77777777" w:rsidR="000B2344" w:rsidRPr="00CF2D87" w:rsidRDefault="000B2344" w:rsidP="000B2344">
      <w:pPr>
        <w:pStyle w:val="Quote"/>
        <w:ind w:left="1440"/>
      </w:pPr>
      <w:bookmarkStart w:id="7" w:name="_Hlk101863893"/>
      <w:r w:rsidRPr="00CF2D87">
        <w:t xml:space="preserve">“I think a party, who is placed in the predicament of being liable to have a judgment signed against him summarily, is entitled to have sufficient particulars to </w:t>
      </w:r>
      <w:r w:rsidRPr="00CF2D87">
        <w:rPr>
          <w:bCs/>
        </w:rPr>
        <w:t>enable him to satisfy his mind whether he ought to pay or resist</w:t>
      </w:r>
      <w:r w:rsidRPr="00CF2D87">
        <w:t>…</w:t>
      </w:r>
      <w:bookmarkEnd w:id="6"/>
      <w:r w:rsidRPr="00CF2D87">
        <w:t xml:space="preserve"> It seems to me that a party is entitled, before summary proceedings for judgment are taken against him, to know specifically what </w:t>
      </w:r>
      <w:proofErr w:type="gramStart"/>
      <w:r w:rsidRPr="00CF2D87">
        <w:t>is the claim against him</w:t>
      </w:r>
      <w:proofErr w:type="gramEnd"/>
      <w:r w:rsidRPr="00CF2D87">
        <w:t>."</w:t>
      </w:r>
    </w:p>
    <w:bookmarkEnd w:id="7"/>
    <w:p w14:paraId="7C26EF24" w14:textId="77777777" w:rsidR="000B2344" w:rsidRPr="00CF2D87" w:rsidRDefault="000B2344" w:rsidP="000B2344">
      <w:pPr>
        <w:spacing w:line="276" w:lineRule="auto"/>
        <w:rPr>
          <w:rFonts w:ascii="Calibri" w:hAnsi="Calibri" w:cs="Calibri"/>
          <w:sz w:val="22"/>
          <w:szCs w:val="22"/>
        </w:rPr>
      </w:pPr>
    </w:p>
    <w:p w14:paraId="7CB12159" w14:textId="77777777" w:rsidR="000B2344" w:rsidRPr="00CF2D87" w:rsidRDefault="000B2344" w:rsidP="000B2344">
      <w:pPr>
        <w:spacing w:line="276" w:lineRule="auto"/>
        <w:rPr>
          <w:rFonts w:ascii="Calibri" w:hAnsi="Calibri" w:cs="Calibri"/>
          <w:sz w:val="22"/>
          <w:szCs w:val="22"/>
        </w:rPr>
      </w:pPr>
    </w:p>
    <w:p w14:paraId="32595B7A" w14:textId="0F3DB2D4"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Clarke CJ</w:t>
      </w:r>
      <w:r w:rsidR="00B463A2" w:rsidRPr="00CF2D87">
        <w:rPr>
          <w:rFonts w:ascii="Calibri" w:hAnsi="Calibri" w:cs="Calibri"/>
          <w:sz w:val="22"/>
          <w:szCs w:val="22"/>
        </w:rPr>
        <w:t xml:space="preserve"> said</w:t>
      </w:r>
      <w:r w:rsidR="008D00E0" w:rsidRPr="00CF2D87">
        <w:rPr>
          <w:rFonts w:ascii="Calibri" w:hAnsi="Calibri" w:cs="Calibri"/>
          <w:sz w:val="22"/>
          <w:szCs w:val="22"/>
        </w:rPr>
        <w:t>,</w:t>
      </w:r>
    </w:p>
    <w:p w14:paraId="291732CF" w14:textId="77777777" w:rsidR="000B2344" w:rsidRPr="00CF2D87" w:rsidRDefault="000B2344" w:rsidP="000B2344">
      <w:pPr>
        <w:spacing w:line="276" w:lineRule="auto"/>
        <w:ind w:left="360"/>
        <w:rPr>
          <w:rFonts w:ascii="Calibri" w:hAnsi="Calibri" w:cs="Calibri"/>
          <w:sz w:val="22"/>
          <w:szCs w:val="22"/>
        </w:rPr>
      </w:pPr>
    </w:p>
    <w:p w14:paraId="7A0500B8" w14:textId="355602AE"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t xml:space="preserve">“5.5 </w:t>
      </w:r>
      <w:r w:rsidRPr="00CF2D87">
        <w:rPr>
          <w:rFonts w:ascii="Calibri" w:hAnsi="Calibri" w:cs="Calibri"/>
          <w:i/>
          <w:sz w:val="22"/>
          <w:szCs w:val="22"/>
        </w:rPr>
        <w:tab/>
        <w:t xml:space="preserve">So far as </w:t>
      </w:r>
      <w:r w:rsidRPr="00CF2D87">
        <w:rPr>
          <w:rFonts w:ascii="Calibri" w:hAnsi="Calibri" w:cs="Calibri"/>
          <w:bCs/>
          <w:i/>
          <w:sz w:val="22"/>
          <w:szCs w:val="22"/>
        </w:rPr>
        <w:t>the pleadings</w:t>
      </w:r>
      <w:r w:rsidRPr="00CF2D87">
        <w:rPr>
          <w:rFonts w:ascii="Calibri" w:hAnsi="Calibri" w:cs="Calibri"/>
          <w:i/>
          <w:sz w:val="22"/>
          <w:szCs w:val="22"/>
        </w:rPr>
        <w:t xml:space="preserve"> are concerned, it does seem to me that a court may be entitled to </w:t>
      </w:r>
      <w:proofErr w:type="gramStart"/>
      <w:r w:rsidRPr="00CF2D87">
        <w:rPr>
          <w:rFonts w:ascii="Calibri" w:hAnsi="Calibri" w:cs="Calibri"/>
          <w:i/>
          <w:sz w:val="22"/>
          <w:szCs w:val="22"/>
        </w:rPr>
        <w:t>take into account</w:t>
      </w:r>
      <w:proofErr w:type="gramEnd"/>
      <w:r w:rsidRPr="00CF2D87">
        <w:rPr>
          <w:rFonts w:ascii="Calibri" w:hAnsi="Calibri" w:cs="Calibri"/>
          <w:i/>
          <w:sz w:val="22"/>
          <w:szCs w:val="22"/>
        </w:rPr>
        <w:t xml:space="preserve">, in assessing the adequacy of the manner in which a debt claim is particularised, any </w:t>
      </w:r>
      <w:r w:rsidRPr="00CF2D87">
        <w:rPr>
          <w:rFonts w:ascii="Calibri" w:hAnsi="Calibri" w:cs="Calibri"/>
          <w:bCs/>
          <w:i/>
          <w:sz w:val="22"/>
          <w:szCs w:val="22"/>
        </w:rPr>
        <w:t xml:space="preserve">documentation which has been sent to the defendant in advance </w:t>
      </w:r>
      <w:r w:rsidRPr="00CF2D87">
        <w:rPr>
          <w:rFonts w:ascii="Calibri" w:hAnsi="Calibri" w:cs="Calibri"/>
          <w:i/>
          <w:sz w:val="22"/>
          <w:szCs w:val="22"/>
        </w:rPr>
        <w:t>of the commencement of the proceedings.</w:t>
      </w:r>
    </w:p>
    <w:p w14:paraId="2CF984A9" w14:textId="77777777" w:rsidR="000B2344" w:rsidRPr="00CF2D87" w:rsidRDefault="000B2344" w:rsidP="000B2344">
      <w:pPr>
        <w:spacing w:line="276" w:lineRule="auto"/>
        <w:ind w:left="360"/>
        <w:rPr>
          <w:rFonts w:ascii="Calibri" w:hAnsi="Calibri" w:cs="Calibri"/>
          <w:i/>
          <w:sz w:val="22"/>
          <w:szCs w:val="22"/>
        </w:rPr>
      </w:pPr>
    </w:p>
    <w:p w14:paraId="7B631DEF" w14:textId="3FB1A10E"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t xml:space="preserve">The procedures are intended to be summary. They are not intended to involve an overly detailed account of every twist and turn of a banking relationship which might go back many years and involve, in at least some cases, thousands of transactions or measures potentially affecting the liability of the borrower. The more detail the borrower has been given in advance, the more it </w:t>
      </w:r>
      <w:r w:rsidRPr="00CF2D87">
        <w:rPr>
          <w:rFonts w:ascii="Calibri" w:hAnsi="Calibri" w:cs="Calibri"/>
          <w:i/>
          <w:sz w:val="22"/>
          <w:szCs w:val="22"/>
        </w:rPr>
        <w:lastRenderedPageBreak/>
        <w:t>may be possible to justify a relatively shorthand way of describing how the amount due is calculated.</w:t>
      </w:r>
    </w:p>
    <w:p w14:paraId="24805229" w14:textId="77777777" w:rsidR="000B2344" w:rsidRPr="00CF2D87" w:rsidRDefault="000B2344" w:rsidP="000B2344">
      <w:pPr>
        <w:spacing w:line="276" w:lineRule="auto"/>
        <w:ind w:left="360"/>
        <w:rPr>
          <w:rFonts w:ascii="Calibri" w:hAnsi="Calibri" w:cs="Calibri"/>
          <w:i/>
          <w:sz w:val="22"/>
          <w:szCs w:val="22"/>
        </w:rPr>
      </w:pPr>
    </w:p>
    <w:p w14:paraId="69DCBDF1" w14:textId="77777777" w:rsidR="000B2344" w:rsidRPr="00CF2D87" w:rsidRDefault="000B2344" w:rsidP="000B2344">
      <w:pPr>
        <w:spacing w:line="276" w:lineRule="auto"/>
        <w:ind w:left="360"/>
        <w:rPr>
          <w:rFonts w:ascii="Calibri" w:hAnsi="Calibri" w:cs="Calibri"/>
          <w:bCs/>
          <w:i/>
          <w:sz w:val="22"/>
          <w:szCs w:val="22"/>
        </w:rPr>
      </w:pPr>
      <w:r w:rsidRPr="00CF2D87">
        <w:rPr>
          <w:rFonts w:ascii="Calibri" w:hAnsi="Calibri" w:cs="Calibri"/>
          <w:bCs/>
          <w:i/>
          <w:sz w:val="22"/>
          <w:szCs w:val="22"/>
        </w:rPr>
        <w:t>But even there</w:t>
      </w:r>
      <w:r w:rsidRPr="00CF2D87">
        <w:rPr>
          <w:rFonts w:ascii="Calibri" w:hAnsi="Calibri" w:cs="Calibri"/>
          <w:i/>
          <w:sz w:val="22"/>
          <w:szCs w:val="22"/>
        </w:rPr>
        <w:t xml:space="preserve">, it seems to me that it is necessary for a plaintiff, </w:t>
      </w:r>
      <w:r w:rsidRPr="00CF2D87">
        <w:rPr>
          <w:rFonts w:ascii="Calibri" w:hAnsi="Calibri" w:cs="Calibri"/>
          <w:bCs/>
          <w:i/>
          <w:sz w:val="22"/>
          <w:szCs w:val="22"/>
        </w:rPr>
        <w:t>if they wish to rely on previously supplied details, to at least make some reference to those details in its special indorsement of claim.</w:t>
      </w:r>
    </w:p>
    <w:p w14:paraId="546FB897" w14:textId="230596A3"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br/>
        <w:t>5.6</w:t>
      </w:r>
      <w:r w:rsidR="007773A1" w:rsidRPr="00CF2D87">
        <w:rPr>
          <w:rFonts w:ascii="Calibri" w:hAnsi="Calibri" w:cs="Calibri"/>
          <w:i/>
          <w:sz w:val="22"/>
          <w:szCs w:val="22"/>
        </w:rPr>
        <w:tab/>
      </w:r>
      <w:r w:rsidRPr="00CF2D87">
        <w:rPr>
          <w:rFonts w:ascii="Calibri" w:hAnsi="Calibri" w:cs="Calibri"/>
          <w:i/>
          <w:sz w:val="22"/>
          <w:szCs w:val="22"/>
        </w:rPr>
        <w:tab/>
        <w:t xml:space="preserve">To adopt the test identified by Cockburn C.J., the question is as to the level of particularity which would be sufficient to allow a defendant to know whether he should concede or resist the claim. If the indorsement specifies the liquidated sum due but says </w:t>
      </w:r>
      <w:bookmarkStart w:id="8" w:name="_Hlk101865039"/>
      <w:r w:rsidRPr="00CF2D87">
        <w:rPr>
          <w:rFonts w:ascii="Calibri" w:hAnsi="Calibri" w:cs="Calibri"/>
          <w:i/>
          <w:sz w:val="22"/>
          <w:szCs w:val="22"/>
        </w:rPr>
        <w:t>it is calculated in accordance with some identified document or documents already sent to the defendant, then he has sufficient information, provided that those documents, in turn, themselves provide the necessary detail.”</w:t>
      </w:r>
    </w:p>
    <w:bookmarkEnd w:id="8"/>
    <w:p w14:paraId="5D09643A" w14:textId="77777777" w:rsidR="000B2344" w:rsidRPr="00CF2D87" w:rsidRDefault="000B2344" w:rsidP="000B2344">
      <w:pPr>
        <w:spacing w:line="276" w:lineRule="auto"/>
        <w:rPr>
          <w:rFonts w:ascii="Calibri" w:hAnsi="Calibri" w:cs="Calibri"/>
          <w:sz w:val="22"/>
          <w:szCs w:val="22"/>
        </w:rPr>
      </w:pPr>
    </w:p>
    <w:p w14:paraId="4C56EA13" w14:textId="77777777" w:rsidR="000B2344" w:rsidRPr="00CF2D87" w:rsidRDefault="000B2344" w:rsidP="000B2344">
      <w:pPr>
        <w:spacing w:line="276" w:lineRule="auto"/>
        <w:rPr>
          <w:rFonts w:ascii="Calibri" w:hAnsi="Calibri" w:cs="Calibri"/>
          <w:sz w:val="22"/>
          <w:szCs w:val="22"/>
        </w:rPr>
      </w:pPr>
    </w:p>
    <w:p w14:paraId="3D5EAF0C" w14:textId="77777777" w:rsidR="000B2344" w:rsidRPr="00CF2D87" w:rsidRDefault="000B2344" w:rsidP="000B2344">
      <w:pPr>
        <w:spacing w:line="276" w:lineRule="auto"/>
        <w:rPr>
          <w:rFonts w:ascii="Calibri" w:hAnsi="Calibri" w:cs="Calibri"/>
          <w:sz w:val="22"/>
          <w:szCs w:val="22"/>
        </w:rPr>
      </w:pPr>
    </w:p>
    <w:p w14:paraId="746E3885" w14:textId="77EB2BBE"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As to the special indorsement of claim</w:t>
      </w:r>
      <w:r w:rsidR="008D00E0" w:rsidRPr="00CF2D87">
        <w:rPr>
          <w:rFonts w:ascii="Calibri" w:hAnsi="Calibri" w:cs="Calibri"/>
          <w:sz w:val="22"/>
          <w:szCs w:val="22"/>
        </w:rPr>
        <w:t xml:space="preserve"> in </w:t>
      </w:r>
      <w:r w:rsidR="008D00E0" w:rsidRPr="00CF2D87">
        <w:rPr>
          <w:rFonts w:ascii="Calibri" w:hAnsi="Calibri" w:cs="Calibri"/>
          <w:i/>
          <w:sz w:val="22"/>
          <w:szCs w:val="22"/>
        </w:rPr>
        <w:t>O’Malley</w:t>
      </w:r>
      <w:r w:rsidR="008D00E0" w:rsidRPr="00CF2D87">
        <w:rPr>
          <w:rFonts w:ascii="Calibri" w:hAnsi="Calibri" w:cs="Calibri"/>
          <w:sz w:val="22"/>
          <w:szCs w:val="22"/>
        </w:rPr>
        <w:t>,</w:t>
      </w:r>
      <w:r w:rsidRPr="00CF2D87">
        <w:rPr>
          <w:rFonts w:ascii="Calibri" w:hAnsi="Calibri" w:cs="Calibri"/>
          <w:sz w:val="22"/>
          <w:szCs w:val="22"/>
        </w:rPr>
        <w:t xml:space="preserve"> Clarke CJ said</w:t>
      </w:r>
      <w:r w:rsidR="00CD57C6" w:rsidRPr="00CF2D87">
        <w:rPr>
          <w:rFonts w:ascii="Calibri" w:hAnsi="Calibri" w:cs="Calibri"/>
          <w:sz w:val="22"/>
          <w:szCs w:val="22"/>
        </w:rPr>
        <w:t>:</w:t>
      </w:r>
    </w:p>
    <w:p w14:paraId="437B4C5D" w14:textId="77777777" w:rsidR="000B2344" w:rsidRPr="00CF2D87" w:rsidRDefault="000B2344" w:rsidP="000B2344">
      <w:pPr>
        <w:spacing w:line="276" w:lineRule="auto"/>
        <w:ind w:left="360"/>
        <w:rPr>
          <w:rFonts w:ascii="Calibri" w:hAnsi="Calibri" w:cs="Calibri"/>
          <w:sz w:val="22"/>
          <w:szCs w:val="22"/>
        </w:rPr>
      </w:pPr>
    </w:p>
    <w:p w14:paraId="6C2D63F9" w14:textId="4D02269D" w:rsidR="000B2344" w:rsidRPr="00CF2D87" w:rsidRDefault="000B2344" w:rsidP="000B2344">
      <w:pPr>
        <w:spacing w:line="276" w:lineRule="auto"/>
        <w:ind w:left="360"/>
        <w:rPr>
          <w:rFonts w:ascii="Calibri" w:hAnsi="Calibri" w:cs="Calibri"/>
          <w:bCs/>
          <w:i/>
          <w:sz w:val="22"/>
          <w:szCs w:val="22"/>
        </w:rPr>
      </w:pPr>
      <w:r w:rsidRPr="00CF2D87">
        <w:rPr>
          <w:rFonts w:ascii="Calibri" w:hAnsi="Calibri" w:cs="Calibri"/>
          <w:i/>
          <w:sz w:val="22"/>
          <w:szCs w:val="22"/>
        </w:rPr>
        <w:t xml:space="preserve">“5.7 </w:t>
      </w:r>
      <w:r w:rsidRPr="00CF2D87">
        <w:rPr>
          <w:rFonts w:ascii="Calibri" w:hAnsi="Calibri" w:cs="Calibri"/>
          <w:i/>
          <w:sz w:val="22"/>
          <w:szCs w:val="22"/>
        </w:rPr>
        <w:tab/>
      </w:r>
      <w:proofErr w:type="gramStart"/>
      <w:r w:rsidRPr="00CF2D87">
        <w:rPr>
          <w:rFonts w:ascii="Calibri" w:hAnsi="Calibri" w:cs="Calibri"/>
          <w:i/>
          <w:sz w:val="22"/>
          <w:szCs w:val="22"/>
        </w:rPr>
        <w:t>…..</w:t>
      </w:r>
      <w:proofErr w:type="gramEnd"/>
      <w:r w:rsidRPr="00CF2D87">
        <w:rPr>
          <w:rFonts w:ascii="Calibri" w:hAnsi="Calibri" w:cs="Calibri"/>
          <w:i/>
          <w:sz w:val="22"/>
          <w:szCs w:val="22"/>
        </w:rPr>
        <w:t xml:space="preserve"> there is only a bald reference to the fact that the sum said to be due in those circumstances is the amount of €221,795.53. No detail whatsoever is given as to how that sum is calculated. It is true that the same sum is mentioned on the Statement of Account as previously supplied to Mr. O’Malley. That fact would, therefore, in my view have at least been sufficient to transfer the analysis of the sufficiency of the details given from the special summons to the Statement of Account, </w:t>
      </w:r>
      <w:r w:rsidRPr="00CF2D87">
        <w:rPr>
          <w:rFonts w:ascii="Calibri" w:hAnsi="Calibri" w:cs="Calibri"/>
          <w:bCs/>
          <w:i/>
          <w:sz w:val="22"/>
          <w:szCs w:val="22"/>
        </w:rPr>
        <w:t>had there been some reference in the special indorsement of claim to the fact that the sum in question was calculated in accordance with the terms of the Statement of Account.”</w:t>
      </w:r>
    </w:p>
    <w:p w14:paraId="24613FA5" w14:textId="77777777" w:rsidR="000B2344" w:rsidRPr="00CF2D87" w:rsidRDefault="000B2344" w:rsidP="000B2344">
      <w:pPr>
        <w:spacing w:line="276" w:lineRule="auto"/>
        <w:rPr>
          <w:rFonts w:ascii="Calibri" w:hAnsi="Calibri" w:cs="Calibri"/>
          <w:bCs/>
          <w:i/>
          <w:sz w:val="22"/>
          <w:szCs w:val="22"/>
        </w:rPr>
      </w:pPr>
    </w:p>
    <w:p w14:paraId="41D35DE8" w14:textId="77777777"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t xml:space="preserve">5.8 </w:t>
      </w:r>
      <w:r w:rsidRPr="00CF2D87">
        <w:rPr>
          <w:rFonts w:ascii="Calibri" w:hAnsi="Calibri" w:cs="Calibri"/>
          <w:i/>
          <w:sz w:val="22"/>
          <w:szCs w:val="22"/>
        </w:rPr>
        <w:tab/>
      </w:r>
      <w:r w:rsidR="00CD57C6" w:rsidRPr="00CF2D87">
        <w:rPr>
          <w:rFonts w:ascii="Calibri" w:hAnsi="Calibri" w:cs="Calibri"/>
          <w:i/>
          <w:sz w:val="22"/>
          <w:szCs w:val="22"/>
        </w:rPr>
        <w:tab/>
      </w:r>
      <w:r w:rsidRPr="00CF2D87">
        <w:rPr>
          <w:rFonts w:ascii="Calibri" w:hAnsi="Calibri" w:cs="Calibri"/>
          <w:i/>
          <w:sz w:val="22"/>
          <w:szCs w:val="22"/>
        </w:rPr>
        <w:t xml:space="preserve">However, in my view, the special indorsement of claim in this case was not sufficient. There are absolutely no details of how the sum said to be due is arrived at. …… why </w:t>
      </w:r>
      <w:r w:rsidRPr="00CF2D87">
        <w:rPr>
          <w:rFonts w:ascii="Calibri" w:hAnsi="Calibri" w:cs="Calibri"/>
          <w:bCs/>
          <w:i/>
          <w:sz w:val="22"/>
          <w:szCs w:val="22"/>
        </w:rPr>
        <w:t xml:space="preserve">the </w:t>
      </w:r>
      <w:proofErr w:type="gramStart"/>
      <w:r w:rsidRPr="00CF2D87">
        <w:rPr>
          <w:rFonts w:ascii="Calibri" w:hAnsi="Calibri" w:cs="Calibri"/>
          <w:bCs/>
          <w:i/>
          <w:sz w:val="22"/>
          <w:szCs w:val="22"/>
        </w:rPr>
        <w:t>particular amount</w:t>
      </w:r>
      <w:proofErr w:type="gramEnd"/>
      <w:r w:rsidRPr="00CF2D87">
        <w:rPr>
          <w:rFonts w:ascii="Calibri" w:hAnsi="Calibri" w:cs="Calibri"/>
          <w:bCs/>
          <w:i/>
          <w:sz w:val="22"/>
          <w:szCs w:val="22"/>
        </w:rPr>
        <w:t xml:space="preserve"> due</w:t>
      </w:r>
      <w:r w:rsidRPr="00CF2D87">
        <w:rPr>
          <w:rFonts w:ascii="Calibri" w:hAnsi="Calibri" w:cs="Calibri"/>
          <w:i/>
          <w:sz w:val="22"/>
          <w:szCs w:val="22"/>
        </w:rPr>
        <w:t xml:space="preserve"> should be the sum claimed is not at all clear. I cannot see that a person receiving such a summons could have the “necessary” details to decide whether they should concede or resist.</w:t>
      </w:r>
    </w:p>
    <w:p w14:paraId="64C65343" w14:textId="77777777" w:rsidR="000B2344" w:rsidRPr="00CF2D87" w:rsidRDefault="000B2344" w:rsidP="000B2344">
      <w:pPr>
        <w:spacing w:line="276" w:lineRule="auto"/>
        <w:ind w:left="360"/>
        <w:rPr>
          <w:rFonts w:ascii="Calibri" w:hAnsi="Calibri" w:cs="Calibri"/>
          <w:sz w:val="22"/>
          <w:szCs w:val="22"/>
        </w:rPr>
      </w:pPr>
    </w:p>
    <w:p w14:paraId="27752435" w14:textId="28709DCB"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t xml:space="preserve">5.9 </w:t>
      </w:r>
      <w:r w:rsidR="00CD57C6" w:rsidRPr="00CF2D87">
        <w:rPr>
          <w:rFonts w:ascii="Calibri" w:hAnsi="Calibri" w:cs="Calibri"/>
          <w:i/>
          <w:sz w:val="22"/>
          <w:szCs w:val="22"/>
        </w:rPr>
        <w:tab/>
      </w:r>
      <w:r w:rsidR="00CD57C6" w:rsidRPr="00CF2D87">
        <w:rPr>
          <w:rFonts w:ascii="Calibri" w:hAnsi="Calibri" w:cs="Calibri"/>
          <w:i/>
          <w:sz w:val="22"/>
          <w:szCs w:val="22"/>
        </w:rPr>
        <w:tab/>
      </w:r>
      <w:r w:rsidRPr="00CF2D87">
        <w:rPr>
          <w:rFonts w:ascii="Calibri" w:hAnsi="Calibri" w:cs="Calibri"/>
          <w:i/>
          <w:sz w:val="22"/>
          <w:szCs w:val="22"/>
        </w:rPr>
        <w:t>If the special indorsement of claim had gone on to make specific reference to the relevant sum being calculated by reference to the details set out in the Statement of Account, then I would be happy that the document concerned would be incorporated by reference into the special indorsement of claim and regard could be had to it in deciding whether adequate particulars had been given. But even that simple step was not taken in this case.</w:t>
      </w:r>
    </w:p>
    <w:p w14:paraId="53FACA30" w14:textId="77777777" w:rsidR="000B2344" w:rsidRPr="00CF2D87" w:rsidRDefault="000B2344" w:rsidP="000B2344">
      <w:pPr>
        <w:spacing w:line="276" w:lineRule="auto"/>
        <w:ind w:left="360"/>
        <w:rPr>
          <w:rFonts w:ascii="Calibri" w:hAnsi="Calibri" w:cs="Calibri"/>
          <w:sz w:val="22"/>
          <w:szCs w:val="22"/>
        </w:rPr>
      </w:pPr>
    </w:p>
    <w:p w14:paraId="572B7179" w14:textId="03623F87" w:rsidR="000B2344" w:rsidRPr="00CF2D87" w:rsidRDefault="000B2344" w:rsidP="000B2344">
      <w:pPr>
        <w:spacing w:line="276" w:lineRule="auto"/>
        <w:ind w:left="360"/>
        <w:rPr>
          <w:rFonts w:ascii="Calibri" w:hAnsi="Calibri" w:cs="Calibri"/>
          <w:i/>
          <w:sz w:val="22"/>
          <w:szCs w:val="22"/>
        </w:rPr>
      </w:pPr>
      <w:r w:rsidRPr="00CF2D87">
        <w:rPr>
          <w:rFonts w:ascii="Calibri" w:hAnsi="Calibri" w:cs="Calibri"/>
          <w:i/>
          <w:sz w:val="22"/>
          <w:szCs w:val="22"/>
        </w:rPr>
        <w:t>I would, therefore, conclude that the special indorsement of claim was not adequate.”</w:t>
      </w:r>
    </w:p>
    <w:p w14:paraId="38AD0739" w14:textId="77777777" w:rsidR="000B2344" w:rsidRPr="00CF2D87" w:rsidRDefault="000B2344" w:rsidP="000B2344">
      <w:pPr>
        <w:spacing w:line="276" w:lineRule="auto"/>
        <w:rPr>
          <w:rFonts w:ascii="Calibri" w:hAnsi="Calibri" w:cs="Calibri"/>
          <w:b/>
          <w:bCs/>
          <w:sz w:val="22"/>
          <w:szCs w:val="22"/>
        </w:rPr>
      </w:pPr>
    </w:p>
    <w:p w14:paraId="60FAEE7F" w14:textId="77777777" w:rsidR="000B2344" w:rsidRPr="00CF2D87" w:rsidRDefault="000B2344" w:rsidP="000B2344">
      <w:pPr>
        <w:spacing w:line="276" w:lineRule="auto"/>
        <w:rPr>
          <w:rFonts w:ascii="Calibri" w:hAnsi="Calibri" w:cs="Calibri"/>
          <w:b/>
          <w:bCs/>
          <w:sz w:val="22"/>
          <w:szCs w:val="22"/>
        </w:rPr>
      </w:pPr>
    </w:p>
    <w:p w14:paraId="159C6158" w14:textId="77777777"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bCs/>
          <w:sz w:val="22"/>
          <w:szCs w:val="22"/>
        </w:rPr>
        <w:t>The reference here to “</w:t>
      </w:r>
      <w:r w:rsidRPr="00CF2D87">
        <w:rPr>
          <w:rFonts w:ascii="Calibri" w:hAnsi="Calibri" w:cs="Calibri"/>
          <w:i/>
          <w:sz w:val="22"/>
          <w:szCs w:val="22"/>
        </w:rPr>
        <w:t>the Statement of Account as previously supplied to Mr. O’Malley</w:t>
      </w:r>
      <w:r w:rsidRPr="00CF2D87">
        <w:rPr>
          <w:rFonts w:ascii="Calibri" w:hAnsi="Calibri" w:cs="Calibri"/>
          <w:sz w:val="22"/>
          <w:szCs w:val="22"/>
        </w:rPr>
        <w:t xml:space="preserve">” is not to </w:t>
      </w:r>
      <w:r w:rsidR="00CD57C6" w:rsidRPr="00CF2D87">
        <w:rPr>
          <w:rFonts w:ascii="Calibri" w:hAnsi="Calibri" w:cs="Calibri"/>
          <w:sz w:val="22"/>
          <w:szCs w:val="22"/>
        </w:rPr>
        <w:t>s</w:t>
      </w:r>
      <w:r w:rsidRPr="00CF2D87">
        <w:rPr>
          <w:rFonts w:ascii="Calibri" w:hAnsi="Calibri" w:cs="Calibri"/>
          <w:sz w:val="22"/>
          <w:szCs w:val="22"/>
        </w:rPr>
        <w:t xml:space="preserve">tatements sent from time to time over the period of the loan but to a copy </w:t>
      </w:r>
      <w:r w:rsidR="00CD57C6" w:rsidRPr="00CF2D87">
        <w:rPr>
          <w:rFonts w:ascii="Calibri" w:hAnsi="Calibri" w:cs="Calibri"/>
          <w:sz w:val="22"/>
          <w:szCs w:val="22"/>
        </w:rPr>
        <w:t>s</w:t>
      </w:r>
      <w:r w:rsidRPr="00CF2D87">
        <w:rPr>
          <w:rFonts w:ascii="Calibri" w:hAnsi="Calibri" w:cs="Calibri"/>
          <w:sz w:val="22"/>
          <w:szCs w:val="22"/>
        </w:rPr>
        <w:t xml:space="preserve">tatement of </w:t>
      </w:r>
      <w:r w:rsidR="00CD57C6" w:rsidRPr="00CF2D87">
        <w:rPr>
          <w:rFonts w:ascii="Calibri" w:hAnsi="Calibri" w:cs="Calibri"/>
          <w:sz w:val="22"/>
          <w:szCs w:val="22"/>
        </w:rPr>
        <w:lastRenderedPageBreak/>
        <w:t>a</w:t>
      </w:r>
      <w:r w:rsidRPr="00CF2D87">
        <w:rPr>
          <w:rFonts w:ascii="Calibri" w:hAnsi="Calibri" w:cs="Calibri"/>
          <w:sz w:val="22"/>
          <w:szCs w:val="22"/>
        </w:rPr>
        <w:t>ccount sent to his solicitors earlier in 2014 in response to their request for a detailed breakdown of the sum of monies alleged to be owed.</w:t>
      </w:r>
    </w:p>
    <w:p w14:paraId="2B4F3354" w14:textId="77777777" w:rsidR="000B2344" w:rsidRPr="00CF2D87" w:rsidRDefault="000B2344" w:rsidP="007773A1">
      <w:pPr>
        <w:spacing w:line="276" w:lineRule="auto"/>
        <w:rPr>
          <w:rFonts w:ascii="Calibri" w:hAnsi="Calibri" w:cs="Calibri"/>
          <w:sz w:val="22"/>
          <w:szCs w:val="22"/>
        </w:rPr>
      </w:pPr>
    </w:p>
    <w:p w14:paraId="1870E680" w14:textId="77777777" w:rsidR="000B2344" w:rsidRPr="00CF2D87" w:rsidRDefault="000B2344" w:rsidP="007773A1">
      <w:pPr>
        <w:spacing w:line="276" w:lineRule="auto"/>
        <w:rPr>
          <w:rFonts w:ascii="Calibri" w:hAnsi="Calibri" w:cs="Calibri"/>
          <w:sz w:val="22"/>
          <w:szCs w:val="22"/>
        </w:rPr>
      </w:pPr>
    </w:p>
    <w:p w14:paraId="3E476CD4" w14:textId="4DC1FDBB" w:rsidR="000B2344" w:rsidRPr="00CF2D87" w:rsidRDefault="000B2344" w:rsidP="000B2344">
      <w:pPr>
        <w:pStyle w:val="ListParagraph"/>
        <w:numPr>
          <w:ilvl w:val="0"/>
          <w:numId w:val="4"/>
        </w:numPr>
        <w:spacing w:line="276" w:lineRule="auto"/>
        <w:rPr>
          <w:rFonts w:ascii="Calibri" w:hAnsi="Calibri" w:cs="Calibri"/>
          <w:sz w:val="22"/>
          <w:szCs w:val="22"/>
        </w:rPr>
      </w:pPr>
      <w:r w:rsidRPr="00CF2D87">
        <w:rPr>
          <w:rFonts w:ascii="Calibri" w:hAnsi="Calibri" w:cs="Calibri"/>
          <w:sz w:val="22"/>
          <w:szCs w:val="22"/>
        </w:rPr>
        <w:t xml:space="preserve">In my view, and as stated above, the rationale of </w:t>
      </w:r>
      <w:r w:rsidRPr="00CF2D87">
        <w:rPr>
          <w:rFonts w:ascii="Calibri" w:hAnsi="Calibri" w:cs="Calibri"/>
          <w:i/>
          <w:sz w:val="22"/>
          <w:szCs w:val="22"/>
        </w:rPr>
        <w:t>O’Malley</w:t>
      </w:r>
      <w:r w:rsidRPr="00CF2D87">
        <w:rPr>
          <w:rFonts w:ascii="Calibri" w:hAnsi="Calibri" w:cs="Calibri"/>
          <w:sz w:val="22"/>
          <w:szCs w:val="22"/>
        </w:rPr>
        <w:t xml:space="preserve"> as to pleading is the achievement of a very practical </w:t>
      </w:r>
      <w:r w:rsidR="009E25DB" w:rsidRPr="00CF2D87">
        <w:rPr>
          <w:rFonts w:ascii="Calibri" w:hAnsi="Calibri" w:cs="Calibri"/>
          <w:sz w:val="22"/>
          <w:szCs w:val="22"/>
        </w:rPr>
        <w:t>end</w:t>
      </w:r>
      <w:r w:rsidRPr="00CF2D87">
        <w:rPr>
          <w:rFonts w:ascii="Calibri" w:hAnsi="Calibri" w:cs="Calibri"/>
          <w:sz w:val="22"/>
          <w:szCs w:val="22"/>
        </w:rPr>
        <w:t xml:space="preserve"> of enabling the defendant to satisfy himself that the liquidated sum</w:t>
      </w:r>
      <w:r w:rsidR="00CD57C6" w:rsidRPr="00CF2D87">
        <w:rPr>
          <w:rFonts w:ascii="Calibri" w:hAnsi="Calibri" w:cs="Calibri"/>
          <w:sz w:val="22"/>
          <w:szCs w:val="22"/>
        </w:rPr>
        <w:t xml:space="preserve"> </w:t>
      </w:r>
      <w:r w:rsidRPr="00CF2D87">
        <w:rPr>
          <w:rFonts w:ascii="Calibri" w:hAnsi="Calibri" w:cs="Calibri"/>
          <w:sz w:val="22"/>
          <w:szCs w:val="22"/>
        </w:rPr>
        <w:t>claimed has been correctly calculated. Not least when compared with the ease with which a bank can achieve that purpose by a simple letter before action enclosing the statements for later incorporation by reference in the indorsement of claim, but in any event in its own terms, I cannot see how purported incorporation by reference of statements sent from time to time, over a decade or even decades and perhaps monthly, can be seen as reliably likely to achieve that practical purpose in the exercise of a jurisdiction to be exercised with discernible caution.</w:t>
      </w:r>
    </w:p>
    <w:p w14:paraId="5526E0EC" w14:textId="77777777" w:rsidR="000B2344" w:rsidRPr="00CF2D87" w:rsidRDefault="000B2344" w:rsidP="000B2344">
      <w:pPr>
        <w:spacing w:line="276" w:lineRule="auto"/>
        <w:rPr>
          <w:rFonts w:ascii="Calibri" w:hAnsi="Calibri" w:cs="Calibri"/>
          <w:sz w:val="22"/>
          <w:szCs w:val="22"/>
        </w:rPr>
      </w:pPr>
    </w:p>
    <w:p w14:paraId="4F8FAAC1" w14:textId="77777777" w:rsidR="000B2344" w:rsidRPr="00CF2D87" w:rsidRDefault="000B2344" w:rsidP="000B2344">
      <w:pPr>
        <w:spacing w:line="276" w:lineRule="auto"/>
        <w:rPr>
          <w:rFonts w:ascii="Calibri" w:hAnsi="Calibri" w:cs="Calibri"/>
          <w:sz w:val="22"/>
          <w:szCs w:val="22"/>
        </w:rPr>
      </w:pPr>
    </w:p>
    <w:p w14:paraId="559692F7" w14:textId="77777777" w:rsidR="000B2344" w:rsidRPr="00CF2D87" w:rsidRDefault="000B2344" w:rsidP="000B2344">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 xml:space="preserve">Clarke </w:t>
      </w:r>
      <w:r w:rsidR="00CD57C6" w:rsidRPr="00CF2D87">
        <w:rPr>
          <w:rFonts w:ascii="Calibri" w:hAnsi="Calibri" w:cs="Calibri"/>
          <w:sz w:val="22"/>
          <w:szCs w:val="22"/>
        </w:rPr>
        <w:t>CJ did</w:t>
      </w:r>
      <w:r w:rsidRPr="00CF2D87">
        <w:rPr>
          <w:rFonts w:ascii="Calibri" w:hAnsi="Calibri" w:cs="Calibri"/>
          <w:sz w:val="22"/>
          <w:szCs w:val="22"/>
        </w:rPr>
        <w:t xml:space="preserve"> say that “</w:t>
      </w:r>
      <w:r w:rsidRPr="00CF2D87">
        <w:rPr>
          <w:rFonts w:ascii="Calibri" w:hAnsi="Calibri" w:cs="Calibri"/>
          <w:i/>
          <w:sz w:val="22"/>
          <w:szCs w:val="22"/>
        </w:rPr>
        <w:t xml:space="preserve">The procedures are intended to be summary. They are not intended to involve an overly detailed account of every twist and turn of a banking relationship which might go back many years and involve, in at least some cases, thousands of transactions or measures potentially affecting the liability of the borrower.” </w:t>
      </w:r>
      <w:r w:rsidRPr="00CF2D87">
        <w:rPr>
          <w:rFonts w:ascii="Calibri" w:hAnsi="Calibri" w:cs="Calibri"/>
          <w:sz w:val="22"/>
          <w:szCs w:val="22"/>
        </w:rPr>
        <w:t>I confess to finding it difficult to discern how</w:t>
      </w:r>
      <w:r w:rsidR="00CD57C6" w:rsidRPr="00CF2D87">
        <w:rPr>
          <w:rFonts w:ascii="Calibri" w:hAnsi="Calibri" w:cs="Calibri"/>
          <w:sz w:val="22"/>
          <w:szCs w:val="22"/>
        </w:rPr>
        <w:t>,</w:t>
      </w:r>
      <w:r w:rsidRPr="00CF2D87">
        <w:rPr>
          <w:rFonts w:ascii="Calibri" w:hAnsi="Calibri" w:cs="Calibri"/>
          <w:sz w:val="22"/>
          <w:szCs w:val="22"/>
        </w:rPr>
        <w:t xml:space="preserve"> without such details</w:t>
      </w:r>
      <w:r w:rsidR="00CD57C6" w:rsidRPr="00CF2D87">
        <w:rPr>
          <w:rFonts w:ascii="Calibri" w:hAnsi="Calibri" w:cs="Calibri"/>
          <w:sz w:val="22"/>
          <w:szCs w:val="22"/>
        </w:rPr>
        <w:t>,</w:t>
      </w:r>
      <w:r w:rsidRPr="00CF2D87">
        <w:rPr>
          <w:rFonts w:ascii="Calibri" w:hAnsi="Calibri" w:cs="Calibri"/>
          <w:sz w:val="22"/>
          <w:szCs w:val="22"/>
        </w:rPr>
        <w:t xml:space="preserve"> a borrower will be able to satisfy himself of </w:t>
      </w:r>
      <w:r w:rsidR="00CD57C6" w:rsidRPr="00CF2D87">
        <w:rPr>
          <w:rFonts w:ascii="Calibri" w:hAnsi="Calibri" w:cs="Calibri"/>
          <w:sz w:val="22"/>
          <w:szCs w:val="22"/>
        </w:rPr>
        <w:t xml:space="preserve">the accuracy of </w:t>
      </w:r>
      <w:r w:rsidRPr="00CF2D87">
        <w:rPr>
          <w:rFonts w:ascii="Calibri" w:hAnsi="Calibri" w:cs="Calibri"/>
          <w:sz w:val="22"/>
          <w:szCs w:val="22"/>
        </w:rPr>
        <w:t xml:space="preserve">the sum </w:t>
      </w:r>
      <w:r w:rsidR="00CD57C6" w:rsidRPr="00CF2D87">
        <w:rPr>
          <w:rFonts w:ascii="Calibri" w:hAnsi="Calibri" w:cs="Calibri"/>
          <w:sz w:val="22"/>
          <w:szCs w:val="22"/>
        </w:rPr>
        <w:t>claimed</w:t>
      </w:r>
      <w:r w:rsidRPr="00CF2D87">
        <w:rPr>
          <w:rFonts w:ascii="Calibri" w:hAnsi="Calibri" w:cs="Calibri"/>
          <w:sz w:val="22"/>
          <w:szCs w:val="22"/>
        </w:rPr>
        <w:t xml:space="preserve"> or how the requirement of provision of such details would unduly burden a bank. That may well prove a difficult balance to achieve in, for example, claims on business accounts on which very many transactions will occur. </w:t>
      </w:r>
      <w:proofErr w:type="gramStart"/>
      <w:r w:rsidRPr="00CF2D87">
        <w:rPr>
          <w:rFonts w:ascii="Calibri" w:hAnsi="Calibri" w:cs="Calibri"/>
          <w:sz w:val="22"/>
          <w:szCs w:val="22"/>
        </w:rPr>
        <w:t>Fortunately</w:t>
      </w:r>
      <w:proofErr w:type="gramEnd"/>
      <w:r w:rsidRPr="00CF2D87">
        <w:rPr>
          <w:rFonts w:ascii="Calibri" w:hAnsi="Calibri" w:cs="Calibri"/>
          <w:sz w:val="22"/>
          <w:szCs w:val="22"/>
        </w:rPr>
        <w:t xml:space="preserve"> I need not decide that issue for present purposes and in cases of loans to individuals such issues will not typically arise. They do not arise here.</w:t>
      </w:r>
    </w:p>
    <w:p w14:paraId="0C90FA4E" w14:textId="77777777" w:rsidR="000B2344" w:rsidRPr="00CF2D87" w:rsidRDefault="000B2344" w:rsidP="00CD57C6">
      <w:pPr>
        <w:spacing w:line="276" w:lineRule="auto"/>
        <w:rPr>
          <w:rFonts w:ascii="Calibri" w:hAnsi="Calibri" w:cs="Calibri"/>
          <w:i/>
          <w:sz w:val="22"/>
          <w:szCs w:val="22"/>
        </w:rPr>
      </w:pPr>
    </w:p>
    <w:p w14:paraId="30DF3D61" w14:textId="1A8AFEE8" w:rsidR="000B2344" w:rsidRPr="00CF2D87" w:rsidRDefault="000B2344" w:rsidP="007773A1">
      <w:pPr>
        <w:spacing w:line="276" w:lineRule="auto"/>
        <w:rPr>
          <w:rFonts w:ascii="Calibri" w:hAnsi="Calibri" w:cs="Calibri"/>
          <w:i/>
          <w:sz w:val="22"/>
          <w:szCs w:val="22"/>
        </w:rPr>
      </w:pPr>
    </w:p>
    <w:p w14:paraId="6161CF83" w14:textId="77777777" w:rsidR="00803377" w:rsidRPr="00CF2D87" w:rsidRDefault="00803377" w:rsidP="007773A1">
      <w:pPr>
        <w:spacing w:line="276" w:lineRule="auto"/>
        <w:rPr>
          <w:rFonts w:ascii="Calibri" w:hAnsi="Calibri" w:cs="Calibri"/>
          <w:i/>
          <w:sz w:val="22"/>
          <w:szCs w:val="22"/>
        </w:rPr>
      </w:pPr>
    </w:p>
    <w:p w14:paraId="7F42912B" w14:textId="77777777" w:rsidR="000B2344" w:rsidRPr="00CF2D87" w:rsidRDefault="000B2344" w:rsidP="00702C05">
      <w:pPr>
        <w:pStyle w:val="Heading2"/>
        <w:rPr>
          <w:szCs w:val="22"/>
        </w:rPr>
      </w:pPr>
      <w:r w:rsidRPr="00CF2D87">
        <w:rPr>
          <w:szCs w:val="22"/>
        </w:rPr>
        <w:t>Conclusion</w:t>
      </w:r>
    </w:p>
    <w:p w14:paraId="37C82425" w14:textId="77777777" w:rsidR="000B2344" w:rsidRPr="00CF2D87" w:rsidRDefault="000B2344" w:rsidP="000B2344">
      <w:pPr>
        <w:pStyle w:val="ListParagraph"/>
        <w:spacing w:line="276" w:lineRule="auto"/>
        <w:ind w:left="360"/>
        <w:rPr>
          <w:rFonts w:ascii="Calibri" w:hAnsi="Calibri" w:cs="Calibri"/>
          <w:i/>
          <w:sz w:val="22"/>
          <w:szCs w:val="22"/>
        </w:rPr>
      </w:pPr>
    </w:p>
    <w:p w14:paraId="141F6D4B" w14:textId="103397B5" w:rsidR="000B2344" w:rsidRPr="00CF2D87" w:rsidRDefault="009E25DB" w:rsidP="000B2344">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 xml:space="preserve">For reasons set out above, </w:t>
      </w:r>
      <w:r w:rsidR="000B2344" w:rsidRPr="00CF2D87">
        <w:rPr>
          <w:rFonts w:ascii="Calibri" w:hAnsi="Calibri" w:cs="Calibri"/>
          <w:sz w:val="22"/>
          <w:szCs w:val="22"/>
        </w:rPr>
        <w:t xml:space="preserve">I prefer the view taken in </w:t>
      </w:r>
      <w:r w:rsidR="000B2344" w:rsidRPr="00CF2D87">
        <w:rPr>
          <w:rFonts w:ascii="Calibri" w:hAnsi="Calibri" w:cs="Calibri"/>
          <w:i/>
          <w:sz w:val="22"/>
          <w:szCs w:val="22"/>
        </w:rPr>
        <w:t>Havbell v Harris</w:t>
      </w:r>
      <w:r w:rsidR="000B2344" w:rsidRPr="00CF2D87">
        <w:rPr>
          <w:rFonts w:ascii="Calibri" w:hAnsi="Calibri" w:cs="Calibri"/>
          <w:sz w:val="22"/>
          <w:szCs w:val="22"/>
        </w:rPr>
        <w:t xml:space="preserve"> as conforming to the reasoning of </w:t>
      </w:r>
      <w:r w:rsidR="000B2344" w:rsidRPr="00CF2D87">
        <w:rPr>
          <w:rFonts w:ascii="Calibri" w:hAnsi="Calibri" w:cs="Calibri"/>
          <w:i/>
          <w:sz w:val="22"/>
          <w:szCs w:val="22"/>
        </w:rPr>
        <w:t xml:space="preserve">O’Malley </w:t>
      </w:r>
      <w:r w:rsidR="000B2344" w:rsidRPr="00CF2D87">
        <w:rPr>
          <w:rFonts w:ascii="Calibri" w:hAnsi="Calibri" w:cs="Calibri"/>
          <w:sz w:val="22"/>
          <w:szCs w:val="22"/>
        </w:rPr>
        <w:t xml:space="preserve">and the practical end </w:t>
      </w:r>
      <w:r w:rsidR="000B2344" w:rsidRPr="00CF2D87">
        <w:rPr>
          <w:rFonts w:ascii="Calibri" w:hAnsi="Calibri" w:cs="Calibri"/>
          <w:i/>
          <w:sz w:val="22"/>
          <w:szCs w:val="22"/>
        </w:rPr>
        <w:t>O’Malley</w:t>
      </w:r>
      <w:r w:rsidR="000B2344" w:rsidRPr="00CF2D87">
        <w:rPr>
          <w:rFonts w:ascii="Calibri" w:hAnsi="Calibri" w:cs="Calibri"/>
          <w:sz w:val="22"/>
          <w:szCs w:val="22"/>
        </w:rPr>
        <w:t xml:space="preserve"> seeks to achieve. I therefore hold that the plea in the summons in this case</w:t>
      </w:r>
      <w:r w:rsidRPr="00CF2D87">
        <w:rPr>
          <w:rFonts w:ascii="Calibri" w:hAnsi="Calibri" w:cs="Calibri"/>
          <w:sz w:val="22"/>
          <w:szCs w:val="22"/>
        </w:rPr>
        <w:t>,</w:t>
      </w:r>
      <w:r w:rsidR="000B2344" w:rsidRPr="00CF2D87">
        <w:rPr>
          <w:rFonts w:ascii="Calibri" w:hAnsi="Calibri" w:cs="Calibri"/>
          <w:sz w:val="22"/>
          <w:szCs w:val="22"/>
        </w:rPr>
        <w:t xml:space="preserve"> incorporating by reference the statements delivered from time to time over the 12 years of the loan in question</w:t>
      </w:r>
      <w:r w:rsidRPr="00CF2D87">
        <w:rPr>
          <w:rFonts w:ascii="Calibri" w:hAnsi="Calibri" w:cs="Calibri"/>
          <w:sz w:val="22"/>
          <w:szCs w:val="22"/>
        </w:rPr>
        <w:t>,</w:t>
      </w:r>
      <w:r w:rsidR="000B2344" w:rsidRPr="00CF2D87">
        <w:rPr>
          <w:rFonts w:ascii="Calibri" w:hAnsi="Calibri" w:cs="Calibri"/>
          <w:sz w:val="22"/>
          <w:szCs w:val="22"/>
        </w:rPr>
        <w:t xml:space="preserve"> did not comply with the requirements of </w:t>
      </w:r>
      <w:r w:rsidR="000B2344" w:rsidRPr="00CF2D87">
        <w:rPr>
          <w:rFonts w:ascii="Calibri" w:hAnsi="Calibri" w:cs="Calibri"/>
          <w:i/>
          <w:sz w:val="22"/>
          <w:szCs w:val="22"/>
        </w:rPr>
        <w:t>O’Malley</w:t>
      </w:r>
      <w:r w:rsidR="000B2344" w:rsidRPr="00CF2D87">
        <w:rPr>
          <w:rFonts w:ascii="Calibri" w:hAnsi="Calibri" w:cs="Calibri"/>
          <w:sz w:val="22"/>
          <w:szCs w:val="22"/>
        </w:rPr>
        <w:t xml:space="preserve"> as to furnishing</w:t>
      </w:r>
      <w:r w:rsidR="00CD57C6" w:rsidRPr="00CF2D87">
        <w:rPr>
          <w:rFonts w:ascii="Calibri" w:hAnsi="Calibri" w:cs="Calibri"/>
          <w:sz w:val="22"/>
          <w:szCs w:val="22"/>
        </w:rPr>
        <w:t xml:space="preserve"> </w:t>
      </w:r>
      <w:r w:rsidR="000B2344" w:rsidRPr="00CF2D87">
        <w:rPr>
          <w:rFonts w:ascii="Calibri" w:hAnsi="Calibri" w:cs="Calibri"/>
          <w:sz w:val="22"/>
          <w:szCs w:val="22"/>
        </w:rPr>
        <w:t>particulars of the calculation of the liquidated sum claimed.</w:t>
      </w:r>
    </w:p>
    <w:p w14:paraId="264FADA2" w14:textId="59C4E024" w:rsidR="009E25DB" w:rsidRPr="00CF2D87" w:rsidRDefault="009E25DB" w:rsidP="009E25DB">
      <w:pPr>
        <w:pStyle w:val="ListParagraph"/>
        <w:spacing w:line="276" w:lineRule="auto"/>
        <w:ind w:left="0"/>
        <w:rPr>
          <w:rFonts w:ascii="Calibri" w:hAnsi="Calibri" w:cs="Calibri"/>
          <w:i/>
          <w:sz w:val="22"/>
          <w:szCs w:val="22"/>
        </w:rPr>
      </w:pPr>
    </w:p>
    <w:p w14:paraId="70D79912" w14:textId="77777777" w:rsidR="009E25DB" w:rsidRPr="00CF2D87" w:rsidRDefault="009E25DB" w:rsidP="009E25DB">
      <w:pPr>
        <w:pStyle w:val="ListParagraph"/>
        <w:spacing w:line="276" w:lineRule="auto"/>
        <w:ind w:left="0"/>
        <w:rPr>
          <w:rFonts w:ascii="Calibri" w:hAnsi="Calibri" w:cs="Calibri"/>
          <w:i/>
          <w:sz w:val="22"/>
          <w:szCs w:val="22"/>
        </w:rPr>
      </w:pPr>
    </w:p>
    <w:p w14:paraId="143B676B" w14:textId="29B1413D" w:rsidR="00702C05" w:rsidRPr="00CF2D87" w:rsidRDefault="009E25DB" w:rsidP="000B2344">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 xml:space="preserve">At one level, this may seem a somewhat theoretical </w:t>
      </w:r>
      <w:r w:rsidR="00702C05" w:rsidRPr="00CF2D87">
        <w:rPr>
          <w:rFonts w:ascii="Calibri" w:hAnsi="Calibri" w:cs="Calibri"/>
          <w:sz w:val="22"/>
          <w:szCs w:val="22"/>
        </w:rPr>
        <w:t xml:space="preserve">as opposed to substantive </w:t>
      </w:r>
      <w:r w:rsidRPr="00CF2D87">
        <w:rPr>
          <w:rFonts w:ascii="Calibri" w:hAnsi="Calibri" w:cs="Calibri"/>
          <w:sz w:val="22"/>
          <w:szCs w:val="22"/>
        </w:rPr>
        <w:t>approach</w:t>
      </w:r>
      <w:r w:rsidR="00702C05" w:rsidRPr="00CF2D87">
        <w:rPr>
          <w:rFonts w:ascii="Calibri" w:hAnsi="Calibri" w:cs="Calibri"/>
          <w:sz w:val="22"/>
          <w:szCs w:val="22"/>
        </w:rPr>
        <w:t xml:space="preserve"> to the requirements of justice.</w:t>
      </w:r>
      <w:r w:rsidRPr="00CF2D87">
        <w:rPr>
          <w:rFonts w:ascii="Calibri" w:hAnsi="Calibri" w:cs="Calibri"/>
          <w:sz w:val="22"/>
          <w:szCs w:val="22"/>
        </w:rPr>
        <w:t xml:space="preserve"> A</w:t>
      </w:r>
      <w:r w:rsidR="00702C05" w:rsidRPr="00CF2D87">
        <w:rPr>
          <w:rFonts w:ascii="Calibri" w:hAnsi="Calibri" w:cs="Calibri"/>
          <w:sz w:val="22"/>
          <w:szCs w:val="22"/>
        </w:rPr>
        <w:t xml:space="preserve">fter </w:t>
      </w:r>
      <w:proofErr w:type="gramStart"/>
      <w:r w:rsidR="00702C05" w:rsidRPr="00CF2D87">
        <w:rPr>
          <w:rFonts w:ascii="Calibri" w:hAnsi="Calibri" w:cs="Calibri"/>
          <w:sz w:val="22"/>
          <w:szCs w:val="22"/>
        </w:rPr>
        <w:t>all</w:t>
      </w:r>
      <w:proofErr w:type="gramEnd"/>
      <w:r w:rsidR="00702C05" w:rsidRPr="00CF2D87">
        <w:rPr>
          <w:rFonts w:ascii="Calibri" w:hAnsi="Calibri" w:cs="Calibri"/>
          <w:sz w:val="22"/>
          <w:szCs w:val="22"/>
        </w:rPr>
        <w:t xml:space="preserve"> a</w:t>
      </w:r>
      <w:r w:rsidRPr="00CF2D87">
        <w:rPr>
          <w:rFonts w:ascii="Calibri" w:hAnsi="Calibri" w:cs="Calibri"/>
          <w:sz w:val="22"/>
          <w:szCs w:val="22"/>
        </w:rPr>
        <w:t>t this point in the process</w:t>
      </w:r>
      <w:r w:rsidR="00702C05" w:rsidRPr="00CF2D87">
        <w:rPr>
          <w:rFonts w:ascii="Calibri" w:hAnsi="Calibri" w:cs="Calibri"/>
          <w:sz w:val="22"/>
          <w:szCs w:val="22"/>
        </w:rPr>
        <w:t>,</w:t>
      </w:r>
      <w:r w:rsidRPr="00CF2D87">
        <w:rPr>
          <w:rFonts w:ascii="Calibri" w:hAnsi="Calibri" w:cs="Calibri"/>
          <w:sz w:val="22"/>
          <w:szCs w:val="22"/>
        </w:rPr>
        <w:t xml:space="preserve"> the Defendant will have had the relevant bank statements </w:t>
      </w:r>
      <w:r w:rsidR="00702C05" w:rsidRPr="00CF2D87">
        <w:rPr>
          <w:rFonts w:ascii="Calibri" w:hAnsi="Calibri" w:cs="Calibri"/>
          <w:sz w:val="22"/>
          <w:szCs w:val="22"/>
        </w:rPr>
        <w:t xml:space="preserve">as exhibited in the motion for judgment and can now satisfy himself of the calculations of the debt claimed. </w:t>
      </w:r>
      <w:proofErr w:type="gramStart"/>
      <w:r w:rsidR="00702C05" w:rsidRPr="00CF2D87">
        <w:rPr>
          <w:rFonts w:ascii="Calibri" w:hAnsi="Calibri" w:cs="Calibri"/>
          <w:sz w:val="22"/>
          <w:szCs w:val="22"/>
        </w:rPr>
        <w:t>However</w:t>
      </w:r>
      <w:proofErr w:type="gramEnd"/>
      <w:r w:rsidR="00702C05" w:rsidRPr="00CF2D87">
        <w:rPr>
          <w:rFonts w:ascii="Calibri" w:hAnsi="Calibri" w:cs="Calibri"/>
          <w:sz w:val="22"/>
          <w:szCs w:val="22"/>
        </w:rPr>
        <w:t xml:space="preserve"> </w:t>
      </w:r>
      <w:r w:rsidR="00702C05" w:rsidRPr="00CF2D87">
        <w:rPr>
          <w:rFonts w:ascii="Calibri" w:hAnsi="Calibri" w:cs="Calibri"/>
          <w:i/>
          <w:sz w:val="22"/>
          <w:szCs w:val="22"/>
        </w:rPr>
        <w:t>O’Malley</w:t>
      </w:r>
      <w:r w:rsidR="00702C05" w:rsidRPr="00CF2D87">
        <w:rPr>
          <w:rFonts w:ascii="Calibri" w:hAnsi="Calibri" w:cs="Calibri"/>
          <w:sz w:val="22"/>
          <w:szCs w:val="22"/>
        </w:rPr>
        <w:t xml:space="preserve"> is clear that the requirements of pleading and evidence, though overlapping in substance, must both be satisfied. That is</w:t>
      </w:r>
      <w:r w:rsidR="002D7576" w:rsidRPr="00CF2D87">
        <w:rPr>
          <w:rFonts w:ascii="Calibri" w:hAnsi="Calibri" w:cs="Calibri"/>
          <w:sz w:val="22"/>
          <w:szCs w:val="22"/>
        </w:rPr>
        <w:t>, in a part,</w:t>
      </w:r>
      <w:r w:rsidR="00702C05" w:rsidRPr="00CF2D87">
        <w:rPr>
          <w:rFonts w:ascii="Calibri" w:hAnsi="Calibri" w:cs="Calibri"/>
          <w:sz w:val="22"/>
          <w:szCs w:val="22"/>
        </w:rPr>
        <w:t xml:space="preserve"> a reflection of the considerable importance of the role of pleadings in our system of litigation. </w:t>
      </w:r>
      <w:r w:rsidR="004F2E9B" w:rsidRPr="00CF2D87">
        <w:rPr>
          <w:rFonts w:ascii="Calibri" w:hAnsi="Calibri" w:cs="Calibri"/>
          <w:sz w:val="22"/>
          <w:szCs w:val="22"/>
        </w:rPr>
        <w:t xml:space="preserve">And </w:t>
      </w:r>
      <w:r w:rsidR="00702C05" w:rsidRPr="00CF2D87">
        <w:rPr>
          <w:rFonts w:ascii="Calibri" w:hAnsi="Calibri" w:cs="Calibri"/>
          <w:sz w:val="22"/>
          <w:szCs w:val="22"/>
        </w:rPr>
        <w:t xml:space="preserve">I have already referred to the fact that the pleading burden on banks is not heavy given they will in any event have to satisfy the evidential burden to get judgment. </w:t>
      </w:r>
    </w:p>
    <w:p w14:paraId="50ED3E50" w14:textId="387C5542" w:rsidR="00702C05" w:rsidRPr="00CF2D87" w:rsidRDefault="00702C05" w:rsidP="00702C05">
      <w:pPr>
        <w:pStyle w:val="ListParagraph"/>
        <w:spacing w:line="276" w:lineRule="auto"/>
        <w:ind w:left="0"/>
        <w:rPr>
          <w:rFonts w:ascii="Calibri" w:hAnsi="Calibri" w:cs="Calibri"/>
          <w:i/>
          <w:sz w:val="22"/>
          <w:szCs w:val="22"/>
        </w:rPr>
      </w:pPr>
    </w:p>
    <w:p w14:paraId="14DFA8C9" w14:textId="77777777" w:rsidR="00702C05" w:rsidRPr="00CF2D87" w:rsidRDefault="00702C05" w:rsidP="00702C05">
      <w:pPr>
        <w:pStyle w:val="ListParagraph"/>
        <w:spacing w:line="276" w:lineRule="auto"/>
        <w:ind w:left="0"/>
        <w:rPr>
          <w:rFonts w:ascii="Calibri" w:hAnsi="Calibri" w:cs="Calibri"/>
          <w:i/>
          <w:sz w:val="22"/>
          <w:szCs w:val="22"/>
        </w:rPr>
      </w:pPr>
    </w:p>
    <w:p w14:paraId="6FFAF267" w14:textId="02197909" w:rsidR="00702C05" w:rsidRPr="00CF2D87" w:rsidRDefault="00702C05" w:rsidP="00702C05">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lastRenderedPageBreak/>
        <w:t xml:space="preserve">Further, it must be remembered that while </w:t>
      </w:r>
      <w:r w:rsidRPr="00CF2D87">
        <w:rPr>
          <w:rFonts w:ascii="Calibri" w:hAnsi="Calibri" w:cs="Calibri"/>
          <w:i/>
          <w:sz w:val="22"/>
          <w:szCs w:val="22"/>
        </w:rPr>
        <w:t>“</w:t>
      </w:r>
      <w:r w:rsidRPr="00CF2D87">
        <w:rPr>
          <w:rFonts w:ascii="Calibri" w:eastAsiaTheme="minorHAnsi" w:hAnsi="Calibri" w:cs="Calibri"/>
          <w:i/>
          <w:color w:val="000000"/>
          <w:sz w:val="22"/>
          <w:szCs w:val="22"/>
          <w:lang w:eastAsia="en-US"/>
        </w:rPr>
        <w:t>it is neither in the public interest nor in the interests of the parties that straightforward claims for a debt or liquidated demands should require to be determined by plenary hearing, with the additional delay and cost that such a hearing involves and the additional burden thereby placed on the resources of the courts”</w:t>
      </w:r>
      <w:r w:rsidRPr="00CF2D87">
        <w:rPr>
          <w:rStyle w:val="FootnoteReference"/>
          <w:rFonts w:ascii="Calibri" w:eastAsiaTheme="minorHAnsi" w:hAnsi="Calibri" w:cs="Calibri"/>
          <w:i/>
          <w:color w:val="000000"/>
          <w:sz w:val="22"/>
          <w:szCs w:val="22"/>
          <w:lang w:eastAsia="en-US"/>
        </w:rPr>
        <w:footnoteReference w:id="20"/>
      </w:r>
      <w:r w:rsidR="00CF2D87">
        <w:rPr>
          <w:rFonts w:ascii="Calibri" w:eastAsiaTheme="minorHAnsi" w:hAnsi="Calibri" w:cs="Calibri"/>
          <w:i/>
          <w:color w:val="000000"/>
          <w:sz w:val="22"/>
          <w:szCs w:val="22"/>
          <w:lang w:eastAsia="en-US"/>
        </w:rPr>
        <w:t>,</w:t>
      </w:r>
      <w:r w:rsidR="002D7576" w:rsidRPr="00CF2D87">
        <w:rPr>
          <w:rFonts w:ascii="Calibri" w:eastAsiaTheme="minorHAnsi" w:hAnsi="Calibri" w:cs="Calibri"/>
          <w:i/>
          <w:color w:val="000000"/>
          <w:sz w:val="22"/>
          <w:szCs w:val="22"/>
          <w:lang w:eastAsia="en-US"/>
        </w:rPr>
        <w:t xml:space="preserve"> </w:t>
      </w:r>
      <w:r w:rsidR="002D7576" w:rsidRPr="00CF2D87">
        <w:rPr>
          <w:rFonts w:ascii="Calibri" w:eastAsiaTheme="minorHAnsi" w:hAnsi="Calibri" w:cs="Calibri"/>
          <w:color w:val="000000"/>
          <w:sz w:val="22"/>
          <w:szCs w:val="22"/>
          <w:lang w:eastAsia="en-US"/>
        </w:rPr>
        <w:t>nonetheless this is a process whereby a plaintiff seeks judgment without a trial. That, though an exception for very good reason and one widely applicable in practice, is nonetheless exceptional. Hence the low threshold in a motion for summary judgment for showing a defence, the refusal of judgment unless it is “</w:t>
      </w:r>
      <w:r w:rsidR="002D7576" w:rsidRPr="00CF2D87">
        <w:rPr>
          <w:rFonts w:ascii="Calibri" w:eastAsiaTheme="minorHAnsi" w:hAnsi="Calibri" w:cs="Calibri"/>
          <w:i/>
          <w:color w:val="000000"/>
          <w:sz w:val="22"/>
          <w:szCs w:val="22"/>
          <w:lang w:eastAsia="en-US"/>
        </w:rPr>
        <w:t>very clear</w:t>
      </w:r>
      <w:r w:rsidR="002D7576" w:rsidRPr="00CF2D87">
        <w:rPr>
          <w:rFonts w:ascii="Calibri" w:eastAsiaTheme="minorHAnsi" w:hAnsi="Calibri" w:cs="Calibri"/>
          <w:color w:val="000000"/>
          <w:sz w:val="22"/>
          <w:szCs w:val="22"/>
          <w:lang w:eastAsia="en-US"/>
        </w:rPr>
        <w:t>”</w:t>
      </w:r>
      <w:r w:rsidR="00F209EE" w:rsidRPr="00CF2D87">
        <w:rPr>
          <w:rStyle w:val="FootnoteReference"/>
          <w:rFonts w:ascii="Calibri" w:eastAsiaTheme="minorHAnsi" w:hAnsi="Calibri" w:cs="Calibri"/>
          <w:color w:val="000000"/>
          <w:sz w:val="22"/>
          <w:szCs w:val="22"/>
          <w:lang w:eastAsia="en-US"/>
        </w:rPr>
        <w:footnoteReference w:id="21"/>
      </w:r>
      <w:r w:rsidR="002D7576" w:rsidRPr="00CF2D87">
        <w:rPr>
          <w:rFonts w:ascii="Calibri" w:eastAsiaTheme="minorHAnsi" w:hAnsi="Calibri" w:cs="Calibri"/>
          <w:color w:val="000000"/>
          <w:sz w:val="22"/>
          <w:szCs w:val="22"/>
          <w:lang w:eastAsia="en-US"/>
        </w:rPr>
        <w:t xml:space="preserve"> that there is no defence and the “</w:t>
      </w:r>
      <w:r w:rsidR="002D7576" w:rsidRPr="00CF2D87">
        <w:rPr>
          <w:rFonts w:ascii="Calibri" w:eastAsiaTheme="minorHAnsi" w:hAnsi="Calibri" w:cs="Calibri"/>
          <w:i/>
          <w:color w:val="000000"/>
          <w:sz w:val="22"/>
          <w:szCs w:val="22"/>
          <w:lang w:eastAsia="en-US"/>
        </w:rPr>
        <w:t>discernible caution</w:t>
      </w:r>
      <w:r w:rsidR="002D7576" w:rsidRPr="00CF2D87">
        <w:rPr>
          <w:rFonts w:ascii="Calibri" w:eastAsiaTheme="minorHAnsi" w:hAnsi="Calibri" w:cs="Calibri"/>
          <w:color w:val="000000"/>
          <w:sz w:val="22"/>
          <w:szCs w:val="22"/>
          <w:lang w:eastAsia="en-US"/>
        </w:rPr>
        <w:t xml:space="preserve">” with which the jurisdiction to grant summary judgment is granted. </w:t>
      </w:r>
    </w:p>
    <w:p w14:paraId="6FF5646C" w14:textId="341A7E58" w:rsidR="002D7576" w:rsidRPr="00CF2D87" w:rsidRDefault="002D7576" w:rsidP="002D7576">
      <w:pPr>
        <w:pStyle w:val="ListParagraph"/>
        <w:spacing w:line="276" w:lineRule="auto"/>
        <w:ind w:left="0"/>
        <w:rPr>
          <w:rFonts w:ascii="Calibri" w:hAnsi="Calibri" w:cs="Calibri"/>
          <w:i/>
          <w:sz w:val="22"/>
          <w:szCs w:val="22"/>
        </w:rPr>
      </w:pPr>
    </w:p>
    <w:p w14:paraId="776DBA3A" w14:textId="77777777" w:rsidR="002D7576" w:rsidRPr="00CF2D87" w:rsidRDefault="002D7576" w:rsidP="002D7576">
      <w:pPr>
        <w:pStyle w:val="ListParagraph"/>
        <w:spacing w:line="276" w:lineRule="auto"/>
        <w:ind w:left="0"/>
        <w:rPr>
          <w:rFonts w:ascii="Calibri" w:hAnsi="Calibri" w:cs="Calibri"/>
          <w:i/>
          <w:sz w:val="22"/>
          <w:szCs w:val="22"/>
        </w:rPr>
      </w:pPr>
    </w:p>
    <w:p w14:paraId="6962F0D3" w14:textId="3962025C" w:rsidR="002D7576" w:rsidRPr="00CF2D87" w:rsidRDefault="002D7576" w:rsidP="00702C05">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Finally, one may observe in a motion for judgment in default of appearance, that the law insists on strict compliance with relevant requirements</w:t>
      </w:r>
      <w:r w:rsidRPr="00CF2D87">
        <w:rPr>
          <w:rStyle w:val="FootnoteReference"/>
          <w:rFonts w:ascii="Calibri" w:hAnsi="Calibri" w:cs="Calibri"/>
          <w:sz w:val="22"/>
          <w:szCs w:val="22"/>
        </w:rPr>
        <w:footnoteReference w:id="22"/>
      </w:r>
      <w:r w:rsidRPr="00CF2D87">
        <w:rPr>
          <w:rFonts w:ascii="Calibri" w:hAnsi="Calibri" w:cs="Calibri"/>
          <w:sz w:val="22"/>
          <w:szCs w:val="22"/>
        </w:rPr>
        <w:t>.</w:t>
      </w:r>
      <w:r w:rsidR="00F209EE" w:rsidRPr="00CF2D87">
        <w:rPr>
          <w:rFonts w:ascii="Calibri" w:hAnsi="Calibri" w:cs="Calibri"/>
          <w:sz w:val="22"/>
          <w:szCs w:val="22"/>
        </w:rPr>
        <w:t xml:space="preserve"> But the </w:t>
      </w:r>
      <w:r w:rsidR="00F209EE" w:rsidRPr="00CF2D87">
        <w:rPr>
          <w:rFonts w:ascii="Calibri" w:hAnsi="Calibri" w:cs="Calibri"/>
          <w:i/>
          <w:sz w:val="22"/>
          <w:szCs w:val="22"/>
        </w:rPr>
        <w:t xml:space="preserve">O’Malley </w:t>
      </w:r>
      <w:r w:rsidR="00F209EE" w:rsidRPr="00CF2D87">
        <w:rPr>
          <w:rFonts w:ascii="Calibri" w:hAnsi="Calibri" w:cs="Calibri"/>
          <w:sz w:val="22"/>
          <w:szCs w:val="22"/>
        </w:rPr>
        <w:t>requirements as to pleading apply in motions for summary judgment</w:t>
      </w:r>
      <w:r w:rsidR="00CF2D87">
        <w:rPr>
          <w:rFonts w:ascii="Calibri" w:hAnsi="Calibri" w:cs="Calibri"/>
          <w:sz w:val="22"/>
          <w:szCs w:val="22"/>
        </w:rPr>
        <w:t>.</w:t>
      </w:r>
      <w:r w:rsidR="00F209EE" w:rsidRPr="00CF2D87">
        <w:rPr>
          <w:rFonts w:ascii="Calibri" w:hAnsi="Calibri" w:cs="Calibri"/>
          <w:sz w:val="22"/>
          <w:szCs w:val="22"/>
        </w:rPr>
        <w:t xml:space="preserve"> </w:t>
      </w:r>
      <w:r w:rsidR="00CF2D87">
        <w:rPr>
          <w:rFonts w:ascii="Calibri" w:hAnsi="Calibri" w:cs="Calibri"/>
          <w:sz w:val="22"/>
          <w:szCs w:val="22"/>
        </w:rPr>
        <w:t>S</w:t>
      </w:r>
      <w:r w:rsidR="00F209EE" w:rsidRPr="00CF2D87">
        <w:rPr>
          <w:rFonts w:ascii="Calibri" w:hAnsi="Calibri" w:cs="Calibri"/>
          <w:sz w:val="22"/>
          <w:szCs w:val="22"/>
        </w:rPr>
        <w:t>o</w:t>
      </w:r>
      <w:r w:rsidR="00CF2D87">
        <w:rPr>
          <w:rFonts w:ascii="Calibri" w:hAnsi="Calibri" w:cs="Calibri"/>
          <w:sz w:val="22"/>
          <w:szCs w:val="22"/>
        </w:rPr>
        <w:t>,</w:t>
      </w:r>
      <w:r w:rsidR="00F209EE" w:rsidRPr="00CF2D87">
        <w:rPr>
          <w:rFonts w:ascii="Calibri" w:hAnsi="Calibri" w:cs="Calibri"/>
          <w:sz w:val="22"/>
          <w:szCs w:val="22"/>
        </w:rPr>
        <w:t xml:space="preserve"> that this is a motion in default of appearance merely amplifies the view I would take in any event as to the adequacy of pleading on the summons in this case.</w:t>
      </w:r>
    </w:p>
    <w:p w14:paraId="14B0A586" w14:textId="77777777" w:rsidR="00CD57C6" w:rsidRPr="00CF2D87" w:rsidRDefault="00CD57C6" w:rsidP="00CD57C6">
      <w:pPr>
        <w:pStyle w:val="ListParagraph"/>
        <w:spacing w:line="276" w:lineRule="auto"/>
        <w:ind w:left="0"/>
        <w:rPr>
          <w:rFonts w:ascii="Calibri" w:hAnsi="Calibri" w:cs="Calibri"/>
          <w:i/>
          <w:sz w:val="22"/>
          <w:szCs w:val="22"/>
        </w:rPr>
      </w:pPr>
    </w:p>
    <w:p w14:paraId="57CABFE6" w14:textId="77777777" w:rsidR="00CD57C6" w:rsidRPr="00CF2D87" w:rsidRDefault="00CD57C6" w:rsidP="00CD57C6">
      <w:pPr>
        <w:pStyle w:val="ListParagraph"/>
        <w:spacing w:line="276" w:lineRule="auto"/>
        <w:ind w:left="0"/>
        <w:rPr>
          <w:rFonts w:ascii="Calibri" w:hAnsi="Calibri" w:cs="Calibri"/>
          <w:i/>
          <w:sz w:val="22"/>
          <w:szCs w:val="22"/>
        </w:rPr>
      </w:pPr>
    </w:p>
    <w:p w14:paraId="1830B991" w14:textId="14B32F55" w:rsidR="000B2344" w:rsidRPr="00CF2D87" w:rsidRDefault="00CD57C6" w:rsidP="000B2344">
      <w:pPr>
        <w:pStyle w:val="ListParagraph"/>
        <w:numPr>
          <w:ilvl w:val="0"/>
          <w:numId w:val="4"/>
        </w:numPr>
        <w:spacing w:line="276" w:lineRule="auto"/>
        <w:rPr>
          <w:rFonts w:ascii="Calibri" w:hAnsi="Calibri" w:cs="Calibri"/>
          <w:i/>
          <w:sz w:val="22"/>
          <w:szCs w:val="22"/>
        </w:rPr>
      </w:pPr>
      <w:r w:rsidRPr="00CF2D87">
        <w:rPr>
          <w:rFonts w:ascii="Calibri" w:hAnsi="Calibri" w:cs="Calibri"/>
          <w:sz w:val="22"/>
          <w:szCs w:val="22"/>
        </w:rPr>
        <w:t xml:space="preserve">As recorded above, this finding is made without prejudice to any other issues in the case and does not of itself necessarily imply dismissal of the action or that steps cannot be taken by the Plaintiff on foot of which summary judgment may ultimately be granted. </w:t>
      </w:r>
      <w:r w:rsidR="009E25DB" w:rsidRPr="00CF2D87">
        <w:rPr>
          <w:rFonts w:ascii="Calibri" w:hAnsi="Calibri" w:cs="Calibri"/>
          <w:sz w:val="22"/>
          <w:szCs w:val="22"/>
        </w:rPr>
        <w:t xml:space="preserve">It merely holds that the Plaintiff cannot recover summary judgment on the particulars pleaded to date. </w:t>
      </w:r>
      <w:r w:rsidR="000B2344" w:rsidRPr="00CF2D87">
        <w:rPr>
          <w:rFonts w:ascii="Calibri" w:hAnsi="Calibri" w:cs="Calibri"/>
          <w:sz w:val="22"/>
          <w:szCs w:val="22"/>
        </w:rPr>
        <w:t xml:space="preserve">I will list this matter for mention on </w:t>
      </w:r>
      <w:r w:rsidR="007773A1" w:rsidRPr="00CF2D87">
        <w:rPr>
          <w:rFonts w:ascii="Calibri" w:hAnsi="Calibri" w:cs="Calibri"/>
          <w:sz w:val="22"/>
          <w:szCs w:val="22"/>
        </w:rPr>
        <w:t>18</w:t>
      </w:r>
      <w:r w:rsidR="000B2344" w:rsidRPr="00CF2D87">
        <w:rPr>
          <w:rFonts w:ascii="Calibri" w:hAnsi="Calibri" w:cs="Calibri"/>
          <w:sz w:val="22"/>
          <w:szCs w:val="22"/>
        </w:rPr>
        <w:t xml:space="preserve"> July 2022</w:t>
      </w:r>
      <w:r w:rsidR="00023C21">
        <w:rPr>
          <w:rFonts w:ascii="Calibri" w:hAnsi="Calibri" w:cs="Calibri"/>
          <w:sz w:val="22"/>
          <w:szCs w:val="22"/>
        </w:rPr>
        <w:t>.</w:t>
      </w:r>
    </w:p>
    <w:p w14:paraId="12964BA2" w14:textId="09B700F6" w:rsidR="000B2344" w:rsidRDefault="000B2344" w:rsidP="007773A1">
      <w:pPr>
        <w:spacing w:line="276" w:lineRule="auto"/>
        <w:rPr>
          <w:rFonts w:ascii="Calibri" w:hAnsi="Calibri" w:cs="Calibri"/>
          <w:sz w:val="22"/>
          <w:szCs w:val="22"/>
        </w:rPr>
      </w:pPr>
    </w:p>
    <w:p w14:paraId="4CAC9A95" w14:textId="77777777" w:rsidR="00023C21" w:rsidRPr="00CF2D87" w:rsidRDefault="00023C21" w:rsidP="007773A1">
      <w:pPr>
        <w:spacing w:line="276" w:lineRule="auto"/>
        <w:rPr>
          <w:rFonts w:ascii="Calibri" w:hAnsi="Calibri" w:cs="Calibri"/>
          <w:sz w:val="22"/>
          <w:szCs w:val="22"/>
        </w:rPr>
      </w:pPr>
    </w:p>
    <w:p w14:paraId="2AE04791" w14:textId="77777777" w:rsidR="000B2344" w:rsidRPr="00CF2D87" w:rsidRDefault="000B2344" w:rsidP="000B2344">
      <w:pPr>
        <w:spacing w:line="276" w:lineRule="auto"/>
        <w:ind w:left="360"/>
        <w:jc w:val="right"/>
        <w:rPr>
          <w:rFonts w:ascii="Calibri" w:hAnsi="Calibri" w:cs="Calibri"/>
          <w:b/>
          <w:sz w:val="22"/>
          <w:szCs w:val="22"/>
        </w:rPr>
      </w:pPr>
      <w:r w:rsidRPr="00CF2D87">
        <w:rPr>
          <w:rFonts w:ascii="Calibri" w:hAnsi="Calibri" w:cs="Calibri"/>
          <w:b/>
          <w:sz w:val="22"/>
          <w:szCs w:val="22"/>
        </w:rPr>
        <w:t>David Holland</w:t>
      </w:r>
    </w:p>
    <w:p w14:paraId="7C3780D7" w14:textId="33BA4822" w:rsidR="00D46C1F" w:rsidRPr="00CF2D87" w:rsidRDefault="00517F3A" w:rsidP="007773A1">
      <w:pPr>
        <w:spacing w:line="276" w:lineRule="auto"/>
        <w:ind w:left="360"/>
        <w:jc w:val="right"/>
        <w:rPr>
          <w:rFonts w:ascii="Calibri" w:hAnsi="Calibri" w:cs="Calibri"/>
          <w:b/>
          <w:sz w:val="22"/>
          <w:szCs w:val="22"/>
        </w:rPr>
      </w:pPr>
      <w:r w:rsidRPr="00CF2D87">
        <w:rPr>
          <w:rFonts w:ascii="Calibri" w:hAnsi="Calibri" w:cs="Calibri"/>
          <w:b/>
          <w:sz w:val="22"/>
          <w:szCs w:val="22"/>
        </w:rPr>
        <w:t>31</w:t>
      </w:r>
      <w:r w:rsidR="000B2344" w:rsidRPr="00CF2D87">
        <w:rPr>
          <w:rFonts w:ascii="Calibri" w:hAnsi="Calibri" w:cs="Calibri"/>
          <w:b/>
          <w:sz w:val="22"/>
          <w:szCs w:val="22"/>
        </w:rPr>
        <w:t xml:space="preserve"> May 2022</w:t>
      </w:r>
    </w:p>
    <w:sectPr w:rsidR="00D46C1F" w:rsidRPr="00CF2D87"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A9D5" w14:textId="77777777" w:rsidR="00702C05" w:rsidRDefault="00702C05" w:rsidP="009E70E8">
      <w:r>
        <w:separator/>
      </w:r>
    </w:p>
  </w:endnote>
  <w:endnote w:type="continuationSeparator" w:id="0">
    <w:p w14:paraId="2AC059D8" w14:textId="77777777" w:rsidR="00702C05" w:rsidRDefault="00702C05"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22"/>
        <w:szCs w:val="22"/>
      </w:rPr>
      <w:id w:val="-100724917"/>
      <w:docPartObj>
        <w:docPartGallery w:val="Page Numbers (Bottom of Page)"/>
        <w:docPartUnique/>
      </w:docPartObj>
    </w:sdtPr>
    <w:sdtEndPr>
      <w:rPr>
        <w:noProof/>
      </w:rPr>
    </w:sdtEndPr>
    <w:sdtContent>
      <w:p w14:paraId="37D5BEB0" w14:textId="2D3B5208" w:rsidR="00702C05" w:rsidRPr="007773A1" w:rsidRDefault="00702C05">
        <w:pPr>
          <w:pStyle w:val="Footer"/>
          <w:jc w:val="right"/>
          <w:rPr>
            <w:rFonts w:ascii="Calibri" w:hAnsi="Calibri"/>
            <w:sz w:val="22"/>
            <w:szCs w:val="22"/>
          </w:rPr>
        </w:pPr>
        <w:r w:rsidRPr="007773A1">
          <w:rPr>
            <w:rFonts w:ascii="Calibri" w:hAnsi="Calibri"/>
            <w:sz w:val="22"/>
            <w:szCs w:val="22"/>
          </w:rPr>
          <w:fldChar w:fldCharType="begin"/>
        </w:r>
        <w:r w:rsidRPr="007773A1">
          <w:rPr>
            <w:rFonts w:ascii="Calibri" w:hAnsi="Calibri"/>
            <w:sz w:val="22"/>
            <w:szCs w:val="22"/>
          </w:rPr>
          <w:instrText xml:space="preserve"> PAGE   \* MERGEFORMAT </w:instrText>
        </w:r>
        <w:r w:rsidRPr="007773A1">
          <w:rPr>
            <w:rFonts w:ascii="Calibri" w:hAnsi="Calibri"/>
            <w:sz w:val="22"/>
            <w:szCs w:val="22"/>
          </w:rPr>
          <w:fldChar w:fldCharType="separate"/>
        </w:r>
        <w:r w:rsidRPr="007773A1">
          <w:rPr>
            <w:rFonts w:ascii="Calibri" w:hAnsi="Calibri"/>
            <w:noProof/>
            <w:sz w:val="22"/>
            <w:szCs w:val="22"/>
          </w:rPr>
          <w:t>2</w:t>
        </w:r>
        <w:r w:rsidRPr="007773A1">
          <w:rPr>
            <w:rFonts w:ascii="Calibri" w:hAnsi="Calibri"/>
            <w:noProof/>
            <w:sz w:val="22"/>
            <w:szCs w:val="22"/>
          </w:rPr>
          <w:fldChar w:fldCharType="end"/>
        </w:r>
      </w:p>
    </w:sdtContent>
  </w:sdt>
  <w:p w14:paraId="2397854C" w14:textId="77777777" w:rsidR="00702C05" w:rsidRPr="007773A1" w:rsidRDefault="00702C05">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1A21" w14:textId="77777777" w:rsidR="00702C05" w:rsidRDefault="00702C05" w:rsidP="009E70E8">
      <w:r>
        <w:separator/>
      </w:r>
    </w:p>
  </w:footnote>
  <w:footnote w:type="continuationSeparator" w:id="0">
    <w:p w14:paraId="63AAEE4D" w14:textId="77777777" w:rsidR="00702C05" w:rsidRDefault="00702C05" w:rsidP="009E70E8">
      <w:r>
        <w:continuationSeparator/>
      </w:r>
    </w:p>
  </w:footnote>
  <w:footnote w:id="1">
    <w:p w14:paraId="3720FCE8" w14:textId="77777777"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[2019] IESC 84</w:t>
      </w:r>
    </w:p>
  </w:footnote>
  <w:footnote w:id="2">
    <w:p w14:paraId="079321F5" w14:textId="082EBB8C"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See Trafalgar v Mazepin [2019] IEHC 7 §76</w:t>
      </w:r>
    </w:p>
  </w:footnote>
  <w:footnote w:id="3">
    <w:p w14:paraId="328A6708" w14:textId="77777777"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[2020] IEHC 442</w:t>
      </w:r>
    </w:p>
  </w:footnote>
  <w:footnote w:id="4">
    <w:p w14:paraId="00A873B2" w14:textId="77777777" w:rsidR="00702C05" w:rsidRPr="006504EC" w:rsidRDefault="00702C05" w:rsidP="00434E39">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[2021] IEHC 311</w:t>
      </w:r>
    </w:p>
  </w:footnote>
  <w:footnote w:id="5">
    <w:p w14:paraId="3904201B" w14:textId="77777777"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[2020] IEHC 147</w:t>
      </w:r>
    </w:p>
  </w:footnote>
  <w:footnote w:id="6">
    <w:p w14:paraId="6E5077C9" w14:textId="77777777" w:rsidR="00702C05" w:rsidRPr="006504EC" w:rsidRDefault="00702C05" w:rsidP="000B2344">
      <w:pPr>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[2019] IESC 84</w:t>
      </w:r>
    </w:p>
  </w:footnote>
  <w:footnote w:id="7">
    <w:p w14:paraId="201051E8" w14:textId="77777777" w:rsidR="00702C05" w:rsidRPr="006504EC" w:rsidRDefault="00702C05" w:rsidP="000B2344">
      <w:pPr>
        <w:pStyle w:val="Heading2"/>
        <w:rPr>
          <w:rFonts w:ascii="Calibri Light" w:hAnsi="Calibri Light" w:cs="Calibri Light"/>
          <w:b w:val="0"/>
          <w:sz w:val="16"/>
          <w:szCs w:val="16"/>
        </w:rPr>
      </w:pPr>
      <w:r w:rsidRPr="006504EC">
        <w:rPr>
          <w:rStyle w:val="FootnoteReference"/>
          <w:rFonts w:ascii="Calibri Light" w:hAnsi="Calibri Light" w:cs="Calibri Light"/>
          <w:b w:val="0"/>
          <w:sz w:val="16"/>
          <w:szCs w:val="16"/>
        </w:rPr>
        <w:footnoteRef/>
      </w:r>
      <w:r w:rsidRPr="006504EC">
        <w:rPr>
          <w:rFonts w:ascii="Calibri Light" w:hAnsi="Calibri Light" w:cs="Calibri Light"/>
          <w:b w:val="0"/>
          <w:sz w:val="16"/>
          <w:szCs w:val="16"/>
        </w:rPr>
        <w:t xml:space="preserve"> [2020] IEHC 442 (High Court (General), Meenan J, 12 June 2020)</w:t>
      </w:r>
    </w:p>
  </w:footnote>
  <w:footnote w:id="8">
    <w:p w14:paraId="2D22FCBC" w14:textId="4B75D668" w:rsidR="00702C05" w:rsidRPr="006504EC" w:rsidRDefault="00702C05" w:rsidP="000B2344">
      <w:pPr>
        <w:autoSpaceDE w:val="0"/>
        <w:autoSpaceDN w:val="0"/>
        <w:adjustRightInd w:val="0"/>
        <w:rPr>
          <w:rFonts w:ascii="Calibri Light" w:eastAsiaTheme="minorHAnsi" w:hAnsi="Calibri Light" w:cs="Calibri Light"/>
          <w:color w:val="000000"/>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Pr="006504EC">
        <w:rPr>
          <w:rFonts w:ascii="Calibri Light" w:eastAsiaTheme="minorHAnsi" w:hAnsi="Calibri Light" w:cs="Calibri Light"/>
          <w:color w:val="000000"/>
          <w:sz w:val="16"/>
          <w:szCs w:val="16"/>
        </w:rPr>
        <w:t>Allied Irish Banks PLC v Ahern [2021] IEHC 311 (High Court (General), Barr J, 6 May 2021)</w:t>
      </w:r>
    </w:p>
  </w:footnote>
  <w:footnote w:id="9">
    <w:p w14:paraId="6DCD8991" w14:textId="77777777" w:rsidR="00702C05" w:rsidRPr="006504EC" w:rsidRDefault="00702C05" w:rsidP="00517A6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Barr J said: “74.</w:t>
      </w:r>
      <w:r w:rsidRPr="006504EC">
        <w:rPr>
          <w:rFonts w:ascii="Calibri Light" w:hAnsi="Calibri Light" w:cs="Calibri Light"/>
          <w:sz w:val="16"/>
          <w:szCs w:val="16"/>
        </w:rPr>
        <w:tab/>
        <w:t xml:space="preserve">The same approach was adopted by Meenan J. in </w:t>
      </w:r>
      <w:r w:rsidRPr="006504EC">
        <w:rPr>
          <w:rFonts w:ascii="Calibri Light" w:hAnsi="Calibri Light" w:cs="Calibri Light"/>
          <w:iCs/>
          <w:sz w:val="16"/>
          <w:szCs w:val="16"/>
        </w:rPr>
        <w:t xml:space="preserve">AIB Mortgage Bank v Hayden </w:t>
      </w:r>
      <w:r w:rsidRPr="006504EC">
        <w:rPr>
          <w:rFonts w:ascii="Calibri Light" w:hAnsi="Calibri Light" w:cs="Calibri Light"/>
          <w:sz w:val="16"/>
          <w:szCs w:val="16"/>
        </w:rPr>
        <w:t>[2020] IEHC 442.”</w:t>
      </w:r>
    </w:p>
  </w:footnote>
  <w:footnote w:id="10">
    <w:p w14:paraId="77A5F9E8" w14:textId="732F98E9"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Emphasis added</w:t>
      </w:r>
    </w:p>
  </w:footnote>
  <w:footnote w:id="11">
    <w:p w14:paraId="57DFC035" w14:textId="77777777" w:rsidR="00702C05" w:rsidRPr="006504EC" w:rsidRDefault="00702C05" w:rsidP="000B2344">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[2020] IEHC 147</w:t>
      </w:r>
    </w:p>
  </w:footnote>
  <w:footnote w:id="12">
    <w:p w14:paraId="260EDF10" w14:textId="4EE24B24"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Emphasis added</w:t>
      </w:r>
    </w:p>
  </w:footnote>
  <w:footnote w:id="13">
    <w:p w14:paraId="3DDD8446" w14:textId="77777777" w:rsidR="00702C05" w:rsidRPr="006504EC" w:rsidRDefault="00702C05" w:rsidP="000B2344">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[2019] IESC 91</w:t>
      </w:r>
    </w:p>
  </w:footnote>
  <w:footnote w:id="14">
    <w:p w14:paraId="76285528" w14:textId="77777777" w:rsidR="00702C05" w:rsidRPr="006504EC" w:rsidRDefault="00702C05" w:rsidP="000B2344">
      <w:pPr>
        <w:pStyle w:val="Heading2"/>
        <w:rPr>
          <w:rFonts w:ascii="Calibri Light" w:hAnsi="Calibri Light" w:cs="Calibri Light"/>
          <w:b w:val="0"/>
          <w:sz w:val="16"/>
          <w:szCs w:val="16"/>
        </w:rPr>
      </w:pPr>
      <w:r w:rsidRPr="006504EC">
        <w:rPr>
          <w:rStyle w:val="FootnoteReference"/>
          <w:rFonts w:ascii="Calibri Light" w:hAnsi="Calibri Light" w:cs="Calibri Light"/>
          <w:b w:val="0"/>
          <w:sz w:val="16"/>
          <w:szCs w:val="16"/>
        </w:rPr>
        <w:footnoteRef/>
      </w:r>
      <w:r w:rsidRPr="006504EC">
        <w:rPr>
          <w:rFonts w:ascii="Calibri Light" w:hAnsi="Calibri Light" w:cs="Calibri Light"/>
          <w:b w:val="0"/>
          <w:sz w:val="16"/>
          <w:szCs w:val="16"/>
        </w:rPr>
        <w:t xml:space="preserve"> [2020] IECA 191 (Court of Appeal (civil), Faherty J, 15 July 2020)</w:t>
      </w:r>
    </w:p>
  </w:footnote>
  <w:footnote w:id="15">
    <w:p w14:paraId="0457D6AC" w14:textId="77777777" w:rsidR="00702C05" w:rsidRPr="006504EC" w:rsidRDefault="00702C05" w:rsidP="000B2344">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Pr="006504EC">
        <w:rPr>
          <w:rFonts w:ascii="Calibri Light" w:hAnsi="Calibri Light" w:cs="Calibri Light"/>
          <w:sz w:val="16"/>
          <w:szCs w:val="16"/>
          <w:shd w:val="clear" w:color="auto" w:fill="FFFFFF"/>
        </w:rPr>
        <w:t>[2018] IEHC 534</w:t>
      </w:r>
    </w:p>
  </w:footnote>
  <w:footnote w:id="16">
    <w:p w14:paraId="38D330C5" w14:textId="77777777" w:rsidR="00702C05" w:rsidRPr="006504EC" w:rsidRDefault="00702C05" w:rsidP="000B2344">
      <w:pPr>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Pr="006504EC">
        <w:rPr>
          <w:rFonts w:ascii="Calibri Light" w:hAnsi="Calibri Light" w:cs="Calibri Light"/>
          <w:sz w:val="16"/>
          <w:szCs w:val="16"/>
          <w:shd w:val="clear" w:color="auto" w:fill="FFFFFF"/>
        </w:rPr>
        <w:t>[2003]</w:t>
      </w:r>
      <w:bookmarkStart w:id="1" w:name="_Hlk94517460"/>
      <w:r w:rsidRPr="006504EC">
        <w:rPr>
          <w:rFonts w:ascii="Calibri Light" w:hAnsi="Calibri Light" w:cs="Calibri Light"/>
          <w:sz w:val="16"/>
          <w:szCs w:val="16"/>
        </w:rPr>
        <w:t xml:space="preserve"> </w:t>
      </w:r>
      <w:r w:rsidRPr="006504EC">
        <w:rPr>
          <w:rFonts w:ascii="Calibri Light" w:hAnsi="Calibri Light" w:cs="Calibri Light"/>
          <w:sz w:val="16"/>
          <w:szCs w:val="16"/>
          <w:shd w:val="clear" w:color="auto" w:fill="FFFFFF"/>
        </w:rPr>
        <w:t>4 I.R. 1</w:t>
      </w:r>
      <w:bookmarkEnd w:id="1"/>
    </w:p>
  </w:footnote>
  <w:footnote w:id="17">
    <w:p w14:paraId="1902B675" w14:textId="77777777" w:rsidR="00702C05" w:rsidRPr="006504EC" w:rsidRDefault="00702C05" w:rsidP="000B2344">
      <w:pPr>
        <w:pStyle w:val="FootnoteText"/>
        <w:rPr>
          <w:rFonts w:ascii="Calibri Light" w:hAnsi="Calibri Light" w:cs="Calibri Light"/>
          <w:sz w:val="16"/>
          <w:szCs w:val="16"/>
          <w:shd w:val="clear" w:color="auto" w:fill="FFFFFF"/>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Pr="006504EC">
        <w:rPr>
          <w:rFonts w:ascii="Calibri Light" w:hAnsi="Calibri Light" w:cs="Calibri Light"/>
          <w:sz w:val="16"/>
          <w:szCs w:val="16"/>
          <w:shd w:val="clear" w:color="auto" w:fill="FFFFFF"/>
        </w:rPr>
        <w:t xml:space="preserve">[2020] IEHC 148. The Plaintiff’s pleadings were found inadequate but not in a respect which adds to a consideration of the present case. </w:t>
      </w:r>
    </w:p>
  </w:footnote>
  <w:footnote w:id="18">
    <w:p w14:paraId="272E77E1" w14:textId="77777777" w:rsidR="00702C05" w:rsidRPr="006504EC" w:rsidRDefault="00702C05" w:rsidP="001A1F6B">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[2020] IEHC 147</w:t>
      </w:r>
    </w:p>
  </w:footnote>
  <w:footnote w:id="19">
    <w:p w14:paraId="181E6585" w14:textId="77777777" w:rsidR="00702C05" w:rsidRPr="006504EC" w:rsidRDefault="00702C05" w:rsidP="000B2344">
      <w:pPr>
        <w:pStyle w:val="Heading2"/>
        <w:rPr>
          <w:rFonts w:ascii="Calibri Light" w:hAnsi="Calibri Light" w:cs="Calibri Light"/>
          <w:b w:val="0"/>
          <w:sz w:val="16"/>
          <w:szCs w:val="16"/>
        </w:rPr>
      </w:pPr>
      <w:r w:rsidRPr="006504EC">
        <w:rPr>
          <w:rStyle w:val="FootnoteReference"/>
          <w:rFonts w:ascii="Calibri Light" w:hAnsi="Calibri Light" w:cs="Calibri Light"/>
          <w:b w:val="0"/>
          <w:sz w:val="16"/>
          <w:szCs w:val="16"/>
        </w:rPr>
        <w:footnoteRef/>
      </w:r>
      <w:r w:rsidRPr="006504EC">
        <w:rPr>
          <w:rFonts w:ascii="Calibri Light" w:hAnsi="Calibri Light" w:cs="Calibri Light"/>
          <w:b w:val="0"/>
          <w:sz w:val="16"/>
          <w:szCs w:val="16"/>
        </w:rPr>
        <w:t xml:space="preserve"> [2019] IESC 84 (Supreme Court, Clarke CJ, 29 November 2019)</w:t>
      </w:r>
    </w:p>
  </w:footnote>
  <w:footnote w:id="20">
    <w:p w14:paraId="7E944999" w14:textId="57D13E74" w:rsidR="00702C05" w:rsidRPr="006504EC" w:rsidRDefault="00702C05">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002D7576" w:rsidRPr="006504EC">
        <w:rPr>
          <w:rFonts w:ascii="Calibri Light" w:eastAsiaTheme="minorHAnsi" w:hAnsi="Calibri Light" w:cs="Calibri Light"/>
          <w:color w:val="000000"/>
          <w:sz w:val="16"/>
          <w:szCs w:val="16"/>
          <w:lang w:eastAsia="en-US"/>
        </w:rPr>
        <w:t>Onyenmezu v. Firstcare Ltd [2022] IECA 11 (Court of Appeal (civil), Murray J, 25 January 2022)</w:t>
      </w:r>
    </w:p>
  </w:footnote>
  <w:footnote w:id="21">
    <w:p w14:paraId="4AC52DA0" w14:textId="356675D2" w:rsidR="00F209EE" w:rsidRPr="006504EC" w:rsidRDefault="00F209EE">
      <w:pPr>
        <w:pStyle w:val="FootnoteText"/>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w:t>
      </w:r>
      <w:r w:rsidRPr="006504EC">
        <w:rPr>
          <w:rFonts w:ascii="Calibri Light" w:eastAsiaTheme="minorEastAsia" w:hAnsi="Calibri Light" w:cs="Calibri Light"/>
          <w:iCs/>
          <w:sz w:val="16"/>
          <w:szCs w:val="16"/>
        </w:rPr>
        <w:t>Aer Rianta c.p.t. v. Ryanair Limited </w:t>
      </w:r>
      <w:r w:rsidRPr="006504EC">
        <w:rPr>
          <w:rFonts w:ascii="Calibri Light" w:eastAsiaTheme="minorEastAsia" w:hAnsi="Calibri Light" w:cs="Calibri Light"/>
          <w:sz w:val="16"/>
          <w:szCs w:val="16"/>
        </w:rPr>
        <w:t>[2001] 4 I.R. 607</w:t>
      </w:r>
    </w:p>
  </w:footnote>
  <w:footnote w:id="22">
    <w:p w14:paraId="3D72AF7B" w14:textId="3DBC1756" w:rsidR="002D7576" w:rsidRPr="006504EC" w:rsidRDefault="002D7576" w:rsidP="002D7576">
      <w:pPr>
        <w:pStyle w:val="FootnoteText"/>
        <w:ind w:left="-1276" w:firstLine="1276"/>
        <w:rPr>
          <w:rFonts w:ascii="Calibri Light" w:hAnsi="Calibri Light" w:cs="Calibri Light"/>
          <w:sz w:val="16"/>
          <w:szCs w:val="16"/>
        </w:rPr>
      </w:pPr>
      <w:r w:rsidRPr="006504EC">
        <w:rPr>
          <w:rStyle w:val="FootnoteReference"/>
          <w:rFonts w:ascii="Calibri Light" w:hAnsi="Calibri Light" w:cs="Calibri Light"/>
          <w:sz w:val="16"/>
          <w:szCs w:val="16"/>
        </w:rPr>
        <w:footnoteRef/>
      </w:r>
      <w:r w:rsidRPr="006504EC">
        <w:rPr>
          <w:rFonts w:ascii="Calibri Light" w:hAnsi="Calibri Light" w:cs="Calibri Light"/>
          <w:sz w:val="16"/>
          <w:szCs w:val="16"/>
        </w:rPr>
        <w:t xml:space="preserve"> Delany &amp; McGrath on Practice &amp; Procedure </w:t>
      </w:r>
      <w:r w:rsidR="00F209EE" w:rsidRPr="006504EC">
        <w:rPr>
          <w:rFonts w:ascii="Calibri Light" w:hAnsi="Calibri Light" w:cs="Calibri Light"/>
          <w:sz w:val="16"/>
          <w:szCs w:val="16"/>
        </w:rPr>
        <w:t>4</w:t>
      </w:r>
      <w:r w:rsidR="00F209EE" w:rsidRPr="006504EC">
        <w:rPr>
          <w:rFonts w:ascii="Calibri Light" w:hAnsi="Calibri Light" w:cs="Calibri Light"/>
          <w:sz w:val="16"/>
          <w:szCs w:val="16"/>
          <w:vertAlign w:val="superscript"/>
        </w:rPr>
        <w:t>th</w:t>
      </w:r>
      <w:r w:rsidR="00F209EE" w:rsidRPr="006504EC">
        <w:rPr>
          <w:rFonts w:ascii="Calibri Light" w:hAnsi="Calibri Light" w:cs="Calibri Light"/>
          <w:sz w:val="16"/>
          <w:szCs w:val="16"/>
        </w:rPr>
        <w:t xml:space="preserve"> Ed’n </w:t>
      </w:r>
      <w:r w:rsidRPr="006504EC">
        <w:rPr>
          <w:rFonts w:ascii="Calibri Light" w:hAnsi="Calibri Light" w:cs="Calibri Light"/>
          <w:sz w:val="16"/>
          <w:szCs w:val="16"/>
        </w:rPr>
        <w:t>§</w:t>
      </w:r>
      <w:r w:rsidRPr="006504EC">
        <w:rPr>
          <w:rFonts w:ascii="Calibri Light" w:hAnsi="Calibri Light" w:cs="Calibri Light"/>
          <w:color w:val="000000"/>
          <w:sz w:val="16"/>
          <w:szCs w:val="16"/>
        </w:rPr>
        <w:t>4 - 17</w:t>
      </w:r>
      <w:r w:rsidRPr="006504EC">
        <w:rPr>
          <w:rFonts w:ascii="Calibri Light" w:hAnsi="Calibri Light" w:cs="Calibri Light"/>
          <w:color w:val="000000"/>
          <w:sz w:val="16"/>
          <w:szCs w:val="16"/>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9B33" w14:textId="2DF98062" w:rsidR="00702C05" w:rsidRDefault="00702C05" w:rsidP="00707310">
    <w:pPr>
      <w:pStyle w:val="Header"/>
    </w:pPr>
  </w:p>
  <w:p w14:paraId="3C7BA954" w14:textId="77777777" w:rsidR="00702C05" w:rsidRDefault="00702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0F3"/>
    <w:multiLevelType w:val="hybridMultilevel"/>
    <w:tmpl w:val="C8AE528A"/>
    <w:lvl w:ilvl="0" w:tplc="C492BB5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EF3627"/>
    <w:multiLevelType w:val="hybridMultilevel"/>
    <w:tmpl w:val="523A1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E1A0C"/>
    <w:multiLevelType w:val="hybridMultilevel"/>
    <w:tmpl w:val="573C2A0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0F84C7E"/>
    <w:multiLevelType w:val="hybridMultilevel"/>
    <w:tmpl w:val="89FE6F1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1"/>
  </w:num>
  <w:num w:numId="5">
    <w:abstractNumId w:val="6"/>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0E74"/>
    <w:rsid w:val="00016440"/>
    <w:rsid w:val="00023C21"/>
    <w:rsid w:val="00045FBD"/>
    <w:rsid w:val="00090D50"/>
    <w:rsid w:val="000941B5"/>
    <w:rsid w:val="000B2344"/>
    <w:rsid w:val="000B3066"/>
    <w:rsid w:val="000C346D"/>
    <w:rsid w:val="000D0DBB"/>
    <w:rsid w:val="000E4026"/>
    <w:rsid w:val="00142E62"/>
    <w:rsid w:val="00146DF2"/>
    <w:rsid w:val="00160F57"/>
    <w:rsid w:val="00167D0A"/>
    <w:rsid w:val="001A1F6B"/>
    <w:rsid w:val="001A3598"/>
    <w:rsid w:val="001C3DD6"/>
    <w:rsid w:val="001E6B96"/>
    <w:rsid w:val="001F3E59"/>
    <w:rsid w:val="0020124A"/>
    <w:rsid w:val="00201482"/>
    <w:rsid w:val="00204C15"/>
    <w:rsid w:val="00240DA9"/>
    <w:rsid w:val="002551CA"/>
    <w:rsid w:val="00274D3A"/>
    <w:rsid w:val="00283012"/>
    <w:rsid w:val="0028380A"/>
    <w:rsid w:val="00284C0E"/>
    <w:rsid w:val="002A584A"/>
    <w:rsid w:val="002C1289"/>
    <w:rsid w:val="002D23AC"/>
    <w:rsid w:val="002D7576"/>
    <w:rsid w:val="002E41CE"/>
    <w:rsid w:val="00301550"/>
    <w:rsid w:val="00375B60"/>
    <w:rsid w:val="003A3316"/>
    <w:rsid w:val="003A68B2"/>
    <w:rsid w:val="003C1502"/>
    <w:rsid w:val="003C75EC"/>
    <w:rsid w:val="003D6AFB"/>
    <w:rsid w:val="003F282C"/>
    <w:rsid w:val="003F5D06"/>
    <w:rsid w:val="0041528C"/>
    <w:rsid w:val="00434E39"/>
    <w:rsid w:val="004367AE"/>
    <w:rsid w:val="00444A9E"/>
    <w:rsid w:val="00460AAD"/>
    <w:rsid w:val="00462DD4"/>
    <w:rsid w:val="00486D68"/>
    <w:rsid w:val="00487AFC"/>
    <w:rsid w:val="00493B71"/>
    <w:rsid w:val="004B2589"/>
    <w:rsid w:val="004B2883"/>
    <w:rsid w:val="004B4670"/>
    <w:rsid w:val="004D07F2"/>
    <w:rsid w:val="004E4F7B"/>
    <w:rsid w:val="004F2E9B"/>
    <w:rsid w:val="0050058A"/>
    <w:rsid w:val="0051132C"/>
    <w:rsid w:val="00517A65"/>
    <w:rsid w:val="00517F3A"/>
    <w:rsid w:val="00536877"/>
    <w:rsid w:val="0056161E"/>
    <w:rsid w:val="00563AAC"/>
    <w:rsid w:val="00572668"/>
    <w:rsid w:val="00575191"/>
    <w:rsid w:val="0058072C"/>
    <w:rsid w:val="00582849"/>
    <w:rsid w:val="005A466E"/>
    <w:rsid w:val="005B0456"/>
    <w:rsid w:val="005C2407"/>
    <w:rsid w:val="005C2495"/>
    <w:rsid w:val="005D3255"/>
    <w:rsid w:val="00603242"/>
    <w:rsid w:val="00603FEB"/>
    <w:rsid w:val="006306EC"/>
    <w:rsid w:val="006504EC"/>
    <w:rsid w:val="00650EB0"/>
    <w:rsid w:val="00682E71"/>
    <w:rsid w:val="006B493B"/>
    <w:rsid w:val="006C4E44"/>
    <w:rsid w:val="006D75E7"/>
    <w:rsid w:val="006D7B9E"/>
    <w:rsid w:val="006D7C21"/>
    <w:rsid w:val="006E0CA8"/>
    <w:rsid w:val="006E6CE0"/>
    <w:rsid w:val="00702C05"/>
    <w:rsid w:val="00707310"/>
    <w:rsid w:val="007129A5"/>
    <w:rsid w:val="00714814"/>
    <w:rsid w:val="00721F9E"/>
    <w:rsid w:val="00732704"/>
    <w:rsid w:val="00743B98"/>
    <w:rsid w:val="00754D34"/>
    <w:rsid w:val="007773A1"/>
    <w:rsid w:val="007818CC"/>
    <w:rsid w:val="007836B1"/>
    <w:rsid w:val="00783C6C"/>
    <w:rsid w:val="007A698B"/>
    <w:rsid w:val="007D3852"/>
    <w:rsid w:val="007F1903"/>
    <w:rsid w:val="007F3C7E"/>
    <w:rsid w:val="00803377"/>
    <w:rsid w:val="00811C68"/>
    <w:rsid w:val="0084457E"/>
    <w:rsid w:val="00856991"/>
    <w:rsid w:val="008654BC"/>
    <w:rsid w:val="0087460C"/>
    <w:rsid w:val="008747BF"/>
    <w:rsid w:val="008801CB"/>
    <w:rsid w:val="00894279"/>
    <w:rsid w:val="008A6F0F"/>
    <w:rsid w:val="008D00E0"/>
    <w:rsid w:val="008D0E5D"/>
    <w:rsid w:val="009063A6"/>
    <w:rsid w:val="0093485C"/>
    <w:rsid w:val="00947755"/>
    <w:rsid w:val="00950B28"/>
    <w:rsid w:val="00991B92"/>
    <w:rsid w:val="009B2771"/>
    <w:rsid w:val="009D15BA"/>
    <w:rsid w:val="009D2382"/>
    <w:rsid w:val="009E25DB"/>
    <w:rsid w:val="009E484A"/>
    <w:rsid w:val="009E4A79"/>
    <w:rsid w:val="009E70E8"/>
    <w:rsid w:val="00A2232C"/>
    <w:rsid w:val="00A414BB"/>
    <w:rsid w:val="00A9718B"/>
    <w:rsid w:val="00AA0330"/>
    <w:rsid w:val="00AA694F"/>
    <w:rsid w:val="00AB3B39"/>
    <w:rsid w:val="00AB3BBE"/>
    <w:rsid w:val="00AF2760"/>
    <w:rsid w:val="00AF60C7"/>
    <w:rsid w:val="00B122F3"/>
    <w:rsid w:val="00B25737"/>
    <w:rsid w:val="00B4639A"/>
    <w:rsid w:val="00B463A2"/>
    <w:rsid w:val="00B719D9"/>
    <w:rsid w:val="00BA62A4"/>
    <w:rsid w:val="00BC5E22"/>
    <w:rsid w:val="00BD5216"/>
    <w:rsid w:val="00BE1CE8"/>
    <w:rsid w:val="00BF32CF"/>
    <w:rsid w:val="00BF6800"/>
    <w:rsid w:val="00C02605"/>
    <w:rsid w:val="00C31767"/>
    <w:rsid w:val="00C33AEF"/>
    <w:rsid w:val="00C51638"/>
    <w:rsid w:val="00C65632"/>
    <w:rsid w:val="00C677E9"/>
    <w:rsid w:val="00C7697F"/>
    <w:rsid w:val="00C9364F"/>
    <w:rsid w:val="00CD57C6"/>
    <w:rsid w:val="00CF2D87"/>
    <w:rsid w:val="00CF66F7"/>
    <w:rsid w:val="00D0508D"/>
    <w:rsid w:val="00D238EC"/>
    <w:rsid w:val="00D325AF"/>
    <w:rsid w:val="00D42565"/>
    <w:rsid w:val="00D46C1F"/>
    <w:rsid w:val="00D50EE4"/>
    <w:rsid w:val="00D86F36"/>
    <w:rsid w:val="00DD7EF4"/>
    <w:rsid w:val="00DE4775"/>
    <w:rsid w:val="00DE6E96"/>
    <w:rsid w:val="00DE7A87"/>
    <w:rsid w:val="00E0318A"/>
    <w:rsid w:val="00E0338D"/>
    <w:rsid w:val="00E14469"/>
    <w:rsid w:val="00E42C26"/>
    <w:rsid w:val="00E665DD"/>
    <w:rsid w:val="00E672B2"/>
    <w:rsid w:val="00E8199C"/>
    <w:rsid w:val="00E86C0F"/>
    <w:rsid w:val="00E918D2"/>
    <w:rsid w:val="00EA33EB"/>
    <w:rsid w:val="00F14C08"/>
    <w:rsid w:val="00F209EE"/>
    <w:rsid w:val="00F347C6"/>
    <w:rsid w:val="00F40281"/>
    <w:rsid w:val="00F41C31"/>
    <w:rsid w:val="00F50433"/>
    <w:rsid w:val="00F64796"/>
    <w:rsid w:val="00F7011D"/>
    <w:rsid w:val="00FA54F7"/>
    <w:rsid w:val="00FB37E6"/>
    <w:rsid w:val="00FC3AA9"/>
    <w:rsid w:val="00FC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4CA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paragraph" w:styleId="Heading2">
    <w:name w:val="heading 2"/>
    <w:basedOn w:val="Normal"/>
    <w:next w:val="Normal"/>
    <w:link w:val="Heading2Char"/>
    <w:uiPriority w:val="9"/>
    <w:unhideWhenUsed/>
    <w:qFormat/>
    <w:rsid w:val="000B2344"/>
    <w:pPr>
      <w:outlineLvl w:val="1"/>
    </w:pPr>
    <w:rPr>
      <w:rFonts w:ascii="Calibri" w:hAnsi="Calibri" w:cs="Calibri"/>
      <w:b/>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EndnoteText">
    <w:name w:val="endnote text"/>
    <w:basedOn w:val="Normal"/>
    <w:link w:val="EndnoteTextChar"/>
    <w:uiPriority w:val="99"/>
    <w:semiHidden/>
    <w:unhideWhenUsed/>
    <w:rsid w:val="00C7697F"/>
    <w:rPr>
      <w:sz w:val="20"/>
      <w:szCs w:val="20"/>
    </w:rPr>
  </w:style>
  <w:style w:type="character" w:customStyle="1" w:styleId="EndnoteTextChar">
    <w:name w:val="Endnote Text Char"/>
    <w:basedOn w:val="DefaultParagraphFont"/>
    <w:link w:val="EndnoteText"/>
    <w:uiPriority w:val="99"/>
    <w:semiHidden/>
    <w:rsid w:val="00C7697F"/>
    <w:rPr>
      <w:rFonts w:ascii="Times New Roman" w:eastAsia="Times New Roman" w:hAnsi="Times New Roman" w:cs="Times New Roman"/>
      <w:sz w:val="20"/>
      <w:szCs w:val="20"/>
      <w:lang w:eastAsia="en-IE"/>
    </w:rPr>
  </w:style>
  <w:style w:type="character" w:styleId="EndnoteReference">
    <w:name w:val="endnote reference"/>
    <w:basedOn w:val="DefaultParagraphFont"/>
    <w:uiPriority w:val="99"/>
    <w:semiHidden/>
    <w:unhideWhenUsed/>
    <w:rsid w:val="00C7697F"/>
    <w:rPr>
      <w:vertAlign w:val="superscript"/>
    </w:rPr>
  </w:style>
  <w:style w:type="paragraph" w:styleId="FootnoteText">
    <w:name w:val="footnote text"/>
    <w:basedOn w:val="Normal"/>
    <w:link w:val="FootnoteTextChar"/>
    <w:uiPriority w:val="99"/>
    <w:unhideWhenUsed/>
    <w:rsid w:val="00C7697F"/>
    <w:rPr>
      <w:sz w:val="20"/>
      <w:szCs w:val="20"/>
    </w:rPr>
  </w:style>
  <w:style w:type="character" w:customStyle="1" w:styleId="FootnoteTextChar">
    <w:name w:val="Footnote Text Char"/>
    <w:basedOn w:val="DefaultParagraphFont"/>
    <w:link w:val="FootnoteText"/>
    <w:uiPriority w:val="99"/>
    <w:rsid w:val="00C7697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unhideWhenUsed/>
    <w:rsid w:val="00C7697F"/>
    <w:rPr>
      <w:vertAlign w:val="superscript"/>
    </w:rPr>
  </w:style>
  <w:style w:type="character" w:styleId="CommentReference">
    <w:name w:val="annotation reference"/>
    <w:basedOn w:val="DefaultParagraphFont"/>
    <w:uiPriority w:val="99"/>
    <w:semiHidden/>
    <w:unhideWhenUsed/>
    <w:rsid w:val="00DE7A87"/>
    <w:rPr>
      <w:sz w:val="16"/>
      <w:szCs w:val="16"/>
    </w:rPr>
  </w:style>
  <w:style w:type="paragraph" w:styleId="CommentText">
    <w:name w:val="annotation text"/>
    <w:basedOn w:val="Normal"/>
    <w:link w:val="CommentTextChar"/>
    <w:uiPriority w:val="99"/>
    <w:semiHidden/>
    <w:unhideWhenUsed/>
    <w:rsid w:val="00DE7A87"/>
    <w:rPr>
      <w:sz w:val="20"/>
      <w:szCs w:val="20"/>
    </w:rPr>
  </w:style>
  <w:style w:type="character" w:customStyle="1" w:styleId="CommentTextChar">
    <w:name w:val="Comment Text Char"/>
    <w:basedOn w:val="DefaultParagraphFont"/>
    <w:link w:val="CommentText"/>
    <w:uiPriority w:val="99"/>
    <w:semiHidden/>
    <w:rsid w:val="00DE7A87"/>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DE7A87"/>
    <w:rPr>
      <w:b/>
      <w:bCs/>
    </w:rPr>
  </w:style>
  <w:style w:type="character" w:customStyle="1" w:styleId="CommentSubjectChar">
    <w:name w:val="Comment Subject Char"/>
    <w:basedOn w:val="CommentTextChar"/>
    <w:link w:val="CommentSubject"/>
    <w:uiPriority w:val="99"/>
    <w:semiHidden/>
    <w:rsid w:val="00DE7A87"/>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DE7A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A87"/>
    <w:rPr>
      <w:rFonts w:ascii="Segoe UI" w:eastAsia="Times New Roman" w:hAnsi="Segoe UI" w:cs="Segoe UI"/>
      <w:sz w:val="18"/>
      <w:szCs w:val="18"/>
      <w:lang w:eastAsia="en-IE"/>
    </w:rPr>
  </w:style>
  <w:style w:type="character" w:customStyle="1" w:styleId="Heading2Char">
    <w:name w:val="Heading 2 Char"/>
    <w:basedOn w:val="DefaultParagraphFont"/>
    <w:link w:val="Heading2"/>
    <w:uiPriority w:val="9"/>
    <w:rsid w:val="000B2344"/>
    <w:rPr>
      <w:rFonts w:ascii="Calibri" w:eastAsia="Times New Roman" w:hAnsi="Calibri" w:cs="Calibri"/>
      <w:b/>
      <w:szCs w:val="24"/>
    </w:rPr>
  </w:style>
  <w:style w:type="paragraph" w:customStyle="1" w:styleId="Default">
    <w:name w:val="Default"/>
    <w:rsid w:val="000B2344"/>
    <w:pPr>
      <w:autoSpaceDE w:val="0"/>
      <w:autoSpaceDN w:val="0"/>
      <w:adjustRightInd w:val="0"/>
      <w:spacing w:after="0" w:line="240" w:lineRule="auto"/>
    </w:pPr>
    <w:rPr>
      <w:rFonts w:ascii="Verdana" w:hAnsi="Verdana" w:cs="Verdana"/>
      <w:color w:val="000000"/>
      <w:sz w:val="24"/>
      <w:szCs w:val="24"/>
    </w:rPr>
  </w:style>
  <w:style w:type="paragraph" w:styleId="Quote">
    <w:name w:val="Quote"/>
    <w:basedOn w:val="Normal"/>
    <w:next w:val="Normal"/>
    <w:link w:val="QuoteChar"/>
    <w:uiPriority w:val="29"/>
    <w:qFormat/>
    <w:rsid w:val="000B2344"/>
    <w:pPr>
      <w:spacing w:line="276" w:lineRule="auto"/>
      <w:ind w:left="720"/>
    </w:pPr>
    <w:rPr>
      <w:rFonts w:ascii="Calibri" w:eastAsiaTheme="minorHAnsi" w:hAnsi="Calibri" w:cs="Calibri"/>
      <w:i/>
      <w:iCs/>
      <w:sz w:val="22"/>
      <w:szCs w:val="22"/>
      <w:lang w:eastAsia="en-US"/>
    </w:rPr>
  </w:style>
  <w:style w:type="character" w:customStyle="1" w:styleId="QuoteChar">
    <w:name w:val="Quote Char"/>
    <w:basedOn w:val="DefaultParagraphFont"/>
    <w:link w:val="Quote"/>
    <w:uiPriority w:val="29"/>
    <w:rsid w:val="000B2344"/>
    <w:rPr>
      <w:rFonts w:ascii="Calibri" w:hAnsi="Calibri" w:cs="Calibr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3EE7-0311-4EF0-B7B8-F9B19E16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5083</Words>
  <Characters>28976</Characters>
  <Application>Microsoft Office Word</Application>
  <DocSecurity>4</DocSecurity>
  <Lines>241</Lines>
  <Paragraphs>67</Paragraphs>
  <ScaleCrop>false</ScaleCrop>
  <Company/>
  <LinksUpToDate>false</LinksUpToDate>
  <CharactersWithSpaces>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2022-06-01T15:09:00Z</dcterms:created>
  <dcterms:modified xsi:type="dcterms:W3CDTF">2022-06-01T15:09:00Z</dcterms:modified>
</cp:coreProperties>
</file>