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FBEEC" w14:textId="77777777" w:rsidR="00AF0FC4" w:rsidRPr="008373BD" w:rsidRDefault="00AF0FC4" w:rsidP="00AF0FC4">
      <w:pPr>
        <w:spacing w:line="480" w:lineRule="auto"/>
        <w:jc w:val="center"/>
        <w:rPr>
          <w:b/>
          <w:sz w:val="32"/>
          <w:szCs w:val="32"/>
        </w:rPr>
      </w:pPr>
      <w:r w:rsidRPr="008373BD">
        <w:rPr>
          <w:b/>
          <w:sz w:val="32"/>
          <w:szCs w:val="32"/>
        </w:rPr>
        <w:t>THE HIGH COURT</w:t>
      </w:r>
    </w:p>
    <w:p w14:paraId="625C5792" w14:textId="77777777" w:rsidR="00D60976" w:rsidRPr="008373BD" w:rsidRDefault="00D60976" w:rsidP="00AF0FC4">
      <w:pPr>
        <w:spacing w:line="480" w:lineRule="auto"/>
        <w:jc w:val="center"/>
        <w:rPr>
          <w:b/>
          <w:sz w:val="32"/>
          <w:szCs w:val="32"/>
        </w:rPr>
      </w:pPr>
    </w:p>
    <w:p w14:paraId="0B987534" w14:textId="77777777" w:rsidR="00D60976" w:rsidRPr="008373BD" w:rsidRDefault="00D60976" w:rsidP="00AF0FC4">
      <w:pPr>
        <w:spacing w:line="480" w:lineRule="auto"/>
        <w:jc w:val="center"/>
        <w:rPr>
          <w:b/>
          <w:szCs w:val="32"/>
        </w:rPr>
      </w:pPr>
      <w:r w:rsidRPr="008373BD">
        <w:rPr>
          <w:b/>
          <w:szCs w:val="32"/>
        </w:rPr>
        <w:t xml:space="preserve">IN THE MATTER OF SECTION 52 OF THE COURTS </w:t>
      </w:r>
    </w:p>
    <w:p w14:paraId="72D4F459" w14:textId="77777777" w:rsidR="00D60976" w:rsidRPr="008373BD" w:rsidRDefault="001733E8" w:rsidP="00AF0FC4">
      <w:pPr>
        <w:spacing w:line="480" w:lineRule="auto"/>
        <w:jc w:val="center"/>
        <w:rPr>
          <w:b/>
          <w:szCs w:val="32"/>
        </w:rPr>
      </w:pPr>
      <w:r w:rsidRPr="008373BD">
        <w:rPr>
          <w:b/>
          <w:szCs w:val="32"/>
        </w:rPr>
        <w:t xml:space="preserve">(SUPPLEMENTAL </w:t>
      </w:r>
      <w:r w:rsidR="00D60976" w:rsidRPr="008373BD">
        <w:rPr>
          <w:b/>
          <w:szCs w:val="32"/>
        </w:rPr>
        <w:t>PROVISIONS) ACT 1961</w:t>
      </w:r>
    </w:p>
    <w:p w14:paraId="707BB849" w14:textId="77777777" w:rsidR="002A6856" w:rsidRDefault="002A6856" w:rsidP="00AF0FC4">
      <w:pPr>
        <w:spacing w:line="480" w:lineRule="auto"/>
        <w:jc w:val="right"/>
        <w:rPr>
          <w:b/>
        </w:rPr>
      </w:pPr>
      <w:r>
        <w:rPr>
          <w:b/>
        </w:rPr>
        <w:t>[2022] IEHC 320</w:t>
      </w:r>
    </w:p>
    <w:p w14:paraId="6EAEFDD4" w14:textId="24C33958" w:rsidR="00AF0FC4" w:rsidRPr="008373BD" w:rsidRDefault="00AF0FC4" w:rsidP="00AF0FC4">
      <w:pPr>
        <w:spacing w:line="480" w:lineRule="auto"/>
        <w:jc w:val="right"/>
        <w:rPr>
          <w:b/>
        </w:rPr>
      </w:pPr>
      <w:r w:rsidRPr="008373BD">
        <w:rPr>
          <w:b/>
        </w:rPr>
        <w:t>[</w:t>
      </w:r>
      <w:r w:rsidR="00D60976" w:rsidRPr="008373BD">
        <w:rPr>
          <w:b/>
        </w:rPr>
        <w:t>Record No.</w:t>
      </w:r>
      <w:r w:rsidR="00550A56" w:rsidRPr="008373BD">
        <w:rPr>
          <w:b/>
        </w:rPr>
        <w:t xml:space="preserve"> 2021/1618/</w:t>
      </w:r>
      <w:proofErr w:type="gramStart"/>
      <w:r w:rsidR="00550A56" w:rsidRPr="008373BD">
        <w:rPr>
          <w:b/>
        </w:rPr>
        <w:t>SS</w:t>
      </w:r>
      <w:r w:rsidR="00D60976" w:rsidRPr="008373BD">
        <w:rPr>
          <w:b/>
        </w:rPr>
        <w:t xml:space="preserve"> </w:t>
      </w:r>
      <w:r w:rsidRPr="008373BD">
        <w:rPr>
          <w:b/>
        </w:rPr>
        <w:t>]</w:t>
      </w:r>
      <w:proofErr w:type="gramEnd"/>
    </w:p>
    <w:p w14:paraId="4A4CA5D3" w14:textId="13CC32C0" w:rsidR="00AF0FC4" w:rsidRPr="008373BD" w:rsidRDefault="00AF0FC4" w:rsidP="00AF0FC4">
      <w:pPr>
        <w:spacing w:line="480" w:lineRule="auto"/>
        <w:rPr>
          <w:b/>
        </w:rPr>
      </w:pPr>
      <w:r w:rsidRPr="008373BD">
        <w:rPr>
          <w:b/>
        </w:rPr>
        <w:t>BETWEEN</w:t>
      </w:r>
      <w:r w:rsidR="00722D6E">
        <w:rPr>
          <w:b/>
        </w:rPr>
        <w:t xml:space="preserve">  </w:t>
      </w:r>
    </w:p>
    <w:p w14:paraId="79827A92" w14:textId="77777777" w:rsidR="00D60976" w:rsidRPr="008373BD" w:rsidRDefault="00D60976" w:rsidP="00D60976">
      <w:pPr>
        <w:spacing w:line="480" w:lineRule="auto"/>
        <w:jc w:val="center"/>
        <w:rPr>
          <w:b/>
        </w:rPr>
      </w:pPr>
      <w:r w:rsidRPr="008373BD">
        <w:rPr>
          <w:b/>
        </w:rPr>
        <w:t>THE DIRECTOR OF PUBLIC PROSECUTIONS</w:t>
      </w:r>
    </w:p>
    <w:p w14:paraId="1DA53AF6" w14:textId="77777777" w:rsidR="00D60976" w:rsidRPr="008373BD" w:rsidRDefault="00D60976" w:rsidP="00D60976">
      <w:pPr>
        <w:spacing w:line="480" w:lineRule="auto"/>
        <w:jc w:val="center"/>
        <w:rPr>
          <w:b/>
        </w:rPr>
      </w:pPr>
      <w:r w:rsidRPr="008373BD">
        <w:rPr>
          <w:b/>
        </w:rPr>
        <w:t xml:space="preserve"> (AT THE SUIT OF GARDA LIAM VARLEY) </w:t>
      </w:r>
    </w:p>
    <w:p w14:paraId="66D3B606" w14:textId="77777777" w:rsidR="001733E8" w:rsidRPr="008373BD" w:rsidRDefault="001733E8" w:rsidP="001733E8">
      <w:pPr>
        <w:spacing w:line="480" w:lineRule="auto"/>
        <w:ind w:left="6480"/>
        <w:jc w:val="center"/>
        <w:rPr>
          <w:b/>
        </w:rPr>
      </w:pPr>
      <w:r w:rsidRPr="008373BD">
        <w:rPr>
          <w:b/>
        </w:rPr>
        <w:t xml:space="preserve">PROSECUTOR </w:t>
      </w:r>
    </w:p>
    <w:p w14:paraId="62FAE908" w14:textId="77777777" w:rsidR="00AF0FC4" w:rsidRPr="008373BD" w:rsidRDefault="00AF0FC4" w:rsidP="00AF0FC4">
      <w:pPr>
        <w:spacing w:line="480" w:lineRule="auto"/>
        <w:jc w:val="center"/>
        <w:rPr>
          <w:b/>
        </w:rPr>
      </w:pPr>
      <w:r w:rsidRPr="008373BD">
        <w:rPr>
          <w:b/>
        </w:rPr>
        <w:t>AND</w:t>
      </w:r>
    </w:p>
    <w:p w14:paraId="4ECAC47A" w14:textId="77777777" w:rsidR="00D60976" w:rsidRPr="008373BD" w:rsidRDefault="00D60976" w:rsidP="00AF0FC4">
      <w:pPr>
        <w:spacing w:line="480" w:lineRule="auto"/>
        <w:jc w:val="center"/>
        <w:rPr>
          <w:b/>
        </w:rPr>
      </w:pPr>
    </w:p>
    <w:p w14:paraId="53E05DBA" w14:textId="528E8672" w:rsidR="00D60976" w:rsidRPr="008373BD" w:rsidRDefault="00D60976" w:rsidP="00AF0FC4">
      <w:pPr>
        <w:spacing w:line="480" w:lineRule="auto"/>
        <w:jc w:val="center"/>
        <w:rPr>
          <w:b/>
        </w:rPr>
      </w:pPr>
      <w:r w:rsidRPr="008373BD">
        <w:rPr>
          <w:b/>
        </w:rPr>
        <w:t>C</w:t>
      </w:r>
      <w:r w:rsidR="00C34C52" w:rsidRPr="008373BD">
        <w:rPr>
          <w:b/>
        </w:rPr>
        <w:t>I</w:t>
      </w:r>
      <w:r w:rsidRPr="008373BD">
        <w:rPr>
          <w:b/>
        </w:rPr>
        <w:t>ARÁN DAVITT</w:t>
      </w:r>
    </w:p>
    <w:p w14:paraId="61788781" w14:textId="77777777" w:rsidR="00AF0FC4" w:rsidRPr="008373BD" w:rsidRDefault="00AF0FC4" w:rsidP="00AF0FC4">
      <w:pPr>
        <w:spacing w:line="480" w:lineRule="auto"/>
        <w:jc w:val="right"/>
        <w:rPr>
          <w:b/>
        </w:rPr>
      </w:pPr>
    </w:p>
    <w:p w14:paraId="67F33F05" w14:textId="77777777" w:rsidR="00AF0FC4" w:rsidRPr="008373BD" w:rsidRDefault="00AF0FC4" w:rsidP="00AF0FC4">
      <w:pPr>
        <w:spacing w:line="480" w:lineRule="auto"/>
        <w:jc w:val="right"/>
        <w:rPr>
          <w:b/>
        </w:rPr>
      </w:pPr>
      <w:r w:rsidRPr="008373BD">
        <w:rPr>
          <w:b/>
        </w:rPr>
        <w:t>DEFENDANT</w:t>
      </w:r>
    </w:p>
    <w:p w14:paraId="79C596E1" w14:textId="77777777" w:rsidR="0058059B" w:rsidRPr="008373BD" w:rsidRDefault="0058059B" w:rsidP="00AF0FC4">
      <w:pPr>
        <w:spacing w:line="480" w:lineRule="auto"/>
        <w:jc w:val="right"/>
        <w:rPr>
          <w:b/>
        </w:rPr>
      </w:pPr>
      <w:r w:rsidRPr="008373BD">
        <w:rPr>
          <w:b/>
        </w:rPr>
        <w:t xml:space="preserve">And </w:t>
      </w:r>
    </w:p>
    <w:p w14:paraId="2C3A1D71" w14:textId="77777777" w:rsidR="0058059B" w:rsidRPr="008373BD" w:rsidRDefault="0058059B" w:rsidP="0058059B">
      <w:pPr>
        <w:spacing w:line="480" w:lineRule="auto"/>
        <w:jc w:val="center"/>
        <w:rPr>
          <w:b/>
        </w:rPr>
      </w:pPr>
      <w:r w:rsidRPr="008373BD">
        <w:rPr>
          <w:b/>
        </w:rPr>
        <w:t>ATTORNEY GENERAL</w:t>
      </w:r>
    </w:p>
    <w:p w14:paraId="4C883A83" w14:textId="26CB220A" w:rsidR="0058059B" w:rsidRPr="008373BD" w:rsidRDefault="001D49E4" w:rsidP="00AF0FC4">
      <w:pPr>
        <w:spacing w:line="480" w:lineRule="auto"/>
        <w:jc w:val="right"/>
        <w:rPr>
          <w:b/>
        </w:rPr>
      </w:pPr>
      <w:r w:rsidRPr="008373BD">
        <w:rPr>
          <w:b/>
        </w:rPr>
        <w:t>NOTICE PARTY</w:t>
      </w:r>
    </w:p>
    <w:p w14:paraId="213991DA" w14:textId="77777777" w:rsidR="00AF0FC4" w:rsidRPr="008373BD" w:rsidRDefault="00AF0FC4" w:rsidP="00AF0FC4">
      <w:pPr>
        <w:spacing w:line="480" w:lineRule="auto"/>
        <w:jc w:val="right"/>
        <w:rPr>
          <w:b/>
        </w:rPr>
      </w:pPr>
    </w:p>
    <w:p w14:paraId="389D1F01" w14:textId="56B9B691" w:rsidR="00AF0FC4" w:rsidRPr="008373BD" w:rsidRDefault="00AF0FC4" w:rsidP="00AF0FC4">
      <w:pPr>
        <w:spacing w:line="480" w:lineRule="auto"/>
        <w:rPr>
          <w:b/>
          <w:u w:val="single"/>
        </w:rPr>
      </w:pPr>
      <w:r w:rsidRPr="008373BD">
        <w:rPr>
          <w:b/>
          <w:u w:val="single"/>
        </w:rPr>
        <w:t xml:space="preserve">JUDGMENT of </w:t>
      </w:r>
      <w:r w:rsidR="00D60976" w:rsidRPr="008373BD">
        <w:rPr>
          <w:b/>
          <w:u w:val="single"/>
        </w:rPr>
        <w:t>Ms. Justice Bolger</w:t>
      </w:r>
      <w:r w:rsidR="00000EDB" w:rsidRPr="008373BD">
        <w:rPr>
          <w:b/>
          <w:u w:val="single"/>
        </w:rPr>
        <w:tab/>
      </w:r>
      <w:r w:rsidR="00D60976" w:rsidRPr="008373BD">
        <w:rPr>
          <w:b/>
          <w:u w:val="single"/>
        </w:rPr>
        <w:t xml:space="preserve"> </w:t>
      </w:r>
      <w:r w:rsidRPr="008373BD">
        <w:rPr>
          <w:b/>
          <w:u w:val="single"/>
        </w:rPr>
        <w:t>delivered on th</w:t>
      </w:r>
      <w:r w:rsidR="00125D31">
        <w:rPr>
          <w:b/>
          <w:u w:val="single"/>
        </w:rPr>
        <w:t>e 31st</w:t>
      </w:r>
      <w:r w:rsidR="00526DC9" w:rsidRPr="008373BD">
        <w:rPr>
          <w:b/>
          <w:u w:val="single"/>
        </w:rPr>
        <w:t xml:space="preserve"> day</w:t>
      </w:r>
      <w:r w:rsidRPr="008373BD">
        <w:rPr>
          <w:b/>
          <w:u w:val="single"/>
        </w:rPr>
        <w:t xml:space="preserve"> of</w:t>
      </w:r>
      <w:r w:rsidR="00125D31">
        <w:rPr>
          <w:b/>
          <w:u w:val="single"/>
        </w:rPr>
        <w:t xml:space="preserve"> </w:t>
      </w:r>
      <w:proofErr w:type="gramStart"/>
      <w:r w:rsidR="00125D31">
        <w:rPr>
          <w:b/>
          <w:u w:val="single"/>
        </w:rPr>
        <w:t>May,</w:t>
      </w:r>
      <w:proofErr w:type="gramEnd"/>
      <w:r w:rsidR="00125D31">
        <w:rPr>
          <w:b/>
          <w:u w:val="single"/>
        </w:rPr>
        <w:t xml:space="preserve"> </w:t>
      </w:r>
      <w:r w:rsidRPr="008373BD">
        <w:rPr>
          <w:b/>
          <w:u w:val="single"/>
        </w:rPr>
        <w:t>202</w:t>
      </w:r>
      <w:r w:rsidR="00526DC9" w:rsidRPr="008373BD">
        <w:rPr>
          <w:b/>
          <w:u w:val="single"/>
        </w:rPr>
        <w:t>2</w:t>
      </w:r>
    </w:p>
    <w:p w14:paraId="7EBB35C9" w14:textId="77777777" w:rsidR="00E161E3" w:rsidRPr="008373BD" w:rsidRDefault="00E161E3" w:rsidP="00AF0FC4">
      <w:pPr>
        <w:spacing w:line="480" w:lineRule="auto"/>
        <w:rPr>
          <w:b/>
          <w:u w:val="single"/>
        </w:rPr>
      </w:pPr>
    </w:p>
    <w:p w14:paraId="6F0B6AB6" w14:textId="2A023604" w:rsidR="00E161E3" w:rsidRPr="008373BD" w:rsidRDefault="001733E8" w:rsidP="00E161E3">
      <w:pPr>
        <w:numPr>
          <w:ilvl w:val="0"/>
          <w:numId w:val="8"/>
        </w:numPr>
        <w:spacing w:line="480" w:lineRule="auto"/>
      </w:pPr>
      <w:r w:rsidRPr="008373BD">
        <w:t>Judge Miriam Walsh of the District Court has stated a case pursuant to s.52(1) of the Courts (Supplemental Provisions) Act 1961 for the opinion of the High Court.</w:t>
      </w:r>
      <w:r w:rsidR="00791CA0" w:rsidRPr="008373BD">
        <w:t xml:space="preserve">  For the reasons set out below I am answering ‘</w:t>
      </w:r>
      <w:r w:rsidR="004D0D0C" w:rsidRPr="008373BD">
        <w:t>No’</w:t>
      </w:r>
      <w:r w:rsidR="00791CA0" w:rsidRPr="008373BD">
        <w:t xml:space="preserve"> to the question referred.</w:t>
      </w:r>
    </w:p>
    <w:p w14:paraId="503A7553" w14:textId="77777777" w:rsidR="00611ABD" w:rsidRPr="008373BD" w:rsidRDefault="00611ABD" w:rsidP="00DA1D20">
      <w:pPr>
        <w:spacing w:before="600" w:after="60" w:line="480" w:lineRule="auto"/>
        <w:rPr>
          <w:b/>
          <w:u w:val="single"/>
        </w:rPr>
      </w:pPr>
    </w:p>
    <w:p w14:paraId="2409AA5A" w14:textId="5F4F3450" w:rsidR="0058059B" w:rsidRPr="008373BD" w:rsidRDefault="001733E8" w:rsidP="00DA1D20">
      <w:pPr>
        <w:spacing w:before="600" w:after="60" w:line="480" w:lineRule="auto"/>
        <w:rPr>
          <w:b/>
          <w:u w:val="single"/>
        </w:rPr>
      </w:pPr>
      <w:r w:rsidRPr="008373BD">
        <w:rPr>
          <w:b/>
          <w:u w:val="single"/>
        </w:rPr>
        <w:t>The facts</w:t>
      </w:r>
    </w:p>
    <w:p w14:paraId="21D8F745" w14:textId="3E00AAF3" w:rsidR="001733E8" w:rsidRPr="008373BD" w:rsidRDefault="001733E8" w:rsidP="0058059B">
      <w:pPr>
        <w:pStyle w:val="ListParagraph"/>
        <w:numPr>
          <w:ilvl w:val="0"/>
          <w:numId w:val="8"/>
        </w:numPr>
        <w:spacing w:line="480" w:lineRule="auto"/>
      </w:pPr>
      <w:r w:rsidRPr="008373BD">
        <w:t>The defendant appeared before the District Court on 28 August 2021 to answer an allegation that he possessed a small quantity of cannabis. The prosecuting garda was Garda Liam Varley. On the return date</w:t>
      </w:r>
      <w:r w:rsidR="00DE77BE" w:rsidRPr="008373BD">
        <w:t>,</w:t>
      </w:r>
      <w:r w:rsidRPr="008373BD">
        <w:t xml:space="preserve"> the defendant, through his solicitor, indicated that he was pleading not guilty. There was no appearance by Garda Varley or a solicitor from the Office of the DPP. A Sergeant Riley indicated to the court that he was ‘instructed’ by Garda Varley in the case</w:t>
      </w:r>
      <w:r w:rsidR="0058059B" w:rsidRPr="008373BD">
        <w:t xml:space="preserve"> and </w:t>
      </w:r>
      <w:r w:rsidRPr="008373BD">
        <w:t xml:space="preserve">that he was not in a position to </w:t>
      </w:r>
      <w:proofErr w:type="gramStart"/>
      <w:r w:rsidRPr="008373BD">
        <w:t>proceed</w:t>
      </w:r>
      <w:r w:rsidR="00DE77BE" w:rsidRPr="008373BD">
        <w:t>,</w:t>
      </w:r>
      <w:r w:rsidRPr="008373BD">
        <w:t xml:space="preserve"> but</w:t>
      </w:r>
      <w:proofErr w:type="gramEnd"/>
      <w:r w:rsidRPr="008373BD">
        <w:t xml:space="preserve"> could provide facts to the court in the event of a guilty plea. </w:t>
      </w:r>
      <w:r w:rsidR="0058059B" w:rsidRPr="008373BD">
        <w:t xml:space="preserve">This was </w:t>
      </w:r>
      <w:r w:rsidRPr="008373BD">
        <w:t xml:space="preserve">Sergeant Riley’s only involvement in the case. The defendant challenged </w:t>
      </w:r>
      <w:r w:rsidR="008055F0" w:rsidRPr="008373BD">
        <w:t>Sergeant Reilly’s</w:t>
      </w:r>
      <w:r w:rsidRPr="008373BD">
        <w:t xml:space="preserve"> ability to do so as</w:t>
      </w:r>
      <w:r w:rsidR="008055F0" w:rsidRPr="008373BD">
        <w:t>,</w:t>
      </w:r>
      <w:r w:rsidRPr="008373BD">
        <w:t xml:space="preserve"> while O.6, r.1 of the District Court </w:t>
      </w:r>
      <w:r w:rsidR="00E92D6E" w:rsidRPr="008373BD">
        <w:t>R</w:t>
      </w:r>
      <w:r w:rsidRPr="008373BD">
        <w:t>ules purport</w:t>
      </w:r>
      <w:r w:rsidR="0058059B" w:rsidRPr="008373BD">
        <w:t xml:space="preserve">s </w:t>
      </w:r>
      <w:r w:rsidRPr="008373BD">
        <w:t>to confer a right of audience on a</w:t>
      </w:r>
      <w:r w:rsidR="008055F0" w:rsidRPr="008373BD">
        <w:t>ny</w:t>
      </w:r>
      <w:r w:rsidRPr="008373BD">
        <w:t xml:space="preserve"> member or </w:t>
      </w:r>
      <w:proofErr w:type="gramStart"/>
      <w:r w:rsidRPr="008373BD">
        <w:t>An</w:t>
      </w:r>
      <w:proofErr w:type="gramEnd"/>
      <w:r w:rsidRPr="008373BD">
        <w:t xml:space="preserve"> Garda Síochána, the defendant claims that this was </w:t>
      </w:r>
      <w:r w:rsidRPr="008373BD">
        <w:rPr>
          <w:i/>
        </w:rPr>
        <w:t>ultra vires</w:t>
      </w:r>
      <w:r w:rsidRPr="008373BD">
        <w:t xml:space="preserve"> the District Court Rules Committee as s.8(2) of the Garda Síochána</w:t>
      </w:r>
      <w:r w:rsidR="006A60CB" w:rsidRPr="008373BD">
        <w:t xml:space="preserve"> Act 2005 provides: -</w:t>
      </w:r>
    </w:p>
    <w:p w14:paraId="1B92CADD" w14:textId="77777777" w:rsidR="006A60CB" w:rsidRPr="008373BD" w:rsidRDefault="006A60CB" w:rsidP="00DA1D20">
      <w:pPr>
        <w:spacing w:after="280" w:line="480" w:lineRule="auto"/>
        <w:ind w:left="1134"/>
      </w:pPr>
      <w:r w:rsidRPr="008373BD">
        <w:t>“(2) Subject to subsection (3), any member of the Garda Síochána may institute and conduct prosecutions in a court of summary jurisdiction, but only in the name of the Director of Public Prosecutions”.</w:t>
      </w:r>
    </w:p>
    <w:p w14:paraId="697D4DFC" w14:textId="3AAB0AEA" w:rsidR="00E161E3" w:rsidRPr="008373BD" w:rsidRDefault="006A60CB" w:rsidP="00DA1D20">
      <w:pPr>
        <w:numPr>
          <w:ilvl w:val="0"/>
          <w:numId w:val="8"/>
        </w:numPr>
        <w:spacing w:after="280" w:line="480" w:lineRule="auto"/>
      </w:pPr>
      <w:r w:rsidRPr="008373BD">
        <w:t>The defendant submitted to the District</w:t>
      </w:r>
      <w:r w:rsidR="006E2C2C" w:rsidRPr="008373BD">
        <w:t xml:space="preserve"> Court</w:t>
      </w:r>
      <w:r w:rsidRPr="008373BD">
        <w:t xml:space="preserve"> </w:t>
      </w:r>
      <w:r w:rsidR="006E2C2C" w:rsidRPr="008373BD">
        <w:t>j</w:t>
      </w:r>
      <w:r w:rsidRPr="008373BD">
        <w:t xml:space="preserve">udge that while s.8(2) conferred a right of audience on any member of </w:t>
      </w:r>
      <w:proofErr w:type="gramStart"/>
      <w:r w:rsidRPr="008373BD">
        <w:t>An</w:t>
      </w:r>
      <w:proofErr w:type="gramEnd"/>
      <w:r w:rsidRPr="008373BD">
        <w:t xml:space="preserve"> Garda Síochána to prosecute and conduct proceedings in the name of the Director of Public Prosecutions, it does not provide a power for a member or An Garda Síochána to take instructions from, and appear on behalf of, the prosecuting member. The defendant contended that there was no appearance by the prosecution and invited the District </w:t>
      </w:r>
      <w:r w:rsidR="006E2C2C" w:rsidRPr="008373BD">
        <w:t xml:space="preserve">Court </w:t>
      </w:r>
      <w:r w:rsidRPr="008373BD">
        <w:t>judge to strike the case out.</w:t>
      </w:r>
    </w:p>
    <w:p w14:paraId="0725A440" w14:textId="77777777" w:rsidR="006A60CB" w:rsidRPr="008373BD" w:rsidRDefault="006A60CB" w:rsidP="00E161E3">
      <w:pPr>
        <w:numPr>
          <w:ilvl w:val="0"/>
          <w:numId w:val="8"/>
        </w:numPr>
        <w:spacing w:line="480" w:lineRule="auto"/>
      </w:pPr>
      <w:r w:rsidRPr="008373BD">
        <w:t xml:space="preserve">The </w:t>
      </w:r>
      <w:proofErr w:type="gramStart"/>
      <w:r w:rsidRPr="008373BD">
        <w:t>District</w:t>
      </w:r>
      <w:proofErr w:type="gramEnd"/>
      <w:r w:rsidRPr="008373BD">
        <w:t xml:space="preserve"> judge refers the following question to this Court for determination: -</w:t>
      </w:r>
    </w:p>
    <w:p w14:paraId="4A1AEDB6" w14:textId="77777777" w:rsidR="006A60CB" w:rsidRPr="008373BD" w:rsidRDefault="006A60CB" w:rsidP="00DA1D20">
      <w:pPr>
        <w:spacing w:after="280" w:line="480" w:lineRule="auto"/>
        <w:ind w:left="1134"/>
      </w:pPr>
      <w:r w:rsidRPr="008373BD">
        <w:lastRenderedPageBreak/>
        <w:t>“Did Sergeant Riley have a right of audience to prosecute the case against the defendant?”</w:t>
      </w:r>
    </w:p>
    <w:p w14:paraId="061E3D61" w14:textId="77777777" w:rsidR="00E161E3" w:rsidRPr="008373BD" w:rsidRDefault="006A60CB" w:rsidP="00DA1D20">
      <w:pPr>
        <w:numPr>
          <w:ilvl w:val="0"/>
          <w:numId w:val="8"/>
        </w:numPr>
        <w:spacing w:after="280" w:line="480" w:lineRule="auto"/>
      </w:pPr>
      <w:r w:rsidRPr="008373BD">
        <w:t>The DPP contend</w:t>
      </w:r>
      <w:r w:rsidR="0058059B" w:rsidRPr="008373BD">
        <w:t>s</w:t>
      </w:r>
      <w:r w:rsidRPr="008373BD">
        <w:t xml:space="preserve"> that Sergeant Riley did not seek to present the case on the date in question but sought a remand to another date, which application was objected to by the defence who sought to have the matter struck out. The DPP accepted that a prosecuting garda will be required to attend in person to give his or her own evidence at the nominated hearing date, if only for the simple reason that his or her evidence will be hearsay if another officer attempts to communicate it to the court.</w:t>
      </w:r>
    </w:p>
    <w:p w14:paraId="5125790B" w14:textId="77777777" w:rsidR="00AF75B6" w:rsidRPr="008373BD" w:rsidRDefault="00AF75B6" w:rsidP="00DA1D20">
      <w:pPr>
        <w:numPr>
          <w:ilvl w:val="0"/>
          <w:numId w:val="8"/>
        </w:numPr>
        <w:spacing w:after="280" w:line="480" w:lineRule="auto"/>
      </w:pPr>
      <w:r w:rsidRPr="008373BD">
        <w:t xml:space="preserve">The Attorney General, who participated as notice party, claims that Sergeant Reilly did not seek to present the case on the date in question but sought a remand to another date, which application was objected to by the defence who sought to have the matter struck out. </w:t>
      </w:r>
    </w:p>
    <w:p w14:paraId="25A18DCA" w14:textId="206036CF" w:rsidR="006A60CB" w:rsidRPr="008373BD" w:rsidRDefault="006A60CB" w:rsidP="00E161E3">
      <w:pPr>
        <w:numPr>
          <w:ilvl w:val="0"/>
          <w:numId w:val="8"/>
        </w:numPr>
        <w:spacing w:line="480" w:lineRule="auto"/>
      </w:pPr>
      <w:r w:rsidRPr="008373BD">
        <w:t>This Court is confined to the facts as found by the District</w:t>
      </w:r>
      <w:r w:rsidR="006E2C2C" w:rsidRPr="008373BD">
        <w:t xml:space="preserve"> Court</w:t>
      </w:r>
      <w:r w:rsidRPr="008373BD">
        <w:t xml:space="preserve"> judge and set out in the </w:t>
      </w:r>
      <w:r w:rsidR="006E2C2C" w:rsidRPr="008373BD">
        <w:t>c</w:t>
      </w:r>
      <w:r w:rsidRPr="008373BD">
        <w:t xml:space="preserve">onsultative </w:t>
      </w:r>
      <w:r w:rsidR="006E2C2C" w:rsidRPr="008373BD">
        <w:t>c</w:t>
      </w:r>
      <w:r w:rsidRPr="008373BD">
        <w:t xml:space="preserve">ase </w:t>
      </w:r>
      <w:r w:rsidR="006E2C2C" w:rsidRPr="008373BD">
        <w:t>s</w:t>
      </w:r>
      <w:r w:rsidRPr="008373BD">
        <w:t>tated. The prosecutor and the defendant accept that they had the opportunity to review those facts before they were finalised by the District</w:t>
      </w:r>
      <w:r w:rsidR="00E92D6E" w:rsidRPr="008373BD">
        <w:t xml:space="preserve"> Court</w:t>
      </w:r>
      <w:r w:rsidRPr="008373BD">
        <w:t xml:space="preserve"> </w:t>
      </w:r>
      <w:r w:rsidR="00E92D6E" w:rsidRPr="008373BD">
        <w:t>j</w:t>
      </w:r>
      <w:r w:rsidRPr="008373BD">
        <w:t xml:space="preserve">udge. I will not therefore take account of any other purported facts identified by the DPP or the Attorney General including those set out at </w:t>
      </w:r>
      <w:r w:rsidR="008055F0" w:rsidRPr="008373BD">
        <w:t>paragraphs 5 and 6</w:t>
      </w:r>
      <w:r w:rsidRPr="008373BD">
        <w:t xml:space="preserve"> above. The </w:t>
      </w:r>
      <w:r w:rsidR="0058059B" w:rsidRPr="008373BD">
        <w:t xml:space="preserve">single </w:t>
      </w:r>
      <w:r w:rsidRPr="008373BD">
        <w:t>question the District</w:t>
      </w:r>
      <w:r w:rsidR="00E92D6E" w:rsidRPr="008373BD">
        <w:t xml:space="preserve"> Court</w:t>
      </w:r>
      <w:r w:rsidRPr="008373BD">
        <w:t xml:space="preserve"> judge has referred </w:t>
      </w:r>
      <w:r w:rsidR="0058059B" w:rsidRPr="008373BD">
        <w:t xml:space="preserve">to this Court </w:t>
      </w:r>
      <w:r w:rsidRPr="008373BD">
        <w:t xml:space="preserve">refers only to Sergeant Riley’s right of audience to prosecute the case against the defendant. I am not limiting or qualifying </w:t>
      </w:r>
      <w:r w:rsidR="0058059B" w:rsidRPr="008373BD">
        <w:t xml:space="preserve">that </w:t>
      </w:r>
      <w:r w:rsidRPr="008373BD">
        <w:t xml:space="preserve">by reference to a claim that the matter was not </w:t>
      </w:r>
      <w:r w:rsidR="00AF75B6" w:rsidRPr="008373BD">
        <w:t>in for hearing or that the right of audience of the non prosecuting garda is limited to dealing with matters other than on the nominated hearing date</w:t>
      </w:r>
      <w:r w:rsidR="008055F0" w:rsidRPr="008373BD">
        <w:t>,</w:t>
      </w:r>
      <w:r w:rsidR="00AF75B6" w:rsidRPr="008373BD">
        <w:t xml:space="preserve"> as seems to be contended for by the DPP. The only question asked is </w:t>
      </w:r>
      <w:r w:rsidR="00E92D6E" w:rsidRPr="008373BD">
        <w:t xml:space="preserve">of </w:t>
      </w:r>
      <w:r w:rsidR="00AF75B6" w:rsidRPr="008373BD">
        <w:t xml:space="preserve">the right of audience of a member of </w:t>
      </w:r>
      <w:proofErr w:type="gramStart"/>
      <w:r w:rsidR="00AF75B6" w:rsidRPr="008373BD">
        <w:t>An</w:t>
      </w:r>
      <w:proofErr w:type="gramEnd"/>
      <w:r w:rsidR="00AF75B6" w:rsidRPr="008373BD">
        <w:t xml:space="preserve"> Garda </w:t>
      </w:r>
      <w:r w:rsidR="00D33792" w:rsidRPr="008373BD">
        <w:t>Síochána who</w:t>
      </w:r>
      <w:r w:rsidR="00AF75B6" w:rsidRPr="008373BD">
        <w:t xml:space="preserve"> is not the prosecuting garda</w:t>
      </w:r>
      <w:r w:rsidR="00E92D6E" w:rsidRPr="008373BD">
        <w:t>,</w:t>
      </w:r>
      <w:r w:rsidR="00AF75B6" w:rsidRPr="008373BD">
        <w:t xml:space="preserve"> and that is the issue I will address. </w:t>
      </w:r>
    </w:p>
    <w:p w14:paraId="41C93C59" w14:textId="77777777" w:rsidR="006A60CB" w:rsidRPr="008373BD" w:rsidRDefault="00AF75B6" w:rsidP="00DA1D20">
      <w:pPr>
        <w:spacing w:before="600" w:after="60" w:line="480" w:lineRule="auto"/>
        <w:rPr>
          <w:b/>
          <w:u w:val="single"/>
        </w:rPr>
      </w:pPr>
      <w:r w:rsidRPr="008373BD">
        <w:rPr>
          <w:b/>
          <w:u w:val="single"/>
        </w:rPr>
        <w:lastRenderedPageBreak/>
        <w:t>Legal provisions</w:t>
      </w:r>
    </w:p>
    <w:p w14:paraId="496DFE9A" w14:textId="77777777" w:rsidR="001D49E4" w:rsidRPr="008373BD" w:rsidRDefault="00AF75B6" w:rsidP="001D49E4">
      <w:pPr>
        <w:numPr>
          <w:ilvl w:val="0"/>
          <w:numId w:val="8"/>
        </w:numPr>
        <w:spacing w:line="480" w:lineRule="auto"/>
        <w:rPr>
          <w:b/>
        </w:rPr>
      </w:pPr>
      <w:r w:rsidRPr="008373BD">
        <w:t>Order 6 r. 1 of the District Court Rules provides as follow</w:t>
      </w:r>
      <w:r w:rsidR="001D49E4" w:rsidRPr="008373BD">
        <w:t>s:</w:t>
      </w:r>
    </w:p>
    <w:p w14:paraId="78522ADB" w14:textId="230050C9" w:rsidR="001D49E4" w:rsidRPr="008373BD" w:rsidRDefault="001D49E4" w:rsidP="00611ABD">
      <w:pPr>
        <w:spacing w:line="480" w:lineRule="auto"/>
        <w:ind w:left="1134" w:hanging="567"/>
      </w:pPr>
      <w:r w:rsidRPr="008373BD">
        <w:t>“1. The following persons shall be entitled to appear and address the Court and conduct proceedings—</w:t>
      </w:r>
    </w:p>
    <w:p w14:paraId="47D0B64F" w14:textId="5E27E4BE" w:rsidR="001D49E4" w:rsidRPr="008373BD" w:rsidRDefault="001D49E4" w:rsidP="006E2C2C">
      <w:pPr>
        <w:spacing w:line="480" w:lineRule="auto"/>
        <w:ind w:left="1134"/>
      </w:pPr>
      <w:r w:rsidRPr="008373BD">
        <w:t>[…]</w:t>
      </w:r>
      <w:r w:rsidRPr="008373BD">
        <w:br/>
        <w:t>(e) in proceedings at the suit of the Director of Public Prosecutions in respect of an offence, the said Director or any member of the Garda Síochána or other person appearing on behalf of or prosecuting in the name of the Director.”</w:t>
      </w:r>
    </w:p>
    <w:p w14:paraId="601D047D" w14:textId="7B42A8D4" w:rsidR="006A60CB" w:rsidRPr="008373BD" w:rsidRDefault="00AF75B6" w:rsidP="001D49E4">
      <w:r w:rsidRPr="008373BD">
        <w:t xml:space="preserve"> </w:t>
      </w:r>
    </w:p>
    <w:p w14:paraId="14E111BA" w14:textId="6B00846F" w:rsidR="00C95902" w:rsidRPr="008373BD" w:rsidRDefault="00AF75B6" w:rsidP="00D53D43">
      <w:pPr>
        <w:numPr>
          <w:ilvl w:val="0"/>
          <w:numId w:val="8"/>
        </w:numPr>
        <w:autoSpaceDE w:val="0"/>
        <w:autoSpaceDN w:val="0"/>
        <w:adjustRightInd w:val="0"/>
        <w:spacing w:line="480" w:lineRule="auto"/>
        <w:rPr>
          <w:i/>
          <w:iCs/>
        </w:rPr>
      </w:pPr>
      <w:r w:rsidRPr="008373BD">
        <w:t xml:space="preserve">It is common case between the parties that this provision of the Rules permits any member of </w:t>
      </w:r>
      <w:proofErr w:type="gramStart"/>
      <w:r w:rsidRPr="008373BD">
        <w:t>An</w:t>
      </w:r>
      <w:proofErr w:type="gramEnd"/>
      <w:r w:rsidRPr="008373BD">
        <w:t xml:space="preserve"> Garda </w:t>
      </w:r>
      <w:r w:rsidR="00D33792" w:rsidRPr="008373BD">
        <w:t xml:space="preserve">Síochána </w:t>
      </w:r>
      <w:r w:rsidRPr="008373BD">
        <w:t xml:space="preserve">a right of audience before the District Court. If this rule is binding on the </w:t>
      </w:r>
      <w:r w:rsidR="00E92D6E" w:rsidRPr="008373BD">
        <w:t xml:space="preserve">District Court </w:t>
      </w:r>
      <w:r w:rsidR="00D33792" w:rsidRPr="008373BD">
        <w:t>judge,</w:t>
      </w:r>
      <w:r w:rsidRPr="008373BD">
        <w:t xml:space="preserve"> then the answer to the question referred is clearly “yes”. The statutory provision which the defendant says </w:t>
      </w:r>
      <w:r w:rsidR="00681010" w:rsidRPr="008373BD">
        <w:t xml:space="preserve">limits </w:t>
      </w:r>
      <w:r w:rsidRPr="008373BD">
        <w:t xml:space="preserve">a right of audience right of audience </w:t>
      </w:r>
      <w:r w:rsidR="00681010" w:rsidRPr="008373BD">
        <w:t xml:space="preserve">to </w:t>
      </w:r>
      <w:r w:rsidRPr="008373BD">
        <w:t>the prosecuting garda</w:t>
      </w:r>
      <w:r w:rsidR="00681010" w:rsidRPr="008373BD">
        <w:t xml:space="preserve"> only</w:t>
      </w:r>
      <w:r w:rsidRPr="008373BD">
        <w:t xml:space="preserve"> </w:t>
      </w:r>
      <w:r w:rsidR="00E92D6E" w:rsidRPr="008373BD">
        <w:t>is</w:t>
      </w:r>
      <w:r w:rsidR="0058059B" w:rsidRPr="008373BD">
        <w:t xml:space="preserve"> </w:t>
      </w:r>
      <w:r w:rsidRPr="008373BD">
        <w:t>s.8</w:t>
      </w:r>
      <w:r w:rsidR="00C95902" w:rsidRPr="008373BD">
        <w:t xml:space="preserve"> (1) and</w:t>
      </w:r>
      <w:r w:rsidRPr="008373BD">
        <w:t xml:space="preserve"> (2) </w:t>
      </w:r>
      <w:r w:rsidR="00681010" w:rsidRPr="008373BD">
        <w:t xml:space="preserve">which </w:t>
      </w:r>
      <w:r w:rsidRPr="008373BD">
        <w:t xml:space="preserve">provides as follows: </w:t>
      </w:r>
    </w:p>
    <w:p w14:paraId="7CEF7B95" w14:textId="77777777" w:rsidR="00C95902" w:rsidRPr="008373BD" w:rsidRDefault="00C95902" w:rsidP="00611ABD">
      <w:pPr>
        <w:autoSpaceDE w:val="0"/>
        <w:autoSpaceDN w:val="0"/>
        <w:adjustRightInd w:val="0"/>
        <w:spacing w:line="480" w:lineRule="auto"/>
        <w:ind w:left="1134" w:hanging="567"/>
      </w:pPr>
      <w:r w:rsidRPr="008373BD">
        <w:t>“8.— (1) No member of the Garda Síochána in the course of his or her official</w:t>
      </w:r>
    </w:p>
    <w:p w14:paraId="18DEDBD2" w14:textId="09D0B05A" w:rsidR="00C95902" w:rsidRPr="008373BD" w:rsidRDefault="00C95902" w:rsidP="00DA1D20">
      <w:pPr>
        <w:autoSpaceDE w:val="0"/>
        <w:autoSpaceDN w:val="0"/>
        <w:adjustRightInd w:val="0"/>
        <w:spacing w:after="160" w:line="480" w:lineRule="auto"/>
        <w:ind w:left="567"/>
      </w:pPr>
      <w:r w:rsidRPr="008373BD">
        <w:t>duties may institute a prosecution except as provided under this section.</w:t>
      </w:r>
    </w:p>
    <w:p w14:paraId="38A3D870" w14:textId="77777777" w:rsidR="00C95902" w:rsidRPr="008373BD" w:rsidRDefault="00C95902" w:rsidP="00DA1D20">
      <w:pPr>
        <w:autoSpaceDE w:val="0"/>
        <w:autoSpaceDN w:val="0"/>
        <w:adjustRightInd w:val="0"/>
        <w:spacing w:line="480" w:lineRule="auto"/>
        <w:ind w:firstLine="567"/>
      </w:pPr>
      <w:r w:rsidRPr="008373BD">
        <w:t>(2) Subject to subsection (3), any member of the Garda Síochána may</w:t>
      </w:r>
    </w:p>
    <w:p w14:paraId="47FE8211" w14:textId="77777777" w:rsidR="00C95902" w:rsidRPr="008373BD" w:rsidRDefault="00C95902" w:rsidP="00DA1D20">
      <w:pPr>
        <w:autoSpaceDE w:val="0"/>
        <w:autoSpaceDN w:val="0"/>
        <w:adjustRightInd w:val="0"/>
        <w:spacing w:after="280" w:line="480" w:lineRule="auto"/>
        <w:ind w:left="567"/>
      </w:pPr>
      <w:r w:rsidRPr="008373BD">
        <w:t xml:space="preserve">institute and conduct prosecutions in a court of summary jurisdiction, but only in the name of the Director of Public Prosecutions”. </w:t>
      </w:r>
    </w:p>
    <w:p w14:paraId="041EF14A" w14:textId="79A88769" w:rsidR="00AF75B6" w:rsidRPr="008373BD" w:rsidRDefault="00AF75B6" w:rsidP="00DA1D20">
      <w:pPr>
        <w:autoSpaceDE w:val="0"/>
        <w:autoSpaceDN w:val="0"/>
        <w:adjustRightInd w:val="0"/>
        <w:spacing w:after="280" w:line="480" w:lineRule="auto"/>
        <w:rPr>
          <w:b/>
          <w:bCs/>
          <w:i/>
          <w:iCs/>
        </w:rPr>
      </w:pPr>
      <w:r w:rsidRPr="008373BD">
        <w:t xml:space="preserve">The remainder of s. 8 provides </w:t>
      </w:r>
      <w:proofErr w:type="gramStart"/>
      <w:r w:rsidRPr="008373BD">
        <w:t>for the manner in which</w:t>
      </w:r>
      <w:proofErr w:type="gramEnd"/>
      <w:r w:rsidRPr="008373BD">
        <w:t xml:space="preserve"> prosecutions are instituted in the name of the DPP</w:t>
      </w:r>
      <w:r w:rsidR="00681010" w:rsidRPr="008373BD">
        <w:t xml:space="preserve"> </w:t>
      </w:r>
      <w:r w:rsidRPr="008373BD">
        <w:t>and</w:t>
      </w:r>
      <w:r w:rsidR="00E92D6E" w:rsidRPr="008373BD">
        <w:t xml:space="preserve"> </w:t>
      </w:r>
      <w:r w:rsidRPr="008373BD">
        <w:t xml:space="preserve">supervised by the DPP in the form of specific and general directions. </w:t>
      </w:r>
    </w:p>
    <w:p w14:paraId="6C8B5A58" w14:textId="515FB703" w:rsidR="00C95902" w:rsidRPr="008373BD" w:rsidRDefault="00AF75B6" w:rsidP="00AF75B6">
      <w:pPr>
        <w:numPr>
          <w:ilvl w:val="0"/>
          <w:numId w:val="8"/>
        </w:numPr>
        <w:spacing w:line="480" w:lineRule="auto"/>
      </w:pPr>
      <w:r w:rsidRPr="008373BD">
        <w:t>The defendant also relies on s. 9 (1) of the Petty Sessions (Ireland) Act 1851</w:t>
      </w:r>
      <w:r w:rsidR="00E92D6E" w:rsidRPr="008373BD">
        <w:t>,</w:t>
      </w:r>
      <w:r w:rsidRPr="008373BD">
        <w:t xml:space="preserve"> which the defendant submits provides for the right of audience of a solicitor or barrister for either side in summary proceedings: </w:t>
      </w:r>
    </w:p>
    <w:p w14:paraId="321B4EF8" w14:textId="5FFCCF45" w:rsidR="00AF75B6" w:rsidRPr="008373BD" w:rsidRDefault="00C95902" w:rsidP="00DA1D20">
      <w:pPr>
        <w:spacing w:after="280" w:line="480" w:lineRule="auto"/>
        <w:ind w:left="1134"/>
      </w:pPr>
      <w:r w:rsidRPr="008373BD">
        <w:lastRenderedPageBreak/>
        <w:t xml:space="preserve">“In all cases of summary proceedings the place in which any justice or justices shall sit to hear and determine any complaint shall be deemed an open court, to which the public generally may have access, so far as the same can conveniently contain them; and the parties by and against whom any complaint or information shall there be heard shall be admitted to conduct or make their full answer and defence thereto respectively, and to have the witnesses examined and cross-examined, by themselves or by counsel or attorney on their behalf”. </w:t>
      </w:r>
    </w:p>
    <w:p w14:paraId="5CB14494" w14:textId="69C96C87" w:rsidR="00AF75B6" w:rsidRPr="008373BD" w:rsidRDefault="00AF75B6" w:rsidP="00AF75B6">
      <w:pPr>
        <w:numPr>
          <w:ilvl w:val="0"/>
          <w:numId w:val="8"/>
        </w:numPr>
        <w:spacing w:line="480" w:lineRule="auto"/>
      </w:pPr>
      <w:r w:rsidRPr="008373BD">
        <w:t xml:space="preserve">The </w:t>
      </w:r>
      <w:r w:rsidR="0058059B" w:rsidRPr="008373BD">
        <w:t>S</w:t>
      </w:r>
      <w:r w:rsidRPr="008373BD">
        <w:t>tate parties dispute that s. 9 (1) confers or limits any such right of audience</w:t>
      </w:r>
      <w:r w:rsidR="00681010" w:rsidRPr="008373BD">
        <w:t xml:space="preserve"> to the accused, their </w:t>
      </w:r>
      <w:proofErr w:type="gramStart"/>
      <w:r w:rsidR="00681010" w:rsidRPr="008373BD">
        <w:t>counsel</w:t>
      </w:r>
      <w:proofErr w:type="gramEnd"/>
      <w:r w:rsidR="00681010" w:rsidRPr="008373BD">
        <w:t xml:space="preserve"> or their solicitor</w:t>
      </w:r>
      <w:r w:rsidRPr="008373BD">
        <w:t xml:space="preserve">. </w:t>
      </w:r>
    </w:p>
    <w:p w14:paraId="17A0BC5B" w14:textId="77777777" w:rsidR="00AF75B6" w:rsidRPr="008373BD" w:rsidRDefault="00AF75B6" w:rsidP="00DA1D20">
      <w:pPr>
        <w:spacing w:before="600" w:after="60" w:line="480" w:lineRule="auto"/>
        <w:rPr>
          <w:b/>
          <w:u w:val="single"/>
        </w:rPr>
      </w:pPr>
      <w:r w:rsidRPr="008373BD">
        <w:rPr>
          <w:b/>
          <w:u w:val="single"/>
        </w:rPr>
        <w:t>Submissions of the defendant</w:t>
      </w:r>
    </w:p>
    <w:p w14:paraId="0C66B9B1" w14:textId="0C283489" w:rsidR="00AF75B6" w:rsidRPr="008373BD" w:rsidRDefault="00834517" w:rsidP="00DA1D20">
      <w:pPr>
        <w:numPr>
          <w:ilvl w:val="0"/>
          <w:numId w:val="8"/>
        </w:numPr>
        <w:spacing w:after="280" w:line="480" w:lineRule="auto"/>
      </w:pPr>
      <w:r w:rsidRPr="008373BD">
        <w:t xml:space="preserve">The defendant contends that s. 8 abolished the previous practice of gardaí prosecuting District Court criminal cases as common informers and replaced it with a statutory framework for cases to be prosecuted in the name of the DPP. The defendant contended </w:t>
      </w:r>
      <w:r w:rsidR="0058059B" w:rsidRPr="008373BD">
        <w:t xml:space="preserve">that </w:t>
      </w:r>
      <w:r w:rsidRPr="008373BD">
        <w:t xml:space="preserve">s. 8 (2) </w:t>
      </w:r>
      <w:r w:rsidR="00681010" w:rsidRPr="008373BD">
        <w:t xml:space="preserve">limits </w:t>
      </w:r>
      <w:r w:rsidRPr="008373BD">
        <w:t xml:space="preserve">the right of audience before the District Court for members of </w:t>
      </w:r>
      <w:proofErr w:type="gramStart"/>
      <w:r w:rsidRPr="008373BD">
        <w:t>An</w:t>
      </w:r>
      <w:proofErr w:type="gramEnd"/>
      <w:r w:rsidRPr="008373BD">
        <w:t xml:space="preserve"> Garda </w:t>
      </w:r>
      <w:r w:rsidR="00D33792" w:rsidRPr="008373BD">
        <w:t xml:space="preserve">Síochána </w:t>
      </w:r>
      <w:r w:rsidRPr="008373BD">
        <w:t>to the prosecuting garda as the right is conferred conjunctively</w:t>
      </w:r>
      <w:r w:rsidR="00613E50" w:rsidRPr="008373BD">
        <w:t>,</w:t>
      </w:r>
      <w:r w:rsidRPr="008373BD">
        <w:t xml:space="preserve"> i.e. “any member may institute </w:t>
      </w:r>
      <w:r w:rsidRPr="008373BD">
        <w:rPr>
          <w:u w:val="single"/>
        </w:rPr>
        <w:t>and</w:t>
      </w:r>
      <w:r w:rsidRPr="008373BD">
        <w:t xml:space="preserve"> conduct” (my emphasis). </w:t>
      </w:r>
      <w:r w:rsidR="00D33792" w:rsidRPr="008373BD">
        <w:t>Therefore,</w:t>
      </w:r>
      <w:r w:rsidRPr="008373BD">
        <w:t xml:space="preserve"> according to the defendant, there is no separate right </w:t>
      </w:r>
      <w:r w:rsidR="00681010" w:rsidRPr="008373BD">
        <w:t xml:space="preserve">of audience </w:t>
      </w:r>
      <w:r w:rsidRPr="008373BD">
        <w:t xml:space="preserve">for a member of </w:t>
      </w:r>
      <w:proofErr w:type="gramStart"/>
      <w:r w:rsidRPr="008373BD">
        <w:t>An</w:t>
      </w:r>
      <w:proofErr w:type="gramEnd"/>
      <w:r w:rsidRPr="008373BD">
        <w:t xml:space="preserve"> Garda </w:t>
      </w:r>
      <w:r w:rsidR="00D33792" w:rsidRPr="008373BD">
        <w:t>Síochána to</w:t>
      </w:r>
      <w:r w:rsidRPr="008373BD">
        <w:t xml:space="preserve"> conduct a prosecution where they are not the prosecuting garda. Insofar </w:t>
      </w:r>
      <w:r w:rsidR="00D33792" w:rsidRPr="008373BD">
        <w:t>as</w:t>
      </w:r>
      <w:r w:rsidR="00613E50" w:rsidRPr="008373BD">
        <w:t xml:space="preserve"> </w:t>
      </w:r>
      <w:r w:rsidRPr="008373BD">
        <w:t xml:space="preserve">O.6 r.1 confers such a right, the defendant maintains that the rule </w:t>
      </w:r>
      <w:r w:rsidR="00681010" w:rsidRPr="008373BD">
        <w:t xml:space="preserve">is </w:t>
      </w:r>
      <w:r w:rsidRPr="008373BD">
        <w:rPr>
          <w:i/>
        </w:rPr>
        <w:t>ultra vires</w:t>
      </w:r>
      <w:r w:rsidRPr="008373BD">
        <w:t xml:space="preserve"> the enabling statutory provision </w:t>
      </w:r>
      <w:r w:rsidR="00AE5E4B" w:rsidRPr="008373BD">
        <w:t xml:space="preserve">of </w:t>
      </w:r>
      <w:r w:rsidRPr="008373BD">
        <w:t xml:space="preserve">s.8 </w:t>
      </w:r>
      <w:r w:rsidR="00AE5E4B" w:rsidRPr="008373BD">
        <w:t>(</w:t>
      </w:r>
      <w:r w:rsidRPr="008373BD">
        <w:t xml:space="preserve">2). </w:t>
      </w:r>
    </w:p>
    <w:p w14:paraId="5BEE6B7A" w14:textId="6FE95BF7" w:rsidR="00834517" w:rsidRPr="008373BD" w:rsidRDefault="00834517" w:rsidP="00834517">
      <w:pPr>
        <w:numPr>
          <w:ilvl w:val="0"/>
          <w:numId w:val="8"/>
        </w:numPr>
        <w:spacing w:line="480" w:lineRule="auto"/>
      </w:pPr>
      <w:r w:rsidRPr="008373BD">
        <w:t>The defendant argue</w:t>
      </w:r>
      <w:r w:rsidR="00AE5E4B" w:rsidRPr="008373BD">
        <w:t>s</w:t>
      </w:r>
      <w:r w:rsidRPr="008373BD">
        <w:t xml:space="preserve"> </w:t>
      </w:r>
      <w:r w:rsidR="00D33792" w:rsidRPr="008373BD">
        <w:t>that the</w:t>
      </w:r>
      <w:r w:rsidRPr="008373BD">
        <w:t xml:space="preserve"> law limits</w:t>
      </w:r>
      <w:r w:rsidR="0007180A" w:rsidRPr="008373BD">
        <w:t xml:space="preserve"> the</w:t>
      </w:r>
      <w:r w:rsidRPr="008373BD">
        <w:t xml:space="preserve"> right of audience</w:t>
      </w:r>
      <w:r w:rsidR="0007180A" w:rsidRPr="008373BD">
        <w:t xml:space="preserve"> before the District Court</w:t>
      </w:r>
      <w:r w:rsidRPr="008373BD">
        <w:t xml:space="preserve"> to solicitors, barristers and </w:t>
      </w:r>
      <w:r w:rsidR="00AE5E4B" w:rsidRPr="008373BD">
        <w:t>specified</w:t>
      </w:r>
      <w:r w:rsidRPr="008373BD">
        <w:t xml:space="preserve"> other persons including the prosecuting garda. </w:t>
      </w:r>
      <w:r w:rsidR="008055F0" w:rsidRPr="008373BD">
        <w:t>Counsel</w:t>
      </w:r>
      <w:r w:rsidR="00AE5E4B" w:rsidRPr="008373BD">
        <w:t xml:space="preserve"> describes this as </w:t>
      </w:r>
      <w:r w:rsidR="00D33792" w:rsidRPr="008373BD">
        <w:t>a significant</w:t>
      </w:r>
      <w:r w:rsidRPr="008373BD">
        <w:t xml:space="preserve"> restriction imposed by the law </w:t>
      </w:r>
      <w:r w:rsidR="00AE5E4B" w:rsidRPr="008373BD">
        <w:t xml:space="preserve">going </w:t>
      </w:r>
      <w:r w:rsidRPr="008373BD">
        <w:t>beyond mere practice and procedure of the District Court</w:t>
      </w:r>
      <w:r w:rsidR="00613E50" w:rsidRPr="008373BD">
        <w:t>,</w:t>
      </w:r>
      <w:r w:rsidRPr="008373BD">
        <w:t xml:space="preserve"> and therefore not an area over which the District Court </w:t>
      </w:r>
      <w:r w:rsidR="00613E50" w:rsidRPr="008373BD">
        <w:t>R</w:t>
      </w:r>
      <w:r w:rsidRPr="008373BD">
        <w:t xml:space="preserve">ules </w:t>
      </w:r>
      <w:r w:rsidR="00613E50" w:rsidRPr="008373BD">
        <w:lastRenderedPageBreak/>
        <w:t>C</w:t>
      </w:r>
      <w:r w:rsidRPr="008373BD">
        <w:t xml:space="preserve">ommittee has jurisdiction to make rules. The Supreme </w:t>
      </w:r>
      <w:r w:rsidR="00D33792" w:rsidRPr="008373BD">
        <w:t xml:space="preserve">Court </w:t>
      </w:r>
      <w:r w:rsidRPr="008373BD">
        <w:t xml:space="preserve">held in the </w:t>
      </w:r>
      <w:r w:rsidRPr="008373BD">
        <w:rPr>
          <w:i/>
        </w:rPr>
        <w:t>State (O’Flaherty) v. O’Floinn</w:t>
      </w:r>
      <w:r w:rsidRPr="008373BD">
        <w:t xml:space="preserve"> [1954] IR 295 that the rule making authority </w:t>
      </w:r>
      <w:r w:rsidR="00522A5C" w:rsidRPr="008373BD">
        <w:t xml:space="preserve">cannot amend a statute but may only adapt or modify it as may be necessary. Wherever a rule goes beyond an adaptation or modification of a statute it will be </w:t>
      </w:r>
      <w:r w:rsidR="00522A5C" w:rsidRPr="008373BD">
        <w:rPr>
          <w:i/>
        </w:rPr>
        <w:t xml:space="preserve">ultra vires </w:t>
      </w:r>
      <w:r w:rsidR="00522A5C" w:rsidRPr="008373BD">
        <w:t xml:space="preserve">as occurred in </w:t>
      </w:r>
      <w:r w:rsidR="00522A5C" w:rsidRPr="008373BD">
        <w:rPr>
          <w:i/>
        </w:rPr>
        <w:t>Rainey v. Delap</w:t>
      </w:r>
      <w:r w:rsidR="00522A5C" w:rsidRPr="008373BD">
        <w:t xml:space="preserve"> [1988] IR 470 which was, like here, a consultative case stated. The defendant also relies </w:t>
      </w:r>
      <w:r w:rsidR="00D33792" w:rsidRPr="008373BD">
        <w:t>on the</w:t>
      </w:r>
      <w:r w:rsidR="00522A5C" w:rsidRPr="008373BD">
        <w:t xml:space="preserve"> Supreme </w:t>
      </w:r>
      <w:r w:rsidR="00D33792" w:rsidRPr="008373BD">
        <w:t>Court in</w:t>
      </w:r>
      <w:r w:rsidR="00522A5C" w:rsidRPr="008373BD">
        <w:t xml:space="preserve"> </w:t>
      </w:r>
      <w:r w:rsidR="00207F80" w:rsidRPr="008373BD">
        <w:rPr>
          <w:i/>
          <w:iCs/>
        </w:rPr>
        <w:t xml:space="preserve">DPP v. </w:t>
      </w:r>
      <w:r w:rsidR="00522A5C" w:rsidRPr="008373BD">
        <w:rPr>
          <w:i/>
        </w:rPr>
        <w:t>McGrath</w:t>
      </w:r>
      <w:r w:rsidR="00522A5C" w:rsidRPr="008373BD">
        <w:t xml:space="preserve"> [2021] IESC 66 where O.36 of the District Court Rules providing for a ban on the awarding of costs against the DPP was</w:t>
      </w:r>
      <w:r w:rsidR="00AE5E4B" w:rsidRPr="008373BD">
        <w:t xml:space="preserve"> found to be</w:t>
      </w:r>
      <w:r w:rsidR="00522A5C" w:rsidRPr="008373BD">
        <w:t xml:space="preserve"> </w:t>
      </w:r>
      <w:r w:rsidR="00522A5C" w:rsidRPr="008373BD">
        <w:rPr>
          <w:i/>
        </w:rPr>
        <w:t xml:space="preserve">ultra vires </w:t>
      </w:r>
      <w:r w:rsidR="00522A5C" w:rsidRPr="008373BD">
        <w:t>the District Court Rules Committee</w:t>
      </w:r>
      <w:r w:rsidR="00613E50" w:rsidRPr="008373BD">
        <w:t>,</w:t>
      </w:r>
      <w:r w:rsidR="00AE5E4B" w:rsidRPr="008373BD">
        <w:t xml:space="preserve"> b</w:t>
      </w:r>
      <w:r w:rsidR="00522A5C" w:rsidRPr="008373BD">
        <w:t xml:space="preserve">ecause it involved a policy decision that a certain limited class of litigants cannot be subject </w:t>
      </w:r>
      <w:r w:rsidR="00AE5E4B" w:rsidRPr="008373BD">
        <w:t>to</w:t>
      </w:r>
      <w:r w:rsidR="00522A5C" w:rsidRPr="008373BD">
        <w:t xml:space="preserve"> an order for costs</w:t>
      </w:r>
      <w:r w:rsidR="00613E50" w:rsidRPr="008373BD">
        <w:t>,</w:t>
      </w:r>
      <w:r w:rsidR="00522A5C" w:rsidRPr="008373BD">
        <w:t xml:space="preserve"> whatever the circumstances of the </w:t>
      </w:r>
      <w:r w:rsidR="00D33792" w:rsidRPr="008373BD">
        <w:t>case</w:t>
      </w:r>
      <w:r w:rsidR="00522A5C" w:rsidRPr="008373BD">
        <w:t>. The defendant argue</w:t>
      </w:r>
      <w:r w:rsidR="00AE5E4B" w:rsidRPr="008373BD">
        <w:t>s</w:t>
      </w:r>
      <w:r w:rsidR="00522A5C" w:rsidRPr="008373BD">
        <w:t xml:space="preserve"> that </w:t>
      </w:r>
      <w:r w:rsidR="00135BC0" w:rsidRPr="008373BD">
        <w:t>applying that law to</w:t>
      </w:r>
      <w:r w:rsidR="00522A5C" w:rsidRPr="008373BD">
        <w:t xml:space="preserve"> this </w:t>
      </w:r>
      <w:r w:rsidR="00D33792" w:rsidRPr="008373BD">
        <w:t>case</w:t>
      </w:r>
      <w:r w:rsidR="00613E50" w:rsidRPr="008373BD">
        <w:t>,</w:t>
      </w:r>
      <w:r w:rsidR="00D33792" w:rsidRPr="008373BD">
        <w:t xml:space="preserve"> the</w:t>
      </w:r>
      <w:r w:rsidR="00522A5C" w:rsidRPr="008373BD">
        <w:t xml:space="preserve"> introduction of a new class of unregulated advocate</w:t>
      </w:r>
      <w:r w:rsidR="00135BC0" w:rsidRPr="008373BD">
        <w:t>s</w:t>
      </w:r>
      <w:r w:rsidR="00522A5C" w:rsidRPr="008373BD">
        <w:t xml:space="preserve"> </w:t>
      </w:r>
      <w:r w:rsidR="00135BC0" w:rsidRPr="008373BD">
        <w:t>would be</w:t>
      </w:r>
      <w:r w:rsidR="00522A5C" w:rsidRPr="008373BD">
        <w:t xml:space="preserve"> a radical step which cannot be discerned from the principles and policies of the 1851 Act or the 2005 </w:t>
      </w:r>
      <w:proofErr w:type="gramStart"/>
      <w:r w:rsidR="00522A5C" w:rsidRPr="008373BD">
        <w:t>Act</w:t>
      </w:r>
      <w:r w:rsidR="00613E50" w:rsidRPr="008373BD">
        <w:t>,</w:t>
      </w:r>
      <w:r w:rsidR="00522A5C" w:rsidRPr="008373BD">
        <w:t xml:space="preserve"> and</w:t>
      </w:r>
      <w:proofErr w:type="gramEnd"/>
      <w:r w:rsidR="00522A5C" w:rsidRPr="008373BD">
        <w:t xml:space="preserve"> would tend to interfere with the administration of justice. </w:t>
      </w:r>
    </w:p>
    <w:p w14:paraId="649E1FA7" w14:textId="77777777" w:rsidR="00522A5C" w:rsidRPr="008373BD" w:rsidRDefault="00522A5C" w:rsidP="00DA1D20">
      <w:pPr>
        <w:spacing w:before="600" w:after="60" w:line="480" w:lineRule="auto"/>
        <w:rPr>
          <w:b/>
          <w:u w:val="single"/>
        </w:rPr>
      </w:pPr>
      <w:r w:rsidRPr="008373BD">
        <w:rPr>
          <w:b/>
          <w:u w:val="single"/>
        </w:rPr>
        <w:t>Submissions of the State parties</w:t>
      </w:r>
    </w:p>
    <w:p w14:paraId="21313EEF" w14:textId="30C5384B" w:rsidR="004806DC" w:rsidRPr="008373BD" w:rsidRDefault="004806DC" w:rsidP="00086850">
      <w:pPr>
        <w:numPr>
          <w:ilvl w:val="0"/>
          <w:numId w:val="8"/>
        </w:numPr>
        <w:spacing w:after="280" w:line="480" w:lineRule="auto"/>
      </w:pPr>
      <w:r w:rsidRPr="008373BD">
        <w:t xml:space="preserve">The State parties submit that the legislative purpose of s.8 was to address the situation of the garda as common informer. The State </w:t>
      </w:r>
      <w:r w:rsidR="00135BC0" w:rsidRPr="008373BD">
        <w:t xml:space="preserve">relies on UK and US authorities in </w:t>
      </w:r>
      <w:r w:rsidRPr="008373BD">
        <w:t>arg</w:t>
      </w:r>
      <w:r w:rsidR="00482C09" w:rsidRPr="008373BD">
        <w:t>u</w:t>
      </w:r>
      <w:r w:rsidR="00135BC0" w:rsidRPr="008373BD">
        <w:t>ing</w:t>
      </w:r>
      <w:r w:rsidRPr="008373BD">
        <w:t xml:space="preserve"> </w:t>
      </w:r>
      <w:r w:rsidR="00135BC0" w:rsidRPr="008373BD">
        <w:t xml:space="preserve">that “and” in </w:t>
      </w:r>
      <w:r w:rsidRPr="008373BD">
        <w:t xml:space="preserve">s. 8 (2) </w:t>
      </w:r>
      <w:r w:rsidR="00135BC0" w:rsidRPr="008373BD">
        <w:t xml:space="preserve">- </w:t>
      </w:r>
      <w:r w:rsidRPr="008373BD">
        <w:t xml:space="preserve">in referring to prosecuting </w:t>
      </w:r>
      <w:r w:rsidR="00135BC0" w:rsidRPr="008373BD">
        <w:t>“</w:t>
      </w:r>
      <w:r w:rsidRPr="008373BD">
        <w:t>and</w:t>
      </w:r>
      <w:r w:rsidR="00135BC0" w:rsidRPr="008373BD">
        <w:t>”</w:t>
      </w:r>
      <w:r w:rsidRPr="008373BD">
        <w:t xml:space="preserve"> conducting </w:t>
      </w:r>
      <w:r w:rsidR="00135BC0" w:rsidRPr="008373BD">
        <w:t xml:space="preserve">- </w:t>
      </w:r>
      <w:r w:rsidRPr="008373BD">
        <w:t>is</w:t>
      </w:r>
      <w:r w:rsidR="008055F0" w:rsidRPr="008373BD">
        <w:t xml:space="preserve"> </w:t>
      </w:r>
      <w:r w:rsidRPr="008373BD">
        <w:t>disjunctive and</w:t>
      </w:r>
      <w:r w:rsidR="00D260E8" w:rsidRPr="008373BD">
        <w:t xml:space="preserve"> </w:t>
      </w:r>
      <w:r w:rsidRPr="008373BD">
        <w:t>that</w:t>
      </w:r>
      <w:r w:rsidR="00D260E8" w:rsidRPr="008373BD">
        <w:t xml:space="preserve"> interpreting s.8(2) to</w:t>
      </w:r>
      <w:r w:rsidRPr="008373BD">
        <w:t xml:space="preserve"> requir</w:t>
      </w:r>
      <w:r w:rsidR="00D260E8" w:rsidRPr="008373BD">
        <w:t xml:space="preserve">e </w:t>
      </w:r>
      <w:r w:rsidRPr="008373BD">
        <w:t>the prosecuting garda to also conduct the prosecution would lead to an absurdity. The State</w:t>
      </w:r>
      <w:r w:rsidR="00D260E8" w:rsidRPr="008373BD">
        <w:t xml:space="preserve"> parties</w:t>
      </w:r>
      <w:r w:rsidRPr="008373BD">
        <w:t xml:space="preserve"> </w:t>
      </w:r>
      <w:r w:rsidR="00D260E8" w:rsidRPr="008373BD">
        <w:t xml:space="preserve">rely on </w:t>
      </w:r>
      <w:r w:rsidRPr="008373BD">
        <w:t>the presumption against radical amendment and on s. 6 of the Criminal Justice (Miscellaneous Provisions) Act 1997</w:t>
      </w:r>
      <w:r w:rsidR="00613E50" w:rsidRPr="008373BD">
        <w:t>,</w:t>
      </w:r>
      <w:r w:rsidRPr="008373BD">
        <w:t xml:space="preserve"> which permits evidence of arrest, </w:t>
      </w:r>
      <w:proofErr w:type="gramStart"/>
      <w:r w:rsidRPr="008373BD">
        <w:t>charge</w:t>
      </w:r>
      <w:proofErr w:type="gramEnd"/>
      <w:r w:rsidRPr="008373BD">
        <w:t xml:space="preserve"> and caution to be given by certificate if the accused is arrested other than under a warrant</w:t>
      </w:r>
      <w:r w:rsidR="00613E50" w:rsidRPr="008373BD">
        <w:t>,</w:t>
      </w:r>
      <w:r w:rsidRPr="008373BD">
        <w:t xml:space="preserve"> thereby obviating a </w:t>
      </w:r>
      <w:r w:rsidR="00AE5E4B" w:rsidRPr="008373BD">
        <w:t xml:space="preserve">need for </w:t>
      </w:r>
      <w:r w:rsidRPr="008373BD">
        <w:t xml:space="preserve">the arresting guard </w:t>
      </w:r>
      <w:r w:rsidR="00AE5E4B" w:rsidRPr="008373BD">
        <w:t xml:space="preserve">to be </w:t>
      </w:r>
      <w:r w:rsidRPr="008373BD">
        <w:t>in court</w:t>
      </w:r>
      <w:r w:rsidR="008055F0" w:rsidRPr="008373BD">
        <w:t xml:space="preserve">.  The State parties say that this </w:t>
      </w:r>
      <w:r w:rsidRPr="008373BD">
        <w:t>demonstrat</w:t>
      </w:r>
      <w:r w:rsidR="008055F0" w:rsidRPr="008373BD">
        <w:t>es</w:t>
      </w:r>
      <w:r w:rsidRPr="008373BD">
        <w:t xml:space="preserve"> the intention of the Oireachtas to relieve gardaí from unnecessary court appearances. The court</w:t>
      </w:r>
      <w:r w:rsidR="00D260E8" w:rsidRPr="008373BD">
        <w:t xml:space="preserve"> is urged</w:t>
      </w:r>
      <w:r w:rsidRPr="008373BD">
        <w:t xml:space="preserve"> to favour an interpretation of s. 8 (2) which allows the </w:t>
      </w:r>
      <w:proofErr w:type="gramStart"/>
      <w:r w:rsidRPr="008373BD">
        <w:lastRenderedPageBreak/>
        <w:t>long established</w:t>
      </w:r>
      <w:proofErr w:type="gramEnd"/>
      <w:r w:rsidRPr="008373BD">
        <w:t xml:space="preserve"> practice of court presenting to continue</w:t>
      </w:r>
      <w:r w:rsidR="00DB2B03" w:rsidRPr="008373BD">
        <w:t>,</w:t>
      </w:r>
      <w:r w:rsidR="008055F0" w:rsidRPr="008373BD">
        <w:t xml:space="preserve"> and</w:t>
      </w:r>
      <w:r w:rsidR="00AE5E4B" w:rsidRPr="008373BD">
        <w:t xml:space="preserve"> </w:t>
      </w:r>
      <w:r w:rsidRPr="008373BD">
        <w:t>permit</w:t>
      </w:r>
      <w:r w:rsidR="00AE5E4B" w:rsidRPr="008373BD">
        <w:t>s</w:t>
      </w:r>
      <w:r w:rsidRPr="008373BD">
        <w:t xml:space="preserve"> an efficient and effective delegation of duties between officers serving in a single force under a shared command structure, without arbitrarily requiring the personal attendance of the one officer who happened to lay the charge. The State </w:t>
      </w:r>
      <w:r w:rsidR="008055F0" w:rsidRPr="008373BD">
        <w:t xml:space="preserve">parties </w:t>
      </w:r>
      <w:r w:rsidRPr="008373BD">
        <w:t>contend th</w:t>
      </w:r>
      <w:r w:rsidR="00AE5E4B" w:rsidRPr="008373BD">
        <w:t>at a</w:t>
      </w:r>
      <w:r w:rsidRPr="008373BD">
        <w:t xml:space="preserve"> right of audience for non-prosecuting gardaí has been in place since 1948 </w:t>
      </w:r>
      <w:r w:rsidR="00AE5E4B" w:rsidRPr="008373BD">
        <w:t xml:space="preserve">(by way of the earlier rules of the District Court) </w:t>
      </w:r>
      <w:r w:rsidRPr="008373BD">
        <w:t xml:space="preserve">and </w:t>
      </w:r>
      <w:r w:rsidR="00DB2B03" w:rsidRPr="008373BD">
        <w:t xml:space="preserve">that </w:t>
      </w:r>
      <w:r w:rsidR="00AE5E4B" w:rsidRPr="008373BD">
        <w:t xml:space="preserve">the defendant’s interpretation </w:t>
      </w:r>
      <w:r w:rsidR="00D260E8" w:rsidRPr="008373BD">
        <w:t xml:space="preserve">of s.8 (2) </w:t>
      </w:r>
      <w:r w:rsidRPr="008373BD">
        <w:t>would effectively upend the present system of summary prosecution in the District Court</w:t>
      </w:r>
      <w:r w:rsidR="00D260E8" w:rsidRPr="008373BD">
        <w:t xml:space="preserve"> and that i</w:t>
      </w:r>
      <w:r w:rsidRPr="008373BD">
        <w:t>f the Oireachtas had intended to do that</w:t>
      </w:r>
      <w:r w:rsidR="00DB2B03" w:rsidRPr="008373BD">
        <w:t>,</w:t>
      </w:r>
      <w:r w:rsidRPr="008373BD">
        <w:t xml:space="preserve"> or to change the long standing system of summary prosecutions, it would have used clear and unambiguous language to do so. </w:t>
      </w:r>
    </w:p>
    <w:p w14:paraId="79481490" w14:textId="026C4E27" w:rsidR="00FC6556" w:rsidRPr="008373BD" w:rsidRDefault="00FC6556" w:rsidP="00DA1D20">
      <w:pPr>
        <w:numPr>
          <w:ilvl w:val="0"/>
          <w:numId w:val="8"/>
        </w:numPr>
        <w:spacing w:after="280" w:line="480" w:lineRule="auto"/>
      </w:pPr>
      <w:r w:rsidRPr="008373BD">
        <w:t xml:space="preserve">The State parties </w:t>
      </w:r>
      <w:r w:rsidR="00D260E8" w:rsidRPr="008373BD">
        <w:t xml:space="preserve">suggest that </w:t>
      </w:r>
      <w:r w:rsidRPr="008373BD">
        <w:t xml:space="preserve">the consultative </w:t>
      </w:r>
      <w:r w:rsidR="00DB2B03" w:rsidRPr="008373BD">
        <w:t>c</w:t>
      </w:r>
      <w:r w:rsidRPr="008373BD">
        <w:t xml:space="preserve">ase </w:t>
      </w:r>
      <w:r w:rsidR="00DB2B03" w:rsidRPr="008373BD">
        <w:t>s</w:t>
      </w:r>
      <w:r w:rsidRPr="008373BD">
        <w:t xml:space="preserve">tated procedure </w:t>
      </w:r>
      <w:r w:rsidR="00D260E8" w:rsidRPr="008373BD">
        <w:t xml:space="preserve">is not appropriate to deal with </w:t>
      </w:r>
      <w:r w:rsidRPr="008373BD">
        <w:t>the defendant</w:t>
      </w:r>
      <w:r w:rsidR="00D260E8" w:rsidRPr="008373BD">
        <w:t>’s challenge</w:t>
      </w:r>
      <w:r w:rsidR="00DB2B03" w:rsidRPr="008373BD">
        <w:t>,</w:t>
      </w:r>
      <w:r w:rsidR="00AE5E4B" w:rsidRPr="008373BD">
        <w:t xml:space="preserve"> </w:t>
      </w:r>
      <w:r w:rsidRPr="008373BD">
        <w:t xml:space="preserve">that the </w:t>
      </w:r>
      <w:r w:rsidR="00DB2B03" w:rsidRPr="008373BD">
        <w:t xml:space="preserve">District Court </w:t>
      </w:r>
      <w:r w:rsidRPr="008373BD">
        <w:t>judge should have proceeded to a hearing and the defendant could then have judicial</w:t>
      </w:r>
      <w:r w:rsidR="00AE5E4B" w:rsidRPr="008373BD">
        <w:t>ly</w:t>
      </w:r>
      <w:r w:rsidRPr="008373BD">
        <w:t xml:space="preserve"> review</w:t>
      </w:r>
      <w:r w:rsidR="00AE5E4B" w:rsidRPr="008373BD">
        <w:t>ed</w:t>
      </w:r>
      <w:r w:rsidRPr="008373BD">
        <w:t xml:space="preserve"> the process or the outcome. If the matter was before this court by way of judicial review, it w</w:t>
      </w:r>
      <w:r w:rsidR="00AE5E4B" w:rsidRPr="008373BD">
        <w:t>ould</w:t>
      </w:r>
      <w:r w:rsidRPr="008373BD">
        <w:t xml:space="preserve"> be open to the court to make a declaration that the rules were </w:t>
      </w:r>
      <w:r w:rsidRPr="008373BD">
        <w:rPr>
          <w:i/>
        </w:rPr>
        <w:t>ultra vires</w:t>
      </w:r>
      <w:r w:rsidRPr="008373BD">
        <w:t xml:space="preserve">. </w:t>
      </w:r>
      <w:r w:rsidR="00D260E8" w:rsidRPr="008373BD">
        <w:t>T</w:t>
      </w:r>
      <w:r w:rsidRPr="008373BD">
        <w:t xml:space="preserve">he State </w:t>
      </w:r>
      <w:r w:rsidR="00D260E8" w:rsidRPr="008373BD">
        <w:t xml:space="preserve">parties </w:t>
      </w:r>
      <w:r w:rsidRPr="008373BD">
        <w:t xml:space="preserve">argued that this cannot be done within a consultative case stated as the </w:t>
      </w:r>
      <w:r w:rsidR="00AD6B6E" w:rsidRPr="008373BD">
        <w:t xml:space="preserve">District Court </w:t>
      </w:r>
      <w:r w:rsidRPr="008373BD">
        <w:t>judge has no such jurisdiction</w:t>
      </w:r>
      <w:r w:rsidR="00AD6B6E" w:rsidRPr="008373BD">
        <w:t>.</w:t>
      </w:r>
      <w:r w:rsidRPr="008373BD">
        <w:t xml:space="preserve"> </w:t>
      </w:r>
      <w:r w:rsidR="008055F0" w:rsidRPr="008373BD">
        <w:t xml:space="preserve"> </w:t>
      </w:r>
      <w:r w:rsidR="00AD6B6E" w:rsidRPr="008373BD">
        <w:t xml:space="preserve">The State </w:t>
      </w:r>
      <w:r w:rsidR="008055F0" w:rsidRPr="008373BD">
        <w:t xml:space="preserve">relies on the principle that </w:t>
      </w:r>
      <w:r w:rsidRPr="008373BD">
        <w:t>a consultative case stated cannot determine the constitutionality of legislation</w:t>
      </w:r>
      <w:r w:rsidR="00D260E8" w:rsidRPr="008373BD">
        <w:t xml:space="preserve">, </w:t>
      </w:r>
      <w:r w:rsidRPr="008373BD">
        <w:t xml:space="preserve">as confirmed by the Supreme </w:t>
      </w:r>
      <w:r w:rsidR="00D33792" w:rsidRPr="008373BD">
        <w:t>Court in</w:t>
      </w:r>
      <w:r w:rsidRPr="008373BD">
        <w:t xml:space="preserve"> </w:t>
      </w:r>
      <w:r w:rsidR="008E5A15" w:rsidRPr="008373BD">
        <w:rPr>
          <w:i/>
        </w:rPr>
        <w:t>DPP v. D</w:t>
      </w:r>
      <w:r w:rsidRPr="008373BD">
        <w:rPr>
          <w:i/>
        </w:rPr>
        <w:t xml:space="preserve">ougan </w:t>
      </w:r>
      <w:r w:rsidRPr="008373BD">
        <w:t xml:space="preserve">[1996] 1 IR 544. </w:t>
      </w:r>
    </w:p>
    <w:p w14:paraId="5D49CBED" w14:textId="2DF92FCF" w:rsidR="00FC6556" w:rsidRPr="008373BD" w:rsidRDefault="00FC6556" w:rsidP="00DA1D20">
      <w:pPr>
        <w:numPr>
          <w:ilvl w:val="0"/>
          <w:numId w:val="8"/>
        </w:numPr>
        <w:spacing w:after="280" w:line="480" w:lineRule="auto"/>
      </w:pPr>
      <w:r w:rsidRPr="008373BD">
        <w:t>The State</w:t>
      </w:r>
      <w:r w:rsidR="008055F0" w:rsidRPr="008373BD">
        <w:t xml:space="preserve"> parties</w:t>
      </w:r>
      <w:r w:rsidRPr="008373BD">
        <w:t xml:space="preserve"> dispute that </w:t>
      </w:r>
      <w:r w:rsidR="00AD6B6E" w:rsidRPr="008373BD">
        <w:t>O.</w:t>
      </w:r>
      <w:r w:rsidR="00AE5E4B" w:rsidRPr="008373BD">
        <w:t>6</w:t>
      </w:r>
      <w:r w:rsidRPr="008373BD">
        <w:t xml:space="preserve"> r. 1 of the District Court Rules is </w:t>
      </w:r>
      <w:r w:rsidRPr="008373BD">
        <w:rPr>
          <w:i/>
        </w:rPr>
        <w:t xml:space="preserve">ultra vires </w:t>
      </w:r>
      <w:r w:rsidRPr="008373BD">
        <w:t xml:space="preserve">or that this court can </w:t>
      </w:r>
      <w:r w:rsidR="00AE5E4B" w:rsidRPr="008373BD">
        <w:t xml:space="preserve">make any such </w:t>
      </w:r>
      <w:r w:rsidRPr="008373BD">
        <w:t>find</w:t>
      </w:r>
      <w:r w:rsidR="00AE5E4B" w:rsidRPr="008373BD">
        <w:t>ing</w:t>
      </w:r>
      <w:r w:rsidRPr="008373BD">
        <w:t xml:space="preserve"> in a consultative case stated. They argue that the right</w:t>
      </w:r>
      <w:r w:rsidR="008055F0" w:rsidRPr="008373BD">
        <w:t>s</w:t>
      </w:r>
      <w:r w:rsidRPr="008373BD">
        <w:t xml:space="preserve"> of audience conferred by O.6 r.1 is </w:t>
      </w:r>
      <w:r w:rsidR="008055F0" w:rsidRPr="008373BD">
        <w:t xml:space="preserve">part of the </w:t>
      </w:r>
      <w:r w:rsidRPr="008373BD">
        <w:t>practice and procedure of the District Court</w:t>
      </w:r>
      <w:r w:rsidR="00AD6B6E" w:rsidRPr="008373BD">
        <w:t>,</w:t>
      </w:r>
      <w:r w:rsidRPr="008373BD">
        <w:t xml:space="preserve"> and therefore within the jurisdiction of the District Court Rules Committee in accordance with s.91 of the Courts of Justice Act, 1924. </w:t>
      </w:r>
      <w:r w:rsidR="00D260E8" w:rsidRPr="008373BD">
        <w:t xml:space="preserve"> </w:t>
      </w:r>
      <w:r w:rsidRPr="008373BD">
        <w:t xml:space="preserve">O.6 r.1 </w:t>
      </w:r>
      <w:r w:rsidR="00D260E8" w:rsidRPr="008373BD">
        <w:t xml:space="preserve">does not </w:t>
      </w:r>
      <w:r w:rsidRPr="008373BD">
        <w:t>amend any statutory position</w:t>
      </w:r>
      <w:r w:rsidR="00AD6B6E" w:rsidRPr="008373BD">
        <w:t>,</w:t>
      </w:r>
      <w:r w:rsidRPr="008373BD">
        <w:t xml:space="preserve"> </w:t>
      </w:r>
      <w:r w:rsidRPr="008373BD">
        <w:lastRenderedPageBreak/>
        <w:t xml:space="preserve">but rather reflects what the law already was since the change in the District Court Rules in 1948 to provide for a right of audience for all members of </w:t>
      </w:r>
      <w:proofErr w:type="gramStart"/>
      <w:r w:rsidRPr="008373BD">
        <w:t>An</w:t>
      </w:r>
      <w:proofErr w:type="gramEnd"/>
      <w:r w:rsidRPr="008373BD">
        <w:t xml:space="preserve"> Garda Síochána. </w:t>
      </w:r>
    </w:p>
    <w:p w14:paraId="7321276D" w14:textId="3D7BCDD5" w:rsidR="00315644" w:rsidRPr="008373BD" w:rsidRDefault="00315644" w:rsidP="004806DC">
      <w:pPr>
        <w:numPr>
          <w:ilvl w:val="0"/>
          <w:numId w:val="8"/>
        </w:numPr>
        <w:spacing w:line="480" w:lineRule="auto"/>
      </w:pPr>
      <w:r w:rsidRPr="008373BD">
        <w:t xml:space="preserve">The State parties distinguish the decisions in which the rules of the District Court had been struck down by this court as </w:t>
      </w:r>
      <w:r w:rsidRPr="008373BD">
        <w:rPr>
          <w:i/>
        </w:rPr>
        <w:t xml:space="preserve">ultra vires </w:t>
      </w:r>
      <w:r w:rsidRPr="008373BD">
        <w:t>(whether in judicial review proceedings or a consultative case stated) on the basis that th</w:t>
      </w:r>
      <w:r w:rsidR="00D45FA5" w:rsidRPr="008373BD">
        <w:t>ose cases</w:t>
      </w:r>
      <w:r w:rsidRPr="008373BD">
        <w:t xml:space="preserve"> engaged fundamental rights such as the right to liberty (</w:t>
      </w:r>
      <w:r w:rsidRPr="008373BD">
        <w:rPr>
          <w:i/>
        </w:rPr>
        <w:t>The State (O’Flaherty) v. O’Floinn</w:t>
      </w:r>
      <w:r w:rsidRPr="008373BD">
        <w:t>) and the right to costs (</w:t>
      </w:r>
      <w:r w:rsidRPr="008373BD">
        <w:rPr>
          <w:i/>
        </w:rPr>
        <w:t>DPP v. McGrath)</w:t>
      </w:r>
      <w:r w:rsidR="00AD6B6E" w:rsidRPr="008373BD">
        <w:rPr>
          <w:iCs/>
        </w:rPr>
        <w:t>,</w:t>
      </w:r>
      <w:r w:rsidRPr="008373BD">
        <w:rPr>
          <w:i/>
        </w:rPr>
        <w:t xml:space="preserve"> </w:t>
      </w:r>
      <w:r w:rsidRPr="008373BD">
        <w:t xml:space="preserve">which </w:t>
      </w:r>
      <w:r w:rsidR="00D45FA5" w:rsidRPr="008373BD">
        <w:t xml:space="preserve">they </w:t>
      </w:r>
      <w:proofErr w:type="spellStart"/>
      <w:r w:rsidRPr="008373BD">
        <w:t>describ</w:t>
      </w:r>
      <w:proofErr w:type="spellEnd"/>
      <w:r w:rsidR="00D45FA5" w:rsidRPr="008373BD">
        <w:t xml:space="preserve"> </w:t>
      </w:r>
      <w:r w:rsidRPr="008373BD">
        <w:t xml:space="preserve">as part of </w:t>
      </w:r>
      <w:r w:rsidR="002A0923" w:rsidRPr="008373BD">
        <w:t>a</w:t>
      </w:r>
      <w:r w:rsidRPr="008373BD">
        <w:t xml:space="preserve"> citizen</w:t>
      </w:r>
      <w:r w:rsidR="00AE5E4B" w:rsidRPr="008373BD">
        <w:t>’</w:t>
      </w:r>
      <w:r w:rsidR="002A0923" w:rsidRPr="008373BD">
        <w:t>s</w:t>
      </w:r>
      <w:r w:rsidRPr="008373BD">
        <w:t xml:space="preserve"> constitutional rights and/or directly related to the administration of justice. They contend the defendant here has no such fundamental rights engaged in</w:t>
      </w:r>
      <w:r w:rsidR="00AE5E4B" w:rsidRPr="008373BD">
        <w:t xml:space="preserve"> the issue of</w:t>
      </w:r>
      <w:r w:rsidRPr="008373BD">
        <w:t xml:space="preserve"> who has a right of audience to conduct the case against him</w:t>
      </w:r>
      <w:r w:rsidR="00AD6B6E" w:rsidRPr="008373BD">
        <w:t>,</w:t>
      </w:r>
      <w:r w:rsidRPr="008373BD">
        <w:t xml:space="preserve"> and that </w:t>
      </w:r>
      <w:r w:rsidR="00AE5E4B" w:rsidRPr="008373BD">
        <w:t xml:space="preserve">such a </w:t>
      </w:r>
      <w:r w:rsidRPr="008373BD">
        <w:t>right of audience do</w:t>
      </w:r>
      <w:r w:rsidR="00AE5E4B" w:rsidRPr="008373BD">
        <w:t>es</w:t>
      </w:r>
      <w:r w:rsidRPr="008373BD">
        <w:t xml:space="preserve"> not form part of the administration of justice but </w:t>
      </w:r>
      <w:r w:rsidR="00AE5E4B" w:rsidRPr="008373BD">
        <w:t xml:space="preserve">is </w:t>
      </w:r>
      <w:r w:rsidRPr="008373BD">
        <w:t>simply and pro</w:t>
      </w:r>
      <w:r w:rsidR="006B7203" w:rsidRPr="008373BD">
        <w:t>perly part of the District Court</w:t>
      </w:r>
      <w:r w:rsidR="00AE5E4B" w:rsidRPr="008373BD">
        <w:t>’s</w:t>
      </w:r>
      <w:r w:rsidR="006B7203" w:rsidRPr="008373BD">
        <w:t xml:space="preserve"> practice and procedures. </w:t>
      </w:r>
    </w:p>
    <w:p w14:paraId="59F262C1" w14:textId="77777777" w:rsidR="006B7203" w:rsidRPr="008373BD" w:rsidRDefault="006B7203" w:rsidP="00DA1D20">
      <w:pPr>
        <w:spacing w:before="600" w:after="60" w:line="480" w:lineRule="auto"/>
        <w:rPr>
          <w:b/>
          <w:u w:val="single"/>
        </w:rPr>
      </w:pPr>
      <w:r w:rsidRPr="008373BD">
        <w:rPr>
          <w:b/>
          <w:u w:val="single"/>
        </w:rPr>
        <w:t>Discussion</w:t>
      </w:r>
    </w:p>
    <w:p w14:paraId="42C35E27" w14:textId="77777777" w:rsidR="006B7203" w:rsidRPr="008373BD" w:rsidRDefault="00AE5E4B" w:rsidP="004806DC">
      <w:pPr>
        <w:numPr>
          <w:ilvl w:val="0"/>
          <w:numId w:val="8"/>
        </w:numPr>
        <w:spacing w:line="480" w:lineRule="auto"/>
      </w:pPr>
      <w:r w:rsidRPr="008373BD">
        <w:t>C</w:t>
      </w:r>
      <w:r w:rsidR="006B7203" w:rsidRPr="008373BD">
        <w:t xml:space="preserve">onsideration </w:t>
      </w:r>
      <w:r w:rsidRPr="008373BD">
        <w:t xml:space="preserve">is required </w:t>
      </w:r>
      <w:r w:rsidR="006B7203" w:rsidRPr="008373BD">
        <w:t xml:space="preserve">of the following: </w:t>
      </w:r>
    </w:p>
    <w:p w14:paraId="5BFFE86A" w14:textId="51A27315" w:rsidR="006B7203" w:rsidRPr="008373BD" w:rsidRDefault="00AD6B6E" w:rsidP="00086850">
      <w:pPr>
        <w:pStyle w:val="ListParagraph"/>
        <w:numPr>
          <w:ilvl w:val="0"/>
          <w:numId w:val="9"/>
        </w:numPr>
        <w:spacing w:after="160" w:line="480" w:lineRule="auto"/>
        <w:ind w:left="1134" w:hanging="567"/>
      </w:pPr>
      <w:r w:rsidRPr="008373BD">
        <w:t xml:space="preserve">Whether </w:t>
      </w:r>
      <w:r w:rsidR="00D45FA5" w:rsidRPr="008373BD">
        <w:t>O.6 r.1</w:t>
      </w:r>
      <w:r w:rsidRPr="008373BD">
        <w:t xml:space="preserve"> can</w:t>
      </w:r>
      <w:r w:rsidR="00D45FA5" w:rsidRPr="008373BD">
        <w:t xml:space="preserve"> </w:t>
      </w:r>
      <w:r w:rsidR="006B7203" w:rsidRPr="008373BD">
        <w:t xml:space="preserve">be found </w:t>
      </w:r>
      <w:r w:rsidR="006B7203" w:rsidRPr="008373BD">
        <w:rPr>
          <w:i/>
        </w:rPr>
        <w:t xml:space="preserve">ultra vires </w:t>
      </w:r>
      <w:r w:rsidR="006B7203" w:rsidRPr="008373BD">
        <w:t xml:space="preserve">in a consultative case stated or </w:t>
      </w:r>
      <w:r w:rsidRPr="008373BD">
        <w:t xml:space="preserve">whether </w:t>
      </w:r>
      <w:r w:rsidR="006B7203" w:rsidRPr="008373BD">
        <w:t>that</w:t>
      </w:r>
      <w:r w:rsidRPr="008373BD">
        <w:t xml:space="preserve"> can</w:t>
      </w:r>
      <w:r w:rsidR="006B7203" w:rsidRPr="008373BD">
        <w:t xml:space="preserve"> only be done in judicial review proceedings. </w:t>
      </w:r>
    </w:p>
    <w:p w14:paraId="03841A14" w14:textId="77777777" w:rsidR="006B7203" w:rsidRPr="008373BD" w:rsidRDefault="006B7203" w:rsidP="00086850">
      <w:pPr>
        <w:pStyle w:val="ListParagraph"/>
        <w:numPr>
          <w:ilvl w:val="0"/>
          <w:numId w:val="9"/>
        </w:numPr>
        <w:spacing w:after="160" w:line="480" w:lineRule="auto"/>
        <w:ind w:left="1134" w:hanging="567"/>
      </w:pPr>
      <w:r w:rsidRPr="008373BD">
        <w:t xml:space="preserve">The history of the police informer and garda rights of audience prior to 2005. </w:t>
      </w:r>
    </w:p>
    <w:p w14:paraId="7DE9367F" w14:textId="77777777" w:rsidR="006B7203" w:rsidRPr="008373BD" w:rsidRDefault="006B7203" w:rsidP="00086850">
      <w:pPr>
        <w:pStyle w:val="ListParagraph"/>
        <w:numPr>
          <w:ilvl w:val="0"/>
          <w:numId w:val="9"/>
        </w:numPr>
        <w:spacing w:after="160" w:line="480" w:lineRule="auto"/>
        <w:ind w:left="1134" w:hanging="567"/>
      </w:pPr>
      <w:r w:rsidRPr="008373BD">
        <w:t xml:space="preserve">The interpretation of s. 8 (2) of </w:t>
      </w:r>
      <w:proofErr w:type="gramStart"/>
      <w:r w:rsidRPr="008373BD">
        <w:t>An</w:t>
      </w:r>
      <w:proofErr w:type="gramEnd"/>
      <w:r w:rsidRPr="008373BD">
        <w:t xml:space="preserve"> Garda </w:t>
      </w:r>
      <w:r w:rsidR="00D33792" w:rsidRPr="008373BD">
        <w:t>Síochána Act</w:t>
      </w:r>
      <w:r w:rsidRPr="008373BD">
        <w:t xml:space="preserve">, 2005 and in particular its legislative purpose and whether “and” should be interpreted conjunctively or disjunctively. </w:t>
      </w:r>
    </w:p>
    <w:p w14:paraId="76DCA00B" w14:textId="5F778215" w:rsidR="006B7203" w:rsidRPr="008373BD" w:rsidRDefault="00AD6B6E" w:rsidP="00086850">
      <w:pPr>
        <w:pStyle w:val="ListParagraph"/>
        <w:numPr>
          <w:ilvl w:val="0"/>
          <w:numId w:val="9"/>
        </w:numPr>
        <w:spacing w:after="160" w:line="480" w:lineRule="auto"/>
        <w:ind w:left="1134" w:hanging="567"/>
      </w:pPr>
      <w:r w:rsidRPr="008373BD">
        <w:t xml:space="preserve">Whether </w:t>
      </w:r>
      <w:r w:rsidR="006B7203" w:rsidRPr="008373BD">
        <w:t>the right of audience</w:t>
      </w:r>
      <w:r w:rsidRPr="008373BD">
        <w:t xml:space="preserve"> is</w:t>
      </w:r>
      <w:r w:rsidR="006B7203" w:rsidRPr="008373BD">
        <w:t xml:space="preserve"> akin to cost</w:t>
      </w:r>
      <w:r w:rsidR="00AE5E4B" w:rsidRPr="008373BD">
        <w:t>s</w:t>
      </w:r>
      <w:r w:rsidR="006B7203" w:rsidRPr="008373BD">
        <w:t xml:space="preserve">, as </w:t>
      </w:r>
      <w:r w:rsidR="00AE5E4B" w:rsidRPr="008373BD">
        <w:t xml:space="preserve">addressed </w:t>
      </w:r>
      <w:r w:rsidR="006B7203" w:rsidRPr="008373BD">
        <w:t xml:space="preserve">in </w:t>
      </w:r>
      <w:r w:rsidR="006B7203" w:rsidRPr="008373BD">
        <w:rPr>
          <w:i/>
          <w:iCs/>
        </w:rPr>
        <w:t>DPP v. McGrath</w:t>
      </w:r>
      <w:r w:rsidR="006B7203" w:rsidRPr="008373BD">
        <w:t>,</w:t>
      </w:r>
      <w:r w:rsidR="00AE5E4B" w:rsidRPr="008373BD">
        <w:t xml:space="preserve"> is</w:t>
      </w:r>
      <w:r w:rsidR="006B7203" w:rsidRPr="008373BD">
        <w:t xml:space="preserve"> part of the administration of justice or </w:t>
      </w:r>
      <w:r w:rsidR="00AE5E4B" w:rsidRPr="008373BD">
        <w:t xml:space="preserve">is </w:t>
      </w:r>
      <w:r w:rsidR="006B7203" w:rsidRPr="008373BD">
        <w:t xml:space="preserve">part of the District Court practice and procedure. </w:t>
      </w:r>
    </w:p>
    <w:p w14:paraId="08F4B438" w14:textId="06C63E31" w:rsidR="006B7203" w:rsidRPr="008373BD" w:rsidRDefault="00AD6B6E">
      <w:pPr>
        <w:pStyle w:val="ListParagraph"/>
        <w:numPr>
          <w:ilvl w:val="0"/>
          <w:numId w:val="9"/>
        </w:numPr>
        <w:spacing w:line="480" w:lineRule="auto"/>
        <w:ind w:left="1134" w:hanging="567"/>
      </w:pPr>
      <w:r w:rsidRPr="008373BD">
        <w:lastRenderedPageBreak/>
        <w:t xml:space="preserve">Whether </w:t>
      </w:r>
      <w:r w:rsidR="006B7203" w:rsidRPr="008373BD">
        <w:t>O.6 r.1 purport</w:t>
      </w:r>
      <w:r w:rsidRPr="008373BD">
        <w:t>s</w:t>
      </w:r>
      <w:r w:rsidR="006B7203" w:rsidRPr="008373BD">
        <w:t xml:space="preserve"> to modify or amend a statutory provision</w:t>
      </w:r>
      <w:r w:rsidR="00520FA9" w:rsidRPr="008373BD">
        <w:t>.</w:t>
      </w:r>
      <w:r w:rsidR="006B7203" w:rsidRPr="008373BD">
        <w:t xml:space="preserve"> </w:t>
      </w:r>
    </w:p>
    <w:p w14:paraId="2567AD7C" w14:textId="77777777" w:rsidR="0091397C" w:rsidRPr="008373BD" w:rsidRDefault="0091397C" w:rsidP="00DA1D20">
      <w:pPr>
        <w:pStyle w:val="ListParagraph"/>
        <w:spacing w:line="480" w:lineRule="auto"/>
        <w:ind w:left="1134"/>
      </w:pPr>
    </w:p>
    <w:p w14:paraId="2EB28350" w14:textId="34DD35D1" w:rsidR="006B7203" w:rsidRPr="008373BD" w:rsidRDefault="006B7203" w:rsidP="008373BD">
      <w:pPr>
        <w:pStyle w:val="ListParagraph"/>
        <w:numPr>
          <w:ilvl w:val="0"/>
          <w:numId w:val="14"/>
        </w:numPr>
        <w:spacing w:before="600" w:after="60" w:line="480" w:lineRule="auto"/>
        <w:ind w:left="1134" w:hanging="567"/>
        <w:rPr>
          <w:b/>
          <w:u w:val="single"/>
        </w:rPr>
      </w:pPr>
      <w:r w:rsidRPr="008373BD">
        <w:rPr>
          <w:b/>
          <w:u w:val="single"/>
        </w:rPr>
        <w:t>The appropriateness of the consultative case stated</w:t>
      </w:r>
      <w:r w:rsidR="008E5A15" w:rsidRPr="008373BD">
        <w:rPr>
          <w:b/>
          <w:u w:val="single"/>
        </w:rPr>
        <w:t xml:space="preserve"> procedure</w:t>
      </w:r>
    </w:p>
    <w:p w14:paraId="11646C08" w14:textId="35DD81EA" w:rsidR="008E5A15" w:rsidRPr="008373BD" w:rsidRDefault="008E5A15" w:rsidP="008373BD">
      <w:pPr>
        <w:numPr>
          <w:ilvl w:val="0"/>
          <w:numId w:val="8"/>
        </w:numPr>
        <w:spacing w:after="280" w:line="480" w:lineRule="auto"/>
      </w:pPr>
      <w:r w:rsidRPr="008373BD">
        <w:t xml:space="preserve">The State parties contend that the </w:t>
      </w:r>
      <w:r w:rsidR="00AD6B6E" w:rsidRPr="008373BD">
        <w:t>D</w:t>
      </w:r>
      <w:r w:rsidRPr="008373BD">
        <w:t>istrict</w:t>
      </w:r>
      <w:r w:rsidR="00AD6B6E" w:rsidRPr="008373BD">
        <w:t xml:space="preserve"> Court</w:t>
      </w:r>
      <w:r w:rsidRPr="008373BD">
        <w:t xml:space="preserve"> judge should not have stated the case when she </w:t>
      </w:r>
      <w:proofErr w:type="gramStart"/>
      <w:r w:rsidRPr="008373BD">
        <w:t>did</w:t>
      </w:r>
      <w:r w:rsidR="00AD6B6E" w:rsidRPr="008373BD">
        <w:t>,</w:t>
      </w:r>
      <w:r w:rsidRPr="008373BD">
        <w:t xml:space="preserve"> but</w:t>
      </w:r>
      <w:proofErr w:type="gramEnd"/>
      <w:r w:rsidRPr="008373BD">
        <w:t xml:space="preserve"> should have proceeded to a hearing </w:t>
      </w:r>
      <w:r w:rsidR="00B72B0F" w:rsidRPr="008373BD">
        <w:t xml:space="preserve">after which it would </w:t>
      </w:r>
      <w:r w:rsidRPr="008373BD">
        <w:t>have been opened to the defendant to judicially review the process and/or the outcome. Whether a judicial review would have been open to the defendant in that hypothetical situation may be an interesting question</w:t>
      </w:r>
      <w:r w:rsidR="00AD6B6E" w:rsidRPr="008373BD">
        <w:t>,</w:t>
      </w:r>
      <w:r w:rsidRPr="008373BD">
        <w:t xml:space="preserve"> but not one that is </w:t>
      </w:r>
      <w:r w:rsidR="00D33792" w:rsidRPr="008373BD">
        <w:t>required</w:t>
      </w:r>
      <w:r w:rsidRPr="008373BD">
        <w:t xml:space="preserve"> to be answered here as the </w:t>
      </w:r>
      <w:r w:rsidR="003559CE" w:rsidRPr="008373BD">
        <w:t>D</w:t>
      </w:r>
      <w:r w:rsidRPr="008373BD">
        <w:t xml:space="preserve">istrict </w:t>
      </w:r>
      <w:r w:rsidR="003559CE" w:rsidRPr="008373BD">
        <w:t>J</w:t>
      </w:r>
      <w:r w:rsidRPr="008373BD">
        <w:t>udge did choose to state the case during the hearing and</w:t>
      </w:r>
      <w:r w:rsidR="0091397C" w:rsidRPr="008373BD">
        <w:t xml:space="preserve"> </w:t>
      </w:r>
      <w:r w:rsidR="003559CE" w:rsidRPr="008373BD">
        <w:t>wa</w:t>
      </w:r>
      <w:r w:rsidRPr="008373BD">
        <w:t xml:space="preserve">s entitled to do so. </w:t>
      </w:r>
    </w:p>
    <w:p w14:paraId="15169D8C" w14:textId="77777777" w:rsidR="00643030" w:rsidRPr="008373BD" w:rsidRDefault="008E5A15" w:rsidP="008E5A15">
      <w:pPr>
        <w:numPr>
          <w:ilvl w:val="0"/>
          <w:numId w:val="8"/>
        </w:numPr>
        <w:spacing w:line="480" w:lineRule="auto"/>
      </w:pPr>
      <w:r w:rsidRPr="008373BD">
        <w:t xml:space="preserve">The real </w:t>
      </w:r>
      <w:r w:rsidR="003559CE" w:rsidRPr="008373BD">
        <w:t xml:space="preserve">issue for </w:t>
      </w:r>
      <w:r w:rsidRPr="008373BD">
        <w:t xml:space="preserve">the State parties seems to be around whether the District Court Rules can be declared </w:t>
      </w:r>
      <w:r w:rsidRPr="008373BD">
        <w:rPr>
          <w:i/>
        </w:rPr>
        <w:t xml:space="preserve">ultra vires </w:t>
      </w:r>
      <w:r w:rsidRPr="008373BD">
        <w:t xml:space="preserve">in a consultative case stated. The State relies on the </w:t>
      </w:r>
      <w:r w:rsidR="003559CE" w:rsidRPr="008373BD">
        <w:t xml:space="preserve">decision </w:t>
      </w:r>
      <w:r w:rsidRPr="008373BD">
        <w:t xml:space="preserve">of Geoghegan J. in </w:t>
      </w:r>
      <w:r w:rsidRPr="008373BD">
        <w:rPr>
          <w:i/>
        </w:rPr>
        <w:t xml:space="preserve">DPP v. Dougan </w:t>
      </w:r>
      <w:r w:rsidRPr="008373BD">
        <w:t>where he stated that</w:t>
      </w:r>
      <w:r w:rsidR="00643030" w:rsidRPr="008373BD">
        <w:t xml:space="preserve"> </w:t>
      </w:r>
    </w:p>
    <w:p w14:paraId="54912BD2" w14:textId="4C46F639" w:rsidR="008E5A15" w:rsidRPr="008373BD" w:rsidRDefault="00643030" w:rsidP="00DA1D20">
      <w:pPr>
        <w:spacing w:after="280" w:line="480" w:lineRule="auto"/>
        <w:ind w:left="1134"/>
      </w:pPr>
      <w:r w:rsidRPr="008373BD">
        <w:t>“There is absolutely no doubt that a District Court Judge is not entitled to state a case to the High Court on a question of the validity of a statutory provision having regard to the Constitution. The direct effect of the constitutional provision already cited prevents him deciding the question himself and he can obviously only state a case on questions which he himself would be entitled to decide independently of the case stated. The mere fact, therefore, that the High Court is given jurisdiction under the Constitution to determine a question of the constitutionality of a statutory provision does not mean that this can be done by way of case stated”</w:t>
      </w:r>
      <w:r w:rsidR="008E5A15" w:rsidRPr="008373BD">
        <w:t xml:space="preserve"> </w:t>
      </w:r>
    </w:p>
    <w:p w14:paraId="604B0AFA" w14:textId="7E5B6A95" w:rsidR="008E5A15" w:rsidRPr="008373BD" w:rsidRDefault="003559CE" w:rsidP="00DA1D20">
      <w:pPr>
        <w:numPr>
          <w:ilvl w:val="0"/>
          <w:numId w:val="8"/>
        </w:numPr>
        <w:spacing w:after="280" w:line="480" w:lineRule="auto"/>
      </w:pPr>
      <w:r w:rsidRPr="008373BD">
        <w:t>T</w:t>
      </w:r>
      <w:r w:rsidR="008E5A15" w:rsidRPr="008373BD">
        <w:t>here are limitations in the consultative case stated procedure</w:t>
      </w:r>
      <w:r w:rsidR="002D43EA" w:rsidRPr="008373BD">
        <w:t>,</w:t>
      </w:r>
      <w:r w:rsidRPr="008373BD">
        <w:t xml:space="preserve"> but </w:t>
      </w:r>
      <w:r w:rsidR="00520FA9" w:rsidRPr="008373BD">
        <w:t xml:space="preserve">they </w:t>
      </w:r>
      <w:r w:rsidRPr="008373BD">
        <w:t>do not preclude a</w:t>
      </w:r>
      <w:r w:rsidR="008E5A15" w:rsidRPr="008373BD">
        <w:t xml:space="preserve"> finding </w:t>
      </w:r>
      <w:r w:rsidRPr="008373BD">
        <w:t>that a</w:t>
      </w:r>
      <w:r w:rsidR="008E5A15" w:rsidRPr="008373BD">
        <w:t xml:space="preserve"> rule of the District Court </w:t>
      </w:r>
      <w:r w:rsidRPr="008373BD">
        <w:t xml:space="preserve">is </w:t>
      </w:r>
      <w:r w:rsidR="008E5A15" w:rsidRPr="008373BD">
        <w:rPr>
          <w:i/>
        </w:rPr>
        <w:t>ultra vires</w:t>
      </w:r>
      <w:r w:rsidRPr="008373BD">
        <w:t xml:space="preserve">.   </w:t>
      </w:r>
      <w:r w:rsidR="00520FA9" w:rsidRPr="008373BD">
        <w:t xml:space="preserve">Such a </w:t>
      </w:r>
      <w:r w:rsidRPr="008373BD">
        <w:t xml:space="preserve">finding </w:t>
      </w:r>
      <w:r w:rsidR="008E5A15" w:rsidRPr="008373BD">
        <w:t xml:space="preserve">has been </w:t>
      </w:r>
      <w:r w:rsidRPr="008373BD">
        <w:lastRenderedPageBreak/>
        <w:t xml:space="preserve">made </w:t>
      </w:r>
      <w:r w:rsidR="008E5A15" w:rsidRPr="008373BD">
        <w:t xml:space="preserve">by this </w:t>
      </w:r>
      <w:r w:rsidR="002D43EA" w:rsidRPr="008373BD">
        <w:t>C</w:t>
      </w:r>
      <w:r w:rsidR="008E5A15" w:rsidRPr="008373BD">
        <w:t xml:space="preserve">ourt previously both in judicial review </w:t>
      </w:r>
      <w:r w:rsidR="008E5A15" w:rsidRPr="008373BD">
        <w:rPr>
          <w:u w:val="single"/>
        </w:rPr>
        <w:t>and</w:t>
      </w:r>
      <w:r w:rsidR="008E5A15" w:rsidRPr="008373BD">
        <w:t xml:space="preserve"> in consultative case</w:t>
      </w:r>
      <w:r w:rsidRPr="008373BD">
        <w:t>s</w:t>
      </w:r>
      <w:r w:rsidR="008E5A15" w:rsidRPr="008373BD">
        <w:t xml:space="preserve"> stated</w:t>
      </w:r>
      <w:r w:rsidRPr="008373BD">
        <w:t>.  T</w:t>
      </w:r>
      <w:r w:rsidR="008E5A15" w:rsidRPr="008373BD">
        <w:t>he decision</w:t>
      </w:r>
      <w:r w:rsidR="00B07AB2">
        <w:t>s</w:t>
      </w:r>
      <w:r w:rsidR="008E5A15" w:rsidRPr="008373BD">
        <w:t xml:space="preserve"> in </w:t>
      </w:r>
      <w:r w:rsidR="008E5A15" w:rsidRPr="008373BD">
        <w:rPr>
          <w:i/>
        </w:rPr>
        <w:t xml:space="preserve">State (O’Flaherty) v. </w:t>
      </w:r>
      <w:proofErr w:type="spellStart"/>
      <w:r w:rsidR="008E5A15" w:rsidRPr="008373BD">
        <w:rPr>
          <w:i/>
        </w:rPr>
        <w:t>O’Floinn</w:t>
      </w:r>
      <w:proofErr w:type="spellEnd"/>
      <w:r w:rsidR="008E5A15" w:rsidRPr="008373BD">
        <w:rPr>
          <w:i/>
        </w:rPr>
        <w:t xml:space="preserve"> </w:t>
      </w:r>
      <w:r w:rsidR="00B07AB2">
        <w:rPr>
          <w:iCs/>
        </w:rPr>
        <w:t xml:space="preserve">and </w:t>
      </w:r>
      <w:r w:rsidR="00B07AB2" w:rsidRPr="008373BD">
        <w:rPr>
          <w:i/>
        </w:rPr>
        <w:t xml:space="preserve">Rainey v. Delap </w:t>
      </w:r>
      <w:r w:rsidR="00B07AB2" w:rsidRPr="008373BD">
        <w:t xml:space="preserve">[1988] 470 </w:t>
      </w:r>
      <w:r w:rsidR="008E5A15" w:rsidRPr="008373BD">
        <w:t>w</w:t>
      </w:r>
      <w:r w:rsidR="00B07AB2">
        <w:t>ere</w:t>
      </w:r>
      <w:r w:rsidR="008E5A15" w:rsidRPr="008373BD">
        <w:t xml:space="preserve"> </w:t>
      </w:r>
      <w:r w:rsidR="00B37841" w:rsidRPr="008373BD">
        <w:t>judicial review</w:t>
      </w:r>
      <w:r w:rsidR="00B07AB2">
        <w:t>s</w:t>
      </w:r>
      <w:r w:rsidRPr="008373BD">
        <w:t xml:space="preserve">. </w:t>
      </w:r>
      <w:r w:rsidR="00B37841" w:rsidRPr="008373BD">
        <w:rPr>
          <w:i/>
        </w:rPr>
        <w:t xml:space="preserve">Thompson v. Curry </w:t>
      </w:r>
      <w:r w:rsidR="00B37841" w:rsidRPr="008373BD">
        <w:t>[1971] IR 61</w:t>
      </w:r>
      <w:r w:rsidR="00B07AB2">
        <w:t xml:space="preserve"> was a</w:t>
      </w:r>
      <w:r w:rsidR="00B37841" w:rsidRPr="008373BD">
        <w:t xml:space="preserve"> consultative case stated</w:t>
      </w:r>
      <w:r w:rsidRPr="008373BD">
        <w:t xml:space="preserve">.  In all three </w:t>
      </w:r>
      <w:r w:rsidR="00B37841" w:rsidRPr="008373BD">
        <w:t xml:space="preserve">cases the court held that a rule of the District Court was </w:t>
      </w:r>
      <w:r w:rsidR="00B37841" w:rsidRPr="008373BD">
        <w:rPr>
          <w:i/>
        </w:rPr>
        <w:t>ultra vires.</w:t>
      </w:r>
    </w:p>
    <w:p w14:paraId="39F1040B" w14:textId="694802F7" w:rsidR="00B37841" w:rsidRPr="008373BD" w:rsidRDefault="00B37841" w:rsidP="00DA1D20">
      <w:pPr>
        <w:numPr>
          <w:ilvl w:val="0"/>
          <w:numId w:val="8"/>
        </w:numPr>
        <w:spacing w:after="280" w:line="480" w:lineRule="auto"/>
      </w:pPr>
      <w:r w:rsidRPr="008373BD">
        <w:rPr>
          <w:i/>
        </w:rPr>
        <w:t xml:space="preserve"> </w:t>
      </w:r>
      <w:r w:rsidR="003559CE" w:rsidRPr="008373BD">
        <w:t>T</w:t>
      </w:r>
      <w:r w:rsidRPr="008373BD">
        <w:t xml:space="preserve">hose </w:t>
      </w:r>
      <w:r w:rsidR="003559CE" w:rsidRPr="008373BD">
        <w:t xml:space="preserve">authorities cannot and should not </w:t>
      </w:r>
      <w:r w:rsidRPr="008373BD">
        <w:t>be distinguished by reference to the nature of the rights engaged</w:t>
      </w:r>
      <w:r w:rsidR="00520FA9" w:rsidRPr="008373BD">
        <w:t xml:space="preserve"> </w:t>
      </w:r>
      <w:r w:rsidRPr="008373BD">
        <w:t xml:space="preserve">or because the issues raised went to the jurisdiction of the District Court. </w:t>
      </w:r>
      <w:r w:rsidR="003559CE" w:rsidRPr="008373BD">
        <w:t xml:space="preserve">The court’s previous exercise of that jurisdiction has never been limited by this court to questions of fundamental rights or jurisdictional issues only. This </w:t>
      </w:r>
      <w:r w:rsidRPr="008373BD">
        <w:t xml:space="preserve">court can make a finding that a District Court Rule is </w:t>
      </w:r>
      <w:r w:rsidRPr="008373BD">
        <w:rPr>
          <w:i/>
        </w:rPr>
        <w:t xml:space="preserve">ultra vires </w:t>
      </w:r>
      <w:r w:rsidR="003559CE" w:rsidRPr="008373BD">
        <w:t>f</w:t>
      </w:r>
      <w:r w:rsidRPr="008373BD">
        <w:t>or the purpose of answering a question referred by a district judge where that question engages a rule of the District Court.</w:t>
      </w:r>
      <w:r w:rsidR="003559CE" w:rsidRPr="008373BD">
        <w:t xml:space="preserve">  </w:t>
      </w:r>
      <w:r w:rsidRPr="008373BD">
        <w:t xml:space="preserve">Any other approach could </w:t>
      </w:r>
      <w:r w:rsidR="003559CE" w:rsidRPr="008373BD">
        <w:t xml:space="preserve">leave a </w:t>
      </w:r>
      <w:r w:rsidRPr="008373BD">
        <w:t xml:space="preserve">district judge without recourse to the consultative process </w:t>
      </w:r>
      <w:r w:rsidR="00520FA9" w:rsidRPr="008373BD">
        <w:t xml:space="preserve">that is </w:t>
      </w:r>
      <w:r w:rsidRPr="008373BD">
        <w:t>provided to them by s. 52 (1) of the Courts (Supplemental Provisions) Act, 1961</w:t>
      </w:r>
      <w:r w:rsidR="00520FA9" w:rsidRPr="008373BD">
        <w:t xml:space="preserve">.  That </w:t>
      </w:r>
      <w:r w:rsidRPr="008373BD">
        <w:t xml:space="preserve">could </w:t>
      </w:r>
      <w:r w:rsidR="003559CE" w:rsidRPr="008373BD">
        <w:t xml:space="preserve">not </w:t>
      </w:r>
      <w:r w:rsidRPr="008373BD">
        <w:t xml:space="preserve">have been the intention of the legislature in enacting this statutory procedure. </w:t>
      </w:r>
    </w:p>
    <w:p w14:paraId="6E34F10F" w14:textId="1ABBACAB" w:rsidR="00B37841" w:rsidRPr="008373BD" w:rsidRDefault="00B37841" w:rsidP="008373BD">
      <w:pPr>
        <w:pStyle w:val="ListParagraph"/>
        <w:numPr>
          <w:ilvl w:val="0"/>
          <w:numId w:val="14"/>
        </w:numPr>
        <w:spacing w:before="600" w:after="60" w:line="480" w:lineRule="auto"/>
        <w:ind w:left="1134" w:hanging="567"/>
        <w:rPr>
          <w:b/>
          <w:u w:val="single"/>
        </w:rPr>
      </w:pPr>
      <w:r w:rsidRPr="008373BD">
        <w:rPr>
          <w:b/>
          <w:u w:val="single"/>
        </w:rPr>
        <w:t>The history of the police informer and garda rights of audience</w:t>
      </w:r>
    </w:p>
    <w:p w14:paraId="41C0102D" w14:textId="405D5DD2" w:rsidR="000E0903" w:rsidRPr="008373BD" w:rsidRDefault="00B37841" w:rsidP="00DA1D20">
      <w:pPr>
        <w:numPr>
          <w:ilvl w:val="0"/>
          <w:numId w:val="8"/>
        </w:numPr>
        <w:spacing w:after="280" w:line="480" w:lineRule="auto"/>
      </w:pPr>
      <w:r w:rsidRPr="008373BD">
        <w:t xml:space="preserve">The history of police informers in Irish criminal law is set out in the dissenting judgment of O’Higgins C.J. in </w:t>
      </w:r>
      <w:r w:rsidR="002C681A" w:rsidRPr="008373BD">
        <w:rPr>
          <w:i/>
        </w:rPr>
        <w:t>DPP</w:t>
      </w:r>
      <w:r w:rsidR="00C1596E" w:rsidRPr="008373BD">
        <w:rPr>
          <w:i/>
        </w:rPr>
        <w:t xml:space="preserve"> v. Roddy</w:t>
      </w:r>
      <w:r w:rsidR="00C1596E" w:rsidRPr="008373BD">
        <w:t xml:space="preserve"> [1977] 1 IR 177</w:t>
      </w:r>
      <w:r w:rsidR="002D43EA" w:rsidRPr="008373BD">
        <w:t>,</w:t>
      </w:r>
      <w:r w:rsidR="003559CE" w:rsidRPr="008373BD">
        <w:t xml:space="preserve"> where he explains </w:t>
      </w:r>
      <w:r w:rsidR="00C1596E" w:rsidRPr="008373BD">
        <w:t>how the Irish system developed to</w:t>
      </w:r>
      <w:r w:rsidR="002D43EA" w:rsidRPr="008373BD">
        <w:t xml:space="preserve"> hav</w:t>
      </w:r>
      <w:r w:rsidR="00520FA9" w:rsidRPr="008373BD">
        <w:t>ing</w:t>
      </w:r>
      <w:r w:rsidR="00C1596E" w:rsidRPr="008373BD">
        <w:t xml:space="preserve"> gardaí prosecuting summary cases as common informers. I</w:t>
      </w:r>
      <w:r w:rsidR="00520FA9" w:rsidRPr="008373BD">
        <w:t xml:space="preserve"> consider it</w:t>
      </w:r>
      <w:r w:rsidR="00C1596E" w:rsidRPr="008373BD">
        <w:t xml:space="preserve"> significant that this practice only provided for </w:t>
      </w:r>
      <w:r w:rsidR="003559CE" w:rsidRPr="008373BD">
        <w:t xml:space="preserve">the </w:t>
      </w:r>
      <w:r w:rsidR="00C1596E" w:rsidRPr="008373BD">
        <w:t xml:space="preserve">police informer (now known as </w:t>
      </w:r>
      <w:r w:rsidR="003559CE" w:rsidRPr="008373BD">
        <w:t xml:space="preserve">the </w:t>
      </w:r>
      <w:r w:rsidR="00C1596E" w:rsidRPr="008373BD">
        <w:t>prosecuting gardaí) to conduct the prosecution</w:t>
      </w:r>
      <w:r w:rsidR="006F02E2" w:rsidRPr="008373BD">
        <w:t>,</w:t>
      </w:r>
      <w:r w:rsidR="00C1596E" w:rsidRPr="008373BD">
        <w:t xml:space="preserve"> </w:t>
      </w:r>
      <w:r w:rsidR="003559CE" w:rsidRPr="008373BD">
        <w:t xml:space="preserve">rather than for any other member of the force </w:t>
      </w:r>
      <w:r w:rsidR="006F02E2" w:rsidRPr="008373BD">
        <w:t xml:space="preserve">to conduct it </w:t>
      </w:r>
      <w:r w:rsidR="00C1596E" w:rsidRPr="008373BD">
        <w:t>in the absence of th</w:t>
      </w:r>
      <w:r w:rsidR="006F02E2" w:rsidRPr="008373BD">
        <w:t>at</w:t>
      </w:r>
      <w:r w:rsidR="00C1596E" w:rsidRPr="008373BD">
        <w:t xml:space="preserve"> police informer. A right of audience for any member of </w:t>
      </w:r>
      <w:proofErr w:type="gramStart"/>
      <w:r w:rsidR="00C1596E" w:rsidRPr="008373BD">
        <w:t>An</w:t>
      </w:r>
      <w:proofErr w:type="gramEnd"/>
      <w:r w:rsidR="00C1596E" w:rsidRPr="008373BD">
        <w:t xml:space="preserve"> Garda </w:t>
      </w:r>
      <w:r w:rsidR="00D33792" w:rsidRPr="008373BD">
        <w:t>Síochána to</w:t>
      </w:r>
      <w:r w:rsidR="00C1596E" w:rsidRPr="008373BD">
        <w:t xml:space="preserve"> conduct District Court proceedings was incorporated into the District Court Rules </w:t>
      </w:r>
      <w:r w:rsidR="00520FA9" w:rsidRPr="008373BD">
        <w:t xml:space="preserve">for the first time </w:t>
      </w:r>
      <w:r w:rsidR="00C1596E" w:rsidRPr="008373BD">
        <w:t>in 1948</w:t>
      </w:r>
      <w:r w:rsidR="006F02E2" w:rsidRPr="008373BD">
        <w:t xml:space="preserve"> and</w:t>
      </w:r>
      <w:r w:rsidR="00C1596E" w:rsidRPr="008373BD">
        <w:t xml:space="preserve"> </w:t>
      </w:r>
      <w:r w:rsidR="006F02E2" w:rsidRPr="008373BD">
        <w:t>re</w:t>
      </w:r>
      <w:r w:rsidR="002D43EA" w:rsidRPr="008373BD">
        <w:t>-</w:t>
      </w:r>
      <w:r w:rsidR="006F02E2" w:rsidRPr="008373BD">
        <w:t xml:space="preserve">enacted </w:t>
      </w:r>
      <w:r w:rsidR="00C1596E" w:rsidRPr="008373BD">
        <w:t xml:space="preserve">in the 1977 Rules. </w:t>
      </w:r>
    </w:p>
    <w:p w14:paraId="43123B1F" w14:textId="301CDEB1" w:rsidR="000E0903" w:rsidRPr="008373BD" w:rsidRDefault="00C1596E" w:rsidP="000E0903">
      <w:pPr>
        <w:numPr>
          <w:ilvl w:val="0"/>
          <w:numId w:val="8"/>
        </w:numPr>
        <w:spacing w:line="480" w:lineRule="auto"/>
      </w:pPr>
      <w:r w:rsidRPr="008373BD">
        <w:lastRenderedPageBreak/>
        <w:t>The State</w:t>
      </w:r>
      <w:r w:rsidR="00520FA9" w:rsidRPr="008373BD">
        <w:t xml:space="preserve"> parties</w:t>
      </w:r>
      <w:r w:rsidRPr="008373BD">
        <w:t xml:space="preserve"> contend that no statutory basis for that right of audience was required</w:t>
      </w:r>
      <w:r w:rsidR="002D43EA" w:rsidRPr="008373BD">
        <w:t>,</w:t>
      </w:r>
      <w:r w:rsidRPr="008373BD">
        <w:t xml:space="preserve"> as it was merely an element of District Court practice and procedures and therefore within the jurisdiction of the District Court Rules Committee. I will return to that point below. The defendant </w:t>
      </w:r>
      <w:r w:rsidR="00520FA9" w:rsidRPr="008373BD">
        <w:t xml:space="preserve">relies on what he </w:t>
      </w:r>
      <w:r w:rsidRPr="008373BD">
        <w:t>contends w</w:t>
      </w:r>
      <w:r w:rsidR="006F02E2" w:rsidRPr="008373BD">
        <w:t>ere</w:t>
      </w:r>
      <w:r w:rsidRPr="008373BD">
        <w:t xml:space="preserve"> express </w:t>
      </w:r>
      <w:r w:rsidR="00D33792" w:rsidRPr="008373BD">
        <w:t>legislative</w:t>
      </w:r>
      <w:r w:rsidRPr="008373BD">
        <w:t xml:space="preserve"> rights of audience before the 2005 Act which did not provide for any </w:t>
      </w:r>
      <w:r w:rsidR="006F02E2" w:rsidRPr="008373BD">
        <w:t xml:space="preserve">express </w:t>
      </w:r>
      <w:r w:rsidRPr="008373BD">
        <w:t xml:space="preserve">right of audience for members of </w:t>
      </w:r>
      <w:proofErr w:type="gramStart"/>
      <w:r w:rsidRPr="008373BD">
        <w:t>An</w:t>
      </w:r>
      <w:proofErr w:type="gramEnd"/>
      <w:r w:rsidRPr="008373BD">
        <w:t xml:space="preserve"> Garda Síochána, namely s.9 (1) of the Petty Sessions (Ireland) Act 1851</w:t>
      </w:r>
      <w:r w:rsidR="000E0903" w:rsidRPr="008373BD">
        <w:t xml:space="preserve">: </w:t>
      </w:r>
    </w:p>
    <w:p w14:paraId="1FE9B005" w14:textId="7F09AAFB" w:rsidR="00C1596E" w:rsidRPr="008373BD" w:rsidRDefault="000E0903" w:rsidP="00DA1D20">
      <w:pPr>
        <w:spacing w:after="280" w:line="480" w:lineRule="auto"/>
        <w:ind w:left="1134"/>
      </w:pPr>
      <w:r w:rsidRPr="008373BD">
        <w:t>“In all cases of summary proceedings the place in which any justice or justices shall sit to hear and determine any complaint shall be deemed an open court, to which the public generally may have access, so far as the same can conveniently contain them; and the parties by and against whom any complaint or information shall there be heard shall be admitted to conduct or make their full answer and defence thereto respectively, and to have the witnesses examined and cross-examined, by themselves or by counsel or attorney on their behalf”</w:t>
      </w:r>
      <w:r w:rsidR="00C1596E" w:rsidRPr="008373BD">
        <w:t xml:space="preserve"> </w:t>
      </w:r>
    </w:p>
    <w:p w14:paraId="63127726" w14:textId="5A64CC1E" w:rsidR="00C1596E" w:rsidRPr="008373BD" w:rsidRDefault="00C1596E" w:rsidP="00DA1D20">
      <w:pPr>
        <w:numPr>
          <w:ilvl w:val="0"/>
          <w:numId w:val="8"/>
        </w:numPr>
        <w:spacing w:after="280" w:line="480" w:lineRule="auto"/>
      </w:pPr>
      <w:r w:rsidRPr="008373BD">
        <w:t xml:space="preserve">The State </w:t>
      </w:r>
      <w:r w:rsidR="00520FA9" w:rsidRPr="008373BD">
        <w:t xml:space="preserve">parties </w:t>
      </w:r>
      <w:r w:rsidRPr="008373BD">
        <w:t xml:space="preserve">dispute that this section confers a right of audience but rather that it regulates the access of the public to the District Court. I do not agree. As well </w:t>
      </w:r>
      <w:r w:rsidR="00D85FC3" w:rsidRPr="008373BD">
        <w:t xml:space="preserve">as </w:t>
      </w:r>
      <w:r w:rsidRPr="008373BD">
        <w:t xml:space="preserve">providing for the right of the public to have access to the court, the section also provides for the right of audience of solicitors, </w:t>
      </w:r>
      <w:proofErr w:type="gramStart"/>
      <w:r w:rsidRPr="008373BD">
        <w:t>barristers</w:t>
      </w:r>
      <w:proofErr w:type="gramEnd"/>
      <w:r w:rsidRPr="008373BD">
        <w:t xml:space="preserve"> and the parties themselves. </w:t>
      </w:r>
      <w:r w:rsidR="006F02E2" w:rsidRPr="008373BD">
        <w:t>T</w:t>
      </w:r>
      <w:r w:rsidRPr="008373BD">
        <w:t>he police informer practice was in place at that time</w:t>
      </w:r>
      <w:r w:rsidR="006F02E2" w:rsidRPr="008373BD">
        <w:t xml:space="preserve">.  </w:t>
      </w:r>
      <w:r w:rsidR="00D85FC3" w:rsidRPr="008373BD">
        <w:t>I</w:t>
      </w:r>
      <w:r w:rsidRPr="008373BD">
        <w:t xml:space="preserve">n providing for a right of audience of the parties, section </w:t>
      </w:r>
      <w:r w:rsidR="006F02E2" w:rsidRPr="008373BD">
        <w:t xml:space="preserve">9(1) included </w:t>
      </w:r>
      <w:r w:rsidRPr="008373BD">
        <w:t xml:space="preserve">the </w:t>
      </w:r>
      <w:r w:rsidR="00D85FC3" w:rsidRPr="008373BD">
        <w:t xml:space="preserve">existing </w:t>
      </w:r>
      <w:r w:rsidRPr="008373BD">
        <w:t>right of audience of the police</w:t>
      </w:r>
      <w:r w:rsidR="00D85FC3" w:rsidRPr="008373BD">
        <w:t>,</w:t>
      </w:r>
      <w:r w:rsidRPr="008373BD">
        <w:t xml:space="preserve"> which was limited to that of the </w:t>
      </w:r>
      <w:r w:rsidR="006F02E2" w:rsidRPr="008373BD">
        <w:t>common</w:t>
      </w:r>
      <w:r w:rsidRPr="008373BD">
        <w:t xml:space="preserve"> informer</w:t>
      </w:r>
      <w:r w:rsidR="006F02E2" w:rsidRPr="008373BD">
        <w:t>, within the category of the parties to the case</w:t>
      </w:r>
      <w:r w:rsidRPr="008373BD">
        <w:t xml:space="preserve">. </w:t>
      </w:r>
    </w:p>
    <w:p w14:paraId="73264445" w14:textId="67F79421" w:rsidR="000E0903" w:rsidRPr="008373BD" w:rsidRDefault="002C681A" w:rsidP="008E5A15">
      <w:pPr>
        <w:numPr>
          <w:ilvl w:val="0"/>
          <w:numId w:val="8"/>
        </w:numPr>
        <w:spacing w:line="480" w:lineRule="auto"/>
      </w:pPr>
      <w:r w:rsidRPr="008373BD">
        <w:t xml:space="preserve">That situation whereby a garda could only bring a case in their own name as a common informer prevailed up to the </w:t>
      </w:r>
      <w:r w:rsidR="00D45FA5" w:rsidRPr="008373BD">
        <w:t xml:space="preserve">enactment of the </w:t>
      </w:r>
      <w:r w:rsidRPr="008373BD">
        <w:t xml:space="preserve">Garda Síochána Act 2005. In </w:t>
      </w:r>
      <w:r w:rsidRPr="008373BD">
        <w:rPr>
          <w:i/>
        </w:rPr>
        <w:t>The People (DPP) v. Roddy</w:t>
      </w:r>
      <w:r w:rsidRPr="008373BD">
        <w:t xml:space="preserve"> [1977] 1 IR 177</w:t>
      </w:r>
      <w:r w:rsidR="001C6598" w:rsidRPr="008373BD">
        <w:t>,</w:t>
      </w:r>
      <w:r w:rsidRPr="008373BD">
        <w:t xml:space="preserve"> the majority decision of Griffin J. confirmed that in </w:t>
      </w:r>
      <w:r w:rsidRPr="008373BD">
        <w:rPr>
          <w:bCs/>
        </w:rPr>
        <w:t>stating</w:t>
      </w:r>
      <w:r w:rsidR="000E0903" w:rsidRPr="008373BD">
        <w:rPr>
          <w:b/>
        </w:rPr>
        <w:t>:</w:t>
      </w:r>
    </w:p>
    <w:p w14:paraId="4D651721" w14:textId="28B01C97" w:rsidR="000E0903" w:rsidRPr="008373BD" w:rsidRDefault="000E0903" w:rsidP="00DA1D20">
      <w:pPr>
        <w:spacing w:after="280" w:line="480" w:lineRule="auto"/>
        <w:ind w:left="1134"/>
      </w:pPr>
      <w:r w:rsidRPr="008373BD">
        <w:lastRenderedPageBreak/>
        <w:t>“</w:t>
      </w:r>
      <w:r w:rsidRPr="008373BD">
        <w:rPr>
          <w:shd w:val="clear" w:color="auto" w:fill="FFFFFF"/>
        </w:rPr>
        <w:t>During the course of the argument, Mr. Barrington drew attention to the undesirability of prosecutions which are essentially public prosecutions, paid for out of public funds, being brought in the name of what has come to be known as "the prosecuting Garda" as a common informer. In such cases, if a member of the Garda Síochána is to bring proceedings in his own name, he can do so </w:t>
      </w:r>
      <w:r w:rsidRPr="008373BD">
        <w:rPr>
          <w:rStyle w:val="Emphasis"/>
          <w:shd w:val="clear" w:color="auto" w:fill="FFFFFF"/>
        </w:rPr>
        <w:t>only</w:t>
      </w:r>
      <w:r w:rsidRPr="008373BD">
        <w:rPr>
          <w:shd w:val="clear" w:color="auto" w:fill="FFFFFF"/>
        </w:rPr>
        <w:t> as a common informer”</w:t>
      </w:r>
    </w:p>
    <w:p w14:paraId="6776A73F" w14:textId="0544E951" w:rsidR="002C681A" w:rsidRPr="008373BD" w:rsidRDefault="002C681A" w:rsidP="00DA1D20">
      <w:pPr>
        <w:numPr>
          <w:ilvl w:val="0"/>
          <w:numId w:val="8"/>
        </w:numPr>
        <w:spacing w:after="280" w:line="480" w:lineRule="auto"/>
      </w:pPr>
      <w:r w:rsidRPr="008373BD">
        <w:t xml:space="preserve">Griffin J.’s </w:t>
      </w:r>
      <w:r w:rsidR="00D45FA5" w:rsidRPr="008373BD">
        <w:t xml:space="preserve">analysis of </w:t>
      </w:r>
      <w:r w:rsidRPr="008373BD">
        <w:t xml:space="preserve">the basis of a garda’s involvement in prosecuting a case </w:t>
      </w:r>
      <w:r w:rsidR="00D45FA5" w:rsidRPr="008373BD">
        <w:t xml:space="preserve">did not refer to </w:t>
      </w:r>
      <w:r w:rsidRPr="008373BD">
        <w:t>the District Court Rules which</w:t>
      </w:r>
      <w:r w:rsidR="006F02E2" w:rsidRPr="008373BD">
        <w:t xml:space="preserve">, at that time, </w:t>
      </w:r>
      <w:r w:rsidRPr="008373BD">
        <w:t xml:space="preserve">afforded a right of audience to all members of the gardaí to appear and </w:t>
      </w:r>
      <w:r w:rsidR="00D45FA5" w:rsidRPr="008373BD">
        <w:t xml:space="preserve">to </w:t>
      </w:r>
      <w:r w:rsidRPr="008373BD">
        <w:t xml:space="preserve">address the court. Griffin J. did not </w:t>
      </w:r>
      <w:r w:rsidR="006F02E2" w:rsidRPr="008373BD">
        <w:t xml:space="preserve">seem to </w:t>
      </w:r>
      <w:r w:rsidRPr="008373BD">
        <w:t xml:space="preserve">consider </w:t>
      </w:r>
      <w:r w:rsidR="006F02E2" w:rsidRPr="008373BD">
        <w:t xml:space="preserve">that </w:t>
      </w:r>
      <w:r w:rsidRPr="008373BD">
        <w:t>the right of a garda to prosecute a case was affected by the right</w:t>
      </w:r>
      <w:r w:rsidR="006F02E2" w:rsidRPr="008373BD">
        <w:t>s</w:t>
      </w:r>
      <w:r w:rsidRPr="008373BD">
        <w:t xml:space="preserve"> of audience conferred by the </w:t>
      </w:r>
      <w:r w:rsidR="001C6598" w:rsidRPr="008373BD">
        <w:t xml:space="preserve">existing </w:t>
      </w:r>
      <w:r w:rsidRPr="008373BD">
        <w:t xml:space="preserve">rules of the District Court. </w:t>
      </w:r>
    </w:p>
    <w:p w14:paraId="4DFB11E6" w14:textId="77777777" w:rsidR="002C681A" w:rsidRPr="008373BD" w:rsidRDefault="002C681A" w:rsidP="002C681A">
      <w:pPr>
        <w:numPr>
          <w:ilvl w:val="0"/>
          <w:numId w:val="8"/>
        </w:numPr>
        <w:spacing w:line="480" w:lineRule="auto"/>
      </w:pPr>
      <w:r w:rsidRPr="008373BD">
        <w:t xml:space="preserve">Griffin J. went on to </w:t>
      </w:r>
      <w:proofErr w:type="gramStart"/>
      <w:r w:rsidRPr="008373BD">
        <w:t>make an observation</w:t>
      </w:r>
      <w:proofErr w:type="gramEnd"/>
      <w:r w:rsidRPr="008373BD">
        <w:t xml:space="preserve"> as to the desirability of </w:t>
      </w:r>
      <w:r w:rsidR="00D33792" w:rsidRPr="008373BD">
        <w:t>legislative</w:t>
      </w:r>
      <w:r w:rsidRPr="008373BD">
        <w:t xml:space="preserve"> change and stated: </w:t>
      </w:r>
    </w:p>
    <w:p w14:paraId="33EA819E" w14:textId="2FC12E58" w:rsidR="002C681A" w:rsidRPr="008373BD" w:rsidRDefault="002C681A" w:rsidP="00DA1D20">
      <w:pPr>
        <w:spacing w:after="280" w:line="480" w:lineRule="auto"/>
        <w:ind w:left="1134"/>
      </w:pPr>
      <w:r w:rsidRPr="008373BD">
        <w:t>“</w:t>
      </w:r>
      <w:r w:rsidR="002D1BFB" w:rsidRPr="008373BD">
        <w:rPr>
          <w:shd w:val="clear" w:color="auto" w:fill="FFFFFF"/>
        </w:rPr>
        <w:t>If the practice of bringing proceedings in the name of a member of the Garda Síochána is to be continued, it would be far more desirable that he should be given statutory power to do so, rather than having to prosecute as a common informer”.</w:t>
      </w:r>
    </w:p>
    <w:p w14:paraId="0471247A" w14:textId="15A7B3A5" w:rsidR="00D33792" w:rsidRPr="008373BD" w:rsidRDefault="002C681A" w:rsidP="008373BD">
      <w:pPr>
        <w:numPr>
          <w:ilvl w:val="0"/>
          <w:numId w:val="8"/>
        </w:numPr>
        <w:spacing w:after="280" w:line="480" w:lineRule="auto"/>
      </w:pPr>
      <w:r w:rsidRPr="008373BD">
        <w:t xml:space="preserve">Griffin J. did not </w:t>
      </w:r>
      <w:r w:rsidR="006F02E2" w:rsidRPr="008373BD">
        <w:t xml:space="preserve">identify </w:t>
      </w:r>
      <w:r w:rsidRPr="008373BD">
        <w:t xml:space="preserve">any need </w:t>
      </w:r>
      <w:r w:rsidR="006F02E2" w:rsidRPr="008373BD">
        <w:t xml:space="preserve">for the legislature </w:t>
      </w:r>
      <w:r w:rsidRPr="008373BD">
        <w:t xml:space="preserve">to make provision for a statutory power for a garda to conduct a </w:t>
      </w:r>
      <w:r w:rsidR="00D33792" w:rsidRPr="008373BD">
        <w:t>case that</w:t>
      </w:r>
      <w:r w:rsidRPr="008373BD">
        <w:t xml:space="preserve"> </w:t>
      </w:r>
      <w:r w:rsidR="006F02E2" w:rsidRPr="008373BD">
        <w:t xml:space="preserve">they </w:t>
      </w:r>
      <w:r w:rsidRPr="008373BD">
        <w:t xml:space="preserve">did not prosecute. </w:t>
      </w:r>
      <w:r w:rsidR="00520FA9" w:rsidRPr="008373BD">
        <w:t xml:space="preserve">The </w:t>
      </w:r>
      <w:r w:rsidRPr="008373BD">
        <w:t xml:space="preserve">recommendation </w:t>
      </w:r>
      <w:r w:rsidR="00520FA9" w:rsidRPr="008373BD">
        <w:t xml:space="preserve">he did make </w:t>
      </w:r>
      <w:r w:rsidRPr="008373BD">
        <w:t xml:space="preserve">was </w:t>
      </w:r>
      <w:r w:rsidR="00D33792" w:rsidRPr="008373BD">
        <w:t>ultimately acted upon by the legislature when it enacted s. 8 of the Garda Síochána Act 2005</w:t>
      </w:r>
      <w:r w:rsidR="006F02E2" w:rsidRPr="008373BD">
        <w:t>, t</w:t>
      </w:r>
      <w:r w:rsidR="00D33792" w:rsidRPr="008373BD">
        <w:t xml:space="preserve">he interpretation of </w:t>
      </w:r>
      <w:r w:rsidR="006F02E2" w:rsidRPr="008373BD">
        <w:t>which</w:t>
      </w:r>
      <w:r w:rsidR="00D33792" w:rsidRPr="008373BD">
        <w:t xml:space="preserve"> will be considered further below. </w:t>
      </w:r>
    </w:p>
    <w:p w14:paraId="0391144C" w14:textId="50C73C0F" w:rsidR="00D33792" w:rsidRPr="008373BD" w:rsidRDefault="00D33792" w:rsidP="008373BD">
      <w:pPr>
        <w:pStyle w:val="ListParagraph"/>
        <w:numPr>
          <w:ilvl w:val="0"/>
          <w:numId w:val="14"/>
        </w:numPr>
        <w:spacing w:before="600" w:after="60" w:line="480" w:lineRule="auto"/>
        <w:ind w:left="1134" w:hanging="567"/>
        <w:rPr>
          <w:b/>
          <w:u w:val="single"/>
        </w:rPr>
      </w:pPr>
      <w:r w:rsidRPr="008373BD">
        <w:rPr>
          <w:b/>
          <w:u w:val="single"/>
        </w:rPr>
        <w:t xml:space="preserve">Interpretation of s. 8 (2) </w:t>
      </w:r>
    </w:p>
    <w:p w14:paraId="6FC44F05" w14:textId="73C9854D" w:rsidR="00D27993" w:rsidRPr="008373BD" w:rsidRDefault="00D27993" w:rsidP="00DA1D20">
      <w:pPr>
        <w:numPr>
          <w:ilvl w:val="0"/>
          <w:numId w:val="8"/>
        </w:numPr>
        <w:spacing w:after="280" w:line="480" w:lineRule="auto"/>
      </w:pPr>
      <w:r w:rsidRPr="008373BD">
        <w:lastRenderedPageBreak/>
        <w:t>The default rule of statutory interpretation is that the words of a statute should be given their ordinary and natural meaning unless there is good reason to do otherwise (</w:t>
      </w:r>
      <w:r w:rsidRPr="008373BD">
        <w:rPr>
          <w:i/>
        </w:rPr>
        <w:t>Howard v. Commissioner of Public Works</w:t>
      </w:r>
      <w:r w:rsidRPr="008373BD">
        <w:t xml:space="preserve"> [199</w:t>
      </w:r>
      <w:r w:rsidR="00292944" w:rsidRPr="008373BD">
        <w:t>4] 1 IR 101</w:t>
      </w:r>
      <w:r w:rsidR="003D5068" w:rsidRPr="008373BD">
        <w:t>).</w:t>
      </w:r>
      <w:r w:rsidRPr="008373BD">
        <w:t xml:space="preserve"> </w:t>
      </w:r>
    </w:p>
    <w:p w14:paraId="5918617C" w14:textId="0DCFC9C1" w:rsidR="00D27993" w:rsidRPr="008373BD" w:rsidRDefault="00D27993" w:rsidP="00DA1D20">
      <w:pPr>
        <w:numPr>
          <w:ilvl w:val="0"/>
          <w:numId w:val="8"/>
        </w:numPr>
        <w:spacing w:after="280" w:line="480" w:lineRule="auto"/>
      </w:pPr>
      <w:r w:rsidRPr="008373BD">
        <w:t>The defendant contends that the ordinary and natural meaning of “institute and conduct” in s. 8 (2) allow</w:t>
      </w:r>
      <w:r w:rsidR="006F02E2" w:rsidRPr="008373BD">
        <w:t>s</w:t>
      </w:r>
      <w:r w:rsidRPr="008373BD">
        <w:t xml:space="preserve"> a garda to bring and conduct a case</w:t>
      </w:r>
      <w:r w:rsidR="003D5068" w:rsidRPr="008373BD">
        <w:t>,</w:t>
      </w:r>
      <w:r w:rsidRPr="008373BD">
        <w:t xml:space="preserve"> but </w:t>
      </w:r>
      <w:r w:rsidR="006F02E2" w:rsidRPr="008373BD">
        <w:t xml:space="preserve">in not </w:t>
      </w:r>
      <w:r w:rsidRPr="008373BD">
        <w:t>decoupl</w:t>
      </w:r>
      <w:r w:rsidR="006F02E2" w:rsidRPr="008373BD">
        <w:t>ing</w:t>
      </w:r>
      <w:r w:rsidRPr="008373BD">
        <w:t xml:space="preserve"> “institute” from “conduct”</w:t>
      </w:r>
      <w:r w:rsidR="006F02E2" w:rsidRPr="008373BD">
        <w:t xml:space="preserve">, it does not permit </w:t>
      </w:r>
      <w:r w:rsidRPr="008373BD">
        <w:t xml:space="preserve">a garda to conduct a case that they have not </w:t>
      </w:r>
      <w:r w:rsidR="006F02E2" w:rsidRPr="008373BD">
        <w:t>prosecuted.</w:t>
      </w:r>
      <w:r w:rsidRPr="008373BD">
        <w:t xml:space="preserve"> </w:t>
      </w:r>
    </w:p>
    <w:p w14:paraId="1760B6D4" w14:textId="4B267167" w:rsidR="00D27993" w:rsidRPr="008373BD" w:rsidRDefault="00D27993" w:rsidP="008373BD">
      <w:pPr>
        <w:numPr>
          <w:ilvl w:val="0"/>
          <w:numId w:val="8"/>
        </w:numPr>
        <w:spacing w:after="280" w:line="480" w:lineRule="auto"/>
      </w:pPr>
      <w:r w:rsidRPr="008373BD">
        <w:t>The State parties contend that “and” in subs. 2 must be read disjunctively</w:t>
      </w:r>
      <w:r w:rsidR="00964686" w:rsidRPr="008373BD">
        <w:t>,</w:t>
      </w:r>
      <w:r w:rsidRPr="008373BD">
        <w:t xml:space="preserve"> </w:t>
      </w:r>
      <w:r w:rsidR="00D45FA5" w:rsidRPr="008373BD">
        <w:t xml:space="preserve">firstly </w:t>
      </w:r>
      <w:proofErr w:type="gramStart"/>
      <w:r w:rsidRPr="008373BD">
        <w:t>in order to</w:t>
      </w:r>
      <w:proofErr w:type="gramEnd"/>
      <w:r w:rsidRPr="008373BD">
        <w:t xml:space="preserve"> avoid an absurdity and </w:t>
      </w:r>
      <w:r w:rsidR="00D45FA5" w:rsidRPr="008373BD">
        <w:t xml:space="preserve">secondly </w:t>
      </w:r>
      <w:r w:rsidRPr="008373BD">
        <w:t>to give effect to the legislative intention of the provision which, they say, was to address the situation of the garda as common informer. They claim any other interpretation would lead to a breach of the presumption against radical amendment and would be inconsistent with the pre-existing rules</w:t>
      </w:r>
      <w:r w:rsidR="006F02E2" w:rsidRPr="008373BD">
        <w:t>,</w:t>
      </w:r>
      <w:r w:rsidRPr="008373BD">
        <w:t xml:space="preserve"> of which the Oireachtas must be presumed to have been aware. They emphasise th</w:t>
      </w:r>
      <w:r w:rsidR="006F02E2" w:rsidRPr="008373BD">
        <w:t xml:space="preserve">at any other interpretation would result in a </w:t>
      </w:r>
      <w:r w:rsidRPr="008373BD">
        <w:t xml:space="preserve">fundamental overhaul of the courts presenter system </w:t>
      </w:r>
      <w:r w:rsidR="006F02E2" w:rsidRPr="008373BD">
        <w:t xml:space="preserve">currently </w:t>
      </w:r>
      <w:r w:rsidRPr="008373BD">
        <w:t xml:space="preserve">operating in the District Court. </w:t>
      </w:r>
    </w:p>
    <w:p w14:paraId="7452A241" w14:textId="105A1A47" w:rsidR="00D27993" w:rsidRPr="008373BD" w:rsidRDefault="006F02E2" w:rsidP="00D27993">
      <w:pPr>
        <w:numPr>
          <w:ilvl w:val="0"/>
          <w:numId w:val="8"/>
        </w:numPr>
        <w:spacing w:line="480" w:lineRule="auto"/>
      </w:pPr>
      <w:r w:rsidRPr="008373BD">
        <w:t>The State parties cite</w:t>
      </w:r>
      <w:r w:rsidR="00125506" w:rsidRPr="008373BD">
        <w:t xml:space="preserve"> one UK and one US authority in support of reading “and” disjunctively; </w:t>
      </w:r>
      <w:r w:rsidR="00D27993" w:rsidRPr="008373BD">
        <w:rPr>
          <w:i/>
        </w:rPr>
        <w:t>Blackpool Council v. Howitt</w:t>
      </w:r>
      <w:r w:rsidR="00D27993" w:rsidRPr="008373BD">
        <w:t xml:space="preserve"> [2008] EWHC 3300 (Admin); </w:t>
      </w:r>
      <w:r w:rsidR="00D27993" w:rsidRPr="008373BD">
        <w:rPr>
          <w:i/>
        </w:rPr>
        <w:t>Peacock v. Lubbock Compress Company</w:t>
      </w:r>
      <w:r w:rsidR="00D27993" w:rsidRPr="008373BD">
        <w:t xml:space="preserve"> 252 F.2d 892 (Fifth Cir. 1968) (U.S. Court of Appeals for the Fifth Circuit). In both cases </w:t>
      </w:r>
      <w:r w:rsidR="00125506" w:rsidRPr="008373BD">
        <w:t>the court had a valid reason for interpreting “and” as they did</w:t>
      </w:r>
      <w:r w:rsidR="00D27993" w:rsidRPr="008373BD">
        <w:t xml:space="preserve">.  In the UK decision of </w:t>
      </w:r>
      <w:r w:rsidR="00D27993" w:rsidRPr="008373BD">
        <w:rPr>
          <w:i/>
        </w:rPr>
        <w:t>Howitt</w:t>
      </w:r>
      <w:r w:rsidR="00233D6B" w:rsidRPr="008373BD">
        <w:rPr>
          <w:i/>
        </w:rPr>
        <w:t>,</w:t>
      </w:r>
      <w:r w:rsidR="00D27993" w:rsidRPr="008373BD">
        <w:t xml:space="preserve"> the interpretation of the section was required by </w:t>
      </w:r>
      <w:r w:rsidR="00125506" w:rsidRPr="008373BD">
        <w:t xml:space="preserve">the same </w:t>
      </w:r>
      <w:r w:rsidR="00D27993" w:rsidRPr="008373BD">
        <w:t>statute to have regard to guidance issued by the Secretary of State</w:t>
      </w:r>
      <w:r w:rsidR="00233D6B" w:rsidRPr="008373BD">
        <w:t>,</w:t>
      </w:r>
      <w:r w:rsidR="00D27993" w:rsidRPr="008373BD">
        <w:t xml:space="preserve"> which provided the court with the broader purpose behind the</w:t>
      </w:r>
      <w:r w:rsidR="00233D6B" w:rsidRPr="008373BD">
        <w:t xml:space="preserve"> wider Government strategy in question</w:t>
      </w:r>
      <w:r w:rsidR="008373BD">
        <w:t>.</w:t>
      </w:r>
      <w:r w:rsidR="00233D6B" w:rsidRPr="008373BD">
        <w:t xml:space="preserve"> </w:t>
      </w:r>
      <w:r w:rsidR="00D27993" w:rsidRPr="008373BD">
        <w:t>The court decided to interpret “and” as meaning “or”</w:t>
      </w:r>
      <w:r w:rsidR="00233D6B" w:rsidRPr="008373BD">
        <w:t>,</w:t>
      </w:r>
      <w:r w:rsidR="00D27993" w:rsidRPr="008373BD">
        <w:t xml:space="preserve"> as anything else “</w:t>
      </w:r>
      <w:bookmarkStart w:id="0" w:name="para18"/>
      <w:r w:rsidR="00233D6B" w:rsidRPr="008373BD">
        <w:t xml:space="preserve">might effectively lead to an authority having to ignore that guidance from the Secretary of State, which </w:t>
      </w:r>
      <w:proofErr w:type="gramStart"/>
      <w:r w:rsidR="00233D6B" w:rsidRPr="008373BD">
        <w:t>by definition the</w:t>
      </w:r>
      <w:proofErr w:type="gramEnd"/>
      <w:r w:rsidR="00233D6B" w:rsidRPr="008373BD">
        <w:t xml:space="preserve"> licensing </w:t>
      </w:r>
      <w:r w:rsidR="00233D6B" w:rsidRPr="008373BD">
        <w:lastRenderedPageBreak/>
        <w:t>authority and indeed the court has to have regard to by virtue of section 4</w:t>
      </w:r>
      <w:bookmarkEnd w:id="0"/>
      <w:r w:rsidR="00233D6B" w:rsidRPr="008373BD">
        <w:t xml:space="preserve">”. </w:t>
      </w:r>
      <w:r w:rsidR="00D27993" w:rsidRPr="008373BD">
        <w:t xml:space="preserve">In the US decision of </w:t>
      </w:r>
      <w:r w:rsidR="00D27993" w:rsidRPr="008373BD">
        <w:rPr>
          <w:i/>
        </w:rPr>
        <w:t>Peacock</w:t>
      </w:r>
      <w:r w:rsidR="00233D6B" w:rsidRPr="008373BD">
        <w:rPr>
          <w:i/>
        </w:rPr>
        <w:t>,</w:t>
      </w:r>
      <w:r w:rsidR="00D27993" w:rsidRPr="008373BD">
        <w:t xml:space="preserve"> certain employee rights only applied to </w:t>
      </w:r>
      <w:r w:rsidR="00125506" w:rsidRPr="008373BD">
        <w:t xml:space="preserve">persons employed by </w:t>
      </w:r>
      <w:r w:rsidR="00D27993" w:rsidRPr="008373BD">
        <w:t xml:space="preserve">employers engaged in specific agricultural activity including “the ginning and compressing of cotton”. The court found that the legislative concern was to exempt agricultural activities subject to certain accepted agricultural activity and expressly found that there was “no basis for concluding that the exemption was to be confined to those engaging in </w:t>
      </w:r>
      <w:r w:rsidR="00D27993" w:rsidRPr="008373BD">
        <w:rPr>
          <w:i/>
        </w:rPr>
        <w:t xml:space="preserve">both </w:t>
      </w:r>
      <w:r w:rsidR="00D27993" w:rsidRPr="008373BD">
        <w:t xml:space="preserve">ginning and compression. Indeed, the contrary appeared.” The court ultimately held: </w:t>
      </w:r>
    </w:p>
    <w:p w14:paraId="21277D25" w14:textId="77777777" w:rsidR="00D27993" w:rsidRPr="008373BD" w:rsidRDefault="00D27993" w:rsidP="00DA1D20">
      <w:pPr>
        <w:spacing w:after="280" w:line="480" w:lineRule="auto"/>
        <w:ind w:left="1134"/>
      </w:pPr>
      <w:r w:rsidRPr="008373BD">
        <w:t xml:space="preserve">“For us to conclude that Congress meant “and” in a literal conjunctive sense is to determine that Congress meant in fact to grant no relief. To do this is to ignore reality, for Congress has long been acutely aware of the manifold problems of the production, </w:t>
      </w:r>
      <w:proofErr w:type="gramStart"/>
      <w:r w:rsidRPr="008373BD">
        <w:t>marketing</w:t>
      </w:r>
      <w:proofErr w:type="gramEnd"/>
      <w:r w:rsidRPr="008373BD">
        <w:t xml:space="preserve"> and distribution of cotton. The commodity is one of the most important in the complex pattern of farm parity and production control legislation. It is inconceivable that Congress legislated in ignorance of the distinguished nature of the physical operations of ginning of cotton as compared to the compressing of cotton, or that, with full consciousness of these practicable considerations, it meant to lay down a standard which could not be met in fact. Literalism gives way in the face of such consideration.”</w:t>
      </w:r>
    </w:p>
    <w:p w14:paraId="02F8ACB7" w14:textId="77777777" w:rsidR="00D27993" w:rsidRPr="008373BD" w:rsidRDefault="00125506" w:rsidP="00DA1D20">
      <w:pPr>
        <w:numPr>
          <w:ilvl w:val="0"/>
          <w:numId w:val="8"/>
        </w:numPr>
        <w:spacing w:after="280" w:line="480" w:lineRule="auto"/>
      </w:pPr>
      <w:r w:rsidRPr="008373BD">
        <w:t>In the instant case, n</w:t>
      </w:r>
      <w:r w:rsidR="00D27993" w:rsidRPr="008373BD">
        <w:t xml:space="preserve">o </w:t>
      </w:r>
      <w:r w:rsidRPr="008373BD">
        <w:t xml:space="preserve">similarly </w:t>
      </w:r>
      <w:r w:rsidR="00D27993" w:rsidRPr="008373BD">
        <w:t>clear legislative intention has been identified such as to persuade this court to depart from the normal rule of statutory interpretation that “and” should bear its ordinary and natural meaning. Applying that</w:t>
      </w:r>
      <w:r w:rsidRPr="008373BD">
        <w:t xml:space="preserve"> rule</w:t>
      </w:r>
      <w:r w:rsidR="00D27993" w:rsidRPr="008373BD">
        <w:t xml:space="preserve"> to the phrase “institute and conduct” in s.8 </w:t>
      </w:r>
      <w:r w:rsidRPr="008373BD">
        <w:t>(</w:t>
      </w:r>
      <w:r w:rsidR="00D27993" w:rsidRPr="008373BD">
        <w:t xml:space="preserve">2) may </w:t>
      </w:r>
      <w:r w:rsidRPr="008373BD">
        <w:t xml:space="preserve">possibly result in the </w:t>
      </w:r>
      <w:r w:rsidR="00D27993" w:rsidRPr="008373BD">
        <w:t>overhaul</w:t>
      </w:r>
      <w:r w:rsidRPr="008373BD">
        <w:t xml:space="preserve"> of</w:t>
      </w:r>
      <w:r w:rsidR="00D27993" w:rsidRPr="008373BD">
        <w:t xml:space="preserve"> the court presenter system as currently (and for many years</w:t>
      </w:r>
      <w:r w:rsidRPr="008373BD">
        <w:t xml:space="preserve"> previously</w:t>
      </w:r>
      <w:r w:rsidR="00D27993" w:rsidRPr="008373BD">
        <w:t xml:space="preserve">) operating in the District Court, but something more than </w:t>
      </w:r>
      <w:r w:rsidRPr="008373BD">
        <w:t>a</w:t>
      </w:r>
      <w:r w:rsidR="00D27993" w:rsidRPr="008373BD">
        <w:t xml:space="preserve"> need</w:t>
      </w:r>
      <w:r w:rsidRPr="008373BD">
        <w:t xml:space="preserve"> or desire</w:t>
      </w:r>
      <w:r w:rsidR="00D27993" w:rsidRPr="008373BD">
        <w:t xml:space="preserve"> for efficiency must be identified to enable a court to hold that the legislature meant “and” to be interpreted as “or”. If this means that s. 8 (2) changed the system of summary prosecutions in the District Court, then that must be assumed to have </w:t>
      </w:r>
      <w:r w:rsidR="00D27993" w:rsidRPr="008373BD">
        <w:lastRenderedPageBreak/>
        <w:t xml:space="preserve">been the intention of the legislature </w:t>
      </w:r>
      <w:proofErr w:type="gramStart"/>
      <w:r w:rsidR="00D27993" w:rsidRPr="008373BD">
        <w:t>in spite of</w:t>
      </w:r>
      <w:proofErr w:type="gramEnd"/>
      <w:r w:rsidR="00D27993" w:rsidRPr="008373BD">
        <w:t xml:space="preserve"> the presumption against </w:t>
      </w:r>
      <w:r w:rsidRPr="008373BD">
        <w:t xml:space="preserve">radical </w:t>
      </w:r>
      <w:r w:rsidR="00D27993" w:rsidRPr="008373BD">
        <w:t xml:space="preserve">amendment (if such a change could really be described as radical) and the presumption that the Oireachtas was aware of the provisions of the District Court Rules. </w:t>
      </w:r>
    </w:p>
    <w:p w14:paraId="1906ABC5" w14:textId="2B3B8E22" w:rsidR="00D27993" w:rsidRPr="008373BD" w:rsidRDefault="00D27993" w:rsidP="00DA1D20">
      <w:pPr>
        <w:numPr>
          <w:ilvl w:val="0"/>
          <w:numId w:val="8"/>
        </w:numPr>
        <w:spacing w:after="280" w:line="480" w:lineRule="auto"/>
      </w:pPr>
      <w:r w:rsidRPr="008373BD">
        <w:t xml:space="preserve">The State identifies the legislative purpose of the 2005 Act as addressing the situation of gardaí as common informer. That “situation” only applies to a garda </w:t>
      </w:r>
      <w:r w:rsidR="00125506" w:rsidRPr="008373BD">
        <w:t xml:space="preserve">both </w:t>
      </w:r>
      <w:r w:rsidRPr="008373BD">
        <w:t>prosecuting and conducting a case as that was what a common informer could do at the time the legislation was enacted. It does not address the ability of a non</w:t>
      </w:r>
      <w:r w:rsidR="00C6702E" w:rsidRPr="008373BD">
        <w:t>-</w:t>
      </w:r>
      <w:r w:rsidRPr="008373BD">
        <w:t xml:space="preserve">prosecuting garda to conduct a case </w:t>
      </w:r>
      <w:r w:rsidR="00125506" w:rsidRPr="008373BD">
        <w:t xml:space="preserve">or any </w:t>
      </w:r>
      <w:r w:rsidRPr="008373BD">
        <w:t xml:space="preserve">desirability of the efficient and effective delegation of duties between officers serving in the single force under a shared command structure, on which the DPP </w:t>
      </w:r>
      <w:proofErr w:type="gramStart"/>
      <w:r w:rsidRPr="008373BD">
        <w:t>in particular laid</w:t>
      </w:r>
      <w:proofErr w:type="gramEnd"/>
      <w:r w:rsidRPr="008373BD">
        <w:t xml:space="preserve"> heavy emphasis. The desirability of efficiency may be </w:t>
      </w:r>
      <w:proofErr w:type="gramStart"/>
      <w:r w:rsidRPr="008373BD">
        <w:t>laudable</w:t>
      </w:r>
      <w:proofErr w:type="gramEnd"/>
      <w:r w:rsidRPr="008373BD">
        <w:t xml:space="preserve"> but it does not equate to </w:t>
      </w:r>
      <w:r w:rsidR="00D45FA5" w:rsidRPr="008373BD">
        <w:t>a</w:t>
      </w:r>
      <w:r w:rsidRPr="008373BD">
        <w:t xml:space="preserve"> </w:t>
      </w:r>
      <w:r w:rsidR="00D45FA5" w:rsidRPr="008373BD">
        <w:t xml:space="preserve">legislative </w:t>
      </w:r>
      <w:r w:rsidRPr="008373BD">
        <w:t xml:space="preserve">purpose </w:t>
      </w:r>
      <w:r w:rsidR="00125506" w:rsidRPr="008373BD">
        <w:t xml:space="preserve">in the absence of </w:t>
      </w:r>
      <w:r w:rsidRPr="008373BD">
        <w:t xml:space="preserve">a clear basis for </w:t>
      </w:r>
      <w:r w:rsidR="00125506" w:rsidRPr="008373BD">
        <w:t>it</w:t>
      </w:r>
      <w:r w:rsidRPr="008373BD">
        <w:t xml:space="preserve">. </w:t>
      </w:r>
    </w:p>
    <w:p w14:paraId="2FF85C64" w14:textId="57CC5471" w:rsidR="00125506" w:rsidRPr="008373BD" w:rsidRDefault="00D27993" w:rsidP="00AF065F">
      <w:pPr>
        <w:numPr>
          <w:ilvl w:val="0"/>
          <w:numId w:val="8"/>
        </w:numPr>
        <w:spacing w:after="280" w:line="480" w:lineRule="auto"/>
      </w:pPr>
      <w:r w:rsidRPr="008373BD">
        <w:t xml:space="preserve">The State </w:t>
      </w:r>
      <w:r w:rsidR="00125506" w:rsidRPr="008373BD">
        <w:t xml:space="preserve">parties </w:t>
      </w:r>
      <w:r w:rsidRPr="008373BD">
        <w:t>maintain that had the legislature intended what the</w:t>
      </w:r>
      <w:r w:rsidR="00D45FA5" w:rsidRPr="008373BD">
        <w:t xml:space="preserve"> State parties</w:t>
      </w:r>
      <w:r w:rsidRPr="008373BD">
        <w:t xml:space="preserve"> claim was a radical change in the law, that clear and unambiguous language would have been used in s. 8 (2). The law prior to 2005 was as described by Griffin J. in </w:t>
      </w:r>
      <w:r w:rsidRPr="008373BD">
        <w:rPr>
          <w:i/>
        </w:rPr>
        <w:t xml:space="preserve">People (DPP) v. Roddick </w:t>
      </w:r>
      <w:r w:rsidRPr="008373BD">
        <w:t xml:space="preserve">as referred to above at </w:t>
      </w:r>
      <w:r w:rsidR="00C6702E" w:rsidRPr="008373BD">
        <w:t>para. 26</w:t>
      </w:r>
      <w:r w:rsidRPr="008373BD">
        <w:t xml:space="preserve">. I am not satisfied that a conjunctive reading of “and” in s.8 (2) represents a radical change to that law whereby a garda could only bring proceedings in his own name as a common informer. There was no provision </w:t>
      </w:r>
      <w:r w:rsidR="00125506" w:rsidRPr="008373BD">
        <w:t xml:space="preserve">made at all </w:t>
      </w:r>
      <w:r w:rsidRPr="008373BD">
        <w:t>for a non</w:t>
      </w:r>
      <w:r w:rsidR="00C6702E" w:rsidRPr="008373BD">
        <w:t>-</w:t>
      </w:r>
      <w:r w:rsidRPr="008373BD">
        <w:t xml:space="preserve">prosecuting garda </w:t>
      </w:r>
      <w:r w:rsidR="00125506" w:rsidRPr="008373BD">
        <w:t xml:space="preserve">to </w:t>
      </w:r>
      <w:r w:rsidRPr="008373BD">
        <w:t>conduct the proceedings</w:t>
      </w:r>
      <w:r w:rsidR="0091397C" w:rsidRPr="008373BD">
        <w:t xml:space="preserve"> and in those circumstances, </w:t>
      </w:r>
      <w:r w:rsidRPr="008373BD">
        <w:t xml:space="preserve">the changes brought about by s. 8 (2) </w:t>
      </w:r>
      <w:r w:rsidR="0091397C" w:rsidRPr="008373BD">
        <w:t xml:space="preserve">were not </w:t>
      </w:r>
      <w:r w:rsidRPr="008373BD">
        <w:t xml:space="preserve">all that radical. </w:t>
      </w:r>
    </w:p>
    <w:p w14:paraId="65FD3F2B" w14:textId="59C8CE78" w:rsidR="00D27993" w:rsidRPr="008373BD" w:rsidRDefault="00D27993" w:rsidP="00DA1D20">
      <w:pPr>
        <w:numPr>
          <w:ilvl w:val="0"/>
          <w:numId w:val="8"/>
        </w:numPr>
        <w:spacing w:after="280" w:line="480" w:lineRule="auto"/>
      </w:pPr>
      <w:r w:rsidRPr="008373BD">
        <w:t>Even if I am wrong in that, I am satisfied that the language used by the legislature in s.8 (2) of “institute and conduct” is clear and unambiguous in requiring “and” to be interpreted as “and” rather than “or”. Some of the remaining subsections in s.8 do use “or”</w:t>
      </w:r>
      <w:r w:rsidR="00C6702E" w:rsidRPr="008373BD">
        <w:t>,</w:t>
      </w:r>
      <w:r w:rsidRPr="008373BD">
        <w:t xml:space="preserve"> for example subs. 3, 5 (8), 6 and 6 (b</w:t>
      </w:r>
      <w:proofErr w:type="gramStart"/>
      <w:r w:rsidRPr="008373BD">
        <w:t xml:space="preserve">) </w:t>
      </w:r>
      <w:r w:rsidR="00125506" w:rsidRPr="008373BD">
        <w:t>.</w:t>
      </w:r>
      <w:proofErr w:type="gramEnd"/>
      <w:r w:rsidR="00125506" w:rsidRPr="008373BD">
        <w:t xml:space="preserve">  This </w:t>
      </w:r>
      <w:r w:rsidRPr="008373BD">
        <w:t>support</w:t>
      </w:r>
      <w:r w:rsidR="00125506" w:rsidRPr="008373BD">
        <w:t>s</w:t>
      </w:r>
      <w:r w:rsidRPr="008373BD">
        <w:t xml:space="preserve"> </w:t>
      </w:r>
      <w:r w:rsidR="00125506" w:rsidRPr="008373BD">
        <w:t>the conclusio</w:t>
      </w:r>
      <w:r w:rsidR="00D45FA5" w:rsidRPr="008373BD">
        <w:t>n</w:t>
      </w:r>
      <w:r w:rsidR="00125506" w:rsidRPr="008373BD">
        <w:t xml:space="preserve"> </w:t>
      </w:r>
      <w:r w:rsidRPr="008373BD">
        <w:t xml:space="preserve">that in using “and” in </w:t>
      </w:r>
      <w:r w:rsidRPr="008373BD">
        <w:lastRenderedPageBreak/>
        <w:t xml:space="preserve">subs. 2, the legislature intended it to mean both institute and conduct rather than institute or conduct. </w:t>
      </w:r>
    </w:p>
    <w:p w14:paraId="3F6D4277" w14:textId="359D5860" w:rsidR="00D27993" w:rsidRPr="008373BD" w:rsidRDefault="00D27993" w:rsidP="008373BD">
      <w:pPr>
        <w:pStyle w:val="ListParagraph"/>
        <w:numPr>
          <w:ilvl w:val="0"/>
          <w:numId w:val="14"/>
        </w:numPr>
        <w:spacing w:before="600" w:after="60" w:line="480" w:lineRule="auto"/>
        <w:ind w:left="1134" w:hanging="567"/>
        <w:rPr>
          <w:b/>
          <w:u w:val="single"/>
        </w:rPr>
      </w:pPr>
      <w:r w:rsidRPr="008373BD">
        <w:rPr>
          <w:b/>
          <w:u w:val="single"/>
        </w:rPr>
        <w:t>The rights of audience before the District Court</w:t>
      </w:r>
    </w:p>
    <w:p w14:paraId="5D9BB402" w14:textId="07A5AE5C" w:rsidR="00D27993" w:rsidRPr="008373BD" w:rsidRDefault="00D27993" w:rsidP="00DA1D20">
      <w:pPr>
        <w:numPr>
          <w:ilvl w:val="0"/>
          <w:numId w:val="8"/>
        </w:numPr>
        <w:spacing w:after="280" w:line="480" w:lineRule="auto"/>
      </w:pPr>
      <w:r w:rsidRPr="008373BD">
        <w:t xml:space="preserve">The </w:t>
      </w:r>
      <w:r w:rsidR="00125506" w:rsidRPr="008373BD">
        <w:t>S</w:t>
      </w:r>
      <w:r w:rsidRPr="008373BD">
        <w:t>tate</w:t>
      </w:r>
      <w:r w:rsidR="00125506" w:rsidRPr="008373BD">
        <w:t xml:space="preserve"> parties</w:t>
      </w:r>
      <w:r w:rsidRPr="008373BD">
        <w:t xml:space="preserve"> claim that rights of audience in the District Court are part of the court</w:t>
      </w:r>
      <w:r w:rsidR="00125506" w:rsidRPr="008373BD">
        <w:t>’s</w:t>
      </w:r>
      <w:r w:rsidRPr="008373BD">
        <w:t xml:space="preserve"> practice and procedure and not part of the administration of justice and that, therefore, the District Court Rules Committee was entitled to regulate the issue pursuant to s. 91 of the Court of Justice Act 1924. Before considering s. 91 further it is necessary to assess if that right of audience is part of the District Court practice and procedure or</w:t>
      </w:r>
      <w:r w:rsidR="00125506" w:rsidRPr="008373BD">
        <w:t xml:space="preserve"> if it is</w:t>
      </w:r>
      <w:r w:rsidRPr="008373BD">
        <w:t xml:space="preserve"> part of the administration of justice. </w:t>
      </w:r>
    </w:p>
    <w:p w14:paraId="0F1001E1" w14:textId="7A1EADF3" w:rsidR="00C6702E" w:rsidRPr="008373BD" w:rsidRDefault="00D27993" w:rsidP="00DA1D20">
      <w:pPr>
        <w:numPr>
          <w:ilvl w:val="0"/>
          <w:numId w:val="8"/>
        </w:numPr>
        <w:spacing w:after="280" w:line="480" w:lineRule="auto"/>
        <w:rPr>
          <w:b/>
        </w:rPr>
      </w:pPr>
      <w:r w:rsidRPr="008373BD">
        <w:t xml:space="preserve">There is a </w:t>
      </w:r>
      <w:r w:rsidR="00125506" w:rsidRPr="008373BD">
        <w:t xml:space="preserve">clear </w:t>
      </w:r>
      <w:r w:rsidRPr="008373BD">
        <w:t>legal basis for affording rights of audience before the District Court to limited categories of persons. The defendant cites s. 9 (1) of the Petty Sessions (Ireland) Act 1861 as providing for the right of audience of a solicitor or barrister for either side in summary proceedings. The defendant</w:t>
      </w:r>
      <w:r w:rsidR="0091397C" w:rsidRPr="008373BD">
        <w:t xml:space="preserve"> also</w:t>
      </w:r>
      <w:r w:rsidRPr="008373BD">
        <w:t xml:space="preserve"> cites the decision of the Supreme Court in </w:t>
      </w:r>
      <w:r w:rsidRPr="008373BD">
        <w:rPr>
          <w:i/>
          <w:iCs/>
        </w:rPr>
        <w:t>Coffey v. Environmental Protection Agency</w:t>
      </w:r>
      <w:r w:rsidRPr="008373BD">
        <w:t xml:space="preserve"> [2014] 2 IR 125 where Fennelly J. addressed the issue of rights of audience in the context of McKenzie Friends and observed as follows</w:t>
      </w:r>
      <w:r w:rsidR="00C6702E" w:rsidRPr="008373BD">
        <w:t>:</w:t>
      </w:r>
    </w:p>
    <w:p w14:paraId="39559654" w14:textId="66FC9F89" w:rsidR="00D27993" w:rsidRPr="008373BD" w:rsidRDefault="00C6702E" w:rsidP="00AF183E">
      <w:pPr>
        <w:spacing w:after="280" w:line="480" w:lineRule="auto"/>
        <w:ind w:left="1134"/>
      </w:pPr>
      <w:r w:rsidRPr="008373BD">
        <w:t>"In conclusion, the general rule is clear. Only a qualified barrister or solicitor has the right, if duly instructed, to represent a litigant before the courts. The courts have, on rare occasions, permitted exceptions to the strict application of that rule, where it would work particular injustice”.</w:t>
      </w:r>
    </w:p>
    <w:p w14:paraId="2374FA0C" w14:textId="64DEAA4B" w:rsidR="00D27993" w:rsidRPr="008373BD" w:rsidRDefault="00D27993" w:rsidP="00DA1D20">
      <w:pPr>
        <w:numPr>
          <w:ilvl w:val="0"/>
          <w:numId w:val="8"/>
        </w:numPr>
        <w:spacing w:after="280" w:line="480" w:lineRule="auto"/>
      </w:pPr>
      <w:r w:rsidRPr="008373BD">
        <w:t xml:space="preserve">The defendant cites s. 17 of the Courts Act 1971 as providing explicitly for the right of audience of solicitors and refers to the rights of audience of barristers by virtue of their call to the bar having been confirmed in </w:t>
      </w:r>
      <w:proofErr w:type="spellStart"/>
      <w:r w:rsidRPr="008373BD">
        <w:rPr>
          <w:i/>
        </w:rPr>
        <w:t>Heinullian</w:t>
      </w:r>
      <w:proofErr w:type="spellEnd"/>
      <w:r w:rsidRPr="008373BD">
        <w:rPr>
          <w:i/>
        </w:rPr>
        <w:t xml:space="preserve"> v. Governor of </w:t>
      </w:r>
      <w:proofErr w:type="spellStart"/>
      <w:r w:rsidRPr="008373BD">
        <w:rPr>
          <w:i/>
        </w:rPr>
        <w:t>Cloverhill</w:t>
      </w:r>
      <w:proofErr w:type="spellEnd"/>
      <w:r w:rsidRPr="008373BD">
        <w:rPr>
          <w:i/>
        </w:rPr>
        <w:t xml:space="preserve"> Prison</w:t>
      </w:r>
      <w:r w:rsidRPr="008373BD">
        <w:t xml:space="preserve"> [2011] 1 ILRM 1. The defendant re</w:t>
      </w:r>
      <w:r w:rsidR="00CC25F2" w:rsidRPr="008373BD">
        <w:t>lies</w:t>
      </w:r>
      <w:r w:rsidRPr="008373BD">
        <w:t xml:space="preserve"> </w:t>
      </w:r>
      <w:r w:rsidR="00CC25F2" w:rsidRPr="008373BD">
        <w:t>on</w:t>
      </w:r>
      <w:r w:rsidRPr="008373BD">
        <w:t xml:space="preserve"> the Legal Services Regulation Act 2015 as providing </w:t>
      </w:r>
      <w:r w:rsidR="00CC25F2" w:rsidRPr="008373BD">
        <w:t xml:space="preserve">for </w:t>
      </w:r>
      <w:r w:rsidRPr="008373BD">
        <w:lastRenderedPageBreak/>
        <w:t>detailed regulation</w:t>
      </w:r>
      <w:r w:rsidR="00CC25F2" w:rsidRPr="008373BD">
        <w:t xml:space="preserve"> of </w:t>
      </w:r>
      <w:r w:rsidRPr="008373BD">
        <w:t xml:space="preserve">legal practitioners defined in s. 2 as a practising solicitor or practising barrister. </w:t>
      </w:r>
    </w:p>
    <w:p w14:paraId="59A9568E" w14:textId="4D37DFC1" w:rsidR="00D27993" w:rsidRPr="008373BD" w:rsidRDefault="00D27993" w:rsidP="00DA1D20">
      <w:pPr>
        <w:numPr>
          <w:ilvl w:val="0"/>
          <w:numId w:val="8"/>
        </w:numPr>
        <w:spacing w:after="280" w:line="480" w:lineRule="auto"/>
      </w:pPr>
      <w:r w:rsidRPr="008373BD">
        <w:t xml:space="preserve">The defendant claimed that an interpretation of the 2005 Act </w:t>
      </w:r>
      <w:r w:rsidR="001901DA" w:rsidRPr="008373BD">
        <w:t xml:space="preserve">allowing </w:t>
      </w:r>
      <w:r w:rsidRPr="008373BD">
        <w:t xml:space="preserve">a right of audience </w:t>
      </w:r>
      <w:r w:rsidR="001901DA" w:rsidRPr="008373BD">
        <w:t xml:space="preserve">for </w:t>
      </w:r>
      <w:r w:rsidRPr="008373BD">
        <w:t xml:space="preserve">members of </w:t>
      </w:r>
      <w:proofErr w:type="gramStart"/>
      <w:r w:rsidRPr="008373BD">
        <w:t>An</w:t>
      </w:r>
      <w:proofErr w:type="gramEnd"/>
      <w:r w:rsidRPr="008373BD">
        <w:t xml:space="preserve"> Garda Síochána of any rank in any prosecution would create a third </w:t>
      </w:r>
      <w:r w:rsidR="001901DA" w:rsidRPr="008373BD">
        <w:t xml:space="preserve">and unregulated </w:t>
      </w:r>
      <w:r w:rsidRPr="008373BD">
        <w:t xml:space="preserve">legal profession. I do not accept that allowing rights of audience to members of </w:t>
      </w:r>
      <w:proofErr w:type="gramStart"/>
      <w:r w:rsidRPr="008373BD">
        <w:t>An</w:t>
      </w:r>
      <w:proofErr w:type="gramEnd"/>
      <w:r w:rsidRPr="008373BD">
        <w:t xml:space="preserve"> Garda Síochána is prohibited </w:t>
      </w:r>
      <w:r w:rsidRPr="008373BD">
        <w:rPr>
          <w:i/>
          <w:iCs/>
        </w:rPr>
        <w:t>per se</w:t>
      </w:r>
      <w:r w:rsidRPr="008373BD">
        <w:t xml:space="preserve"> as the Act clearly allows the prosecuting garda to institute and conduct a District Court case. The question is whether a non</w:t>
      </w:r>
      <w:r w:rsidR="00C6702E" w:rsidRPr="008373BD">
        <w:t>-</w:t>
      </w:r>
      <w:r w:rsidRPr="008373BD">
        <w:t xml:space="preserve">prosecuting garda can also conduct such a case. That might expand the number of gardaí with a right of audience before the District </w:t>
      </w:r>
      <w:proofErr w:type="gramStart"/>
      <w:r w:rsidRPr="008373BD">
        <w:t>Court</w:t>
      </w:r>
      <w:proofErr w:type="gramEnd"/>
      <w:r w:rsidRPr="008373BD">
        <w:t xml:space="preserve"> but it does not unlawfully expand the category of persons with such a right of audience beyond what the law clearly permits</w:t>
      </w:r>
      <w:r w:rsidR="001901DA" w:rsidRPr="008373BD">
        <w:t>,</w:t>
      </w:r>
      <w:r w:rsidRPr="008373BD">
        <w:t xml:space="preserve"> in that members of An Garda Síochána can </w:t>
      </w:r>
      <w:r w:rsidR="001901DA" w:rsidRPr="008373BD">
        <w:t xml:space="preserve">undoubtedly </w:t>
      </w:r>
      <w:r w:rsidRPr="008373BD">
        <w:t xml:space="preserve">appear before the District Court in specified circumstances. </w:t>
      </w:r>
    </w:p>
    <w:p w14:paraId="506A6844" w14:textId="77777777" w:rsidR="00D27993" w:rsidRPr="008373BD" w:rsidRDefault="001901DA" w:rsidP="00DA1D20">
      <w:pPr>
        <w:numPr>
          <w:ilvl w:val="0"/>
          <w:numId w:val="8"/>
        </w:numPr>
        <w:spacing w:after="280" w:line="480" w:lineRule="auto"/>
      </w:pPr>
      <w:r w:rsidRPr="008373BD">
        <w:t>T</w:t>
      </w:r>
      <w:r w:rsidR="00D27993" w:rsidRPr="008373BD">
        <w:t xml:space="preserve">he rights of specified persons to an audience in court is a highly regulated entitlement conferred by the law on specific categories of qualified professionals who satisfy onerous criteria. This is far more significant than a mere matter of practice and procedure as contended for by the State. </w:t>
      </w:r>
    </w:p>
    <w:p w14:paraId="1D2EDB03" w14:textId="262CF370" w:rsidR="00D27993" w:rsidRPr="008373BD" w:rsidRDefault="00D27993" w:rsidP="00D27993">
      <w:pPr>
        <w:numPr>
          <w:ilvl w:val="0"/>
          <w:numId w:val="8"/>
        </w:numPr>
        <w:spacing w:line="480" w:lineRule="auto"/>
      </w:pPr>
      <w:r w:rsidRPr="008373BD">
        <w:t xml:space="preserve">The Supreme Court recognised in </w:t>
      </w:r>
      <w:r w:rsidRPr="008373BD">
        <w:rPr>
          <w:i/>
        </w:rPr>
        <w:t xml:space="preserve">DPP v. McGrath </w:t>
      </w:r>
      <w:r w:rsidRPr="008373BD">
        <w:t>that a rule that a certain class of litigant could not be subject to an order for costs was not merely practice and procedure but rather</w:t>
      </w:r>
      <w:r w:rsidR="001901DA" w:rsidRPr="008373BD">
        <w:t xml:space="preserve"> was an issue that</w:t>
      </w:r>
      <w:r w:rsidRPr="008373BD">
        <w:t xml:space="preserve"> intrude</w:t>
      </w:r>
      <w:r w:rsidR="001901DA" w:rsidRPr="008373BD">
        <w:t>s</w:t>
      </w:r>
      <w:r w:rsidRPr="008373BD">
        <w:t xml:space="preserve"> </w:t>
      </w:r>
      <w:r w:rsidR="001901DA" w:rsidRPr="008373BD">
        <w:t>“</w:t>
      </w:r>
      <w:r w:rsidRPr="008373BD">
        <w:t xml:space="preserve">both upon an area of decision which is required to be made, if at all, by the Oireachtas if a general rule is sought to be made, and by the courts in individual decisions in particular cases.” The State </w:t>
      </w:r>
      <w:r w:rsidR="001901DA" w:rsidRPr="008373BD">
        <w:t xml:space="preserve">seeks to </w:t>
      </w:r>
      <w:r w:rsidRPr="008373BD">
        <w:t>distinguish that decision on the basis that costs are a significant issue with potential for disadvantage to a litigant</w:t>
      </w:r>
      <w:r w:rsidR="0091397C" w:rsidRPr="008373BD">
        <w:t xml:space="preserve">.  They </w:t>
      </w:r>
      <w:r w:rsidRPr="008373BD">
        <w:t xml:space="preserve">highlight the </w:t>
      </w:r>
      <w:r w:rsidR="001901DA" w:rsidRPr="008373BD">
        <w:t xml:space="preserve">absence </w:t>
      </w:r>
      <w:r w:rsidRPr="008373BD">
        <w:t xml:space="preserve">of any </w:t>
      </w:r>
      <w:r w:rsidR="001901DA" w:rsidRPr="008373BD">
        <w:t xml:space="preserve">similar </w:t>
      </w:r>
      <w:r w:rsidRPr="008373BD">
        <w:t>disadvantage to the defendant in this case if a non</w:t>
      </w:r>
      <w:r w:rsidR="00207F80" w:rsidRPr="008373BD">
        <w:t>-</w:t>
      </w:r>
      <w:r w:rsidRPr="008373BD">
        <w:t xml:space="preserve">prosecuting garda is entitled to prosecute the case. I make no finding on whether there is or is </w:t>
      </w:r>
      <w:r w:rsidRPr="008373BD">
        <w:lastRenderedPageBreak/>
        <w:t>not any such disadvantage</w:t>
      </w:r>
      <w:r w:rsidR="00207F80" w:rsidRPr="008373BD">
        <w:t>,</w:t>
      </w:r>
      <w:r w:rsidRPr="008373BD">
        <w:t xml:space="preserve"> but it is not necessary to do so in order to find that rights of audience </w:t>
      </w:r>
      <w:proofErr w:type="gramStart"/>
      <w:r w:rsidRPr="008373BD">
        <w:t>is</w:t>
      </w:r>
      <w:proofErr w:type="gramEnd"/>
      <w:r w:rsidRPr="008373BD">
        <w:t xml:space="preserve"> a far more significant </w:t>
      </w:r>
      <w:r w:rsidR="001901DA" w:rsidRPr="008373BD">
        <w:t xml:space="preserve">issue </w:t>
      </w:r>
      <w:r w:rsidRPr="008373BD">
        <w:t xml:space="preserve">than </w:t>
      </w:r>
      <w:r w:rsidR="001901DA" w:rsidRPr="008373BD">
        <w:t xml:space="preserve">constituting </w:t>
      </w:r>
      <w:r w:rsidRPr="008373BD">
        <w:t>a mere part of the District Court practice and procedure</w:t>
      </w:r>
      <w:r w:rsidR="001901DA" w:rsidRPr="008373BD">
        <w:t>.  It</w:t>
      </w:r>
      <w:r w:rsidRPr="008373BD">
        <w:t xml:space="preserve"> is </w:t>
      </w:r>
      <w:r w:rsidR="00CC25F2" w:rsidRPr="008373BD">
        <w:t>an issue</w:t>
      </w:r>
      <w:r w:rsidRPr="008373BD">
        <w:t xml:space="preserve"> more akin to the administration of justice. I find the support for that in the decision of the Supreme Court in </w:t>
      </w:r>
      <w:r w:rsidRPr="008373BD">
        <w:rPr>
          <w:i/>
        </w:rPr>
        <w:t>Coffey v. Environmental Protection Agency</w:t>
      </w:r>
      <w:r w:rsidRPr="008373BD">
        <w:t xml:space="preserve"> [2014] 2 IR 125 where a non</w:t>
      </w:r>
      <w:r w:rsidR="00207F80" w:rsidRPr="008373BD">
        <w:t>-</w:t>
      </w:r>
      <w:r w:rsidRPr="008373BD">
        <w:t>lawyer had applied to represent the applicant. Fennelly J. described it as “inimical” to the integrity of the justice system to open the same rights of audience and representation</w:t>
      </w:r>
      <w:r w:rsidR="001901DA" w:rsidRPr="008373BD">
        <w:t>,</w:t>
      </w:r>
      <w:r w:rsidRPr="008373BD">
        <w:t xml:space="preserve"> conferred by the law on qualified barristers and solicitors</w:t>
      </w:r>
      <w:r w:rsidR="001901DA" w:rsidRPr="008373BD">
        <w:t>,</w:t>
      </w:r>
      <w:r w:rsidRPr="008373BD">
        <w:t xml:space="preserve"> to unqualified persons. He referred to the extended and rigorous period of legal and professional training to which barristers and solicitors are subjected and the fact they are subject to codes of conduct and professional discipline. He concluded, at para. 31: </w:t>
      </w:r>
    </w:p>
    <w:p w14:paraId="2994C18E" w14:textId="2583E34F" w:rsidR="00D27993" w:rsidRPr="008373BD" w:rsidRDefault="00D27993" w:rsidP="00AF183E">
      <w:pPr>
        <w:spacing w:after="280" w:line="480" w:lineRule="auto"/>
        <w:ind w:left="1134"/>
      </w:pPr>
      <w:r w:rsidRPr="008373BD">
        <w:t xml:space="preserve">“There would be little point in subjecting the professions to such rules and requirements if, at the same time, completely unqualified persons had complete, parallel rights of audience in the courts. That would defeat the purpose of such controls </w:t>
      </w:r>
      <w:r w:rsidRPr="008373BD">
        <w:rPr>
          <w:i/>
        </w:rPr>
        <w:t>and would tend to undermine the administration of justice</w:t>
      </w:r>
      <w:r w:rsidRPr="008373BD">
        <w:t xml:space="preserve"> and the elaborate system of controls” (my emphasis).</w:t>
      </w:r>
    </w:p>
    <w:p w14:paraId="4AD238A8" w14:textId="4C63CE4F" w:rsidR="00D27993" w:rsidRPr="008373BD" w:rsidRDefault="00D27993" w:rsidP="00D27993">
      <w:pPr>
        <w:numPr>
          <w:ilvl w:val="0"/>
          <w:numId w:val="8"/>
        </w:numPr>
        <w:spacing w:line="480" w:lineRule="auto"/>
      </w:pPr>
      <w:r w:rsidRPr="008373BD">
        <w:t>I therefore conclude that the right of audience before the District Court</w:t>
      </w:r>
      <w:r w:rsidR="00207F80" w:rsidRPr="008373BD">
        <w:t>,</w:t>
      </w:r>
      <w:r w:rsidRPr="008373BD">
        <w:t xml:space="preserve"> conferred on members of specified groups including certain members of </w:t>
      </w:r>
      <w:proofErr w:type="gramStart"/>
      <w:r w:rsidRPr="008373BD">
        <w:t>An</w:t>
      </w:r>
      <w:proofErr w:type="gramEnd"/>
      <w:r w:rsidRPr="008373BD">
        <w:t xml:space="preserve"> Garda Síochána, is not an element of the court practice and procedures</w:t>
      </w:r>
      <w:r w:rsidR="001901DA" w:rsidRPr="008373BD">
        <w:t xml:space="preserve">.  It is </w:t>
      </w:r>
      <w:r w:rsidRPr="008373BD">
        <w:t xml:space="preserve">more significant and is akin to the administration of justice. </w:t>
      </w:r>
    </w:p>
    <w:p w14:paraId="7DD45739" w14:textId="20011292" w:rsidR="00D27993" w:rsidRPr="008373BD" w:rsidRDefault="00D27993" w:rsidP="008373BD">
      <w:pPr>
        <w:pStyle w:val="ListParagraph"/>
        <w:numPr>
          <w:ilvl w:val="0"/>
          <w:numId w:val="14"/>
        </w:numPr>
        <w:spacing w:before="600" w:after="60" w:line="480" w:lineRule="auto"/>
        <w:ind w:left="1134" w:hanging="567"/>
        <w:rPr>
          <w:b/>
          <w:u w:val="single"/>
        </w:rPr>
      </w:pPr>
      <w:r w:rsidRPr="008373BD">
        <w:rPr>
          <w:b/>
          <w:u w:val="single"/>
        </w:rPr>
        <w:t xml:space="preserve"> Does O.6 r.1 purport to amend or modify a statutory provision?</w:t>
      </w:r>
    </w:p>
    <w:p w14:paraId="56232FE0" w14:textId="4FB41C73" w:rsidR="00D27993" w:rsidRPr="008373BD" w:rsidRDefault="00D27993" w:rsidP="00DA1D20">
      <w:pPr>
        <w:numPr>
          <w:ilvl w:val="0"/>
          <w:numId w:val="8"/>
        </w:numPr>
        <w:spacing w:after="280" w:line="480" w:lineRule="auto"/>
      </w:pPr>
      <w:r w:rsidRPr="008373BD">
        <w:t xml:space="preserve"> Having determined that rights of audience are not part of the practice and procedures of the District Court, I move to a consideration of what O.6 r.1 does and how it fits into s.8 (2)</w:t>
      </w:r>
      <w:r w:rsidR="00207F80" w:rsidRPr="008373BD">
        <w:t>,</w:t>
      </w:r>
      <w:r w:rsidRPr="008373BD">
        <w:t xml:space="preserve"> which all parties agree is the enabling section for that rule. </w:t>
      </w:r>
    </w:p>
    <w:p w14:paraId="1EF07C1E" w14:textId="7F9499BF" w:rsidR="00D27993" w:rsidRPr="008373BD" w:rsidRDefault="00D27993" w:rsidP="00DA1D20">
      <w:pPr>
        <w:numPr>
          <w:ilvl w:val="0"/>
          <w:numId w:val="8"/>
        </w:numPr>
        <w:spacing w:line="480" w:lineRule="auto"/>
      </w:pPr>
      <w:r w:rsidRPr="008373BD">
        <w:lastRenderedPageBreak/>
        <w:t xml:space="preserve">Section 91 of the Courts of Justice Act, 1924 </w:t>
      </w:r>
      <w:r w:rsidR="00207F80" w:rsidRPr="008373BD">
        <w:t xml:space="preserve">allows </w:t>
      </w:r>
      <w:r w:rsidRPr="008373BD">
        <w:t>rules to be made</w:t>
      </w:r>
      <w:r w:rsidR="00207F80" w:rsidRPr="008373BD">
        <w:t>:</w:t>
      </w:r>
      <w:r w:rsidRPr="008373BD">
        <w:t xml:space="preserve"> </w:t>
      </w:r>
    </w:p>
    <w:p w14:paraId="0AD65947" w14:textId="26B666F9" w:rsidR="00D27993" w:rsidRPr="008373BD" w:rsidRDefault="00D27993" w:rsidP="00DA1D20">
      <w:pPr>
        <w:spacing w:after="280" w:line="480" w:lineRule="auto"/>
        <w:ind w:left="1134"/>
      </w:pPr>
      <w:r w:rsidRPr="008373BD">
        <w:t>“</w:t>
      </w:r>
      <w:r w:rsidR="00207F80" w:rsidRPr="008373BD">
        <w:t>f</w:t>
      </w:r>
      <w:r w:rsidRPr="008373BD">
        <w:t>or all or any</w:t>
      </w:r>
      <w:r w:rsidR="00643030" w:rsidRPr="008373BD">
        <w:t xml:space="preserve"> of the following matters, viz., for regulating the sittings and the vacations and the districts of the Justices and the places where proceedings are to be brought and the forms of process, summons, case stated, appeal or otherwise… and the practice and procedure of the District Court generally including questions of costs… and the adaptation or modification of any statute that may be necessary for any of the purposes aforesaid and all subsidiary matters”.</w:t>
      </w:r>
      <w:r w:rsidRPr="008373BD">
        <w:t xml:space="preserve"> </w:t>
      </w:r>
    </w:p>
    <w:p w14:paraId="5C2BAC1E" w14:textId="7A827DAC" w:rsidR="00D27993" w:rsidRPr="008373BD" w:rsidRDefault="00D27993" w:rsidP="00DA1D20">
      <w:pPr>
        <w:numPr>
          <w:ilvl w:val="0"/>
          <w:numId w:val="8"/>
        </w:numPr>
        <w:spacing w:line="480" w:lineRule="auto"/>
      </w:pPr>
      <w:r w:rsidRPr="008373BD">
        <w:t xml:space="preserve">The meaning of “practice and procedure” in the section was considered by Kingsmill Moore J. in </w:t>
      </w:r>
      <w:r w:rsidRPr="008373BD">
        <w:rPr>
          <w:i/>
        </w:rPr>
        <w:t xml:space="preserve">The State (O’Flaherty) v. </w:t>
      </w:r>
      <w:proofErr w:type="spellStart"/>
      <w:r w:rsidRPr="008373BD">
        <w:rPr>
          <w:i/>
        </w:rPr>
        <w:t>O’Floinn</w:t>
      </w:r>
      <w:proofErr w:type="spellEnd"/>
      <w:r w:rsidRPr="008373BD">
        <w:t>, which he said meant</w:t>
      </w:r>
      <w:r w:rsidR="00207F80" w:rsidRPr="008373BD">
        <w:t>:</w:t>
      </w:r>
      <w:r w:rsidRPr="008373BD">
        <w:t xml:space="preserve"> </w:t>
      </w:r>
    </w:p>
    <w:p w14:paraId="1276E500" w14:textId="77777777" w:rsidR="00D27993" w:rsidRPr="008373BD" w:rsidRDefault="00D27993" w:rsidP="00DA1D20">
      <w:pPr>
        <w:spacing w:after="280" w:line="480" w:lineRule="auto"/>
        <w:ind w:left="1134"/>
      </w:pPr>
      <w:r w:rsidRPr="008373BD">
        <w:t>“</w:t>
      </w:r>
      <w:proofErr w:type="gramStart"/>
      <w:r w:rsidRPr="008373BD">
        <w:t>the</w:t>
      </w:r>
      <w:proofErr w:type="gramEnd"/>
      <w:r w:rsidRPr="008373BD">
        <w:t xml:space="preserve"> manner in which, or the machinery whereby, effect is given to a substantive power which is either conferred on a Court by statute or inherent in its jurisdiction.” (</w:t>
      </w:r>
      <w:proofErr w:type="gramStart"/>
      <w:r w:rsidRPr="008373BD">
        <w:t>at</w:t>
      </w:r>
      <w:proofErr w:type="gramEnd"/>
      <w:r w:rsidRPr="008373BD">
        <w:t xml:space="preserve"> p. 304).</w:t>
      </w:r>
    </w:p>
    <w:p w14:paraId="763BEC44" w14:textId="3E99299C" w:rsidR="00D27993" w:rsidRPr="008373BD" w:rsidRDefault="00D27993" w:rsidP="00DA1D20">
      <w:pPr>
        <w:numPr>
          <w:ilvl w:val="0"/>
          <w:numId w:val="8"/>
        </w:numPr>
        <w:spacing w:line="480" w:lineRule="auto"/>
      </w:pPr>
      <w:r w:rsidRPr="008373BD">
        <w:t>Kingsmill Moore J. went on to apply the cannon of construction that general words or expressions following specific words or expressions take their colour from the specific instances. He therefore held that the phrase “practice and procedure</w:t>
      </w:r>
      <w:r w:rsidR="00207F80" w:rsidRPr="008373BD">
        <w:t>”</w:t>
      </w:r>
      <w:r w:rsidRPr="008373BD">
        <w:t xml:space="preserve"> generally</w:t>
      </w:r>
      <w:r w:rsidR="00207F80" w:rsidRPr="008373BD">
        <w:t>:</w:t>
      </w:r>
      <w:r w:rsidRPr="008373BD">
        <w:t xml:space="preserve"> </w:t>
      </w:r>
    </w:p>
    <w:p w14:paraId="73E3E08A" w14:textId="77777777" w:rsidR="00D27993" w:rsidRPr="008373BD" w:rsidRDefault="00D27993" w:rsidP="00DA1D20">
      <w:pPr>
        <w:spacing w:after="280" w:line="480" w:lineRule="auto"/>
        <w:ind w:left="1134"/>
      </w:pPr>
      <w:r w:rsidRPr="008373BD">
        <w:t>“</w:t>
      </w:r>
      <w:proofErr w:type="gramStart"/>
      <w:r w:rsidRPr="008373BD">
        <w:t>must</w:t>
      </w:r>
      <w:proofErr w:type="gramEnd"/>
      <w:r w:rsidRPr="008373BD">
        <w:t xml:space="preserve"> be confined to ‘things of the same kind’ as the specific subjects enumerated, which are all matters strictly procedural in the narrowest sense. They do not warrant the rule-making authority in framing a rule which in the guise of an alteration in practice or procedure, </w:t>
      </w:r>
      <w:proofErr w:type="gramStart"/>
      <w:r w:rsidRPr="008373BD">
        <w:t>nevertheless</w:t>
      </w:r>
      <w:proofErr w:type="gramEnd"/>
      <w:r w:rsidRPr="008373BD">
        <w:t xml:space="preserve"> operates to extend enormously a substantive power which the Legislature was careful to confer in a restricted form.”</w:t>
      </w:r>
    </w:p>
    <w:p w14:paraId="082A0772" w14:textId="6C06DCEC" w:rsidR="00D27993" w:rsidRPr="008373BD" w:rsidRDefault="00D27993" w:rsidP="00DA1D20">
      <w:pPr>
        <w:numPr>
          <w:ilvl w:val="0"/>
          <w:numId w:val="8"/>
        </w:numPr>
        <w:spacing w:after="280" w:line="480" w:lineRule="auto"/>
      </w:pPr>
      <w:r w:rsidRPr="008373BD">
        <w:t xml:space="preserve">More recently in </w:t>
      </w:r>
      <w:r w:rsidRPr="008373BD">
        <w:rPr>
          <w:i/>
        </w:rPr>
        <w:t xml:space="preserve">DDP v. McGrath, </w:t>
      </w:r>
      <w:r w:rsidRPr="008373BD">
        <w:t xml:space="preserve">O’Donnell J. (as he was then) in the Supreme Court reserved the question of whether Kingsmill Moore J.’s formulation as to what constitutes practice and procedure should be applied more generally, notwithstanding its </w:t>
      </w:r>
      <w:r w:rsidRPr="008373BD">
        <w:lastRenderedPageBreak/>
        <w:t xml:space="preserve">application in subsequent cases. </w:t>
      </w:r>
      <w:r w:rsidR="001901DA" w:rsidRPr="008373BD">
        <w:t>O’Donnell J</w:t>
      </w:r>
      <w:r w:rsidR="008F7297" w:rsidRPr="008373BD">
        <w:t>.</w:t>
      </w:r>
      <w:r w:rsidRPr="008373BD">
        <w:t xml:space="preserve"> suggested that </w:t>
      </w:r>
      <w:r w:rsidR="00CC25F2" w:rsidRPr="008373BD">
        <w:t xml:space="preserve">the formulation is </w:t>
      </w:r>
      <w:r w:rsidRPr="008373BD">
        <w:t xml:space="preserve">arguably too narrow and difficult to reconcile with the outcome of the cases. </w:t>
      </w:r>
    </w:p>
    <w:p w14:paraId="4F6C56E3" w14:textId="77777777" w:rsidR="00D27993" w:rsidRPr="008373BD" w:rsidRDefault="00CC25F2" w:rsidP="00DA1D20">
      <w:pPr>
        <w:numPr>
          <w:ilvl w:val="0"/>
          <w:numId w:val="8"/>
        </w:numPr>
        <w:spacing w:after="280" w:line="480" w:lineRule="auto"/>
      </w:pPr>
      <w:r w:rsidRPr="008373BD">
        <w:t>S</w:t>
      </w:r>
      <w:r w:rsidR="00D27993" w:rsidRPr="008373BD">
        <w:t>. 91 gives examples of what comes within the concept of practice and procedure including questions of cost</w:t>
      </w:r>
      <w:r w:rsidRPr="008373BD">
        <w:t xml:space="preserve"> but </w:t>
      </w:r>
      <w:r w:rsidR="00D27993" w:rsidRPr="008373BD">
        <w:t xml:space="preserve">does not identify rights of audience. </w:t>
      </w:r>
    </w:p>
    <w:p w14:paraId="0A4E1E55" w14:textId="77777777" w:rsidR="00D27993" w:rsidRPr="008373BD" w:rsidRDefault="00D27993" w:rsidP="00DA1D20">
      <w:pPr>
        <w:numPr>
          <w:ilvl w:val="0"/>
          <w:numId w:val="8"/>
        </w:numPr>
        <w:spacing w:after="280" w:line="480" w:lineRule="auto"/>
      </w:pPr>
      <w:r w:rsidRPr="008373BD">
        <w:t>Given the interpretation of s.8 (2) set out above, I am satisfied that</w:t>
      </w:r>
      <w:r w:rsidR="00CC25F2" w:rsidRPr="008373BD">
        <w:t xml:space="preserve"> it, as</w:t>
      </w:r>
      <w:r w:rsidRPr="008373BD">
        <w:t xml:space="preserve"> the enabling legislation for O.6 r.1</w:t>
      </w:r>
      <w:r w:rsidR="00CC25F2" w:rsidRPr="008373BD">
        <w:t>,</w:t>
      </w:r>
      <w:r w:rsidRPr="008373BD">
        <w:t xml:space="preserve"> only affords a right of audience to the garda who initiates and conducts the prosecution. Therefore, insofar as O.6 r.1 purports to give a right of audience to all members of </w:t>
      </w:r>
      <w:proofErr w:type="gramStart"/>
      <w:r w:rsidRPr="008373BD">
        <w:t>An</w:t>
      </w:r>
      <w:proofErr w:type="gramEnd"/>
      <w:r w:rsidRPr="008373BD">
        <w:t xml:space="preserve"> Garda Síochána and not just the garda who initiated prosecution, the rule is an impermissible amendment of the statute and goes beyond the adaptation/modification permitted by s.91, as recognised in the decisions of </w:t>
      </w:r>
      <w:r w:rsidRPr="008373BD">
        <w:rPr>
          <w:i/>
        </w:rPr>
        <w:t xml:space="preserve">State (O’Flaherty) v. </w:t>
      </w:r>
      <w:proofErr w:type="spellStart"/>
      <w:r w:rsidRPr="008373BD">
        <w:rPr>
          <w:i/>
        </w:rPr>
        <w:t>O’Floinn</w:t>
      </w:r>
      <w:proofErr w:type="spellEnd"/>
      <w:r w:rsidRPr="008373BD">
        <w:rPr>
          <w:i/>
        </w:rPr>
        <w:t xml:space="preserve">, Thomson v. Curry, </w:t>
      </w:r>
      <w:proofErr w:type="spellStart"/>
      <w:r w:rsidRPr="008373BD">
        <w:rPr>
          <w:i/>
        </w:rPr>
        <w:t>Reiney</w:t>
      </w:r>
      <w:proofErr w:type="spellEnd"/>
      <w:r w:rsidRPr="008373BD">
        <w:rPr>
          <w:i/>
        </w:rPr>
        <w:t xml:space="preserve"> v. Delap </w:t>
      </w:r>
      <w:r w:rsidRPr="008373BD">
        <w:t>and</w:t>
      </w:r>
      <w:r w:rsidRPr="008373BD">
        <w:rPr>
          <w:i/>
        </w:rPr>
        <w:t xml:space="preserve"> DFC Commissioner of An Garda Síochána </w:t>
      </w:r>
      <w:r w:rsidRPr="008373BD">
        <w:t xml:space="preserve">[2015] 2 IR 487. </w:t>
      </w:r>
    </w:p>
    <w:p w14:paraId="71EE4A83" w14:textId="14DE26A2" w:rsidR="00D27993" w:rsidRPr="008373BD" w:rsidRDefault="00D27993" w:rsidP="00DA1D20">
      <w:pPr>
        <w:numPr>
          <w:ilvl w:val="0"/>
          <w:numId w:val="8"/>
        </w:numPr>
        <w:spacing w:line="480" w:lineRule="auto"/>
      </w:pPr>
      <w:r w:rsidRPr="008373BD">
        <w:t xml:space="preserve">Order 6 r. 1 is </w:t>
      </w:r>
      <w:r w:rsidRPr="008373BD">
        <w:rPr>
          <w:i/>
        </w:rPr>
        <w:t xml:space="preserve">ultra vires </w:t>
      </w:r>
      <w:r w:rsidRPr="008373BD">
        <w:t xml:space="preserve">this </w:t>
      </w:r>
      <w:r w:rsidR="001901DA" w:rsidRPr="008373BD">
        <w:t>enabling</w:t>
      </w:r>
      <w:r w:rsidRPr="008373BD">
        <w:t xml:space="preserve"> legislation and cannot be relied on by the district judge in affording a right of audience to a garda who </w:t>
      </w:r>
      <w:proofErr w:type="gramStart"/>
      <w:r w:rsidRPr="008373BD">
        <w:t>had no involvement</w:t>
      </w:r>
      <w:proofErr w:type="gramEnd"/>
      <w:r w:rsidRPr="008373BD">
        <w:t xml:space="preserve"> in initiating the prosecution. </w:t>
      </w:r>
    </w:p>
    <w:p w14:paraId="5DAD872A" w14:textId="77777777" w:rsidR="00D27993" w:rsidRPr="008373BD" w:rsidRDefault="00D27993" w:rsidP="00DA1D20">
      <w:pPr>
        <w:spacing w:before="600" w:after="60" w:line="480" w:lineRule="auto"/>
        <w:rPr>
          <w:b/>
          <w:u w:val="single"/>
        </w:rPr>
      </w:pPr>
      <w:r w:rsidRPr="008373BD">
        <w:rPr>
          <w:b/>
          <w:u w:val="single"/>
        </w:rPr>
        <w:t xml:space="preserve">Conclusions </w:t>
      </w:r>
    </w:p>
    <w:p w14:paraId="65272E99" w14:textId="77777777" w:rsidR="001901DA" w:rsidRPr="008373BD" w:rsidRDefault="001901DA" w:rsidP="00DA1D20">
      <w:pPr>
        <w:numPr>
          <w:ilvl w:val="0"/>
          <w:numId w:val="8"/>
        </w:numPr>
        <w:spacing w:line="480" w:lineRule="auto"/>
      </w:pPr>
    </w:p>
    <w:p w14:paraId="2B338358" w14:textId="335D4D58" w:rsidR="001901DA" w:rsidRPr="008373BD" w:rsidRDefault="00D27993" w:rsidP="00AF183E">
      <w:pPr>
        <w:pStyle w:val="ListParagraph"/>
        <w:numPr>
          <w:ilvl w:val="0"/>
          <w:numId w:val="11"/>
        </w:numPr>
        <w:spacing w:after="160" w:line="480" w:lineRule="auto"/>
        <w:ind w:left="567" w:hanging="567"/>
      </w:pPr>
      <w:r w:rsidRPr="008373BD">
        <w:t>The consultative case stated procedure has been properly invoked by the district judge</w:t>
      </w:r>
      <w:r w:rsidR="0091397C" w:rsidRPr="008373BD">
        <w:t>.  T</w:t>
      </w:r>
      <w:r w:rsidRPr="008373BD">
        <w:t xml:space="preserve">he question she has referred must be answered by this court, including if </w:t>
      </w:r>
      <w:proofErr w:type="gramStart"/>
      <w:r w:rsidRPr="008373BD">
        <w:t>necessary</w:t>
      </w:r>
      <w:proofErr w:type="gramEnd"/>
      <w:r w:rsidRPr="008373BD">
        <w:t xml:space="preserve"> on the basis of any finding that O.6 r.1 that permits a non</w:t>
      </w:r>
      <w:r w:rsidR="008F7297" w:rsidRPr="008373BD">
        <w:t>-</w:t>
      </w:r>
      <w:r w:rsidRPr="008373BD">
        <w:t xml:space="preserve">prosecuting garda to have a right of audience to prosecute a case, is </w:t>
      </w:r>
      <w:r w:rsidRPr="008373BD">
        <w:rPr>
          <w:i/>
        </w:rPr>
        <w:t xml:space="preserve">ultra vires. </w:t>
      </w:r>
    </w:p>
    <w:p w14:paraId="72427FB0" w14:textId="77777777" w:rsidR="001901DA" w:rsidRPr="008373BD" w:rsidRDefault="00D27993" w:rsidP="00AF183E">
      <w:pPr>
        <w:pStyle w:val="ListParagraph"/>
        <w:numPr>
          <w:ilvl w:val="0"/>
          <w:numId w:val="12"/>
        </w:numPr>
        <w:spacing w:after="160" w:line="480" w:lineRule="auto"/>
        <w:ind w:left="567" w:hanging="567"/>
      </w:pPr>
      <w:r w:rsidRPr="008373BD">
        <w:t xml:space="preserve">The ordinary and natural meaning of “and” in s.8 (2) of </w:t>
      </w:r>
      <w:proofErr w:type="gramStart"/>
      <w:r w:rsidRPr="008373BD">
        <w:t>An</w:t>
      </w:r>
      <w:proofErr w:type="gramEnd"/>
      <w:r w:rsidRPr="008373BD">
        <w:t xml:space="preserve"> Garda Síochána Act, 2005 which permits a garda to initiate and conduct a District Court prosecution, means that </w:t>
      </w:r>
      <w:r w:rsidRPr="008373BD">
        <w:lastRenderedPageBreak/>
        <w:t xml:space="preserve">the garda must have both initiated and conducted the prosecution in order to have a right of audience before the District Court. </w:t>
      </w:r>
    </w:p>
    <w:p w14:paraId="7C297008" w14:textId="3B07B102" w:rsidR="00D27993" w:rsidRPr="008373BD" w:rsidRDefault="001901DA" w:rsidP="008373BD">
      <w:pPr>
        <w:spacing w:after="160" w:line="480" w:lineRule="auto"/>
        <w:ind w:left="567" w:hanging="567"/>
      </w:pPr>
      <w:r w:rsidRPr="008373BD">
        <w:t xml:space="preserve">iii. </w:t>
      </w:r>
      <w:r w:rsidR="00D27993" w:rsidRPr="008373BD">
        <w:t xml:space="preserve"> </w:t>
      </w:r>
      <w:r w:rsidRPr="008373BD">
        <w:tab/>
      </w:r>
      <w:r w:rsidR="0091397C" w:rsidRPr="008373BD">
        <w:t>Rights of audience are not merely part of the District Court practice and procedure. Rights</w:t>
      </w:r>
      <w:r w:rsidR="00D27993" w:rsidRPr="008373BD">
        <w:t xml:space="preserve"> of audience conferred by law on specified people is part of the integrity of the judicial system and</w:t>
      </w:r>
      <w:r w:rsidR="0091397C" w:rsidRPr="008373BD">
        <w:t xml:space="preserve"> is</w:t>
      </w:r>
      <w:r w:rsidR="00D27993" w:rsidRPr="008373BD">
        <w:t xml:space="preserve"> necessary to ensure the proper administration of justice. Those specifi</w:t>
      </w:r>
      <w:r w:rsidR="008055F0" w:rsidRPr="008373BD">
        <w:t>ed</w:t>
      </w:r>
      <w:r w:rsidR="00D27993" w:rsidRPr="008373BD">
        <w:t xml:space="preserve"> individuals include a garda who has initiated a prosecution before the District Court. </w:t>
      </w:r>
    </w:p>
    <w:p w14:paraId="5CBBCEBA" w14:textId="77777777" w:rsidR="00D27993" w:rsidRPr="008373BD" w:rsidRDefault="001901DA" w:rsidP="00AF183E">
      <w:pPr>
        <w:spacing w:after="160" w:line="480" w:lineRule="auto"/>
        <w:ind w:left="567" w:hanging="567"/>
      </w:pPr>
      <w:r w:rsidRPr="008373BD">
        <w:t xml:space="preserve">iv.  </w:t>
      </w:r>
      <w:r w:rsidRPr="008373BD">
        <w:tab/>
      </w:r>
      <w:r w:rsidR="00D27993" w:rsidRPr="008373BD">
        <w:t xml:space="preserve">Insofar as O.6 r.1 of the District Court Rules purport to confer a right of audience on any member of </w:t>
      </w:r>
      <w:proofErr w:type="gramStart"/>
      <w:r w:rsidR="00D27993" w:rsidRPr="008373BD">
        <w:t>An</w:t>
      </w:r>
      <w:proofErr w:type="gramEnd"/>
      <w:r w:rsidR="00D27993" w:rsidRPr="008373BD">
        <w:t xml:space="preserve"> Garda Síochána, that is an impermissible amendment of s. 8 (2) which limits that significant right to the garda who has initiated the prosecution. </w:t>
      </w:r>
    </w:p>
    <w:p w14:paraId="2BF69E19" w14:textId="77777777" w:rsidR="00D27993" w:rsidRPr="008373BD" w:rsidRDefault="001901DA" w:rsidP="00AF183E">
      <w:pPr>
        <w:spacing w:after="160" w:line="480" w:lineRule="auto"/>
        <w:ind w:left="567" w:hanging="567"/>
      </w:pPr>
      <w:r w:rsidRPr="008373BD">
        <w:t xml:space="preserve">v. </w:t>
      </w:r>
      <w:r w:rsidRPr="008373BD">
        <w:tab/>
      </w:r>
      <w:r w:rsidR="00D27993" w:rsidRPr="008373BD">
        <w:t xml:space="preserve">The outcome of this case may adversely affect the way in which criminal prosecutions are managed before the District Court. This court does not underestimate or disregard the administrative challenges in managing the system of District Court criminal prosecutions and the need for an efficient and effective system to do so. However, the desirability of efficiency cannot be permitted to overlook the application (even over many years) of a rule that goes impermissibly beyond what is permitted by s.8 (2). </w:t>
      </w:r>
    </w:p>
    <w:p w14:paraId="2F1BE778" w14:textId="311E6F85" w:rsidR="00D27993" w:rsidRPr="008373BD" w:rsidRDefault="001901DA" w:rsidP="00AF183E">
      <w:pPr>
        <w:spacing w:after="160" w:line="480" w:lineRule="auto"/>
        <w:ind w:left="567" w:hanging="567"/>
      </w:pPr>
      <w:r w:rsidRPr="008373BD">
        <w:t xml:space="preserve">vi. </w:t>
      </w:r>
      <w:r w:rsidRPr="008373BD">
        <w:tab/>
      </w:r>
      <w:r w:rsidR="00D27993" w:rsidRPr="008373BD">
        <w:t xml:space="preserve">For the avoidance of doubt this court makes no criticism of the right of audience that is conferred on members of </w:t>
      </w:r>
      <w:proofErr w:type="gramStart"/>
      <w:r w:rsidR="00D27993" w:rsidRPr="008373BD">
        <w:t>An</w:t>
      </w:r>
      <w:proofErr w:type="gramEnd"/>
      <w:r w:rsidR="00D27993" w:rsidRPr="008373BD">
        <w:t xml:space="preserve"> Garda Síochána and has no concerns about what the defendant refers to as a creation of a third legal profession that is unregulated. The difficult</w:t>
      </w:r>
      <w:r w:rsidR="008055F0" w:rsidRPr="008373BD">
        <w:t>y is</w:t>
      </w:r>
      <w:r w:rsidR="00D27993" w:rsidRPr="008373BD">
        <w:t xml:space="preserve"> with the impermissible amendment of s.8 (2) by O.6 r.1 to allow for a right of audience wider than that which is conferred by s.8 (2). It is a matter for the legislature as to what right</w:t>
      </w:r>
      <w:r w:rsidR="008055F0" w:rsidRPr="008373BD">
        <w:t>s</w:t>
      </w:r>
      <w:r w:rsidR="00D27993" w:rsidRPr="008373BD">
        <w:t xml:space="preserve"> of audience it wishes to give to members of </w:t>
      </w:r>
      <w:proofErr w:type="gramStart"/>
      <w:r w:rsidR="00D27993" w:rsidRPr="008373BD">
        <w:t>An</w:t>
      </w:r>
      <w:proofErr w:type="gramEnd"/>
      <w:r w:rsidR="00D27993" w:rsidRPr="008373BD">
        <w:t xml:space="preserve"> Garda Síochána or any other person</w:t>
      </w:r>
      <w:r w:rsidR="0091397C" w:rsidRPr="008373BD">
        <w:t>.  O</w:t>
      </w:r>
      <w:r w:rsidR="00D27993" w:rsidRPr="008373BD">
        <w:t xml:space="preserve">nce the legislature </w:t>
      </w:r>
      <w:proofErr w:type="gramStart"/>
      <w:r w:rsidR="00D27993" w:rsidRPr="008373BD">
        <w:t>have</w:t>
      </w:r>
      <w:proofErr w:type="gramEnd"/>
      <w:r w:rsidR="00D27993" w:rsidRPr="008373BD">
        <w:t xml:space="preserve"> done that by statute, the District Court Rules Committee cannot go beyond what the legislature has done. </w:t>
      </w:r>
    </w:p>
    <w:p w14:paraId="78007864" w14:textId="75225E55" w:rsidR="00D27993" w:rsidRPr="008373BD" w:rsidRDefault="001901DA" w:rsidP="00AF183E">
      <w:pPr>
        <w:spacing w:after="280" w:line="480" w:lineRule="auto"/>
        <w:ind w:left="567" w:hanging="567"/>
      </w:pPr>
      <w:r w:rsidRPr="008373BD">
        <w:lastRenderedPageBreak/>
        <w:t xml:space="preserve">vii. </w:t>
      </w:r>
      <w:r w:rsidR="00D27993" w:rsidRPr="008373BD">
        <w:t xml:space="preserve"> </w:t>
      </w:r>
      <w:r w:rsidRPr="008373BD">
        <w:tab/>
      </w:r>
      <w:r w:rsidR="00D27993" w:rsidRPr="008373BD">
        <w:t xml:space="preserve">In those circumstances the answer to the question referred by the </w:t>
      </w:r>
      <w:r w:rsidR="000A3E7E" w:rsidRPr="008373BD">
        <w:t>D</w:t>
      </w:r>
      <w:r w:rsidR="00D27993" w:rsidRPr="008373BD">
        <w:t>istrict</w:t>
      </w:r>
      <w:r w:rsidR="000A3E7E" w:rsidRPr="008373BD">
        <w:t xml:space="preserve"> Court</w:t>
      </w:r>
      <w:r w:rsidR="00D27993" w:rsidRPr="008373BD">
        <w:t xml:space="preserve"> judge on the fact that she found them is</w:t>
      </w:r>
      <w:r w:rsidR="008055F0" w:rsidRPr="008373BD">
        <w:t>:</w:t>
      </w:r>
      <w:r w:rsidR="008F7297" w:rsidRPr="008373BD">
        <w:t xml:space="preserve"> </w:t>
      </w:r>
      <w:r w:rsidR="00D27993" w:rsidRPr="008373BD">
        <w:t>“</w:t>
      </w:r>
      <w:r w:rsidR="008F7297" w:rsidRPr="008373BD">
        <w:t>N</w:t>
      </w:r>
      <w:r w:rsidR="00D27993" w:rsidRPr="008373BD">
        <w:t xml:space="preserve">o”; Sergeant Reilly did not have a right of audience to prosecute the case against the defendant. </w:t>
      </w:r>
    </w:p>
    <w:p w14:paraId="451786BE" w14:textId="678F5A76" w:rsidR="00D27993" w:rsidRPr="008373BD" w:rsidRDefault="00D27993" w:rsidP="00DA1D20">
      <w:pPr>
        <w:numPr>
          <w:ilvl w:val="0"/>
          <w:numId w:val="8"/>
        </w:numPr>
        <w:spacing w:line="480" w:lineRule="auto"/>
      </w:pPr>
      <w:r w:rsidRPr="008373BD">
        <w:t>I will list the matter for mention at 10 a</w:t>
      </w:r>
      <w:r w:rsidR="00BE4290">
        <w:t>.</w:t>
      </w:r>
      <w:r w:rsidRPr="008373BD">
        <w:t>m</w:t>
      </w:r>
      <w:r w:rsidR="00BE4290">
        <w:t xml:space="preserve">. </w:t>
      </w:r>
      <w:r w:rsidRPr="008373BD">
        <w:t xml:space="preserve">on </w:t>
      </w:r>
      <w:r w:rsidR="00BE4290">
        <w:t>1</w:t>
      </w:r>
      <w:r w:rsidR="00BC1DF3">
        <w:t>6</w:t>
      </w:r>
      <w:r w:rsidR="00BE4290">
        <w:t xml:space="preserve"> June </w:t>
      </w:r>
      <w:r w:rsidRPr="008373BD">
        <w:t xml:space="preserve">for the making of any final orders that may be required. </w:t>
      </w:r>
    </w:p>
    <w:p w14:paraId="32990EF3" w14:textId="77777777" w:rsidR="00D27993" w:rsidRPr="00B37841" w:rsidRDefault="00D27993" w:rsidP="00D27993">
      <w:pPr>
        <w:spacing w:line="480" w:lineRule="auto"/>
      </w:pPr>
    </w:p>
    <w:sectPr w:rsidR="00D27993" w:rsidRPr="00B37841" w:rsidSect="008373BD">
      <w:headerReference w:type="even" r:id="rId8"/>
      <w:headerReference w:type="default" r:id="rId9"/>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483E4" w14:textId="77777777" w:rsidR="00D53D43" w:rsidRDefault="00D53D43">
      <w:r>
        <w:separator/>
      </w:r>
    </w:p>
  </w:endnote>
  <w:endnote w:type="continuationSeparator" w:id="0">
    <w:p w14:paraId="2B8BB55B" w14:textId="77777777" w:rsidR="00D53D43" w:rsidRDefault="00D53D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EDA80" w14:textId="77777777" w:rsidR="00D53D43" w:rsidRDefault="00D53D43">
      <w:r>
        <w:separator/>
      </w:r>
    </w:p>
  </w:footnote>
  <w:footnote w:type="continuationSeparator" w:id="0">
    <w:p w14:paraId="477D3B0B" w14:textId="77777777" w:rsidR="00D53D43" w:rsidRDefault="00D53D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D0DB3" w14:textId="77777777" w:rsidR="00D53D43" w:rsidRDefault="00D53D43" w:rsidP="0001372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B336EA3" w14:textId="77777777" w:rsidR="00D53D43" w:rsidRDefault="00D53D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4D362" w14:textId="77777777" w:rsidR="00D53D43" w:rsidRDefault="00D53D43" w:rsidP="0001372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14:paraId="659E50A8" w14:textId="77777777" w:rsidR="00D53D43" w:rsidRDefault="00D53D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37207"/>
    <w:multiLevelType w:val="hybridMultilevel"/>
    <w:tmpl w:val="321CA438"/>
    <w:lvl w:ilvl="0" w:tplc="7D72E2E6">
      <w:start w:val="5"/>
      <w:numFmt w:val="decimal"/>
      <w:lvlText w:val="%1."/>
      <w:lvlJc w:val="left"/>
      <w:pPr>
        <w:tabs>
          <w:tab w:val="num" w:pos="720"/>
        </w:tabs>
        <w:ind w:left="0" w:firstLine="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4581FD5"/>
    <w:multiLevelType w:val="hybridMultilevel"/>
    <w:tmpl w:val="288AA696"/>
    <w:lvl w:ilvl="0" w:tplc="6B74A3BA">
      <w:start w:val="1"/>
      <w:numFmt w:val="lowerRoman"/>
      <w:lvlText w:val="(%1)"/>
      <w:lvlJc w:val="left"/>
      <w:pPr>
        <w:ind w:left="1440" w:hanging="360"/>
      </w:pPr>
      <w:rPr>
        <w:rFonts w:ascii="Times New Roman" w:eastAsia="Times New Roman" w:hAnsi="Times New Roman" w:cs="Times New Roman"/>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 w15:restartNumberingAfterBreak="0">
    <w:nsid w:val="1B9D0118"/>
    <w:multiLevelType w:val="hybridMultilevel"/>
    <w:tmpl w:val="27A2B8FA"/>
    <w:lvl w:ilvl="0" w:tplc="FFFFFFFF">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5D5A74"/>
    <w:multiLevelType w:val="hybridMultilevel"/>
    <w:tmpl w:val="7D6C033A"/>
    <w:lvl w:ilvl="0" w:tplc="4964D25A">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1207D07"/>
    <w:multiLevelType w:val="hybridMultilevel"/>
    <w:tmpl w:val="EC76E84A"/>
    <w:lvl w:ilvl="0" w:tplc="C8864E22">
      <w:start w:val="1"/>
      <w:numFmt w:val="decimal"/>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5666352"/>
    <w:multiLevelType w:val="hybridMultilevel"/>
    <w:tmpl w:val="960E1D2C"/>
    <w:lvl w:ilvl="0" w:tplc="DDF228C0">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AB02488"/>
    <w:multiLevelType w:val="hybridMultilevel"/>
    <w:tmpl w:val="A3C8B5FE"/>
    <w:lvl w:ilvl="0" w:tplc="3B7EE51A">
      <w:start w:val="9"/>
      <w:numFmt w:val="lowerLetter"/>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7" w15:restartNumberingAfterBreak="0">
    <w:nsid w:val="3EDC470C"/>
    <w:multiLevelType w:val="hybridMultilevel"/>
    <w:tmpl w:val="4C9A0C0E"/>
    <w:lvl w:ilvl="0" w:tplc="689EF5C6">
      <w:start w:val="2"/>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8" w15:restartNumberingAfterBreak="0">
    <w:nsid w:val="43431C7F"/>
    <w:multiLevelType w:val="hybridMultilevel"/>
    <w:tmpl w:val="22927FBC"/>
    <w:lvl w:ilvl="0" w:tplc="70BEB9E8">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D93053"/>
    <w:multiLevelType w:val="hybridMultilevel"/>
    <w:tmpl w:val="743241D4"/>
    <w:lvl w:ilvl="0" w:tplc="A60244D0">
      <w:start w:val="37"/>
      <w:numFmt w:val="decimal"/>
      <w:lvlText w:val="%1."/>
      <w:lvlJc w:val="left"/>
      <w:pPr>
        <w:ind w:left="0" w:firstLine="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6E6A24"/>
    <w:multiLevelType w:val="hybridMultilevel"/>
    <w:tmpl w:val="E62A8670"/>
    <w:lvl w:ilvl="0" w:tplc="F4EA5436">
      <w:start w:val="1"/>
      <w:numFmt w:val="decimal"/>
      <w:lvlText w:val="%1."/>
      <w:lvlJc w:val="left"/>
      <w:pPr>
        <w:ind w:left="0" w:firstLine="0"/>
      </w:pPr>
      <w:rPr>
        <w:rFonts w:hint="default"/>
        <w:b/>
        <w:i w:val="0"/>
        <w:iCs w:val="0"/>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67E869BF"/>
    <w:multiLevelType w:val="hybridMultilevel"/>
    <w:tmpl w:val="2168E132"/>
    <w:lvl w:ilvl="0" w:tplc="C8563D3E">
      <w:start w:val="43"/>
      <w:numFmt w:val="decimal"/>
      <w:lvlText w:val="%1."/>
      <w:lvlJc w:val="left"/>
      <w:pPr>
        <w:tabs>
          <w:tab w:val="num" w:pos="720"/>
        </w:tabs>
        <w:ind w:left="0" w:firstLine="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321D79"/>
    <w:multiLevelType w:val="hybridMultilevel"/>
    <w:tmpl w:val="A0B002C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3" w15:restartNumberingAfterBreak="0">
    <w:nsid w:val="7BCC0A85"/>
    <w:multiLevelType w:val="hybridMultilevel"/>
    <w:tmpl w:val="75A82892"/>
    <w:lvl w:ilvl="0" w:tplc="D6307E2E">
      <w:start w:val="1"/>
      <w:numFmt w:val="decimal"/>
      <w:lvlText w:val="%1."/>
      <w:lvlJc w:val="left"/>
      <w:pPr>
        <w:tabs>
          <w:tab w:val="num" w:pos="720"/>
        </w:tabs>
        <w:ind w:left="720" w:hanging="360"/>
      </w:pPr>
      <w:rPr>
        <w:rFonts w:hint="default"/>
        <w:b/>
        <w:i w:val="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num w:numId="1">
    <w:abstractNumId w:val="13"/>
  </w:num>
  <w:num w:numId="2">
    <w:abstractNumId w:val="0"/>
  </w:num>
  <w:num w:numId="3">
    <w:abstractNumId w:val="12"/>
  </w:num>
  <w:num w:numId="4">
    <w:abstractNumId w:val="8"/>
  </w:num>
  <w:num w:numId="5">
    <w:abstractNumId w:val="9"/>
  </w:num>
  <w:num w:numId="6">
    <w:abstractNumId w:val="11"/>
  </w:num>
  <w:num w:numId="7">
    <w:abstractNumId w:val="2"/>
  </w:num>
  <w:num w:numId="8">
    <w:abstractNumId w:val="10"/>
  </w:num>
  <w:num w:numId="9">
    <w:abstractNumId w:val="1"/>
  </w:num>
  <w:num w:numId="10">
    <w:abstractNumId w:val="3"/>
  </w:num>
  <w:num w:numId="11">
    <w:abstractNumId w:val="6"/>
  </w:num>
  <w:num w:numId="12">
    <w:abstractNumId w:val="7"/>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1FF"/>
    <w:rsid w:val="000003CB"/>
    <w:rsid w:val="00000EDB"/>
    <w:rsid w:val="0001372A"/>
    <w:rsid w:val="00014A1F"/>
    <w:rsid w:val="00014F19"/>
    <w:rsid w:val="00025581"/>
    <w:rsid w:val="00027D44"/>
    <w:rsid w:val="00035A5D"/>
    <w:rsid w:val="0007180A"/>
    <w:rsid w:val="000753FB"/>
    <w:rsid w:val="00077A57"/>
    <w:rsid w:val="00085A96"/>
    <w:rsid w:val="00086850"/>
    <w:rsid w:val="00087862"/>
    <w:rsid w:val="00091117"/>
    <w:rsid w:val="000A14DC"/>
    <w:rsid w:val="000A24DD"/>
    <w:rsid w:val="000A3E7E"/>
    <w:rsid w:val="000A561B"/>
    <w:rsid w:val="000B20B9"/>
    <w:rsid w:val="000B512A"/>
    <w:rsid w:val="000B5A60"/>
    <w:rsid w:val="000B5AA9"/>
    <w:rsid w:val="000C572E"/>
    <w:rsid w:val="000D26A2"/>
    <w:rsid w:val="000E0903"/>
    <w:rsid w:val="000E0EAC"/>
    <w:rsid w:val="000E7204"/>
    <w:rsid w:val="000F068B"/>
    <w:rsid w:val="000F2659"/>
    <w:rsid w:val="000F619D"/>
    <w:rsid w:val="001131E0"/>
    <w:rsid w:val="00114CF5"/>
    <w:rsid w:val="00123317"/>
    <w:rsid w:val="00125049"/>
    <w:rsid w:val="00125506"/>
    <w:rsid w:val="00125D31"/>
    <w:rsid w:val="0013141A"/>
    <w:rsid w:val="00135BC0"/>
    <w:rsid w:val="00143A7F"/>
    <w:rsid w:val="0014614E"/>
    <w:rsid w:val="00160357"/>
    <w:rsid w:val="00167CEF"/>
    <w:rsid w:val="001711FF"/>
    <w:rsid w:val="001733E8"/>
    <w:rsid w:val="001746F9"/>
    <w:rsid w:val="00182CF2"/>
    <w:rsid w:val="001901DA"/>
    <w:rsid w:val="001941D7"/>
    <w:rsid w:val="001949AA"/>
    <w:rsid w:val="001A2E51"/>
    <w:rsid w:val="001A7AF4"/>
    <w:rsid w:val="001B5ACC"/>
    <w:rsid w:val="001C23D4"/>
    <w:rsid w:val="001C502C"/>
    <w:rsid w:val="001C6598"/>
    <w:rsid w:val="001D0FAF"/>
    <w:rsid w:val="001D0FB2"/>
    <w:rsid w:val="001D132C"/>
    <w:rsid w:val="001D49E4"/>
    <w:rsid w:val="001D4EBE"/>
    <w:rsid w:val="001D7118"/>
    <w:rsid w:val="001E4B1D"/>
    <w:rsid w:val="001F570C"/>
    <w:rsid w:val="002017DD"/>
    <w:rsid w:val="00207EB2"/>
    <w:rsid w:val="00207F80"/>
    <w:rsid w:val="00213AB8"/>
    <w:rsid w:val="00224358"/>
    <w:rsid w:val="002252E0"/>
    <w:rsid w:val="0022730A"/>
    <w:rsid w:val="00233D6B"/>
    <w:rsid w:val="00235BE6"/>
    <w:rsid w:val="00235C66"/>
    <w:rsid w:val="00236EEF"/>
    <w:rsid w:val="00240404"/>
    <w:rsid w:val="00243559"/>
    <w:rsid w:val="00246C68"/>
    <w:rsid w:val="0025041B"/>
    <w:rsid w:val="00254C0F"/>
    <w:rsid w:val="00274C1A"/>
    <w:rsid w:val="00277B72"/>
    <w:rsid w:val="002900A3"/>
    <w:rsid w:val="00292944"/>
    <w:rsid w:val="00296C3B"/>
    <w:rsid w:val="002A0923"/>
    <w:rsid w:val="002A6856"/>
    <w:rsid w:val="002A6940"/>
    <w:rsid w:val="002C0FFC"/>
    <w:rsid w:val="002C244C"/>
    <w:rsid w:val="002C563C"/>
    <w:rsid w:val="002C681A"/>
    <w:rsid w:val="002D1BFB"/>
    <w:rsid w:val="002D3689"/>
    <w:rsid w:val="002D43EA"/>
    <w:rsid w:val="002D76A6"/>
    <w:rsid w:val="002F6CF7"/>
    <w:rsid w:val="002F736C"/>
    <w:rsid w:val="002F7619"/>
    <w:rsid w:val="003044FC"/>
    <w:rsid w:val="00315644"/>
    <w:rsid w:val="003202E4"/>
    <w:rsid w:val="00325C77"/>
    <w:rsid w:val="00325FF5"/>
    <w:rsid w:val="003436B1"/>
    <w:rsid w:val="00352330"/>
    <w:rsid w:val="003559CE"/>
    <w:rsid w:val="00356770"/>
    <w:rsid w:val="00360DB1"/>
    <w:rsid w:val="0036742D"/>
    <w:rsid w:val="00371639"/>
    <w:rsid w:val="0037284A"/>
    <w:rsid w:val="003A675F"/>
    <w:rsid w:val="003B0987"/>
    <w:rsid w:val="003B2B70"/>
    <w:rsid w:val="003B7FDF"/>
    <w:rsid w:val="003C5E36"/>
    <w:rsid w:val="003D0A4C"/>
    <w:rsid w:val="003D5068"/>
    <w:rsid w:val="003D5364"/>
    <w:rsid w:val="003E092F"/>
    <w:rsid w:val="003E1E07"/>
    <w:rsid w:val="003F4D99"/>
    <w:rsid w:val="003F6B55"/>
    <w:rsid w:val="00401F1A"/>
    <w:rsid w:val="00413303"/>
    <w:rsid w:val="00415999"/>
    <w:rsid w:val="004161DC"/>
    <w:rsid w:val="004217A4"/>
    <w:rsid w:val="004267A2"/>
    <w:rsid w:val="00426F4F"/>
    <w:rsid w:val="00427FCE"/>
    <w:rsid w:val="0044037F"/>
    <w:rsid w:val="00455E0C"/>
    <w:rsid w:val="00457EED"/>
    <w:rsid w:val="004613ED"/>
    <w:rsid w:val="00465D76"/>
    <w:rsid w:val="0046663A"/>
    <w:rsid w:val="00470291"/>
    <w:rsid w:val="00470761"/>
    <w:rsid w:val="004729AD"/>
    <w:rsid w:val="00473346"/>
    <w:rsid w:val="004806DC"/>
    <w:rsid w:val="00480BF8"/>
    <w:rsid w:val="00482C09"/>
    <w:rsid w:val="00490355"/>
    <w:rsid w:val="00496798"/>
    <w:rsid w:val="004A159B"/>
    <w:rsid w:val="004A5625"/>
    <w:rsid w:val="004A7F26"/>
    <w:rsid w:val="004C10D0"/>
    <w:rsid w:val="004D0D0C"/>
    <w:rsid w:val="004D0F88"/>
    <w:rsid w:val="004D2EB6"/>
    <w:rsid w:val="004D38B7"/>
    <w:rsid w:val="004E4619"/>
    <w:rsid w:val="004E7F98"/>
    <w:rsid w:val="004F1EAB"/>
    <w:rsid w:val="004F38FF"/>
    <w:rsid w:val="0050760B"/>
    <w:rsid w:val="00520FA9"/>
    <w:rsid w:val="00522A5C"/>
    <w:rsid w:val="00523C33"/>
    <w:rsid w:val="00526DC9"/>
    <w:rsid w:val="005310E4"/>
    <w:rsid w:val="00531ADB"/>
    <w:rsid w:val="00542275"/>
    <w:rsid w:val="0054776A"/>
    <w:rsid w:val="00550A56"/>
    <w:rsid w:val="00555710"/>
    <w:rsid w:val="00555D97"/>
    <w:rsid w:val="0055728F"/>
    <w:rsid w:val="00563990"/>
    <w:rsid w:val="00567B78"/>
    <w:rsid w:val="00573A77"/>
    <w:rsid w:val="00576DE7"/>
    <w:rsid w:val="0058059B"/>
    <w:rsid w:val="005806F6"/>
    <w:rsid w:val="00582994"/>
    <w:rsid w:val="00583EE1"/>
    <w:rsid w:val="00590A83"/>
    <w:rsid w:val="005A1925"/>
    <w:rsid w:val="005A6BAC"/>
    <w:rsid w:val="005C28C4"/>
    <w:rsid w:val="005C6750"/>
    <w:rsid w:val="005E5333"/>
    <w:rsid w:val="0060185D"/>
    <w:rsid w:val="006100E8"/>
    <w:rsid w:val="006112FF"/>
    <w:rsid w:val="00611ABD"/>
    <w:rsid w:val="00613E50"/>
    <w:rsid w:val="006161C7"/>
    <w:rsid w:val="00625B8B"/>
    <w:rsid w:val="006308B7"/>
    <w:rsid w:val="0063105C"/>
    <w:rsid w:val="00631D94"/>
    <w:rsid w:val="006366D1"/>
    <w:rsid w:val="006370F7"/>
    <w:rsid w:val="0064032C"/>
    <w:rsid w:val="00642C76"/>
    <w:rsid w:val="00643030"/>
    <w:rsid w:val="00651B50"/>
    <w:rsid w:val="00652859"/>
    <w:rsid w:val="006535B1"/>
    <w:rsid w:val="00654BA1"/>
    <w:rsid w:val="006565F0"/>
    <w:rsid w:val="00681010"/>
    <w:rsid w:val="00681869"/>
    <w:rsid w:val="006863B6"/>
    <w:rsid w:val="006918B5"/>
    <w:rsid w:val="006A31C0"/>
    <w:rsid w:val="006A3AD0"/>
    <w:rsid w:val="006A60CB"/>
    <w:rsid w:val="006B6782"/>
    <w:rsid w:val="006B7203"/>
    <w:rsid w:val="006C364C"/>
    <w:rsid w:val="006D34F3"/>
    <w:rsid w:val="006D3F29"/>
    <w:rsid w:val="006D575E"/>
    <w:rsid w:val="006D77E5"/>
    <w:rsid w:val="006E2C2C"/>
    <w:rsid w:val="006F02E2"/>
    <w:rsid w:val="006F1BEF"/>
    <w:rsid w:val="006F3888"/>
    <w:rsid w:val="00705664"/>
    <w:rsid w:val="00707567"/>
    <w:rsid w:val="00722968"/>
    <w:rsid w:val="00722D6E"/>
    <w:rsid w:val="00731C5E"/>
    <w:rsid w:val="00734BAE"/>
    <w:rsid w:val="00740143"/>
    <w:rsid w:val="00744EF6"/>
    <w:rsid w:val="00751C22"/>
    <w:rsid w:val="00765747"/>
    <w:rsid w:val="00770A62"/>
    <w:rsid w:val="00773DF8"/>
    <w:rsid w:val="0077468A"/>
    <w:rsid w:val="00775831"/>
    <w:rsid w:val="00791B4B"/>
    <w:rsid w:val="00791CA0"/>
    <w:rsid w:val="0079413E"/>
    <w:rsid w:val="007A4BCD"/>
    <w:rsid w:val="007A6715"/>
    <w:rsid w:val="007C489F"/>
    <w:rsid w:val="007D0446"/>
    <w:rsid w:val="007D05B9"/>
    <w:rsid w:val="007D2114"/>
    <w:rsid w:val="007D2167"/>
    <w:rsid w:val="007D5BF3"/>
    <w:rsid w:val="007E49D6"/>
    <w:rsid w:val="007F33DA"/>
    <w:rsid w:val="0080020C"/>
    <w:rsid w:val="008055F0"/>
    <w:rsid w:val="00810EAD"/>
    <w:rsid w:val="0081656D"/>
    <w:rsid w:val="00816B2A"/>
    <w:rsid w:val="00823C42"/>
    <w:rsid w:val="00823DE6"/>
    <w:rsid w:val="00830FE0"/>
    <w:rsid w:val="00834517"/>
    <w:rsid w:val="008373BD"/>
    <w:rsid w:val="00841844"/>
    <w:rsid w:val="00855467"/>
    <w:rsid w:val="00860459"/>
    <w:rsid w:val="008622E3"/>
    <w:rsid w:val="00867624"/>
    <w:rsid w:val="008702A8"/>
    <w:rsid w:val="008750E2"/>
    <w:rsid w:val="00876ACA"/>
    <w:rsid w:val="00886020"/>
    <w:rsid w:val="00886A40"/>
    <w:rsid w:val="00892CEB"/>
    <w:rsid w:val="008947D7"/>
    <w:rsid w:val="008972BC"/>
    <w:rsid w:val="008A25CA"/>
    <w:rsid w:val="008A62E3"/>
    <w:rsid w:val="008B220D"/>
    <w:rsid w:val="008C7D03"/>
    <w:rsid w:val="008D149D"/>
    <w:rsid w:val="008D6206"/>
    <w:rsid w:val="008E0ABD"/>
    <w:rsid w:val="008E285D"/>
    <w:rsid w:val="008E313A"/>
    <w:rsid w:val="008E4B3D"/>
    <w:rsid w:val="008E5A15"/>
    <w:rsid w:val="008F7297"/>
    <w:rsid w:val="009020D2"/>
    <w:rsid w:val="009030A2"/>
    <w:rsid w:val="00906A33"/>
    <w:rsid w:val="00907F97"/>
    <w:rsid w:val="009104AF"/>
    <w:rsid w:val="00911B47"/>
    <w:rsid w:val="0091397C"/>
    <w:rsid w:val="00943955"/>
    <w:rsid w:val="00954B71"/>
    <w:rsid w:val="00964686"/>
    <w:rsid w:val="00965D3D"/>
    <w:rsid w:val="009702BC"/>
    <w:rsid w:val="009729D1"/>
    <w:rsid w:val="00982185"/>
    <w:rsid w:val="009822F2"/>
    <w:rsid w:val="009B1970"/>
    <w:rsid w:val="009B4CBD"/>
    <w:rsid w:val="009C0A2D"/>
    <w:rsid w:val="009C6E7D"/>
    <w:rsid w:val="009D60EA"/>
    <w:rsid w:val="009E6F07"/>
    <w:rsid w:val="00A03884"/>
    <w:rsid w:val="00A10126"/>
    <w:rsid w:val="00A24695"/>
    <w:rsid w:val="00A24CF4"/>
    <w:rsid w:val="00A26BC6"/>
    <w:rsid w:val="00A26F6B"/>
    <w:rsid w:val="00A3745F"/>
    <w:rsid w:val="00A418D4"/>
    <w:rsid w:val="00A41AD9"/>
    <w:rsid w:val="00A437D7"/>
    <w:rsid w:val="00A6629D"/>
    <w:rsid w:val="00A878E1"/>
    <w:rsid w:val="00A92FF1"/>
    <w:rsid w:val="00A942A2"/>
    <w:rsid w:val="00AA0F36"/>
    <w:rsid w:val="00AA16EB"/>
    <w:rsid w:val="00AA281B"/>
    <w:rsid w:val="00AA304B"/>
    <w:rsid w:val="00AB2019"/>
    <w:rsid w:val="00AB2465"/>
    <w:rsid w:val="00AB5862"/>
    <w:rsid w:val="00AB6AFD"/>
    <w:rsid w:val="00AC76BA"/>
    <w:rsid w:val="00AD5922"/>
    <w:rsid w:val="00AD6B6E"/>
    <w:rsid w:val="00AE5E4B"/>
    <w:rsid w:val="00AE7359"/>
    <w:rsid w:val="00AF05D2"/>
    <w:rsid w:val="00AF065F"/>
    <w:rsid w:val="00AF0CA8"/>
    <w:rsid w:val="00AF0FC4"/>
    <w:rsid w:val="00AF183E"/>
    <w:rsid w:val="00AF4AAC"/>
    <w:rsid w:val="00AF5205"/>
    <w:rsid w:val="00AF75B6"/>
    <w:rsid w:val="00B03B87"/>
    <w:rsid w:val="00B03E95"/>
    <w:rsid w:val="00B05B1D"/>
    <w:rsid w:val="00B07AB2"/>
    <w:rsid w:val="00B1459B"/>
    <w:rsid w:val="00B17E03"/>
    <w:rsid w:val="00B24417"/>
    <w:rsid w:val="00B37841"/>
    <w:rsid w:val="00B404A0"/>
    <w:rsid w:val="00B41FD0"/>
    <w:rsid w:val="00B423B8"/>
    <w:rsid w:val="00B52888"/>
    <w:rsid w:val="00B56188"/>
    <w:rsid w:val="00B67872"/>
    <w:rsid w:val="00B7014B"/>
    <w:rsid w:val="00B7299A"/>
    <w:rsid w:val="00B72B0F"/>
    <w:rsid w:val="00BA2318"/>
    <w:rsid w:val="00BA5813"/>
    <w:rsid w:val="00BC1DF3"/>
    <w:rsid w:val="00BD4F95"/>
    <w:rsid w:val="00BE37C6"/>
    <w:rsid w:val="00BE4290"/>
    <w:rsid w:val="00C070DC"/>
    <w:rsid w:val="00C150AA"/>
    <w:rsid w:val="00C1596E"/>
    <w:rsid w:val="00C175EB"/>
    <w:rsid w:val="00C25670"/>
    <w:rsid w:val="00C34C52"/>
    <w:rsid w:val="00C35B30"/>
    <w:rsid w:val="00C36CC6"/>
    <w:rsid w:val="00C46AFA"/>
    <w:rsid w:val="00C51772"/>
    <w:rsid w:val="00C5325F"/>
    <w:rsid w:val="00C55B77"/>
    <w:rsid w:val="00C57BED"/>
    <w:rsid w:val="00C6525A"/>
    <w:rsid w:val="00C65C75"/>
    <w:rsid w:val="00C6702E"/>
    <w:rsid w:val="00C72A22"/>
    <w:rsid w:val="00C73FF5"/>
    <w:rsid w:val="00C74558"/>
    <w:rsid w:val="00C84128"/>
    <w:rsid w:val="00C86DEA"/>
    <w:rsid w:val="00C87EEC"/>
    <w:rsid w:val="00C95902"/>
    <w:rsid w:val="00CA0314"/>
    <w:rsid w:val="00CA21AC"/>
    <w:rsid w:val="00CB4557"/>
    <w:rsid w:val="00CB7319"/>
    <w:rsid w:val="00CC25F2"/>
    <w:rsid w:val="00CD0464"/>
    <w:rsid w:val="00CD1A58"/>
    <w:rsid w:val="00CE3041"/>
    <w:rsid w:val="00CE4EED"/>
    <w:rsid w:val="00CE68E2"/>
    <w:rsid w:val="00CF3B87"/>
    <w:rsid w:val="00D073D9"/>
    <w:rsid w:val="00D10C15"/>
    <w:rsid w:val="00D15929"/>
    <w:rsid w:val="00D15A7D"/>
    <w:rsid w:val="00D1673D"/>
    <w:rsid w:val="00D260E8"/>
    <w:rsid w:val="00D2754E"/>
    <w:rsid w:val="00D27993"/>
    <w:rsid w:val="00D33792"/>
    <w:rsid w:val="00D33AA0"/>
    <w:rsid w:val="00D33CA9"/>
    <w:rsid w:val="00D34898"/>
    <w:rsid w:val="00D34EE8"/>
    <w:rsid w:val="00D4291C"/>
    <w:rsid w:val="00D43AF7"/>
    <w:rsid w:val="00D45FA5"/>
    <w:rsid w:val="00D51220"/>
    <w:rsid w:val="00D53B04"/>
    <w:rsid w:val="00D53D43"/>
    <w:rsid w:val="00D564C2"/>
    <w:rsid w:val="00D57AC7"/>
    <w:rsid w:val="00D60976"/>
    <w:rsid w:val="00D70805"/>
    <w:rsid w:val="00D7274A"/>
    <w:rsid w:val="00D741D7"/>
    <w:rsid w:val="00D80830"/>
    <w:rsid w:val="00D85FC3"/>
    <w:rsid w:val="00D913FA"/>
    <w:rsid w:val="00D938E8"/>
    <w:rsid w:val="00DA1D20"/>
    <w:rsid w:val="00DA38FD"/>
    <w:rsid w:val="00DA6CE6"/>
    <w:rsid w:val="00DB2B03"/>
    <w:rsid w:val="00DC15B7"/>
    <w:rsid w:val="00DC5F61"/>
    <w:rsid w:val="00DC6462"/>
    <w:rsid w:val="00DD07E1"/>
    <w:rsid w:val="00DE17D6"/>
    <w:rsid w:val="00DE77BE"/>
    <w:rsid w:val="00DF4FA1"/>
    <w:rsid w:val="00E00418"/>
    <w:rsid w:val="00E063C4"/>
    <w:rsid w:val="00E137C5"/>
    <w:rsid w:val="00E142C4"/>
    <w:rsid w:val="00E161E3"/>
    <w:rsid w:val="00E169FB"/>
    <w:rsid w:val="00E17245"/>
    <w:rsid w:val="00E24963"/>
    <w:rsid w:val="00E339CA"/>
    <w:rsid w:val="00E4063A"/>
    <w:rsid w:val="00E43BD0"/>
    <w:rsid w:val="00E44D4C"/>
    <w:rsid w:val="00E45CDF"/>
    <w:rsid w:val="00E467DA"/>
    <w:rsid w:val="00E8241C"/>
    <w:rsid w:val="00E9192B"/>
    <w:rsid w:val="00E92D6E"/>
    <w:rsid w:val="00EA12A6"/>
    <w:rsid w:val="00EA4EED"/>
    <w:rsid w:val="00EB086E"/>
    <w:rsid w:val="00EB12C8"/>
    <w:rsid w:val="00EC48D9"/>
    <w:rsid w:val="00ED14BC"/>
    <w:rsid w:val="00ED45B8"/>
    <w:rsid w:val="00EE145F"/>
    <w:rsid w:val="00EE1828"/>
    <w:rsid w:val="00EE1E23"/>
    <w:rsid w:val="00EF16B5"/>
    <w:rsid w:val="00EF23A3"/>
    <w:rsid w:val="00F04BF5"/>
    <w:rsid w:val="00F1304B"/>
    <w:rsid w:val="00F14478"/>
    <w:rsid w:val="00F17987"/>
    <w:rsid w:val="00F24411"/>
    <w:rsid w:val="00F333F8"/>
    <w:rsid w:val="00F37CEC"/>
    <w:rsid w:val="00F41345"/>
    <w:rsid w:val="00F42030"/>
    <w:rsid w:val="00F435DC"/>
    <w:rsid w:val="00F43B26"/>
    <w:rsid w:val="00F503A5"/>
    <w:rsid w:val="00F519B6"/>
    <w:rsid w:val="00F53577"/>
    <w:rsid w:val="00F5393D"/>
    <w:rsid w:val="00F56BA4"/>
    <w:rsid w:val="00F570B9"/>
    <w:rsid w:val="00F6369C"/>
    <w:rsid w:val="00F65B1B"/>
    <w:rsid w:val="00F72DBB"/>
    <w:rsid w:val="00F8260A"/>
    <w:rsid w:val="00F92108"/>
    <w:rsid w:val="00F9632E"/>
    <w:rsid w:val="00F97031"/>
    <w:rsid w:val="00FA1B3E"/>
    <w:rsid w:val="00FA68FA"/>
    <w:rsid w:val="00FB0CB8"/>
    <w:rsid w:val="00FB1E49"/>
    <w:rsid w:val="00FB1EE2"/>
    <w:rsid w:val="00FB4540"/>
    <w:rsid w:val="00FB7E11"/>
    <w:rsid w:val="00FC6556"/>
    <w:rsid w:val="00FD37CE"/>
    <w:rsid w:val="00FD3B41"/>
    <w:rsid w:val="00FE0D5B"/>
    <w:rsid w:val="00FE543D"/>
    <w:rsid w:val="00FF55BE"/>
    <w:rsid w:val="00FF722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BE297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619D"/>
    <w:rPr>
      <w:sz w:val="24"/>
      <w:szCs w:val="24"/>
    </w:rPr>
  </w:style>
  <w:style w:type="paragraph" w:styleId="Heading3">
    <w:name w:val="heading 3"/>
    <w:basedOn w:val="Normal"/>
    <w:next w:val="Normal"/>
    <w:link w:val="Heading3Char"/>
    <w:unhideWhenUsed/>
    <w:qFormat/>
    <w:rsid w:val="00722968"/>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26BC6"/>
    <w:pPr>
      <w:tabs>
        <w:tab w:val="center" w:pos="4153"/>
        <w:tab w:val="right" w:pos="8306"/>
      </w:tabs>
    </w:pPr>
  </w:style>
  <w:style w:type="character" w:styleId="PageNumber">
    <w:name w:val="page number"/>
    <w:basedOn w:val="DefaultParagraphFont"/>
    <w:rsid w:val="00A26BC6"/>
  </w:style>
  <w:style w:type="character" w:customStyle="1" w:styleId="Heading3Char">
    <w:name w:val="Heading 3 Char"/>
    <w:link w:val="Heading3"/>
    <w:rsid w:val="00722968"/>
    <w:rPr>
      <w:rFonts w:ascii="Calibri Light" w:eastAsia="Times New Roman" w:hAnsi="Calibri Light" w:cs="Times New Roman"/>
      <w:b/>
      <w:bCs/>
      <w:sz w:val="26"/>
      <w:szCs w:val="26"/>
    </w:rPr>
  </w:style>
  <w:style w:type="character" w:styleId="CommentReference">
    <w:name w:val="annotation reference"/>
    <w:rsid w:val="006D575E"/>
    <w:rPr>
      <w:sz w:val="16"/>
      <w:szCs w:val="16"/>
    </w:rPr>
  </w:style>
  <w:style w:type="paragraph" w:styleId="CommentText">
    <w:name w:val="annotation text"/>
    <w:basedOn w:val="Normal"/>
    <w:link w:val="CommentTextChar"/>
    <w:rsid w:val="006D575E"/>
    <w:rPr>
      <w:sz w:val="20"/>
      <w:szCs w:val="20"/>
    </w:rPr>
  </w:style>
  <w:style w:type="character" w:customStyle="1" w:styleId="CommentTextChar">
    <w:name w:val="Comment Text Char"/>
    <w:basedOn w:val="DefaultParagraphFont"/>
    <w:link w:val="CommentText"/>
    <w:rsid w:val="006D575E"/>
  </w:style>
  <w:style w:type="paragraph" w:styleId="CommentSubject">
    <w:name w:val="annotation subject"/>
    <w:basedOn w:val="CommentText"/>
    <w:next w:val="CommentText"/>
    <w:link w:val="CommentSubjectChar"/>
    <w:rsid w:val="006D575E"/>
    <w:rPr>
      <w:b/>
      <w:bCs/>
    </w:rPr>
  </w:style>
  <w:style w:type="character" w:customStyle="1" w:styleId="CommentSubjectChar">
    <w:name w:val="Comment Subject Char"/>
    <w:link w:val="CommentSubject"/>
    <w:rsid w:val="006D575E"/>
    <w:rPr>
      <w:b/>
      <w:bCs/>
    </w:rPr>
  </w:style>
  <w:style w:type="paragraph" w:styleId="BalloonText">
    <w:name w:val="Balloon Text"/>
    <w:basedOn w:val="Normal"/>
    <w:link w:val="BalloonTextChar"/>
    <w:rsid w:val="006D575E"/>
    <w:rPr>
      <w:rFonts w:ascii="Segoe UI" w:hAnsi="Segoe UI" w:cs="Segoe UI"/>
      <w:sz w:val="18"/>
      <w:szCs w:val="18"/>
    </w:rPr>
  </w:style>
  <w:style w:type="character" w:customStyle="1" w:styleId="BalloonTextChar">
    <w:name w:val="Balloon Text Char"/>
    <w:link w:val="BalloonText"/>
    <w:rsid w:val="006D575E"/>
    <w:rPr>
      <w:rFonts w:ascii="Segoe UI" w:hAnsi="Segoe UI" w:cs="Segoe UI"/>
      <w:sz w:val="18"/>
      <w:szCs w:val="18"/>
    </w:rPr>
  </w:style>
  <w:style w:type="paragraph" w:styleId="ListParagraph">
    <w:name w:val="List Paragraph"/>
    <w:basedOn w:val="Normal"/>
    <w:uiPriority w:val="34"/>
    <w:qFormat/>
    <w:rsid w:val="00B52888"/>
    <w:pPr>
      <w:ind w:left="720"/>
    </w:pPr>
  </w:style>
  <w:style w:type="paragraph" w:customStyle="1" w:styleId="Default">
    <w:name w:val="Default"/>
    <w:rsid w:val="00AF4AAC"/>
    <w:pPr>
      <w:autoSpaceDE w:val="0"/>
      <w:autoSpaceDN w:val="0"/>
      <w:adjustRightInd w:val="0"/>
    </w:pPr>
    <w:rPr>
      <w:rFonts w:ascii="Calibri" w:hAnsi="Calibri" w:cs="Calibri"/>
      <w:color w:val="000000"/>
      <w:sz w:val="24"/>
      <w:szCs w:val="24"/>
      <w:lang w:eastAsia="en-US"/>
    </w:rPr>
  </w:style>
  <w:style w:type="paragraph" w:styleId="NormalWeb">
    <w:name w:val="Normal (Web)"/>
    <w:basedOn w:val="Normal"/>
    <w:uiPriority w:val="99"/>
    <w:unhideWhenUsed/>
    <w:rsid w:val="001D49E4"/>
    <w:pPr>
      <w:spacing w:before="100" w:beforeAutospacing="1" w:after="100" w:afterAutospacing="1"/>
    </w:pPr>
  </w:style>
  <w:style w:type="character" w:styleId="Emphasis">
    <w:name w:val="Emphasis"/>
    <w:basedOn w:val="DefaultParagraphFont"/>
    <w:uiPriority w:val="20"/>
    <w:qFormat/>
    <w:rsid w:val="000E0903"/>
    <w:rPr>
      <w:i/>
      <w:iCs/>
    </w:rPr>
  </w:style>
  <w:style w:type="paragraph" w:styleId="Revision">
    <w:name w:val="Revision"/>
    <w:hidden/>
    <w:uiPriority w:val="99"/>
    <w:semiHidden/>
    <w:rsid w:val="00D53D43"/>
    <w:rPr>
      <w:sz w:val="24"/>
      <w:szCs w:val="24"/>
    </w:rPr>
  </w:style>
  <w:style w:type="paragraph" w:styleId="Footer">
    <w:name w:val="footer"/>
    <w:basedOn w:val="Normal"/>
    <w:link w:val="FooterChar"/>
    <w:rsid w:val="00254C0F"/>
    <w:pPr>
      <w:tabs>
        <w:tab w:val="center" w:pos="4513"/>
        <w:tab w:val="right" w:pos="9026"/>
      </w:tabs>
    </w:pPr>
  </w:style>
  <w:style w:type="character" w:customStyle="1" w:styleId="FooterChar">
    <w:name w:val="Footer Char"/>
    <w:basedOn w:val="DefaultParagraphFont"/>
    <w:link w:val="Footer"/>
    <w:rsid w:val="00254C0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810143">
      <w:bodyDiv w:val="1"/>
      <w:marLeft w:val="0"/>
      <w:marRight w:val="0"/>
      <w:marTop w:val="0"/>
      <w:marBottom w:val="0"/>
      <w:divBdr>
        <w:top w:val="none" w:sz="0" w:space="0" w:color="auto"/>
        <w:left w:val="none" w:sz="0" w:space="0" w:color="auto"/>
        <w:bottom w:val="none" w:sz="0" w:space="0" w:color="auto"/>
        <w:right w:val="none" w:sz="0" w:space="0" w:color="auto"/>
      </w:divBdr>
    </w:div>
    <w:div w:id="1718042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7517E-4395-4EE8-8D8B-824975DB7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6545</Words>
  <Characters>31516</Characters>
  <Application>Microsoft Office Word</Application>
  <DocSecurity>4</DocSecurity>
  <Lines>262</Lines>
  <Paragraphs>75</Paragraphs>
  <ScaleCrop>false</ScaleCrop>
  <Company/>
  <LinksUpToDate>false</LinksUpToDate>
  <CharactersWithSpaces>37986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2022-06-08T09:14:00Z</dcterms:created>
  <dcterms:modified xsi:type="dcterms:W3CDTF">2022-06-08T09:14:00Z</dcterms:modified>
</cp:coreProperties>
</file>