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81811" w14:textId="77777777" w:rsidR="00DB4DD0" w:rsidRPr="00DB4DD0" w:rsidRDefault="00DB4DD0" w:rsidP="002D05EC">
      <w:pPr>
        <w:spacing w:line="360" w:lineRule="auto"/>
        <w:jc w:val="center"/>
        <w:rPr>
          <w:rFonts w:eastAsia="Calibri"/>
          <w:b/>
          <w:sz w:val="32"/>
          <w:szCs w:val="32"/>
          <w:lang w:eastAsia="en-US"/>
        </w:rPr>
      </w:pPr>
      <w:bookmarkStart w:id="0" w:name="_GoBack"/>
      <w:bookmarkEnd w:id="0"/>
      <w:r w:rsidRPr="00DB4DD0">
        <w:rPr>
          <w:rFonts w:eastAsia="Calibri"/>
          <w:b/>
          <w:sz w:val="32"/>
          <w:szCs w:val="32"/>
          <w:lang w:eastAsia="en-US"/>
        </w:rPr>
        <w:t>THE COURT OF APPEAL</w:t>
      </w:r>
    </w:p>
    <w:p w14:paraId="65802F19" w14:textId="22B3D9EB" w:rsidR="00DB4DD0" w:rsidRPr="00684F1B" w:rsidRDefault="00684F1B" w:rsidP="00684F1B">
      <w:pPr>
        <w:spacing w:line="360" w:lineRule="auto"/>
        <w:rPr>
          <w:rFonts w:eastAsia="Calibri"/>
          <w:b/>
          <w:u w:val="single"/>
          <w:lang w:eastAsia="en-US"/>
        </w:rPr>
      </w:pPr>
      <w:r w:rsidRPr="00684F1B">
        <w:rPr>
          <w:rFonts w:eastAsia="Calibri"/>
          <w:b/>
          <w:u w:val="single"/>
          <w:lang w:eastAsia="en-US"/>
        </w:rPr>
        <w:t>UNAPPROVED</w:t>
      </w:r>
    </w:p>
    <w:p w14:paraId="019BB3A5" w14:textId="076BC8BE" w:rsidR="00DB4DD0" w:rsidRPr="00DB4DD0" w:rsidRDefault="00642EDF" w:rsidP="00DB4DD0">
      <w:pPr>
        <w:spacing w:line="360" w:lineRule="auto"/>
        <w:jc w:val="right"/>
        <w:rPr>
          <w:rFonts w:eastAsia="Calibri"/>
          <w:b/>
          <w:szCs w:val="22"/>
          <w:lang w:eastAsia="en-US"/>
        </w:rPr>
      </w:pPr>
      <w:r>
        <w:rPr>
          <w:rFonts w:eastAsia="Calibri"/>
          <w:b/>
          <w:szCs w:val="22"/>
          <w:lang w:eastAsia="en-US"/>
        </w:rPr>
        <w:t>R</w:t>
      </w:r>
      <w:r w:rsidR="00DB4DD0" w:rsidRPr="00DB4DD0">
        <w:rPr>
          <w:rFonts w:eastAsia="Calibri"/>
          <w:b/>
          <w:szCs w:val="22"/>
          <w:lang w:eastAsia="en-US"/>
        </w:rPr>
        <w:t>ecord No.</w:t>
      </w:r>
      <w:r w:rsidR="003761E3">
        <w:rPr>
          <w:rFonts w:eastAsia="Calibri"/>
          <w:b/>
          <w:szCs w:val="22"/>
          <w:lang w:eastAsia="en-US"/>
        </w:rPr>
        <w:t>:</w:t>
      </w:r>
      <w:r w:rsidR="00DB4DD0" w:rsidRPr="00DB4DD0">
        <w:rPr>
          <w:rFonts w:eastAsia="Calibri"/>
          <w:b/>
          <w:szCs w:val="22"/>
          <w:lang w:eastAsia="en-US"/>
        </w:rPr>
        <w:t xml:space="preserve"> </w:t>
      </w:r>
      <w:r w:rsidR="00443A97">
        <w:rPr>
          <w:rFonts w:eastAsia="Calibri"/>
          <w:b/>
          <w:szCs w:val="22"/>
          <w:lang w:eastAsia="en-US"/>
        </w:rPr>
        <w:t>2021/47</w:t>
      </w:r>
    </w:p>
    <w:p w14:paraId="4D476116" w14:textId="41E2CEEC" w:rsidR="00DB4DD0" w:rsidRPr="00DB4DD0" w:rsidRDefault="00684F1B" w:rsidP="00DB4DD0">
      <w:pPr>
        <w:spacing w:line="360" w:lineRule="auto"/>
        <w:jc w:val="right"/>
        <w:rPr>
          <w:rFonts w:eastAsia="Calibri"/>
          <w:b/>
          <w:szCs w:val="22"/>
          <w:lang w:eastAsia="en-US"/>
        </w:rPr>
      </w:pPr>
      <w:r>
        <w:rPr>
          <w:rFonts w:eastAsia="Calibri"/>
          <w:b/>
          <w:szCs w:val="22"/>
          <w:lang w:eastAsia="en-US"/>
        </w:rPr>
        <w:t>Neutral Citation</w:t>
      </w:r>
      <w:r w:rsidR="003761E3">
        <w:rPr>
          <w:rFonts w:eastAsia="Calibri"/>
          <w:b/>
          <w:szCs w:val="22"/>
          <w:lang w:eastAsia="en-US"/>
        </w:rPr>
        <w:t>: [2022] IECA 77</w:t>
      </w:r>
    </w:p>
    <w:p w14:paraId="46645FE9" w14:textId="77777777" w:rsidR="00AB47FA" w:rsidRDefault="00443A97" w:rsidP="002857A9">
      <w:pPr>
        <w:spacing w:line="276" w:lineRule="auto"/>
        <w:jc w:val="both"/>
        <w:rPr>
          <w:rFonts w:eastAsia="Calibri"/>
          <w:b/>
          <w:szCs w:val="22"/>
          <w:lang w:eastAsia="en-US"/>
        </w:rPr>
      </w:pPr>
      <w:r>
        <w:rPr>
          <w:rFonts w:eastAsia="Calibri"/>
          <w:b/>
          <w:szCs w:val="22"/>
          <w:lang w:eastAsia="en-US"/>
        </w:rPr>
        <w:t xml:space="preserve">Costello </w:t>
      </w:r>
      <w:r w:rsidR="002857A9" w:rsidRPr="00DB4DD0">
        <w:rPr>
          <w:rFonts w:eastAsia="Calibri"/>
          <w:b/>
          <w:szCs w:val="22"/>
          <w:lang w:eastAsia="en-US"/>
        </w:rPr>
        <w:t>J.</w:t>
      </w:r>
    </w:p>
    <w:p w14:paraId="13C04790" w14:textId="77777777" w:rsidR="002857A9" w:rsidRDefault="00443A97" w:rsidP="002857A9">
      <w:pPr>
        <w:spacing w:line="276" w:lineRule="auto"/>
        <w:jc w:val="both"/>
        <w:rPr>
          <w:rFonts w:eastAsia="Calibri"/>
          <w:b/>
          <w:szCs w:val="22"/>
          <w:lang w:eastAsia="en-US"/>
        </w:rPr>
      </w:pPr>
      <w:r>
        <w:rPr>
          <w:rFonts w:eastAsia="Calibri"/>
          <w:b/>
          <w:szCs w:val="22"/>
          <w:lang w:eastAsia="en-US"/>
        </w:rPr>
        <w:t xml:space="preserve">Collins </w:t>
      </w:r>
      <w:r w:rsidR="002857A9">
        <w:rPr>
          <w:rFonts w:eastAsia="Calibri"/>
          <w:b/>
          <w:szCs w:val="22"/>
          <w:lang w:eastAsia="en-US"/>
        </w:rPr>
        <w:t>J.</w:t>
      </w:r>
    </w:p>
    <w:p w14:paraId="52861197" w14:textId="77777777" w:rsidR="002857A9" w:rsidRDefault="00443A97" w:rsidP="002857A9">
      <w:pPr>
        <w:spacing w:line="276" w:lineRule="auto"/>
        <w:jc w:val="both"/>
        <w:rPr>
          <w:rFonts w:eastAsia="Calibri"/>
          <w:b/>
          <w:szCs w:val="22"/>
          <w:lang w:eastAsia="en-US"/>
        </w:rPr>
      </w:pPr>
      <w:proofErr w:type="spellStart"/>
      <w:r>
        <w:rPr>
          <w:rFonts w:eastAsia="Calibri"/>
          <w:b/>
          <w:szCs w:val="22"/>
          <w:lang w:eastAsia="en-US"/>
        </w:rPr>
        <w:t>Binchy</w:t>
      </w:r>
      <w:proofErr w:type="spellEnd"/>
      <w:r>
        <w:rPr>
          <w:rFonts w:eastAsia="Calibri"/>
          <w:b/>
          <w:szCs w:val="22"/>
          <w:lang w:eastAsia="en-US"/>
        </w:rPr>
        <w:t xml:space="preserve"> </w:t>
      </w:r>
      <w:r w:rsidR="002857A9">
        <w:rPr>
          <w:rFonts w:eastAsia="Calibri"/>
          <w:b/>
          <w:szCs w:val="22"/>
          <w:lang w:eastAsia="en-US"/>
        </w:rPr>
        <w:t>J.</w:t>
      </w:r>
    </w:p>
    <w:p w14:paraId="7C5DA31F" w14:textId="77777777" w:rsidR="00443A97" w:rsidRPr="00DB4DD0" w:rsidRDefault="00443A97" w:rsidP="002857A9">
      <w:pPr>
        <w:spacing w:line="276" w:lineRule="auto"/>
        <w:jc w:val="both"/>
        <w:rPr>
          <w:rFonts w:eastAsia="Calibri"/>
          <w:b/>
          <w:szCs w:val="22"/>
          <w:lang w:eastAsia="en-US"/>
        </w:rPr>
      </w:pPr>
    </w:p>
    <w:p w14:paraId="2F47D13A" w14:textId="77777777" w:rsidR="00DB4DD0" w:rsidRPr="00DB4DD0" w:rsidRDefault="00DB4DD0" w:rsidP="002857A9">
      <w:pPr>
        <w:spacing w:line="360" w:lineRule="auto"/>
        <w:rPr>
          <w:rFonts w:eastAsia="Calibri"/>
          <w:b/>
          <w:szCs w:val="22"/>
          <w:lang w:eastAsia="en-US"/>
        </w:rPr>
      </w:pPr>
    </w:p>
    <w:p w14:paraId="71326660" w14:textId="77777777" w:rsidR="00DB4DD0" w:rsidRDefault="00443A97" w:rsidP="00443A97">
      <w:pPr>
        <w:spacing w:line="360" w:lineRule="auto"/>
        <w:jc w:val="center"/>
        <w:rPr>
          <w:rFonts w:eastAsia="Calibri"/>
          <w:b/>
          <w:szCs w:val="22"/>
          <w:lang w:eastAsia="en-US"/>
        </w:rPr>
      </w:pPr>
      <w:r>
        <w:rPr>
          <w:rFonts w:eastAsia="Calibri"/>
          <w:b/>
          <w:szCs w:val="22"/>
          <w:lang w:eastAsia="en-US"/>
        </w:rPr>
        <w:t>IN THE MATTER OF AN APPEAL UNDER SECTION 64(6) OF THE FINANCIAL SERVICES AND PENSIONS OMBUDSMAN ACT 2017</w:t>
      </w:r>
    </w:p>
    <w:p w14:paraId="358E5594" w14:textId="77777777" w:rsidR="00443A97" w:rsidRPr="00DB4DD0" w:rsidRDefault="00443A97" w:rsidP="00443A97">
      <w:pPr>
        <w:spacing w:line="360" w:lineRule="auto"/>
        <w:jc w:val="center"/>
        <w:rPr>
          <w:rFonts w:eastAsia="Calibri"/>
          <w:b/>
          <w:szCs w:val="22"/>
          <w:lang w:eastAsia="en-US"/>
        </w:rPr>
      </w:pPr>
    </w:p>
    <w:p w14:paraId="3075ED67" w14:textId="77777777" w:rsidR="00DB4DD0" w:rsidRPr="00DB4DD0" w:rsidRDefault="00DB4DD0" w:rsidP="00DB4DD0">
      <w:pPr>
        <w:spacing w:line="360" w:lineRule="auto"/>
        <w:rPr>
          <w:rFonts w:eastAsia="Calibri"/>
          <w:b/>
          <w:szCs w:val="22"/>
          <w:lang w:eastAsia="en-US"/>
        </w:rPr>
      </w:pPr>
      <w:r w:rsidRPr="00DB4DD0">
        <w:rPr>
          <w:rFonts w:eastAsia="Calibri"/>
          <w:b/>
          <w:szCs w:val="22"/>
          <w:lang w:eastAsia="en-US"/>
        </w:rPr>
        <w:t>BETWEEN/</w:t>
      </w:r>
    </w:p>
    <w:p w14:paraId="37214BB4" w14:textId="77777777" w:rsidR="00443A97" w:rsidRDefault="00443A97" w:rsidP="00DB4DD0">
      <w:pPr>
        <w:spacing w:line="360" w:lineRule="auto"/>
        <w:jc w:val="center"/>
        <w:rPr>
          <w:rFonts w:eastAsia="Calibri"/>
          <w:b/>
          <w:szCs w:val="22"/>
          <w:lang w:eastAsia="en-US"/>
        </w:rPr>
      </w:pPr>
    </w:p>
    <w:p w14:paraId="13621694" w14:textId="77777777" w:rsidR="00DB4DD0" w:rsidRPr="00DB4DD0" w:rsidRDefault="00443A97" w:rsidP="00DB4DD0">
      <w:pPr>
        <w:spacing w:line="360" w:lineRule="auto"/>
        <w:jc w:val="center"/>
        <w:rPr>
          <w:rFonts w:eastAsia="Calibri"/>
          <w:b/>
          <w:szCs w:val="22"/>
          <w:lang w:eastAsia="en-US"/>
        </w:rPr>
      </w:pPr>
      <w:r>
        <w:rPr>
          <w:rFonts w:eastAsia="Calibri"/>
          <w:b/>
          <w:szCs w:val="22"/>
          <w:lang w:eastAsia="en-US"/>
        </w:rPr>
        <w:t xml:space="preserve">UTMOST PANEUROPE DAC </w:t>
      </w:r>
    </w:p>
    <w:p w14:paraId="3508EB9B" w14:textId="77777777" w:rsidR="00DB4DD0" w:rsidRPr="00DB4DD0" w:rsidRDefault="009F08C4" w:rsidP="00DB4DD0">
      <w:pPr>
        <w:spacing w:line="360" w:lineRule="auto"/>
        <w:jc w:val="right"/>
        <w:rPr>
          <w:rFonts w:eastAsia="Calibri"/>
          <w:b/>
          <w:szCs w:val="22"/>
          <w:lang w:eastAsia="en-US"/>
        </w:rPr>
      </w:pPr>
      <w:r>
        <w:rPr>
          <w:rFonts w:eastAsia="Calibri"/>
          <w:b/>
          <w:szCs w:val="22"/>
          <w:lang w:eastAsia="en-US"/>
        </w:rPr>
        <w:t>APPELLANT/</w:t>
      </w:r>
      <w:r w:rsidR="00443A97">
        <w:rPr>
          <w:rFonts w:eastAsia="Calibri"/>
          <w:b/>
          <w:szCs w:val="22"/>
          <w:lang w:eastAsia="en-US"/>
        </w:rPr>
        <w:t>RESPONDENT</w:t>
      </w:r>
    </w:p>
    <w:p w14:paraId="324369DC" w14:textId="77777777" w:rsidR="00DB4DD0" w:rsidRPr="00DB4DD0" w:rsidRDefault="00DB4DD0" w:rsidP="00DB4DD0">
      <w:pPr>
        <w:spacing w:line="360" w:lineRule="auto"/>
        <w:jc w:val="center"/>
        <w:rPr>
          <w:rFonts w:eastAsia="Calibri"/>
          <w:b/>
          <w:szCs w:val="22"/>
          <w:lang w:eastAsia="en-US"/>
        </w:rPr>
      </w:pPr>
    </w:p>
    <w:p w14:paraId="5F40DA83" w14:textId="77777777" w:rsidR="00DB4DD0" w:rsidRPr="00DB4DD0" w:rsidRDefault="00DB4DD0" w:rsidP="00DB4DD0">
      <w:pPr>
        <w:spacing w:line="360" w:lineRule="auto"/>
        <w:jc w:val="center"/>
        <w:rPr>
          <w:rFonts w:eastAsia="Calibri"/>
          <w:b/>
          <w:szCs w:val="22"/>
          <w:lang w:eastAsia="en-US"/>
        </w:rPr>
      </w:pPr>
      <w:r w:rsidRPr="00DB4DD0">
        <w:rPr>
          <w:rFonts w:eastAsia="Calibri"/>
          <w:b/>
          <w:szCs w:val="22"/>
          <w:lang w:eastAsia="en-US"/>
        </w:rPr>
        <w:t>- AND -</w:t>
      </w:r>
    </w:p>
    <w:p w14:paraId="560BB944" w14:textId="77777777" w:rsidR="00DB4DD0" w:rsidRPr="00DB4DD0" w:rsidRDefault="00DB4DD0" w:rsidP="00A30584">
      <w:pPr>
        <w:tabs>
          <w:tab w:val="left" w:pos="1390"/>
        </w:tabs>
        <w:spacing w:line="360" w:lineRule="auto"/>
        <w:rPr>
          <w:rFonts w:eastAsia="Calibri"/>
          <w:b/>
          <w:szCs w:val="22"/>
          <w:lang w:eastAsia="en-US"/>
        </w:rPr>
      </w:pPr>
    </w:p>
    <w:p w14:paraId="1ACF5234" w14:textId="77777777" w:rsidR="00DB4DD0" w:rsidRPr="00DB4DD0" w:rsidRDefault="00443A97" w:rsidP="00DB4DD0">
      <w:pPr>
        <w:spacing w:line="360" w:lineRule="auto"/>
        <w:jc w:val="center"/>
        <w:rPr>
          <w:rFonts w:eastAsia="Calibri"/>
          <w:b/>
          <w:szCs w:val="22"/>
          <w:lang w:eastAsia="en-US"/>
        </w:rPr>
      </w:pPr>
      <w:r>
        <w:rPr>
          <w:rFonts w:eastAsia="Calibri"/>
          <w:b/>
          <w:szCs w:val="22"/>
          <w:lang w:eastAsia="en-US"/>
        </w:rPr>
        <w:t xml:space="preserve">FINANCIAL SERVICES AND PENSIONS OMBUDSMAN </w:t>
      </w:r>
    </w:p>
    <w:p w14:paraId="1E9148F8" w14:textId="77777777" w:rsidR="00DB4DD0" w:rsidRDefault="00B05269" w:rsidP="00DB4DD0">
      <w:pPr>
        <w:spacing w:line="360" w:lineRule="auto"/>
        <w:jc w:val="right"/>
        <w:rPr>
          <w:rFonts w:eastAsia="Calibri"/>
          <w:b/>
          <w:szCs w:val="22"/>
          <w:lang w:eastAsia="en-US"/>
        </w:rPr>
      </w:pPr>
      <w:r>
        <w:rPr>
          <w:rFonts w:eastAsia="Calibri"/>
          <w:b/>
          <w:szCs w:val="22"/>
          <w:lang w:eastAsia="en-US"/>
        </w:rPr>
        <w:t>RESPONDENT</w:t>
      </w:r>
      <w:r w:rsidR="00443A97">
        <w:rPr>
          <w:rFonts w:eastAsia="Calibri"/>
          <w:b/>
          <w:szCs w:val="22"/>
          <w:lang w:eastAsia="en-US"/>
        </w:rPr>
        <w:t>/APPELLANT</w:t>
      </w:r>
    </w:p>
    <w:p w14:paraId="46A90EC9" w14:textId="77777777" w:rsidR="00D35364" w:rsidRDefault="00D35364" w:rsidP="00DB4DD0">
      <w:pPr>
        <w:spacing w:line="360" w:lineRule="auto"/>
        <w:jc w:val="right"/>
        <w:rPr>
          <w:rFonts w:eastAsia="Calibri"/>
          <w:b/>
          <w:szCs w:val="22"/>
          <w:lang w:eastAsia="en-US"/>
        </w:rPr>
      </w:pPr>
    </w:p>
    <w:p w14:paraId="5EA913CD" w14:textId="77777777" w:rsidR="00443A97" w:rsidRDefault="00443A97" w:rsidP="00443A97">
      <w:pPr>
        <w:spacing w:line="360" w:lineRule="auto"/>
        <w:jc w:val="center"/>
        <w:rPr>
          <w:rFonts w:eastAsia="Calibri"/>
          <w:b/>
          <w:szCs w:val="22"/>
          <w:lang w:eastAsia="en-US"/>
        </w:rPr>
      </w:pPr>
      <w:r>
        <w:rPr>
          <w:rFonts w:eastAsia="Calibri"/>
          <w:b/>
          <w:szCs w:val="22"/>
          <w:lang w:eastAsia="en-US"/>
        </w:rPr>
        <w:t>-AND-</w:t>
      </w:r>
    </w:p>
    <w:p w14:paraId="17699710" w14:textId="77777777" w:rsidR="00443A97" w:rsidRDefault="00443A97" w:rsidP="00443A97">
      <w:pPr>
        <w:spacing w:line="360" w:lineRule="auto"/>
        <w:jc w:val="center"/>
        <w:rPr>
          <w:rFonts w:eastAsia="Calibri"/>
          <w:b/>
          <w:szCs w:val="22"/>
          <w:lang w:eastAsia="en-US"/>
        </w:rPr>
      </w:pPr>
    </w:p>
    <w:p w14:paraId="48D4F064" w14:textId="77777777" w:rsidR="00443A97" w:rsidRDefault="00443A97" w:rsidP="00443A97">
      <w:pPr>
        <w:spacing w:line="360" w:lineRule="auto"/>
        <w:jc w:val="center"/>
        <w:rPr>
          <w:rFonts w:eastAsia="Calibri"/>
          <w:b/>
          <w:szCs w:val="22"/>
          <w:lang w:eastAsia="en-US"/>
        </w:rPr>
      </w:pPr>
      <w:r>
        <w:rPr>
          <w:rFonts w:eastAsia="Calibri"/>
          <w:b/>
          <w:szCs w:val="22"/>
          <w:lang w:eastAsia="en-US"/>
        </w:rPr>
        <w:t>W</w:t>
      </w:r>
    </w:p>
    <w:p w14:paraId="2C171348" w14:textId="77777777" w:rsidR="00443A97" w:rsidRDefault="00443A97" w:rsidP="00443A97">
      <w:pPr>
        <w:spacing w:line="360" w:lineRule="auto"/>
        <w:jc w:val="right"/>
        <w:rPr>
          <w:rFonts w:eastAsia="Calibri"/>
          <w:b/>
          <w:szCs w:val="22"/>
          <w:lang w:eastAsia="en-US"/>
        </w:rPr>
      </w:pPr>
      <w:r>
        <w:rPr>
          <w:rFonts w:eastAsia="Calibri"/>
          <w:b/>
          <w:szCs w:val="22"/>
          <w:lang w:eastAsia="en-US"/>
        </w:rPr>
        <w:tab/>
      </w:r>
      <w:r>
        <w:rPr>
          <w:rFonts w:eastAsia="Calibri"/>
          <w:b/>
          <w:szCs w:val="22"/>
          <w:lang w:eastAsia="en-US"/>
        </w:rPr>
        <w:tab/>
        <w:t>NOTICE PARTY</w:t>
      </w:r>
    </w:p>
    <w:p w14:paraId="0C4B7AAA" w14:textId="77777777" w:rsidR="00B05269" w:rsidRDefault="00B05269" w:rsidP="00DB4DD0">
      <w:pPr>
        <w:spacing w:line="360" w:lineRule="auto"/>
        <w:jc w:val="right"/>
        <w:rPr>
          <w:rFonts w:eastAsia="Calibri"/>
          <w:b/>
          <w:szCs w:val="22"/>
          <w:lang w:eastAsia="en-US"/>
        </w:rPr>
      </w:pPr>
    </w:p>
    <w:p w14:paraId="46AD8680" w14:textId="77777777" w:rsidR="00DB4DD0" w:rsidRPr="00DB4DD0" w:rsidRDefault="00DB4DD0" w:rsidP="00DB4DD0">
      <w:pPr>
        <w:spacing w:line="360" w:lineRule="auto"/>
        <w:jc w:val="both"/>
        <w:rPr>
          <w:rFonts w:eastAsia="Calibri"/>
          <w:szCs w:val="22"/>
          <w:lang w:eastAsia="en-US"/>
        </w:rPr>
      </w:pPr>
    </w:p>
    <w:p w14:paraId="0A0DC5ED" w14:textId="58FB1BF2" w:rsidR="00081285" w:rsidRDefault="00D35364" w:rsidP="00DB4DD0">
      <w:pPr>
        <w:widowControl w:val="0"/>
        <w:rPr>
          <w:b/>
          <w:u w:val="single"/>
        </w:rPr>
      </w:pPr>
      <w:r>
        <w:rPr>
          <w:rFonts w:eastAsia="Calibri"/>
          <w:b/>
          <w:szCs w:val="22"/>
          <w:u w:val="single"/>
          <w:lang w:eastAsia="en-US"/>
        </w:rPr>
        <w:t>JUDGMENT</w:t>
      </w:r>
      <w:r w:rsidR="00166F9B">
        <w:rPr>
          <w:rFonts w:eastAsia="Calibri"/>
          <w:b/>
          <w:szCs w:val="22"/>
          <w:u w:val="single"/>
          <w:lang w:eastAsia="en-US"/>
        </w:rPr>
        <w:t xml:space="preserve"> of Mr. Justice </w:t>
      </w:r>
      <w:proofErr w:type="spellStart"/>
      <w:r w:rsidR="00166F9B">
        <w:rPr>
          <w:rFonts w:eastAsia="Calibri"/>
          <w:b/>
          <w:szCs w:val="22"/>
          <w:u w:val="single"/>
          <w:lang w:eastAsia="en-US"/>
        </w:rPr>
        <w:t>Binchy</w:t>
      </w:r>
      <w:proofErr w:type="spellEnd"/>
      <w:r w:rsidR="00DB4DD0" w:rsidRPr="00DB4DD0">
        <w:rPr>
          <w:rFonts w:eastAsia="Calibri"/>
          <w:b/>
          <w:szCs w:val="22"/>
          <w:u w:val="single"/>
          <w:lang w:eastAsia="en-US"/>
        </w:rPr>
        <w:t xml:space="preserve"> delivered on the</w:t>
      </w:r>
      <w:r w:rsidR="00A56201">
        <w:rPr>
          <w:rFonts w:eastAsia="Calibri"/>
          <w:b/>
          <w:szCs w:val="22"/>
          <w:u w:val="single"/>
          <w:lang w:eastAsia="en-US"/>
        </w:rPr>
        <w:t xml:space="preserve"> 30</w:t>
      </w:r>
      <w:r w:rsidR="00A56201" w:rsidRPr="00A56201">
        <w:rPr>
          <w:rFonts w:eastAsia="Calibri"/>
          <w:b/>
          <w:szCs w:val="22"/>
          <w:u w:val="single"/>
          <w:vertAlign w:val="superscript"/>
          <w:lang w:eastAsia="en-US"/>
        </w:rPr>
        <w:t>th</w:t>
      </w:r>
      <w:r w:rsidR="00DB4DD0" w:rsidRPr="00DB4DD0">
        <w:rPr>
          <w:rFonts w:eastAsia="Calibri"/>
          <w:b/>
          <w:szCs w:val="22"/>
          <w:u w:val="single"/>
          <w:lang w:eastAsia="en-US"/>
        </w:rPr>
        <w:t xml:space="preserve"> day of</w:t>
      </w:r>
      <w:r w:rsidR="00A56201">
        <w:rPr>
          <w:rFonts w:eastAsia="Calibri"/>
          <w:b/>
          <w:szCs w:val="22"/>
          <w:u w:val="single"/>
          <w:lang w:eastAsia="en-US"/>
        </w:rPr>
        <w:t xml:space="preserve"> March</w:t>
      </w:r>
      <w:r w:rsidR="00DB4DD0" w:rsidRPr="00DB4DD0">
        <w:rPr>
          <w:rFonts w:eastAsia="Calibri"/>
          <w:b/>
          <w:szCs w:val="22"/>
          <w:u w:val="single"/>
          <w:lang w:eastAsia="en-US"/>
        </w:rPr>
        <w:t xml:space="preserve"> 202</w:t>
      </w:r>
      <w:r w:rsidR="00A56201">
        <w:rPr>
          <w:rFonts w:eastAsia="Calibri"/>
          <w:b/>
          <w:szCs w:val="22"/>
          <w:u w:val="single"/>
          <w:lang w:eastAsia="en-US"/>
        </w:rPr>
        <w:t>2</w:t>
      </w:r>
      <w:r w:rsidR="00081285">
        <w:rPr>
          <w:b/>
          <w:u w:val="single"/>
        </w:rPr>
        <w:t xml:space="preserve">  </w:t>
      </w:r>
    </w:p>
    <w:p w14:paraId="4D6EDE61" w14:textId="77777777" w:rsidR="0091693D" w:rsidRDefault="0091693D" w:rsidP="00D35364">
      <w:pPr>
        <w:pStyle w:val="ListParagraph"/>
        <w:tabs>
          <w:tab w:val="left" w:pos="567"/>
        </w:tabs>
        <w:ind w:left="0"/>
        <w:jc w:val="left"/>
        <w:rPr>
          <w:rFonts w:ascii="Times New Roman" w:eastAsia="Times New Roman" w:hAnsi="Times New Roman" w:cs="Times New Roman"/>
          <w:b/>
          <w:sz w:val="24"/>
          <w:szCs w:val="24"/>
          <w:u w:val="single"/>
          <w:lang w:eastAsia="en-IE"/>
        </w:rPr>
      </w:pPr>
    </w:p>
    <w:p w14:paraId="3155FB71" w14:textId="77777777" w:rsidR="00443A97" w:rsidRPr="00443A97" w:rsidRDefault="00443A97" w:rsidP="00443A97">
      <w:pPr>
        <w:pStyle w:val="ListParagraph"/>
        <w:tabs>
          <w:tab w:val="left" w:pos="567"/>
        </w:tabs>
        <w:spacing w:line="480" w:lineRule="auto"/>
        <w:ind w:left="0"/>
        <w:jc w:val="left"/>
        <w:rPr>
          <w:rFonts w:ascii="Times New Roman" w:hAnsi="Times New Roman"/>
          <w:b/>
          <w:sz w:val="24"/>
          <w:u w:val="single"/>
        </w:rPr>
      </w:pPr>
      <w:r>
        <w:rPr>
          <w:rFonts w:ascii="Times New Roman" w:eastAsia="Times New Roman" w:hAnsi="Times New Roman" w:cs="Times New Roman"/>
          <w:b/>
          <w:sz w:val="24"/>
          <w:szCs w:val="24"/>
          <w:u w:val="single"/>
          <w:lang w:eastAsia="en-IE"/>
        </w:rPr>
        <w:t>Background</w:t>
      </w:r>
    </w:p>
    <w:p w14:paraId="21FBD4B5" w14:textId="77777777" w:rsidR="00A72515" w:rsidRPr="0025053C" w:rsidRDefault="00443A97" w:rsidP="00E20F5C">
      <w:pPr>
        <w:pStyle w:val="ListParagraph"/>
        <w:numPr>
          <w:ilvl w:val="0"/>
          <w:numId w:val="1"/>
        </w:numPr>
        <w:tabs>
          <w:tab w:val="left" w:pos="567"/>
        </w:tabs>
        <w:spacing w:line="480" w:lineRule="auto"/>
        <w:ind w:left="0" w:firstLine="0"/>
        <w:rPr>
          <w:rFonts w:ascii="Times New Roman" w:hAnsi="Times New Roman" w:cs="Times New Roman"/>
          <w:b/>
          <w:sz w:val="24"/>
          <w:szCs w:val="24"/>
          <w:u w:val="single"/>
        </w:rPr>
      </w:pPr>
      <w:r w:rsidRPr="0025053C">
        <w:rPr>
          <w:rFonts w:ascii="Times New Roman" w:hAnsi="Times New Roman" w:cs="Times New Roman"/>
          <w:sz w:val="24"/>
          <w:szCs w:val="24"/>
        </w:rPr>
        <w:t xml:space="preserve">The notice party is a civil servant who at all material times in the course of her employment was a member of a </w:t>
      </w:r>
      <w:r w:rsidR="000625D3" w:rsidRPr="0025053C">
        <w:rPr>
          <w:rFonts w:ascii="Times New Roman" w:hAnsi="Times New Roman" w:cs="Times New Roman"/>
          <w:sz w:val="24"/>
          <w:szCs w:val="24"/>
        </w:rPr>
        <w:t>g</w:t>
      </w:r>
      <w:r w:rsidRPr="0025053C">
        <w:rPr>
          <w:rFonts w:ascii="Times New Roman" w:hAnsi="Times New Roman" w:cs="Times New Roman"/>
          <w:sz w:val="24"/>
          <w:szCs w:val="24"/>
        </w:rPr>
        <w:t xml:space="preserve">roup </w:t>
      </w:r>
      <w:r w:rsidR="000625D3" w:rsidRPr="0025053C">
        <w:rPr>
          <w:rFonts w:ascii="Times New Roman" w:hAnsi="Times New Roman" w:cs="Times New Roman"/>
          <w:sz w:val="24"/>
          <w:szCs w:val="24"/>
        </w:rPr>
        <w:t>i</w:t>
      </w:r>
      <w:r w:rsidRPr="0025053C">
        <w:rPr>
          <w:rFonts w:ascii="Times New Roman" w:hAnsi="Times New Roman" w:cs="Times New Roman"/>
          <w:sz w:val="24"/>
          <w:szCs w:val="24"/>
        </w:rPr>
        <w:t xml:space="preserve">ncome </w:t>
      </w:r>
      <w:r w:rsidR="000625D3" w:rsidRPr="0025053C">
        <w:rPr>
          <w:rFonts w:ascii="Times New Roman" w:hAnsi="Times New Roman" w:cs="Times New Roman"/>
          <w:sz w:val="24"/>
          <w:szCs w:val="24"/>
        </w:rPr>
        <w:t>p</w:t>
      </w:r>
      <w:r w:rsidRPr="0025053C">
        <w:rPr>
          <w:rFonts w:ascii="Times New Roman" w:hAnsi="Times New Roman" w:cs="Times New Roman"/>
          <w:sz w:val="24"/>
          <w:szCs w:val="24"/>
        </w:rPr>
        <w:t xml:space="preserve">rotection </w:t>
      </w:r>
      <w:r w:rsidR="000625D3" w:rsidRPr="0025053C">
        <w:rPr>
          <w:rFonts w:ascii="Times New Roman" w:hAnsi="Times New Roman" w:cs="Times New Roman"/>
          <w:sz w:val="24"/>
          <w:szCs w:val="24"/>
        </w:rPr>
        <w:t>v</w:t>
      </w:r>
      <w:r w:rsidRPr="0025053C">
        <w:rPr>
          <w:rFonts w:ascii="Times New Roman" w:hAnsi="Times New Roman" w:cs="Times New Roman"/>
          <w:sz w:val="24"/>
          <w:szCs w:val="24"/>
        </w:rPr>
        <w:t xml:space="preserve">oluntary </w:t>
      </w:r>
      <w:r w:rsidR="000625D3" w:rsidRPr="0025053C">
        <w:rPr>
          <w:rFonts w:ascii="Times New Roman" w:hAnsi="Times New Roman" w:cs="Times New Roman"/>
          <w:sz w:val="24"/>
          <w:szCs w:val="24"/>
        </w:rPr>
        <w:t>s</w:t>
      </w:r>
      <w:r w:rsidRPr="0025053C">
        <w:rPr>
          <w:rFonts w:ascii="Times New Roman" w:hAnsi="Times New Roman" w:cs="Times New Roman"/>
          <w:sz w:val="24"/>
          <w:szCs w:val="24"/>
        </w:rPr>
        <w:t xml:space="preserve">cheme (the “Scheme”), </w:t>
      </w:r>
      <w:r w:rsidRPr="0025053C">
        <w:rPr>
          <w:rFonts w:ascii="Times New Roman" w:hAnsi="Times New Roman" w:cs="Times New Roman"/>
          <w:sz w:val="24"/>
          <w:szCs w:val="24"/>
        </w:rPr>
        <w:lastRenderedPageBreak/>
        <w:t>subject to specific exceptions as to eligibility</w:t>
      </w:r>
      <w:r w:rsidR="00624096" w:rsidRPr="0025053C">
        <w:rPr>
          <w:rFonts w:ascii="Times New Roman" w:hAnsi="Times New Roman" w:cs="Times New Roman"/>
          <w:sz w:val="24"/>
          <w:szCs w:val="24"/>
        </w:rPr>
        <w:t>,</w:t>
      </w:r>
      <w:r w:rsidRPr="0025053C">
        <w:rPr>
          <w:rFonts w:ascii="Times New Roman" w:hAnsi="Times New Roman" w:cs="Times New Roman"/>
          <w:sz w:val="24"/>
          <w:szCs w:val="24"/>
        </w:rPr>
        <w:t xml:space="preserve"> as regards the notice party</w:t>
      </w:r>
      <w:r w:rsidR="00624096" w:rsidRPr="0025053C">
        <w:rPr>
          <w:rFonts w:ascii="Times New Roman" w:hAnsi="Times New Roman" w:cs="Times New Roman"/>
          <w:sz w:val="24"/>
          <w:szCs w:val="24"/>
        </w:rPr>
        <w:t xml:space="preserve">, expressed in the following terms: </w:t>
      </w:r>
    </w:p>
    <w:p w14:paraId="43B4CD6B" w14:textId="601508B4" w:rsidR="00624096" w:rsidRPr="0025053C" w:rsidRDefault="00624096" w:rsidP="00E20F5C">
      <w:pPr>
        <w:pStyle w:val="ListParagraph"/>
        <w:tabs>
          <w:tab w:val="left" w:pos="567"/>
        </w:tabs>
        <w:spacing w:line="480" w:lineRule="auto"/>
        <w:ind w:left="567"/>
        <w:rPr>
          <w:rFonts w:ascii="Times New Roman" w:hAnsi="Times New Roman" w:cs="Times New Roman"/>
          <w:b/>
          <w:sz w:val="24"/>
          <w:szCs w:val="24"/>
          <w:u w:val="single"/>
        </w:rPr>
      </w:pPr>
      <w:r w:rsidRPr="0025053C">
        <w:rPr>
          <w:rFonts w:ascii="Times New Roman" w:hAnsi="Times New Roman" w:cs="Times New Roman"/>
          <w:sz w:val="24"/>
          <w:szCs w:val="24"/>
        </w:rPr>
        <w:t xml:space="preserve">“There shall be no entitlement to benefit if the circumstances giving rise to a claim are directly or indirectly attributable to any affection of the spine and </w:t>
      </w:r>
      <w:proofErr w:type="spellStart"/>
      <w:r w:rsidRPr="0025053C">
        <w:rPr>
          <w:rFonts w:ascii="Times New Roman" w:hAnsi="Times New Roman" w:cs="Times New Roman"/>
          <w:sz w:val="24"/>
          <w:szCs w:val="24"/>
        </w:rPr>
        <w:t>sacro</w:t>
      </w:r>
      <w:proofErr w:type="spellEnd"/>
      <w:r w:rsidRPr="0025053C">
        <w:rPr>
          <w:rFonts w:ascii="Times New Roman" w:hAnsi="Times New Roman" w:cs="Times New Roman"/>
          <w:sz w:val="24"/>
          <w:szCs w:val="24"/>
        </w:rPr>
        <w:t xml:space="preserve">-iliac joints or their related supporting muscular or ligamentous structures” </w:t>
      </w:r>
    </w:p>
    <w:p w14:paraId="0A394B4E" w14:textId="77777777" w:rsidR="00624096" w:rsidRPr="0025053C" w:rsidRDefault="00624096" w:rsidP="00E20F5C">
      <w:pPr>
        <w:tabs>
          <w:tab w:val="left" w:pos="567"/>
        </w:tabs>
        <w:spacing w:line="480" w:lineRule="auto"/>
        <w:jc w:val="both"/>
      </w:pPr>
      <w:r w:rsidRPr="0025053C">
        <w:t>and,</w:t>
      </w:r>
    </w:p>
    <w:p w14:paraId="530AA31C" w14:textId="57294AAC" w:rsidR="00624096" w:rsidRPr="0025053C" w:rsidRDefault="00624096" w:rsidP="00E20F5C">
      <w:pPr>
        <w:pStyle w:val="ListParagraph"/>
        <w:tabs>
          <w:tab w:val="left" w:pos="567"/>
        </w:tabs>
        <w:spacing w:line="480" w:lineRule="auto"/>
        <w:ind w:left="567"/>
        <w:rPr>
          <w:rFonts w:ascii="Times New Roman" w:hAnsi="Times New Roman" w:cs="Times New Roman"/>
          <w:sz w:val="24"/>
          <w:szCs w:val="24"/>
        </w:rPr>
      </w:pPr>
      <w:r w:rsidRPr="0025053C">
        <w:rPr>
          <w:rFonts w:ascii="Times New Roman" w:hAnsi="Times New Roman" w:cs="Times New Roman"/>
          <w:sz w:val="24"/>
          <w:szCs w:val="24"/>
        </w:rPr>
        <w:t xml:space="preserve">“No benefit shall be payable if the circumstances giving rise to a claim for benefit are directly or indirectly attributable to chronic fatigue and/or any mental or functional nervous disorder”. </w:t>
      </w:r>
    </w:p>
    <w:p w14:paraId="4A9BED79" w14:textId="52031AB9" w:rsidR="0091693D" w:rsidRPr="00157854" w:rsidRDefault="00443A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Although not specifically referred to</w:t>
      </w:r>
      <w:r w:rsidR="00624096">
        <w:rPr>
          <w:rFonts w:ascii="Times New Roman" w:hAnsi="Times New Roman"/>
          <w:sz w:val="24"/>
        </w:rPr>
        <w:t>,</w:t>
      </w:r>
      <w:r>
        <w:rPr>
          <w:rFonts w:ascii="Times New Roman" w:hAnsi="Times New Roman"/>
          <w:sz w:val="24"/>
        </w:rPr>
        <w:t xml:space="preserve"> it is common case that </w:t>
      </w:r>
      <w:r w:rsidR="00624096">
        <w:rPr>
          <w:rFonts w:ascii="Times New Roman" w:hAnsi="Times New Roman"/>
          <w:sz w:val="24"/>
        </w:rPr>
        <w:t xml:space="preserve">these exceptions have the effect of excluding </w:t>
      </w:r>
      <w:r>
        <w:rPr>
          <w:rFonts w:ascii="Times New Roman" w:hAnsi="Times New Roman"/>
          <w:sz w:val="24"/>
        </w:rPr>
        <w:t xml:space="preserve">the condition </w:t>
      </w:r>
      <w:r w:rsidR="00624096">
        <w:rPr>
          <w:rFonts w:ascii="Times New Roman" w:hAnsi="Times New Roman"/>
          <w:sz w:val="24"/>
        </w:rPr>
        <w:t>known as</w:t>
      </w:r>
      <w:r>
        <w:rPr>
          <w:rFonts w:ascii="Times New Roman" w:hAnsi="Times New Roman"/>
          <w:sz w:val="24"/>
        </w:rPr>
        <w:t xml:space="preserve"> fibromyalgia</w:t>
      </w:r>
      <w:r w:rsidR="00624096">
        <w:rPr>
          <w:rFonts w:ascii="Times New Roman" w:hAnsi="Times New Roman"/>
          <w:sz w:val="24"/>
        </w:rPr>
        <w:t>.</w:t>
      </w:r>
      <w:r>
        <w:rPr>
          <w:rFonts w:ascii="Times New Roman" w:hAnsi="Times New Roman"/>
          <w:sz w:val="24"/>
        </w:rPr>
        <w:t xml:space="preserve">  The Scheme was originally underwritten by Friends First, but </w:t>
      </w:r>
      <w:r w:rsidR="00157854">
        <w:rPr>
          <w:rFonts w:ascii="Times New Roman" w:hAnsi="Times New Roman"/>
          <w:sz w:val="24"/>
        </w:rPr>
        <w:t xml:space="preserve">was later taken over by the appellant/respondent </w:t>
      </w:r>
      <w:r w:rsidR="00A72515">
        <w:rPr>
          <w:rFonts w:ascii="Times New Roman" w:hAnsi="Times New Roman"/>
          <w:sz w:val="24"/>
        </w:rPr>
        <w:t>(</w:t>
      </w:r>
      <w:r w:rsidR="000625D3">
        <w:rPr>
          <w:rFonts w:ascii="Times New Roman" w:hAnsi="Times New Roman"/>
          <w:sz w:val="24"/>
        </w:rPr>
        <w:t xml:space="preserve">hereafter referred to as </w:t>
      </w:r>
      <w:r w:rsidR="00157854">
        <w:rPr>
          <w:rFonts w:ascii="Times New Roman" w:hAnsi="Times New Roman"/>
          <w:sz w:val="24"/>
        </w:rPr>
        <w:t>“Utmost”</w:t>
      </w:r>
      <w:r w:rsidR="000625D3">
        <w:rPr>
          <w:rFonts w:ascii="Times New Roman" w:hAnsi="Times New Roman"/>
          <w:sz w:val="24"/>
        </w:rPr>
        <w:t xml:space="preserve">, formerly known as Generali </w:t>
      </w:r>
      <w:proofErr w:type="spellStart"/>
      <w:r w:rsidR="000625D3">
        <w:rPr>
          <w:rFonts w:ascii="Times New Roman" w:hAnsi="Times New Roman"/>
          <w:sz w:val="24"/>
        </w:rPr>
        <w:t>PanEurope</w:t>
      </w:r>
      <w:proofErr w:type="spellEnd"/>
      <w:r w:rsidR="000625D3">
        <w:rPr>
          <w:rFonts w:ascii="Times New Roman" w:hAnsi="Times New Roman"/>
          <w:sz w:val="24"/>
        </w:rPr>
        <w:t xml:space="preserve"> DAC</w:t>
      </w:r>
      <w:r w:rsidR="00157854">
        <w:rPr>
          <w:rFonts w:ascii="Times New Roman" w:hAnsi="Times New Roman"/>
          <w:sz w:val="24"/>
        </w:rPr>
        <w:t>).</w:t>
      </w:r>
    </w:p>
    <w:p w14:paraId="5AF2297A" w14:textId="1A81F107" w:rsidR="00157854" w:rsidRPr="00157854" w:rsidRDefault="00157854"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On 8</w:t>
      </w:r>
      <w:r w:rsidRPr="00157854">
        <w:rPr>
          <w:rFonts w:ascii="Times New Roman" w:hAnsi="Times New Roman"/>
          <w:sz w:val="24"/>
          <w:vertAlign w:val="superscript"/>
        </w:rPr>
        <w:t>th</w:t>
      </w:r>
      <w:r>
        <w:rPr>
          <w:rFonts w:ascii="Times New Roman" w:hAnsi="Times New Roman"/>
          <w:sz w:val="24"/>
        </w:rPr>
        <w:t xml:space="preserve"> June 2016, the notice party submitted a claim</w:t>
      </w:r>
      <w:r w:rsidR="00B42CF3">
        <w:rPr>
          <w:rFonts w:ascii="Times New Roman" w:hAnsi="Times New Roman"/>
          <w:sz w:val="24"/>
        </w:rPr>
        <w:t xml:space="preserve"> (the “Claim”)</w:t>
      </w:r>
      <w:r>
        <w:rPr>
          <w:rFonts w:ascii="Times New Roman" w:hAnsi="Times New Roman"/>
          <w:sz w:val="24"/>
        </w:rPr>
        <w:t xml:space="preserve"> for payment of benefit under the Scheme.  In the section of the claim form dealing with the medical condition of the notice party, she states that she suffers from </w:t>
      </w:r>
      <w:r w:rsidR="008C6BB8">
        <w:rPr>
          <w:rFonts w:ascii="Times New Roman" w:hAnsi="Times New Roman"/>
          <w:sz w:val="24"/>
        </w:rPr>
        <w:t>“</w:t>
      </w:r>
      <w:r w:rsidR="00C77EC9">
        <w:rPr>
          <w:rFonts w:ascii="Times New Roman" w:hAnsi="Times New Roman"/>
          <w:sz w:val="24"/>
        </w:rPr>
        <w:t>I</w:t>
      </w:r>
      <w:r>
        <w:rPr>
          <w:rFonts w:ascii="Times New Roman" w:hAnsi="Times New Roman"/>
          <w:sz w:val="24"/>
        </w:rPr>
        <w:t xml:space="preserve">nflammatory arthritis – still under investigation for full diagnosis and </w:t>
      </w:r>
      <w:r w:rsidR="00C77EC9">
        <w:rPr>
          <w:rFonts w:ascii="Times New Roman" w:hAnsi="Times New Roman"/>
          <w:sz w:val="24"/>
        </w:rPr>
        <w:t>F</w:t>
      </w:r>
      <w:r>
        <w:rPr>
          <w:rFonts w:ascii="Times New Roman" w:hAnsi="Times New Roman"/>
          <w:sz w:val="24"/>
        </w:rPr>
        <w:t>ibromyalgia</w:t>
      </w:r>
      <w:r w:rsidR="008C6BB8">
        <w:rPr>
          <w:rFonts w:ascii="Times New Roman" w:hAnsi="Times New Roman"/>
          <w:sz w:val="24"/>
        </w:rPr>
        <w:t>”</w:t>
      </w:r>
      <w:r>
        <w:rPr>
          <w:rFonts w:ascii="Times New Roman" w:hAnsi="Times New Roman"/>
          <w:sz w:val="24"/>
        </w:rPr>
        <w:t xml:space="preserve">.  </w:t>
      </w:r>
      <w:r w:rsidR="000625D3">
        <w:rPr>
          <w:rFonts w:ascii="Times New Roman" w:hAnsi="Times New Roman"/>
          <w:sz w:val="24"/>
        </w:rPr>
        <w:t>In support of the Claim, the notice party</w:t>
      </w:r>
      <w:r w:rsidR="00423D5E">
        <w:rPr>
          <w:rFonts w:ascii="Times New Roman" w:hAnsi="Times New Roman"/>
          <w:sz w:val="24"/>
        </w:rPr>
        <w:t xml:space="preserve"> submitted</w:t>
      </w:r>
      <w:r w:rsidR="000625D3">
        <w:rPr>
          <w:rFonts w:ascii="Times New Roman" w:hAnsi="Times New Roman"/>
          <w:sz w:val="24"/>
        </w:rPr>
        <w:t xml:space="preserve"> three</w:t>
      </w:r>
      <w:r>
        <w:rPr>
          <w:rFonts w:ascii="Times New Roman" w:hAnsi="Times New Roman"/>
          <w:sz w:val="24"/>
        </w:rPr>
        <w:t xml:space="preserve"> medical reports</w:t>
      </w:r>
      <w:r w:rsidR="000625D3">
        <w:rPr>
          <w:rFonts w:ascii="Times New Roman" w:hAnsi="Times New Roman"/>
          <w:sz w:val="24"/>
        </w:rPr>
        <w:t xml:space="preserve"> to Utmost</w:t>
      </w:r>
      <w:r w:rsidR="00423D5E">
        <w:rPr>
          <w:rFonts w:ascii="Times New Roman" w:hAnsi="Times New Roman"/>
          <w:sz w:val="24"/>
        </w:rPr>
        <w:t>,</w:t>
      </w:r>
      <w:r>
        <w:rPr>
          <w:rFonts w:ascii="Times New Roman" w:hAnsi="Times New Roman"/>
          <w:sz w:val="24"/>
        </w:rPr>
        <w:t xml:space="preserve"> </w:t>
      </w:r>
      <w:r w:rsidR="000625D3">
        <w:rPr>
          <w:rFonts w:ascii="Times New Roman" w:hAnsi="Times New Roman"/>
          <w:sz w:val="24"/>
        </w:rPr>
        <w:t xml:space="preserve">one from her general practitioner, a </w:t>
      </w:r>
      <w:proofErr w:type="spellStart"/>
      <w:r w:rsidR="000625D3">
        <w:rPr>
          <w:rFonts w:ascii="Times New Roman" w:hAnsi="Times New Roman"/>
          <w:sz w:val="24"/>
        </w:rPr>
        <w:t>Dr.</w:t>
      </w:r>
      <w:proofErr w:type="spellEnd"/>
      <w:r w:rsidR="007E07B2">
        <w:rPr>
          <w:rFonts w:ascii="Times New Roman" w:hAnsi="Times New Roman"/>
          <w:sz w:val="24"/>
        </w:rPr>
        <w:t xml:space="preserve"> </w:t>
      </w:r>
      <w:r w:rsidR="000625D3">
        <w:rPr>
          <w:rFonts w:ascii="Times New Roman" w:hAnsi="Times New Roman"/>
          <w:sz w:val="24"/>
        </w:rPr>
        <w:t xml:space="preserve">Rawat, </w:t>
      </w:r>
      <w:r w:rsidR="00423D5E">
        <w:rPr>
          <w:rFonts w:ascii="Times New Roman" w:hAnsi="Times New Roman"/>
          <w:sz w:val="24"/>
        </w:rPr>
        <w:t xml:space="preserve">one from a cardiologist, a </w:t>
      </w:r>
      <w:proofErr w:type="spellStart"/>
      <w:r w:rsidR="00423D5E">
        <w:rPr>
          <w:rFonts w:ascii="Times New Roman" w:hAnsi="Times New Roman"/>
          <w:sz w:val="24"/>
        </w:rPr>
        <w:t>Dr.</w:t>
      </w:r>
      <w:proofErr w:type="spellEnd"/>
      <w:r w:rsidR="007E07B2">
        <w:rPr>
          <w:rFonts w:ascii="Times New Roman" w:hAnsi="Times New Roman"/>
          <w:sz w:val="24"/>
        </w:rPr>
        <w:t xml:space="preserve"> </w:t>
      </w:r>
      <w:proofErr w:type="spellStart"/>
      <w:r w:rsidR="00423D5E">
        <w:rPr>
          <w:rFonts w:ascii="Times New Roman" w:hAnsi="Times New Roman"/>
          <w:sz w:val="24"/>
        </w:rPr>
        <w:t>Gumbrielle</w:t>
      </w:r>
      <w:proofErr w:type="spellEnd"/>
      <w:r w:rsidR="00423D5E">
        <w:rPr>
          <w:rFonts w:ascii="Times New Roman" w:hAnsi="Times New Roman"/>
          <w:sz w:val="24"/>
        </w:rPr>
        <w:t xml:space="preserve">, and one from a consultant rheumatologist, a </w:t>
      </w:r>
      <w:proofErr w:type="spellStart"/>
      <w:r w:rsidR="00423D5E">
        <w:rPr>
          <w:rFonts w:ascii="Times New Roman" w:hAnsi="Times New Roman"/>
          <w:sz w:val="24"/>
        </w:rPr>
        <w:t>Dr.</w:t>
      </w:r>
      <w:proofErr w:type="spellEnd"/>
      <w:r w:rsidR="007E07B2">
        <w:rPr>
          <w:rFonts w:ascii="Times New Roman" w:hAnsi="Times New Roman"/>
          <w:sz w:val="24"/>
        </w:rPr>
        <w:t xml:space="preserve"> </w:t>
      </w:r>
      <w:r w:rsidR="00423D5E">
        <w:rPr>
          <w:rFonts w:ascii="Times New Roman" w:hAnsi="Times New Roman"/>
          <w:sz w:val="24"/>
        </w:rPr>
        <w:t>Lee.</w:t>
      </w:r>
      <w:r>
        <w:rPr>
          <w:rFonts w:ascii="Times New Roman" w:hAnsi="Times New Roman"/>
          <w:sz w:val="24"/>
        </w:rPr>
        <w:t xml:space="preserve"> </w:t>
      </w:r>
    </w:p>
    <w:p w14:paraId="172E0417" w14:textId="12937A83" w:rsidR="00157854" w:rsidRPr="00157854" w:rsidRDefault="00157854"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On 29</w:t>
      </w:r>
      <w:r w:rsidRPr="00157854">
        <w:rPr>
          <w:rFonts w:ascii="Times New Roman" w:hAnsi="Times New Roman"/>
          <w:sz w:val="24"/>
          <w:vertAlign w:val="superscript"/>
        </w:rPr>
        <w:t>th</w:t>
      </w:r>
      <w:r>
        <w:rPr>
          <w:rFonts w:ascii="Times New Roman" w:hAnsi="Times New Roman"/>
          <w:sz w:val="24"/>
        </w:rPr>
        <w:t xml:space="preserve"> July 2016, Utmost declined payment of benefit under the Scheme, citing the specific terms of the </w:t>
      </w:r>
      <w:r w:rsidR="008C6BB8">
        <w:rPr>
          <w:rFonts w:ascii="Times New Roman" w:hAnsi="Times New Roman"/>
          <w:sz w:val="24"/>
        </w:rPr>
        <w:t>e</w:t>
      </w:r>
      <w:r>
        <w:rPr>
          <w:rFonts w:ascii="Times New Roman" w:hAnsi="Times New Roman"/>
          <w:sz w:val="24"/>
        </w:rPr>
        <w:t>xclusion</w:t>
      </w:r>
      <w:r w:rsidR="008C6BB8">
        <w:rPr>
          <w:rFonts w:ascii="Times New Roman" w:hAnsi="Times New Roman"/>
          <w:sz w:val="24"/>
        </w:rPr>
        <w:t xml:space="preserve"> relating to </w:t>
      </w:r>
      <w:r w:rsidR="00423D5E">
        <w:rPr>
          <w:rFonts w:ascii="Times New Roman" w:hAnsi="Times New Roman"/>
          <w:sz w:val="24"/>
        </w:rPr>
        <w:t>f</w:t>
      </w:r>
      <w:r w:rsidR="00C77EC9">
        <w:rPr>
          <w:rFonts w:ascii="Times New Roman" w:hAnsi="Times New Roman"/>
          <w:sz w:val="24"/>
        </w:rPr>
        <w:t>ibromyalgia</w:t>
      </w:r>
      <w:r>
        <w:rPr>
          <w:rFonts w:ascii="Times New Roman" w:hAnsi="Times New Roman"/>
          <w:sz w:val="24"/>
        </w:rPr>
        <w:t>.  The notice party exercised her entitlement</w:t>
      </w:r>
      <w:r w:rsidR="00C77EC9">
        <w:rPr>
          <w:rFonts w:ascii="Times New Roman" w:hAnsi="Times New Roman"/>
          <w:sz w:val="24"/>
        </w:rPr>
        <w:t xml:space="preserve"> (as provided for in the Scheme)</w:t>
      </w:r>
      <w:r>
        <w:rPr>
          <w:rFonts w:ascii="Times New Roman" w:hAnsi="Times New Roman"/>
          <w:sz w:val="24"/>
        </w:rPr>
        <w:t xml:space="preserve"> to appeal that decision.  Utmost requested the notice party to attend for a</w:t>
      </w:r>
      <w:r w:rsidR="009A0A29">
        <w:rPr>
          <w:rFonts w:ascii="Times New Roman" w:hAnsi="Times New Roman"/>
          <w:sz w:val="24"/>
        </w:rPr>
        <w:t>n</w:t>
      </w:r>
      <w:r>
        <w:rPr>
          <w:rFonts w:ascii="Times New Roman" w:hAnsi="Times New Roman"/>
          <w:sz w:val="24"/>
        </w:rPr>
        <w:t xml:space="preserve"> independent medical examination by </w:t>
      </w:r>
      <w:r w:rsidR="00423D5E">
        <w:rPr>
          <w:rFonts w:ascii="Times New Roman" w:hAnsi="Times New Roman"/>
          <w:sz w:val="24"/>
        </w:rPr>
        <w:t xml:space="preserve">a </w:t>
      </w:r>
      <w:proofErr w:type="spellStart"/>
      <w:r>
        <w:rPr>
          <w:rFonts w:ascii="Times New Roman" w:hAnsi="Times New Roman"/>
          <w:sz w:val="24"/>
        </w:rPr>
        <w:t>Dr.</w:t>
      </w:r>
      <w:proofErr w:type="spellEnd"/>
      <w:r>
        <w:rPr>
          <w:rFonts w:ascii="Times New Roman" w:hAnsi="Times New Roman"/>
          <w:sz w:val="24"/>
        </w:rPr>
        <w:t xml:space="preserve"> </w:t>
      </w:r>
      <w:proofErr w:type="spellStart"/>
      <w:r>
        <w:rPr>
          <w:rFonts w:ascii="Times New Roman" w:hAnsi="Times New Roman"/>
          <w:sz w:val="24"/>
        </w:rPr>
        <w:t>Donough</w:t>
      </w:r>
      <w:proofErr w:type="spellEnd"/>
      <w:r>
        <w:rPr>
          <w:rFonts w:ascii="Times New Roman" w:hAnsi="Times New Roman"/>
          <w:sz w:val="24"/>
        </w:rPr>
        <w:t xml:space="preserve"> Howard, </w:t>
      </w:r>
      <w:r w:rsidR="00604252">
        <w:rPr>
          <w:rFonts w:ascii="Times New Roman" w:hAnsi="Times New Roman"/>
          <w:sz w:val="24"/>
        </w:rPr>
        <w:t>c</w:t>
      </w:r>
      <w:r>
        <w:rPr>
          <w:rFonts w:ascii="Times New Roman" w:hAnsi="Times New Roman"/>
          <w:sz w:val="24"/>
        </w:rPr>
        <w:t xml:space="preserve">onsultant </w:t>
      </w:r>
      <w:r w:rsidR="00604252">
        <w:rPr>
          <w:rFonts w:ascii="Times New Roman" w:hAnsi="Times New Roman"/>
          <w:sz w:val="24"/>
        </w:rPr>
        <w:t>r</w:t>
      </w:r>
      <w:r>
        <w:rPr>
          <w:rFonts w:ascii="Times New Roman" w:hAnsi="Times New Roman"/>
          <w:sz w:val="24"/>
        </w:rPr>
        <w:t xml:space="preserve">heumatologist.  Having received a report from </w:t>
      </w:r>
      <w:proofErr w:type="spellStart"/>
      <w:r>
        <w:rPr>
          <w:rFonts w:ascii="Times New Roman" w:hAnsi="Times New Roman"/>
          <w:sz w:val="24"/>
        </w:rPr>
        <w:t>Dr.</w:t>
      </w:r>
      <w:proofErr w:type="spellEnd"/>
      <w:r>
        <w:rPr>
          <w:rFonts w:ascii="Times New Roman" w:hAnsi="Times New Roman"/>
          <w:sz w:val="24"/>
        </w:rPr>
        <w:t xml:space="preserve"> Howard and, importantly for </w:t>
      </w:r>
      <w:r>
        <w:rPr>
          <w:rFonts w:ascii="Times New Roman" w:hAnsi="Times New Roman"/>
          <w:sz w:val="24"/>
        </w:rPr>
        <w:lastRenderedPageBreak/>
        <w:t xml:space="preserve">the purposes of the proceedings, a subsequent clarification from </w:t>
      </w:r>
      <w:proofErr w:type="spellStart"/>
      <w:r>
        <w:rPr>
          <w:rFonts w:ascii="Times New Roman" w:hAnsi="Times New Roman"/>
          <w:sz w:val="24"/>
        </w:rPr>
        <w:t>Dr.</w:t>
      </w:r>
      <w:proofErr w:type="spellEnd"/>
      <w:r>
        <w:rPr>
          <w:rFonts w:ascii="Times New Roman" w:hAnsi="Times New Roman"/>
          <w:sz w:val="24"/>
        </w:rPr>
        <w:t xml:space="preserve"> Howard, Utmost informed the notice party on 17</w:t>
      </w:r>
      <w:r w:rsidRPr="00C77EC9">
        <w:rPr>
          <w:rFonts w:ascii="Times New Roman" w:hAnsi="Times New Roman"/>
          <w:sz w:val="24"/>
          <w:vertAlign w:val="superscript"/>
        </w:rPr>
        <w:t>th</w:t>
      </w:r>
      <w:r>
        <w:rPr>
          <w:rFonts w:ascii="Times New Roman" w:hAnsi="Times New Roman"/>
          <w:sz w:val="24"/>
        </w:rPr>
        <w:t xml:space="preserve"> February 2017 that her appeal had been unsuccessful.  </w:t>
      </w:r>
    </w:p>
    <w:p w14:paraId="6432D90D" w14:textId="0534E408" w:rsidR="00B33906" w:rsidRPr="00B33906" w:rsidRDefault="00157854" w:rsidP="00E45371">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notice party then lodged a complaint </w:t>
      </w:r>
      <w:r w:rsidR="00981DB6">
        <w:rPr>
          <w:rFonts w:ascii="Times New Roman" w:hAnsi="Times New Roman"/>
          <w:sz w:val="24"/>
        </w:rPr>
        <w:t>with</w:t>
      </w:r>
      <w:r w:rsidR="002A1D08">
        <w:rPr>
          <w:rFonts w:ascii="Times New Roman" w:hAnsi="Times New Roman"/>
          <w:sz w:val="24"/>
        </w:rPr>
        <w:t xml:space="preserve"> the respondent/appellant (the “FSPO”) in or about April 2017</w:t>
      </w:r>
      <w:r w:rsidR="00423D5E">
        <w:rPr>
          <w:rFonts w:ascii="Times New Roman" w:hAnsi="Times New Roman"/>
          <w:sz w:val="24"/>
        </w:rPr>
        <w:t xml:space="preserve"> (the “Complaint”)</w:t>
      </w:r>
      <w:r w:rsidR="002A1D08">
        <w:rPr>
          <w:rFonts w:ascii="Times New Roman" w:hAnsi="Times New Roman"/>
          <w:sz w:val="24"/>
        </w:rPr>
        <w:t xml:space="preserve">. </w:t>
      </w:r>
      <w:r w:rsidR="00423D5E">
        <w:rPr>
          <w:rFonts w:ascii="Times New Roman" w:hAnsi="Times New Roman"/>
          <w:sz w:val="24"/>
        </w:rPr>
        <w:t xml:space="preserve">The </w:t>
      </w:r>
      <w:r w:rsidR="00113702">
        <w:rPr>
          <w:rFonts w:ascii="Times New Roman" w:hAnsi="Times New Roman"/>
          <w:sz w:val="24"/>
        </w:rPr>
        <w:t>Complaint is described as follows</w:t>
      </w:r>
      <w:r w:rsidR="002E3249">
        <w:rPr>
          <w:rFonts w:ascii="Times New Roman" w:hAnsi="Times New Roman"/>
          <w:sz w:val="24"/>
        </w:rPr>
        <w:t xml:space="preserve"> by the FSPO</w:t>
      </w:r>
      <w:r w:rsidR="00113702">
        <w:rPr>
          <w:rFonts w:ascii="Times New Roman" w:hAnsi="Times New Roman"/>
          <w:sz w:val="24"/>
        </w:rPr>
        <w:t xml:space="preserve"> </w:t>
      </w:r>
      <w:r w:rsidR="002E3249">
        <w:rPr>
          <w:rFonts w:ascii="Times New Roman" w:hAnsi="Times New Roman"/>
          <w:sz w:val="24"/>
        </w:rPr>
        <w:t>on p</w:t>
      </w:r>
      <w:r w:rsidR="00D733A3">
        <w:rPr>
          <w:rFonts w:ascii="Times New Roman" w:hAnsi="Times New Roman"/>
          <w:sz w:val="24"/>
        </w:rPr>
        <w:t>.</w:t>
      </w:r>
      <w:r w:rsidR="002E3249">
        <w:rPr>
          <w:rFonts w:ascii="Times New Roman" w:hAnsi="Times New Roman"/>
          <w:sz w:val="24"/>
        </w:rPr>
        <w:t xml:space="preserve"> 4 of his decision handed down on 15</w:t>
      </w:r>
      <w:r w:rsidR="002E3249" w:rsidRPr="002E3249">
        <w:rPr>
          <w:rFonts w:ascii="Times New Roman" w:hAnsi="Times New Roman"/>
          <w:sz w:val="24"/>
          <w:vertAlign w:val="superscript"/>
        </w:rPr>
        <w:t>th</w:t>
      </w:r>
      <w:r w:rsidR="002E3249">
        <w:rPr>
          <w:rFonts w:ascii="Times New Roman" w:hAnsi="Times New Roman"/>
          <w:sz w:val="24"/>
        </w:rPr>
        <w:t xml:space="preserve"> July 2019 (the “Decision”):</w:t>
      </w:r>
    </w:p>
    <w:p w14:paraId="398B198A" w14:textId="77777777" w:rsidR="00B33906" w:rsidRDefault="002E3249" w:rsidP="00B33906">
      <w:pPr>
        <w:pStyle w:val="ListParagraph"/>
        <w:tabs>
          <w:tab w:val="left" w:pos="567"/>
        </w:tabs>
        <w:spacing w:line="480" w:lineRule="auto"/>
        <w:ind w:left="567"/>
        <w:rPr>
          <w:rFonts w:ascii="Times New Roman" w:hAnsi="Times New Roman"/>
          <w:sz w:val="24"/>
        </w:rPr>
      </w:pPr>
      <w:r>
        <w:rPr>
          <w:rFonts w:ascii="Times New Roman" w:hAnsi="Times New Roman"/>
          <w:sz w:val="24"/>
        </w:rPr>
        <w:t>“The complaint for adjudication is that the Provider wrongly declined the Compl</w:t>
      </w:r>
      <w:r w:rsidR="00A35AFA">
        <w:rPr>
          <w:rFonts w:ascii="Times New Roman" w:hAnsi="Times New Roman"/>
          <w:sz w:val="24"/>
        </w:rPr>
        <w:t>ai</w:t>
      </w:r>
      <w:r>
        <w:rPr>
          <w:rFonts w:ascii="Times New Roman" w:hAnsi="Times New Roman"/>
          <w:sz w:val="24"/>
        </w:rPr>
        <w:t>nant’s</w:t>
      </w:r>
      <w:r w:rsidR="00A35AFA">
        <w:rPr>
          <w:rFonts w:ascii="Times New Roman" w:hAnsi="Times New Roman"/>
          <w:sz w:val="24"/>
        </w:rPr>
        <w:t xml:space="preserve"> initial claim; wrongfully declined the Complainant’s claim on appeal; did not deal with the complainant’s appeal correctly; and that the policy which the provider provided to the Complainant was not suitable for the Complainant”</w:t>
      </w:r>
      <w:r w:rsidR="00B33906">
        <w:rPr>
          <w:rFonts w:ascii="Times New Roman" w:hAnsi="Times New Roman"/>
          <w:sz w:val="24"/>
        </w:rPr>
        <w:t>.</w:t>
      </w:r>
    </w:p>
    <w:p w14:paraId="50252CD4" w14:textId="76ABE867" w:rsidR="00E45371" w:rsidRPr="00E45371" w:rsidRDefault="00A35AFA" w:rsidP="00B33906">
      <w:pPr>
        <w:pStyle w:val="ListParagraph"/>
        <w:tabs>
          <w:tab w:val="left" w:pos="567"/>
        </w:tabs>
        <w:spacing w:line="480" w:lineRule="auto"/>
        <w:ind w:left="0"/>
        <w:rPr>
          <w:rFonts w:ascii="Times New Roman" w:hAnsi="Times New Roman"/>
          <w:b/>
          <w:sz w:val="24"/>
          <w:u w:val="single"/>
        </w:rPr>
      </w:pPr>
      <w:r>
        <w:rPr>
          <w:rFonts w:ascii="Times New Roman" w:hAnsi="Times New Roman"/>
          <w:sz w:val="24"/>
        </w:rPr>
        <w:t xml:space="preserve">It is apparent therefore that there are four elements to the Complaint, which gave rise to a specific submission on </w:t>
      </w:r>
      <w:r w:rsidR="00F2749C">
        <w:rPr>
          <w:rFonts w:ascii="Times New Roman" w:hAnsi="Times New Roman"/>
          <w:sz w:val="24"/>
        </w:rPr>
        <w:t xml:space="preserve">behalf </w:t>
      </w:r>
      <w:r>
        <w:rPr>
          <w:rFonts w:ascii="Times New Roman" w:hAnsi="Times New Roman"/>
          <w:sz w:val="24"/>
        </w:rPr>
        <w:t>of Utmos</w:t>
      </w:r>
      <w:r w:rsidR="00F2749C">
        <w:rPr>
          <w:rFonts w:ascii="Times New Roman" w:hAnsi="Times New Roman"/>
          <w:sz w:val="24"/>
        </w:rPr>
        <w:t>t,</w:t>
      </w:r>
      <w:r>
        <w:rPr>
          <w:rFonts w:ascii="Times New Roman" w:hAnsi="Times New Roman"/>
          <w:sz w:val="24"/>
        </w:rPr>
        <w:t xml:space="preserve"> to which I will return </w:t>
      </w:r>
      <w:r w:rsidR="0036518A">
        <w:rPr>
          <w:rFonts w:ascii="Times New Roman" w:hAnsi="Times New Roman"/>
          <w:sz w:val="24"/>
        </w:rPr>
        <w:t xml:space="preserve">in </w:t>
      </w:r>
      <w:r>
        <w:rPr>
          <w:rFonts w:ascii="Times New Roman" w:hAnsi="Times New Roman"/>
          <w:sz w:val="24"/>
        </w:rPr>
        <w:t xml:space="preserve">due course. </w:t>
      </w:r>
    </w:p>
    <w:p w14:paraId="5B5FA6DE" w14:textId="3DF8DFBE" w:rsidR="00157854" w:rsidRPr="00E45371" w:rsidRDefault="00A35AFA" w:rsidP="00E45371">
      <w:pPr>
        <w:pStyle w:val="ListParagraph"/>
        <w:numPr>
          <w:ilvl w:val="0"/>
          <w:numId w:val="1"/>
        </w:numPr>
        <w:tabs>
          <w:tab w:val="left" w:pos="567"/>
        </w:tabs>
        <w:spacing w:line="480" w:lineRule="auto"/>
        <w:ind w:left="0" w:firstLine="0"/>
        <w:rPr>
          <w:rFonts w:ascii="Times New Roman" w:hAnsi="Times New Roman"/>
          <w:b/>
          <w:sz w:val="24"/>
          <w:u w:val="single"/>
        </w:rPr>
      </w:pPr>
      <w:r w:rsidRPr="00E45371">
        <w:rPr>
          <w:rFonts w:ascii="Times New Roman" w:hAnsi="Times New Roman"/>
          <w:sz w:val="24"/>
        </w:rPr>
        <w:t xml:space="preserve">On the first page of the Decision, the FSPO states that it was the </w:t>
      </w:r>
      <w:r w:rsidR="00423D5E" w:rsidRPr="00E45371">
        <w:rPr>
          <w:rFonts w:ascii="Times New Roman" w:hAnsi="Times New Roman"/>
          <w:sz w:val="24"/>
        </w:rPr>
        <w:t>notice party</w:t>
      </w:r>
      <w:r w:rsidRPr="00E45371">
        <w:rPr>
          <w:rFonts w:ascii="Times New Roman" w:hAnsi="Times New Roman"/>
          <w:sz w:val="24"/>
        </w:rPr>
        <w:t>’s case</w:t>
      </w:r>
      <w:r w:rsidR="00423D5E" w:rsidRPr="00E45371">
        <w:rPr>
          <w:rFonts w:ascii="Times New Roman" w:hAnsi="Times New Roman"/>
          <w:sz w:val="24"/>
        </w:rPr>
        <w:t xml:space="preserve"> that Utmost had not deal</w:t>
      </w:r>
      <w:r w:rsidR="005341A5" w:rsidRPr="00E45371">
        <w:rPr>
          <w:rFonts w:ascii="Times New Roman" w:hAnsi="Times New Roman"/>
          <w:sz w:val="24"/>
        </w:rPr>
        <w:t>t</w:t>
      </w:r>
      <w:r w:rsidR="00423D5E" w:rsidRPr="00E45371">
        <w:rPr>
          <w:rFonts w:ascii="Times New Roman" w:hAnsi="Times New Roman"/>
          <w:sz w:val="24"/>
        </w:rPr>
        <w:t xml:space="preserve"> with the Claim and her appeal against the first refusal of cover in an objective manner, and that it focused its efforts on bringing her claim within the exclusion of cover relating to fibromyalgia. </w:t>
      </w:r>
      <w:r w:rsidR="002A1D08" w:rsidRPr="00E45371">
        <w:rPr>
          <w:rFonts w:ascii="Times New Roman" w:hAnsi="Times New Roman"/>
          <w:sz w:val="24"/>
        </w:rPr>
        <w:t xml:space="preserve">Having investigated the </w:t>
      </w:r>
      <w:r w:rsidR="00981DB6" w:rsidRPr="00E45371">
        <w:rPr>
          <w:rFonts w:ascii="Times New Roman" w:hAnsi="Times New Roman"/>
          <w:sz w:val="24"/>
        </w:rPr>
        <w:t>C</w:t>
      </w:r>
      <w:r w:rsidR="002A1D08" w:rsidRPr="00E45371">
        <w:rPr>
          <w:rFonts w:ascii="Times New Roman" w:hAnsi="Times New Roman"/>
          <w:sz w:val="24"/>
        </w:rPr>
        <w:t>omplaint, the FSPO issued a preliminary decision on 14</w:t>
      </w:r>
      <w:r w:rsidR="002A1D08" w:rsidRPr="00E45371">
        <w:rPr>
          <w:rFonts w:ascii="Times New Roman" w:hAnsi="Times New Roman"/>
          <w:sz w:val="24"/>
          <w:vertAlign w:val="superscript"/>
        </w:rPr>
        <w:t>th</w:t>
      </w:r>
      <w:r w:rsidR="002A1D08" w:rsidRPr="00E45371">
        <w:rPr>
          <w:rFonts w:ascii="Times New Roman" w:hAnsi="Times New Roman"/>
          <w:sz w:val="24"/>
        </w:rPr>
        <w:t xml:space="preserve"> May 2019, indicating its intention to uphold the </w:t>
      </w:r>
      <w:r w:rsidR="00423D5E" w:rsidRPr="00E45371">
        <w:rPr>
          <w:rFonts w:ascii="Times New Roman" w:hAnsi="Times New Roman"/>
          <w:sz w:val="24"/>
        </w:rPr>
        <w:t>C</w:t>
      </w:r>
      <w:r w:rsidR="002A1D08" w:rsidRPr="00E45371">
        <w:rPr>
          <w:rFonts w:ascii="Times New Roman" w:hAnsi="Times New Roman"/>
          <w:sz w:val="24"/>
        </w:rPr>
        <w:t xml:space="preserve">omplaint, as well as an intention to direct Utmost to admit the </w:t>
      </w:r>
      <w:r w:rsidR="00423D5E" w:rsidRPr="00E45371">
        <w:rPr>
          <w:rFonts w:ascii="Times New Roman" w:hAnsi="Times New Roman"/>
          <w:sz w:val="24"/>
        </w:rPr>
        <w:t>C</w:t>
      </w:r>
      <w:r w:rsidR="002A1D08" w:rsidRPr="00E45371">
        <w:rPr>
          <w:rFonts w:ascii="Times New Roman" w:hAnsi="Times New Roman"/>
          <w:sz w:val="24"/>
        </w:rPr>
        <w:t xml:space="preserve">laim from the date of expiration of the deferred period as defined in the </w:t>
      </w:r>
      <w:r w:rsidR="00894500" w:rsidRPr="00E45371">
        <w:rPr>
          <w:rFonts w:ascii="Times New Roman" w:hAnsi="Times New Roman"/>
          <w:sz w:val="24"/>
        </w:rPr>
        <w:t>Scheme policy document</w:t>
      </w:r>
      <w:r w:rsidR="002A1D08" w:rsidRPr="00E45371">
        <w:rPr>
          <w:rFonts w:ascii="Times New Roman" w:hAnsi="Times New Roman"/>
          <w:sz w:val="24"/>
        </w:rPr>
        <w:t>.  By letter of 5</w:t>
      </w:r>
      <w:r w:rsidR="002A1D08" w:rsidRPr="00E45371">
        <w:rPr>
          <w:rFonts w:ascii="Times New Roman" w:hAnsi="Times New Roman"/>
          <w:sz w:val="24"/>
          <w:vertAlign w:val="superscript"/>
        </w:rPr>
        <w:t>th</w:t>
      </w:r>
      <w:r w:rsidR="002A1D08" w:rsidRPr="00E45371">
        <w:rPr>
          <w:rFonts w:ascii="Times New Roman" w:hAnsi="Times New Roman"/>
          <w:sz w:val="24"/>
        </w:rPr>
        <w:t xml:space="preserve"> June 2019, Utmost made detailed submissions to the FSPO as regards the preliminary decision.  However, on 15</w:t>
      </w:r>
      <w:r w:rsidR="002A1D08" w:rsidRPr="00E45371">
        <w:rPr>
          <w:rFonts w:ascii="Times New Roman" w:hAnsi="Times New Roman"/>
          <w:sz w:val="24"/>
          <w:vertAlign w:val="superscript"/>
        </w:rPr>
        <w:t>th</w:t>
      </w:r>
      <w:r w:rsidR="002A1D08" w:rsidRPr="00E45371">
        <w:rPr>
          <w:rFonts w:ascii="Times New Roman" w:hAnsi="Times New Roman"/>
          <w:sz w:val="24"/>
        </w:rPr>
        <w:t xml:space="preserve"> July 2019, the FSPO issued his final decision in the matter</w:t>
      </w:r>
      <w:r w:rsidR="00661ADC">
        <w:rPr>
          <w:rFonts w:ascii="Times New Roman" w:hAnsi="Times New Roman"/>
          <w:sz w:val="24"/>
        </w:rPr>
        <w:t>,</w:t>
      </w:r>
      <w:r w:rsidR="002A1D08" w:rsidRPr="00E45371">
        <w:rPr>
          <w:rFonts w:ascii="Times New Roman" w:hAnsi="Times New Roman"/>
          <w:sz w:val="24"/>
        </w:rPr>
        <w:t xml:space="preserve"> </w:t>
      </w:r>
      <w:r w:rsidR="00E45371" w:rsidRPr="00E45371">
        <w:rPr>
          <w:rFonts w:ascii="Times New Roman" w:hAnsi="Times New Roman"/>
          <w:sz w:val="24"/>
        </w:rPr>
        <w:t xml:space="preserve">i.e. </w:t>
      </w:r>
      <w:r w:rsidR="002A1D08" w:rsidRPr="00E45371">
        <w:rPr>
          <w:rFonts w:ascii="Times New Roman" w:hAnsi="Times New Roman"/>
          <w:sz w:val="24"/>
        </w:rPr>
        <w:t>the “Decision”</w:t>
      </w:r>
      <w:r w:rsidR="00661ADC">
        <w:rPr>
          <w:rFonts w:ascii="Times New Roman" w:hAnsi="Times New Roman"/>
          <w:sz w:val="24"/>
        </w:rPr>
        <w:t>,</w:t>
      </w:r>
      <w:r w:rsidR="002A1D08" w:rsidRPr="00E45371">
        <w:rPr>
          <w:rFonts w:ascii="Times New Roman" w:hAnsi="Times New Roman"/>
          <w:sz w:val="24"/>
        </w:rPr>
        <w:t xml:space="preserve"> whereby he, </w:t>
      </w:r>
      <w:r w:rsidR="002A1D08" w:rsidRPr="00E45371">
        <w:rPr>
          <w:rFonts w:ascii="Times New Roman" w:hAnsi="Times New Roman"/>
          <w:i/>
          <w:sz w:val="24"/>
        </w:rPr>
        <w:t xml:space="preserve">inter alia, </w:t>
      </w:r>
      <w:r w:rsidR="002A1D08" w:rsidRPr="00E45371">
        <w:rPr>
          <w:rFonts w:ascii="Times New Roman" w:hAnsi="Times New Roman"/>
          <w:sz w:val="24"/>
        </w:rPr>
        <w:t xml:space="preserve">affirmed the preliminary decision.  </w:t>
      </w:r>
    </w:p>
    <w:p w14:paraId="7F917B8B" w14:textId="41080F7B" w:rsidR="002A1D08" w:rsidRPr="00604D01" w:rsidRDefault="002A1D08"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Utmost appealed the Decision to the High Court, pursuant to s.</w:t>
      </w:r>
      <w:r w:rsidR="00B37770">
        <w:rPr>
          <w:rFonts w:ascii="Times New Roman" w:hAnsi="Times New Roman"/>
          <w:sz w:val="24"/>
        </w:rPr>
        <w:t xml:space="preserve"> </w:t>
      </w:r>
      <w:r>
        <w:rPr>
          <w:rFonts w:ascii="Times New Roman" w:hAnsi="Times New Roman"/>
          <w:sz w:val="24"/>
        </w:rPr>
        <w:t>64 of the</w:t>
      </w:r>
      <w:r w:rsidR="00B37770">
        <w:rPr>
          <w:rFonts w:ascii="Times New Roman" w:hAnsi="Times New Roman"/>
          <w:sz w:val="24"/>
        </w:rPr>
        <w:t xml:space="preserve"> Financial Services and Pensions Ombudsman</w:t>
      </w:r>
      <w:r>
        <w:rPr>
          <w:rFonts w:ascii="Times New Roman" w:hAnsi="Times New Roman"/>
          <w:sz w:val="24"/>
        </w:rPr>
        <w:t xml:space="preserve"> Act 2017</w:t>
      </w:r>
      <w:r w:rsidR="00B37770">
        <w:rPr>
          <w:rFonts w:ascii="Times New Roman" w:hAnsi="Times New Roman"/>
          <w:sz w:val="24"/>
        </w:rPr>
        <w:t xml:space="preserve"> (the “Act of 2017”)</w:t>
      </w:r>
      <w:r>
        <w:rPr>
          <w:rFonts w:ascii="Times New Roman" w:hAnsi="Times New Roman"/>
          <w:sz w:val="24"/>
        </w:rPr>
        <w:t>.  In a decision handed down on 10</w:t>
      </w:r>
      <w:r w:rsidRPr="002A1D08">
        <w:rPr>
          <w:rFonts w:ascii="Times New Roman" w:hAnsi="Times New Roman"/>
          <w:sz w:val="24"/>
          <w:vertAlign w:val="superscript"/>
        </w:rPr>
        <w:t>th</w:t>
      </w:r>
      <w:r>
        <w:rPr>
          <w:rFonts w:ascii="Times New Roman" w:hAnsi="Times New Roman"/>
          <w:sz w:val="24"/>
        </w:rPr>
        <w:t xml:space="preserve"> November 2020, the High Court (Simons J.) allowed the appeal and set aside the Decision, concluding that the FSPO had made serious and significant errors in arriving </w:t>
      </w:r>
      <w:r>
        <w:rPr>
          <w:rFonts w:ascii="Times New Roman" w:hAnsi="Times New Roman"/>
          <w:sz w:val="24"/>
        </w:rPr>
        <w:lastRenderedPageBreak/>
        <w:t xml:space="preserve">at the Decision.  </w:t>
      </w:r>
      <w:r w:rsidR="007566E2">
        <w:rPr>
          <w:rFonts w:ascii="Times New Roman" w:hAnsi="Times New Roman"/>
          <w:sz w:val="24"/>
        </w:rPr>
        <w:t>T</w:t>
      </w:r>
      <w:r>
        <w:rPr>
          <w:rFonts w:ascii="Times New Roman" w:hAnsi="Times New Roman"/>
          <w:sz w:val="24"/>
        </w:rPr>
        <w:t>he FSPO indicated an intention to appeal the decision of the High Court to this Court, on a point of law as provided for in s.</w:t>
      </w:r>
      <w:r w:rsidR="00165749">
        <w:rPr>
          <w:rFonts w:ascii="Times New Roman" w:hAnsi="Times New Roman"/>
          <w:sz w:val="24"/>
        </w:rPr>
        <w:t xml:space="preserve"> </w:t>
      </w:r>
      <w:r>
        <w:rPr>
          <w:rFonts w:ascii="Times New Roman" w:hAnsi="Times New Roman"/>
          <w:sz w:val="24"/>
        </w:rPr>
        <w:t>64(6) of the Act of 2017.  There then followed a hearing on this issue, and by further decision dated 10</w:t>
      </w:r>
      <w:r w:rsidRPr="002A1D08">
        <w:rPr>
          <w:rFonts w:ascii="Times New Roman" w:hAnsi="Times New Roman"/>
          <w:sz w:val="24"/>
          <w:vertAlign w:val="superscript"/>
        </w:rPr>
        <w:t>th</w:t>
      </w:r>
      <w:r>
        <w:rPr>
          <w:rFonts w:ascii="Times New Roman" w:hAnsi="Times New Roman"/>
          <w:sz w:val="24"/>
        </w:rPr>
        <w:t xml:space="preserve"> February 2021, Simons J. granted leave to the FSPO to appeal to this Court for a review of the principal judgment of 10</w:t>
      </w:r>
      <w:r w:rsidRPr="002A1D08">
        <w:rPr>
          <w:rFonts w:ascii="Times New Roman" w:hAnsi="Times New Roman"/>
          <w:sz w:val="24"/>
          <w:vertAlign w:val="superscript"/>
        </w:rPr>
        <w:t>th</w:t>
      </w:r>
      <w:r>
        <w:rPr>
          <w:rFonts w:ascii="Times New Roman" w:hAnsi="Times New Roman"/>
          <w:sz w:val="24"/>
        </w:rPr>
        <w:t xml:space="preserve"> November 2020,</w:t>
      </w:r>
      <w:r w:rsidR="00511DE4">
        <w:rPr>
          <w:rFonts w:ascii="Times New Roman" w:hAnsi="Times New Roman"/>
          <w:sz w:val="24"/>
        </w:rPr>
        <w:t xml:space="preserve"> on</w:t>
      </w:r>
      <w:r>
        <w:rPr>
          <w:rFonts w:ascii="Times New Roman" w:hAnsi="Times New Roman"/>
          <w:sz w:val="24"/>
        </w:rPr>
        <w:t xml:space="preserve"> three questions of law</w:t>
      </w:r>
      <w:r w:rsidR="005A18C8">
        <w:rPr>
          <w:rFonts w:ascii="Times New Roman" w:hAnsi="Times New Roman"/>
          <w:sz w:val="24"/>
        </w:rPr>
        <w:t>, which are set out and considered from para.</w:t>
      </w:r>
      <w:r w:rsidR="00117DCB">
        <w:rPr>
          <w:rFonts w:ascii="Times New Roman" w:hAnsi="Times New Roman"/>
          <w:sz w:val="24"/>
        </w:rPr>
        <w:t xml:space="preserve"> </w:t>
      </w:r>
      <w:r w:rsidR="00846AC8">
        <w:rPr>
          <w:rFonts w:ascii="Times New Roman" w:hAnsi="Times New Roman"/>
          <w:sz w:val="24"/>
        </w:rPr>
        <w:t>4</w:t>
      </w:r>
      <w:r w:rsidR="00117DCB">
        <w:rPr>
          <w:rFonts w:ascii="Times New Roman" w:hAnsi="Times New Roman"/>
          <w:sz w:val="24"/>
        </w:rPr>
        <w:t>9</w:t>
      </w:r>
      <w:r w:rsidR="00846AC8">
        <w:rPr>
          <w:rFonts w:ascii="Times New Roman" w:hAnsi="Times New Roman"/>
          <w:sz w:val="24"/>
        </w:rPr>
        <w:t xml:space="preserve"> onwards.</w:t>
      </w:r>
    </w:p>
    <w:p w14:paraId="7163AECE" w14:textId="4D39B102" w:rsidR="0091693D" w:rsidRPr="0091693D" w:rsidRDefault="00AA3A7A"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Background</w:t>
      </w:r>
      <w:r w:rsidR="008726C7">
        <w:rPr>
          <w:rFonts w:ascii="Times New Roman" w:hAnsi="Times New Roman"/>
          <w:b/>
          <w:sz w:val="24"/>
          <w:u w:val="single"/>
        </w:rPr>
        <w:t xml:space="preserve"> </w:t>
      </w:r>
      <w:r>
        <w:rPr>
          <w:rFonts w:ascii="Times New Roman" w:hAnsi="Times New Roman"/>
          <w:b/>
          <w:sz w:val="24"/>
          <w:u w:val="single"/>
        </w:rPr>
        <w:t>-</w:t>
      </w:r>
      <w:r w:rsidR="008726C7">
        <w:rPr>
          <w:rFonts w:ascii="Times New Roman" w:hAnsi="Times New Roman"/>
          <w:b/>
          <w:sz w:val="24"/>
          <w:u w:val="single"/>
        </w:rPr>
        <w:t xml:space="preserve"> </w:t>
      </w:r>
      <w:r>
        <w:rPr>
          <w:rFonts w:ascii="Times New Roman" w:hAnsi="Times New Roman"/>
          <w:b/>
          <w:sz w:val="24"/>
          <w:u w:val="single"/>
        </w:rPr>
        <w:t>t</w:t>
      </w:r>
      <w:r w:rsidR="00A35E40">
        <w:rPr>
          <w:rFonts w:ascii="Times New Roman" w:hAnsi="Times New Roman"/>
          <w:b/>
          <w:sz w:val="24"/>
          <w:u w:val="single"/>
        </w:rPr>
        <w:t xml:space="preserve">he </w:t>
      </w:r>
      <w:r w:rsidR="000C21C5">
        <w:rPr>
          <w:rFonts w:ascii="Times New Roman" w:hAnsi="Times New Roman"/>
          <w:b/>
          <w:sz w:val="24"/>
          <w:u w:val="single"/>
        </w:rPr>
        <w:t>C</w:t>
      </w:r>
      <w:r w:rsidR="00A35E40">
        <w:rPr>
          <w:rFonts w:ascii="Times New Roman" w:hAnsi="Times New Roman"/>
          <w:b/>
          <w:sz w:val="24"/>
          <w:u w:val="single"/>
        </w:rPr>
        <w:t xml:space="preserve">laim and the medical </w:t>
      </w:r>
      <w:r>
        <w:rPr>
          <w:rFonts w:ascii="Times New Roman" w:hAnsi="Times New Roman"/>
          <w:b/>
          <w:sz w:val="24"/>
          <w:u w:val="single"/>
        </w:rPr>
        <w:t>evidence</w:t>
      </w:r>
    </w:p>
    <w:p w14:paraId="18360921" w14:textId="1C431F22" w:rsidR="0091693D" w:rsidRPr="00A35E40" w:rsidRDefault="00A35E40"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the </w:t>
      </w:r>
      <w:r w:rsidR="00AA3A7A">
        <w:rPr>
          <w:rFonts w:ascii="Times New Roman" w:hAnsi="Times New Roman"/>
          <w:sz w:val="24"/>
        </w:rPr>
        <w:t>C</w:t>
      </w:r>
      <w:r>
        <w:rPr>
          <w:rFonts w:ascii="Times New Roman" w:hAnsi="Times New Roman"/>
          <w:sz w:val="24"/>
        </w:rPr>
        <w:t>laim form submitted</w:t>
      </w:r>
      <w:r w:rsidR="000C21C5">
        <w:rPr>
          <w:rFonts w:ascii="Times New Roman" w:hAnsi="Times New Roman"/>
          <w:sz w:val="24"/>
        </w:rPr>
        <w:t xml:space="preserve"> to Utmost</w:t>
      </w:r>
      <w:r>
        <w:rPr>
          <w:rFonts w:ascii="Times New Roman" w:hAnsi="Times New Roman"/>
          <w:sz w:val="24"/>
        </w:rPr>
        <w:t xml:space="preserve"> by the notice party, she referred to the following symptoms as preventing her from working: stiffness, pain (chronic), pins and needles, numbness, difficulty walking, dizziness and blurred vision, extreme fatigue, short term memory loss</w:t>
      </w:r>
      <w:r w:rsidR="000C21C5">
        <w:rPr>
          <w:rFonts w:ascii="Times New Roman" w:hAnsi="Times New Roman"/>
          <w:sz w:val="24"/>
        </w:rPr>
        <w:t xml:space="preserve"> </w:t>
      </w:r>
      <w:r>
        <w:rPr>
          <w:rFonts w:ascii="Times New Roman" w:hAnsi="Times New Roman"/>
          <w:sz w:val="24"/>
        </w:rPr>
        <w:t>- brain fog.  As mentioned above, she described her condition as being “</w:t>
      </w:r>
      <w:r w:rsidR="000C21C5">
        <w:rPr>
          <w:rFonts w:ascii="Times New Roman" w:hAnsi="Times New Roman"/>
          <w:sz w:val="24"/>
        </w:rPr>
        <w:t>I</w:t>
      </w:r>
      <w:r>
        <w:rPr>
          <w:rFonts w:ascii="Times New Roman" w:hAnsi="Times New Roman"/>
          <w:sz w:val="24"/>
        </w:rPr>
        <w:t xml:space="preserve">nflammatory arthritis – still under investigation for full diagnosis and </w:t>
      </w:r>
      <w:r w:rsidR="00AA3A7A">
        <w:rPr>
          <w:rFonts w:ascii="Times New Roman" w:hAnsi="Times New Roman"/>
          <w:sz w:val="24"/>
        </w:rPr>
        <w:t>f</w:t>
      </w:r>
      <w:r>
        <w:rPr>
          <w:rFonts w:ascii="Times New Roman" w:hAnsi="Times New Roman"/>
          <w:sz w:val="24"/>
        </w:rPr>
        <w:t>ibromyalgia</w:t>
      </w:r>
      <w:r w:rsidR="000C21C5">
        <w:rPr>
          <w:rFonts w:ascii="Times New Roman" w:hAnsi="Times New Roman"/>
          <w:sz w:val="24"/>
        </w:rPr>
        <w:t>”</w:t>
      </w:r>
      <w:r>
        <w:rPr>
          <w:rFonts w:ascii="Times New Roman" w:hAnsi="Times New Roman"/>
          <w:sz w:val="24"/>
        </w:rPr>
        <w:t xml:space="preserve">.  The notice party submitted with the </w:t>
      </w:r>
      <w:r w:rsidR="00981DB6">
        <w:rPr>
          <w:rFonts w:ascii="Times New Roman" w:hAnsi="Times New Roman"/>
          <w:sz w:val="24"/>
        </w:rPr>
        <w:t>C</w:t>
      </w:r>
      <w:r>
        <w:rPr>
          <w:rFonts w:ascii="Times New Roman" w:hAnsi="Times New Roman"/>
          <w:sz w:val="24"/>
        </w:rPr>
        <w:t>laim for</w:t>
      </w:r>
      <w:r w:rsidR="00600A25">
        <w:rPr>
          <w:rFonts w:ascii="Times New Roman" w:hAnsi="Times New Roman"/>
          <w:sz w:val="24"/>
        </w:rPr>
        <w:t>m</w:t>
      </w:r>
      <w:r>
        <w:rPr>
          <w:rFonts w:ascii="Times New Roman" w:hAnsi="Times New Roman"/>
          <w:sz w:val="24"/>
        </w:rPr>
        <w:t xml:space="preserve"> a report from her general practitioner, </w:t>
      </w:r>
      <w:r w:rsidR="00050EF5">
        <w:rPr>
          <w:rFonts w:ascii="Times New Roman" w:hAnsi="Times New Roman"/>
          <w:sz w:val="24"/>
        </w:rPr>
        <w:t xml:space="preserve">a </w:t>
      </w:r>
      <w:proofErr w:type="spellStart"/>
      <w:r>
        <w:rPr>
          <w:rFonts w:ascii="Times New Roman" w:hAnsi="Times New Roman"/>
          <w:sz w:val="24"/>
        </w:rPr>
        <w:t>Dr.</w:t>
      </w:r>
      <w:proofErr w:type="spellEnd"/>
      <w:r>
        <w:rPr>
          <w:rFonts w:ascii="Times New Roman" w:hAnsi="Times New Roman"/>
          <w:sz w:val="24"/>
        </w:rPr>
        <w:t xml:space="preserve"> Rawat in a standard form.  In the section dealing with the nature and cause of disability, </w:t>
      </w:r>
      <w:proofErr w:type="spellStart"/>
      <w:r>
        <w:rPr>
          <w:rFonts w:ascii="Times New Roman" w:hAnsi="Times New Roman"/>
          <w:sz w:val="24"/>
        </w:rPr>
        <w:t>Dr.</w:t>
      </w:r>
      <w:proofErr w:type="spellEnd"/>
      <w:r>
        <w:rPr>
          <w:rFonts w:ascii="Times New Roman" w:hAnsi="Times New Roman"/>
          <w:sz w:val="24"/>
        </w:rPr>
        <w:t xml:space="preserve"> Rawat, stated: “Fibromyalgia – under care of Rheumatologist with further investigations, follow up plan and awaited for </w:t>
      </w:r>
      <w:r w:rsidR="00050EF5">
        <w:rPr>
          <w:rFonts w:ascii="Times New Roman" w:hAnsi="Times New Roman"/>
          <w:sz w:val="24"/>
        </w:rPr>
        <w:t>R</w:t>
      </w:r>
      <w:r>
        <w:rPr>
          <w:rFonts w:ascii="Times New Roman" w:hAnsi="Times New Roman"/>
          <w:sz w:val="24"/>
        </w:rPr>
        <w:t xml:space="preserve">heumatoid </w:t>
      </w:r>
      <w:r w:rsidR="00050EF5">
        <w:rPr>
          <w:rFonts w:ascii="Times New Roman" w:hAnsi="Times New Roman"/>
          <w:sz w:val="24"/>
        </w:rPr>
        <w:t>A</w:t>
      </w:r>
      <w:r>
        <w:rPr>
          <w:rFonts w:ascii="Times New Roman" w:hAnsi="Times New Roman"/>
          <w:sz w:val="24"/>
        </w:rPr>
        <w:t>rthritis possible evolution”.</w:t>
      </w:r>
    </w:p>
    <w:p w14:paraId="6C08E6DD" w14:textId="4624542F" w:rsidR="00A35E40" w:rsidRPr="00A35E40" w:rsidRDefault="00A35E40"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notice party also included reports from a </w:t>
      </w:r>
      <w:proofErr w:type="spellStart"/>
      <w:r>
        <w:rPr>
          <w:rFonts w:ascii="Times New Roman" w:hAnsi="Times New Roman"/>
          <w:sz w:val="24"/>
        </w:rPr>
        <w:t>Dr.</w:t>
      </w:r>
      <w:proofErr w:type="spellEnd"/>
      <w:r>
        <w:rPr>
          <w:rFonts w:ascii="Times New Roman" w:hAnsi="Times New Roman"/>
          <w:sz w:val="24"/>
        </w:rPr>
        <w:t xml:space="preserve"> Thomas </w:t>
      </w:r>
      <w:proofErr w:type="spellStart"/>
      <w:r>
        <w:rPr>
          <w:rFonts w:ascii="Times New Roman" w:hAnsi="Times New Roman"/>
          <w:sz w:val="24"/>
        </w:rPr>
        <w:t>Gumbrielle</w:t>
      </w:r>
      <w:proofErr w:type="spellEnd"/>
      <w:r>
        <w:rPr>
          <w:rFonts w:ascii="Times New Roman" w:hAnsi="Times New Roman"/>
          <w:sz w:val="24"/>
        </w:rPr>
        <w:t>, a cardiologist</w:t>
      </w:r>
      <w:r w:rsidR="00050EF5">
        <w:rPr>
          <w:rFonts w:ascii="Times New Roman" w:hAnsi="Times New Roman"/>
          <w:sz w:val="24"/>
        </w:rPr>
        <w:t>, of 22</w:t>
      </w:r>
      <w:r w:rsidR="00050EF5" w:rsidRPr="00671988">
        <w:rPr>
          <w:rFonts w:ascii="Times New Roman" w:hAnsi="Times New Roman"/>
          <w:sz w:val="24"/>
          <w:vertAlign w:val="superscript"/>
        </w:rPr>
        <w:t>nd</w:t>
      </w:r>
      <w:r w:rsidR="00050EF5">
        <w:rPr>
          <w:rFonts w:ascii="Times New Roman" w:hAnsi="Times New Roman"/>
          <w:sz w:val="24"/>
        </w:rPr>
        <w:t xml:space="preserve"> March 2016,</w:t>
      </w:r>
      <w:r>
        <w:rPr>
          <w:rFonts w:ascii="Times New Roman" w:hAnsi="Times New Roman"/>
          <w:sz w:val="24"/>
        </w:rPr>
        <w:t xml:space="preserve"> and a </w:t>
      </w:r>
      <w:proofErr w:type="spellStart"/>
      <w:r>
        <w:rPr>
          <w:rFonts w:ascii="Times New Roman" w:hAnsi="Times New Roman"/>
          <w:sz w:val="24"/>
        </w:rPr>
        <w:t>Dr.</w:t>
      </w:r>
      <w:proofErr w:type="spellEnd"/>
      <w:r>
        <w:rPr>
          <w:rFonts w:ascii="Times New Roman" w:hAnsi="Times New Roman"/>
          <w:sz w:val="24"/>
        </w:rPr>
        <w:t xml:space="preserve"> Ruth Lee</w:t>
      </w:r>
      <w:r w:rsidR="00671988">
        <w:rPr>
          <w:rFonts w:ascii="Times New Roman" w:hAnsi="Times New Roman"/>
          <w:sz w:val="24"/>
        </w:rPr>
        <w:t>, of</w:t>
      </w:r>
      <w:r>
        <w:rPr>
          <w:rFonts w:ascii="Times New Roman" w:hAnsi="Times New Roman"/>
          <w:sz w:val="24"/>
        </w:rPr>
        <w:t xml:space="preserve"> 22</w:t>
      </w:r>
      <w:r w:rsidRPr="00A35E40">
        <w:rPr>
          <w:rFonts w:ascii="Times New Roman" w:hAnsi="Times New Roman"/>
          <w:sz w:val="24"/>
          <w:vertAlign w:val="superscript"/>
        </w:rPr>
        <w:t>nd</w:t>
      </w:r>
      <w:r>
        <w:rPr>
          <w:rFonts w:ascii="Times New Roman" w:hAnsi="Times New Roman"/>
          <w:sz w:val="24"/>
        </w:rPr>
        <w:t xml:space="preserve"> April 2016</w:t>
      </w:r>
      <w:r w:rsidR="00671988">
        <w:rPr>
          <w:rFonts w:ascii="Times New Roman" w:hAnsi="Times New Roman"/>
          <w:sz w:val="24"/>
        </w:rPr>
        <w:t xml:space="preserve">. </w:t>
      </w:r>
      <w:proofErr w:type="spellStart"/>
      <w:r w:rsidR="00671988">
        <w:rPr>
          <w:rFonts w:ascii="Times New Roman" w:hAnsi="Times New Roman"/>
          <w:sz w:val="24"/>
        </w:rPr>
        <w:t>Dr.</w:t>
      </w:r>
      <w:proofErr w:type="spellEnd"/>
      <w:r w:rsidR="00671988">
        <w:rPr>
          <w:rFonts w:ascii="Times New Roman" w:hAnsi="Times New Roman"/>
          <w:sz w:val="24"/>
        </w:rPr>
        <w:t xml:space="preserve"> Lee, in her report,</w:t>
      </w:r>
      <w:r>
        <w:rPr>
          <w:rFonts w:ascii="Times New Roman" w:hAnsi="Times New Roman"/>
          <w:sz w:val="24"/>
        </w:rPr>
        <w:t xml:space="preserve"> stated, </w:t>
      </w:r>
      <w:r w:rsidRPr="00A35E40">
        <w:rPr>
          <w:rFonts w:ascii="Times New Roman" w:hAnsi="Times New Roman"/>
          <w:i/>
          <w:sz w:val="24"/>
        </w:rPr>
        <w:t>inter alia</w:t>
      </w:r>
      <w:r>
        <w:rPr>
          <w:rFonts w:ascii="Times New Roman" w:hAnsi="Times New Roman"/>
          <w:sz w:val="24"/>
        </w:rPr>
        <w:t xml:space="preserve">:  </w:t>
      </w:r>
    </w:p>
    <w:p w14:paraId="2C8DAF1D" w14:textId="57A6C6B2" w:rsidR="00A35E40" w:rsidRDefault="00A35E40"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“There are no obvious swelling noted in her joints and no evidence of active synovitis noted today.  She has widespread multiple painful trigger points suggestive of </w:t>
      </w:r>
      <w:r w:rsidR="00671988">
        <w:rPr>
          <w:rFonts w:ascii="Times New Roman" w:hAnsi="Times New Roman"/>
          <w:sz w:val="24"/>
        </w:rPr>
        <w:t>F</w:t>
      </w:r>
      <w:r>
        <w:rPr>
          <w:rFonts w:ascii="Times New Roman" w:hAnsi="Times New Roman"/>
          <w:sz w:val="24"/>
        </w:rPr>
        <w:t>ibromyalgia …</w:t>
      </w:r>
    </w:p>
    <w:p w14:paraId="5283A4B4" w14:textId="6463A646" w:rsidR="00E00DC6" w:rsidRDefault="00A35E40"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There are no </w:t>
      </w:r>
      <w:proofErr w:type="spellStart"/>
      <w:r>
        <w:rPr>
          <w:rFonts w:ascii="Times New Roman" w:hAnsi="Times New Roman"/>
          <w:sz w:val="24"/>
        </w:rPr>
        <w:t>clinic</w:t>
      </w:r>
      <w:r w:rsidR="007310BD">
        <w:rPr>
          <w:rFonts w:ascii="Times New Roman" w:hAnsi="Times New Roman"/>
          <w:sz w:val="24"/>
        </w:rPr>
        <w:t>ial</w:t>
      </w:r>
      <w:proofErr w:type="spellEnd"/>
      <w:r>
        <w:rPr>
          <w:rFonts w:ascii="Times New Roman" w:hAnsi="Times New Roman"/>
          <w:sz w:val="24"/>
        </w:rPr>
        <w:t xml:space="preserve"> evidence of active </w:t>
      </w:r>
      <w:r w:rsidR="00671988">
        <w:rPr>
          <w:rFonts w:ascii="Times New Roman" w:hAnsi="Times New Roman"/>
          <w:sz w:val="24"/>
        </w:rPr>
        <w:t>R</w:t>
      </w:r>
      <w:r>
        <w:rPr>
          <w:rFonts w:ascii="Times New Roman" w:hAnsi="Times New Roman"/>
          <w:sz w:val="24"/>
        </w:rPr>
        <w:t xml:space="preserve">heumatoid </w:t>
      </w:r>
      <w:r w:rsidR="00671988">
        <w:rPr>
          <w:rFonts w:ascii="Times New Roman" w:hAnsi="Times New Roman"/>
          <w:sz w:val="24"/>
        </w:rPr>
        <w:t>A</w:t>
      </w:r>
      <w:r>
        <w:rPr>
          <w:rFonts w:ascii="Times New Roman" w:hAnsi="Times New Roman"/>
          <w:sz w:val="24"/>
        </w:rPr>
        <w:t xml:space="preserve">rthritis despite a raised CCP Ab.  Her current clinical presentations and features </w:t>
      </w:r>
      <w:r w:rsidR="00E00DC6">
        <w:rPr>
          <w:rFonts w:ascii="Times New Roman" w:hAnsi="Times New Roman"/>
          <w:sz w:val="24"/>
        </w:rPr>
        <w:t xml:space="preserve">are more in consistent with </w:t>
      </w:r>
      <w:r w:rsidR="00671988">
        <w:rPr>
          <w:rFonts w:ascii="Times New Roman" w:hAnsi="Times New Roman"/>
          <w:sz w:val="24"/>
        </w:rPr>
        <w:t>that of F</w:t>
      </w:r>
      <w:r w:rsidR="00E00DC6">
        <w:rPr>
          <w:rFonts w:ascii="Times New Roman" w:hAnsi="Times New Roman"/>
          <w:sz w:val="24"/>
        </w:rPr>
        <w:t>ibromyalgia.”</w:t>
      </w:r>
    </w:p>
    <w:p w14:paraId="1F527DEF" w14:textId="2B557056" w:rsidR="0091693D" w:rsidRDefault="00E00DC6" w:rsidP="00E20F5C">
      <w:pPr>
        <w:tabs>
          <w:tab w:val="left" w:pos="567"/>
        </w:tabs>
        <w:spacing w:line="480" w:lineRule="auto"/>
        <w:jc w:val="both"/>
      </w:pPr>
      <w:r>
        <w:lastRenderedPageBreak/>
        <w:t xml:space="preserve">The presence of the word “in” before “consistent” is somewhat confusing but there was no disagreement that </w:t>
      </w:r>
      <w:proofErr w:type="spellStart"/>
      <w:r>
        <w:t>Dr.</w:t>
      </w:r>
      <w:proofErr w:type="spellEnd"/>
      <w:r>
        <w:t xml:space="preserve"> Lee was stating that the symptoms of the notice party are more consistent with that of </w:t>
      </w:r>
      <w:r w:rsidR="00AA3A7A">
        <w:t>f</w:t>
      </w:r>
      <w:r>
        <w:t xml:space="preserve">ibromyalgia (than </w:t>
      </w:r>
      <w:r w:rsidR="00AA3A7A">
        <w:t>r</w:t>
      </w:r>
      <w:r>
        <w:t xml:space="preserve">heumatoid </w:t>
      </w:r>
      <w:r w:rsidR="00AA3A7A">
        <w:t>a</w:t>
      </w:r>
      <w:r>
        <w:t>rthritis).</w:t>
      </w:r>
    </w:p>
    <w:p w14:paraId="3AB60CEC" w14:textId="5A3642CC" w:rsidR="0091693D" w:rsidRPr="00E00DC6" w:rsidRDefault="00E00DC6"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Utmost submitted its entire file</w:t>
      </w:r>
      <w:r w:rsidR="00C01F24">
        <w:rPr>
          <w:rFonts w:ascii="Times New Roman" w:hAnsi="Times New Roman"/>
          <w:sz w:val="24"/>
        </w:rPr>
        <w:t xml:space="preserve"> relating to</w:t>
      </w:r>
      <w:r>
        <w:rPr>
          <w:rFonts w:ascii="Times New Roman" w:hAnsi="Times New Roman"/>
          <w:sz w:val="24"/>
        </w:rPr>
        <w:t xml:space="preserve"> the </w:t>
      </w:r>
      <w:r w:rsidR="00C01F24">
        <w:rPr>
          <w:rFonts w:ascii="Times New Roman" w:hAnsi="Times New Roman"/>
          <w:sz w:val="24"/>
        </w:rPr>
        <w:t>C</w:t>
      </w:r>
      <w:r>
        <w:rPr>
          <w:rFonts w:ascii="Times New Roman" w:hAnsi="Times New Roman"/>
          <w:sz w:val="24"/>
        </w:rPr>
        <w:t>laim to the FSPO, and included in the file was an internal email dated 27</w:t>
      </w:r>
      <w:r w:rsidRPr="00E00DC6">
        <w:rPr>
          <w:rFonts w:ascii="Times New Roman" w:hAnsi="Times New Roman"/>
          <w:sz w:val="24"/>
          <w:vertAlign w:val="superscript"/>
        </w:rPr>
        <w:t>th</w:t>
      </w:r>
      <w:r>
        <w:rPr>
          <w:rFonts w:ascii="Times New Roman" w:hAnsi="Times New Roman"/>
          <w:sz w:val="24"/>
        </w:rPr>
        <w:t xml:space="preserve"> July 2016 from a Mr. Graham </w:t>
      </w:r>
      <w:proofErr w:type="spellStart"/>
      <w:r>
        <w:rPr>
          <w:rFonts w:ascii="Times New Roman" w:hAnsi="Times New Roman"/>
          <w:sz w:val="24"/>
        </w:rPr>
        <w:t>Hulsman</w:t>
      </w:r>
      <w:proofErr w:type="spellEnd"/>
      <w:r w:rsidR="00C66700">
        <w:rPr>
          <w:rFonts w:ascii="Times New Roman" w:hAnsi="Times New Roman"/>
          <w:sz w:val="24"/>
        </w:rPr>
        <w:t xml:space="preserve"> (</w:t>
      </w:r>
      <w:r w:rsidR="00624096">
        <w:rPr>
          <w:rFonts w:ascii="Times New Roman" w:hAnsi="Times New Roman"/>
          <w:sz w:val="24"/>
        </w:rPr>
        <w:t xml:space="preserve">a </w:t>
      </w:r>
      <w:r w:rsidR="00C66700">
        <w:rPr>
          <w:rFonts w:ascii="Times New Roman" w:hAnsi="Times New Roman"/>
          <w:sz w:val="24"/>
        </w:rPr>
        <w:t>claims specialist</w:t>
      </w:r>
      <w:r w:rsidR="00624096">
        <w:rPr>
          <w:rFonts w:ascii="Times New Roman" w:hAnsi="Times New Roman"/>
          <w:sz w:val="24"/>
        </w:rPr>
        <w:t xml:space="preserve"> with Utmost</w:t>
      </w:r>
      <w:r w:rsidR="00C66700">
        <w:rPr>
          <w:rFonts w:ascii="Times New Roman" w:hAnsi="Times New Roman"/>
          <w:sz w:val="24"/>
        </w:rPr>
        <w:t>)</w:t>
      </w:r>
      <w:r>
        <w:rPr>
          <w:rFonts w:ascii="Times New Roman" w:hAnsi="Times New Roman"/>
          <w:sz w:val="24"/>
        </w:rPr>
        <w:t xml:space="preserve"> to the </w:t>
      </w:r>
      <w:r w:rsidR="00C770E7">
        <w:rPr>
          <w:rFonts w:ascii="Times New Roman" w:hAnsi="Times New Roman"/>
          <w:sz w:val="24"/>
        </w:rPr>
        <w:t>C</w:t>
      </w:r>
      <w:r>
        <w:rPr>
          <w:rFonts w:ascii="Times New Roman" w:hAnsi="Times New Roman"/>
          <w:sz w:val="24"/>
        </w:rPr>
        <w:t xml:space="preserve">hief Medical Officer of </w:t>
      </w:r>
      <w:r w:rsidR="00624096">
        <w:rPr>
          <w:rFonts w:ascii="Times New Roman" w:hAnsi="Times New Roman"/>
          <w:sz w:val="24"/>
        </w:rPr>
        <w:t xml:space="preserve">Generali </w:t>
      </w:r>
      <w:proofErr w:type="spellStart"/>
      <w:r w:rsidR="00624096">
        <w:rPr>
          <w:rFonts w:ascii="Times New Roman" w:hAnsi="Times New Roman"/>
          <w:sz w:val="24"/>
        </w:rPr>
        <w:t>PanEurope</w:t>
      </w:r>
      <w:proofErr w:type="spellEnd"/>
      <w:r w:rsidR="00624096">
        <w:rPr>
          <w:rFonts w:ascii="Times New Roman" w:hAnsi="Times New Roman"/>
          <w:sz w:val="24"/>
        </w:rPr>
        <w:t xml:space="preserve"> DAC (now Utmost)</w:t>
      </w:r>
      <w:r>
        <w:rPr>
          <w:rFonts w:ascii="Times New Roman" w:hAnsi="Times New Roman"/>
          <w:sz w:val="24"/>
        </w:rPr>
        <w:t xml:space="preserve">, namely a </w:t>
      </w:r>
      <w:proofErr w:type="spellStart"/>
      <w:r>
        <w:rPr>
          <w:rFonts w:ascii="Times New Roman" w:hAnsi="Times New Roman"/>
          <w:sz w:val="24"/>
        </w:rPr>
        <w:t>Dr.</w:t>
      </w:r>
      <w:proofErr w:type="spellEnd"/>
      <w:r>
        <w:rPr>
          <w:rFonts w:ascii="Times New Roman" w:hAnsi="Times New Roman"/>
          <w:sz w:val="24"/>
        </w:rPr>
        <w:t xml:space="preserve"> Deirdre Gleeson.  In the opening paragraph of this email, in a passage which attracts considerable criticism from the FSPO, Mr. </w:t>
      </w:r>
      <w:proofErr w:type="spellStart"/>
      <w:r>
        <w:rPr>
          <w:rFonts w:ascii="Times New Roman" w:hAnsi="Times New Roman"/>
          <w:sz w:val="24"/>
        </w:rPr>
        <w:t>Hulsman</w:t>
      </w:r>
      <w:proofErr w:type="spellEnd"/>
      <w:r>
        <w:rPr>
          <w:rFonts w:ascii="Times New Roman" w:hAnsi="Times New Roman"/>
          <w:sz w:val="24"/>
        </w:rPr>
        <w:t xml:space="preserve"> states:</w:t>
      </w:r>
    </w:p>
    <w:p w14:paraId="751A7E11" w14:textId="02C48622" w:rsidR="00E00DC6" w:rsidRPr="0091693D" w:rsidRDefault="00E00DC6"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 xml:space="preserve">“I would be grateful if you could review the case.  I find it perplexing how she was not declined entry into the scheme by the </w:t>
      </w:r>
      <w:r w:rsidR="00C770E7">
        <w:rPr>
          <w:rFonts w:ascii="Times New Roman" w:hAnsi="Times New Roman"/>
          <w:sz w:val="24"/>
        </w:rPr>
        <w:t>U</w:t>
      </w:r>
      <w:r>
        <w:rPr>
          <w:rFonts w:ascii="Times New Roman" w:hAnsi="Times New Roman"/>
          <w:sz w:val="24"/>
        </w:rPr>
        <w:t>nderwriter in 2006 given the history she had.  Nonetheless she was accepted with multiple exclusions as you see from Ian Bowles letter of 18 October 2006.”</w:t>
      </w:r>
    </w:p>
    <w:p w14:paraId="14634532" w14:textId="77777777" w:rsidR="0091693D" w:rsidRDefault="00E00DC6" w:rsidP="00E20F5C">
      <w:pPr>
        <w:pStyle w:val="ListParagraph"/>
        <w:tabs>
          <w:tab w:val="left" w:pos="567"/>
        </w:tabs>
        <w:spacing w:line="480" w:lineRule="auto"/>
        <w:ind w:left="0"/>
        <w:rPr>
          <w:rFonts w:ascii="Times New Roman" w:hAnsi="Times New Roman"/>
          <w:sz w:val="24"/>
        </w:rPr>
      </w:pPr>
      <w:r>
        <w:rPr>
          <w:rFonts w:ascii="Times New Roman" w:hAnsi="Times New Roman"/>
          <w:sz w:val="24"/>
        </w:rPr>
        <w:t xml:space="preserve">This email then concludes </w:t>
      </w:r>
      <w:r w:rsidR="00C916BC">
        <w:rPr>
          <w:rFonts w:ascii="Times New Roman" w:hAnsi="Times New Roman"/>
          <w:sz w:val="24"/>
        </w:rPr>
        <w:t>with another paragraph, which also attracts criticism from the FSPO:</w:t>
      </w:r>
    </w:p>
    <w:p w14:paraId="3F623BBF" w14:textId="14AA3F9E" w:rsidR="00C916BC" w:rsidRPr="0091693D" w:rsidRDefault="00C916BC"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 xml:space="preserve">“If you feel there is clear line of sight between her illness/symptoms and the exclusions, then we will likely decline, but could you clearly show how we can link up </w:t>
      </w:r>
      <w:r w:rsidR="00C770E7">
        <w:rPr>
          <w:rFonts w:ascii="Times New Roman" w:hAnsi="Times New Roman"/>
          <w:sz w:val="24"/>
        </w:rPr>
        <w:t>t</w:t>
      </w:r>
      <w:r>
        <w:rPr>
          <w:rFonts w:ascii="Times New Roman" w:hAnsi="Times New Roman"/>
          <w:sz w:val="24"/>
        </w:rPr>
        <w:t>he exclusions to the FM and the symptoms she is claiming as the decline letter will need to specify this.”</w:t>
      </w:r>
    </w:p>
    <w:p w14:paraId="369AEB26" w14:textId="560E1CEA" w:rsidR="0091693D" w:rsidRDefault="00C916BC" w:rsidP="00E20F5C">
      <w:pPr>
        <w:pStyle w:val="ListParagraph"/>
        <w:tabs>
          <w:tab w:val="left" w:pos="567"/>
        </w:tabs>
        <w:spacing w:line="480" w:lineRule="auto"/>
        <w:ind w:left="0"/>
        <w:rPr>
          <w:rFonts w:ascii="Times New Roman" w:hAnsi="Times New Roman"/>
          <w:sz w:val="24"/>
        </w:rPr>
      </w:pPr>
      <w:r>
        <w:rPr>
          <w:rFonts w:ascii="Times New Roman" w:hAnsi="Times New Roman"/>
          <w:sz w:val="24"/>
        </w:rPr>
        <w:t xml:space="preserve">This email might suggest that any such declinature is likely to issue from Mr. </w:t>
      </w:r>
      <w:proofErr w:type="spellStart"/>
      <w:r>
        <w:rPr>
          <w:rFonts w:ascii="Times New Roman" w:hAnsi="Times New Roman"/>
          <w:sz w:val="24"/>
        </w:rPr>
        <w:t>Hulsman</w:t>
      </w:r>
      <w:proofErr w:type="spellEnd"/>
      <w:r>
        <w:rPr>
          <w:rFonts w:ascii="Times New Roman" w:hAnsi="Times New Roman"/>
          <w:sz w:val="24"/>
        </w:rPr>
        <w:t xml:space="preserve"> or one of his administrative colleagues, and not </w:t>
      </w:r>
      <w:proofErr w:type="spellStart"/>
      <w:r>
        <w:rPr>
          <w:rFonts w:ascii="Times New Roman" w:hAnsi="Times New Roman"/>
          <w:sz w:val="24"/>
        </w:rPr>
        <w:t>Dr.</w:t>
      </w:r>
      <w:proofErr w:type="spellEnd"/>
      <w:r>
        <w:rPr>
          <w:rFonts w:ascii="Times New Roman" w:hAnsi="Times New Roman"/>
          <w:sz w:val="24"/>
        </w:rPr>
        <w:t xml:space="preserve"> Gleeson herself, but in fact the letter declining the cover was sent by </w:t>
      </w:r>
      <w:proofErr w:type="spellStart"/>
      <w:r>
        <w:rPr>
          <w:rFonts w:ascii="Times New Roman" w:hAnsi="Times New Roman"/>
          <w:sz w:val="24"/>
        </w:rPr>
        <w:t>Dr.</w:t>
      </w:r>
      <w:proofErr w:type="spellEnd"/>
      <w:r>
        <w:rPr>
          <w:rFonts w:ascii="Times New Roman" w:hAnsi="Times New Roman"/>
          <w:sz w:val="24"/>
        </w:rPr>
        <w:t xml:space="preserve"> Gleeson personally on 29</w:t>
      </w:r>
      <w:r w:rsidRPr="00C916BC">
        <w:rPr>
          <w:rFonts w:ascii="Times New Roman" w:hAnsi="Times New Roman"/>
          <w:sz w:val="24"/>
          <w:vertAlign w:val="superscript"/>
        </w:rPr>
        <w:t>th</w:t>
      </w:r>
      <w:r>
        <w:rPr>
          <w:rFonts w:ascii="Times New Roman" w:hAnsi="Times New Roman"/>
          <w:sz w:val="24"/>
        </w:rPr>
        <w:t xml:space="preserve"> July 2016.  In this letter, </w:t>
      </w:r>
      <w:proofErr w:type="spellStart"/>
      <w:r>
        <w:rPr>
          <w:rFonts w:ascii="Times New Roman" w:hAnsi="Times New Roman"/>
          <w:sz w:val="24"/>
        </w:rPr>
        <w:t>Dr.</w:t>
      </w:r>
      <w:proofErr w:type="spellEnd"/>
      <w:r>
        <w:rPr>
          <w:rFonts w:ascii="Times New Roman" w:hAnsi="Times New Roman"/>
          <w:sz w:val="24"/>
        </w:rPr>
        <w:t xml:space="preserve"> Gleeson refers to the exclusions applicable to the notice party and then goes on </w:t>
      </w:r>
      <w:r w:rsidR="00981DB6">
        <w:rPr>
          <w:rFonts w:ascii="Times New Roman" w:hAnsi="Times New Roman"/>
          <w:sz w:val="24"/>
        </w:rPr>
        <w:t>to</w:t>
      </w:r>
      <w:r>
        <w:rPr>
          <w:rFonts w:ascii="Times New Roman" w:hAnsi="Times New Roman"/>
          <w:sz w:val="24"/>
        </w:rPr>
        <w:t xml:space="preserve"> state:</w:t>
      </w:r>
    </w:p>
    <w:p w14:paraId="703BE5B2" w14:textId="335E66D4" w:rsidR="00C916BC" w:rsidRDefault="00C916B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 note from the evidence you provided that </w:t>
      </w:r>
      <w:proofErr w:type="spellStart"/>
      <w:r>
        <w:rPr>
          <w:rFonts w:ascii="Times New Roman" w:hAnsi="Times New Roman"/>
          <w:sz w:val="24"/>
        </w:rPr>
        <w:t>Dr.</w:t>
      </w:r>
      <w:proofErr w:type="spellEnd"/>
      <w:r>
        <w:rPr>
          <w:rFonts w:ascii="Times New Roman" w:hAnsi="Times New Roman"/>
          <w:sz w:val="24"/>
        </w:rPr>
        <w:t xml:space="preserve"> Lee diagnosed </w:t>
      </w:r>
      <w:r w:rsidR="009109AB">
        <w:rPr>
          <w:rFonts w:ascii="Times New Roman" w:hAnsi="Times New Roman"/>
          <w:sz w:val="24"/>
        </w:rPr>
        <w:t>F</w:t>
      </w:r>
      <w:r>
        <w:rPr>
          <w:rFonts w:ascii="Times New Roman" w:hAnsi="Times New Roman"/>
          <w:sz w:val="24"/>
        </w:rPr>
        <w:t xml:space="preserve">ibromyalgia (FMA) and not any form of </w:t>
      </w:r>
      <w:r w:rsidR="009109AB">
        <w:rPr>
          <w:rFonts w:ascii="Times New Roman" w:hAnsi="Times New Roman"/>
          <w:sz w:val="24"/>
        </w:rPr>
        <w:t>A</w:t>
      </w:r>
      <w:r>
        <w:rPr>
          <w:rFonts w:ascii="Times New Roman" w:hAnsi="Times New Roman"/>
          <w:sz w:val="24"/>
        </w:rPr>
        <w:t>rthritis</w:t>
      </w:r>
      <w:r w:rsidR="002E515B">
        <w:rPr>
          <w:rFonts w:ascii="Times New Roman" w:hAnsi="Times New Roman"/>
          <w:sz w:val="24"/>
        </w:rPr>
        <w:t xml:space="preserve">. </w:t>
      </w:r>
      <w:r>
        <w:rPr>
          <w:rFonts w:ascii="Times New Roman" w:hAnsi="Times New Roman"/>
          <w:sz w:val="24"/>
        </w:rPr>
        <w:t xml:space="preserve">… </w:t>
      </w:r>
      <w:r w:rsidR="002E515B">
        <w:rPr>
          <w:rFonts w:ascii="Times New Roman" w:hAnsi="Times New Roman"/>
          <w:sz w:val="24"/>
        </w:rPr>
        <w:t>F</w:t>
      </w:r>
      <w:r>
        <w:rPr>
          <w:rFonts w:ascii="Times New Roman" w:hAnsi="Times New Roman"/>
          <w:sz w:val="24"/>
        </w:rPr>
        <w:t>ibromyalgia (FMA) is recogni</w:t>
      </w:r>
      <w:r w:rsidR="002E515B">
        <w:rPr>
          <w:rFonts w:ascii="Times New Roman" w:hAnsi="Times New Roman"/>
          <w:sz w:val="24"/>
        </w:rPr>
        <w:t>z</w:t>
      </w:r>
      <w:r>
        <w:rPr>
          <w:rFonts w:ascii="Times New Roman" w:hAnsi="Times New Roman"/>
          <w:sz w:val="24"/>
        </w:rPr>
        <w:t xml:space="preserve">ed by doctors as a </w:t>
      </w:r>
      <w:r>
        <w:rPr>
          <w:rFonts w:ascii="Times New Roman" w:hAnsi="Times New Roman"/>
          <w:sz w:val="24"/>
        </w:rPr>
        <w:lastRenderedPageBreak/>
        <w:t xml:space="preserve">functional psychosomatic disorder and is related to </w:t>
      </w:r>
      <w:r w:rsidR="002E515B">
        <w:rPr>
          <w:rFonts w:ascii="Times New Roman" w:hAnsi="Times New Roman"/>
          <w:sz w:val="24"/>
        </w:rPr>
        <w:t>C</w:t>
      </w:r>
      <w:r>
        <w:rPr>
          <w:rFonts w:ascii="Times New Roman" w:hAnsi="Times New Roman"/>
          <w:sz w:val="24"/>
        </w:rPr>
        <w:t xml:space="preserve">hronic </w:t>
      </w:r>
      <w:r w:rsidR="002E515B">
        <w:rPr>
          <w:rFonts w:ascii="Times New Roman" w:hAnsi="Times New Roman"/>
          <w:sz w:val="24"/>
        </w:rPr>
        <w:t>F</w:t>
      </w:r>
      <w:r>
        <w:rPr>
          <w:rFonts w:ascii="Times New Roman" w:hAnsi="Times New Roman"/>
          <w:sz w:val="24"/>
        </w:rPr>
        <w:t xml:space="preserve">atigue </w:t>
      </w:r>
      <w:r w:rsidR="002E515B">
        <w:rPr>
          <w:rFonts w:ascii="Times New Roman" w:hAnsi="Times New Roman"/>
          <w:sz w:val="24"/>
        </w:rPr>
        <w:t>S</w:t>
      </w:r>
      <w:r>
        <w:rPr>
          <w:rFonts w:ascii="Times New Roman" w:hAnsi="Times New Roman"/>
          <w:sz w:val="24"/>
        </w:rPr>
        <w:t>yndrome (CFS) and many experts believe that CFS and FMA are the same condition</w:t>
      </w:r>
      <w:r w:rsidR="002E515B">
        <w:rPr>
          <w:rFonts w:ascii="Times New Roman" w:hAnsi="Times New Roman"/>
          <w:sz w:val="24"/>
        </w:rPr>
        <w:t>. …</w:t>
      </w:r>
    </w:p>
    <w:p w14:paraId="44E7D626" w14:textId="77777777" w:rsidR="00C916BC" w:rsidRDefault="00C916B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There is a strong association between stress and FMA/CFS.  Generali notes you report mental symptoms including poor concentration, poor memory and you are taking anti-depressants… </w:t>
      </w:r>
    </w:p>
    <w:p w14:paraId="0D0F4CA5" w14:textId="5841AE7E" w:rsidR="00C916BC" w:rsidRDefault="00C916B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Generali are unable to consider the claim since FMA is linked to CFS and FMA directly or indirectly attributable to a mental or functional nervous disorder which are excluded in the special terms</w:t>
      </w:r>
      <w:r w:rsidR="000F49F1">
        <w:rPr>
          <w:rFonts w:ascii="Times New Roman" w:hAnsi="Times New Roman"/>
          <w:sz w:val="24"/>
        </w:rPr>
        <w:t xml:space="preserve">. </w:t>
      </w:r>
      <w:r>
        <w:rPr>
          <w:rFonts w:ascii="Times New Roman" w:hAnsi="Times New Roman"/>
          <w:sz w:val="24"/>
        </w:rPr>
        <w:t>…</w:t>
      </w:r>
    </w:p>
    <w:p w14:paraId="18235FFC" w14:textId="65EF1727" w:rsidR="00D440D4" w:rsidRPr="0042543F" w:rsidRDefault="00C916B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Generali are further unable to consider the claim as FMA is directly or indirectly attributable to the spine</w:t>
      </w:r>
      <w:r w:rsidR="000F49F1">
        <w:rPr>
          <w:rFonts w:ascii="Times New Roman" w:hAnsi="Times New Roman"/>
          <w:sz w:val="24"/>
        </w:rPr>
        <w:t>,</w:t>
      </w:r>
      <w:r>
        <w:rPr>
          <w:rFonts w:ascii="Times New Roman" w:hAnsi="Times New Roman"/>
          <w:sz w:val="24"/>
        </w:rPr>
        <w:t xml:space="preserve"> </w:t>
      </w:r>
      <w:r w:rsidR="009F78A7">
        <w:rPr>
          <w:rFonts w:ascii="Times New Roman" w:hAnsi="Times New Roman"/>
          <w:sz w:val="24"/>
        </w:rPr>
        <w:t>sacroiliac joints and their related supporting muscular or ligament</w:t>
      </w:r>
      <w:r w:rsidR="001E54EF">
        <w:rPr>
          <w:rFonts w:ascii="Times New Roman" w:hAnsi="Times New Roman"/>
          <w:sz w:val="24"/>
        </w:rPr>
        <w:t>o</w:t>
      </w:r>
      <w:r w:rsidR="009F78A7">
        <w:rPr>
          <w:rFonts w:ascii="Times New Roman" w:hAnsi="Times New Roman"/>
          <w:sz w:val="24"/>
        </w:rPr>
        <w:t>us structure which are excluded in the special terms</w:t>
      </w:r>
      <w:r w:rsidR="000F49F1">
        <w:rPr>
          <w:rFonts w:ascii="Times New Roman" w:hAnsi="Times New Roman"/>
          <w:sz w:val="24"/>
        </w:rPr>
        <w:t xml:space="preserve">. </w:t>
      </w:r>
      <w:r w:rsidR="009F78A7">
        <w:rPr>
          <w:rFonts w:ascii="Times New Roman" w:hAnsi="Times New Roman"/>
          <w:sz w:val="24"/>
        </w:rPr>
        <w:t>…”</w:t>
      </w:r>
    </w:p>
    <w:p w14:paraId="5DD16E03" w14:textId="18457AE6" w:rsidR="00A72515" w:rsidRDefault="009C71D8" w:rsidP="00E20F5C">
      <w:pPr>
        <w:pStyle w:val="ListParagraph"/>
        <w:numPr>
          <w:ilvl w:val="0"/>
          <w:numId w:val="1"/>
        </w:numPr>
        <w:tabs>
          <w:tab w:val="left" w:pos="567"/>
        </w:tabs>
        <w:spacing w:line="480" w:lineRule="auto"/>
        <w:ind w:left="0" w:firstLine="0"/>
        <w:rPr>
          <w:rFonts w:ascii="Times New Roman" w:hAnsi="Times New Roman"/>
          <w:iCs/>
          <w:sz w:val="24"/>
        </w:rPr>
      </w:pPr>
      <w:r>
        <w:rPr>
          <w:rFonts w:ascii="Times New Roman" w:hAnsi="Times New Roman"/>
          <w:sz w:val="24"/>
        </w:rPr>
        <w:t xml:space="preserve">The notice party appealed this decision </w:t>
      </w:r>
      <w:r w:rsidR="00A72515">
        <w:rPr>
          <w:rFonts w:ascii="Times New Roman" w:hAnsi="Times New Roman"/>
          <w:sz w:val="24"/>
        </w:rPr>
        <w:t>(in accordance with the Scheme)</w:t>
      </w:r>
      <w:r w:rsidR="00604252">
        <w:rPr>
          <w:rFonts w:ascii="Times New Roman" w:hAnsi="Times New Roman"/>
          <w:sz w:val="24"/>
        </w:rPr>
        <w:t xml:space="preserve"> </w:t>
      </w:r>
      <w:r>
        <w:rPr>
          <w:rFonts w:ascii="Times New Roman" w:hAnsi="Times New Roman"/>
          <w:sz w:val="24"/>
        </w:rPr>
        <w:t>by letter dated 26</w:t>
      </w:r>
      <w:r w:rsidRPr="009C71D8">
        <w:rPr>
          <w:rFonts w:ascii="Times New Roman" w:hAnsi="Times New Roman"/>
          <w:sz w:val="24"/>
          <w:vertAlign w:val="superscript"/>
        </w:rPr>
        <w:t>th</w:t>
      </w:r>
      <w:r>
        <w:rPr>
          <w:rFonts w:ascii="Times New Roman" w:hAnsi="Times New Roman"/>
          <w:sz w:val="24"/>
        </w:rPr>
        <w:t xml:space="preserve"> August 2016.  She included with this letter a medical certificate from her </w:t>
      </w:r>
      <w:r w:rsidR="00A72515">
        <w:rPr>
          <w:rFonts w:ascii="Times New Roman" w:hAnsi="Times New Roman"/>
          <w:sz w:val="24"/>
        </w:rPr>
        <w:t>g</w:t>
      </w:r>
      <w:r>
        <w:rPr>
          <w:rFonts w:ascii="Times New Roman" w:hAnsi="Times New Roman"/>
          <w:sz w:val="24"/>
        </w:rPr>
        <w:t xml:space="preserve">eneral </w:t>
      </w:r>
      <w:r w:rsidR="00A72515">
        <w:rPr>
          <w:rFonts w:ascii="Times New Roman" w:hAnsi="Times New Roman"/>
          <w:sz w:val="24"/>
        </w:rPr>
        <w:t>p</w:t>
      </w:r>
      <w:r>
        <w:rPr>
          <w:rFonts w:ascii="Times New Roman" w:hAnsi="Times New Roman"/>
          <w:sz w:val="24"/>
        </w:rPr>
        <w:t>ractitioner of the same date</w:t>
      </w:r>
      <w:r w:rsidR="00A72515">
        <w:rPr>
          <w:rFonts w:ascii="Times New Roman" w:hAnsi="Times New Roman"/>
          <w:sz w:val="24"/>
        </w:rPr>
        <w:t>,</w:t>
      </w:r>
      <w:r w:rsidR="00601FCF">
        <w:rPr>
          <w:rFonts w:ascii="Times New Roman" w:hAnsi="Times New Roman"/>
          <w:sz w:val="24"/>
        </w:rPr>
        <w:t xml:space="preserve"> </w:t>
      </w:r>
      <w:r>
        <w:rPr>
          <w:rFonts w:ascii="Times New Roman" w:hAnsi="Times New Roman"/>
          <w:sz w:val="24"/>
        </w:rPr>
        <w:t xml:space="preserve">which stated that the notice party was unfit to attend work due to: </w:t>
      </w:r>
      <w:r w:rsidRPr="00DA187D">
        <w:rPr>
          <w:rFonts w:ascii="Times New Roman" w:hAnsi="Times New Roman"/>
          <w:iCs/>
          <w:sz w:val="24"/>
        </w:rPr>
        <w:t>“</w:t>
      </w:r>
      <w:r w:rsidR="00DA187D">
        <w:rPr>
          <w:rFonts w:ascii="Times New Roman" w:hAnsi="Times New Roman"/>
          <w:iCs/>
          <w:sz w:val="24"/>
        </w:rPr>
        <w:t>C</w:t>
      </w:r>
      <w:r w:rsidRPr="00DA187D">
        <w:rPr>
          <w:rFonts w:ascii="Times New Roman" w:hAnsi="Times New Roman"/>
          <w:iCs/>
          <w:sz w:val="24"/>
        </w:rPr>
        <w:t xml:space="preserve">onfirmed </w:t>
      </w:r>
      <w:r w:rsidR="00DA187D">
        <w:rPr>
          <w:rFonts w:ascii="Times New Roman" w:hAnsi="Times New Roman"/>
          <w:iCs/>
          <w:sz w:val="24"/>
        </w:rPr>
        <w:t>R</w:t>
      </w:r>
      <w:r w:rsidRPr="00DA187D">
        <w:rPr>
          <w:rFonts w:ascii="Times New Roman" w:hAnsi="Times New Roman"/>
          <w:iCs/>
          <w:sz w:val="24"/>
        </w:rPr>
        <w:t xml:space="preserve">heumatoid arthritis under treatment with </w:t>
      </w:r>
      <w:r w:rsidR="00DA187D">
        <w:rPr>
          <w:rFonts w:ascii="Times New Roman" w:hAnsi="Times New Roman"/>
          <w:iCs/>
          <w:sz w:val="24"/>
        </w:rPr>
        <w:t>R</w:t>
      </w:r>
      <w:r w:rsidRPr="00DA187D">
        <w:rPr>
          <w:rFonts w:ascii="Times New Roman" w:hAnsi="Times New Roman"/>
          <w:iCs/>
          <w:sz w:val="24"/>
        </w:rPr>
        <w:t xml:space="preserve">heumatologist”.  </w:t>
      </w:r>
      <w:r w:rsidR="00A72515">
        <w:rPr>
          <w:rFonts w:ascii="Times New Roman" w:hAnsi="Times New Roman"/>
          <w:iCs/>
          <w:sz w:val="24"/>
        </w:rPr>
        <w:t>The notice party subsequently provided a report dated 28</w:t>
      </w:r>
      <w:r w:rsidR="00A72515" w:rsidRPr="00A72515">
        <w:rPr>
          <w:rFonts w:ascii="Times New Roman" w:hAnsi="Times New Roman"/>
          <w:iCs/>
          <w:sz w:val="24"/>
          <w:vertAlign w:val="superscript"/>
        </w:rPr>
        <w:t>th</w:t>
      </w:r>
      <w:r w:rsidR="00A72515">
        <w:rPr>
          <w:rFonts w:ascii="Times New Roman" w:hAnsi="Times New Roman"/>
          <w:iCs/>
          <w:sz w:val="24"/>
        </w:rPr>
        <w:t xml:space="preserve"> September 20</w:t>
      </w:r>
      <w:r w:rsidR="00601FCF">
        <w:rPr>
          <w:rFonts w:ascii="Times New Roman" w:hAnsi="Times New Roman"/>
          <w:iCs/>
          <w:sz w:val="24"/>
        </w:rPr>
        <w:t>1</w:t>
      </w:r>
      <w:r w:rsidR="00A72515">
        <w:rPr>
          <w:rFonts w:ascii="Times New Roman" w:hAnsi="Times New Roman"/>
          <w:iCs/>
          <w:sz w:val="24"/>
        </w:rPr>
        <w:t xml:space="preserve">6, from a </w:t>
      </w:r>
      <w:proofErr w:type="spellStart"/>
      <w:r w:rsidR="00A72515">
        <w:rPr>
          <w:rFonts w:ascii="Times New Roman" w:hAnsi="Times New Roman"/>
          <w:iCs/>
          <w:sz w:val="24"/>
        </w:rPr>
        <w:t>Dr.</w:t>
      </w:r>
      <w:proofErr w:type="spellEnd"/>
      <w:r w:rsidR="00A72515">
        <w:rPr>
          <w:rFonts w:ascii="Times New Roman" w:hAnsi="Times New Roman"/>
          <w:iCs/>
          <w:sz w:val="24"/>
        </w:rPr>
        <w:t xml:space="preserve"> Paul O’Connell, consultant rheumatologist, Beaumont </w:t>
      </w:r>
      <w:r w:rsidR="00A265DA">
        <w:rPr>
          <w:rFonts w:ascii="Times New Roman" w:hAnsi="Times New Roman"/>
          <w:iCs/>
          <w:sz w:val="24"/>
        </w:rPr>
        <w:t>H</w:t>
      </w:r>
      <w:r w:rsidR="00A72515">
        <w:rPr>
          <w:rFonts w:ascii="Times New Roman" w:hAnsi="Times New Roman"/>
          <w:iCs/>
          <w:sz w:val="24"/>
        </w:rPr>
        <w:t xml:space="preserve">ospital, in support of her appeal. In this report </w:t>
      </w:r>
      <w:proofErr w:type="spellStart"/>
      <w:r w:rsidR="00A72515">
        <w:rPr>
          <w:rFonts w:ascii="Times New Roman" w:hAnsi="Times New Roman"/>
          <w:iCs/>
          <w:sz w:val="24"/>
        </w:rPr>
        <w:t>Dr.</w:t>
      </w:r>
      <w:proofErr w:type="spellEnd"/>
      <w:r w:rsidR="00A72515">
        <w:rPr>
          <w:rFonts w:ascii="Times New Roman" w:hAnsi="Times New Roman"/>
          <w:iCs/>
          <w:sz w:val="24"/>
        </w:rPr>
        <w:t xml:space="preserve"> O’Connell state</w:t>
      </w:r>
      <w:r w:rsidR="00D440D4">
        <w:rPr>
          <w:rFonts w:ascii="Times New Roman" w:hAnsi="Times New Roman"/>
          <w:iCs/>
          <w:sz w:val="24"/>
        </w:rPr>
        <w:t>d</w:t>
      </w:r>
      <w:r w:rsidR="00A72515">
        <w:rPr>
          <w:rFonts w:ascii="Times New Roman" w:hAnsi="Times New Roman"/>
          <w:iCs/>
          <w:sz w:val="24"/>
        </w:rPr>
        <w:t>:</w:t>
      </w:r>
    </w:p>
    <w:p w14:paraId="3225549A" w14:textId="290CE302" w:rsidR="00A72515" w:rsidRPr="009C71D8" w:rsidRDefault="00A72515"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“It is our feeling that you probably do have rheumatoid arthritis though thankfully it is relatively early.  This appears to be causing at least some of the pains in your hands, feet, knees and other joints.…”</w:t>
      </w:r>
    </w:p>
    <w:p w14:paraId="5D2B674B" w14:textId="77777777" w:rsidR="00A72515" w:rsidRPr="007A383F" w:rsidRDefault="00A72515" w:rsidP="00E20F5C">
      <w:pPr>
        <w:pStyle w:val="ListParagraph"/>
        <w:numPr>
          <w:ilvl w:val="0"/>
          <w:numId w:val="1"/>
        </w:numPr>
        <w:tabs>
          <w:tab w:val="left" w:pos="567"/>
        </w:tabs>
        <w:spacing w:line="480" w:lineRule="auto"/>
        <w:ind w:left="0" w:firstLine="0"/>
        <w:rPr>
          <w:rFonts w:ascii="Times New Roman" w:hAnsi="Times New Roman"/>
          <w:b/>
          <w:sz w:val="24"/>
          <w:u w:val="single"/>
        </w:rPr>
      </w:pPr>
      <w:proofErr w:type="spellStart"/>
      <w:r>
        <w:rPr>
          <w:rFonts w:ascii="Times New Roman" w:hAnsi="Times New Roman"/>
          <w:sz w:val="24"/>
        </w:rPr>
        <w:t>Dr.</w:t>
      </w:r>
      <w:proofErr w:type="spellEnd"/>
      <w:r>
        <w:rPr>
          <w:rFonts w:ascii="Times New Roman" w:hAnsi="Times New Roman"/>
          <w:sz w:val="24"/>
        </w:rPr>
        <w:t xml:space="preserve"> O’Connell goes on to refer to the medication prescribed for the notice party and to other steps that she might take as part of her rehabilitation.  He says:</w:t>
      </w:r>
    </w:p>
    <w:p w14:paraId="57BC2AF9" w14:textId="31E72411" w:rsidR="00D440D4" w:rsidRPr="000E03A1" w:rsidRDefault="00A72515"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 am hopeful that there will be improvement over the next 2 to 3 months most especially in the rheumatoid component of your problems which should help the joint </w:t>
      </w:r>
      <w:r>
        <w:rPr>
          <w:rFonts w:ascii="Times New Roman" w:hAnsi="Times New Roman"/>
          <w:sz w:val="24"/>
        </w:rPr>
        <w:lastRenderedPageBreak/>
        <w:t>pain in the hands, feet, knees, elbows and other sites.  The more non-specific muscular component of your symptoms will hopefully respond to a mixture of improved sleep pattern and improved general fitness and a reduction in the total amount of pain.</w:t>
      </w:r>
    </w:p>
    <w:p w14:paraId="57B1C6B8" w14:textId="6B749A2D" w:rsidR="007A383F" w:rsidRPr="007A383F" w:rsidRDefault="00A72515"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I hope this can help clarify symptoms for your insurance agent.  I do believe that rheumatoid arthritis is a significant component of your problems but not the only one.  I am hoping for a steady improvement over the next few months.”</w:t>
      </w:r>
    </w:p>
    <w:p w14:paraId="5A21713C" w14:textId="0E213F68" w:rsidR="0086459E" w:rsidRPr="00ED17C0" w:rsidRDefault="007A383F"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By letter dated 12</w:t>
      </w:r>
      <w:r w:rsidRPr="007A383F">
        <w:rPr>
          <w:rFonts w:ascii="Times New Roman" w:hAnsi="Times New Roman"/>
          <w:sz w:val="24"/>
          <w:vertAlign w:val="superscript"/>
        </w:rPr>
        <w:t>th</w:t>
      </w:r>
      <w:r>
        <w:rPr>
          <w:rFonts w:ascii="Times New Roman" w:hAnsi="Times New Roman"/>
          <w:sz w:val="24"/>
        </w:rPr>
        <w:t xml:space="preserve"> December 2016, </w:t>
      </w:r>
      <w:r w:rsidR="00050D2D">
        <w:rPr>
          <w:rFonts w:ascii="Times New Roman" w:hAnsi="Times New Roman"/>
          <w:sz w:val="24"/>
        </w:rPr>
        <w:t xml:space="preserve">a Ms. Deirdre Devine of the claims department of </w:t>
      </w:r>
      <w:r>
        <w:rPr>
          <w:rFonts w:ascii="Times New Roman" w:hAnsi="Times New Roman"/>
          <w:sz w:val="24"/>
        </w:rPr>
        <w:t xml:space="preserve">Utmost wrote to </w:t>
      </w:r>
      <w:proofErr w:type="spellStart"/>
      <w:r>
        <w:rPr>
          <w:rFonts w:ascii="Times New Roman" w:hAnsi="Times New Roman"/>
          <w:sz w:val="24"/>
        </w:rPr>
        <w:t>Dr.</w:t>
      </w:r>
      <w:proofErr w:type="spellEnd"/>
      <w:r>
        <w:rPr>
          <w:rFonts w:ascii="Times New Roman" w:hAnsi="Times New Roman"/>
          <w:sz w:val="24"/>
        </w:rPr>
        <w:t xml:space="preserve"> Howard</w:t>
      </w:r>
      <w:r w:rsidR="007118C7">
        <w:rPr>
          <w:rFonts w:ascii="Times New Roman" w:hAnsi="Times New Roman"/>
          <w:sz w:val="24"/>
        </w:rPr>
        <w:t>, setting out the background to the matter and asking</w:t>
      </w:r>
      <w:r>
        <w:rPr>
          <w:rFonts w:ascii="Times New Roman" w:hAnsi="Times New Roman"/>
          <w:sz w:val="24"/>
        </w:rPr>
        <w:t xml:space="preserve"> </w:t>
      </w:r>
      <w:r w:rsidR="007118C7">
        <w:rPr>
          <w:rFonts w:ascii="Times New Roman" w:hAnsi="Times New Roman"/>
          <w:sz w:val="24"/>
        </w:rPr>
        <w:t xml:space="preserve">thirteen numbered and specific questions. Question 11 </w:t>
      </w:r>
      <w:r>
        <w:rPr>
          <w:rFonts w:ascii="Times New Roman" w:hAnsi="Times New Roman"/>
          <w:sz w:val="24"/>
        </w:rPr>
        <w:t>request</w:t>
      </w:r>
      <w:r w:rsidR="007118C7">
        <w:rPr>
          <w:rFonts w:ascii="Times New Roman" w:hAnsi="Times New Roman"/>
          <w:sz w:val="24"/>
        </w:rPr>
        <w:t>ed</w:t>
      </w:r>
      <w:r>
        <w:rPr>
          <w:rFonts w:ascii="Times New Roman" w:hAnsi="Times New Roman"/>
          <w:sz w:val="24"/>
        </w:rPr>
        <w:t xml:space="preserve"> his opinion as to whether or not the notice party </w:t>
      </w:r>
      <w:r w:rsidR="00D440D4">
        <w:rPr>
          <w:rFonts w:ascii="Times New Roman" w:hAnsi="Times New Roman"/>
          <w:sz w:val="24"/>
        </w:rPr>
        <w:t>was</w:t>
      </w:r>
      <w:r>
        <w:rPr>
          <w:rFonts w:ascii="Times New Roman" w:hAnsi="Times New Roman"/>
          <w:sz w:val="24"/>
        </w:rPr>
        <w:t xml:space="preserve"> fit to carry out her normal occupation on a full time basis, and </w:t>
      </w:r>
      <w:r w:rsidR="007118C7">
        <w:rPr>
          <w:rFonts w:ascii="Times New Roman" w:hAnsi="Times New Roman"/>
          <w:sz w:val="24"/>
        </w:rPr>
        <w:t xml:space="preserve">question 12 asked </w:t>
      </w:r>
      <w:proofErr w:type="spellStart"/>
      <w:r w:rsidR="007118C7">
        <w:rPr>
          <w:rFonts w:ascii="Times New Roman" w:hAnsi="Times New Roman"/>
          <w:sz w:val="24"/>
        </w:rPr>
        <w:t>Dr.</w:t>
      </w:r>
      <w:proofErr w:type="spellEnd"/>
      <w:r w:rsidR="007118C7">
        <w:rPr>
          <w:rFonts w:ascii="Times New Roman" w:hAnsi="Times New Roman"/>
          <w:sz w:val="24"/>
        </w:rPr>
        <w:t xml:space="preserve"> Howard, </w:t>
      </w:r>
      <w:r>
        <w:rPr>
          <w:rFonts w:ascii="Times New Roman" w:hAnsi="Times New Roman"/>
          <w:sz w:val="24"/>
        </w:rPr>
        <w:t xml:space="preserve">if he </w:t>
      </w:r>
      <w:r w:rsidR="00D440D4">
        <w:rPr>
          <w:rFonts w:ascii="Times New Roman" w:hAnsi="Times New Roman"/>
          <w:sz w:val="24"/>
        </w:rPr>
        <w:t>wa</w:t>
      </w:r>
      <w:r>
        <w:rPr>
          <w:rFonts w:ascii="Times New Roman" w:hAnsi="Times New Roman"/>
          <w:sz w:val="24"/>
        </w:rPr>
        <w:t xml:space="preserve">s of </w:t>
      </w:r>
      <w:r w:rsidR="000161E1">
        <w:rPr>
          <w:rFonts w:ascii="Times New Roman" w:hAnsi="Times New Roman"/>
          <w:sz w:val="24"/>
        </w:rPr>
        <w:t xml:space="preserve">the </w:t>
      </w:r>
      <w:r>
        <w:rPr>
          <w:rFonts w:ascii="Times New Roman" w:hAnsi="Times New Roman"/>
          <w:sz w:val="24"/>
        </w:rPr>
        <w:t xml:space="preserve">opinion that she </w:t>
      </w:r>
      <w:r w:rsidR="00D440D4">
        <w:rPr>
          <w:rFonts w:ascii="Times New Roman" w:hAnsi="Times New Roman"/>
          <w:sz w:val="24"/>
        </w:rPr>
        <w:t>wa</w:t>
      </w:r>
      <w:r>
        <w:rPr>
          <w:rFonts w:ascii="Times New Roman" w:hAnsi="Times New Roman"/>
          <w:sz w:val="24"/>
        </w:rPr>
        <w:t xml:space="preserve">s </w:t>
      </w:r>
      <w:r w:rsidR="007118C7">
        <w:rPr>
          <w:rFonts w:ascii="Times New Roman" w:hAnsi="Times New Roman"/>
          <w:sz w:val="24"/>
        </w:rPr>
        <w:t xml:space="preserve">so </w:t>
      </w:r>
      <w:r>
        <w:rPr>
          <w:rFonts w:ascii="Times New Roman" w:hAnsi="Times New Roman"/>
          <w:sz w:val="24"/>
        </w:rPr>
        <w:t>unfit</w:t>
      </w:r>
      <w:r w:rsidR="00D440D4">
        <w:rPr>
          <w:rFonts w:ascii="Times New Roman" w:hAnsi="Times New Roman"/>
          <w:sz w:val="24"/>
        </w:rPr>
        <w:t>,</w:t>
      </w:r>
      <w:r>
        <w:rPr>
          <w:rFonts w:ascii="Times New Roman" w:hAnsi="Times New Roman"/>
          <w:sz w:val="24"/>
        </w:rPr>
        <w:t xml:space="preserve"> to identify the symptoms rendering her unfit.  </w:t>
      </w:r>
      <w:r w:rsidR="00050D2D">
        <w:rPr>
          <w:rFonts w:ascii="Times New Roman" w:hAnsi="Times New Roman"/>
          <w:sz w:val="24"/>
        </w:rPr>
        <w:t>Ms. Devine</w:t>
      </w:r>
      <w:r>
        <w:rPr>
          <w:rFonts w:ascii="Times New Roman" w:hAnsi="Times New Roman"/>
          <w:sz w:val="24"/>
        </w:rPr>
        <w:t xml:space="preserve"> drew to </w:t>
      </w:r>
      <w:proofErr w:type="spellStart"/>
      <w:r>
        <w:rPr>
          <w:rFonts w:ascii="Times New Roman" w:hAnsi="Times New Roman"/>
          <w:sz w:val="24"/>
        </w:rPr>
        <w:t>Dr.</w:t>
      </w:r>
      <w:proofErr w:type="spellEnd"/>
      <w:r>
        <w:rPr>
          <w:rFonts w:ascii="Times New Roman" w:hAnsi="Times New Roman"/>
          <w:sz w:val="24"/>
        </w:rPr>
        <w:t xml:space="preserve"> Howard’s attention that the notice party’s </w:t>
      </w:r>
      <w:r w:rsidR="00D440D4">
        <w:rPr>
          <w:rFonts w:ascii="Times New Roman" w:hAnsi="Times New Roman"/>
          <w:sz w:val="24"/>
        </w:rPr>
        <w:t>c</w:t>
      </w:r>
      <w:r>
        <w:rPr>
          <w:rFonts w:ascii="Times New Roman" w:hAnsi="Times New Roman"/>
          <w:sz w:val="24"/>
        </w:rPr>
        <w:t xml:space="preserve">onsultant </w:t>
      </w:r>
      <w:r w:rsidR="00D440D4">
        <w:rPr>
          <w:rFonts w:ascii="Times New Roman" w:hAnsi="Times New Roman"/>
          <w:sz w:val="24"/>
        </w:rPr>
        <w:t>r</w:t>
      </w:r>
      <w:r>
        <w:rPr>
          <w:rFonts w:ascii="Times New Roman" w:hAnsi="Times New Roman"/>
          <w:sz w:val="24"/>
        </w:rPr>
        <w:t xml:space="preserve">heumatologist had expressed the opinion that she had </w:t>
      </w:r>
      <w:r w:rsidR="00D440D4">
        <w:rPr>
          <w:rFonts w:ascii="Times New Roman" w:hAnsi="Times New Roman"/>
          <w:sz w:val="24"/>
        </w:rPr>
        <w:t>r</w:t>
      </w:r>
      <w:r>
        <w:rPr>
          <w:rFonts w:ascii="Times New Roman" w:hAnsi="Times New Roman"/>
          <w:sz w:val="24"/>
        </w:rPr>
        <w:t xml:space="preserve">heumatoid </w:t>
      </w:r>
      <w:r w:rsidR="00D440D4">
        <w:rPr>
          <w:rFonts w:ascii="Times New Roman" w:hAnsi="Times New Roman"/>
          <w:sz w:val="24"/>
        </w:rPr>
        <w:t>a</w:t>
      </w:r>
      <w:r>
        <w:rPr>
          <w:rFonts w:ascii="Times New Roman" w:hAnsi="Times New Roman"/>
          <w:sz w:val="24"/>
        </w:rPr>
        <w:t xml:space="preserve">rthritis, although he had said that it was at a relatively early stage.  </w:t>
      </w:r>
      <w:r w:rsidR="00050D2D">
        <w:rPr>
          <w:rFonts w:ascii="Times New Roman" w:hAnsi="Times New Roman"/>
          <w:sz w:val="24"/>
        </w:rPr>
        <w:t>She</w:t>
      </w:r>
      <w:r>
        <w:rPr>
          <w:rFonts w:ascii="Times New Roman" w:hAnsi="Times New Roman"/>
          <w:sz w:val="24"/>
        </w:rPr>
        <w:t xml:space="preserve"> also asked </w:t>
      </w:r>
      <w:proofErr w:type="spellStart"/>
      <w:r>
        <w:rPr>
          <w:rFonts w:ascii="Times New Roman" w:hAnsi="Times New Roman"/>
          <w:sz w:val="24"/>
        </w:rPr>
        <w:t>Dr.</w:t>
      </w:r>
      <w:proofErr w:type="spellEnd"/>
      <w:r>
        <w:rPr>
          <w:rFonts w:ascii="Times New Roman" w:hAnsi="Times New Roman"/>
          <w:sz w:val="24"/>
        </w:rPr>
        <w:t xml:space="preserve"> Howard a number of other questions, which it is not necessary to consider here.  </w:t>
      </w:r>
      <w:r w:rsidR="00D440D4">
        <w:rPr>
          <w:rFonts w:ascii="Times New Roman" w:hAnsi="Times New Roman"/>
          <w:sz w:val="24"/>
        </w:rPr>
        <w:t>Significantly, in the Decision</w:t>
      </w:r>
      <w:r>
        <w:rPr>
          <w:rFonts w:ascii="Times New Roman" w:hAnsi="Times New Roman"/>
          <w:sz w:val="24"/>
        </w:rPr>
        <w:t xml:space="preserve"> </w:t>
      </w:r>
      <w:r w:rsidR="005B084B">
        <w:rPr>
          <w:rFonts w:ascii="Times New Roman" w:hAnsi="Times New Roman"/>
          <w:sz w:val="24"/>
        </w:rPr>
        <w:t xml:space="preserve">the </w:t>
      </w:r>
      <w:r>
        <w:rPr>
          <w:rFonts w:ascii="Times New Roman" w:hAnsi="Times New Roman"/>
          <w:sz w:val="24"/>
        </w:rPr>
        <w:t>FSPO described this letter as being “open and appropriate”.</w:t>
      </w:r>
      <w:r w:rsidR="00727D97">
        <w:rPr>
          <w:rFonts w:ascii="Times New Roman" w:hAnsi="Times New Roman"/>
          <w:sz w:val="24"/>
        </w:rPr>
        <w:t xml:space="preserve"> </w:t>
      </w:r>
      <w:r w:rsidR="00ED17C0">
        <w:rPr>
          <w:rFonts w:ascii="Times New Roman" w:hAnsi="Times New Roman"/>
          <w:sz w:val="24"/>
        </w:rPr>
        <w:t xml:space="preserve"> </w:t>
      </w:r>
    </w:p>
    <w:p w14:paraId="5001F651" w14:textId="6E869F40" w:rsidR="00ED17C0" w:rsidRPr="004062AD" w:rsidRDefault="00A43C51" w:rsidP="00E20F5C">
      <w:pPr>
        <w:pStyle w:val="ListParagraph"/>
        <w:numPr>
          <w:ilvl w:val="0"/>
          <w:numId w:val="1"/>
        </w:numPr>
        <w:tabs>
          <w:tab w:val="left" w:pos="567"/>
        </w:tabs>
        <w:spacing w:line="480" w:lineRule="auto"/>
        <w:ind w:left="0" w:firstLine="0"/>
        <w:rPr>
          <w:rFonts w:ascii="Times New Roman" w:hAnsi="Times New Roman"/>
          <w:b/>
          <w:sz w:val="24"/>
          <w:u w:val="single"/>
        </w:rPr>
      </w:pPr>
      <w:proofErr w:type="spellStart"/>
      <w:r>
        <w:rPr>
          <w:rFonts w:ascii="Times New Roman" w:hAnsi="Times New Roman"/>
          <w:sz w:val="24"/>
        </w:rPr>
        <w:t>Dr.</w:t>
      </w:r>
      <w:proofErr w:type="spellEnd"/>
      <w:r>
        <w:rPr>
          <w:rFonts w:ascii="Times New Roman" w:hAnsi="Times New Roman"/>
          <w:sz w:val="24"/>
        </w:rPr>
        <w:t xml:space="preserve"> Howard</w:t>
      </w:r>
      <w:r w:rsidR="00ED17C0">
        <w:rPr>
          <w:rFonts w:ascii="Times New Roman" w:hAnsi="Times New Roman"/>
          <w:sz w:val="24"/>
        </w:rPr>
        <w:t xml:space="preserve"> provided a report, which, although undated, was apparently provided immediately following examination of the notice party on 14</w:t>
      </w:r>
      <w:r w:rsidR="00ED17C0" w:rsidRPr="00ED17C0">
        <w:rPr>
          <w:rFonts w:ascii="Times New Roman" w:hAnsi="Times New Roman"/>
          <w:sz w:val="24"/>
          <w:vertAlign w:val="superscript"/>
        </w:rPr>
        <w:t>th</w:t>
      </w:r>
      <w:r w:rsidR="00ED17C0">
        <w:rPr>
          <w:rFonts w:ascii="Times New Roman" w:hAnsi="Times New Roman"/>
          <w:sz w:val="24"/>
        </w:rPr>
        <w:t xml:space="preserve"> December 2016. </w:t>
      </w:r>
      <w:r w:rsidR="00BE4887">
        <w:rPr>
          <w:rFonts w:ascii="Times New Roman" w:hAnsi="Times New Roman"/>
          <w:sz w:val="24"/>
        </w:rPr>
        <w:t>While</w:t>
      </w:r>
      <w:r w:rsidR="00ED17C0">
        <w:rPr>
          <w:rFonts w:ascii="Times New Roman" w:hAnsi="Times New Roman"/>
          <w:sz w:val="24"/>
        </w:rPr>
        <w:t xml:space="preserve"> </w:t>
      </w:r>
      <w:proofErr w:type="spellStart"/>
      <w:r w:rsidR="00ED17C0">
        <w:rPr>
          <w:rFonts w:ascii="Times New Roman" w:hAnsi="Times New Roman"/>
          <w:sz w:val="24"/>
        </w:rPr>
        <w:t>Dr</w:t>
      </w:r>
      <w:r>
        <w:rPr>
          <w:rFonts w:ascii="Times New Roman" w:hAnsi="Times New Roman"/>
          <w:sz w:val="24"/>
        </w:rPr>
        <w:t>.</w:t>
      </w:r>
      <w:proofErr w:type="spellEnd"/>
      <w:r w:rsidR="00ED17C0">
        <w:rPr>
          <w:rFonts w:ascii="Times New Roman" w:hAnsi="Times New Roman"/>
          <w:sz w:val="24"/>
        </w:rPr>
        <w:t xml:space="preserve"> Howard </w:t>
      </w:r>
      <w:r w:rsidR="00BE4887">
        <w:rPr>
          <w:rFonts w:ascii="Times New Roman" w:hAnsi="Times New Roman"/>
          <w:sz w:val="24"/>
        </w:rPr>
        <w:t xml:space="preserve">did not address the questions in the manner in which they were asked (i.e. by addressing each question specifically, in numerical sequence), he  </w:t>
      </w:r>
      <w:r w:rsidR="00ED17C0">
        <w:rPr>
          <w:rFonts w:ascii="Times New Roman" w:hAnsi="Times New Roman"/>
          <w:sz w:val="24"/>
        </w:rPr>
        <w:t>expresse</w:t>
      </w:r>
      <w:r w:rsidR="00F67F37">
        <w:rPr>
          <w:rFonts w:ascii="Times New Roman" w:hAnsi="Times New Roman"/>
          <w:sz w:val="24"/>
        </w:rPr>
        <w:t>d</w:t>
      </w:r>
      <w:r w:rsidR="00ED17C0">
        <w:rPr>
          <w:rFonts w:ascii="Times New Roman" w:hAnsi="Times New Roman"/>
          <w:sz w:val="24"/>
        </w:rPr>
        <w:t xml:space="preserve"> the opinion that </w:t>
      </w:r>
      <w:r w:rsidR="00D440D4">
        <w:rPr>
          <w:rFonts w:ascii="Times New Roman" w:hAnsi="Times New Roman"/>
          <w:sz w:val="24"/>
        </w:rPr>
        <w:t>f</w:t>
      </w:r>
      <w:r w:rsidR="00ED17C0">
        <w:rPr>
          <w:rFonts w:ascii="Times New Roman" w:hAnsi="Times New Roman"/>
          <w:sz w:val="24"/>
        </w:rPr>
        <w:t>ibromyalgia</w:t>
      </w:r>
      <w:r w:rsidR="004062AD">
        <w:rPr>
          <w:rFonts w:ascii="Times New Roman" w:hAnsi="Times New Roman"/>
          <w:sz w:val="24"/>
        </w:rPr>
        <w:t xml:space="preserve"> </w:t>
      </w:r>
      <w:r w:rsidR="00BE4887">
        <w:rPr>
          <w:rFonts w:ascii="Times New Roman" w:hAnsi="Times New Roman"/>
          <w:sz w:val="24"/>
        </w:rPr>
        <w:t>wa</w:t>
      </w:r>
      <w:r w:rsidR="004062AD">
        <w:rPr>
          <w:rFonts w:ascii="Times New Roman" w:hAnsi="Times New Roman"/>
          <w:sz w:val="24"/>
        </w:rPr>
        <w:t xml:space="preserve">s the main contributing factor to the notice party’s symptoms.  </w:t>
      </w:r>
      <w:r w:rsidR="00BE4887">
        <w:rPr>
          <w:rFonts w:ascii="Times New Roman" w:hAnsi="Times New Roman"/>
          <w:sz w:val="24"/>
        </w:rPr>
        <w:t>H</w:t>
      </w:r>
      <w:r w:rsidR="004062AD">
        <w:rPr>
          <w:rFonts w:ascii="Times New Roman" w:hAnsi="Times New Roman"/>
          <w:sz w:val="24"/>
        </w:rPr>
        <w:t>e confirmed that the notice party ha</w:t>
      </w:r>
      <w:r w:rsidR="00F67F37">
        <w:rPr>
          <w:rFonts w:ascii="Times New Roman" w:hAnsi="Times New Roman"/>
          <w:sz w:val="24"/>
        </w:rPr>
        <w:t>d</w:t>
      </w:r>
      <w:r w:rsidR="004062AD">
        <w:rPr>
          <w:rFonts w:ascii="Times New Roman" w:hAnsi="Times New Roman"/>
          <w:sz w:val="24"/>
        </w:rPr>
        <w:t xml:space="preserve"> tested positive for </w:t>
      </w:r>
      <w:r w:rsidR="00D440D4">
        <w:rPr>
          <w:rFonts w:ascii="Times New Roman" w:hAnsi="Times New Roman"/>
          <w:sz w:val="24"/>
        </w:rPr>
        <w:t>r</w:t>
      </w:r>
      <w:r w:rsidR="004062AD">
        <w:rPr>
          <w:rFonts w:ascii="Times New Roman" w:hAnsi="Times New Roman"/>
          <w:sz w:val="24"/>
        </w:rPr>
        <w:t xml:space="preserve">heumatoid </w:t>
      </w:r>
      <w:r w:rsidR="00D440D4">
        <w:rPr>
          <w:rFonts w:ascii="Times New Roman" w:hAnsi="Times New Roman"/>
          <w:sz w:val="24"/>
        </w:rPr>
        <w:t>a</w:t>
      </w:r>
      <w:r w:rsidR="004062AD">
        <w:rPr>
          <w:rFonts w:ascii="Times New Roman" w:hAnsi="Times New Roman"/>
          <w:sz w:val="24"/>
        </w:rPr>
        <w:t xml:space="preserve">rthritis, </w:t>
      </w:r>
      <w:r w:rsidR="00BE4887">
        <w:rPr>
          <w:rFonts w:ascii="Times New Roman" w:hAnsi="Times New Roman"/>
          <w:sz w:val="24"/>
        </w:rPr>
        <w:t xml:space="preserve">and </w:t>
      </w:r>
      <w:r w:rsidR="004062AD">
        <w:rPr>
          <w:rFonts w:ascii="Times New Roman" w:hAnsi="Times New Roman"/>
          <w:sz w:val="24"/>
        </w:rPr>
        <w:t>he expressed the opinion that the clinical picture indicate</w:t>
      </w:r>
      <w:r w:rsidR="00BE4887">
        <w:rPr>
          <w:rFonts w:ascii="Times New Roman" w:hAnsi="Times New Roman"/>
          <w:sz w:val="24"/>
        </w:rPr>
        <w:t>d</w:t>
      </w:r>
      <w:r w:rsidR="004062AD">
        <w:rPr>
          <w:rFonts w:ascii="Times New Roman" w:hAnsi="Times New Roman"/>
          <w:sz w:val="24"/>
        </w:rPr>
        <w:t xml:space="preserve"> that the notice party </w:t>
      </w:r>
      <w:r w:rsidR="00F67F37">
        <w:rPr>
          <w:rFonts w:ascii="Times New Roman" w:hAnsi="Times New Roman"/>
          <w:sz w:val="24"/>
        </w:rPr>
        <w:t>wa</w:t>
      </w:r>
      <w:r w:rsidR="004062AD">
        <w:rPr>
          <w:rFonts w:ascii="Times New Roman" w:hAnsi="Times New Roman"/>
          <w:sz w:val="24"/>
        </w:rPr>
        <w:t xml:space="preserve">s at the very early stages in the development of that condition.  He noted that she had been prescribed certain medication arising out of which he felt the notice party would experience improvement.  He also </w:t>
      </w:r>
      <w:r w:rsidR="004062AD">
        <w:rPr>
          <w:rFonts w:ascii="Times New Roman" w:hAnsi="Times New Roman"/>
          <w:sz w:val="24"/>
        </w:rPr>
        <w:lastRenderedPageBreak/>
        <w:t xml:space="preserve">expressed </w:t>
      </w:r>
      <w:r>
        <w:rPr>
          <w:rFonts w:ascii="Times New Roman" w:hAnsi="Times New Roman"/>
          <w:sz w:val="24"/>
        </w:rPr>
        <w:t>t</w:t>
      </w:r>
      <w:r w:rsidR="004062AD">
        <w:rPr>
          <w:rFonts w:ascii="Times New Roman" w:hAnsi="Times New Roman"/>
          <w:sz w:val="24"/>
        </w:rPr>
        <w:t>he opinion that he did not consider that the notice party was permanently disabled from work.  He said that:</w:t>
      </w:r>
      <w:r w:rsidR="00CA778F">
        <w:rPr>
          <w:rFonts w:ascii="Times New Roman" w:hAnsi="Times New Roman"/>
          <w:sz w:val="24"/>
        </w:rPr>
        <w:t xml:space="preserve"> </w:t>
      </w:r>
    </w:p>
    <w:p w14:paraId="7653745D" w14:textId="77777777" w:rsidR="004062AD" w:rsidRPr="007A383F" w:rsidRDefault="004062AD"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 xml:space="preserve">“Her symptoms are currently improving with treatment of both fibromyalgia and rheumatoid arthritis.  She is having a new issue with diarrhoea with some borderline incontinence with this and there may be further adjustments needed </w:t>
      </w:r>
      <w:r w:rsidR="001E0ADE">
        <w:rPr>
          <w:rFonts w:ascii="Times New Roman" w:hAnsi="Times New Roman"/>
          <w:sz w:val="24"/>
        </w:rPr>
        <w:t>to her medication to correct this problem.  My recommendation will be that she should be considered disabled from work for the next two months but at that point I feel that she should be able to return to her previous activities.”</w:t>
      </w:r>
    </w:p>
    <w:p w14:paraId="7AA4060C" w14:textId="55726D63" w:rsidR="007A383F" w:rsidRDefault="001E0ADE" w:rsidP="00E20F5C">
      <w:pPr>
        <w:pStyle w:val="ListParagraph"/>
        <w:numPr>
          <w:ilvl w:val="0"/>
          <w:numId w:val="1"/>
        </w:numPr>
        <w:tabs>
          <w:tab w:val="left" w:pos="567"/>
        </w:tabs>
        <w:spacing w:line="480" w:lineRule="auto"/>
        <w:ind w:left="0" w:firstLine="0"/>
        <w:rPr>
          <w:rFonts w:ascii="Times New Roman" w:hAnsi="Times New Roman"/>
          <w:sz w:val="24"/>
        </w:rPr>
      </w:pPr>
      <w:r w:rsidRPr="001E0ADE">
        <w:rPr>
          <w:rFonts w:ascii="Times New Roman" w:hAnsi="Times New Roman"/>
          <w:sz w:val="24"/>
        </w:rPr>
        <w:t>Arising out</w:t>
      </w:r>
      <w:r>
        <w:rPr>
          <w:rFonts w:ascii="Times New Roman" w:hAnsi="Times New Roman"/>
          <w:sz w:val="24"/>
        </w:rPr>
        <w:t xml:space="preserve"> of the report of </w:t>
      </w:r>
      <w:proofErr w:type="spellStart"/>
      <w:r>
        <w:rPr>
          <w:rFonts w:ascii="Times New Roman" w:hAnsi="Times New Roman"/>
          <w:sz w:val="24"/>
        </w:rPr>
        <w:t>Dr.</w:t>
      </w:r>
      <w:proofErr w:type="spellEnd"/>
      <w:r>
        <w:rPr>
          <w:rFonts w:ascii="Times New Roman" w:hAnsi="Times New Roman"/>
          <w:sz w:val="24"/>
        </w:rPr>
        <w:t xml:space="preserve"> Howard, </w:t>
      </w:r>
      <w:r w:rsidR="00050D2D">
        <w:rPr>
          <w:rFonts w:ascii="Times New Roman" w:hAnsi="Times New Roman"/>
          <w:sz w:val="24"/>
        </w:rPr>
        <w:t>Ms. Devine</w:t>
      </w:r>
      <w:r w:rsidR="00D301F1">
        <w:rPr>
          <w:rFonts w:ascii="Times New Roman" w:hAnsi="Times New Roman"/>
          <w:sz w:val="24"/>
        </w:rPr>
        <w:t>, in an email dated 19</w:t>
      </w:r>
      <w:r w:rsidR="00D301F1" w:rsidRPr="00F56CA5">
        <w:rPr>
          <w:rFonts w:ascii="Times New Roman" w:hAnsi="Times New Roman"/>
          <w:sz w:val="24"/>
          <w:vertAlign w:val="superscript"/>
        </w:rPr>
        <w:t>th</w:t>
      </w:r>
      <w:r w:rsidR="00D301F1">
        <w:rPr>
          <w:rFonts w:ascii="Times New Roman" w:hAnsi="Times New Roman"/>
          <w:sz w:val="24"/>
        </w:rPr>
        <w:t xml:space="preserve"> January 2017,</w:t>
      </w:r>
      <w:r>
        <w:rPr>
          <w:rFonts w:ascii="Times New Roman" w:hAnsi="Times New Roman"/>
          <w:sz w:val="24"/>
        </w:rPr>
        <w:t xml:space="preserve"> asked him to clarify the following:</w:t>
      </w:r>
    </w:p>
    <w:p w14:paraId="0188FAB7" w14:textId="05CB625C" w:rsidR="001E0ADE" w:rsidRDefault="001E0ADE"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 note that [the notice party’s] main issue preventing her from </w:t>
      </w:r>
      <w:r w:rsidR="00D301F1">
        <w:rPr>
          <w:rFonts w:ascii="Times New Roman" w:hAnsi="Times New Roman"/>
          <w:sz w:val="24"/>
        </w:rPr>
        <w:t>working</w:t>
      </w:r>
      <w:r>
        <w:rPr>
          <w:rFonts w:ascii="Times New Roman" w:hAnsi="Times New Roman"/>
          <w:sz w:val="24"/>
        </w:rPr>
        <w:t xml:space="preserve"> is in relation to her </w:t>
      </w:r>
      <w:r w:rsidR="00D301F1">
        <w:rPr>
          <w:rFonts w:ascii="Times New Roman" w:hAnsi="Times New Roman"/>
          <w:sz w:val="24"/>
        </w:rPr>
        <w:t>F</w:t>
      </w:r>
      <w:r>
        <w:rPr>
          <w:rFonts w:ascii="Times New Roman" w:hAnsi="Times New Roman"/>
          <w:sz w:val="24"/>
        </w:rPr>
        <w:t xml:space="preserve">ibromyalgia.  If we take the </w:t>
      </w:r>
      <w:r w:rsidR="00D301F1">
        <w:rPr>
          <w:rFonts w:ascii="Times New Roman" w:hAnsi="Times New Roman"/>
          <w:sz w:val="24"/>
        </w:rPr>
        <w:t>F</w:t>
      </w:r>
      <w:r>
        <w:rPr>
          <w:rFonts w:ascii="Times New Roman" w:hAnsi="Times New Roman"/>
          <w:sz w:val="24"/>
        </w:rPr>
        <w:t>ibromyalgia out of the picture (</w:t>
      </w:r>
      <w:r w:rsidR="00D301F1">
        <w:rPr>
          <w:rFonts w:ascii="Times New Roman" w:hAnsi="Times New Roman"/>
          <w:sz w:val="24"/>
        </w:rPr>
        <w:t>G</w:t>
      </w:r>
      <w:r>
        <w:rPr>
          <w:rFonts w:ascii="Times New Roman" w:hAnsi="Times New Roman"/>
          <w:sz w:val="24"/>
        </w:rPr>
        <w:t>iven that this was specifically excluded at underwriting stage for this claimant)</w:t>
      </w:r>
      <w:r w:rsidR="00D301F1">
        <w:rPr>
          <w:rFonts w:ascii="Times New Roman" w:hAnsi="Times New Roman"/>
          <w:sz w:val="24"/>
        </w:rPr>
        <w:t>,</w:t>
      </w:r>
      <w:r>
        <w:rPr>
          <w:rFonts w:ascii="Times New Roman" w:hAnsi="Times New Roman"/>
          <w:sz w:val="24"/>
        </w:rPr>
        <w:t xml:space="preserve"> would it be reasonable to deduce that her rheumatoid arthritis is not severe enough to prevent her from working at present?”</w:t>
      </w:r>
    </w:p>
    <w:p w14:paraId="495D4B97" w14:textId="4AA62F0E" w:rsidR="001E0ADE" w:rsidRDefault="001E0ADE" w:rsidP="00E20F5C">
      <w:pPr>
        <w:tabs>
          <w:tab w:val="left" w:pos="567"/>
        </w:tabs>
        <w:spacing w:line="480" w:lineRule="auto"/>
        <w:jc w:val="both"/>
      </w:pPr>
      <w:r w:rsidRPr="00D301F1">
        <w:t xml:space="preserve">This enquiry attracted significant criticism from the FSPO in the Decision.  I will return to that presently.  </w:t>
      </w:r>
      <w:r>
        <w:t>In a reply dated 24</w:t>
      </w:r>
      <w:r w:rsidRPr="001E0ADE">
        <w:rPr>
          <w:vertAlign w:val="superscript"/>
        </w:rPr>
        <w:t>th</w:t>
      </w:r>
      <w:r>
        <w:t xml:space="preserve"> January 2017, </w:t>
      </w:r>
      <w:proofErr w:type="spellStart"/>
      <w:r>
        <w:t>Dr.</w:t>
      </w:r>
      <w:proofErr w:type="spellEnd"/>
      <w:r>
        <w:t xml:space="preserve"> Howard states:</w:t>
      </w:r>
    </w:p>
    <w:p w14:paraId="1B29B640" w14:textId="77777777" w:rsidR="007A383F" w:rsidRPr="00441713" w:rsidRDefault="001E0ADE" w:rsidP="00E20F5C">
      <w:pPr>
        <w:tabs>
          <w:tab w:val="left" w:pos="567"/>
        </w:tabs>
        <w:spacing w:line="480" w:lineRule="auto"/>
        <w:ind w:left="567"/>
        <w:jc w:val="both"/>
      </w:pPr>
      <w:r>
        <w:t>“I found her to have evidence of fibromyalgia and she had very mild early rheumatoid arthritis.  She did not have a significant degree of rheumatoid arthritis and I do not feel that this by itself was enough to render her disabled from work</w:t>
      </w:r>
      <w:r w:rsidRPr="00441713">
        <w:t>.”</w:t>
      </w:r>
      <w:r w:rsidR="0086459E" w:rsidRPr="00441713">
        <w:rPr>
          <w:u w:val="single"/>
        </w:rPr>
        <w:t xml:space="preserve"> </w:t>
      </w:r>
      <w:r w:rsidRPr="00441713">
        <w:rPr>
          <w:u w:val="single"/>
        </w:rPr>
        <w:t xml:space="preserve"> </w:t>
      </w:r>
    </w:p>
    <w:p w14:paraId="2A417949" w14:textId="67A3A34A" w:rsidR="001E0ADE" w:rsidRDefault="001E0ADE"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 xml:space="preserve">The </w:t>
      </w:r>
      <w:r w:rsidR="00EE39F2">
        <w:rPr>
          <w:rFonts w:ascii="Times New Roman" w:hAnsi="Times New Roman"/>
          <w:b/>
          <w:sz w:val="24"/>
          <w:u w:val="single"/>
        </w:rPr>
        <w:t>p</w:t>
      </w:r>
      <w:r w:rsidR="005D1BBB">
        <w:rPr>
          <w:rFonts w:ascii="Times New Roman" w:hAnsi="Times New Roman"/>
          <w:b/>
          <w:sz w:val="24"/>
          <w:u w:val="single"/>
        </w:rPr>
        <w:t xml:space="preserve">reliminary </w:t>
      </w:r>
      <w:r w:rsidR="00EE39F2">
        <w:rPr>
          <w:rFonts w:ascii="Times New Roman" w:hAnsi="Times New Roman"/>
          <w:b/>
          <w:sz w:val="24"/>
          <w:u w:val="single"/>
        </w:rPr>
        <w:t>d</w:t>
      </w:r>
      <w:r w:rsidR="005D1BBB">
        <w:rPr>
          <w:rFonts w:ascii="Times New Roman" w:hAnsi="Times New Roman"/>
          <w:b/>
          <w:sz w:val="24"/>
          <w:u w:val="single"/>
        </w:rPr>
        <w:t>ecision</w:t>
      </w:r>
    </w:p>
    <w:p w14:paraId="2CD6BCAA" w14:textId="3D49D1F8" w:rsidR="001E0ADE" w:rsidRDefault="00AA64E5"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As mentioned above, the notice party made her complaint to the FSPO in or about April 2017 and t</w:t>
      </w:r>
      <w:r w:rsidR="00B2164E">
        <w:rPr>
          <w:rFonts w:ascii="Times New Roman" w:hAnsi="Times New Roman"/>
          <w:sz w:val="24"/>
        </w:rPr>
        <w:t>he FSPO issued a preliminary decision to the parties on 14</w:t>
      </w:r>
      <w:r w:rsidR="00B2164E" w:rsidRPr="00B2164E">
        <w:rPr>
          <w:rFonts w:ascii="Times New Roman" w:hAnsi="Times New Roman"/>
          <w:sz w:val="24"/>
          <w:vertAlign w:val="superscript"/>
        </w:rPr>
        <w:t>th</w:t>
      </w:r>
      <w:r w:rsidR="00B2164E">
        <w:rPr>
          <w:rFonts w:ascii="Times New Roman" w:hAnsi="Times New Roman"/>
          <w:sz w:val="24"/>
        </w:rPr>
        <w:t xml:space="preserve"> May 2019, affording each of the parties the opportunity to comment within fifteen days.  Both parties </w:t>
      </w:r>
      <w:r w:rsidR="00B2164E">
        <w:rPr>
          <w:rFonts w:ascii="Times New Roman" w:hAnsi="Times New Roman"/>
          <w:sz w:val="24"/>
        </w:rPr>
        <w:lastRenderedPageBreak/>
        <w:t>availed of that opportunity, with Utmost submitting its response by letter dated 5</w:t>
      </w:r>
      <w:r w:rsidR="00B2164E" w:rsidRPr="00B2164E">
        <w:rPr>
          <w:rFonts w:ascii="Times New Roman" w:hAnsi="Times New Roman"/>
          <w:sz w:val="24"/>
          <w:vertAlign w:val="superscript"/>
        </w:rPr>
        <w:t>th</w:t>
      </w:r>
      <w:r w:rsidR="00B2164E">
        <w:rPr>
          <w:rFonts w:ascii="Times New Roman" w:hAnsi="Times New Roman"/>
          <w:sz w:val="24"/>
        </w:rPr>
        <w:t xml:space="preserve"> June 2019, and the notice party submitting a short email dated 18</w:t>
      </w:r>
      <w:r w:rsidR="00B2164E" w:rsidRPr="00B2164E">
        <w:rPr>
          <w:rFonts w:ascii="Times New Roman" w:hAnsi="Times New Roman"/>
          <w:sz w:val="24"/>
          <w:vertAlign w:val="superscript"/>
        </w:rPr>
        <w:t>th</w:t>
      </w:r>
      <w:r w:rsidR="00B2164E">
        <w:rPr>
          <w:rFonts w:ascii="Times New Roman" w:hAnsi="Times New Roman"/>
          <w:sz w:val="24"/>
        </w:rPr>
        <w:t xml:space="preserve"> June 2019.  </w:t>
      </w:r>
    </w:p>
    <w:p w14:paraId="0591D526" w14:textId="538FEE63" w:rsidR="00E738AE" w:rsidRDefault="00B2164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preliminary decision runs to some fourteen pages</w:t>
      </w:r>
      <w:r w:rsidR="00325A95">
        <w:rPr>
          <w:rFonts w:ascii="Times New Roman" w:hAnsi="Times New Roman"/>
          <w:sz w:val="24"/>
        </w:rPr>
        <w:t>.</w:t>
      </w:r>
      <w:r w:rsidR="00E738AE" w:rsidRPr="00E738AE">
        <w:rPr>
          <w:rFonts w:ascii="Times New Roman" w:hAnsi="Times New Roman"/>
          <w:sz w:val="24"/>
        </w:rPr>
        <w:t xml:space="preserve"> </w:t>
      </w:r>
      <w:r w:rsidR="00E738AE">
        <w:rPr>
          <w:rFonts w:ascii="Times New Roman" w:hAnsi="Times New Roman"/>
          <w:sz w:val="24"/>
        </w:rPr>
        <w:t>On p</w:t>
      </w:r>
      <w:r w:rsidR="00110DA4">
        <w:rPr>
          <w:rFonts w:ascii="Times New Roman" w:hAnsi="Times New Roman"/>
          <w:sz w:val="24"/>
        </w:rPr>
        <w:t>.</w:t>
      </w:r>
      <w:r w:rsidR="00E738AE">
        <w:rPr>
          <w:rFonts w:ascii="Times New Roman" w:hAnsi="Times New Roman"/>
          <w:sz w:val="24"/>
        </w:rPr>
        <w:t xml:space="preserve"> 10 of the preliminary decision, under the heading “The Consumer Protection Code” (the “Code”) the FSPO states that he has had regard to the provisions of the Code and in particular noted the following provisions, under the heading of “Claims Processing”:</w:t>
      </w:r>
    </w:p>
    <w:p w14:paraId="46AAC3F5" w14:textId="77777777" w:rsidR="00E738AE" w:rsidRDefault="00E738AE"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“7.6 A regulated entity must endeavour to verify the validity of a claim received from a claimant prior to making a decision on its outcome. … </w:t>
      </w:r>
    </w:p>
    <w:p w14:paraId="202C6DD7" w14:textId="77777777" w:rsidR="00E738AE" w:rsidRDefault="00E738AE"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7.19 If the regulated entity decides to decline the claim, the reasons for that decision must be provided to the claimant on paper or on another durable medium.</w:t>
      </w:r>
    </w:p>
    <w:p w14:paraId="637E90CB" w14:textId="77777777" w:rsidR="00E738AE" w:rsidRPr="00807368" w:rsidRDefault="00E738AE"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7.20 A regulated entity must provide a claimant with written details of any interim appeals mechanisms available to the claimant.”</w:t>
      </w:r>
    </w:p>
    <w:p w14:paraId="345F3660" w14:textId="6692FB6F" w:rsidR="00325A95" w:rsidRPr="00E738AE" w:rsidRDefault="00E738A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FSPO also refers to other provisions of the Code, specifically </w:t>
      </w:r>
      <w:r w:rsidR="00E60251">
        <w:rPr>
          <w:rFonts w:ascii="Times New Roman" w:hAnsi="Times New Roman"/>
          <w:sz w:val="24"/>
        </w:rPr>
        <w:t>C</w:t>
      </w:r>
      <w:r w:rsidR="007F4C77">
        <w:rPr>
          <w:rFonts w:ascii="Times New Roman" w:hAnsi="Times New Roman"/>
          <w:sz w:val="24"/>
        </w:rPr>
        <w:t>lause</w:t>
      </w:r>
      <w:r>
        <w:rPr>
          <w:rFonts w:ascii="Times New Roman" w:hAnsi="Times New Roman"/>
          <w:sz w:val="24"/>
        </w:rPr>
        <w:t xml:space="preserve"> 5.24 and chapter 12.  Having summarised these provisions however, the FSPO makes no further reference or comment about the Code and expresses no opinion one way or another as to whether or not Utmost has handled the claim of the notice party in compliance with the Code or indeed whether or not the Code has any relevance to the assessment of the complaint made by the notice party.</w:t>
      </w:r>
    </w:p>
    <w:p w14:paraId="2574D40C" w14:textId="4B921E5B" w:rsidR="008E40EE" w:rsidRPr="00AA64E5" w:rsidRDefault="00D158AF"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w:t>
      </w:r>
      <w:r w:rsidR="00B2164E">
        <w:rPr>
          <w:rFonts w:ascii="Times New Roman" w:hAnsi="Times New Roman"/>
          <w:sz w:val="24"/>
        </w:rPr>
        <w:t>analysis</w:t>
      </w:r>
      <w:r>
        <w:rPr>
          <w:rFonts w:ascii="Times New Roman" w:hAnsi="Times New Roman"/>
          <w:sz w:val="24"/>
        </w:rPr>
        <w:t xml:space="preserve"> of the Complaint is to be found </w:t>
      </w:r>
      <w:r w:rsidR="00B2164E">
        <w:rPr>
          <w:rFonts w:ascii="Times New Roman" w:hAnsi="Times New Roman"/>
          <w:sz w:val="24"/>
        </w:rPr>
        <w:t>from p</w:t>
      </w:r>
      <w:r w:rsidR="00110DA4">
        <w:rPr>
          <w:rFonts w:ascii="Times New Roman" w:hAnsi="Times New Roman"/>
          <w:sz w:val="24"/>
        </w:rPr>
        <w:t>.</w:t>
      </w:r>
      <w:r w:rsidR="00B2164E">
        <w:rPr>
          <w:rFonts w:ascii="Times New Roman" w:hAnsi="Times New Roman"/>
          <w:sz w:val="24"/>
        </w:rPr>
        <w:t xml:space="preserve"> 11 onwards.  </w:t>
      </w:r>
      <w:r w:rsidR="00B2164E" w:rsidRPr="00AA64E5">
        <w:rPr>
          <w:rFonts w:ascii="Times New Roman" w:hAnsi="Times New Roman"/>
          <w:sz w:val="24"/>
        </w:rPr>
        <w:t>In the first part of the analysis, the FSPO summarises his remit as follows:</w:t>
      </w:r>
    </w:p>
    <w:p w14:paraId="0DF7911A" w14:textId="69EEC5E2" w:rsidR="00B2164E" w:rsidRDefault="00B2164E" w:rsidP="00E20F5C">
      <w:pPr>
        <w:tabs>
          <w:tab w:val="left" w:pos="567"/>
        </w:tabs>
        <w:spacing w:line="480" w:lineRule="auto"/>
        <w:ind w:left="567"/>
        <w:jc w:val="both"/>
        <w:rPr>
          <w:b/>
          <w:u w:val="single"/>
        </w:rPr>
      </w:pPr>
      <w:r>
        <w:t xml:space="preserve">“For the purpose of assessing this complaint, it is not the role of this </w:t>
      </w:r>
      <w:r w:rsidR="00EA23C2">
        <w:t>O</w:t>
      </w:r>
      <w:r>
        <w:t xml:space="preserve">ffice to comment on or form an opinion as to the nature or severity of the </w:t>
      </w:r>
      <w:r w:rsidR="00EA23C2">
        <w:t>C</w:t>
      </w:r>
      <w:r>
        <w:t xml:space="preserve">omplainant’s illness or condition.  It is the duty of this </w:t>
      </w:r>
      <w:r w:rsidR="00EA23C2">
        <w:t>O</w:t>
      </w:r>
      <w:r>
        <w:t xml:space="preserve">ffice to establish whether, on the basis of an objective assessment of the medical evidence submitted, the Provider has adequately assessed </w:t>
      </w:r>
      <w:r>
        <w:lastRenderedPageBreak/>
        <w:t>the Complainant’s claim and whether i</w:t>
      </w:r>
      <w:r w:rsidR="003A1726">
        <w:t>t was reasonably entitled to arrive at the decision it did following its assessment of the medical evidence submitted.”</w:t>
      </w:r>
    </w:p>
    <w:p w14:paraId="5C22EC5A" w14:textId="77777777" w:rsidR="00110DA4" w:rsidRPr="00110DA4" w:rsidRDefault="003A1726"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the course of the analysis that follows, the FSPO </w:t>
      </w:r>
      <w:r w:rsidR="00285B3A">
        <w:rPr>
          <w:rFonts w:ascii="Times New Roman" w:hAnsi="Times New Roman"/>
          <w:sz w:val="24"/>
        </w:rPr>
        <w:t>records (on p.</w:t>
      </w:r>
      <w:r w:rsidR="00110DA4">
        <w:rPr>
          <w:rFonts w:ascii="Times New Roman" w:hAnsi="Times New Roman"/>
          <w:sz w:val="24"/>
        </w:rPr>
        <w:t xml:space="preserve"> </w:t>
      </w:r>
      <w:r w:rsidR="00285B3A">
        <w:rPr>
          <w:rFonts w:ascii="Times New Roman" w:hAnsi="Times New Roman"/>
          <w:sz w:val="24"/>
        </w:rPr>
        <w:t>10) that</w:t>
      </w:r>
      <w:r w:rsidR="00110DA4">
        <w:rPr>
          <w:rFonts w:ascii="Times New Roman" w:hAnsi="Times New Roman"/>
          <w:sz w:val="24"/>
        </w:rPr>
        <w:t>:</w:t>
      </w:r>
      <w:r w:rsidR="00285B3A">
        <w:rPr>
          <w:rFonts w:ascii="Times New Roman" w:hAnsi="Times New Roman"/>
          <w:sz w:val="24"/>
        </w:rPr>
        <w:t xml:space="preserve"> </w:t>
      </w:r>
    </w:p>
    <w:p w14:paraId="3EF3AB1D" w14:textId="5834D4E0" w:rsidR="00285B3A" w:rsidRPr="00285B3A" w:rsidRDefault="00285B3A" w:rsidP="00E20F5C">
      <w:pPr>
        <w:tabs>
          <w:tab w:val="left" w:pos="567"/>
        </w:tabs>
        <w:spacing w:line="480" w:lineRule="auto"/>
        <w:ind w:left="567"/>
        <w:jc w:val="both"/>
        <w:rPr>
          <w:b/>
          <w:u w:val="single"/>
        </w:rPr>
      </w:pPr>
      <w:r>
        <w:t>“In an email dated 23</w:t>
      </w:r>
      <w:r w:rsidRPr="00285B3A">
        <w:rPr>
          <w:vertAlign w:val="superscript"/>
        </w:rPr>
        <w:t>rd</w:t>
      </w:r>
      <w:r>
        <w:t xml:space="preserve"> February 2017, and in response to previous correspondence, the Provider [Utmost]</w:t>
      </w:r>
      <w:r w:rsidR="00727FD1">
        <w:t xml:space="preserve"> </w:t>
      </w:r>
      <w:r>
        <w:t>informed the Complainant [the notice party]</w:t>
      </w:r>
      <w:r w:rsidR="00727FD1">
        <w:t xml:space="preserve"> </w:t>
      </w:r>
      <w:r>
        <w:t xml:space="preserve">that it was its opinion that she was </w:t>
      </w:r>
      <w:r w:rsidR="00FA734B">
        <w:t>‘</w:t>
      </w:r>
      <w:r w:rsidRPr="00285B3A">
        <w:rPr>
          <w:i/>
        </w:rPr>
        <w:t>medically fit for work and as the Insurer, we are entitled to form this opinion</w:t>
      </w:r>
      <w:r>
        <w:t>.</w:t>
      </w:r>
      <w:r w:rsidR="00FA734B">
        <w:t>’</w:t>
      </w:r>
      <w:r>
        <w:t xml:space="preserve"> In this e</w:t>
      </w:r>
      <w:r w:rsidR="00AA38B5">
        <w:t>-</w:t>
      </w:r>
      <w:r>
        <w:t>mail, the Provider informed the Complainant that should she wish to submit further medical evidence not relating to the excluded medical conditions outlined in 2006, it would reconsider her claim. The Provider specified that such evidence should clearly and objectively outline why the Complainant is disabled from working. In an e</w:t>
      </w:r>
      <w:r w:rsidR="00AA38B5">
        <w:t>-</w:t>
      </w:r>
      <w:r>
        <w:t>mail dated 7</w:t>
      </w:r>
      <w:r w:rsidR="00727FD1" w:rsidRPr="00727FD1">
        <w:rPr>
          <w:vertAlign w:val="superscript"/>
        </w:rPr>
        <w:t>th</w:t>
      </w:r>
      <w:r>
        <w:t xml:space="preserve"> April 2017, the </w:t>
      </w:r>
      <w:r w:rsidR="00325A95">
        <w:t>P</w:t>
      </w:r>
      <w:r>
        <w:t xml:space="preserve">rovider informed the </w:t>
      </w:r>
      <w:r w:rsidR="00325A95">
        <w:t>C</w:t>
      </w:r>
      <w:r>
        <w:t>omplainant that it would not be in a position to consider any further medical evidence after 23</w:t>
      </w:r>
      <w:r w:rsidR="00AF416A" w:rsidRPr="00AF416A">
        <w:rPr>
          <w:vertAlign w:val="superscript"/>
        </w:rPr>
        <w:t>rd</w:t>
      </w:r>
      <w:r>
        <w:t xml:space="preserve"> May 2017.”</w:t>
      </w:r>
    </w:p>
    <w:p w14:paraId="05586E0D" w14:textId="3D8D9C06" w:rsidR="00325A95" w:rsidRPr="00325A95" w:rsidRDefault="00325A95"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At p</w:t>
      </w:r>
      <w:r w:rsidR="0001079F">
        <w:rPr>
          <w:rFonts w:ascii="Times New Roman" w:hAnsi="Times New Roman"/>
          <w:sz w:val="24"/>
        </w:rPr>
        <w:t>.</w:t>
      </w:r>
      <w:r>
        <w:rPr>
          <w:rFonts w:ascii="Times New Roman" w:hAnsi="Times New Roman"/>
          <w:sz w:val="24"/>
        </w:rPr>
        <w:t xml:space="preserve"> 13 of the preliminary decision, the FSPO stated</w:t>
      </w:r>
      <w:r w:rsidR="007909B9">
        <w:rPr>
          <w:rFonts w:ascii="Times New Roman" w:hAnsi="Times New Roman"/>
          <w:sz w:val="24"/>
        </w:rPr>
        <w:t xml:space="preserve">: “What I particularly note is </w:t>
      </w:r>
      <w:r w:rsidR="003A1726">
        <w:rPr>
          <w:rFonts w:ascii="Times New Roman" w:hAnsi="Times New Roman"/>
          <w:sz w:val="24"/>
        </w:rPr>
        <w:t xml:space="preserve">that there was an acceptance </w:t>
      </w:r>
      <w:r w:rsidR="007909B9">
        <w:rPr>
          <w:rFonts w:ascii="Times New Roman" w:hAnsi="Times New Roman"/>
          <w:sz w:val="24"/>
        </w:rPr>
        <w:t>[</w:t>
      </w:r>
      <w:r w:rsidR="003A1726">
        <w:rPr>
          <w:rFonts w:ascii="Times New Roman" w:hAnsi="Times New Roman"/>
          <w:sz w:val="24"/>
        </w:rPr>
        <w:t>on the part of Utmost</w:t>
      </w:r>
      <w:r w:rsidR="007909B9">
        <w:rPr>
          <w:rFonts w:ascii="Times New Roman" w:hAnsi="Times New Roman"/>
          <w:sz w:val="24"/>
        </w:rPr>
        <w:t>]</w:t>
      </w:r>
      <w:r w:rsidR="003A1726">
        <w:rPr>
          <w:rFonts w:ascii="Times New Roman" w:hAnsi="Times New Roman"/>
          <w:sz w:val="24"/>
        </w:rPr>
        <w:t xml:space="preserve"> that the </w:t>
      </w:r>
      <w:r w:rsidR="007909B9">
        <w:rPr>
          <w:rFonts w:ascii="Times New Roman" w:hAnsi="Times New Roman"/>
          <w:sz w:val="24"/>
        </w:rPr>
        <w:t>Complainant</w:t>
      </w:r>
      <w:r w:rsidR="003A1726">
        <w:rPr>
          <w:rFonts w:ascii="Times New Roman" w:hAnsi="Times New Roman"/>
          <w:sz w:val="24"/>
        </w:rPr>
        <w:t xml:space="preserve"> was unable to work because of her ailments</w:t>
      </w:r>
      <w:r w:rsidR="007909B9">
        <w:rPr>
          <w:rFonts w:ascii="Times New Roman" w:hAnsi="Times New Roman"/>
          <w:sz w:val="24"/>
        </w:rPr>
        <w:t>”</w:t>
      </w:r>
      <w:r w:rsidR="003A1726">
        <w:rPr>
          <w:rFonts w:ascii="Times New Roman" w:hAnsi="Times New Roman"/>
          <w:sz w:val="24"/>
        </w:rPr>
        <w:t xml:space="preserve">. </w:t>
      </w:r>
      <w:r w:rsidR="007909B9">
        <w:rPr>
          <w:rFonts w:ascii="Times New Roman" w:hAnsi="Times New Roman"/>
          <w:sz w:val="24"/>
        </w:rPr>
        <w:t xml:space="preserve">This statement is somewhat surprising because it </w:t>
      </w:r>
      <w:r w:rsidR="007E1E56">
        <w:rPr>
          <w:rFonts w:ascii="Times New Roman" w:hAnsi="Times New Roman"/>
          <w:sz w:val="24"/>
        </w:rPr>
        <w:t xml:space="preserve">is at odds with </w:t>
      </w:r>
      <w:r w:rsidR="007909B9">
        <w:rPr>
          <w:rFonts w:ascii="Times New Roman" w:hAnsi="Times New Roman"/>
          <w:sz w:val="24"/>
        </w:rPr>
        <w:t xml:space="preserve">the content of </w:t>
      </w:r>
      <w:r>
        <w:rPr>
          <w:rFonts w:ascii="Times New Roman" w:hAnsi="Times New Roman"/>
          <w:sz w:val="24"/>
        </w:rPr>
        <w:t>the</w:t>
      </w:r>
      <w:r w:rsidR="007909B9">
        <w:rPr>
          <w:rFonts w:ascii="Times New Roman" w:hAnsi="Times New Roman"/>
          <w:sz w:val="24"/>
        </w:rPr>
        <w:t xml:space="preserve"> letter from </w:t>
      </w:r>
      <w:r w:rsidR="00AC6392">
        <w:rPr>
          <w:rFonts w:ascii="Times New Roman" w:hAnsi="Times New Roman"/>
          <w:sz w:val="24"/>
        </w:rPr>
        <w:t xml:space="preserve">Utmost </w:t>
      </w:r>
      <w:r w:rsidR="007909B9">
        <w:rPr>
          <w:rFonts w:ascii="Times New Roman" w:hAnsi="Times New Roman"/>
          <w:sz w:val="24"/>
        </w:rPr>
        <w:t>to the notice party dated 23</w:t>
      </w:r>
      <w:r w:rsidR="007909B9" w:rsidRPr="007909B9">
        <w:rPr>
          <w:rFonts w:ascii="Times New Roman" w:hAnsi="Times New Roman"/>
          <w:sz w:val="24"/>
          <w:vertAlign w:val="superscript"/>
        </w:rPr>
        <w:t>rd</w:t>
      </w:r>
      <w:r w:rsidR="007909B9">
        <w:rPr>
          <w:rFonts w:ascii="Times New Roman" w:hAnsi="Times New Roman"/>
          <w:sz w:val="24"/>
        </w:rPr>
        <w:t xml:space="preserve"> February 2017, </w:t>
      </w:r>
      <w:r>
        <w:rPr>
          <w:rFonts w:ascii="Times New Roman" w:hAnsi="Times New Roman"/>
          <w:sz w:val="24"/>
        </w:rPr>
        <w:t>referred to in the last paragraph</w:t>
      </w:r>
      <w:r w:rsidR="00AA38B5">
        <w:rPr>
          <w:rFonts w:ascii="Times New Roman" w:hAnsi="Times New Roman"/>
          <w:sz w:val="24"/>
        </w:rPr>
        <w:t>, and quoted by the FSPO himself in the same document</w:t>
      </w:r>
      <w:r>
        <w:rPr>
          <w:rFonts w:ascii="Times New Roman" w:hAnsi="Times New Roman"/>
          <w:sz w:val="24"/>
        </w:rPr>
        <w:t>.</w:t>
      </w:r>
      <w:r w:rsidR="007909B9">
        <w:rPr>
          <w:rFonts w:ascii="Times New Roman" w:hAnsi="Times New Roman"/>
          <w:sz w:val="24"/>
        </w:rPr>
        <w:t xml:space="preserve"> In its re</w:t>
      </w:r>
      <w:r w:rsidR="001148C4">
        <w:rPr>
          <w:rFonts w:ascii="Times New Roman" w:hAnsi="Times New Roman"/>
          <w:sz w:val="24"/>
        </w:rPr>
        <w:t>s</w:t>
      </w:r>
      <w:r w:rsidR="007909B9">
        <w:rPr>
          <w:rFonts w:ascii="Times New Roman" w:hAnsi="Times New Roman"/>
          <w:sz w:val="24"/>
        </w:rPr>
        <w:t>ponse to the preliminary decision</w:t>
      </w:r>
      <w:r w:rsidR="001148C4">
        <w:rPr>
          <w:rFonts w:ascii="Times New Roman" w:hAnsi="Times New Roman"/>
          <w:sz w:val="24"/>
        </w:rPr>
        <w:t xml:space="preserve"> dated 5</w:t>
      </w:r>
      <w:r w:rsidR="001148C4" w:rsidRPr="001148C4">
        <w:rPr>
          <w:rFonts w:ascii="Times New Roman" w:hAnsi="Times New Roman"/>
          <w:sz w:val="24"/>
          <w:vertAlign w:val="superscript"/>
        </w:rPr>
        <w:t>th</w:t>
      </w:r>
      <w:r w:rsidR="001148C4">
        <w:rPr>
          <w:rFonts w:ascii="Times New Roman" w:hAnsi="Times New Roman"/>
          <w:sz w:val="24"/>
        </w:rPr>
        <w:t xml:space="preserve"> June 2019</w:t>
      </w:r>
      <w:r w:rsidR="007909B9">
        <w:rPr>
          <w:rFonts w:ascii="Times New Roman" w:hAnsi="Times New Roman"/>
          <w:sz w:val="24"/>
        </w:rPr>
        <w:t xml:space="preserve">, Utmost did not </w:t>
      </w:r>
      <w:r w:rsidR="001148C4">
        <w:rPr>
          <w:rFonts w:ascii="Times New Roman" w:hAnsi="Times New Roman"/>
          <w:sz w:val="24"/>
        </w:rPr>
        <w:t xml:space="preserve">expressly </w:t>
      </w:r>
      <w:r w:rsidR="007909B9">
        <w:rPr>
          <w:rFonts w:ascii="Times New Roman" w:hAnsi="Times New Roman"/>
          <w:sz w:val="24"/>
        </w:rPr>
        <w:t xml:space="preserve">address the statement (that there was an acceptance </w:t>
      </w:r>
      <w:r w:rsidR="001148C4">
        <w:rPr>
          <w:rFonts w:ascii="Times New Roman" w:hAnsi="Times New Roman"/>
          <w:sz w:val="24"/>
        </w:rPr>
        <w:t xml:space="preserve">by Utmost that the notice party was unfit for work) but did say, </w:t>
      </w:r>
      <w:r w:rsidR="00285B3A">
        <w:rPr>
          <w:rFonts w:ascii="Times New Roman" w:hAnsi="Times New Roman"/>
          <w:sz w:val="24"/>
        </w:rPr>
        <w:t xml:space="preserve">in a section of the letter headed </w:t>
      </w:r>
      <w:r w:rsidR="001148C4">
        <w:rPr>
          <w:rFonts w:ascii="Times New Roman" w:hAnsi="Times New Roman"/>
          <w:sz w:val="24"/>
        </w:rPr>
        <w:t>“Error of Fact”</w:t>
      </w:r>
      <w:r w:rsidR="0001079F">
        <w:rPr>
          <w:rFonts w:ascii="Times New Roman" w:hAnsi="Times New Roman"/>
          <w:sz w:val="24"/>
        </w:rPr>
        <w:t>,</w:t>
      </w:r>
      <w:r w:rsidR="001148C4">
        <w:rPr>
          <w:rFonts w:ascii="Times New Roman" w:hAnsi="Times New Roman"/>
          <w:sz w:val="24"/>
        </w:rPr>
        <w:t xml:space="preserve"> that</w:t>
      </w:r>
      <w:r w:rsidR="00285B3A">
        <w:rPr>
          <w:rFonts w:ascii="Times New Roman" w:hAnsi="Times New Roman"/>
          <w:sz w:val="24"/>
        </w:rPr>
        <w:t xml:space="preserve"> “</w:t>
      </w:r>
      <w:proofErr w:type="spellStart"/>
      <w:r w:rsidR="001148C4">
        <w:rPr>
          <w:rFonts w:ascii="Times New Roman" w:hAnsi="Times New Roman"/>
          <w:sz w:val="24"/>
        </w:rPr>
        <w:t>Dr.</w:t>
      </w:r>
      <w:proofErr w:type="spellEnd"/>
      <w:r w:rsidR="003701FE">
        <w:rPr>
          <w:rFonts w:ascii="Times New Roman" w:hAnsi="Times New Roman"/>
          <w:sz w:val="24"/>
        </w:rPr>
        <w:t xml:space="preserve"> </w:t>
      </w:r>
      <w:r w:rsidR="001148C4">
        <w:rPr>
          <w:rFonts w:ascii="Times New Roman" w:hAnsi="Times New Roman"/>
          <w:sz w:val="24"/>
        </w:rPr>
        <w:t>Howard</w:t>
      </w:r>
      <w:r w:rsidR="00285B3A">
        <w:rPr>
          <w:rFonts w:ascii="Times New Roman" w:hAnsi="Times New Roman"/>
          <w:sz w:val="24"/>
        </w:rPr>
        <w:t xml:space="preserve"> was quite clear that, in his professional opinion, the complainant’s symptoms were not sufficient so as to render disability”. Nonetheless, the statement that there was an acceptance of disability remained unaltered in the Decision.</w:t>
      </w:r>
    </w:p>
    <w:p w14:paraId="6D864385" w14:textId="4DB67BCB" w:rsidR="008E40EE" w:rsidRPr="003A1726" w:rsidRDefault="00325A95"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The FSPO</w:t>
      </w:r>
      <w:r w:rsidR="003A1726">
        <w:rPr>
          <w:rFonts w:ascii="Times New Roman" w:hAnsi="Times New Roman"/>
          <w:sz w:val="24"/>
        </w:rPr>
        <w:t xml:space="preserve"> further observes</w:t>
      </w:r>
      <w:r>
        <w:rPr>
          <w:rFonts w:ascii="Times New Roman" w:hAnsi="Times New Roman"/>
          <w:sz w:val="24"/>
        </w:rPr>
        <w:t xml:space="preserve"> (on p.</w:t>
      </w:r>
      <w:r w:rsidR="0001079F">
        <w:rPr>
          <w:rFonts w:ascii="Times New Roman" w:hAnsi="Times New Roman"/>
          <w:sz w:val="24"/>
        </w:rPr>
        <w:t xml:space="preserve"> </w:t>
      </w:r>
      <w:r>
        <w:rPr>
          <w:rFonts w:ascii="Times New Roman" w:hAnsi="Times New Roman"/>
          <w:sz w:val="24"/>
        </w:rPr>
        <w:t>13)</w:t>
      </w:r>
      <w:r w:rsidR="003A1726">
        <w:rPr>
          <w:rFonts w:ascii="Times New Roman" w:hAnsi="Times New Roman"/>
          <w:sz w:val="24"/>
        </w:rPr>
        <w:t xml:space="preserve"> that what prevented Utmost from accepting the claim of the notice party was that it considered that</w:t>
      </w:r>
      <w:r w:rsidR="00EA23C2">
        <w:rPr>
          <w:rFonts w:ascii="Times New Roman" w:hAnsi="Times New Roman"/>
          <w:sz w:val="24"/>
        </w:rPr>
        <w:t xml:space="preserve"> </w:t>
      </w:r>
      <w:r w:rsidR="00BD38B7">
        <w:rPr>
          <w:rFonts w:ascii="Times New Roman" w:hAnsi="Times New Roman"/>
          <w:sz w:val="24"/>
        </w:rPr>
        <w:t>f</w:t>
      </w:r>
      <w:r w:rsidR="00EA23C2">
        <w:rPr>
          <w:rFonts w:ascii="Times New Roman" w:hAnsi="Times New Roman"/>
          <w:sz w:val="24"/>
        </w:rPr>
        <w:t>ibromyalgia was</w:t>
      </w:r>
      <w:r w:rsidR="003A1726">
        <w:rPr>
          <w:rFonts w:ascii="Times New Roman" w:hAnsi="Times New Roman"/>
          <w:sz w:val="24"/>
        </w:rPr>
        <w:t xml:space="preserve"> the predominant ailment preventing the notice party from working.  The FSPO then quotes from the e</w:t>
      </w:r>
      <w:r w:rsidR="00AA38B5">
        <w:rPr>
          <w:rFonts w:ascii="Times New Roman" w:hAnsi="Times New Roman"/>
          <w:sz w:val="24"/>
        </w:rPr>
        <w:t>-</w:t>
      </w:r>
      <w:r w:rsidR="003A1726">
        <w:rPr>
          <w:rFonts w:ascii="Times New Roman" w:hAnsi="Times New Roman"/>
          <w:sz w:val="24"/>
        </w:rPr>
        <w:t xml:space="preserve">mail of Ms. Devine to </w:t>
      </w:r>
      <w:proofErr w:type="spellStart"/>
      <w:r w:rsidR="003A1726">
        <w:rPr>
          <w:rFonts w:ascii="Times New Roman" w:hAnsi="Times New Roman"/>
          <w:sz w:val="24"/>
        </w:rPr>
        <w:t>Dr.</w:t>
      </w:r>
      <w:proofErr w:type="spellEnd"/>
      <w:r w:rsidR="003A1726">
        <w:rPr>
          <w:rFonts w:ascii="Times New Roman" w:hAnsi="Times New Roman"/>
          <w:sz w:val="24"/>
        </w:rPr>
        <w:t xml:space="preserve"> Howard of 19</w:t>
      </w:r>
      <w:r w:rsidR="003A1726" w:rsidRPr="003A1726">
        <w:rPr>
          <w:rFonts w:ascii="Times New Roman" w:hAnsi="Times New Roman"/>
          <w:sz w:val="24"/>
          <w:vertAlign w:val="superscript"/>
        </w:rPr>
        <w:t>th</w:t>
      </w:r>
      <w:r w:rsidR="003A1726">
        <w:rPr>
          <w:rFonts w:ascii="Times New Roman" w:hAnsi="Times New Roman"/>
          <w:sz w:val="24"/>
        </w:rPr>
        <w:t xml:space="preserve"> January and the reply of </w:t>
      </w:r>
      <w:proofErr w:type="spellStart"/>
      <w:r w:rsidR="003A1726">
        <w:rPr>
          <w:rFonts w:ascii="Times New Roman" w:hAnsi="Times New Roman"/>
          <w:sz w:val="24"/>
        </w:rPr>
        <w:t>Dr.</w:t>
      </w:r>
      <w:proofErr w:type="spellEnd"/>
      <w:r w:rsidR="003A1726">
        <w:rPr>
          <w:rFonts w:ascii="Times New Roman" w:hAnsi="Times New Roman"/>
          <w:sz w:val="24"/>
        </w:rPr>
        <w:t xml:space="preserve"> Howard of 24</w:t>
      </w:r>
      <w:r w:rsidR="003A1726" w:rsidRPr="003A1726">
        <w:rPr>
          <w:rFonts w:ascii="Times New Roman" w:hAnsi="Times New Roman"/>
          <w:sz w:val="24"/>
          <w:vertAlign w:val="superscript"/>
        </w:rPr>
        <w:t>th</w:t>
      </w:r>
      <w:r w:rsidR="003A1726">
        <w:rPr>
          <w:rFonts w:ascii="Times New Roman" w:hAnsi="Times New Roman"/>
          <w:sz w:val="24"/>
        </w:rPr>
        <w:t xml:space="preserve"> January 2017 (see para. </w:t>
      </w:r>
      <w:r w:rsidR="00EC227F">
        <w:rPr>
          <w:rFonts w:ascii="Times New Roman" w:hAnsi="Times New Roman"/>
          <w:sz w:val="24"/>
        </w:rPr>
        <w:t>1</w:t>
      </w:r>
      <w:r w:rsidR="00165CDE">
        <w:rPr>
          <w:rFonts w:ascii="Times New Roman" w:hAnsi="Times New Roman"/>
          <w:sz w:val="24"/>
        </w:rPr>
        <w:t>5</w:t>
      </w:r>
      <w:r w:rsidR="003A1726">
        <w:rPr>
          <w:rFonts w:ascii="Times New Roman" w:hAnsi="Times New Roman"/>
          <w:sz w:val="24"/>
        </w:rPr>
        <w:t xml:space="preserve"> above) and goes on to observe that:</w:t>
      </w:r>
    </w:p>
    <w:p w14:paraId="19FEDAC8" w14:textId="34C007CA" w:rsidR="004979E7" w:rsidRPr="003A19AE" w:rsidRDefault="003A1726"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“It is clear from the above that the specialist was asked by the Provider to quantify how one ailment was affecting the Complainant [sic] ability for work over and above another ailment.  The problem here is that these two ailments clearly have many overlapping symptoms and it is clearly evident that there was no formal diagnosis of </w:t>
      </w:r>
      <w:r w:rsidR="00277011">
        <w:rPr>
          <w:rFonts w:ascii="Times New Roman" w:hAnsi="Times New Roman"/>
          <w:sz w:val="24"/>
        </w:rPr>
        <w:t>F</w:t>
      </w:r>
      <w:r>
        <w:rPr>
          <w:rFonts w:ascii="Times New Roman" w:hAnsi="Times New Roman"/>
          <w:sz w:val="24"/>
        </w:rPr>
        <w:t>ibromyalgia by the Complainant’s treating doctors, for such quantification to be reasonably and fairly reached</w:t>
      </w:r>
      <w:r w:rsidR="00277011">
        <w:rPr>
          <w:rFonts w:ascii="Times New Roman" w:hAnsi="Times New Roman"/>
          <w:sz w:val="24"/>
        </w:rPr>
        <w:t>.</w:t>
      </w:r>
      <w:r>
        <w:rPr>
          <w:rFonts w:ascii="Times New Roman" w:hAnsi="Times New Roman"/>
          <w:sz w:val="24"/>
        </w:rPr>
        <w:t>”</w:t>
      </w:r>
    </w:p>
    <w:p w14:paraId="742772D1" w14:textId="27E4E51E" w:rsidR="003A1726" w:rsidRPr="003A1726" w:rsidRDefault="00246FC5"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arriving at this conclusion,</w:t>
      </w:r>
      <w:r w:rsidR="0001079F">
        <w:rPr>
          <w:rFonts w:ascii="Times New Roman" w:hAnsi="Times New Roman"/>
          <w:sz w:val="24"/>
        </w:rPr>
        <w:t xml:space="preserve"> </w:t>
      </w:r>
      <w:r>
        <w:rPr>
          <w:rFonts w:ascii="Times New Roman" w:hAnsi="Times New Roman"/>
          <w:sz w:val="24"/>
        </w:rPr>
        <w:t>t</w:t>
      </w:r>
      <w:r w:rsidR="003A1726">
        <w:rPr>
          <w:rFonts w:ascii="Times New Roman" w:hAnsi="Times New Roman"/>
          <w:sz w:val="24"/>
        </w:rPr>
        <w:t xml:space="preserve">he FSPO also </w:t>
      </w:r>
      <w:r w:rsidR="00BD38B7">
        <w:rPr>
          <w:rFonts w:ascii="Times New Roman" w:hAnsi="Times New Roman"/>
          <w:sz w:val="24"/>
        </w:rPr>
        <w:t>refer</w:t>
      </w:r>
      <w:r w:rsidR="00237EA9">
        <w:rPr>
          <w:rFonts w:ascii="Times New Roman" w:hAnsi="Times New Roman"/>
          <w:sz w:val="24"/>
        </w:rPr>
        <w:t>red</w:t>
      </w:r>
      <w:r w:rsidR="00BD38B7">
        <w:rPr>
          <w:rFonts w:ascii="Times New Roman" w:hAnsi="Times New Roman"/>
          <w:sz w:val="24"/>
        </w:rPr>
        <w:t xml:space="preserve"> to a further </w:t>
      </w:r>
      <w:r w:rsidR="003A1726">
        <w:rPr>
          <w:rFonts w:ascii="Times New Roman" w:hAnsi="Times New Roman"/>
          <w:sz w:val="24"/>
        </w:rPr>
        <w:t xml:space="preserve">report of </w:t>
      </w:r>
      <w:proofErr w:type="spellStart"/>
      <w:r w:rsidR="003A1726">
        <w:rPr>
          <w:rFonts w:ascii="Times New Roman" w:hAnsi="Times New Roman"/>
          <w:sz w:val="24"/>
        </w:rPr>
        <w:t>Dr.</w:t>
      </w:r>
      <w:proofErr w:type="spellEnd"/>
      <w:r w:rsidR="003A1726">
        <w:rPr>
          <w:rFonts w:ascii="Times New Roman" w:hAnsi="Times New Roman"/>
          <w:sz w:val="24"/>
        </w:rPr>
        <w:t xml:space="preserve"> O’Connell of 17</w:t>
      </w:r>
      <w:r w:rsidR="003A1726" w:rsidRPr="003A1726">
        <w:rPr>
          <w:rFonts w:ascii="Times New Roman" w:hAnsi="Times New Roman"/>
          <w:sz w:val="24"/>
          <w:vertAlign w:val="superscript"/>
        </w:rPr>
        <w:t>th</w:t>
      </w:r>
      <w:r w:rsidR="003A1726">
        <w:rPr>
          <w:rFonts w:ascii="Times New Roman" w:hAnsi="Times New Roman"/>
          <w:sz w:val="24"/>
        </w:rPr>
        <w:t xml:space="preserve"> May 2018</w:t>
      </w:r>
      <w:r w:rsidR="00BD38B7">
        <w:rPr>
          <w:rFonts w:ascii="Times New Roman" w:hAnsi="Times New Roman"/>
          <w:sz w:val="24"/>
        </w:rPr>
        <w:t>, which the notice party submitted during the course of the FSPO investigation into the Complaint, and which states:</w:t>
      </w:r>
    </w:p>
    <w:p w14:paraId="286CB277" w14:textId="356A912D" w:rsidR="008E40EE" w:rsidRDefault="003A1726"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00F67BF1">
        <w:rPr>
          <w:rFonts w:ascii="Times New Roman" w:hAnsi="Times New Roman"/>
          <w:sz w:val="24"/>
        </w:rPr>
        <w:t>[</w:t>
      </w:r>
      <w:r>
        <w:rPr>
          <w:rFonts w:ascii="Times New Roman" w:hAnsi="Times New Roman"/>
          <w:sz w:val="24"/>
        </w:rPr>
        <w:t>C</w:t>
      </w:r>
      <w:r w:rsidR="00F67BF1">
        <w:rPr>
          <w:rFonts w:ascii="Times New Roman" w:hAnsi="Times New Roman"/>
          <w:sz w:val="24"/>
        </w:rPr>
        <w:t>]</w:t>
      </w:r>
      <w:proofErr w:type="spellStart"/>
      <w:r>
        <w:rPr>
          <w:rFonts w:ascii="Times New Roman" w:hAnsi="Times New Roman"/>
          <w:sz w:val="24"/>
        </w:rPr>
        <w:t>learly</w:t>
      </w:r>
      <w:proofErr w:type="spellEnd"/>
      <w:r>
        <w:rPr>
          <w:rFonts w:ascii="Times New Roman" w:hAnsi="Times New Roman"/>
          <w:sz w:val="24"/>
        </w:rPr>
        <w:t xml:space="preserve"> puts a diagnosis of </w:t>
      </w:r>
      <w:r w:rsidR="00F67BF1">
        <w:rPr>
          <w:rFonts w:ascii="Times New Roman" w:hAnsi="Times New Roman"/>
          <w:sz w:val="24"/>
        </w:rPr>
        <w:t>R</w:t>
      </w:r>
      <w:r>
        <w:rPr>
          <w:rFonts w:ascii="Times New Roman" w:hAnsi="Times New Roman"/>
          <w:sz w:val="24"/>
        </w:rPr>
        <w:t xml:space="preserve">heumatoid </w:t>
      </w:r>
      <w:r w:rsidR="00F67BF1">
        <w:rPr>
          <w:rFonts w:ascii="Times New Roman" w:hAnsi="Times New Roman"/>
          <w:sz w:val="24"/>
        </w:rPr>
        <w:t>A</w:t>
      </w:r>
      <w:r>
        <w:rPr>
          <w:rFonts w:ascii="Times New Roman" w:hAnsi="Times New Roman"/>
          <w:sz w:val="24"/>
        </w:rPr>
        <w:t>rthritis on the Complainant’s symptoms and refers to the treatment for that condition</w:t>
      </w:r>
      <w:r w:rsidR="00F67BF1">
        <w:rPr>
          <w:rFonts w:ascii="Times New Roman" w:hAnsi="Times New Roman"/>
          <w:sz w:val="24"/>
        </w:rPr>
        <w:t>,</w:t>
      </w:r>
      <w:r>
        <w:rPr>
          <w:rFonts w:ascii="Times New Roman" w:hAnsi="Times New Roman"/>
          <w:sz w:val="24"/>
        </w:rPr>
        <w:t xml:space="preserve"> as opposed to any diagnosis or targeted treatment for </w:t>
      </w:r>
      <w:r w:rsidR="00F67BF1">
        <w:rPr>
          <w:rFonts w:ascii="Times New Roman" w:hAnsi="Times New Roman"/>
          <w:sz w:val="24"/>
        </w:rPr>
        <w:t>F</w:t>
      </w:r>
      <w:r>
        <w:rPr>
          <w:rFonts w:ascii="Times New Roman" w:hAnsi="Times New Roman"/>
          <w:sz w:val="24"/>
        </w:rPr>
        <w:t xml:space="preserve">ibromyalgia”. </w:t>
      </w:r>
    </w:p>
    <w:p w14:paraId="6D07407E" w14:textId="194E3A35" w:rsidR="003A1726" w:rsidRDefault="00246FC5" w:rsidP="00E20F5C">
      <w:pPr>
        <w:tabs>
          <w:tab w:val="left" w:pos="567"/>
        </w:tabs>
        <w:spacing w:line="480" w:lineRule="auto"/>
        <w:jc w:val="both"/>
      </w:pPr>
      <w:r>
        <w:t>It is clear that the FSPO placed some reliance on t</w:t>
      </w:r>
      <w:r w:rsidR="00325A95">
        <w:t>h</w:t>
      </w:r>
      <w:r>
        <w:t xml:space="preserve">is report, even though it </w:t>
      </w:r>
      <w:r w:rsidR="0001079F">
        <w:t>postdates</w:t>
      </w:r>
      <w:r>
        <w:t xml:space="preserve"> the declinature of cover by Utmost.</w:t>
      </w:r>
      <w:r w:rsidR="00AA38B5">
        <w:t xml:space="preserve"> </w:t>
      </w:r>
      <w:r w:rsidR="003A1726" w:rsidRPr="003A1726">
        <w:t xml:space="preserve">The FSPO also notes </w:t>
      </w:r>
      <w:r w:rsidR="00325A95">
        <w:t>(on p.</w:t>
      </w:r>
      <w:r w:rsidR="0001079F">
        <w:t xml:space="preserve"> </w:t>
      </w:r>
      <w:r w:rsidR="00325A95">
        <w:t xml:space="preserve">14) </w:t>
      </w:r>
      <w:r w:rsidR="003A1726" w:rsidRPr="003A1726">
        <w:t>that:</w:t>
      </w:r>
    </w:p>
    <w:p w14:paraId="51E32725" w14:textId="76D47AE2" w:rsidR="00807368" w:rsidRPr="004979E7" w:rsidRDefault="003A1726" w:rsidP="00E20F5C">
      <w:pPr>
        <w:tabs>
          <w:tab w:val="left" w:pos="567"/>
        </w:tabs>
        <w:spacing w:line="480" w:lineRule="auto"/>
        <w:ind w:left="567"/>
        <w:jc w:val="both"/>
      </w:pPr>
      <w:r>
        <w:t>“</w:t>
      </w:r>
      <w:r w:rsidR="00584783">
        <w:t>[</w:t>
      </w:r>
      <w:r w:rsidR="00807368">
        <w:t>T</w:t>
      </w:r>
      <w:r w:rsidR="00584783">
        <w:t>]</w:t>
      </w:r>
      <w:r w:rsidR="00807368">
        <w:t xml:space="preserve">he </w:t>
      </w:r>
      <w:r w:rsidR="00584783">
        <w:t>P</w:t>
      </w:r>
      <w:r>
        <w:t>rovider did not follow through on its appointed specialist’s opinion regarding payment of the benefit to the Complainant for two months.”</w:t>
      </w:r>
    </w:p>
    <w:p w14:paraId="126189C4" w14:textId="4E5F2C04" w:rsidR="003A1726" w:rsidRDefault="00325A95"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w:t>
      </w:r>
      <w:r w:rsidR="00807368">
        <w:rPr>
          <w:rFonts w:ascii="Times New Roman" w:hAnsi="Times New Roman"/>
          <w:sz w:val="24"/>
        </w:rPr>
        <w:t xml:space="preserve">FSPO noted </w:t>
      </w:r>
      <w:r>
        <w:rPr>
          <w:rFonts w:ascii="Times New Roman" w:hAnsi="Times New Roman"/>
          <w:sz w:val="24"/>
        </w:rPr>
        <w:t>(on p.</w:t>
      </w:r>
      <w:r w:rsidR="0001079F">
        <w:rPr>
          <w:rFonts w:ascii="Times New Roman" w:hAnsi="Times New Roman"/>
          <w:sz w:val="24"/>
        </w:rPr>
        <w:t xml:space="preserve"> </w:t>
      </w:r>
      <w:r>
        <w:rPr>
          <w:rFonts w:ascii="Times New Roman" w:hAnsi="Times New Roman"/>
          <w:sz w:val="24"/>
        </w:rPr>
        <w:t>12)</w:t>
      </w:r>
      <w:r w:rsidR="0001079F">
        <w:rPr>
          <w:rFonts w:ascii="Times New Roman" w:hAnsi="Times New Roman"/>
          <w:sz w:val="24"/>
        </w:rPr>
        <w:t xml:space="preserve"> </w:t>
      </w:r>
      <w:r w:rsidR="00807368">
        <w:rPr>
          <w:rFonts w:ascii="Times New Roman" w:hAnsi="Times New Roman"/>
          <w:sz w:val="24"/>
        </w:rPr>
        <w:t>that the notice party “reasonably takes issue with the Provider</w:t>
      </w:r>
      <w:r w:rsidR="003F5290">
        <w:rPr>
          <w:rFonts w:ascii="Times New Roman" w:hAnsi="Times New Roman"/>
          <w:sz w:val="24"/>
        </w:rPr>
        <w:t>’</w:t>
      </w:r>
      <w:r w:rsidR="00807368">
        <w:rPr>
          <w:rFonts w:ascii="Times New Roman" w:hAnsi="Times New Roman"/>
          <w:sz w:val="24"/>
        </w:rPr>
        <w:t>s representative’s statement that he could not understand why she was even accepted onto the income continuance scheme given her history.</w:t>
      </w:r>
      <w:r w:rsidR="003F5290">
        <w:rPr>
          <w:rFonts w:ascii="Times New Roman" w:hAnsi="Times New Roman"/>
          <w:sz w:val="24"/>
        </w:rPr>
        <w:t>”</w:t>
      </w:r>
      <w:r w:rsidR="00807368">
        <w:rPr>
          <w:rFonts w:ascii="Times New Roman" w:hAnsi="Times New Roman"/>
          <w:sz w:val="24"/>
        </w:rPr>
        <w:t xml:space="preserve"> </w:t>
      </w:r>
      <w:r w:rsidR="00792415">
        <w:rPr>
          <w:rFonts w:ascii="Times New Roman" w:hAnsi="Times New Roman"/>
          <w:sz w:val="24"/>
        </w:rPr>
        <w:t>This was a reference to</w:t>
      </w:r>
      <w:r w:rsidR="00807368">
        <w:rPr>
          <w:rFonts w:ascii="Times New Roman" w:hAnsi="Times New Roman"/>
          <w:sz w:val="24"/>
        </w:rPr>
        <w:t xml:space="preserve"> the e</w:t>
      </w:r>
      <w:r w:rsidR="00792415">
        <w:rPr>
          <w:rFonts w:ascii="Times New Roman" w:hAnsi="Times New Roman"/>
          <w:sz w:val="24"/>
        </w:rPr>
        <w:t>-</w:t>
      </w:r>
      <w:r w:rsidR="00807368">
        <w:rPr>
          <w:rFonts w:ascii="Times New Roman" w:hAnsi="Times New Roman"/>
          <w:sz w:val="24"/>
        </w:rPr>
        <w:t xml:space="preserve">mail from Mr. </w:t>
      </w:r>
      <w:proofErr w:type="spellStart"/>
      <w:r w:rsidR="00807368">
        <w:rPr>
          <w:rFonts w:ascii="Times New Roman" w:hAnsi="Times New Roman"/>
          <w:sz w:val="24"/>
        </w:rPr>
        <w:t>Hulsman</w:t>
      </w:r>
      <w:proofErr w:type="spellEnd"/>
      <w:r w:rsidR="00807368">
        <w:rPr>
          <w:rFonts w:ascii="Times New Roman" w:hAnsi="Times New Roman"/>
          <w:sz w:val="24"/>
        </w:rPr>
        <w:t xml:space="preserve"> to </w:t>
      </w:r>
      <w:proofErr w:type="spellStart"/>
      <w:r w:rsidR="00584783">
        <w:rPr>
          <w:rFonts w:ascii="Times New Roman" w:hAnsi="Times New Roman"/>
          <w:sz w:val="24"/>
        </w:rPr>
        <w:t>Dr.</w:t>
      </w:r>
      <w:proofErr w:type="spellEnd"/>
      <w:r w:rsidR="00584783">
        <w:rPr>
          <w:rFonts w:ascii="Times New Roman" w:hAnsi="Times New Roman"/>
          <w:sz w:val="24"/>
        </w:rPr>
        <w:t xml:space="preserve"> Gleeson</w:t>
      </w:r>
      <w:r w:rsidR="00807368">
        <w:rPr>
          <w:rFonts w:ascii="Times New Roman" w:hAnsi="Times New Roman"/>
          <w:sz w:val="24"/>
        </w:rPr>
        <w:t xml:space="preserve"> of 27</w:t>
      </w:r>
      <w:r w:rsidR="00807368" w:rsidRPr="00807368">
        <w:rPr>
          <w:rFonts w:ascii="Times New Roman" w:hAnsi="Times New Roman"/>
          <w:sz w:val="24"/>
          <w:vertAlign w:val="superscript"/>
        </w:rPr>
        <w:t>th</w:t>
      </w:r>
      <w:r w:rsidR="00807368">
        <w:rPr>
          <w:rFonts w:ascii="Times New Roman" w:hAnsi="Times New Roman"/>
          <w:sz w:val="24"/>
        </w:rPr>
        <w:t xml:space="preserve"> July 2016 (see para</w:t>
      </w:r>
      <w:r w:rsidR="00584783">
        <w:rPr>
          <w:rFonts w:ascii="Times New Roman" w:hAnsi="Times New Roman"/>
          <w:sz w:val="24"/>
        </w:rPr>
        <w:t>.</w:t>
      </w:r>
      <w:r w:rsidR="00807368">
        <w:rPr>
          <w:rFonts w:ascii="Times New Roman" w:hAnsi="Times New Roman"/>
          <w:sz w:val="24"/>
        </w:rPr>
        <w:t xml:space="preserve"> </w:t>
      </w:r>
      <w:r w:rsidR="00165CDE">
        <w:rPr>
          <w:rFonts w:ascii="Times New Roman" w:hAnsi="Times New Roman"/>
          <w:sz w:val="24"/>
        </w:rPr>
        <w:t>10</w:t>
      </w:r>
      <w:r w:rsidR="00807368">
        <w:rPr>
          <w:rFonts w:ascii="Times New Roman" w:hAnsi="Times New Roman"/>
          <w:sz w:val="24"/>
        </w:rPr>
        <w:t xml:space="preserve"> above) and goes </w:t>
      </w:r>
      <w:r w:rsidR="00807368">
        <w:rPr>
          <w:rFonts w:ascii="Times New Roman" w:hAnsi="Times New Roman"/>
          <w:sz w:val="24"/>
        </w:rPr>
        <w:lastRenderedPageBreak/>
        <w:t>on to state that he considers those remarks inappropriate in the context of the claim of the notice party.</w:t>
      </w:r>
    </w:p>
    <w:p w14:paraId="24C2F606" w14:textId="1FA66E87" w:rsidR="007A3BDC" w:rsidRPr="00807368" w:rsidRDefault="007A3BDC"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FSPO </w:t>
      </w:r>
      <w:r w:rsidR="00E738AE">
        <w:rPr>
          <w:rFonts w:ascii="Times New Roman" w:hAnsi="Times New Roman"/>
          <w:sz w:val="24"/>
        </w:rPr>
        <w:t>concludes the preliminary decision as follows</w:t>
      </w:r>
      <w:r>
        <w:rPr>
          <w:rFonts w:ascii="Times New Roman" w:hAnsi="Times New Roman"/>
          <w:sz w:val="24"/>
        </w:rPr>
        <w:t>:</w:t>
      </w:r>
    </w:p>
    <w:p w14:paraId="66650C1C" w14:textId="77777777" w:rsidR="007A3BDC" w:rsidRDefault="007A3BD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“I conclude from the evidence submitted that there was an overemphasis by the Provider to quantify the impact that the two medical conditions had on the Complainant’s ability to work and in doing so to unreasonably and unfairly find that the excluded condition predominated, thereby preventing payment of benefit to the Complainant.</w:t>
      </w:r>
    </w:p>
    <w:p w14:paraId="13A36835" w14:textId="4D8E7666" w:rsidR="007A3BDC" w:rsidRDefault="007A3BD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Having regard to all of the above it is my intention to uphold this complaint and direct that the Provider admit the claim from the date of the expiry of the Deferred period and make payments from that date, into the future.  The Provider remains entitled, in accordance with the policy provisions, to further review the claim at any time in the future.”</w:t>
      </w:r>
    </w:p>
    <w:p w14:paraId="3DEF51D7" w14:textId="46F2F13B" w:rsidR="009A4E1B" w:rsidRPr="009A4E1B" w:rsidRDefault="009A4E1B" w:rsidP="00E20F5C">
      <w:pPr>
        <w:pStyle w:val="ListParagraph"/>
        <w:tabs>
          <w:tab w:val="left" w:pos="567"/>
        </w:tabs>
        <w:spacing w:line="480" w:lineRule="auto"/>
        <w:ind w:left="0"/>
        <w:rPr>
          <w:rFonts w:ascii="Times New Roman" w:hAnsi="Times New Roman"/>
          <w:b/>
          <w:sz w:val="24"/>
          <w:u w:val="single"/>
        </w:rPr>
      </w:pPr>
      <w:r w:rsidRPr="009A4E1B">
        <w:rPr>
          <w:rFonts w:ascii="Times New Roman" w:hAnsi="Times New Roman"/>
          <w:b/>
          <w:sz w:val="24"/>
          <w:u w:val="single"/>
        </w:rPr>
        <w:t>Response of Utmost</w:t>
      </w:r>
      <w:r w:rsidR="0075620E">
        <w:rPr>
          <w:rFonts w:ascii="Times New Roman" w:hAnsi="Times New Roman"/>
          <w:b/>
          <w:sz w:val="24"/>
          <w:u w:val="single"/>
        </w:rPr>
        <w:t xml:space="preserve"> to the preliminary decision</w:t>
      </w:r>
    </w:p>
    <w:p w14:paraId="21237701" w14:textId="09E2D16E" w:rsidR="003A1726" w:rsidRDefault="009A4E1B" w:rsidP="00E20F5C">
      <w:pPr>
        <w:pStyle w:val="ListParagraph"/>
        <w:numPr>
          <w:ilvl w:val="0"/>
          <w:numId w:val="1"/>
        </w:numPr>
        <w:tabs>
          <w:tab w:val="left" w:pos="0"/>
        </w:tabs>
        <w:spacing w:line="480" w:lineRule="auto"/>
        <w:ind w:left="0" w:firstLine="0"/>
        <w:rPr>
          <w:rFonts w:ascii="Times New Roman" w:hAnsi="Times New Roman"/>
          <w:sz w:val="24"/>
        </w:rPr>
      </w:pPr>
      <w:r>
        <w:rPr>
          <w:rFonts w:ascii="Times New Roman" w:hAnsi="Times New Roman"/>
          <w:sz w:val="24"/>
        </w:rPr>
        <w:t xml:space="preserve">In its response to the preliminary decision, Utmost submitted, </w:t>
      </w:r>
      <w:r>
        <w:rPr>
          <w:rFonts w:ascii="Times New Roman" w:hAnsi="Times New Roman"/>
          <w:i/>
          <w:sz w:val="24"/>
        </w:rPr>
        <w:t>inter alia</w:t>
      </w:r>
      <w:r>
        <w:rPr>
          <w:rFonts w:ascii="Times New Roman" w:hAnsi="Times New Roman"/>
          <w:sz w:val="24"/>
        </w:rPr>
        <w:t>:</w:t>
      </w:r>
    </w:p>
    <w:p w14:paraId="6899294B" w14:textId="75413265" w:rsidR="00807368" w:rsidRDefault="009A4E1B" w:rsidP="00E20F5C">
      <w:pPr>
        <w:pStyle w:val="ListParagraph"/>
        <w:numPr>
          <w:ilvl w:val="0"/>
          <w:numId w:val="2"/>
        </w:numPr>
        <w:tabs>
          <w:tab w:val="left" w:pos="567"/>
        </w:tabs>
        <w:spacing w:line="480" w:lineRule="auto"/>
        <w:ind w:left="1134" w:hanging="567"/>
        <w:rPr>
          <w:rFonts w:ascii="Times New Roman" w:hAnsi="Times New Roman"/>
          <w:sz w:val="24"/>
        </w:rPr>
      </w:pPr>
      <w:r>
        <w:rPr>
          <w:rFonts w:ascii="Times New Roman" w:hAnsi="Times New Roman"/>
          <w:sz w:val="24"/>
        </w:rPr>
        <w:t xml:space="preserve">That the conclusions of the FSPO are open to the interpretation that, contrary to </w:t>
      </w:r>
      <w:r w:rsidR="00E44400">
        <w:rPr>
          <w:rFonts w:ascii="Times New Roman" w:hAnsi="Times New Roman"/>
          <w:sz w:val="24"/>
        </w:rPr>
        <w:t>his</w:t>
      </w:r>
      <w:r>
        <w:rPr>
          <w:rFonts w:ascii="Times New Roman" w:hAnsi="Times New Roman"/>
          <w:sz w:val="24"/>
        </w:rPr>
        <w:t xml:space="preserve"> stated remit, he had weighed and evaluated the medical evidence, and that there is an implication that the report of the Chief Medical Officer of Utmost is deficient or incorrect in some respect;</w:t>
      </w:r>
    </w:p>
    <w:p w14:paraId="56D20A78" w14:textId="6CD64281" w:rsidR="009A4E1B" w:rsidRPr="00807368" w:rsidRDefault="009A4E1B" w:rsidP="00E20F5C">
      <w:pPr>
        <w:pStyle w:val="ListParagraph"/>
        <w:numPr>
          <w:ilvl w:val="0"/>
          <w:numId w:val="2"/>
        </w:numPr>
        <w:tabs>
          <w:tab w:val="left" w:pos="567"/>
        </w:tabs>
        <w:spacing w:line="480" w:lineRule="auto"/>
        <w:ind w:left="1134" w:hanging="567"/>
        <w:rPr>
          <w:rFonts w:ascii="Times New Roman" w:hAnsi="Times New Roman"/>
          <w:sz w:val="24"/>
        </w:rPr>
      </w:pPr>
      <w:r>
        <w:rPr>
          <w:rFonts w:ascii="Times New Roman" w:hAnsi="Times New Roman"/>
          <w:sz w:val="24"/>
        </w:rPr>
        <w:t xml:space="preserve">That the FSPO should have confined </w:t>
      </w:r>
      <w:r w:rsidR="00E44400">
        <w:rPr>
          <w:rFonts w:ascii="Times New Roman" w:hAnsi="Times New Roman"/>
          <w:sz w:val="24"/>
        </w:rPr>
        <w:t>him</w:t>
      </w:r>
      <w:r>
        <w:rPr>
          <w:rFonts w:ascii="Times New Roman" w:hAnsi="Times New Roman"/>
          <w:sz w:val="24"/>
        </w:rPr>
        <w:t>self to assessing whether or not the report of Utmost’s CMO was a reasonable basis for it to arrive at the decision that it did, having regard also to the medical evidence adduced by the notice party.  In failing to do so, the FSPO erred in law.</w:t>
      </w:r>
    </w:p>
    <w:p w14:paraId="3F092328" w14:textId="7C818D04" w:rsidR="00467F02" w:rsidRPr="005F3CC1" w:rsidRDefault="009A4E1B"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Utmost further submitted that the FSPO </w:t>
      </w:r>
      <w:r w:rsidR="00467F02">
        <w:rPr>
          <w:rFonts w:ascii="Times New Roman" w:hAnsi="Times New Roman"/>
          <w:sz w:val="24"/>
        </w:rPr>
        <w:t xml:space="preserve">erred in failing to give sufficient weight to the report of </w:t>
      </w:r>
      <w:proofErr w:type="spellStart"/>
      <w:r w:rsidR="00467F02">
        <w:rPr>
          <w:rFonts w:ascii="Times New Roman" w:hAnsi="Times New Roman"/>
          <w:sz w:val="24"/>
        </w:rPr>
        <w:t>Dr.</w:t>
      </w:r>
      <w:proofErr w:type="spellEnd"/>
      <w:r w:rsidR="00467F02">
        <w:rPr>
          <w:rFonts w:ascii="Times New Roman" w:hAnsi="Times New Roman"/>
          <w:sz w:val="24"/>
        </w:rPr>
        <w:t xml:space="preserve"> Howard of 24</w:t>
      </w:r>
      <w:r w:rsidR="00467F02" w:rsidRPr="00467F02">
        <w:rPr>
          <w:rFonts w:ascii="Times New Roman" w:hAnsi="Times New Roman"/>
          <w:sz w:val="24"/>
          <w:vertAlign w:val="superscript"/>
        </w:rPr>
        <w:t>th</w:t>
      </w:r>
      <w:r w:rsidR="00467F02">
        <w:rPr>
          <w:rFonts w:ascii="Times New Roman" w:hAnsi="Times New Roman"/>
          <w:sz w:val="24"/>
        </w:rPr>
        <w:t xml:space="preserve"> January 2017 in which he stated that the notice party did not </w:t>
      </w:r>
      <w:r w:rsidR="00467F02">
        <w:rPr>
          <w:rFonts w:ascii="Times New Roman" w:hAnsi="Times New Roman"/>
          <w:sz w:val="24"/>
        </w:rPr>
        <w:lastRenderedPageBreak/>
        <w:t xml:space="preserve">have a significant degree of </w:t>
      </w:r>
      <w:r w:rsidR="003F5290">
        <w:rPr>
          <w:rFonts w:ascii="Times New Roman" w:hAnsi="Times New Roman"/>
          <w:sz w:val="24"/>
        </w:rPr>
        <w:t>r</w:t>
      </w:r>
      <w:r w:rsidR="00467F02">
        <w:rPr>
          <w:rFonts w:ascii="Times New Roman" w:hAnsi="Times New Roman"/>
          <w:sz w:val="24"/>
        </w:rPr>
        <w:t xml:space="preserve">heumatoid </w:t>
      </w:r>
      <w:r w:rsidR="003F5290">
        <w:rPr>
          <w:rFonts w:ascii="Times New Roman" w:hAnsi="Times New Roman"/>
          <w:sz w:val="24"/>
        </w:rPr>
        <w:t>a</w:t>
      </w:r>
      <w:r w:rsidR="00467F02">
        <w:rPr>
          <w:rFonts w:ascii="Times New Roman" w:hAnsi="Times New Roman"/>
          <w:sz w:val="24"/>
        </w:rPr>
        <w:t>rthritis, sufficient by itself to render her disabled from work.</w:t>
      </w:r>
      <w:r w:rsidR="005F3CC1">
        <w:rPr>
          <w:rFonts w:ascii="Times New Roman" w:hAnsi="Times New Roman"/>
          <w:sz w:val="24"/>
        </w:rPr>
        <w:t xml:space="preserve"> In its submissions, </w:t>
      </w:r>
      <w:r w:rsidR="00467F02" w:rsidRPr="005F3CC1">
        <w:rPr>
          <w:rFonts w:ascii="Times New Roman" w:hAnsi="Times New Roman"/>
          <w:sz w:val="24"/>
        </w:rPr>
        <w:t>Utmost made no comment at all about the Code.</w:t>
      </w:r>
    </w:p>
    <w:p w14:paraId="5C967EF6" w14:textId="4A68963C" w:rsidR="00467F02" w:rsidRDefault="00467F02"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notice party also made a brief submission, the contents of which are not relevant for present purposes.  </w:t>
      </w:r>
    </w:p>
    <w:p w14:paraId="29586333" w14:textId="14D050D2" w:rsidR="005F3CC1" w:rsidRPr="00147634" w:rsidRDefault="005F3CC1" w:rsidP="00E20F5C">
      <w:pPr>
        <w:pStyle w:val="ListParagraph"/>
        <w:tabs>
          <w:tab w:val="left" w:pos="567"/>
        </w:tabs>
        <w:spacing w:line="480" w:lineRule="auto"/>
        <w:ind w:left="0"/>
        <w:rPr>
          <w:rFonts w:ascii="Times New Roman" w:hAnsi="Times New Roman"/>
          <w:b/>
          <w:bCs/>
          <w:sz w:val="24"/>
          <w:u w:val="single"/>
        </w:rPr>
      </w:pPr>
      <w:r>
        <w:rPr>
          <w:rFonts w:ascii="Times New Roman" w:hAnsi="Times New Roman"/>
          <w:b/>
          <w:bCs/>
          <w:sz w:val="24"/>
          <w:u w:val="single"/>
        </w:rPr>
        <w:t>The Decision</w:t>
      </w:r>
    </w:p>
    <w:p w14:paraId="14917D82" w14:textId="4D2D8471" w:rsidR="00467F02" w:rsidRDefault="00467F02"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FSPO then issued the Decision by letter dated 15</w:t>
      </w:r>
      <w:r w:rsidRPr="00467F02">
        <w:rPr>
          <w:rFonts w:ascii="Times New Roman" w:hAnsi="Times New Roman"/>
          <w:sz w:val="24"/>
          <w:vertAlign w:val="superscript"/>
        </w:rPr>
        <w:t>th</w:t>
      </w:r>
      <w:r>
        <w:rPr>
          <w:rFonts w:ascii="Times New Roman" w:hAnsi="Times New Roman"/>
          <w:sz w:val="24"/>
        </w:rPr>
        <w:t xml:space="preserve"> July 2019.  With the exception of a section describing the preliminary decision process</w:t>
      </w:r>
      <w:r w:rsidR="007119C7">
        <w:rPr>
          <w:rFonts w:ascii="Times New Roman" w:hAnsi="Times New Roman"/>
          <w:sz w:val="24"/>
        </w:rPr>
        <w:t xml:space="preserve"> and another </w:t>
      </w:r>
      <w:r w:rsidR="00E738AE">
        <w:rPr>
          <w:rFonts w:ascii="Times New Roman" w:hAnsi="Times New Roman"/>
          <w:sz w:val="24"/>
        </w:rPr>
        <w:t xml:space="preserve">section </w:t>
      </w:r>
      <w:r w:rsidR="007119C7">
        <w:rPr>
          <w:rFonts w:ascii="Times New Roman" w:hAnsi="Times New Roman"/>
          <w:sz w:val="24"/>
        </w:rPr>
        <w:t>addressing the submissions of Utmost following the preliminary decision</w:t>
      </w:r>
      <w:r>
        <w:rPr>
          <w:rFonts w:ascii="Times New Roman" w:hAnsi="Times New Roman"/>
          <w:sz w:val="24"/>
        </w:rPr>
        <w:t>, the Decision is identical in all respects to the preliminary decision.</w:t>
      </w:r>
    </w:p>
    <w:p w14:paraId="2C88AB69" w14:textId="118AB55D" w:rsidR="00467F02" w:rsidRDefault="00467F02"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 xml:space="preserve">The </w:t>
      </w:r>
      <w:r w:rsidR="00E738AE">
        <w:rPr>
          <w:rFonts w:ascii="Times New Roman" w:hAnsi="Times New Roman"/>
          <w:b/>
          <w:sz w:val="24"/>
          <w:u w:val="single"/>
        </w:rPr>
        <w:t>P</w:t>
      </w:r>
      <w:r>
        <w:rPr>
          <w:rFonts w:ascii="Times New Roman" w:hAnsi="Times New Roman"/>
          <w:b/>
          <w:sz w:val="24"/>
          <w:u w:val="single"/>
        </w:rPr>
        <w:t>roceedings</w:t>
      </w:r>
    </w:p>
    <w:p w14:paraId="1224A40E" w14:textId="174825D2" w:rsidR="009A4E1B" w:rsidRDefault="00467F02"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By Notice of Motion dated 6</w:t>
      </w:r>
      <w:r w:rsidRPr="00467F02">
        <w:rPr>
          <w:rFonts w:ascii="Times New Roman" w:hAnsi="Times New Roman"/>
          <w:sz w:val="24"/>
          <w:vertAlign w:val="superscript"/>
        </w:rPr>
        <w:t>th</w:t>
      </w:r>
      <w:r>
        <w:rPr>
          <w:rFonts w:ascii="Times New Roman" w:hAnsi="Times New Roman"/>
          <w:sz w:val="24"/>
        </w:rPr>
        <w:t xml:space="preserve"> September 2019, grounded on the affidavit of Mr. Marco </w:t>
      </w:r>
      <w:proofErr w:type="spellStart"/>
      <w:r>
        <w:rPr>
          <w:rFonts w:ascii="Times New Roman" w:hAnsi="Times New Roman"/>
          <w:sz w:val="24"/>
        </w:rPr>
        <w:t>Nuvoloni</w:t>
      </w:r>
      <w:proofErr w:type="spellEnd"/>
      <w:r>
        <w:rPr>
          <w:rFonts w:ascii="Times New Roman" w:hAnsi="Times New Roman"/>
          <w:sz w:val="24"/>
        </w:rPr>
        <w:t xml:space="preserve">, head of legal and compliance at Utmost, Utmost seeks an order setting aside the </w:t>
      </w:r>
      <w:r w:rsidR="00987AD7">
        <w:rPr>
          <w:rFonts w:ascii="Times New Roman" w:hAnsi="Times New Roman"/>
          <w:sz w:val="24"/>
        </w:rPr>
        <w:t>D</w:t>
      </w:r>
      <w:r>
        <w:rPr>
          <w:rFonts w:ascii="Times New Roman" w:hAnsi="Times New Roman"/>
          <w:sz w:val="24"/>
        </w:rPr>
        <w:t xml:space="preserve">ecision.  </w:t>
      </w:r>
      <w:r w:rsidR="00987AD7">
        <w:rPr>
          <w:rFonts w:ascii="Times New Roman" w:hAnsi="Times New Roman"/>
          <w:sz w:val="24"/>
        </w:rPr>
        <w:t>Since</w:t>
      </w:r>
      <w:r>
        <w:rPr>
          <w:rFonts w:ascii="Times New Roman" w:hAnsi="Times New Roman"/>
          <w:sz w:val="24"/>
        </w:rPr>
        <w:t xml:space="preserve"> the Notice of Motion issued outside the prescribed statutory time limit</w:t>
      </w:r>
      <w:r w:rsidR="00987AD7">
        <w:rPr>
          <w:rFonts w:ascii="Times New Roman" w:hAnsi="Times New Roman"/>
          <w:sz w:val="24"/>
        </w:rPr>
        <w:t xml:space="preserve"> (for reasons that were explained)</w:t>
      </w:r>
      <w:r>
        <w:rPr>
          <w:rFonts w:ascii="Times New Roman" w:hAnsi="Times New Roman"/>
          <w:sz w:val="24"/>
        </w:rPr>
        <w:t xml:space="preserve">, it also seeks an order extending that time limit, and the FSPO did not object to that part of the relief sought.  Accordingly, the trial judge granted the extension of time.  </w:t>
      </w:r>
    </w:p>
    <w:p w14:paraId="22B65673" w14:textId="77777777" w:rsidR="00467F02" w:rsidRDefault="00467F02"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grounds of appeal relied upon by Mr. </w:t>
      </w:r>
      <w:proofErr w:type="spellStart"/>
      <w:r>
        <w:rPr>
          <w:rFonts w:ascii="Times New Roman" w:hAnsi="Times New Roman"/>
          <w:sz w:val="24"/>
        </w:rPr>
        <w:t>Nuvoloni</w:t>
      </w:r>
      <w:proofErr w:type="spellEnd"/>
      <w:r>
        <w:rPr>
          <w:rFonts w:ascii="Times New Roman" w:hAnsi="Times New Roman"/>
          <w:sz w:val="24"/>
        </w:rPr>
        <w:t xml:space="preserve"> in his affidavit may be summarised as follows:</w:t>
      </w:r>
    </w:p>
    <w:p w14:paraId="481F3771" w14:textId="77777777" w:rsidR="00467F02" w:rsidRDefault="00467F02"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To the extent that the FSPO considered that a conflict of fact arose on the medical evidence, he should have convened an oral hearing to resolve such conflict;</w:t>
      </w:r>
    </w:p>
    <w:p w14:paraId="709ED6B2" w14:textId="77777777" w:rsidR="00467F02" w:rsidRDefault="00467F02"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FSPO erred in failing to determine whether or not cover had been triggered under the Policy;</w:t>
      </w:r>
    </w:p>
    <w:p w14:paraId="189F530B" w14:textId="77777777" w:rsidR="00467F02" w:rsidRDefault="00467F02"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FSPO erred in his treatment of the medical and factual evidence before him;</w:t>
      </w:r>
    </w:p>
    <w:p w14:paraId="33418186" w14:textId="257E6C6D" w:rsidR="00467F02" w:rsidRDefault="00467F02"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 xml:space="preserve">The FSPO erred in concluding that a comment made by Mr. </w:t>
      </w:r>
      <w:proofErr w:type="spellStart"/>
      <w:r>
        <w:rPr>
          <w:rFonts w:ascii="Times New Roman" w:hAnsi="Times New Roman"/>
          <w:sz w:val="24"/>
        </w:rPr>
        <w:t>Hulsman</w:t>
      </w:r>
      <w:proofErr w:type="spellEnd"/>
      <w:r w:rsidR="00E03143">
        <w:rPr>
          <w:rFonts w:ascii="Times New Roman" w:hAnsi="Times New Roman"/>
          <w:sz w:val="24"/>
        </w:rPr>
        <w:t>,</w:t>
      </w:r>
      <w:r>
        <w:rPr>
          <w:rFonts w:ascii="Times New Roman" w:hAnsi="Times New Roman"/>
          <w:sz w:val="24"/>
        </w:rPr>
        <w:t xml:space="preserve"> in an </w:t>
      </w:r>
      <w:r w:rsidR="00E03143">
        <w:rPr>
          <w:rFonts w:ascii="Times New Roman" w:hAnsi="Times New Roman"/>
          <w:sz w:val="24"/>
        </w:rPr>
        <w:t xml:space="preserve">internal email, that he could not understand why the notice party had been </w:t>
      </w:r>
      <w:r w:rsidR="00E03143">
        <w:rPr>
          <w:rFonts w:ascii="Times New Roman" w:hAnsi="Times New Roman"/>
          <w:sz w:val="24"/>
        </w:rPr>
        <w:lastRenderedPageBreak/>
        <w:t>accepted into the Scheme originally, given her history, was in any way inappropriate;</w:t>
      </w:r>
    </w:p>
    <w:p w14:paraId="7312B1D1" w14:textId="2649659A" w:rsidR="00E03143" w:rsidRDefault="00E03143"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FSPO erred in failing to apply the provisions of the</w:t>
      </w:r>
      <w:r w:rsidR="00987AD7">
        <w:rPr>
          <w:rFonts w:ascii="Times New Roman" w:hAnsi="Times New Roman"/>
          <w:sz w:val="24"/>
        </w:rPr>
        <w:t xml:space="preserve"> Scheme</w:t>
      </w:r>
      <w:r>
        <w:rPr>
          <w:rFonts w:ascii="Times New Roman" w:hAnsi="Times New Roman"/>
          <w:sz w:val="24"/>
        </w:rPr>
        <w:t xml:space="preserve"> </w:t>
      </w:r>
      <w:r w:rsidR="00987AD7">
        <w:rPr>
          <w:rFonts w:ascii="Times New Roman" w:hAnsi="Times New Roman"/>
          <w:sz w:val="24"/>
        </w:rPr>
        <w:t>p</w:t>
      </w:r>
      <w:r>
        <w:rPr>
          <w:rFonts w:ascii="Times New Roman" w:hAnsi="Times New Roman"/>
          <w:sz w:val="24"/>
        </w:rPr>
        <w:t xml:space="preserve">olicy to the Claim, having correctly observed that the </w:t>
      </w:r>
      <w:r w:rsidR="00987AD7">
        <w:rPr>
          <w:rFonts w:ascii="Times New Roman" w:hAnsi="Times New Roman"/>
          <w:sz w:val="24"/>
        </w:rPr>
        <w:t>Scheme p</w:t>
      </w:r>
      <w:r>
        <w:rPr>
          <w:rFonts w:ascii="Times New Roman" w:hAnsi="Times New Roman"/>
          <w:sz w:val="24"/>
        </w:rPr>
        <w:t>olicy makes clear that the medical condition relied upon by a claimant must be of such a degree that it prevents a claimant from performing the material and substantial duties of her normal insured occupation;</w:t>
      </w:r>
    </w:p>
    <w:p w14:paraId="2F3C8B59" w14:textId="77777777" w:rsidR="00E03143" w:rsidRDefault="00E03143"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 xml:space="preserve">The FSPO erred in finding that there was an acceptance that the notice party was unable to work because of her ailments, in particular having regard to the comment of </w:t>
      </w:r>
      <w:proofErr w:type="spellStart"/>
      <w:r>
        <w:rPr>
          <w:rFonts w:ascii="Times New Roman" w:hAnsi="Times New Roman"/>
          <w:sz w:val="24"/>
        </w:rPr>
        <w:t>Dr.</w:t>
      </w:r>
      <w:proofErr w:type="spellEnd"/>
      <w:r>
        <w:rPr>
          <w:rFonts w:ascii="Times New Roman" w:hAnsi="Times New Roman"/>
          <w:sz w:val="24"/>
        </w:rPr>
        <w:t xml:space="preserve"> Howard in his report of 14</w:t>
      </w:r>
      <w:r w:rsidRPr="00E03143">
        <w:rPr>
          <w:rFonts w:ascii="Times New Roman" w:hAnsi="Times New Roman"/>
          <w:sz w:val="24"/>
          <w:vertAlign w:val="superscript"/>
        </w:rPr>
        <w:t>th</w:t>
      </w:r>
      <w:r>
        <w:rPr>
          <w:rFonts w:ascii="Times New Roman" w:hAnsi="Times New Roman"/>
          <w:sz w:val="24"/>
        </w:rPr>
        <w:t xml:space="preserve"> December 2016 that the notice party could return to work after two months;</w:t>
      </w:r>
    </w:p>
    <w:p w14:paraId="40BAA8E1" w14:textId="69E163CD" w:rsidR="00E03143" w:rsidRDefault="00E03143" w:rsidP="00E20F5C">
      <w:pPr>
        <w:pStyle w:val="ListParagraph"/>
        <w:numPr>
          <w:ilvl w:val="0"/>
          <w:numId w:val="3"/>
        </w:numPr>
        <w:tabs>
          <w:tab w:val="left" w:pos="567"/>
        </w:tabs>
        <w:spacing w:line="480" w:lineRule="auto"/>
        <w:ind w:left="1134" w:hanging="567"/>
        <w:rPr>
          <w:rFonts w:ascii="Times New Roman" w:hAnsi="Times New Roman"/>
          <w:sz w:val="24"/>
        </w:rPr>
      </w:pPr>
      <w:r>
        <w:rPr>
          <w:rFonts w:ascii="Times New Roman" w:hAnsi="Times New Roman"/>
          <w:sz w:val="24"/>
        </w:rPr>
        <w:t>The FSPO erred in his conclusion that there had been an over emphasis by Utmost “to quantify the impact that the two medi</w:t>
      </w:r>
      <w:r w:rsidR="00066863">
        <w:rPr>
          <w:rFonts w:ascii="Times New Roman" w:hAnsi="Times New Roman"/>
          <w:sz w:val="24"/>
        </w:rPr>
        <w:t>c</w:t>
      </w:r>
      <w:r>
        <w:rPr>
          <w:rFonts w:ascii="Times New Roman" w:hAnsi="Times New Roman"/>
          <w:sz w:val="24"/>
        </w:rPr>
        <w:t>al conditions had on the notice party’s ability to work….”</w:t>
      </w:r>
    </w:p>
    <w:p w14:paraId="5A74D39B" w14:textId="69D2BE46" w:rsidR="00E03143" w:rsidRPr="00987AD7" w:rsidRDefault="00E03143"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No reliance was placed by Utmost on the Code in its grounds of appeal.</w:t>
      </w:r>
    </w:p>
    <w:p w14:paraId="4EE6B66D" w14:textId="77777777" w:rsidR="00E03143" w:rsidRPr="00E03143" w:rsidRDefault="00E03143" w:rsidP="00E20F5C">
      <w:pPr>
        <w:tabs>
          <w:tab w:val="left" w:pos="567"/>
        </w:tabs>
        <w:spacing w:line="480" w:lineRule="auto"/>
        <w:jc w:val="both"/>
        <w:rPr>
          <w:b/>
          <w:u w:val="single"/>
        </w:rPr>
      </w:pPr>
      <w:r>
        <w:rPr>
          <w:b/>
          <w:u w:val="single"/>
        </w:rPr>
        <w:t>Statement of Opposition</w:t>
      </w:r>
    </w:p>
    <w:p w14:paraId="03F15AA1" w14:textId="38E0C052" w:rsidR="009A4E1B" w:rsidRDefault="00E03143"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FSPO delivered a statement of opposition to the appeal of Utmost</w:t>
      </w:r>
      <w:r w:rsidR="009A4E1B">
        <w:rPr>
          <w:rFonts w:ascii="Times New Roman" w:hAnsi="Times New Roman"/>
          <w:sz w:val="24"/>
        </w:rPr>
        <w:t xml:space="preserve"> </w:t>
      </w:r>
      <w:r>
        <w:rPr>
          <w:rFonts w:ascii="Times New Roman" w:hAnsi="Times New Roman"/>
          <w:sz w:val="24"/>
        </w:rPr>
        <w:t>on 12</w:t>
      </w:r>
      <w:r w:rsidRPr="00E03143">
        <w:rPr>
          <w:rFonts w:ascii="Times New Roman" w:hAnsi="Times New Roman"/>
          <w:sz w:val="24"/>
          <w:vertAlign w:val="superscript"/>
        </w:rPr>
        <w:t>th</w:t>
      </w:r>
      <w:r>
        <w:rPr>
          <w:rFonts w:ascii="Times New Roman" w:hAnsi="Times New Roman"/>
          <w:sz w:val="24"/>
        </w:rPr>
        <w:t xml:space="preserve"> December 2019.  This is a complete traverse of the grounds of appeal.  In particular,</w:t>
      </w:r>
      <w:r w:rsidR="00987AD7">
        <w:rPr>
          <w:rFonts w:ascii="Times New Roman" w:hAnsi="Times New Roman"/>
          <w:sz w:val="24"/>
        </w:rPr>
        <w:t xml:space="preserve"> the following pleas are advanced</w:t>
      </w:r>
      <w:r>
        <w:rPr>
          <w:rFonts w:ascii="Times New Roman" w:hAnsi="Times New Roman"/>
          <w:sz w:val="24"/>
        </w:rPr>
        <w:t>:</w:t>
      </w:r>
    </w:p>
    <w:p w14:paraId="5D2E7C99" w14:textId="77777777" w:rsidR="00E03143" w:rsidRDefault="00E03143" w:rsidP="00E20F5C">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Utmost has failed to establish that, taking the adjudicative process as a whole, the decision made by the FSPO was vitiated by a serious and</w:t>
      </w:r>
      <w:r w:rsidR="003B6342">
        <w:rPr>
          <w:rFonts w:ascii="Times New Roman" w:hAnsi="Times New Roman"/>
          <w:sz w:val="24"/>
        </w:rPr>
        <w:t xml:space="preserve"> significant error or a series of such errors.  If any such errors were made, they fell short of that threshold;</w:t>
      </w:r>
    </w:p>
    <w:p w14:paraId="5B6ED691" w14:textId="77777777" w:rsidR="003B6342" w:rsidRDefault="003B6342" w:rsidP="00E20F5C">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An oral hearing was not required in order for the FSPO to arrive properly at the Decision;</w:t>
      </w:r>
    </w:p>
    <w:p w14:paraId="462A6279" w14:textId="77777777" w:rsidR="003B6342" w:rsidRDefault="003B6342" w:rsidP="00E20F5C">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lastRenderedPageBreak/>
        <w:t>It is denied that the medical evidence was clear and supported the decision taken by Utmost, as pleaded;</w:t>
      </w:r>
    </w:p>
    <w:p w14:paraId="6310A814" w14:textId="77777777" w:rsidR="003B6342" w:rsidRDefault="003B6342" w:rsidP="00E20F5C">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The FSPO relies on the lack of request for an oral hearing;</w:t>
      </w:r>
    </w:p>
    <w:p w14:paraId="110CE53B" w14:textId="77777777" w:rsidR="003B6342" w:rsidRDefault="003B6342" w:rsidP="00E20F5C">
      <w:pPr>
        <w:pStyle w:val="ListParagraph"/>
        <w:numPr>
          <w:ilvl w:val="0"/>
          <w:numId w:val="4"/>
        </w:numPr>
        <w:tabs>
          <w:tab w:val="left" w:pos="567"/>
        </w:tabs>
        <w:spacing w:line="480" w:lineRule="auto"/>
        <w:ind w:left="1134" w:hanging="567"/>
        <w:rPr>
          <w:rFonts w:ascii="Times New Roman" w:hAnsi="Times New Roman"/>
          <w:sz w:val="24"/>
        </w:rPr>
      </w:pPr>
      <w:r>
        <w:rPr>
          <w:rFonts w:ascii="Times New Roman" w:hAnsi="Times New Roman"/>
          <w:sz w:val="24"/>
        </w:rPr>
        <w:t>It is denied that FSPO erred with respect to the treatment of the medical and factual evidence.</w:t>
      </w:r>
    </w:p>
    <w:p w14:paraId="36C2B35E" w14:textId="77777777" w:rsidR="009A4E1B" w:rsidRPr="003B6342" w:rsidRDefault="003B6342"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Decision of the High Court</w:t>
      </w:r>
    </w:p>
    <w:p w14:paraId="6667FA0F" w14:textId="23AC714A" w:rsidR="009A4E1B" w:rsidRDefault="00AA1A1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his judgment handed down on 10</w:t>
      </w:r>
      <w:r w:rsidRPr="00AA1A1A">
        <w:rPr>
          <w:rFonts w:ascii="Times New Roman" w:hAnsi="Times New Roman"/>
          <w:sz w:val="24"/>
          <w:vertAlign w:val="superscript"/>
        </w:rPr>
        <w:t>th</w:t>
      </w:r>
      <w:r>
        <w:rPr>
          <w:rFonts w:ascii="Times New Roman" w:hAnsi="Times New Roman"/>
          <w:sz w:val="24"/>
        </w:rPr>
        <w:t xml:space="preserve"> November 2020, the trial judge, having summarised the factual background, then went on to consider, firstly, the jurisdiction of the FSPO and following on from that, the jurisdiction of the High Court on appeal from a decision of the FSPO pursuant to s.</w:t>
      </w:r>
      <w:r w:rsidR="00E260C9">
        <w:rPr>
          <w:rFonts w:ascii="Times New Roman" w:hAnsi="Times New Roman"/>
          <w:sz w:val="24"/>
        </w:rPr>
        <w:t xml:space="preserve"> </w:t>
      </w:r>
      <w:r>
        <w:rPr>
          <w:rFonts w:ascii="Times New Roman" w:hAnsi="Times New Roman"/>
          <w:sz w:val="24"/>
        </w:rPr>
        <w:t xml:space="preserve">64 of the Act of 2017.  </w:t>
      </w:r>
      <w:r w:rsidR="00E260C9">
        <w:rPr>
          <w:rFonts w:ascii="Times New Roman" w:hAnsi="Times New Roman"/>
          <w:sz w:val="24"/>
        </w:rPr>
        <w:t>At p</w:t>
      </w:r>
      <w:r>
        <w:rPr>
          <w:rFonts w:ascii="Times New Roman" w:hAnsi="Times New Roman"/>
          <w:sz w:val="24"/>
        </w:rPr>
        <w:t>ara</w:t>
      </w:r>
      <w:r w:rsidR="00E260C9">
        <w:rPr>
          <w:rFonts w:ascii="Times New Roman" w:hAnsi="Times New Roman"/>
          <w:sz w:val="24"/>
        </w:rPr>
        <w:t>s.</w:t>
      </w:r>
      <w:r>
        <w:rPr>
          <w:rFonts w:ascii="Times New Roman" w:hAnsi="Times New Roman"/>
          <w:sz w:val="24"/>
        </w:rPr>
        <w:t xml:space="preserve"> 59 and following he sets out his findings.  At para. 59 he stated:</w:t>
      </w:r>
    </w:p>
    <w:p w14:paraId="3DF0F448" w14:textId="198EF66B" w:rsidR="00AA1A1A" w:rsidRPr="00807368" w:rsidRDefault="00AA1A1A"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AA1A1A">
        <w:rPr>
          <w:rFonts w:ascii="Times New Roman" w:hAnsi="Times New Roman"/>
          <w:sz w:val="24"/>
        </w:rPr>
        <w:t>I have concluded that the decision is narrowly drawn. The rationale of the decision is confined to a finding that the conduct of the insurance provider was unreasonable and improper insofar as it emphasised the excluded illness, i.e. fibromyalgia. The decision is thus directed to the conduct of the insurance provider in assessing the claim. The decision cannot be read as entailing a finding that the insurance provider had acted in </w:t>
      </w:r>
      <w:r w:rsidRPr="00AA1A1A">
        <w:rPr>
          <w:rFonts w:ascii="Times New Roman" w:hAnsi="Times New Roman"/>
          <w:i/>
          <w:iCs/>
          <w:sz w:val="24"/>
        </w:rPr>
        <w:t>breach of contract</w:t>
      </w:r>
      <w:r w:rsidRPr="00AA1A1A">
        <w:rPr>
          <w:rFonts w:ascii="Times New Roman" w:hAnsi="Times New Roman"/>
          <w:sz w:val="24"/>
        </w:rPr>
        <w:t> by declining the claim. Had a finding to this effect been made, then the decision would have been grounded on subsection 60(2)(a) (</w:t>
      </w:r>
      <w:r w:rsidR="00E260C9">
        <w:rPr>
          <w:rFonts w:ascii="Times New Roman" w:hAnsi="Times New Roman"/>
          <w:sz w:val="24"/>
        </w:rPr>
        <w:t>‘</w:t>
      </w:r>
      <w:r w:rsidRPr="00E260C9">
        <w:rPr>
          <w:rFonts w:ascii="Times New Roman" w:hAnsi="Times New Roman"/>
          <w:i/>
          <w:sz w:val="24"/>
        </w:rPr>
        <w:t>the conduct complained of was contrary to law</w:t>
      </w:r>
      <w:r w:rsidR="00E260C9">
        <w:rPr>
          <w:rFonts w:ascii="Times New Roman" w:hAnsi="Times New Roman"/>
          <w:sz w:val="24"/>
        </w:rPr>
        <w:t>’</w:t>
      </w:r>
      <w:r w:rsidRPr="00AA1A1A">
        <w:rPr>
          <w:rFonts w:ascii="Times New Roman" w:hAnsi="Times New Roman"/>
          <w:sz w:val="24"/>
        </w:rPr>
        <w:t>).</w:t>
      </w:r>
      <w:r>
        <w:rPr>
          <w:rFonts w:ascii="Times New Roman" w:hAnsi="Times New Roman"/>
          <w:sz w:val="24"/>
        </w:rPr>
        <w:t>”</w:t>
      </w:r>
    </w:p>
    <w:p w14:paraId="5FD83809" w14:textId="606768E0" w:rsidR="00807368" w:rsidRDefault="00AA1A1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 60, the trial judge quotes from p</w:t>
      </w:r>
      <w:r w:rsidR="00BF1E03">
        <w:rPr>
          <w:rFonts w:ascii="Times New Roman" w:hAnsi="Times New Roman"/>
          <w:sz w:val="24"/>
        </w:rPr>
        <w:t>.</w:t>
      </w:r>
      <w:r>
        <w:rPr>
          <w:rFonts w:ascii="Times New Roman" w:hAnsi="Times New Roman"/>
          <w:sz w:val="24"/>
        </w:rPr>
        <w:t xml:space="preserve"> 11 of the Decision as follows:</w:t>
      </w:r>
    </w:p>
    <w:p w14:paraId="04EA8EDC" w14:textId="77777777" w:rsidR="00AA1A1A" w:rsidRPr="00807368" w:rsidRDefault="00AA1A1A"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AA1A1A">
        <w:rPr>
          <w:rFonts w:ascii="Times New Roman" w:hAnsi="Times New Roman"/>
          <w:sz w:val="24"/>
        </w:rPr>
        <w:t>For the purpose of assessing this complaint, it is not the role of this Office to comment on or form an opinion as to the nature</w:t>
      </w:r>
      <w:r w:rsidR="009A6ECA">
        <w:rPr>
          <w:rFonts w:ascii="Times New Roman" w:hAnsi="Times New Roman"/>
          <w:sz w:val="24"/>
        </w:rPr>
        <w:t xml:space="preserve"> or severity of the Complainant’</w:t>
      </w:r>
      <w:r w:rsidRPr="00AA1A1A">
        <w:rPr>
          <w:rFonts w:ascii="Times New Roman" w:hAnsi="Times New Roman"/>
          <w:sz w:val="24"/>
        </w:rPr>
        <w:t>s illness or condition. It is the duty of this Office to establish whether, on the basis of an objective assessment of the medical evidence submitted, the Provider has adeq</w:t>
      </w:r>
      <w:r w:rsidR="009A6ECA">
        <w:rPr>
          <w:rFonts w:ascii="Times New Roman" w:hAnsi="Times New Roman"/>
          <w:sz w:val="24"/>
        </w:rPr>
        <w:t xml:space="preserve">uately assessed </w:t>
      </w:r>
      <w:r w:rsidR="009A6ECA">
        <w:rPr>
          <w:rFonts w:ascii="Times New Roman" w:hAnsi="Times New Roman"/>
          <w:sz w:val="24"/>
        </w:rPr>
        <w:lastRenderedPageBreak/>
        <w:t>the Complainant’</w:t>
      </w:r>
      <w:r w:rsidRPr="00AA1A1A">
        <w:rPr>
          <w:rFonts w:ascii="Times New Roman" w:hAnsi="Times New Roman"/>
          <w:sz w:val="24"/>
        </w:rPr>
        <w:t>s claim and whether it was reasonably entitled to arrive at the decision it did following its assessment of the medical evidence submitted.</w:t>
      </w:r>
      <w:r>
        <w:rPr>
          <w:rFonts w:ascii="Times New Roman" w:hAnsi="Times New Roman"/>
          <w:sz w:val="24"/>
        </w:rPr>
        <w:t>”</w:t>
      </w:r>
    </w:p>
    <w:p w14:paraId="35773C61" w14:textId="1501E42C" w:rsidR="00807368" w:rsidRDefault="00AA1A1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trial judge then went on to consider the question as to whether or not the Decision is vitiated by serious and significant error.  At para. 65 he concludes that the approach of the FSPO to his assessment of the conduct of Utmost was erroneous in law, that the legal errors were serious and significant and that the Decision is invalid as a result.  At para. 66 he states:</w:t>
      </w:r>
    </w:p>
    <w:p w14:paraId="3A542064" w14:textId="3DFB6E37" w:rsidR="009A6ECA" w:rsidRDefault="00AA1A1A"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AA1A1A">
        <w:rPr>
          <w:rFonts w:ascii="Times New Roman" w:hAnsi="Times New Roman"/>
          <w:sz w:val="24"/>
        </w:rPr>
        <w:t xml:space="preserve">The starting point for any proper assessment of the </w:t>
      </w:r>
      <w:r w:rsidR="00A71889">
        <w:rPr>
          <w:rFonts w:ascii="Times New Roman" w:hAnsi="Times New Roman"/>
          <w:sz w:val="24"/>
        </w:rPr>
        <w:t>‘</w:t>
      </w:r>
      <w:r w:rsidRPr="00AA1A1A">
        <w:rPr>
          <w:rFonts w:ascii="Times New Roman" w:hAnsi="Times New Roman"/>
          <w:sz w:val="24"/>
        </w:rPr>
        <w:t>reasonableness</w:t>
      </w:r>
      <w:r w:rsidR="00A71889">
        <w:rPr>
          <w:rFonts w:ascii="Times New Roman" w:hAnsi="Times New Roman"/>
          <w:sz w:val="24"/>
        </w:rPr>
        <w:t>’</w:t>
      </w:r>
      <w:r w:rsidRPr="00AA1A1A">
        <w:rPr>
          <w:rFonts w:ascii="Times New Roman" w:hAnsi="Times New Roman"/>
          <w:sz w:val="24"/>
        </w:rPr>
        <w:t xml:space="preserve"> of the processing of the claim should have been the terms of the relevant code of conduct applicable to the insurance provider. This is the objective standard against which the </w:t>
      </w:r>
      <w:r w:rsidR="00A71889">
        <w:rPr>
          <w:rFonts w:ascii="Times New Roman" w:hAnsi="Times New Roman"/>
          <w:sz w:val="24"/>
        </w:rPr>
        <w:t>‘</w:t>
      </w:r>
      <w:r w:rsidRPr="00AA1A1A">
        <w:rPr>
          <w:rFonts w:ascii="Times New Roman" w:hAnsi="Times New Roman"/>
          <w:sz w:val="24"/>
        </w:rPr>
        <w:t>reasonableness</w:t>
      </w:r>
      <w:r w:rsidR="00A71889">
        <w:rPr>
          <w:rFonts w:ascii="Times New Roman" w:hAnsi="Times New Roman"/>
          <w:sz w:val="24"/>
        </w:rPr>
        <w:t>’</w:t>
      </w:r>
      <w:r w:rsidRPr="00AA1A1A">
        <w:rPr>
          <w:rFonts w:ascii="Times New Roman" w:hAnsi="Times New Roman"/>
          <w:sz w:val="24"/>
        </w:rPr>
        <w:t xml:space="preserve"> of the conduct falls to be considered in the first instance.</w:t>
      </w:r>
      <w:r w:rsidR="009A6ECA">
        <w:rPr>
          <w:rFonts w:ascii="Times New Roman" w:hAnsi="Times New Roman"/>
          <w:sz w:val="24"/>
        </w:rPr>
        <w:t>”</w:t>
      </w:r>
    </w:p>
    <w:p w14:paraId="486B7D49" w14:textId="28DE454D" w:rsidR="00AA1A1A" w:rsidRPr="00A71889" w:rsidRDefault="00AA1A1A" w:rsidP="00E20F5C">
      <w:pPr>
        <w:tabs>
          <w:tab w:val="left" w:pos="567"/>
        </w:tabs>
        <w:spacing w:line="480" w:lineRule="auto"/>
        <w:jc w:val="both"/>
      </w:pPr>
      <w:r w:rsidRPr="00A71889">
        <w:t>He</w:t>
      </w:r>
      <w:r w:rsidR="009A6ECA" w:rsidRPr="00A71889">
        <w:t xml:space="preserve"> then sets out </w:t>
      </w:r>
      <w:r w:rsidR="00E60251">
        <w:t>C</w:t>
      </w:r>
      <w:r w:rsidR="009A6ECA" w:rsidRPr="00A71889">
        <w:t>lause 7.6 of the Code.</w:t>
      </w:r>
    </w:p>
    <w:p w14:paraId="5EB23501" w14:textId="632D7837" w:rsidR="00807368" w:rsidRDefault="009A6EC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16600B">
        <w:rPr>
          <w:rFonts w:ascii="Times New Roman" w:hAnsi="Times New Roman"/>
          <w:sz w:val="24"/>
        </w:rPr>
        <w:t>.</w:t>
      </w:r>
      <w:r>
        <w:rPr>
          <w:rFonts w:ascii="Times New Roman" w:hAnsi="Times New Roman"/>
          <w:sz w:val="24"/>
        </w:rPr>
        <w:t xml:space="preserve"> 67 he states:</w:t>
      </w:r>
    </w:p>
    <w:p w14:paraId="75A85F3F" w14:textId="77777777" w:rsidR="009A6ECA" w:rsidRPr="00807368" w:rsidRDefault="009A6ECA"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9A6ECA">
        <w:rPr>
          <w:rFonts w:ascii="Times New Roman" w:hAnsi="Times New Roman"/>
          <w:sz w:val="24"/>
        </w:rPr>
        <w:t>This cla</w:t>
      </w:r>
      <w:r>
        <w:rPr>
          <w:rFonts w:ascii="Times New Roman" w:hAnsi="Times New Roman"/>
          <w:sz w:val="24"/>
        </w:rPr>
        <w:t>use is recited in the Ombudsman’</w:t>
      </w:r>
      <w:r w:rsidRPr="009A6ECA">
        <w:rPr>
          <w:rFonts w:ascii="Times New Roman" w:hAnsi="Times New Roman"/>
          <w:sz w:val="24"/>
        </w:rPr>
        <w:t>s decision (at page 10), but there is no discussion of its implications. In particular, it is nowhere explained in the decision why it is that the insurance provider</w:t>
      </w:r>
      <w:r>
        <w:rPr>
          <w:rFonts w:ascii="Times New Roman" w:hAnsi="Times New Roman"/>
          <w:sz w:val="24"/>
        </w:rPr>
        <w:t>’</w:t>
      </w:r>
      <w:r w:rsidRPr="009A6ECA">
        <w:rPr>
          <w:rFonts w:ascii="Times New Roman" w:hAnsi="Times New Roman"/>
          <w:sz w:val="24"/>
        </w:rPr>
        <w:t>s conduct in processing the claim should be regarded as inconsistent with its entitlement to verify the validity of a claim.</w:t>
      </w:r>
      <w:r>
        <w:rPr>
          <w:rFonts w:ascii="Times New Roman" w:hAnsi="Times New Roman"/>
          <w:sz w:val="24"/>
        </w:rPr>
        <w:t>”</w:t>
      </w:r>
    </w:p>
    <w:p w14:paraId="575AE5B4" w14:textId="17E7B39A" w:rsidR="00807368" w:rsidRDefault="009A6EC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16600B">
        <w:rPr>
          <w:rFonts w:ascii="Times New Roman" w:hAnsi="Times New Roman"/>
          <w:sz w:val="24"/>
        </w:rPr>
        <w:t>.</w:t>
      </w:r>
      <w:r>
        <w:rPr>
          <w:rFonts w:ascii="Times New Roman" w:hAnsi="Times New Roman"/>
          <w:sz w:val="24"/>
        </w:rPr>
        <w:t xml:space="preserve"> 68 the trial judge states that, in assessing whether the conduct of the insurance provider was reasonable, it is also</w:t>
      </w:r>
      <w:r w:rsidR="00A331FE">
        <w:rPr>
          <w:rFonts w:ascii="Times New Roman" w:hAnsi="Times New Roman"/>
          <w:sz w:val="24"/>
        </w:rPr>
        <w:t xml:space="preserve"> appropriate</w:t>
      </w:r>
      <w:r>
        <w:rPr>
          <w:rFonts w:ascii="Times New Roman" w:hAnsi="Times New Roman"/>
          <w:sz w:val="24"/>
        </w:rPr>
        <w:t xml:space="preserve"> to have some regard to the underlying contract of insurance itself.  He notes that the fact that conduct is in accordance with the terms of a contract does not necessar</w:t>
      </w:r>
      <w:r w:rsidR="00D7224C">
        <w:rPr>
          <w:rFonts w:ascii="Times New Roman" w:hAnsi="Times New Roman"/>
          <w:sz w:val="24"/>
        </w:rPr>
        <w:t>il</w:t>
      </w:r>
      <w:r>
        <w:rPr>
          <w:rFonts w:ascii="Times New Roman" w:hAnsi="Times New Roman"/>
          <w:sz w:val="24"/>
        </w:rPr>
        <w:t xml:space="preserve">y mean that it is reasonable, but nonetheless the terms of the contract are relevant.  In this case, he observes, it is common case that one legal consequence of the exclusions in the contract is that the notice party was not entitled to make a claim in respect of </w:t>
      </w:r>
      <w:r w:rsidR="00F40297">
        <w:rPr>
          <w:rFonts w:ascii="Times New Roman" w:hAnsi="Times New Roman"/>
          <w:sz w:val="24"/>
        </w:rPr>
        <w:t>f</w:t>
      </w:r>
      <w:r>
        <w:rPr>
          <w:rFonts w:ascii="Times New Roman" w:hAnsi="Times New Roman"/>
          <w:sz w:val="24"/>
        </w:rPr>
        <w:t>ibromyalgia.  It was not suggested that this exclusion was improper.</w:t>
      </w:r>
    </w:p>
    <w:p w14:paraId="552B00EF" w14:textId="1038A358" w:rsidR="009A6ECA" w:rsidRDefault="009A6EC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573264">
        <w:rPr>
          <w:rFonts w:ascii="Times New Roman" w:hAnsi="Times New Roman"/>
          <w:sz w:val="24"/>
        </w:rPr>
        <w:t>.</w:t>
      </w:r>
      <w:r>
        <w:rPr>
          <w:rFonts w:ascii="Times New Roman" w:hAnsi="Times New Roman"/>
          <w:sz w:val="24"/>
        </w:rPr>
        <w:t xml:space="preserve"> 70, the trial judge comes back to Clause 7.6 of the Code.  While the FSPO had referred to this Clause in the Decision, nowhere in the Decision did the FSPO </w:t>
      </w:r>
      <w:r>
        <w:rPr>
          <w:rFonts w:ascii="Times New Roman" w:hAnsi="Times New Roman"/>
          <w:sz w:val="24"/>
        </w:rPr>
        <w:lastRenderedPageBreak/>
        <w:t xml:space="preserve">acknowledge the entitlement of Utmost to verify the validity of the Claim.  The trial judge concluded that this was a serious and significant error of law.  </w:t>
      </w:r>
    </w:p>
    <w:p w14:paraId="6DCFA2CB" w14:textId="77777777" w:rsidR="009A6ECA" w:rsidRDefault="009A6ECA"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trial judge then went on to consider the criticisms made by the FSPO</w:t>
      </w:r>
      <w:r w:rsidR="00E86198">
        <w:rPr>
          <w:rFonts w:ascii="Times New Roman" w:hAnsi="Times New Roman"/>
          <w:sz w:val="24"/>
        </w:rPr>
        <w:t xml:space="preserve"> arising out of correspondence between Ms. Devine and </w:t>
      </w:r>
      <w:proofErr w:type="spellStart"/>
      <w:r w:rsidR="00E86198">
        <w:rPr>
          <w:rFonts w:ascii="Times New Roman" w:hAnsi="Times New Roman"/>
          <w:sz w:val="24"/>
        </w:rPr>
        <w:t>Dr.</w:t>
      </w:r>
      <w:proofErr w:type="spellEnd"/>
      <w:r w:rsidR="00E86198">
        <w:rPr>
          <w:rFonts w:ascii="Times New Roman" w:hAnsi="Times New Roman"/>
          <w:sz w:val="24"/>
        </w:rPr>
        <w:t xml:space="preserve"> Howard in January 2017.  The trial judge refers to the following passage in the Decision:</w:t>
      </w:r>
    </w:p>
    <w:p w14:paraId="51A53B02" w14:textId="45DA4BBB" w:rsidR="00E86198" w:rsidRDefault="00E86198"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E86198">
        <w:rPr>
          <w:rFonts w:ascii="Times New Roman" w:hAnsi="Times New Roman"/>
          <w:sz w:val="24"/>
        </w:rPr>
        <w:t>I am also concerned that the appointed Consultant Specialist was asked by the Provider a very pointed question that contained information that went beyond that which would reasonably and fairly be considered necessary for what the Provider was asking its specialist to consider. That is, the Provider specifically highlighted for consideration that one of the medical conditions was a medical condition that was excluded by the Provider at underwriting stage. While it may have been stated for background information, I consider that the question could have been asked without that information</w:t>
      </w:r>
      <w:r>
        <w:rPr>
          <w:rFonts w:ascii="Times New Roman" w:hAnsi="Times New Roman"/>
          <w:sz w:val="24"/>
        </w:rPr>
        <w:t>.”</w:t>
      </w:r>
    </w:p>
    <w:p w14:paraId="4AD59FE8" w14:textId="5F37DE01" w:rsidR="00AA1A1A" w:rsidRDefault="00E86198"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4C1475">
        <w:rPr>
          <w:rFonts w:ascii="Times New Roman" w:hAnsi="Times New Roman"/>
          <w:sz w:val="24"/>
        </w:rPr>
        <w:t>.</w:t>
      </w:r>
      <w:r>
        <w:rPr>
          <w:rFonts w:ascii="Times New Roman" w:hAnsi="Times New Roman"/>
          <w:sz w:val="24"/>
        </w:rPr>
        <w:t xml:space="preserve"> 72, the trial judge then sets out in full the e</w:t>
      </w:r>
      <w:r w:rsidR="001323F7">
        <w:rPr>
          <w:rFonts w:ascii="Times New Roman" w:hAnsi="Times New Roman"/>
          <w:sz w:val="24"/>
        </w:rPr>
        <w:t>-</w:t>
      </w:r>
      <w:r>
        <w:rPr>
          <w:rFonts w:ascii="Times New Roman" w:hAnsi="Times New Roman"/>
          <w:sz w:val="24"/>
        </w:rPr>
        <w:t xml:space="preserve">mail of Ms. Devine to </w:t>
      </w:r>
      <w:proofErr w:type="spellStart"/>
      <w:r>
        <w:rPr>
          <w:rFonts w:ascii="Times New Roman" w:hAnsi="Times New Roman"/>
          <w:sz w:val="24"/>
        </w:rPr>
        <w:t>Dr.</w:t>
      </w:r>
      <w:proofErr w:type="spellEnd"/>
      <w:r>
        <w:rPr>
          <w:rFonts w:ascii="Times New Roman" w:hAnsi="Times New Roman"/>
          <w:sz w:val="24"/>
        </w:rPr>
        <w:t xml:space="preserve"> Howard’s office of January 2017, to which the FSPO was referring in the above passage:</w:t>
      </w:r>
    </w:p>
    <w:p w14:paraId="00645B81" w14:textId="63565A62" w:rsidR="00E86198" w:rsidRDefault="00E86198"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“I note that [the </w:t>
      </w:r>
      <w:r w:rsidR="004C1475">
        <w:rPr>
          <w:rFonts w:ascii="Times New Roman" w:hAnsi="Times New Roman"/>
          <w:sz w:val="24"/>
        </w:rPr>
        <w:t>insured</w:t>
      </w:r>
      <w:r>
        <w:rPr>
          <w:rFonts w:ascii="Times New Roman" w:hAnsi="Times New Roman"/>
          <w:sz w:val="24"/>
        </w:rPr>
        <w:t xml:space="preserve"> party’</w:t>
      </w:r>
      <w:r w:rsidRPr="00E86198">
        <w:rPr>
          <w:rFonts w:ascii="Times New Roman" w:hAnsi="Times New Roman"/>
          <w:sz w:val="24"/>
        </w:rPr>
        <w:t xml:space="preserve">s] main issue preventing her from working is in </w:t>
      </w:r>
      <w:r>
        <w:rPr>
          <w:rFonts w:ascii="Times New Roman" w:hAnsi="Times New Roman"/>
          <w:sz w:val="24"/>
        </w:rPr>
        <w:t xml:space="preserve">relation to her </w:t>
      </w:r>
      <w:r w:rsidR="004C1475">
        <w:rPr>
          <w:rFonts w:ascii="Times New Roman" w:hAnsi="Times New Roman"/>
          <w:sz w:val="24"/>
        </w:rPr>
        <w:t>F</w:t>
      </w:r>
      <w:r w:rsidRPr="00E86198">
        <w:rPr>
          <w:rFonts w:ascii="Times New Roman" w:hAnsi="Times New Roman"/>
          <w:sz w:val="24"/>
        </w:rPr>
        <w:t xml:space="preserve">ibromyalgia. If we take the </w:t>
      </w:r>
      <w:r w:rsidR="004C1475">
        <w:rPr>
          <w:rFonts w:ascii="Times New Roman" w:hAnsi="Times New Roman"/>
          <w:sz w:val="24"/>
        </w:rPr>
        <w:t>F</w:t>
      </w:r>
      <w:r w:rsidRPr="00E86198">
        <w:rPr>
          <w:rFonts w:ascii="Times New Roman" w:hAnsi="Times New Roman"/>
          <w:sz w:val="24"/>
        </w:rPr>
        <w:t>i</w:t>
      </w:r>
      <w:r>
        <w:rPr>
          <w:rFonts w:ascii="Times New Roman" w:hAnsi="Times New Roman"/>
          <w:sz w:val="24"/>
        </w:rPr>
        <w:t>bromyalgia out of the picture (</w:t>
      </w:r>
      <w:r w:rsidR="004C1475">
        <w:rPr>
          <w:rFonts w:ascii="Times New Roman" w:hAnsi="Times New Roman"/>
          <w:sz w:val="24"/>
        </w:rPr>
        <w:t>G</w:t>
      </w:r>
      <w:r w:rsidRPr="00E86198">
        <w:rPr>
          <w:rFonts w:ascii="Times New Roman" w:hAnsi="Times New Roman"/>
          <w:sz w:val="24"/>
        </w:rPr>
        <w:t>iven that this was specifically excluded at underwriting stage for this claimant), would it be reasonable to deduce that her rheumatoid arthritis is not severe enough to prevent her from working at present?”</w:t>
      </w:r>
    </w:p>
    <w:p w14:paraId="25171DA3" w14:textId="1CE61516" w:rsidR="00AA1A1A" w:rsidRDefault="00E86198"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4C1475">
        <w:rPr>
          <w:rFonts w:ascii="Times New Roman" w:hAnsi="Times New Roman"/>
          <w:sz w:val="24"/>
        </w:rPr>
        <w:t>.</w:t>
      </w:r>
      <w:r>
        <w:rPr>
          <w:rFonts w:ascii="Times New Roman" w:hAnsi="Times New Roman"/>
          <w:sz w:val="24"/>
        </w:rPr>
        <w:t xml:space="preserve"> 73, the trial judge concludes that this correspondence was, contrary to the findings of the FSPO, entirely proper.  He expresses the view that the query raised was legitimate and one which Utmost was entitled to pursue with its independent medical examiner.  He states that the Claim could not be properly assessed without some attempt being made to qua</w:t>
      </w:r>
      <w:r w:rsidR="006A1D78">
        <w:rPr>
          <w:rFonts w:ascii="Times New Roman" w:hAnsi="Times New Roman"/>
          <w:sz w:val="24"/>
        </w:rPr>
        <w:t>nt</w:t>
      </w:r>
      <w:r>
        <w:rPr>
          <w:rFonts w:ascii="Times New Roman" w:hAnsi="Times New Roman"/>
          <w:sz w:val="24"/>
        </w:rPr>
        <w:t xml:space="preserve">ify the relative impact that the two medical conditions had on the notice </w:t>
      </w:r>
      <w:r>
        <w:rPr>
          <w:rFonts w:ascii="Times New Roman" w:hAnsi="Times New Roman"/>
          <w:sz w:val="24"/>
        </w:rPr>
        <w:lastRenderedPageBreak/>
        <w:t xml:space="preserve">party’s ability to work.  He states that it would have been artificial not to explain the relevance of the question to the independent medical examiner.  He goes on the say that the criticism is particularly difficult to understand given that the FSPO had no objection to the initial letter sent by Utmost to </w:t>
      </w:r>
      <w:proofErr w:type="spellStart"/>
      <w:r>
        <w:rPr>
          <w:rFonts w:ascii="Times New Roman" w:hAnsi="Times New Roman"/>
          <w:sz w:val="24"/>
        </w:rPr>
        <w:t>Dr.</w:t>
      </w:r>
      <w:proofErr w:type="spellEnd"/>
      <w:r>
        <w:rPr>
          <w:rFonts w:ascii="Times New Roman" w:hAnsi="Times New Roman"/>
          <w:sz w:val="24"/>
        </w:rPr>
        <w:t xml:space="preserve"> Howard on 12</w:t>
      </w:r>
      <w:r w:rsidRPr="00E86198">
        <w:rPr>
          <w:rFonts w:ascii="Times New Roman" w:hAnsi="Times New Roman"/>
          <w:sz w:val="24"/>
          <w:vertAlign w:val="superscript"/>
        </w:rPr>
        <w:t>th</w:t>
      </w:r>
      <w:r>
        <w:rPr>
          <w:rFonts w:ascii="Times New Roman" w:hAnsi="Times New Roman"/>
          <w:sz w:val="24"/>
        </w:rPr>
        <w:t xml:space="preserve"> December 2016.  The trial judge dismissed any suggestion that the correspondence was a “nudge” to the consultant to give a particular answer. </w:t>
      </w:r>
    </w:p>
    <w:p w14:paraId="02D8AB6B" w14:textId="0467FE56" w:rsidR="00AA1A1A" w:rsidRDefault="00E86198"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trial judge was of the same view in relation to the internal e</w:t>
      </w:r>
      <w:r w:rsidR="001323F7">
        <w:rPr>
          <w:rFonts w:ascii="Times New Roman" w:hAnsi="Times New Roman"/>
          <w:sz w:val="24"/>
        </w:rPr>
        <w:t>-</w:t>
      </w:r>
      <w:r>
        <w:rPr>
          <w:rFonts w:ascii="Times New Roman" w:hAnsi="Times New Roman"/>
          <w:sz w:val="24"/>
        </w:rPr>
        <w:t xml:space="preserve">mail of Mr. </w:t>
      </w:r>
      <w:proofErr w:type="spellStart"/>
      <w:r>
        <w:rPr>
          <w:rFonts w:ascii="Times New Roman" w:hAnsi="Times New Roman"/>
          <w:sz w:val="24"/>
        </w:rPr>
        <w:t>Hulsman</w:t>
      </w:r>
      <w:proofErr w:type="spellEnd"/>
      <w:r>
        <w:rPr>
          <w:rFonts w:ascii="Times New Roman" w:hAnsi="Times New Roman"/>
          <w:sz w:val="24"/>
        </w:rPr>
        <w:t xml:space="preserve"> of 27</w:t>
      </w:r>
      <w:r w:rsidRPr="00E86198">
        <w:rPr>
          <w:rFonts w:ascii="Times New Roman" w:hAnsi="Times New Roman"/>
          <w:sz w:val="24"/>
          <w:vertAlign w:val="superscript"/>
        </w:rPr>
        <w:t>th</w:t>
      </w:r>
      <w:r>
        <w:rPr>
          <w:rFonts w:ascii="Times New Roman" w:hAnsi="Times New Roman"/>
          <w:sz w:val="24"/>
        </w:rPr>
        <w:t xml:space="preserve"> July 2016, stating that “the content of this e</w:t>
      </w:r>
      <w:r w:rsidR="001323F7">
        <w:rPr>
          <w:rFonts w:ascii="Times New Roman" w:hAnsi="Times New Roman"/>
          <w:sz w:val="24"/>
        </w:rPr>
        <w:t>-</w:t>
      </w:r>
      <w:r>
        <w:rPr>
          <w:rFonts w:ascii="Times New Roman" w:hAnsi="Times New Roman"/>
          <w:sz w:val="24"/>
        </w:rPr>
        <w:t>mail is wholly unexceptional</w:t>
      </w:r>
      <w:r w:rsidR="006A1D78">
        <w:rPr>
          <w:rFonts w:ascii="Times New Roman" w:hAnsi="Times New Roman"/>
          <w:sz w:val="24"/>
        </w:rPr>
        <w:t>,</w:t>
      </w:r>
      <w:r>
        <w:rPr>
          <w:rFonts w:ascii="Times New Roman" w:hAnsi="Times New Roman"/>
          <w:sz w:val="24"/>
        </w:rPr>
        <w:t xml:space="preserve"> and it was unreasonable for the Ombudsman to draw any adverse inference from it.”</w:t>
      </w:r>
    </w:p>
    <w:p w14:paraId="4D34E862" w14:textId="41C2B2BC" w:rsidR="00E86198" w:rsidRDefault="00E86198"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The trial judge then addresses a third crit</w:t>
      </w:r>
      <w:r w:rsidR="004336C1">
        <w:rPr>
          <w:rFonts w:ascii="Times New Roman" w:hAnsi="Times New Roman"/>
          <w:sz w:val="24"/>
        </w:rPr>
        <w:t>icism of the FSPO (</w:t>
      </w:r>
      <w:r>
        <w:rPr>
          <w:rFonts w:ascii="Times New Roman" w:hAnsi="Times New Roman"/>
          <w:sz w:val="24"/>
        </w:rPr>
        <w:t>of the handling of the Claim by Utmost)</w:t>
      </w:r>
      <w:r w:rsidR="004336C1">
        <w:rPr>
          <w:rFonts w:ascii="Times New Roman" w:hAnsi="Times New Roman"/>
          <w:sz w:val="24"/>
        </w:rPr>
        <w:t xml:space="preserve"> which, as he points out, arises out of correspondence </w:t>
      </w:r>
      <w:r w:rsidR="009C4922">
        <w:rPr>
          <w:rFonts w:ascii="Times New Roman" w:hAnsi="Times New Roman"/>
          <w:sz w:val="24"/>
        </w:rPr>
        <w:t>postdating</w:t>
      </w:r>
      <w:r w:rsidR="004336C1">
        <w:rPr>
          <w:rFonts w:ascii="Times New Roman" w:hAnsi="Times New Roman"/>
          <w:sz w:val="24"/>
        </w:rPr>
        <w:t xml:space="preserve"> the declinature of cover by Utmost.  This is a statement in the response of Utmost to the preliminary decision to the effect that Utmost had taken the decision to decline because it had been advised that the notice party had an illness which was specifically excluded.  However,</w:t>
      </w:r>
      <w:r w:rsidR="001323F7">
        <w:rPr>
          <w:rFonts w:ascii="Times New Roman" w:hAnsi="Times New Roman"/>
          <w:sz w:val="24"/>
        </w:rPr>
        <w:t xml:space="preserve"> in the Decision,</w:t>
      </w:r>
      <w:r w:rsidR="00CA5671">
        <w:rPr>
          <w:rFonts w:ascii="Times New Roman" w:hAnsi="Times New Roman"/>
          <w:sz w:val="24"/>
        </w:rPr>
        <w:t xml:space="preserve"> </w:t>
      </w:r>
      <w:r w:rsidR="004336C1">
        <w:rPr>
          <w:rFonts w:ascii="Times New Roman" w:hAnsi="Times New Roman"/>
          <w:sz w:val="24"/>
        </w:rPr>
        <w:t xml:space="preserve">the FSPO pointed out the issue to be decided was whether or not the diagnosis of </w:t>
      </w:r>
      <w:r w:rsidR="009C4922">
        <w:rPr>
          <w:rFonts w:ascii="Times New Roman" w:hAnsi="Times New Roman"/>
          <w:sz w:val="24"/>
        </w:rPr>
        <w:t>R</w:t>
      </w:r>
      <w:r w:rsidR="004336C1">
        <w:rPr>
          <w:rFonts w:ascii="Times New Roman" w:hAnsi="Times New Roman"/>
          <w:sz w:val="24"/>
        </w:rPr>
        <w:t xml:space="preserve">heumatoid </w:t>
      </w:r>
      <w:r w:rsidR="009C4922">
        <w:rPr>
          <w:rFonts w:ascii="Times New Roman" w:hAnsi="Times New Roman"/>
          <w:sz w:val="24"/>
        </w:rPr>
        <w:t>A</w:t>
      </w:r>
      <w:r w:rsidR="004336C1">
        <w:rPr>
          <w:rFonts w:ascii="Times New Roman" w:hAnsi="Times New Roman"/>
          <w:sz w:val="24"/>
        </w:rPr>
        <w:t xml:space="preserve">rthritis was of sufficient severity to prevent the notice party from working.  The trial judge stated that the inference, which he considered the FSPO drew, that “this distinction was lost on the insurance provider is untenable”.  The trial judge considered that, on any fair reading of Utmost’s submission (to the preliminary decision) </w:t>
      </w:r>
      <w:r w:rsidR="004336C1">
        <w:rPr>
          <w:rFonts w:ascii="Times New Roman" w:hAnsi="Times New Roman"/>
          <w:i/>
          <w:sz w:val="24"/>
        </w:rPr>
        <w:t xml:space="preserve">in toto, </w:t>
      </w:r>
      <w:r w:rsidR="004336C1">
        <w:rPr>
          <w:rFonts w:ascii="Times New Roman" w:hAnsi="Times New Roman"/>
          <w:sz w:val="24"/>
        </w:rPr>
        <w:t>it was clear that Utmost was fully alive to the critical importance of identifying which illness was the cause of any inability to work.  At para. 81, the trial judge concluded:</w:t>
      </w:r>
    </w:p>
    <w:p w14:paraId="01C3E082" w14:textId="78329214" w:rsidR="004336C1" w:rsidRDefault="004336C1"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“In summary, the Ombudsman’</w:t>
      </w:r>
      <w:r w:rsidRPr="004336C1">
        <w:rPr>
          <w:rFonts w:ascii="Times New Roman" w:hAnsi="Times New Roman"/>
          <w:sz w:val="24"/>
        </w:rPr>
        <w:t>s approach evinces</w:t>
      </w:r>
      <w:r w:rsidR="00957989">
        <w:rPr>
          <w:rFonts w:ascii="Times New Roman" w:hAnsi="Times New Roman"/>
          <w:sz w:val="24"/>
        </w:rPr>
        <w:t xml:space="preserve"> </w:t>
      </w:r>
      <w:r w:rsidRPr="004336C1">
        <w:rPr>
          <w:rFonts w:ascii="Times New Roman" w:hAnsi="Times New Roman"/>
          <w:sz w:val="24"/>
        </w:rPr>
        <w:t>serious and significant errors of law in that it purports to make a finding that the conduct of the insurance provider was unreasonable without any attempt to measure that conduct against the relevant code of conduct; and then draws unsubstantiated inferences from certain correspondence.</w:t>
      </w:r>
      <w:r>
        <w:rPr>
          <w:rFonts w:ascii="Times New Roman" w:hAnsi="Times New Roman"/>
          <w:sz w:val="24"/>
        </w:rPr>
        <w:t>”</w:t>
      </w:r>
    </w:p>
    <w:p w14:paraId="52888ABB" w14:textId="62D8A9C3" w:rsidR="00AA1A1A" w:rsidRPr="00781A54" w:rsidRDefault="004336C1" w:rsidP="00E20F5C">
      <w:pPr>
        <w:pStyle w:val="ListParagraph"/>
        <w:tabs>
          <w:tab w:val="left" w:pos="567"/>
        </w:tabs>
        <w:spacing w:line="480" w:lineRule="auto"/>
        <w:ind w:left="0"/>
        <w:rPr>
          <w:rFonts w:ascii="Times New Roman" w:hAnsi="Times New Roman"/>
          <w:b/>
          <w:iCs/>
          <w:sz w:val="24"/>
        </w:rPr>
      </w:pPr>
      <w:r w:rsidRPr="00781A54">
        <w:rPr>
          <w:rFonts w:ascii="Times New Roman" w:hAnsi="Times New Roman"/>
          <w:b/>
          <w:iCs/>
          <w:sz w:val="24"/>
        </w:rPr>
        <w:lastRenderedPageBreak/>
        <w:t>Decision of trial judge on remedy directed by</w:t>
      </w:r>
      <w:r w:rsidR="00781A54">
        <w:rPr>
          <w:rFonts w:ascii="Times New Roman" w:hAnsi="Times New Roman"/>
          <w:b/>
          <w:iCs/>
          <w:sz w:val="24"/>
        </w:rPr>
        <w:t xml:space="preserve"> the</w:t>
      </w:r>
      <w:r w:rsidRPr="00781A54">
        <w:rPr>
          <w:rFonts w:ascii="Times New Roman" w:hAnsi="Times New Roman"/>
          <w:b/>
          <w:iCs/>
          <w:sz w:val="24"/>
        </w:rPr>
        <w:t xml:space="preserve"> FSPO</w:t>
      </w:r>
    </w:p>
    <w:p w14:paraId="5B3F07EB" w14:textId="54A8CDB6" w:rsidR="00AA1A1A" w:rsidRDefault="004336C1"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As the trial judge observed, at para. 87 of his judgment, strictly speaking it was not necessary for him to address the remedy directed by the FSPO in view of his conclusion that the FSPO had erred in his conclusion that Utmost’s conduct in assessing the Claim was unreasonable or otherwise improper.  Nonetheless, in case he was incorrect on this point, he addressed the validity of the remedy directed by the FSPO.  At para. 90 he put the question thus:</w:t>
      </w:r>
    </w:p>
    <w:p w14:paraId="1C1FA701" w14:textId="77777777" w:rsidR="004336C1" w:rsidRDefault="004336C1"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4336C1">
        <w:rPr>
          <w:rFonts w:ascii="Times New Roman" w:hAnsi="Times New Roman"/>
          <w:sz w:val="24"/>
        </w:rPr>
        <w:t>The question of principle for determination in this appeal is whether, on the assumption that his findings on the substance of the complaint were to have been upheld, the Ombudsman would have had jurisdiction to direct the insurance provider to admit the claim for income protection.</w:t>
      </w:r>
      <w:r>
        <w:rPr>
          <w:rFonts w:ascii="Times New Roman" w:hAnsi="Times New Roman"/>
          <w:sz w:val="24"/>
        </w:rPr>
        <w:t>”</w:t>
      </w:r>
    </w:p>
    <w:p w14:paraId="055682AC" w14:textId="167785C3" w:rsidR="004336C1" w:rsidRDefault="002C2B03"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trial judge concluded that the FSPO had no such jurisdiction, absent a finding as a matter of contract law, that the notice party was entitled to recover under the Scheme.  To arrive at that finding, the FSPO would have had to conclude that the notice party’s inability to work is attributable entirely to </w:t>
      </w:r>
      <w:r w:rsidR="00936E3E">
        <w:rPr>
          <w:rFonts w:ascii="Times New Roman" w:hAnsi="Times New Roman"/>
          <w:sz w:val="24"/>
        </w:rPr>
        <w:t>R</w:t>
      </w:r>
      <w:r>
        <w:rPr>
          <w:rFonts w:ascii="Times New Roman" w:hAnsi="Times New Roman"/>
          <w:sz w:val="24"/>
        </w:rPr>
        <w:t xml:space="preserve">heumatoid </w:t>
      </w:r>
      <w:r w:rsidR="00936E3E">
        <w:rPr>
          <w:rFonts w:ascii="Times New Roman" w:hAnsi="Times New Roman"/>
          <w:sz w:val="24"/>
        </w:rPr>
        <w:t>A</w:t>
      </w:r>
      <w:r>
        <w:rPr>
          <w:rFonts w:ascii="Times New Roman" w:hAnsi="Times New Roman"/>
          <w:sz w:val="24"/>
        </w:rPr>
        <w:t>rthritis, and he made no such finding.  The trial judge stated:</w:t>
      </w:r>
    </w:p>
    <w:p w14:paraId="62DFA187" w14:textId="77777777" w:rsidR="002C2B03" w:rsidRPr="002C2B03" w:rsidRDefault="002C2B03"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r w:rsidRPr="002C2B03">
        <w:rPr>
          <w:rFonts w:ascii="Times New Roman" w:hAnsi="Times New Roman"/>
          <w:sz w:val="24"/>
        </w:rPr>
        <w:t>The practical effect of this was that the Ombudsman treated the claim as if it had been well-founded and that the insured party was suffering a disability (as defined) caused by an illness which came within the terms of the insured risk. With respect, there is no lawful connection between the finding of unreasonable or improper conduct and the remedy actually imposed: it is a </w:t>
      </w:r>
      <w:r w:rsidRPr="002C2B03">
        <w:rPr>
          <w:rFonts w:ascii="Times New Roman" w:hAnsi="Times New Roman"/>
          <w:i/>
          <w:iCs/>
          <w:sz w:val="24"/>
        </w:rPr>
        <w:t>non sequitur.</w:t>
      </w:r>
      <w:r>
        <w:rPr>
          <w:rFonts w:ascii="Times New Roman" w:hAnsi="Times New Roman"/>
          <w:iCs/>
          <w:sz w:val="24"/>
        </w:rPr>
        <w:t>”</w:t>
      </w:r>
    </w:p>
    <w:p w14:paraId="5738FE18" w14:textId="77777777" w:rsidR="006B3D2B" w:rsidRDefault="002C2B03"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Nor, in the opinion of the trial judge, was the direction of the FSPO saved by the rider to the effect that Utmost could review the Claim at any time in the future.  This, the trial judge considered to be nonsensical in circumstances where Utmost had already determined that the Claim was inadmissible. </w:t>
      </w:r>
    </w:p>
    <w:p w14:paraId="384495DB" w14:textId="3B3E9D7B" w:rsidR="002C2B03" w:rsidRPr="00BF55E1" w:rsidRDefault="006B3D2B" w:rsidP="00E20F5C">
      <w:pPr>
        <w:pStyle w:val="ListParagraph"/>
        <w:tabs>
          <w:tab w:val="left" w:pos="567"/>
        </w:tabs>
        <w:spacing w:line="480" w:lineRule="auto"/>
        <w:ind w:left="0"/>
        <w:rPr>
          <w:rFonts w:ascii="Times New Roman" w:hAnsi="Times New Roman"/>
          <w:b/>
          <w:sz w:val="24"/>
        </w:rPr>
      </w:pPr>
      <w:r w:rsidRPr="00BF55E1">
        <w:rPr>
          <w:rFonts w:ascii="Times New Roman" w:hAnsi="Times New Roman"/>
          <w:b/>
          <w:sz w:val="24"/>
        </w:rPr>
        <w:lastRenderedPageBreak/>
        <w:t xml:space="preserve">Conclusions </w:t>
      </w:r>
      <w:r w:rsidR="00552F26">
        <w:rPr>
          <w:rFonts w:ascii="Times New Roman" w:hAnsi="Times New Roman"/>
          <w:b/>
          <w:sz w:val="24"/>
        </w:rPr>
        <w:t>of the</w:t>
      </w:r>
      <w:r w:rsidR="00BF55E1" w:rsidRPr="00BF55E1">
        <w:rPr>
          <w:rFonts w:ascii="Times New Roman" w:hAnsi="Times New Roman"/>
          <w:b/>
          <w:sz w:val="24"/>
        </w:rPr>
        <w:t xml:space="preserve"> High Court</w:t>
      </w:r>
      <w:r w:rsidR="002C2B03" w:rsidRPr="00BF55E1">
        <w:rPr>
          <w:rFonts w:ascii="Times New Roman" w:hAnsi="Times New Roman"/>
          <w:b/>
          <w:sz w:val="24"/>
        </w:rPr>
        <w:t xml:space="preserve"> </w:t>
      </w:r>
    </w:p>
    <w:p w14:paraId="3A35B5EB" w14:textId="77777777" w:rsidR="002C2B03" w:rsidRDefault="004F6F5C"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 93 of his judgment the trial judge summarises his conclusions as follows:</w:t>
      </w:r>
    </w:p>
    <w:p w14:paraId="3990DD86" w14:textId="77777777" w:rsidR="004F6F5C" w:rsidRDefault="004F6F5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“93. </w:t>
      </w:r>
      <w:r w:rsidRPr="004F6F5C">
        <w:rPr>
          <w:rFonts w:ascii="Times New Roman" w:hAnsi="Times New Roman"/>
          <w:sz w:val="24"/>
        </w:rPr>
        <w:t>For the reasons set out above, I have concluded that the approach of the Ombudsman to his asses</w:t>
      </w:r>
      <w:r>
        <w:rPr>
          <w:rFonts w:ascii="Times New Roman" w:hAnsi="Times New Roman"/>
          <w:sz w:val="24"/>
        </w:rPr>
        <w:t>sment of the insurance provider’</w:t>
      </w:r>
      <w:r w:rsidRPr="004F6F5C">
        <w:rPr>
          <w:rFonts w:ascii="Times New Roman" w:hAnsi="Times New Roman"/>
          <w:sz w:val="24"/>
        </w:rPr>
        <w:t>s conduct in its processing of the claim (and, in particular, the appeal) was erroneous in law. The legal errors were serious and significant, and the decision is invalid as a result. In particular, the Ombudsman purported to make a finding that the conduct of the insurance provider was unreasonable, without any attempt to measure that conduct against the relevant code of conduct, i.e. the </w:t>
      </w:r>
      <w:r w:rsidRPr="004F6F5C">
        <w:rPr>
          <w:rFonts w:ascii="Times New Roman" w:hAnsi="Times New Roman"/>
          <w:i/>
          <w:iCs/>
          <w:sz w:val="24"/>
        </w:rPr>
        <w:t>Consumer Protection Code (2012)</w:t>
      </w:r>
      <w:r w:rsidRPr="004F6F5C">
        <w:rPr>
          <w:rFonts w:ascii="Times New Roman" w:hAnsi="Times New Roman"/>
          <w:sz w:val="24"/>
        </w:rPr>
        <w:t> published by the Central Bank.</w:t>
      </w:r>
    </w:p>
    <w:p w14:paraId="058F3FC4" w14:textId="77777777" w:rsidR="004F6F5C" w:rsidRDefault="004F6F5C"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94. </w:t>
      </w:r>
      <w:r w:rsidRPr="004F6F5C">
        <w:rPr>
          <w:rFonts w:ascii="Times New Roman" w:hAnsi="Times New Roman"/>
          <w:sz w:val="24"/>
        </w:rPr>
        <w:t>The insurance provider was entitled, under clause 7.6 of the </w:t>
      </w:r>
      <w:r w:rsidRPr="004F6F5C">
        <w:rPr>
          <w:rFonts w:ascii="Times New Roman" w:hAnsi="Times New Roman"/>
          <w:i/>
          <w:iCs/>
          <w:sz w:val="24"/>
        </w:rPr>
        <w:t>Consumer Protection Code (2012),</w:t>
      </w:r>
      <w:r w:rsidRPr="004F6F5C">
        <w:rPr>
          <w:rFonts w:ascii="Times New Roman" w:hAnsi="Times New Roman"/>
          <w:sz w:val="24"/>
        </w:rPr>
        <w:t> to verify the validity of the claim received from the insured party prior to admitting the claim. It is nowhere explain</w:t>
      </w:r>
      <w:r>
        <w:rPr>
          <w:rFonts w:ascii="Times New Roman" w:hAnsi="Times New Roman"/>
          <w:sz w:val="24"/>
        </w:rPr>
        <w:t>ed in the Ombudsman’</w:t>
      </w:r>
      <w:r w:rsidRPr="004F6F5C">
        <w:rPr>
          <w:rFonts w:ascii="Times New Roman" w:hAnsi="Times New Roman"/>
          <w:sz w:val="24"/>
        </w:rPr>
        <w:t>s decision why it</w:t>
      </w:r>
      <w:r>
        <w:rPr>
          <w:rFonts w:ascii="Times New Roman" w:hAnsi="Times New Roman"/>
          <w:sz w:val="24"/>
        </w:rPr>
        <w:t xml:space="preserve"> is that the insurance provider’</w:t>
      </w:r>
      <w:r w:rsidRPr="004F6F5C">
        <w:rPr>
          <w:rFonts w:ascii="Times New Roman" w:hAnsi="Times New Roman"/>
          <w:sz w:val="24"/>
        </w:rPr>
        <w:t>s conduct in processing the claim should be regarded as inconsistent with its entitlement to verify the validity of a claim.</w:t>
      </w:r>
      <w:r>
        <w:rPr>
          <w:rFonts w:ascii="Times New Roman" w:hAnsi="Times New Roman"/>
          <w:sz w:val="24"/>
        </w:rPr>
        <w:t>”</w:t>
      </w:r>
    </w:p>
    <w:p w14:paraId="2233B37E" w14:textId="39B985EC" w:rsidR="00846AC8" w:rsidRPr="00846AC8" w:rsidRDefault="004F6F5C" w:rsidP="00E20F5C">
      <w:pPr>
        <w:pStyle w:val="ListParagraph"/>
        <w:numPr>
          <w:ilvl w:val="0"/>
          <w:numId w:val="1"/>
        </w:numPr>
        <w:tabs>
          <w:tab w:val="left" w:pos="567"/>
        </w:tabs>
        <w:spacing w:line="480" w:lineRule="auto"/>
        <w:ind w:left="0" w:firstLine="0"/>
        <w:rPr>
          <w:rFonts w:ascii="Times New Roman" w:hAnsi="Times New Roman"/>
          <w:b/>
          <w:sz w:val="24"/>
          <w:u w:val="single"/>
        </w:rPr>
      </w:pPr>
      <w:r w:rsidRPr="00846AC8">
        <w:rPr>
          <w:rFonts w:ascii="Times New Roman" w:hAnsi="Times New Roman"/>
          <w:sz w:val="24"/>
        </w:rPr>
        <w:t>While the trial judge did not finalise his orders until 10</w:t>
      </w:r>
      <w:r w:rsidRPr="00846AC8">
        <w:rPr>
          <w:rFonts w:ascii="Times New Roman" w:hAnsi="Times New Roman"/>
          <w:sz w:val="24"/>
          <w:vertAlign w:val="superscript"/>
        </w:rPr>
        <w:t>th</w:t>
      </w:r>
      <w:r w:rsidRPr="00846AC8">
        <w:rPr>
          <w:rFonts w:ascii="Times New Roman" w:hAnsi="Times New Roman"/>
          <w:sz w:val="24"/>
        </w:rPr>
        <w:t xml:space="preserve"> February 2021, he proposed, in his decision of 10</w:t>
      </w:r>
      <w:r w:rsidRPr="00846AC8">
        <w:rPr>
          <w:rFonts w:ascii="Times New Roman" w:hAnsi="Times New Roman"/>
          <w:sz w:val="24"/>
          <w:vertAlign w:val="superscript"/>
        </w:rPr>
        <w:t>th</w:t>
      </w:r>
      <w:r w:rsidRPr="00846AC8">
        <w:rPr>
          <w:rFonts w:ascii="Times New Roman" w:hAnsi="Times New Roman"/>
          <w:sz w:val="24"/>
        </w:rPr>
        <w:t xml:space="preserve"> November 2020, making an order pursuant to s.</w:t>
      </w:r>
      <w:r w:rsidR="00FB3BB2" w:rsidRPr="00846AC8">
        <w:rPr>
          <w:rFonts w:ascii="Times New Roman" w:hAnsi="Times New Roman"/>
          <w:sz w:val="24"/>
        </w:rPr>
        <w:t xml:space="preserve"> </w:t>
      </w:r>
      <w:r w:rsidRPr="00846AC8">
        <w:rPr>
          <w:rFonts w:ascii="Times New Roman" w:hAnsi="Times New Roman"/>
          <w:sz w:val="24"/>
        </w:rPr>
        <w:t>64(3)(b) of the Act of 2017, setting aside the Decision and the direction of the FSPO within the Decision in their entirety.  Subsequent to handing down judgment on 10</w:t>
      </w:r>
      <w:r w:rsidRPr="00846AC8">
        <w:rPr>
          <w:rFonts w:ascii="Times New Roman" w:hAnsi="Times New Roman"/>
          <w:sz w:val="24"/>
          <w:vertAlign w:val="superscript"/>
        </w:rPr>
        <w:t>th</w:t>
      </w:r>
      <w:r w:rsidRPr="00846AC8">
        <w:rPr>
          <w:rFonts w:ascii="Times New Roman" w:hAnsi="Times New Roman"/>
          <w:sz w:val="24"/>
        </w:rPr>
        <w:t xml:space="preserve"> November 2020, the trial judge heard further submissions as to the form of order and also as to the certification of questions for the purposes of an appeal.  </w:t>
      </w:r>
      <w:r w:rsidR="00EC43BC" w:rsidRPr="00846AC8">
        <w:rPr>
          <w:rFonts w:ascii="Times New Roman" w:hAnsi="Times New Roman"/>
          <w:sz w:val="24"/>
        </w:rPr>
        <w:t>A</w:t>
      </w:r>
      <w:r w:rsidRPr="00846AC8">
        <w:rPr>
          <w:rFonts w:ascii="Times New Roman" w:hAnsi="Times New Roman"/>
          <w:sz w:val="24"/>
        </w:rPr>
        <w:t>rising out of those submissions, the trial judge handed down a further judgment on 10</w:t>
      </w:r>
      <w:r w:rsidRPr="00846AC8">
        <w:rPr>
          <w:rFonts w:ascii="Times New Roman" w:hAnsi="Times New Roman"/>
          <w:sz w:val="24"/>
          <w:vertAlign w:val="superscript"/>
        </w:rPr>
        <w:t>th</w:t>
      </w:r>
      <w:r w:rsidRPr="00846AC8">
        <w:rPr>
          <w:rFonts w:ascii="Times New Roman" w:hAnsi="Times New Roman"/>
          <w:sz w:val="24"/>
        </w:rPr>
        <w:t xml:space="preserve"> February 2021.  In this judgment, he affirmed his o</w:t>
      </w:r>
      <w:r w:rsidR="00797132" w:rsidRPr="00846AC8">
        <w:rPr>
          <w:rFonts w:ascii="Times New Roman" w:hAnsi="Times New Roman"/>
          <w:sz w:val="24"/>
        </w:rPr>
        <w:t>rder setting aside the Decision, in its entirety</w:t>
      </w:r>
      <w:r w:rsidR="007F4C77" w:rsidRPr="00846AC8">
        <w:rPr>
          <w:rFonts w:ascii="Times New Roman" w:hAnsi="Times New Roman"/>
          <w:sz w:val="24"/>
        </w:rPr>
        <w:t>,</w:t>
      </w:r>
      <w:r w:rsidR="00797132" w:rsidRPr="00846AC8">
        <w:rPr>
          <w:rFonts w:ascii="Times New Roman" w:hAnsi="Times New Roman"/>
          <w:sz w:val="24"/>
        </w:rPr>
        <w:t xml:space="preserve"> and further ordered that the matter be remitted to the FSPO for review by a different decision maker within that office, having regard to the Code.  The trial judge also granted leave to appeal on</w:t>
      </w:r>
      <w:r w:rsidR="00FB3BB2" w:rsidRPr="00846AC8">
        <w:rPr>
          <w:rFonts w:ascii="Times New Roman" w:hAnsi="Times New Roman"/>
          <w:sz w:val="24"/>
        </w:rPr>
        <w:t xml:space="preserve"> the</w:t>
      </w:r>
      <w:r w:rsidR="00797132" w:rsidRPr="00846AC8">
        <w:rPr>
          <w:rFonts w:ascii="Times New Roman" w:hAnsi="Times New Roman"/>
          <w:sz w:val="24"/>
        </w:rPr>
        <w:t xml:space="preserve"> </w:t>
      </w:r>
      <w:r w:rsidR="00846AC8" w:rsidRPr="00846AC8">
        <w:rPr>
          <w:rFonts w:ascii="Times New Roman" w:hAnsi="Times New Roman"/>
          <w:sz w:val="24"/>
        </w:rPr>
        <w:t xml:space="preserve">following </w:t>
      </w:r>
      <w:r w:rsidR="00797132" w:rsidRPr="00846AC8">
        <w:rPr>
          <w:rFonts w:ascii="Times New Roman" w:hAnsi="Times New Roman"/>
          <w:sz w:val="24"/>
        </w:rPr>
        <w:t>three questions of law</w:t>
      </w:r>
      <w:r w:rsidR="00846AC8">
        <w:rPr>
          <w:rFonts w:ascii="Times New Roman" w:hAnsi="Times New Roman"/>
          <w:sz w:val="24"/>
        </w:rPr>
        <w:t>:</w:t>
      </w:r>
    </w:p>
    <w:p w14:paraId="0286ED68" w14:textId="353E03EF" w:rsidR="00846AC8" w:rsidRPr="005B6F99" w:rsidRDefault="00846AC8" w:rsidP="00E20F5C">
      <w:pPr>
        <w:pStyle w:val="ListParagraph"/>
        <w:tabs>
          <w:tab w:val="left" w:pos="567"/>
        </w:tabs>
        <w:spacing w:line="480" w:lineRule="auto"/>
        <w:rPr>
          <w:rFonts w:ascii="Times New Roman" w:hAnsi="Times New Roman" w:cs="Times New Roman"/>
          <w:sz w:val="24"/>
          <w:szCs w:val="24"/>
        </w:rPr>
      </w:pPr>
      <w:r w:rsidRPr="005B6F99">
        <w:rPr>
          <w:rFonts w:ascii="Times New Roman" w:hAnsi="Times New Roman" w:cs="Times New Roman"/>
          <w:sz w:val="24"/>
          <w:szCs w:val="24"/>
        </w:rPr>
        <w:lastRenderedPageBreak/>
        <w:t>“(</w:t>
      </w:r>
      <w:proofErr w:type="spellStart"/>
      <w:r w:rsidRPr="005B6F99">
        <w:rPr>
          <w:rFonts w:ascii="Times New Roman" w:hAnsi="Times New Roman" w:cs="Times New Roman"/>
          <w:sz w:val="24"/>
          <w:szCs w:val="24"/>
        </w:rPr>
        <w:t>i</w:t>
      </w:r>
      <w:proofErr w:type="spellEnd"/>
      <w:r w:rsidRPr="005B6F99">
        <w:rPr>
          <w:rFonts w:ascii="Times New Roman" w:hAnsi="Times New Roman" w:cs="Times New Roman"/>
          <w:sz w:val="24"/>
          <w:szCs w:val="24"/>
        </w:rPr>
        <w:t>)</w:t>
      </w:r>
      <w:r w:rsidRPr="005B6F99">
        <w:rPr>
          <w:rFonts w:ascii="Times New Roman" w:hAnsi="Times New Roman" w:cs="Times New Roman"/>
          <w:sz w:val="24"/>
          <w:szCs w:val="24"/>
        </w:rPr>
        <w:tab/>
        <w:t>Is the Ombudsman, when determining the reasonableness of the conduct of a financial services provider, required to have regard to any applicable code of conduct published by the Central Bank?</w:t>
      </w:r>
    </w:p>
    <w:p w14:paraId="0D4E5C6A" w14:textId="2729B54D" w:rsidR="00846AC8" w:rsidRPr="005B6F99" w:rsidRDefault="00846AC8" w:rsidP="00E20F5C">
      <w:pPr>
        <w:pStyle w:val="ListParagraph"/>
        <w:tabs>
          <w:tab w:val="left" w:pos="567"/>
        </w:tabs>
        <w:spacing w:line="480" w:lineRule="auto"/>
        <w:rPr>
          <w:rFonts w:ascii="Times New Roman" w:hAnsi="Times New Roman" w:cs="Times New Roman"/>
          <w:sz w:val="24"/>
          <w:szCs w:val="24"/>
        </w:rPr>
      </w:pPr>
      <w:r w:rsidRPr="005B6F99">
        <w:rPr>
          <w:rFonts w:ascii="Times New Roman" w:hAnsi="Times New Roman" w:cs="Times New Roman"/>
          <w:sz w:val="24"/>
          <w:szCs w:val="24"/>
        </w:rPr>
        <w:t>(ii)</w:t>
      </w:r>
      <w:r w:rsidRPr="005B6F99">
        <w:rPr>
          <w:rFonts w:ascii="Times New Roman" w:hAnsi="Times New Roman" w:cs="Times New Roman"/>
          <w:sz w:val="24"/>
          <w:szCs w:val="24"/>
        </w:rPr>
        <w:tab/>
        <w:t>Does the Ombudsman have jurisdiction, in the absence of any finding on his part that there has been a breach of contract, to direct a financial services provider to admit a claim under a policy of insurance and to pay the benefit to the insured?</w:t>
      </w:r>
    </w:p>
    <w:p w14:paraId="1D537671" w14:textId="061D1DC6" w:rsidR="00846AC8" w:rsidRPr="005B6F99" w:rsidRDefault="00846AC8" w:rsidP="00E20F5C">
      <w:pPr>
        <w:pStyle w:val="ListParagraph"/>
        <w:tabs>
          <w:tab w:val="left" w:pos="567"/>
        </w:tabs>
        <w:spacing w:line="480" w:lineRule="auto"/>
        <w:rPr>
          <w:rFonts w:ascii="Times New Roman" w:hAnsi="Times New Roman" w:cs="Times New Roman"/>
          <w:sz w:val="24"/>
          <w:szCs w:val="24"/>
        </w:rPr>
      </w:pPr>
      <w:r w:rsidRPr="005B6F99">
        <w:rPr>
          <w:rFonts w:ascii="Times New Roman" w:hAnsi="Times New Roman" w:cs="Times New Roman"/>
          <w:sz w:val="24"/>
          <w:szCs w:val="24"/>
        </w:rPr>
        <w:t>(iii)</w:t>
      </w:r>
      <w:r w:rsidRPr="005B6F99">
        <w:rPr>
          <w:rFonts w:ascii="Times New Roman" w:hAnsi="Times New Roman" w:cs="Times New Roman"/>
          <w:sz w:val="24"/>
          <w:szCs w:val="24"/>
        </w:rPr>
        <w:tab/>
        <w:t xml:space="preserve">Is the High Court, in the exercise of its appellate jurisdiction in a statutory appeal under section 64 of the Financial Services and Pensions Ombudsman Act 2017, entitled to draw different inferences from documentation (in this case, correspondence) than those of the Ombudsman?  Put otherwise, to what extent do the principles in </w:t>
      </w:r>
      <w:r w:rsidRPr="005B6F99">
        <w:rPr>
          <w:rFonts w:ascii="Times New Roman" w:hAnsi="Times New Roman" w:cs="Times New Roman"/>
          <w:i/>
          <w:iCs/>
          <w:sz w:val="24"/>
          <w:szCs w:val="24"/>
        </w:rPr>
        <w:t>Fitzgibbon v. Law Society</w:t>
      </w:r>
      <w:r w:rsidRPr="005B6F99">
        <w:rPr>
          <w:rFonts w:ascii="Times New Roman" w:hAnsi="Times New Roman" w:cs="Times New Roman"/>
          <w:sz w:val="24"/>
          <w:szCs w:val="24"/>
        </w:rPr>
        <w:t xml:space="preserve"> [2014] IESC 48; [2015] 1 I.R. 516 (at paragraphs 127 and 128 of the reported judgment) apply to a statutory appeal under section 64?”</w:t>
      </w:r>
    </w:p>
    <w:p w14:paraId="47C723FB" w14:textId="2F2E3109" w:rsidR="007F4C77" w:rsidRDefault="005A18C8" w:rsidP="00E20F5C">
      <w:pPr>
        <w:pStyle w:val="ListParagraph"/>
        <w:tabs>
          <w:tab w:val="left" w:pos="567"/>
        </w:tabs>
        <w:spacing w:line="480" w:lineRule="auto"/>
        <w:ind w:left="0"/>
        <w:rPr>
          <w:rFonts w:ascii="Times New Roman" w:hAnsi="Times New Roman"/>
          <w:b/>
          <w:sz w:val="24"/>
          <w:u w:val="single"/>
        </w:rPr>
      </w:pPr>
      <w:r w:rsidRPr="00846AC8">
        <w:rPr>
          <w:rFonts w:ascii="Times New Roman" w:hAnsi="Times New Roman"/>
          <w:b/>
          <w:sz w:val="24"/>
          <w:u w:val="single"/>
        </w:rPr>
        <w:t xml:space="preserve">Question 1: </w:t>
      </w:r>
      <w:r w:rsidR="007F4C77" w:rsidRPr="00846AC8">
        <w:rPr>
          <w:rFonts w:ascii="Times New Roman" w:hAnsi="Times New Roman"/>
          <w:b/>
          <w:sz w:val="24"/>
          <w:u w:val="single"/>
        </w:rPr>
        <w:t>Grounds of Appeal</w:t>
      </w:r>
    </w:p>
    <w:p w14:paraId="2661950D" w14:textId="428A9657" w:rsidR="00846AC8" w:rsidRPr="001323F7" w:rsidRDefault="00846AC8" w:rsidP="00E20F5C">
      <w:pPr>
        <w:pStyle w:val="ListParagraph"/>
        <w:tabs>
          <w:tab w:val="left" w:pos="567"/>
        </w:tabs>
        <w:spacing w:line="480" w:lineRule="auto"/>
        <w:ind w:left="0"/>
        <w:rPr>
          <w:rFonts w:ascii="Times New Roman" w:hAnsi="Times New Roman"/>
          <w:b/>
          <w:sz w:val="24"/>
          <w:u w:val="single"/>
        </w:rPr>
      </w:pPr>
      <w:r w:rsidRPr="001323F7">
        <w:rPr>
          <w:rFonts w:ascii="Times New Roman" w:hAnsi="Times New Roman"/>
          <w:b/>
          <w:sz w:val="24"/>
        </w:rPr>
        <w:t>Is the Ombudsman, when determining the reasonableness of the conduct of a financial services provider, required to have regard to any applicable code of conduct published by the Central Bank?</w:t>
      </w:r>
    </w:p>
    <w:p w14:paraId="77DA2A05" w14:textId="77777777" w:rsidR="00B255E7" w:rsidRPr="006770F3"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his grounds of appeal, the FSPO sets out seven grounds of objection as regards the decision of the trial judge on this issue.  These include:</w:t>
      </w:r>
    </w:p>
    <w:p w14:paraId="078AFBF4" w14:textId="77777777" w:rsidR="00B255E7" w:rsidRPr="006770F3" w:rsidRDefault="00B255E7" w:rsidP="00E20F5C">
      <w:pPr>
        <w:pStyle w:val="ListParagraph"/>
        <w:numPr>
          <w:ilvl w:val="0"/>
          <w:numId w:val="5"/>
        </w:numPr>
        <w:tabs>
          <w:tab w:val="left" w:pos="567"/>
        </w:tabs>
        <w:spacing w:line="480" w:lineRule="auto"/>
        <w:ind w:left="1134" w:hanging="567"/>
        <w:rPr>
          <w:rFonts w:ascii="Times New Roman" w:hAnsi="Times New Roman"/>
          <w:b/>
          <w:sz w:val="24"/>
          <w:u w:val="single"/>
        </w:rPr>
      </w:pPr>
      <w:r>
        <w:rPr>
          <w:rFonts w:ascii="Times New Roman" w:hAnsi="Times New Roman"/>
          <w:sz w:val="24"/>
        </w:rPr>
        <w:t>That while the FSPO is entitled to have regard to any applicable code, he is not obliged to do so;</w:t>
      </w:r>
    </w:p>
    <w:p w14:paraId="79F0761C" w14:textId="77777777" w:rsidR="00B255E7" w:rsidRPr="006770F3" w:rsidRDefault="00B255E7" w:rsidP="00E20F5C">
      <w:pPr>
        <w:pStyle w:val="ListParagraph"/>
        <w:numPr>
          <w:ilvl w:val="0"/>
          <w:numId w:val="5"/>
        </w:numPr>
        <w:tabs>
          <w:tab w:val="left" w:pos="567"/>
        </w:tabs>
        <w:spacing w:line="480" w:lineRule="auto"/>
        <w:ind w:left="1134" w:hanging="567"/>
        <w:rPr>
          <w:rFonts w:ascii="Times New Roman" w:hAnsi="Times New Roman"/>
          <w:b/>
          <w:sz w:val="24"/>
          <w:u w:val="single"/>
        </w:rPr>
      </w:pPr>
      <w:r>
        <w:rPr>
          <w:rFonts w:ascii="Times New Roman" w:hAnsi="Times New Roman"/>
          <w:sz w:val="24"/>
        </w:rPr>
        <w:t>If the Oireachtas had intended that there should be an obligation to have regard to an applicable code, it would have legislated accordingly, and it did not do so.  In particular, sections 60(2)(b) and (g) of the Act of 2017 make no reference to a code, whereas s.60(2)(c) makes reference to a “regulatory standard”:</w:t>
      </w:r>
    </w:p>
    <w:p w14:paraId="18F01266" w14:textId="77777777" w:rsidR="00B255E7" w:rsidRDefault="00B255E7" w:rsidP="00E20F5C">
      <w:pPr>
        <w:pStyle w:val="ListParagraph"/>
        <w:numPr>
          <w:ilvl w:val="0"/>
          <w:numId w:val="5"/>
        </w:numPr>
        <w:tabs>
          <w:tab w:val="left" w:pos="567"/>
        </w:tabs>
        <w:spacing w:line="480" w:lineRule="auto"/>
        <w:ind w:left="1134" w:hanging="567"/>
        <w:rPr>
          <w:rFonts w:ascii="Times New Roman" w:hAnsi="Times New Roman"/>
          <w:sz w:val="24"/>
        </w:rPr>
      </w:pPr>
      <w:r w:rsidRPr="006770F3">
        <w:rPr>
          <w:rFonts w:ascii="Times New Roman" w:hAnsi="Times New Roman"/>
          <w:sz w:val="24"/>
        </w:rPr>
        <w:lastRenderedPageBreak/>
        <w:t xml:space="preserve">Utmost </w:t>
      </w:r>
      <w:r>
        <w:rPr>
          <w:rFonts w:ascii="Times New Roman" w:hAnsi="Times New Roman"/>
          <w:sz w:val="24"/>
        </w:rPr>
        <w:t>itself did not raise the issue of compliance with the Code in the process before the FSPO;</w:t>
      </w:r>
    </w:p>
    <w:p w14:paraId="4CFEA134" w14:textId="405116C3" w:rsidR="00B255E7" w:rsidRDefault="00B255E7" w:rsidP="00E20F5C">
      <w:pPr>
        <w:pStyle w:val="ListParagraph"/>
        <w:numPr>
          <w:ilvl w:val="0"/>
          <w:numId w:val="5"/>
        </w:numPr>
        <w:tabs>
          <w:tab w:val="left" w:pos="567"/>
        </w:tabs>
        <w:spacing w:line="480" w:lineRule="auto"/>
        <w:ind w:left="1134" w:hanging="567"/>
        <w:rPr>
          <w:rFonts w:ascii="Times New Roman" w:hAnsi="Times New Roman"/>
          <w:sz w:val="24"/>
        </w:rPr>
      </w:pPr>
      <w:r>
        <w:rPr>
          <w:rFonts w:ascii="Times New Roman" w:hAnsi="Times New Roman"/>
          <w:sz w:val="24"/>
        </w:rPr>
        <w:t>Even if the FSPO was obliged to take the Code into account for the purposes of s.60(2)(b) of the Act of 2017 (which is denied) he was not obliged to do so for the purpose of s.60(2)(g).</w:t>
      </w:r>
    </w:p>
    <w:p w14:paraId="6E8AD7DF" w14:textId="4F6F9FE4" w:rsidR="00BF0185" w:rsidRPr="005B6F99" w:rsidRDefault="005B6F99" w:rsidP="00E20F5C">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5B6F99">
        <w:rPr>
          <w:rFonts w:ascii="Times New Roman" w:hAnsi="Times New Roman" w:cs="Times New Roman"/>
          <w:sz w:val="24"/>
          <w:szCs w:val="24"/>
        </w:rPr>
        <w:t xml:space="preserve">Sections </w:t>
      </w:r>
      <w:r w:rsidR="00BF0185" w:rsidRPr="005B6F99">
        <w:rPr>
          <w:rFonts w:ascii="Times New Roman" w:hAnsi="Times New Roman" w:cs="Times New Roman"/>
          <w:sz w:val="24"/>
          <w:szCs w:val="24"/>
        </w:rPr>
        <w:t>60(2)(b) and (g) of the Act of 2017 provide as follows:</w:t>
      </w:r>
    </w:p>
    <w:p w14:paraId="5F888756" w14:textId="77777777" w:rsidR="00BF0185" w:rsidRDefault="00BF0185"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“60(2) </w:t>
      </w:r>
      <w:r w:rsidRPr="00F44633">
        <w:rPr>
          <w:rFonts w:ascii="Times New Roman" w:hAnsi="Times New Roman"/>
          <w:sz w:val="24"/>
        </w:rPr>
        <w:t>A complaint may be found to be upheld, substantially upheld or partially upheld only on one or more of the following grounds:</w:t>
      </w:r>
    </w:p>
    <w:p w14:paraId="13BCDBDE" w14:textId="77777777" w:rsidR="00BF0185" w:rsidRPr="00F44633" w:rsidRDefault="00BF0185"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p>
    <w:p w14:paraId="4F4B7D28" w14:textId="77777777" w:rsidR="00BF0185" w:rsidRDefault="00BF0185" w:rsidP="00E20F5C">
      <w:pPr>
        <w:pStyle w:val="ListParagraph"/>
        <w:tabs>
          <w:tab w:val="left" w:pos="567"/>
        </w:tabs>
        <w:spacing w:line="480" w:lineRule="auto"/>
        <w:ind w:left="567"/>
        <w:rPr>
          <w:rFonts w:ascii="Times New Roman" w:hAnsi="Times New Roman"/>
          <w:sz w:val="24"/>
        </w:rPr>
      </w:pPr>
      <w:r w:rsidRPr="00F44633">
        <w:rPr>
          <w:rFonts w:ascii="Times New Roman" w:hAnsi="Times New Roman"/>
          <w:sz w:val="24"/>
        </w:rPr>
        <w:t>(b)</w:t>
      </w:r>
      <w:r>
        <w:rPr>
          <w:rFonts w:ascii="Times New Roman" w:hAnsi="Times New Roman"/>
          <w:sz w:val="24"/>
        </w:rPr>
        <w:tab/>
      </w:r>
      <w:r w:rsidRPr="00F44633">
        <w:rPr>
          <w:rFonts w:ascii="Times New Roman" w:hAnsi="Times New Roman"/>
          <w:sz w:val="24"/>
        </w:rPr>
        <w:t>the conduct complained of was unreasonable, unjust, oppressive or improperly discriminatory in its application to the complainant;</w:t>
      </w:r>
    </w:p>
    <w:p w14:paraId="1E0D5980" w14:textId="77777777" w:rsidR="00BF0185" w:rsidRPr="00F44633" w:rsidRDefault="00BF0185"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w:t>
      </w:r>
    </w:p>
    <w:p w14:paraId="012F418B" w14:textId="77777777" w:rsidR="00BF0185" w:rsidRPr="00EB14BB" w:rsidRDefault="00BF0185" w:rsidP="00E20F5C">
      <w:pPr>
        <w:pStyle w:val="ListParagraph"/>
        <w:tabs>
          <w:tab w:val="left" w:pos="567"/>
        </w:tabs>
        <w:spacing w:line="480" w:lineRule="auto"/>
        <w:ind w:left="567"/>
        <w:rPr>
          <w:rFonts w:ascii="Times New Roman" w:hAnsi="Times New Roman" w:cs="Times New Roman"/>
          <w:sz w:val="24"/>
          <w:szCs w:val="24"/>
        </w:rPr>
      </w:pPr>
      <w:r w:rsidRPr="00F44633">
        <w:rPr>
          <w:rFonts w:ascii="Times New Roman" w:hAnsi="Times New Roman" w:cs="Times New Roman"/>
          <w:sz w:val="24"/>
          <w:szCs w:val="24"/>
        </w:rPr>
        <w:t>(g)</w:t>
      </w:r>
      <w:r>
        <w:rPr>
          <w:rFonts w:ascii="Times New Roman" w:hAnsi="Times New Roman" w:cs="Times New Roman"/>
          <w:sz w:val="24"/>
          <w:szCs w:val="24"/>
        </w:rPr>
        <w:tab/>
      </w:r>
      <w:r w:rsidRPr="00F44633">
        <w:rPr>
          <w:rFonts w:ascii="Times New Roman" w:hAnsi="Times New Roman" w:cs="Times New Roman"/>
          <w:sz w:val="24"/>
          <w:szCs w:val="24"/>
        </w:rPr>
        <w:t xml:space="preserve">the </w:t>
      </w:r>
      <w:r w:rsidRPr="00EB14BB">
        <w:rPr>
          <w:rFonts w:ascii="Times New Roman" w:hAnsi="Times New Roman"/>
          <w:sz w:val="24"/>
        </w:rPr>
        <w:t>conduct</w:t>
      </w:r>
      <w:r w:rsidRPr="00F44633">
        <w:rPr>
          <w:rFonts w:ascii="Times New Roman" w:hAnsi="Times New Roman" w:cs="Times New Roman"/>
          <w:sz w:val="24"/>
          <w:szCs w:val="24"/>
        </w:rPr>
        <w:t xml:space="preserve"> complained of was otherwise improper.</w:t>
      </w:r>
      <w:r>
        <w:rPr>
          <w:rFonts w:ascii="Times New Roman" w:hAnsi="Times New Roman" w:cs="Times New Roman"/>
          <w:sz w:val="24"/>
          <w:szCs w:val="24"/>
        </w:rPr>
        <w:t>”</w:t>
      </w:r>
    </w:p>
    <w:p w14:paraId="01E30991" w14:textId="386C78A1" w:rsidR="005C0E9D" w:rsidRPr="001374BB" w:rsidRDefault="005B6F99" w:rsidP="00E20F5C">
      <w:pPr>
        <w:tabs>
          <w:tab w:val="left" w:pos="567"/>
        </w:tabs>
        <w:spacing w:line="480" w:lineRule="auto"/>
        <w:jc w:val="both"/>
        <w:rPr>
          <w:b/>
          <w:bCs/>
        </w:rPr>
      </w:pPr>
      <w:r w:rsidRPr="001374BB">
        <w:rPr>
          <w:b/>
          <w:bCs/>
        </w:rPr>
        <w:t>Submissions of the FSPO on Question 1</w:t>
      </w:r>
    </w:p>
    <w:p w14:paraId="5F7B3309" w14:textId="3B5BD72D" w:rsidR="00B255E7" w:rsidRPr="006E08FB"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submissions to the Court, counsel for the FSPO said that the conclusions of the trial judge at paras. 66 and 67 of his judgment caused the FSPO two difficulties.  The first, arising out of para. 66, is that it is open to the interpretation that in every case the FSPO will have to say that he has had regard to the Code, and for that purpose, analyse the Code,</w:t>
      </w:r>
      <w:r w:rsidR="00406A8C">
        <w:rPr>
          <w:rFonts w:ascii="Times New Roman" w:hAnsi="Times New Roman"/>
          <w:sz w:val="24"/>
        </w:rPr>
        <w:t xml:space="preserve"> or whatever code may be relevant to the complaint in hand,</w:t>
      </w:r>
      <w:r>
        <w:rPr>
          <w:rFonts w:ascii="Times New Roman" w:hAnsi="Times New Roman"/>
          <w:sz w:val="24"/>
        </w:rPr>
        <w:t xml:space="preserve"> otherwise he will not be able to make findings under ss</w:t>
      </w:r>
      <w:r w:rsidR="00406A8C">
        <w:rPr>
          <w:rFonts w:ascii="Times New Roman" w:hAnsi="Times New Roman"/>
          <w:sz w:val="24"/>
        </w:rPr>
        <w:t>.</w:t>
      </w:r>
      <w:r>
        <w:rPr>
          <w:rFonts w:ascii="Times New Roman" w:hAnsi="Times New Roman"/>
          <w:sz w:val="24"/>
        </w:rPr>
        <w:t xml:space="preserve"> 60(2)(b) and (g).  The second difficulty is that in every case reasonableness would have to be assessed against the terms of the relevant code.  It is submitted that this is not correct.  If the conduct concerned is not directly addressed by the relevant code, then the FSPO cannot be required to have regard to the code concerned or to explain his decision by reference to it.</w:t>
      </w:r>
    </w:p>
    <w:p w14:paraId="1461D6BC" w14:textId="7058D42B" w:rsidR="00B255E7" w:rsidRPr="006E08FB"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In this case, the FSPO did have regard to clause 7.6 of the Code, but does not then go on to explain the Decision by reference to that clause, because the unreasonableness in the conduct of Utmost which the FSPO identified has nothing to do with clause 7.6 of the Code, or indeed any other obligation of Utmost under the Code.</w:t>
      </w:r>
    </w:p>
    <w:p w14:paraId="0877A472" w14:textId="550CB966" w:rsidR="00B255E7" w:rsidRPr="006E08FB"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It is submitted on behalf of the FSPO that the authorities all emphasise the very broad jurisdiction of the FSPO (and his predecessor, the Financial Services Ombudsman</w:t>
      </w:r>
      <w:r w:rsidR="00EE67A1">
        <w:rPr>
          <w:rFonts w:ascii="Times New Roman" w:hAnsi="Times New Roman"/>
          <w:sz w:val="24"/>
        </w:rPr>
        <w:t xml:space="preserve"> (“FSO”)</w:t>
      </w:r>
      <w:r>
        <w:rPr>
          <w:rFonts w:ascii="Times New Roman" w:hAnsi="Times New Roman"/>
          <w:sz w:val="24"/>
        </w:rPr>
        <w:t xml:space="preserve">).  They establish that while the FSPO is entitled to have regard to the Code in his decisions, he is not obliged to do so.  So, for example, in </w:t>
      </w:r>
      <w:r>
        <w:rPr>
          <w:rFonts w:ascii="Times New Roman" w:hAnsi="Times New Roman"/>
          <w:i/>
          <w:sz w:val="24"/>
        </w:rPr>
        <w:t xml:space="preserve">Irish life and Permanent v. FSO </w:t>
      </w:r>
      <w:r>
        <w:rPr>
          <w:rFonts w:ascii="Times New Roman" w:hAnsi="Times New Roman"/>
          <w:sz w:val="24"/>
        </w:rPr>
        <w:t>[2011] IEHC 367, Hogan J. stated at para. 54:</w:t>
      </w:r>
    </w:p>
    <w:p w14:paraId="70EC5B17" w14:textId="5B095F6D" w:rsidR="00B255E7" w:rsidRDefault="00B255E7" w:rsidP="00E20F5C">
      <w:pPr>
        <w:tabs>
          <w:tab w:val="left" w:pos="567"/>
        </w:tabs>
        <w:spacing w:line="480" w:lineRule="auto"/>
        <w:ind w:left="567"/>
        <w:jc w:val="both"/>
      </w:pPr>
      <w:r>
        <w:t>“</w:t>
      </w:r>
      <w:r w:rsidRPr="006E08FB">
        <w:t>For good measure I would also add that the Ombudsman was entitled to invoke Chapter 2.12 of</w:t>
      </w:r>
      <w:r>
        <w:t xml:space="preserve"> </w:t>
      </w:r>
      <w:r w:rsidRPr="006E08FB">
        <w:t xml:space="preserve">the </w:t>
      </w:r>
      <w:r>
        <w:t>Consumer Protection Code (2006) …”</w:t>
      </w:r>
    </w:p>
    <w:p w14:paraId="366F6B9B" w14:textId="106A59E7" w:rsidR="00B255E7" w:rsidRPr="00CF3F2F" w:rsidRDefault="00B255E7" w:rsidP="00E20F5C">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CF3F2F">
        <w:rPr>
          <w:rFonts w:ascii="Times New Roman" w:hAnsi="Times New Roman" w:cs="Times New Roman"/>
          <w:sz w:val="24"/>
          <w:szCs w:val="24"/>
        </w:rPr>
        <w:t xml:space="preserve">The FSPO also relied upon the very recent decision of the High Court (Hyland J.) in </w:t>
      </w:r>
      <w:r w:rsidRPr="00CF3F2F">
        <w:rPr>
          <w:rFonts w:ascii="Times New Roman" w:hAnsi="Times New Roman" w:cs="Times New Roman"/>
          <w:i/>
          <w:sz w:val="24"/>
          <w:szCs w:val="24"/>
        </w:rPr>
        <w:t xml:space="preserve">Danske Bank v. FSPO </w:t>
      </w:r>
      <w:r w:rsidRPr="00CF3F2F">
        <w:rPr>
          <w:rFonts w:ascii="Times New Roman" w:hAnsi="Times New Roman" w:cs="Times New Roman"/>
          <w:sz w:val="24"/>
          <w:szCs w:val="24"/>
        </w:rPr>
        <w:t xml:space="preserve">[2021] IEHC </w:t>
      </w:r>
      <w:r w:rsidR="00772EDF" w:rsidRPr="00CF3F2F">
        <w:rPr>
          <w:rFonts w:ascii="Times New Roman" w:hAnsi="Times New Roman" w:cs="Times New Roman"/>
          <w:sz w:val="24"/>
          <w:szCs w:val="24"/>
        </w:rPr>
        <w:t>116</w:t>
      </w:r>
      <w:r w:rsidRPr="00CF3F2F">
        <w:rPr>
          <w:rFonts w:ascii="Times New Roman" w:hAnsi="Times New Roman" w:cs="Times New Roman"/>
          <w:sz w:val="24"/>
          <w:szCs w:val="24"/>
        </w:rPr>
        <w:t xml:space="preserve"> in which case Hyland J., in dismissing an appeal against a decision of the FSPO upholding a complaint made under </w:t>
      </w:r>
      <w:r w:rsidR="006E0B15" w:rsidRPr="00CF3F2F">
        <w:rPr>
          <w:rFonts w:ascii="Times New Roman" w:hAnsi="Times New Roman" w:cs="Times New Roman"/>
          <w:sz w:val="24"/>
          <w:szCs w:val="24"/>
        </w:rPr>
        <w:t>s</w:t>
      </w:r>
      <w:r w:rsidRPr="00CF3F2F">
        <w:rPr>
          <w:rFonts w:ascii="Times New Roman" w:hAnsi="Times New Roman" w:cs="Times New Roman"/>
          <w:sz w:val="24"/>
          <w:szCs w:val="24"/>
        </w:rPr>
        <w:t>s.</w:t>
      </w:r>
      <w:r w:rsidR="00E76E2B" w:rsidRPr="00CF3F2F">
        <w:rPr>
          <w:rFonts w:ascii="Times New Roman" w:hAnsi="Times New Roman" w:cs="Times New Roman"/>
          <w:sz w:val="24"/>
          <w:szCs w:val="24"/>
        </w:rPr>
        <w:t xml:space="preserve"> </w:t>
      </w:r>
      <w:r w:rsidRPr="00CF3F2F">
        <w:rPr>
          <w:rFonts w:ascii="Times New Roman" w:hAnsi="Times New Roman" w:cs="Times New Roman"/>
          <w:sz w:val="24"/>
          <w:szCs w:val="24"/>
        </w:rPr>
        <w:t>60(2)(b) and (g) of the Act of 2017 stated, at para. 27:</w:t>
      </w:r>
    </w:p>
    <w:p w14:paraId="6B7FE2A9" w14:textId="6140296D" w:rsidR="00B255E7" w:rsidRDefault="00B255E7" w:rsidP="00E20F5C">
      <w:pPr>
        <w:tabs>
          <w:tab w:val="left" w:pos="567"/>
        </w:tabs>
        <w:spacing w:line="480" w:lineRule="auto"/>
        <w:ind w:left="567"/>
        <w:jc w:val="both"/>
      </w:pPr>
      <w:r>
        <w:t>“The breadth of the Ombudsman’s jurisdiction under s.60(2) cannot be underestimated: he or she is effectively given a decision to override the law in certain situations, in the sense that although a complainant may have no remedy in law, including under the law of contract, nonetheless they can have their complaint upheld. In other words, a financial service</w:t>
      </w:r>
      <w:r w:rsidR="00484275">
        <w:t>s</w:t>
      </w:r>
      <w:r>
        <w:t xml:space="preserve"> provider can act perfectly lawfully but nonetheless find that a complaint is upheld against it carrying with it an obligation to make specified redress”.</w:t>
      </w:r>
    </w:p>
    <w:p w14:paraId="6D62A1B8" w14:textId="4931585F" w:rsidR="007A3A00" w:rsidRPr="007A3A00" w:rsidRDefault="007A3A00"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Moreover, so far as ss. 60(2)(b) and (g) are concerned, these are cast in very broad and flexible terms, </w:t>
      </w:r>
      <w:r w:rsidRPr="00B80060">
        <w:rPr>
          <w:rFonts w:ascii="Times New Roman" w:hAnsi="Times New Roman"/>
          <w:iCs/>
          <w:sz w:val="24"/>
        </w:rPr>
        <w:t>i.e. “unreasonable”, “unjust”, “oppressive”, “improperly discriminatory” and “otherwise improper”.</w:t>
      </w:r>
      <w:r>
        <w:rPr>
          <w:rFonts w:ascii="Times New Roman" w:hAnsi="Times New Roman"/>
          <w:sz w:val="24"/>
        </w:rPr>
        <w:t xml:space="preserve">  It is clear therefore that it was the intention of the Oireachtas to </w:t>
      </w:r>
      <w:r>
        <w:rPr>
          <w:rFonts w:ascii="Times New Roman" w:hAnsi="Times New Roman"/>
          <w:sz w:val="24"/>
        </w:rPr>
        <w:lastRenderedPageBreak/>
        <w:t xml:space="preserve">accord the FSPO significant latitude, and not to fetter </w:t>
      </w:r>
      <w:r w:rsidR="006457DB">
        <w:rPr>
          <w:rFonts w:ascii="Times New Roman" w:hAnsi="Times New Roman"/>
          <w:sz w:val="24"/>
        </w:rPr>
        <w:t>his</w:t>
      </w:r>
      <w:r>
        <w:rPr>
          <w:rFonts w:ascii="Times New Roman" w:hAnsi="Times New Roman"/>
          <w:sz w:val="24"/>
        </w:rPr>
        <w:t xml:space="preserve"> discretion in the carrying out of </w:t>
      </w:r>
      <w:r w:rsidR="006457DB">
        <w:rPr>
          <w:rFonts w:ascii="Times New Roman" w:hAnsi="Times New Roman"/>
          <w:sz w:val="24"/>
        </w:rPr>
        <w:t>his</w:t>
      </w:r>
      <w:r>
        <w:rPr>
          <w:rFonts w:ascii="Times New Roman" w:hAnsi="Times New Roman"/>
          <w:sz w:val="24"/>
        </w:rPr>
        <w:t xml:space="preserve"> functions by requiring </w:t>
      </w:r>
      <w:r w:rsidR="006457DB">
        <w:rPr>
          <w:rFonts w:ascii="Times New Roman" w:hAnsi="Times New Roman"/>
          <w:sz w:val="24"/>
        </w:rPr>
        <w:t>him</w:t>
      </w:r>
      <w:r>
        <w:rPr>
          <w:rFonts w:ascii="Times New Roman" w:hAnsi="Times New Roman"/>
          <w:sz w:val="24"/>
        </w:rPr>
        <w:t xml:space="preserve"> to proceed by reference to specific matters, such an </w:t>
      </w:r>
      <w:r w:rsidR="00484275">
        <w:rPr>
          <w:rFonts w:ascii="Times New Roman" w:hAnsi="Times New Roman"/>
          <w:sz w:val="24"/>
        </w:rPr>
        <w:t>ap</w:t>
      </w:r>
      <w:r w:rsidR="00CF3F2F">
        <w:rPr>
          <w:rFonts w:ascii="Times New Roman" w:hAnsi="Times New Roman"/>
          <w:sz w:val="24"/>
        </w:rPr>
        <w:t>p</w:t>
      </w:r>
      <w:r>
        <w:rPr>
          <w:rFonts w:ascii="Times New Roman" w:hAnsi="Times New Roman"/>
          <w:sz w:val="24"/>
        </w:rPr>
        <w:t>licable code.</w:t>
      </w:r>
    </w:p>
    <w:p w14:paraId="242766EE" w14:textId="76182EF6" w:rsidR="00B255E7" w:rsidRPr="00CD466C"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It is further submitted on behalf of the FSPO that the authorities establish that he or she is required to discharge his or her functions in an informal manner.  In </w:t>
      </w:r>
      <w:r>
        <w:rPr>
          <w:rFonts w:ascii="Times New Roman" w:hAnsi="Times New Roman"/>
          <w:i/>
          <w:sz w:val="24"/>
        </w:rPr>
        <w:t xml:space="preserve">Hayes v. FSO </w:t>
      </w:r>
      <w:r w:rsidR="00C236DB" w:rsidRPr="00C236DB">
        <w:rPr>
          <w:rFonts w:ascii="Times New Roman" w:hAnsi="Times New Roman"/>
          <w:iCs/>
          <w:sz w:val="24"/>
        </w:rPr>
        <w:t>(Unreported, High Court, 3</w:t>
      </w:r>
      <w:r w:rsidR="00C236DB" w:rsidRPr="00C236DB">
        <w:rPr>
          <w:rFonts w:ascii="Times New Roman" w:hAnsi="Times New Roman"/>
          <w:iCs/>
          <w:sz w:val="24"/>
          <w:vertAlign w:val="superscript"/>
        </w:rPr>
        <w:t>rd</w:t>
      </w:r>
      <w:r w:rsidR="00C236DB" w:rsidRPr="00C236DB">
        <w:rPr>
          <w:rFonts w:ascii="Times New Roman" w:hAnsi="Times New Roman"/>
          <w:iCs/>
          <w:sz w:val="24"/>
        </w:rPr>
        <w:t xml:space="preserve"> November 2008) </w:t>
      </w:r>
      <w:proofErr w:type="spellStart"/>
      <w:r w:rsidR="00C236DB" w:rsidRPr="00C236DB">
        <w:rPr>
          <w:rFonts w:ascii="Times New Roman" w:hAnsi="Times New Roman"/>
          <w:iCs/>
          <w:sz w:val="24"/>
        </w:rPr>
        <w:t>MacMenamin</w:t>
      </w:r>
      <w:proofErr w:type="spellEnd"/>
      <w:r w:rsidR="00C236DB" w:rsidRPr="00C236DB">
        <w:rPr>
          <w:rFonts w:ascii="Times New Roman" w:hAnsi="Times New Roman"/>
          <w:iCs/>
          <w:sz w:val="24"/>
        </w:rPr>
        <w:t xml:space="preserve"> J. stated (at para. 34)</w:t>
      </w:r>
      <w:r>
        <w:rPr>
          <w:rFonts w:ascii="Times New Roman" w:hAnsi="Times New Roman"/>
          <w:sz w:val="24"/>
        </w:rPr>
        <w:t>:</w:t>
      </w:r>
    </w:p>
    <w:p w14:paraId="16A483EB" w14:textId="16EC1F32" w:rsidR="00B255E7" w:rsidRPr="006770F3" w:rsidRDefault="00B255E7"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w:t>
      </w:r>
      <w:r w:rsidRPr="00CD466C">
        <w:rPr>
          <w:rFonts w:ascii="Times New Roman" w:hAnsi="Times New Roman"/>
          <w:sz w:val="24"/>
        </w:rPr>
        <w:t xml:space="preserve">He is enjoined not </w:t>
      </w:r>
      <w:r>
        <w:rPr>
          <w:rFonts w:ascii="Times New Roman" w:hAnsi="Times New Roman"/>
          <w:sz w:val="24"/>
        </w:rPr>
        <w:t>to have regard to technicality and</w:t>
      </w:r>
      <w:r w:rsidRPr="00CD466C">
        <w:rPr>
          <w:rFonts w:ascii="Times New Roman" w:hAnsi="Times New Roman"/>
          <w:sz w:val="24"/>
        </w:rPr>
        <w:t xml:space="preserve"> legal form. He resolves disputes using criter</w:t>
      </w:r>
      <w:r>
        <w:rPr>
          <w:rFonts w:ascii="Times New Roman" w:hAnsi="Times New Roman"/>
          <w:sz w:val="24"/>
        </w:rPr>
        <w:t>ia which would not usually be</w:t>
      </w:r>
      <w:r w:rsidRPr="00CD466C">
        <w:rPr>
          <w:rFonts w:ascii="Times New Roman" w:hAnsi="Times New Roman"/>
          <w:sz w:val="24"/>
        </w:rPr>
        <w:t xml:space="preserve"> used by the courts, such as whether the conduct complained of was unreasonable </w:t>
      </w:r>
      <w:r w:rsidRPr="004836D5">
        <w:rPr>
          <w:rFonts w:ascii="Times New Roman" w:hAnsi="Times New Roman"/>
          <w:i/>
          <w:sz w:val="24"/>
        </w:rPr>
        <w:t>simpliciter</w:t>
      </w:r>
      <w:r w:rsidRPr="00CD466C">
        <w:rPr>
          <w:rFonts w:ascii="Times New Roman" w:hAnsi="Times New Roman"/>
          <w:sz w:val="24"/>
        </w:rPr>
        <w:t>; or whether an explanation for the conduct was not given when it should have been; or whether, although the conduct was in accordance with a law, it is unreasonable, or is otherwi</w:t>
      </w:r>
      <w:r>
        <w:rPr>
          <w:rFonts w:ascii="Times New Roman" w:hAnsi="Times New Roman"/>
          <w:sz w:val="24"/>
        </w:rPr>
        <w:t>se improper (see s. 57C I</w:t>
      </w:r>
      <w:r w:rsidRPr="00CD466C">
        <w:rPr>
          <w:rFonts w:ascii="Times New Roman" w:hAnsi="Times New Roman"/>
          <w:sz w:val="24"/>
        </w:rPr>
        <w:t>(2)).</w:t>
      </w:r>
      <w:r>
        <w:rPr>
          <w:rFonts w:ascii="Times New Roman" w:hAnsi="Times New Roman"/>
          <w:sz w:val="24"/>
        </w:rPr>
        <w:t>”</w:t>
      </w:r>
    </w:p>
    <w:p w14:paraId="40657E7A" w14:textId="417EA28F" w:rsidR="00B255E7" w:rsidRPr="0090662F" w:rsidRDefault="00734AD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It is also submitted that </w:t>
      </w:r>
      <w:r w:rsidR="00EF4198">
        <w:rPr>
          <w:rFonts w:ascii="Times New Roman" w:hAnsi="Times New Roman"/>
          <w:sz w:val="24"/>
        </w:rPr>
        <w:t>t</w:t>
      </w:r>
      <w:r w:rsidR="00B255E7">
        <w:rPr>
          <w:rFonts w:ascii="Times New Roman" w:hAnsi="Times New Roman"/>
          <w:sz w:val="24"/>
        </w:rPr>
        <w:t xml:space="preserve">he decision of the trial judge in this case in mandating that conduct should be measured against a code before deciding whether or not it is unreasonable or improper, is contrary to the requirement to act informally, without regard to technicality and legal form.  </w:t>
      </w:r>
    </w:p>
    <w:p w14:paraId="10B1D954" w14:textId="325857DD" w:rsidR="00B255E7" w:rsidRPr="004836D5"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Furthermore, there was no obligation on the FSPO to engage in a discussion of the implications of the Code, as the trial judge held at para. 67 of his judgment.  That this is so is apparent from authorities such as </w:t>
      </w:r>
      <w:r>
        <w:rPr>
          <w:rFonts w:ascii="Times New Roman" w:hAnsi="Times New Roman"/>
          <w:i/>
          <w:sz w:val="24"/>
        </w:rPr>
        <w:t xml:space="preserve">Millar v. FSO and Danske Bank </w:t>
      </w:r>
      <w:r>
        <w:rPr>
          <w:rFonts w:ascii="Times New Roman" w:hAnsi="Times New Roman"/>
          <w:sz w:val="24"/>
        </w:rPr>
        <w:t>[2015] IECA 126 and 127, in which Kelly J. (as he then was) stated (at para.</w:t>
      </w:r>
      <w:r w:rsidR="00D733A3">
        <w:rPr>
          <w:rFonts w:ascii="Times New Roman" w:hAnsi="Times New Roman"/>
          <w:sz w:val="24"/>
        </w:rPr>
        <w:t xml:space="preserve"> </w:t>
      </w:r>
      <w:r>
        <w:rPr>
          <w:rFonts w:ascii="Times New Roman" w:hAnsi="Times New Roman"/>
          <w:sz w:val="24"/>
        </w:rPr>
        <w:t>31):</w:t>
      </w:r>
    </w:p>
    <w:p w14:paraId="030B33B8" w14:textId="2C629594" w:rsidR="00B255E7" w:rsidRPr="00CB53BC" w:rsidRDefault="00B255E7" w:rsidP="00E20F5C">
      <w:pPr>
        <w:pStyle w:val="ListParagraph"/>
        <w:tabs>
          <w:tab w:val="left" w:pos="567"/>
        </w:tabs>
        <w:spacing w:line="480" w:lineRule="auto"/>
        <w:ind w:left="567" w:hanging="567"/>
        <w:rPr>
          <w:rFonts w:ascii="Times New Roman" w:hAnsi="Times New Roman"/>
          <w:b/>
          <w:sz w:val="24"/>
          <w:u w:val="single"/>
        </w:rPr>
      </w:pPr>
      <w:r>
        <w:rPr>
          <w:rFonts w:ascii="Times New Roman" w:hAnsi="Times New Roman"/>
          <w:sz w:val="24"/>
        </w:rPr>
        <w:tab/>
      </w:r>
      <w:r w:rsidRPr="00CB53BC">
        <w:rPr>
          <w:rFonts w:ascii="Times New Roman" w:hAnsi="Times New Roman"/>
          <w:sz w:val="24"/>
        </w:rPr>
        <w:t xml:space="preserve">“Nor is it to be expected that a decision of the respondent should be as detailed or formal as a court judgment.  As O’Flaherty J. observed in </w:t>
      </w:r>
      <w:r w:rsidRPr="00CB53BC">
        <w:rPr>
          <w:rFonts w:ascii="Times New Roman" w:hAnsi="Times New Roman"/>
          <w:i/>
          <w:sz w:val="24"/>
        </w:rPr>
        <w:t xml:space="preserve">Faulkner v. Minister for Industry and Commerce </w:t>
      </w:r>
      <w:r w:rsidRPr="00CB53BC">
        <w:rPr>
          <w:rFonts w:ascii="Times New Roman" w:hAnsi="Times New Roman"/>
          <w:sz w:val="24"/>
        </w:rPr>
        <w:t>[1997] ELR 107 at 111:</w:t>
      </w:r>
    </w:p>
    <w:p w14:paraId="5FCBC440" w14:textId="3D55613B" w:rsidR="00B255E7" w:rsidRPr="004836D5" w:rsidRDefault="00B255E7" w:rsidP="00E20F5C">
      <w:pPr>
        <w:pStyle w:val="ListParagraph"/>
        <w:tabs>
          <w:tab w:val="left" w:pos="567"/>
        </w:tabs>
        <w:spacing w:line="480" w:lineRule="auto"/>
        <w:ind w:left="1134"/>
        <w:rPr>
          <w:rFonts w:ascii="Times New Roman" w:hAnsi="Times New Roman"/>
          <w:b/>
          <w:sz w:val="24"/>
          <w:u w:val="single"/>
        </w:rPr>
      </w:pPr>
      <w:r>
        <w:rPr>
          <w:rFonts w:ascii="Times New Roman" w:hAnsi="Times New Roman"/>
          <w:sz w:val="24"/>
        </w:rPr>
        <w:tab/>
      </w:r>
      <w:r w:rsidR="00B46BC5">
        <w:rPr>
          <w:rFonts w:ascii="Times New Roman" w:hAnsi="Times New Roman"/>
          <w:sz w:val="24"/>
        </w:rPr>
        <w:t>‘</w:t>
      </w:r>
      <w:r>
        <w:rPr>
          <w:rFonts w:ascii="Times New Roman" w:hAnsi="Times New Roman"/>
          <w:sz w:val="24"/>
        </w:rPr>
        <w:t>We do no service to the public in general, or to particular individuals, if we subject every decision of every administrative tribunal to a minute analysis.</w:t>
      </w:r>
      <w:r w:rsidR="00B46BC5">
        <w:rPr>
          <w:rFonts w:ascii="Times New Roman" w:hAnsi="Times New Roman"/>
          <w:sz w:val="24"/>
        </w:rPr>
        <w:t>’”</w:t>
      </w:r>
    </w:p>
    <w:p w14:paraId="2734C41D" w14:textId="71B55E7E" w:rsidR="00B255E7" w:rsidRPr="00EB4198"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 xml:space="preserve">Reliance is also placed upon the decision of Baker J. in </w:t>
      </w:r>
      <w:r>
        <w:rPr>
          <w:rFonts w:ascii="Times New Roman" w:hAnsi="Times New Roman"/>
          <w:i/>
          <w:sz w:val="24"/>
        </w:rPr>
        <w:t xml:space="preserve">Law v. FSO </w:t>
      </w:r>
      <w:r>
        <w:rPr>
          <w:rFonts w:ascii="Times New Roman" w:hAnsi="Times New Roman"/>
          <w:sz w:val="24"/>
        </w:rPr>
        <w:t>[2015] IEHC 29 wherein she stated at para. 31:</w:t>
      </w:r>
    </w:p>
    <w:p w14:paraId="2E54567E" w14:textId="77108BA8" w:rsidR="00B255E7" w:rsidRPr="0090662F" w:rsidRDefault="00B255E7"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w:t>
      </w:r>
      <w:r w:rsidRPr="00EB4198">
        <w:rPr>
          <w:rFonts w:ascii="Times New Roman" w:hAnsi="Times New Roman"/>
          <w:sz w:val="24"/>
        </w:rPr>
        <w:t>31. The Ombudsman noted that the notice party was required to demonstrate adherence to regulatory guidelines having regard to the categorisation of the consumer as an older adult. The appellants complain that the Ombudsman does not identify the regulatory guidelines in respect of which he came to this decision, and I accept the argument by counsel for the Ombudsman that it is to be presumed that, having regard to his level of expertise, that the Ombudsman was well familiar with the guidelines and the regulatory regime within which he operates, and it is not, in my view, required of him, having regard to the degree of</w:t>
      </w:r>
      <w:r>
        <w:rPr>
          <w:rFonts w:ascii="Times New Roman" w:hAnsi="Times New Roman"/>
          <w:sz w:val="24"/>
        </w:rPr>
        <w:t xml:space="preserve"> informality in the hearing, the</w:t>
      </w:r>
      <w:r w:rsidRPr="00EB4198">
        <w:rPr>
          <w:rFonts w:ascii="Times New Roman" w:hAnsi="Times New Roman"/>
          <w:sz w:val="24"/>
        </w:rPr>
        <w:t xml:space="preserve"> level of expertise and his wide jurisdiction, to identify each and every regulation in respect of which he tested the evidence. I can identify no error in this finding.</w:t>
      </w:r>
      <w:r>
        <w:rPr>
          <w:rFonts w:ascii="Times New Roman" w:hAnsi="Times New Roman"/>
          <w:sz w:val="24"/>
        </w:rPr>
        <w:t>”</w:t>
      </w:r>
    </w:p>
    <w:p w14:paraId="7486DDF6" w14:textId="47926CCB" w:rsidR="00B255E7" w:rsidRPr="00EB4198" w:rsidRDefault="00B255E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FSPO also relies upon the difference in the words used in s</w:t>
      </w:r>
      <w:r w:rsidR="00B46BC5">
        <w:rPr>
          <w:rFonts w:ascii="Times New Roman" w:hAnsi="Times New Roman"/>
          <w:sz w:val="24"/>
        </w:rPr>
        <w:t>s.</w:t>
      </w:r>
      <w:r>
        <w:rPr>
          <w:rFonts w:ascii="Times New Roman" w:hAnsi="Times New Roman"/>
          <w:sz w:val="24"/>
        </w:rPr>
        <w:t xml:space="preserve"> 60(2)(b) and (g) of the Act of 2017 on the one hand,</w:t>
      </w:r>
      <w:r w:rsidR="00E1448F">
        <w:rPr>
          <w:rFonts w:ascii="Times New Roman" w:hAnsi="Times New Roman"/>
          <w:sz w:val="24"/>
        </w:rPr>
        <w:t xml:space="preserve"> </w:t>
      </w:r>
      <w:r>
        <w:rPr>
          <w:rFonts w:ascii="Times New Roman" w:hAnsi="Times New Roman"/>
          <w:sz w:val="24"/>
        </w:rPr>
        <w:t xml:space="preserve">and </w:t>
      </w:r>
      <w:r w:rsidR="00E1448F">
        <w:rPr>
          <w:rFonts w:ascii="Times New Roman" w:hAnsi="Times New Roman"/>
          <w:sz w:val="24"/>
        </w:rPr>
        <w:t>s.</w:t>
      </w:r>
      <w:r>
        <w:rPr>
          <w:rFonts w:ascii="Times New Roman" w:hAnsi="Times New Roman"/>
          <w:sz w:val="24"/>
        </w:rPr>
        <w:t xml:space="preserve"> 60(2)(c) on the other. The latter provides that a complaint may be upheld although the conduct complained of was “in accordance with the law or an established practice </w:t>
      </w:r>
      <w:r w:rsidRPr="00B255E7">
        <w:rPr>
          <w:rFonts w:ascii="Times New Roman" w:hAnsi="Times New Roman"/>
          <w:i/>
          <w:sz w:val="24"/>
        </w:rPr>
        <w:t>or a regulatory standard</w:t>
      </w:r>
      <w:r>
        <w:rPr>
          <w:rFonts w:ascii="Times New Roman" w:hAnsi="Times New Roman"/>
          <w:sz w:val="24"/>
        </w:rPr>
        <w:t xml:space="preserve"> (my emphasis),</w:t>
      </w:r>
      <w:r w:rsidR="000D7CC1">
        <w:rPr>
          <w:rFonts w:ascii="Times New Roman" w:hAnsi="Times New Roman"/>
          <w:sz w:val="24"/>
        </w:rPr>
        <w:t xml:space="preserve"> </w:t>
      </w:r>
      <w:r>
        <w:rPr>
          <w:rFonts w:ascii="Times New Roman" w:hAnsi="Times New Roman"/>
          <w:sz w:val="24"/>
        </w:rPr>
        <w:t>the law, practice or standard is, or may be, unreasonable, unjust, oppressive or improperly discriminatory in its application to the complainant”.  It is submitted that the fact that s</w:t>
      </w:r>
      <w:r w:rsidR="000D7CC1">
        <w:rPr>
          <w:rFonts w:ascii="Times New Roman" w:hAnsi="Times New Roman"/>
          <w:sz w:val="24"/>
        </w:rPr>
        <w:t>.</w:t>
      </w:r>
      <w:r w:rsidR="005A18C8">
        <w:rPr>
          <w:rFonts w:ascii="Times New Roman" w:hAnsi="Times New Roman"/>
          <w:sz w:val="24"/>
        </w:rPr>
        <w:t xml:space="preserve"> </w:t>
      </w:r>
      <w:r>
        <w:rPr>
          <w:rFonts w:ascii="Times New Roman" w:hAnsi="Times New Roman"/>
          <w:sz w:val="24"/>
        </w:rPr>
        <w:t>60(2)(c) makes reference to a “regulatory standard”, and that sub-sections (b) and (g) of the same section do not,</w:t>
      </w:r>
      <w:r w:rsidR="00EE0E3A">
        <w:rPr>
          <w:rFonts w:ascii="Times New Roman" w:hAnsi="Times New Roman"/>
          <w:sz w:val="24"/>
        </w:rPr>
        <w:t xml:space="preserve"> </w:t>
      </w:r>
      <w:r>
        <w:rPr>
          <w:rFonts w:ascii="Times New Roman" w:hAnsi="Times New Roman"/>
          <w:sz w:val="24"/>
        </w:rPr>
        <w:t xml:space="preserve">is a deliberate choice of the Oireachtas, and the Court should not draw an inference </w:t>
      </w:r>
      <w:r w:rsidR="005A18C8">
        <w:rPr>
          <w:rFonts w:ascii="Times New Roman" w:hAnsi="Times New Roman"/>
          <w:sz w:val="24"/>
        </w:rPr>
        <w:t>the effect of which is to</w:t>
      </w:r>
      <w:r>
        <w:rPr>
          <w:rFonts w:ascii="Times New Roman" w:hAnsi="Times New Roman"/>
          <w:sz w:val="24"/>
        </w:rPr>
        <w:t xml:space="preserve"> give sub</w:t>
      </w:r>
      <w:r w:rsidR="005A18C8">
        <w:rPr>
          <w:rFonts w:ascii="Times New Roman" w:hAnsi="Times New Roman"/>
          <w:sz w:val="24"/>
        </w:rPr>
        <w:t>-</w:t>
      </w:r>
      <w:r>
        <w:rPr>
          <w:rFonts w:ascii="Times New Roman" w:hAnsi="Times New Roman"/>
          <w:sz w:val="24"/>
        </w:rPr>
        <w:t xml:space="preserve">sections (b) and (g) any wider a meaning than the words chosen by the Oireachtas.  The FSPO refers to </w:t>
      </w:r>
      <w:proofErr w:type="spellStart"/>
      <w:r>
        <w:rPr>
          <w:rFonts w:ascii="Times New Roman" w:hAnsi="Times New Roman"/>
          <w:i/>
          <w:sz w:val="24"/>
        </w:rPr>
        <w:t>Bennion</w:t>
      </w:r>
      <w:proofErr w:type="spellEnd"/>
      <w:r>
        <w:rPr>
          <w:rFonts w:ascii="Times New Roman" w:hAnsi="Times New Roman"/>
          <w:i/>
          <w:sz w:val="24"/>
        </w:rPr>
        <w:t xml:space="preserve">, Bailey </w:t>
      </w:r>
      <w:r w:rsidRPr="000D7CC1">
        <w:rPr>
          <w:rFonts w:ascii="Times New Roman" w:hAnsi="Times New Roman"/>
          <w:i/>
          <w:iCs/>
          <w:sz w:val="24"/>
        </w:rPr>
        <w:t xml:space="preserve">and </w:t>
      </w:r>
      <w:r>
        <w:rPr>
          <w:rFonts w:ascii="Times New Roman" w:hAnsi="Times New Roman"/>
          <w:i/>
          <w:sz w:val="24"/>
        </w:rPr>
        <w:t xml:space="preserve">Norbury </w:t>
      </w:r>
      <w:r>
        <w:rPr>
          <w:rFonts w:ascii="Times New Roman" w:hAnsi="Times New Roman"/>
          <w:sz w:val="24"/>
        </w:rPr>
        <w:t>on statutory interpretation (8</w:t>
      </w:r>
      <w:r w:rsidRPr="00EB4198">
        <w:rPr>
          <w:rFonts w:ascii="Times New Roman" w:hAnsi="Times New Roman"/>
          <w:sz w:val="24"/>
          <w:vertAlign w:val="superscript"/>
        </w:rPr>
        <w:t>th</w:t>
      </w:r>
      <w:r>
        <w:rPr>
          <w:rFonts w:ascii="Times New Roman" w:hAnsi="Times New Roman"/>
          <w:sz w:val="24"/>
        </w:rPr>
        <w:t xml:space="preserve"> Edition, 2020) at para. 23.11:</w:t>
      </w:r>
    </w:p>
    <w:p w14:paraId="1D4F1C10" w14:textId="70B4D8C4" w:rsidR="00A778D8" w:rsidRDefault="00B255E7"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“One of the linguistic canons of constructions is that no inference is proper if it goes against the express words the legislature has used.  It is sometimes expressed as </w:t>
      </w:r>
      <w:proofErr w:type="spellStart"/>
      <w:r>
        <w:rPr>
          <w:rFonts w:ascii="Times New Roman" w:hAnsi="Times New Roman"/>
          <w:i/>
          <w:sz w:val="24"/>
        </w:rPr>
        <w:lastRenderedPageBreak/>
        <w:t>expressum</w:t>
      </w:r>
      <w:proofErr w:type="spellEnd"/>
      <w:r>
        <w:rPr>
          <w:rFonts w:ascii="Times New Roman" w:hAnsi="Times New Roman"/>
          <w:i/>
          <w:sz w:val="24"/>
        </w:rPr>
        <w:t xml:space="preserve"> </w:t>
      </w:r>
      <w:proofErr w:type="spellStart"/>
      <w:r>
        <w:rPr>
          <w:rFonts w:ascii="Times New Roman" w:hAnsi="Times New Roman"/>
          <w:i/>
          <w:sz w:val="24"/>
        </w:rPr>
        <w:t>facit</w:t>
      </w:r>
      <w:proofErr w:type="spellEnd"/>
      <w:r>
        <w:rPr>
          <w:rFonts w:ascii="Times New Roman" w:hAnsi="Times New Roman"/>
          <w:i/>
          <w:sz w:val="24"/>
        </w:rPr>
        <w:t xml:space="preserve"> </w:t>
      </w:r>
      <w:proofErr w:type="spellStart"/>
      <w:r>
        <w:rPr>
          <w:rFonts w:ascii="Times New Roman" w:hAnsi="Times New Roman"/>
          <w:i/>
          <w:sz w:val="24"/>
        </w:rPr>
        <w:t>cessare</w:t>
      </w:r>
      <w:proofErr w:type="spellEnd"/>
      <w:r>
        <w:rPr>
          <w:rFonts w:ascii="Times New Roman" w:hAnsi="Times New Roman"/>
          <w:i/>
          <w:sz w:val="24"/>
        </w:rPr>
        <w:t xml:space="preserve"> </w:t>
      </w:r>
      <w:proofErr w:type="spellStart"/>
      <w:r>
        <w:rPr>
          <w:rFonts w:ascii="Times New Roman" w:hAnsi="Times New Roman"/>
          <w:i/>
          <w:sz w:val="24"/>
        </w:rPr>
        <w:t>tacitum</w:t>
      </w:r>
      <w:proofErr w:type="spellEnd"/>
      <w:r>
        <w:rPr>
          <w:rFonts w:ascii="Times New Roman" w:hAnsi="Times New Roman"/>
          <w:i/>
          <w:sz w:val="24"/>
        </w:rPr>
        <w:t xml:space="preserve"> </w:t>
      </w:r>
      <w:r>
        <w:rPr>
          <w:rFonts w:ascii="Times New Roman" w:hAnsi="Times New Roman"/>
          <w:sz w:val="24"/>
        </w:rPr>
        <w:t xml:space="preserve">(statement ends implication)…as Lord Dunedin said </w:t>
      </w:r>
      <w:r w:rsidR="007026E8">
        <w:rPr>
          <w:rFonts w:ascii="Times New Roman" w:hAnsi="Times New Roman"/>
          <w:sz w:val="24"/>
        </w:rPr>
        <w:t>‘</w:t>
      </w:r>
      <w:r>
        <w:rPr>
          <w:rFonts w:ascii="Times New Roman" w:hAnsi="Times New Roman"/>
          <w:sz w:val="24"/>
        </w:rPr>
        <w:t>express enactment shuts the door to further implication</w:t>
      </w:r>
      <w:r w:rsidR="007026E8">
        <w:rPr>
          <w:rFonts w:ascii="Times New Roman" w:hAnsi="Times New Roman"/>
          <w:sz w:val="24"/>
        </w:rPr>
        <w:t>’</w:t>
      </w:r>
      <w:r>
        <w:rPr>
          <w:rFonts w:ascii="Times New Roman" w:hAnsi="Times New Roman"/>
          <w:sz w:val="24"/>
        </w:rPr>
        <w:t>…. the application of the maxim arises where provision (a) may or may not give rise to an implication and elsewhere another provision (b) contains an express statement to the contrary affect.  The maxim suggests that the express statement in (b) extinguishes the possibility of finding an implication on the same point in (a).”</w:t>
      </w:r>
    </w:p>
    <w:p w14:paraId="495D8BAD" w14:textId="1FB47EE3" w:rsidR="00A778D8" w:rsidRDefault="00A778D8"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It is further submitted that for the conclusions of the trial judge set forth at paras. 66 and 81 of his judgment to be correct, s</w:t>
      </w:r>
      <w:r w:rsidR="000D7CC1">
        <w:rPr>
          <w:rFonts w:ascii="Times New Roman" w:hAnsi="Times New Roman"/>
          <w:sz w:val="24"/>
        </w:rPr>
        <w:t>s</w:t>
      </w:r>
      <w:r>
        <w:rPr>
          <w:rFonts w:ascii="Times New Roman" w:hAnsi="Times New Roman"/>
          <w:sz w:val="24"/>
        </w:rPr>
        <w:t>.</w:t>
      </w:r>
      <w:r w:rsidR="000D7CC1">
        <w:rPr>
          <w:rFonts w:ascii="Times New Roman" w:hAnsi="Times New Roman"/>
          <w:sz w:val="24"/>
        </w:rPr>
        <w:t xml:space="preserve"> </w:t>
      </w:r>
      <w:r>
        <w:rPr>
          <w:rFonts w:ascii="Times New Roman" w:hAnsi="Times New Roman"/>
          <w:sz w:val="24"/>
        </w:rPr>
        <w:t xml:space="preserve">60(2)(b) and (g) would have to be read as including the words: </w:t>
      </w:r>
      <w:r w:rsidRPr="00FF0EF2">
        <w:rPr>
          <w:rFonts w:ascii="Times New Roman" w:hAnsi="Times New Roman"/>
          <w:iCs/>
          <w:sz w:val="24"/>
        </w:rPr>
        <w:t>“by reference to”</w:t>
      </w:r>
      <w:r>
        <w:rPr>
          <w:rFonts w:ascii="Times New Roman" w:hAnsi="Times New Roman"/>
          <w:sz w:val="24"/>
        </w:rPr>
        <w:t xml:space="preserve"> or </w:t>
      </w:r>
      <w:r w:rsidRPr="00FF0EF2">
        <w:rPr>
          <w:rFonts w:ascii="Times New Roman" w:hAnsi="Times New Roman"/>
          <w:iCs/>
          <w:sz w:val="24"/>
        </w:rPr>
        <w:t>“having regard to” “any applicable code or regulatory standard”</w:t>
      </w:r>
      <w:r>
        <w:rPr>
          <w:rFonts w:ascii="Times New Roman" w:hAnsi="Times New Roman"/>
          <w:sz w:val="24"/>
        </w:rPr>
        <w:t xml:space="preserve">.  This, it is submitted, is contrary to well established authorities on statutory interpretation, such as </w:t>
      </w:r>
      <w:r>
        <w:rPr>
          <w:rFonts w:ascii="Times New Roman" w:hAnsi="Times New Roman"/>
          <w:i/>
          <w:sz w:val="24"/>
        </w:rPr>
        <w:t xml:space="preserve">H v. H </w:t>
      </w:r>
      <w:r>
        <w:rPr>
          <w:rFonts w:ascii="Times New Roman" w:hAnsi="Times New Roman"/>
          <w:sz w:val="24"/>
        </w:rPr>
        <w:t>[1978] IR 138 wherein the Supreme Court (Parke J.) stated, at p. 146:</w:t>
      </w:r>
    </w:p>
    <w:p w14:paraId="24C45786" w14:textId="77777777" w:rsidR="00A778D8" w:rsidRPr="00E87B04" w:rsidRDefault="00A778D8" w:rsidP="00E20F5C">
      <w:pPr>
        <w:pStyle w:val="ListParagraph"/>
        <w:spacing w:line="480" w:lineRule="auto"/>
        <w:ind w:left="567"/>
        <w:rPr>
          <w:rFonts w:ascii="Times New Roman" w:hAnsi="Times New Roman"/>
          <w:iCs/>
          <w:sz w:val="24"/>
        </w:rPr>
      </w:pPr>
      <w:r w:rsidRPr="00E87B04">
        <w:rPr>
          <w:rFonts w:ascii="Times New Roman" w:hAnsi="Times New Roman"/>
          <w:iCs/>
          <w:sz w:val="24"/>
        </w:rPr>
        <w:t xml:space="preserve">“Such a construction would not be in accordance with one of the fundamental rules of interpretation i.e. that words may not be interpolated into a statute unless it is absolutely necessary to do so in order to render it intelligible or to prevent it having an absurd or wholly unreasonable meaning or effect.  No such necessity arises here.”  </w:t>
      </w:r>
    </w:p>
    <w:p w14:paraId="5E53A879" w14:textId="14E4B7A3" w:rsidR="007F4C77" w:rsidRDefault="00B255E7"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Finally, the FSPO submits that while he upheld the complaint under both s</w:t>
      </w:r>
      <w:r w:rsidR="005A18C8">
        <w:rPr>
          <w:rFonts w:ascii="Times New Roman" w:hAnsi="Times New Roman"/>
          <w:sz w:val="24"/>
        </w:rPr>
        <w:t>ub-sections</w:t>
      </w:r>
      <w:r>
        <w:rPr>
          <w:rFonts w:ascii="Times New Roman" w:hAnsi="Times New Roman"/>
          <w:sz w:val="24"/>
        </w:rPr>
        <w:t xml:space="preserve"> 60(2)(b) and (g) of the Act of 2017, paras. 66 and 81 of the judgment refer only to the assessment of what is “reasonable”, and refer in this regard only to s</w:t>
      </w:r>
      <w:r w:rsidR="005A18C8">
        <w:rPr>
          <w:rFonts w:ascii="Times New Roman" w:hAnsi="Times New Roman"/>
          <w:sz w:val="24"/>
        </w:rPr>
        <w:t>ub-section</w:t>
      </w:r>
      <w:r w:rsidR="000D7CC1">
        <w:rPr>
          <w:rFonts w:ascii="Times New Roman" w:hAnsi="Times New Roman"/>
          <w:sz w:val="24"/>
        </w:rPr>
        <w:t xml:space="preserve"> </w:t>
      </w:r>
      <w:r>
        <w:rPr>
          <w:rFonts w:ascii="Times New Roman" w:hAnsi="Times New Roman"/>
          <w:sz w:val="24"/>
        </w:rPr>
        <w:t>60(2)(b).  So therefore, it is submitted, even if the FSPO is obliged to take account of the Code for the purpose of s</w:t>
      </w:r>
      <w:r w:rsidR="005A18C8">
        <w:rPr>
          <w:rFonts w:ascii="Times New Roman" w:hAnsi="Times New Roman"/>
          <w:sz w:val="24"/>
        </w:rPr>
        <w:t xml:space="preserve">ub-section </w:t>
      </w:r>
      <w:r>
        <w:rPr>
          <w:rFonts w:ascii="Times New Roman" w:hAnsi="Times New Roman"/>
          <w:sz w:val="24"/>
        </w:rPr>
        <w:t>60(2)(b), he was not obliged to do so for the purpose of s</w:t>
      </w:r>
      <w:r w:rsidR="005A18C8">
        <w:rPr>
          <w:rFonts w:ascii="Times New Roman" w:hAnsi="Times New Roman"/>
          <w:sz w:val="24"/>
        </w:rPr>
        <w:t xml:space="preserve">ub-section </w:t>
      </w:r>
      <w:r>
        <w:rPr>
          <w:rFonts w:ascii="Times New Roman" w:hAnsi="Times New Roman"/>
          <w:sz w:val="24"/>
        </w:rPr>
        <w:t>60(2)(g).  Accordingly, insofar as the trial judge identified an error, it is confined to s</w:t>
      </w:r>
      <w:r w:rsidR="005A18C8">
        <w:rPr>
          <w:rFonts w:ascii="Times New Roman" w:hAnsi="Times New Roman"/>
          <w:sz w:val="24"/>
        </w:rPr>
        <w:t xml:space="preserve">ub-section </w:t>
      </w:r>
      <w:r>
        <w:rPr>
          <w:rFonts w:ascii="Times New Roman" w:hAnsi="Times New Roman"/>
          <w:sz w:val="24"/>
        </w:rPr>
        <w:t xml:space="preserve">60(2)(b), and he should not have set aside the Decision in circumstances where there was an alternative basis for </w:t>
      </w:r>
      <w:r w:rsidR="005A18C8">
        <w:rPr>
          <w:rFonts w:ascii="Times New Roman" w:hAnsi="Times New Roman"/>
          <w:sz w:val="24"/>
        </w:rPr>
        <w:t>it</w:t>
      </w:r>
      <w:r>
        <w:rPr>
          <w:rFonts w:ascii="Times New Roman" w:hAnsi="Times New Roman"/>
          <w:sz w:val="24"/>
        </w:rPr>
        <w:t xml:space="preserve">.  </w:t>
      </w:r>
    </w:p>
    <w:p w14:paraId="4E166780" w14:textId="130821F8" w:rsidR="00846AC8" w:rsidRPr="001374BB" w:rsidRDefault="00846AC8" w:rsidP="00E20F5C">
      <w:pPr>
        <w:pStyle w:val="ListParagraph"/>
        <w:tabs>
          <w:tab w:val="left" w:pos="567"/>
        </w:tabs>
        <w:spacing w:line="480" w:lineRule="auto"/>
        <w:ind w:left="0"/>
        <w:rPr>
          <w:rFonts w:ascii="Times New Roman" w:hAnsi="Times New Roman"/>
          <w:b/>
          <w:sz w:val="24"/>
        </w:rPr>
      </w:pPr>
      <w:r w:rsidRPr="001374BB">
        <w:rPr>
          <w:rFonts w:ascii="Times New Roman" w:hAnsi="Times New Roman"/>
          <w:b/>
          <w:sz w:val="24"/>
        </w:rPr>
        <w:t>Respondent’s notice and submissions of Utmost</w:t>
      </w:r>
      <w:r w:rsidR="00A11967" w:rsidRPr="001374BB">
        <w:rPr>
          <w:rFonts w:ascii="Times New Roman" w:hAnsi="Times New Roman"/>
          <w:b/>
          <w:sz w:val="24"/>
        </w:rPr>
        <w:t xml:space="preserve"> on Question 1</w:t>
      </w:r>
    </w:p>
    <w:p w14:paraId="7F905F5E" w14:textId="4599EC67" w:rsidR="00846AC8" w:rsidRPr="00BE5A61" w:rsidRDefault="00816F69"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 xml:space="preserve">The respondent’s notice is, in effect, a complete traverse of the grounds of appeal. </w:t>
      </w:r>
      <w:r w:rsidR="00846AC8">
        <w:rPr>
          <w:rFonts w:ascii="Times New Roman" w:hAnsi="Times New Roman"/>
          <w:sz w:val="24"/>
        </w:rPr>
        <w:t>Counsel for Utmost submits that the issue raised by this first question</w:t>
      </w:r>
      <w:r w:rsidR="007A3A00">
        <w:rPr>
          <w:rFonts w:ascii="Times New Roman" w:hAnsi="Times New Roman"/>
          <w:sz w:val="24"/>
        </w:rPr>
        <w:t xml:space="preserve"> certified by the trial judge</w:t>
      </w:r>
      <w:r w:rsidR="00846AC8">
        <w:rPr>
          <w:rFonts w:ascii="Times New Roman" w:hAnsi="Times New Roman"/>
          <w:sz w:val="24"/>
        </w:rPr>
        <w:t xml:space="preserve"> has not been considered previously.  The general question posed needs to be considered in the light of the analysis of the trial judge in his determination that any analysis of the reasonableness of the conduct of Utmost had to be considered in the light of its obligation to verify the Claim.  This obligation to verify the Claim distinguishes this case from earlier authorities in which the Code,</w:t>
      </w:r>
      <w:r w:rsidR="000D7CC1">
        <w:rPr>
          <w:rFonts w:ascii="Times New Roman" w:hAnsi="Times New Roman"/>
          <w:sz w:val="24"/>
        </w:rPr>
        <w:t xml:space="preserve"> </w:t>
      </w:r>
      <w:r w:rsidR="00846AC8">
        <w:rPr>
          <w:rFonts w:ascii="Times New Roman" w:hAnsi="Times New Roman"/>
          <w:sz w:val="24"/>
        </w:rPr>
        <w:t xml:space="preserve">or the previous code, have been considered.  However, the decision of the trial judge is consistent with those earlier authorities which recognise the status and importance of the Code (or the previous code, as the case may be).  In this case, the FSPO, having recognised the obligations of Utmost in clause 7.6 of the Code, fell into error by failing to have regard to that obligation when assessing the conduct of Utmost. The trial judge was correct to hold that this was a serious and significant error on the part of the FSPO.  </w:t>
      </w:r>
    </w:p>
    <w:p w14:paraId="60A79DEB" w14:textId="0518007E" w:rsidR="00846AC8" w:rsidRPr="009241EF" w:rsidRDefault="00846AC8"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Moreover, it is submitted, that even if this Court were to conclude that there is no general obligation on the FSPO, when assessing the reasonableness of the conduct of a financial services provider</w:t>
      </w:r>
      <w:r w:rsidR="00EC06C9">
        <w:rPr>
          <w:rFonts w:ascii="Times New Roman" w:hAnsi="Times New Roman"/>
          <w:sz w:val="24"/>
        </w:rPr>
        <w:t>,</w:t>
      </w:r>
      <w:r>
        <w:rPr>
          <w:rFonts w:ascii="Times New Roman" w:hAnsi="Times New Roman"/>
          <w:sz w:val="24"/>
        </w:rPr>
        <w:t xml:space="preserve"> to have regard to the Code, that will not avail the FSPO in this case, because</w:t>
      </w:r>
      <w:r w:rsidR="00EC06C9">
        <w:rPr>
          <w:rFonts w:ascii="Times New Roman" w:hAnsi="Times New Roman"/>
          <w:sz w:val="24"/>
        </w:rPr>
        <w:t xml:space="preserve"> while</w:t>
      </w:r>
      <w:r>
        <w:rPr>
          <w:rFonts w:ascii="Times New Roman" w:hAnsi="Times New Roman"/>
          <w:sz w:val="24"/>
        </w:rPr>
        <w:t xml:space="preserve"> the FSPO expressly relied upon the Code in arriving at the Decision, </w:t>
      </w:r>
      <w:r w:rsidR="00EC06C9">
        <w:rPr>
          <w:rFonts w:ascii="Times New Roman" w:hAnsi="Times New Roman"/>
          <w:sz w:val="24"/>
        </w:rPr>
        <w:t xml:space="preserve">he </w:t>
      </w:r>
      <w:r>
        <w:rPr>
          <w:rFonts w:ascii="Times New Roman" w:hAnsi="Times New Roman"/>
          <w:sz w:val="24"/>
        </w:rPr>
        <w:t>did not then assess the conduct of Utmost by reference to its obligations under the Code.</w:t>
      </w:r>
    </w:p>
    <w:p w14:paraId="7083B83E" w14:textId="4E461A8E" w:rsidR="00E6439E" w:rsidRDefault="00E6439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Utmost relies on a number of authorities which it says confirm that the FSPO is obliged to have regard to any applicable codes in his decisions , including  </w:t>
      </w:r>
      <w:r>
        <w:rPr>
          <w:rFonts w:ascii="Times New Roman" w:hAnsi="Times New Roman"/>
          <w:i/>
          <w:sz w:val="24"/>
        </w:rPr>
        <w:t xml:space="preserve">Irish Life and Permanent plc v. Financial Services Ombudsman </w:t>
      </w:r>
      <w:r>
        <w:rPr>
          <w:rFonts w:ascii="Times New Roman" w:hAnsi="Times New Roman"/>
          <w:sz w:val="24"/>
        </w:rPr>
        <w:t xml:space="preserve">[2011] IEHC 439, </w:t>
      </w:r>
      <w:proofErr w:type="spellStart"/>
      <w:r>
        <w:rPr>
          <w:rFonts w:ascii="Times New Roman" w:hAnsi="Times New Roman"/>
          <w:i/>
          <w:sz w:val="24"/>
        </w:rPr>
        <w:t>Carr</w:t>
      </w:r>
      <w:proofErr w:type="spellEnd"/>
      <w:r>
        <w:rPr>
          <w:rFonts w:ascii="Times New Roman" w:hAnsi="Times New Roman"/>
          <w:i/>
          <w:sz w:val="24"/>
        </w:rPr>
        <w:t xml:space="preserve"> v. Financial Services Ombudsman </w:t>
      </w:r>
      <w:r>
        <w:rPr>
          <w:rFonts w:ascii="Times New Roman" w:hAnsi="Times New Roman"/>
          <w:sz w:val="24"/>
        </w:rPr>
        <w:t xml:space="preserve">[2013] IEHC 182 and, more generally, </w:t>
      </w:r>
      <w:r>
        <w:rPr>
          <w:rFonts w:ascii="Times New Roman" w:hAnsi="Times New Roman"/>
          <w:i/>
          <w:sz w:val="24"/>
        </w:rPr>
        <w:t xml:space="preserve">Stepstone Mortgages Funding Limited v. </w:t>
      </w:r>
      <w:proofErr w:type="spellStart"/>
      <w:r>
        <w:rPr>
          <w:rFonts w:ascii="Times New Roman" w:hAnsi="Times New Roman"/>
          <w:i/>
          <w:sz w:val="24"/>
        </w:rPr>
        <w:t>Fitzell</w:t>
      </w:r>
      <w:proofErr w:type="spellEnd"/>
      <w:r>
        <w:rPr>
          <w:rFonts w:ascii="Times New Roman" w:hAnsi="Times New Roman"/>
          <w:i/>
          <w:sz w:val="24"/>
        </w:rPr>
        <w:t xml:space="preserve"> </w:t>
      </w:r>
      <w:r>
        <w:rPr>
          <w:rFonts w:ascii="Times New Roman" w:hAnsi="Times New Roman"/>
          <w:sz w:val="24"/>
        </w:rPr>
        <w:t xml:space="preserve">[2012] 2 IR 318.  </w:t>
      </w:r>
    </w:p>
    <w:p w14:paraId="08401A30" w14:textId="5C9C143F" w:rsidR="00E6439E" w:rsidRDefault="00E6439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Both </w:t>
      </w:r>
      <w:r>
        <w:rPr>
          <w:rFonts w:ascii="Times New Roman" w:hAnsi="Times New Roman"/>
          <w:i/>
          <w:sz w:val="24"/>
        </w:rPr>
        <w:t xml:space="preserve">Irish </w:t>
      </w:r>
      <w:r w:rsidRPr="005548FB">
        <w:rPr>
          <w:rFonts w:ascii="Times New Roman" w:hAnsi="Times New Roman"/>
          <w:i/>
          <w:sz w:val="24"/>
        </w:rPr>
        <w:t>Life and Permanent</w:t>
      </w:r>
      <w:r>
        <w:rPr>
          <w:rFonts w:ascii="Times New Roman" w:hAnsi="Times New Roman"/>
          <w:i/>
          <w:sz w:val="24"/>
        </w:rPr>
        <w:t xml:space="preserve"> plc </w:t>
      </w:r>
      <w:r>
        <w:rPr>
          <w:rFonts w:ascii="Times New Roman" w:hAnsi="Times New Roman"/>
          <w:sz w:val="24"/>
        </w:rPr>
        <w:t xml:space="preserve">and </w:t>
      </w:r>
      <w:proofErr w:type="spellStart"/>
      <w:r>
        <w:rPr>
          <w:rFonts w:ascii="Times New Roman" w:hAnsi="Times New Roman"/>
          <w:i/>
          <w:sz w:val="24"/>
        </w:rPr>
        <w:t>Carr</w:t>
      </w:r>
      <w:proofErr w:type="spellEnd"/>
      <w:r>
        <w:rPr>
          <w:rFonts w:ascii="Times New Roman" w:hAnsi="Times New Roman"/>
          <w:sz w:val="24"/>
        </w:rPr>
        <w:t xml:space="preserve"> aris</w:t>
      </w:r>
      <w:r w:rsidR="00DA7E5C">
        <w:rPr>
          <w:rFonts w:ascii="Times New Roman" w:hAnsi="Times New Roman"/>
          <w:sz w:val="24"/>
        </w:rPr>
        <w:t>e</w:t>
      </w:r>
      <w:r>
        <w:rPr>
          <w:rFonts w:ascii="Times New Roman" w:hAnsi="Times New Roman"/>
          <w:sz w:val="24"/>
        </w:rPr>
        <w:t xml:space="preserve"> out of the switching of mortgages, the general thrust of the complaint in each case being that the financial institution concerned </w:t>
      </w:r>
      <w:r>
        <w:rPr>
          <w:rFonts w:ascii="Times New Roman" w:hAnsi="Times New Roman"/>
          <w:sz w:val="24"/>
        </w:rPr>
        <w:lastRenderedPageBreak/>
        <w:t>did not properly explain the full implications of the switch, and in particular, the loss of the entitlement of the consumer in each case to revert to the terms of a tracker mortgage, having switched from it in order to achieve a better rate (although it must be s</w:t>
      </w:r>
      <w:r w:rsidR="00C51067">
        <w:rPr>
          <w:rFonts w:ascii="Times New Roman" w:hAnsi="Times New Roman"/>
          <w:sz w:val="24"/>
        </w:rPr>
        <w:t>aid</w:t>
      </w:r>
      <w:r>
        <w:rPr>
          <w:rFonts w:ascii="Times New Roman" w:hAnsi="Times New Roman"/>
          <w:sz w:val="24"/>
        </w:rPr>
        <w:t xml:space="preserve"> that the circumstances giving rise to the complaint in each case were quite different).</w:t>
      </w:r>
      <w:r w:rsidR="00BF1D3C">
        <w:rPr>
          <w:rFonts w:ascii="Times New Roman" w:hAnsi="Times New Roman"/>
          <w:sz w:val="24"/>
        </w:rPr>
        <w:t xml:space="preserve"> These cases involved complaints made to the statutory predecessor of the FSPO, the</w:t>
      </w:r>
      <w:r w:rsidR="00EC06C9">
        <w:rPr>
          <w:rFonts w:ascii="Times New Roman" w:hAnsi="Times New Roman"/>
          <w:sz w:val="24"/>
        </w:rPr>
        <w:t xml:space="preserve"> FSO,</w:t>
      </w:r>
      <w:r w:rsidR="00BF1D3C">
        <w:rPr>
          <w:rFonts w:ascii="Times New Roman" w:hAnsi="Times New Roman"/>
          <w:sz w:val="24"/>
        </w:rPr>
        <w:t xml:space="preserve"> and involved a previous version of the Code, but are nonetheless of equal applica</w:t>
      </w:r>
      <w:r w:rsidR="00C51067">
        <w:rPr>
          <w:rFonts w:ascii="Times New Roman" w:hAnsi="Times New Roman"/>
          <w:sz w:val="24"/>
        </w:rPr>
        <w:t>tion</w:t>
      </w:r>
      <w:r w:rsidR="00BF1D3C">
        <w:rPr>
          <w:rFonts w:ascii="Times New Roman" w:hAnsi="Times New Roman"/>
          <w:sz w:val="24"/>
        </w:rPr>
        <w:t xml:space="preserve"> to the Code.</w:t>
      </w:r>
      <w:r>
        <w:rPr>
          <w:rFonts w:ascii="Times New Roman" w:hAnsi="Times New Roman"/>
          <w:sz w:val="24"/>
        </w:rPr>
        <w:t xml:space="preserve">  In </w:t>
      </w:r>
      <w:r>
        <w:rPr>
          <w:rFonts w:ascii="Times New Roman" w:hAnsi="Times New Roman"/>
          <w:i/>
          <w:sz w:val="24"/>
        </w:rPr>
        <w:t>Irish Life and Permanent</w:t>
      </w:r>
      <w:r>
        <w:rPr>
          <w:rFonts w:ascii="Times New Roman" w:hAnsi="Times New Roman"/>
          <w:sz w:val="24"/>
        </w:rPr>
        <w:t>, White J. held that:</w:t>
      </w:r>
    </w:p>
    <w:p w14:paraId="1E395A10" w14:textId="47B916F0" w:rsidR="00E6439E" w:rsidRPr="001F682E" w:rsidRDefault="00E6439E" w:rsidP="00E20F5C">
      <w:pPr>
        <w:pStyle w:val="ListParagraph"/>
        <w:spacing w:line="480" w:lineRule="auto"/>
        <w:ind w:left="567"/>
        <w:rPr>
          <w:rFonts w:ascii="Times New Roman" w:hAnsi="Times New Roman"/>
          <w:iCs/>
          <w:sz w:val="24"/>
        </w:rPr>
      </w:pPr>
      <w:r w:rsidRPr="001F682E">
        <w:rPr>
          <w:rFonts w:ascii="Times New Roman" w:hAnsi="Times New Roman"/>
          <w:iCs/>
          <w:sz w:val="24"/>
        </w:rPr>
        <w:t xml:space="preserve">“This Court is of the view that the Financial Services Ombudsman, in considering the complaint of the Notice Parties should have applied the provisions of the Consumer Protection Code August 2006, the obligations of the Appellant under its own </w:t>
      </w:r>
      <w:r w:rsidR="00C51067">
        <w:rPr>
          <w:rFonts w:ascii="Times New Roman" w:hAnsi="Times New Roman"/>
          <w:iCs/>
          <w:sz w:val="24"/>
        </w:rPr>
        <w:t>r</w:t>
      </w:r>
      <w:r w:rsidRPr="001F682E">
        <w:rPr>
          <w:rFonts w:ascii="Times New Roman" w:hAnsi="Times New Roman"/>
          <w:iCs/>
          <w:sz w:val="24"/>
        </w:rPr>
        <w:t xml:space="preserve">ules, </w:t>
      </w:r>
      <w:r w:rsidR="00C51067" w:rsidRPr="001F682E">
        <w:rPr>
          <w:rFonts w:ascii="Times New Roman" w:hAnsi="Times New Roman"/>
          <w:iCs/>
          <w:sz w:val="24"/>
        </w:rPr>
        <w:t>regulations and code of conduct</w:t>
      </w:r>
      <w:r w:rsidRPr="001F682E">
        <w:rPr>
          <w:rFonts w:ascii="Times New Roman" w:hAnsi="Times New Roman"/>
          <w:iCs/>
          <w:sz w:val="24"/>
        </w:rPr>
        <w:t>, and general consumer law. It is not appropriate for this Court to comment on the likely outcome if that had been applied.”</w:t>
      </w:r>
    </w:p>
    <w:p w14:paraId="1940DB40" w14:textId="77777777" w:rsidR="00E6439E" w:rsidRDefault="00E6439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In </w:t>
      </w:r>
      <w:proofErr w:type="spellStart"/>
      <w:r>
        <w:rPr>
          <w:rFonts w:ascii="Times New Roman" w:hAnsi="Times New Roman"/>
          <w:i/>
          <w:sz w:val="24"/>
        </w:rPr>
        <w:t>Carr</w:t>
      </w:r>
      <w:proofErr w:type="spellEnd"/>
      <w:r>
        <w:rPr>
          <w:rFonts w:ascii="Times New Roman" w:hAnsi="Times New Roman"/>
          <w:sz w:val="24"/>
        </w:rPr>
        <w:t xml:space="preserve"> O’Malley J. noted, at para. 22, that the appellant in her submissions (to the Financial Services Ombudsman) had referred extensively to the provisions of the Consumer Protection Code 2006.  Then at para. 34 O’Malley J. stated:</w:t>
      </w:r>
    </w:p>
    <w:p w14:paraId="6827EC02" w14:textId="3552ACEF" w:rsidR="00E6439E" w:rsidRPr="00AA2F45" w:rsidRDefault="00E6439E" w:rsidP="00E20F5C">
      <w:pPr>
        <w:pStyle w:val="ListParagraph"/>
        <w:spacing w:line="480" w:lineRule="auto"/>
        <w:ind w:left="567"/>
        <w:rPr>
          <w:rFonts w:ascii="Times New Roman" w:hAnsi="Times New Roman"/>
          <w:iCs/>
          <w:sz w:val="24"/>
        </w:rPr>
      </w:pPr>
      <w:r w:rsidRPr="00AA2F45">
        <w:rPr>
          <w:rFonts w:ascii="Times New Roman" w:hAnsi="Times New Roman"/>
          <w:iCs/>
          <w:sz w:val="24"/>
        </w:rPr>
        <w:t>“It is noteworthy that at no point in this finding</w:t>
      </w:r>
      <w:r w:rsidR="00852D25">
        <w:rPr>
          <w:rFonts w:ascii="Times New Roman" w:hAnsi="Times New Roman"/>
          <w:iCs/>
          <w:sz w:val="24"/>
        </w:rPr>
        <w:t xml:space="preserve"> [against the appellant</w:t>
      </w:r>
      <w:r w:rsidR="00826D96">
        <w:rPr>
          <w:rFonts w:ascii="Times New Roman" w:hAnsi="Times New Roman"/>
          <w:iCs/>
          <w:sz w:val="24"/>
        </w:rPr>
        <w:t xml:space="preserve"> in that case</w:t>
      </w:r>
      <w:r w:rsidR="00852D25">
        <w:rPr>
          <w:rFonts w:ascii="Times New Roman" w:hAnsi="Times New Roman"/>
          <w:iCs/>
          <w:sz w:val="24"/>
        </w:rPr>
        <w:t xml:space="preserve"> regarding </w:t>
      </w:r>
      <w:r w:rsidR="00B237E9">
        <w:rPr>
          <w:rFonts w:ascii="Times New Roman" w:hAnsi="Times New Roman"/>
          <w:iCs/>
          <w:sz w:val="24"/>
        </w:rPr>
        <w:t>her</w:t>
      </w:r>
      <w:r w:rsidR="00852D25" w:rsidRPr="00852D25">
        <w:rPr>
          <w:rFonts w:ascii="Times New Roman" w:hAnsi="Times New Roman"/>
          <w:iCs/>
          <w:sz w:val="24"/>
        </w:rPr>
        <w:t xml:space="preserve"> co</w:t>
      </w:r>
      <w:r w:rsidR="00852D25">
        <w:rPr>
          <w:rFonts w:ascii="Times New Roman" w:hAnsi="Times New Roman"/>
          <w:iCs/>
          <w:sz w:val="24"/>
        </w:rPr>
        <w:t>mplaint</w:t>
      </w:r>
      <w:r w:rsidR="00852D25" w:rsidRPr="00852D25">
        <w:rPr>
          <w:rFonts w:ascii="Times New Roman" w:hAnsi="Times New Roman"/>
          <w:iCs/>
          <w:sz w:val="24"/>
        </w:rPr>
        <w:t xml:space="preserve"> that </w:t>
      </w:r>
      <w:r w:rsidR="00852D25">
        <w:rPr>
          <w:rFonts w:ascii="Times New Roman" w:hAnsi="Times New Roman"/>
          <w:iCs/>
          <w:sz w:val="24"/>
        </w:rPr>
        <w:t>the mortgage lender</w:t>
      </w:r>
      <w:r w:rsidR="00852D25" w:rsidRPr="00852D25">
        <w:rPr>
          <w:rFonts w:ascii="Times New Roman" w:hAnsi="Times New Roman"/>
          <w:iCs/>
          <w:sz w:val="24"/>
        </w:rPr>
        <w:t xml:space="preserve"> failed to fully advise</w:t>
      </w:r>
      <w:r w:rsidR="00852D25">
        <w:rPr>
          <w:rFonts w:ascii="Times New Roman" w:hAnsi="Times New Roman"/>
          <w:iCs/>
          <w:sz w:val="24"/>
        </w:rPr>
        <w:t xml:space="preserve">, but </w:t>
      </w:r>
      <w:r w:rsidR="00CE65B6">
        <w:rPr>
          <w:rFonts w:ascii="Times New Roman" w:hAnsi="Times New Roman"/>
          <w:iCs/>
          <w:sz w:val="24"/>
        </w:rPr>
        <w:t xml:space="preserve">in favour of </w:t>
      </w:r>
      <w:r w:rsidR="00852D25">
        <w:rPr>
          <w:rFonts w:ascii="Times New Roman" w:hAnsi="Times New Roman"/>
          <w:iCs/>
          <w:sz w:val="24"/>
        </w:rPr>
        <w:t xml:space="preserve">the appellant in relation to the handling of </w:t>
      </w:r>
      <w:r w:rsidR="00B237E9">
        <w:rPr>
          <w:rFonts w:ascii="Times New Roman" w:hAnsi="Times New Roman"/>
          <w:iCs/>
          <w:sz w:val="24"/>
        </w:rPr>
        <w:t>her</w:t>
      </w:r>
      <w:r w:rsidR="00852D25">
        <w:rPr>
          <w:rFonts w:ascii="Times New Roman" w:hAnsi="Times New Roman"/>
          <w:iCs/>
          <w:sz w:val="24"/>
        </w:rPr>
        <w:t xml:space="preserve"> case once her financial difficulties were realised]</w:t>
      </w:r>
      <w:r w:rsidRPr="00AA2F45">
        <w:rPr>
          <w:rFonts w:ascii="Times New Roman" w:hAnsi="Times New Roman"/>
          <w:iCs/>
          <w:sz w:val="24"/>
        </w:rPr>
        <w:t xml:space="preserve"> does the respondent refer to the provisions of the Consumer Protection Code.  Similarly, it is not referred to in the affidavits filed by the respondent.”</w:t>
      </w:r>
    </w:p>
    <w:p w14:paraId="5E95E6AF" w14:textId="77777777" w:rsidR="00E6439E" w:rsidRDefault="00E6439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her conclusions, at para. 84, she stated:</w:t>
      </w:r>
    </w:p>
    <w:p w14:paraId="52183DB5" w14:textId="7AC72854" w:rsidR="00E6439E" w:rsidRPr="00A8286D" w:rsidRDefault="00E6439E" w:rsidP="00E20F5C">
      <w:pPr>
        <w:pStyle w:val="ListParagraph"/>
        <w:spacing w:line="480" w:lineRule="auto"/>
        <w:ind w:left="567"/>
        <w:rPr>
          <w:rFonts w:ascii="Times New Roman" w:hAnsi="Times New Roman"/>
          <w:iCs/>
          <w:sz w:val="24"/>
        </w:rPr>
      </w:pPr>
      <w:r w:rsidRPr="00AA2F45">
        <w:rPr>
          <w:rFonts w:ascii="Times New Roman" w:hAnsi="Times New Roman"/>
          <w:iCs/>
          <w:sz w:val="24"/>
        </w:rPr>
        <w:t xml:space="preserve">“I admit to being somewhat puzzled as to absence of reference to the terms of the Code in the finding of the respondent, in his affidavits and in the written submissions filed on his behalf.  I agree with the views expressed by Hogan J. in the </w:t>
      </w:r>
      <w:r w:rsidRPr="00D952DA">
        <w:rPr>
          <w:rFonts w:ascii="Times New Roman" w:hAnsi="Times New Roman"/>
          <w:i/>
          <w:sz w:val="24"/>
        </w:rPr>
        <w:t>ILP</w:t>
      </w:r>
      <w:r w:rsidRPr="00AA2F45">
        <w:rPr>
          <w:rFonts w:ascii="Times New Roman" w:hAnsi="Times New Roman"/>
          <w:iCs/>
          <w:sz w:val="24"/>
        </w:rPr>
        <w:t xml:space="preserve"> case as to the propriety of consideration of the Code in the task of the respondent and might, perhaps, </w:t>
      </w:r>
      <w:r w:rsidRPr="00AA2F45">
        <w:rPr>
          <w:rFonts w:ascii="Times New Roman" w:hAnsi="Times New Roman"/>
          <w:iCs/>
          <w:sz w:val="24"/>
        </w:rPr>
        <w:lastRenderedPageBreak/>
        <w:t>go further. The Code is a significant feature of the landscape within which the respondent [</w:t>
      </w:r>
      <w:r w:rsidR="00E617B2">
        <w:rPr>
          <w:rFonts w:ascii="Times New Roman" w:hAnsi="Times New Roman"/>
          <w:iCs/>
          <w:sz w:val="24"/>
        </w:rPr>
        <w:t>t</w:t>
      </w:r>
      <w:r w:rsidRPr="00AA2F45">
        <w:rPr>
          <w:rFonts w:ascii="Times New Roman" w:hAnsi="Times New Roman"/>
          <w:iCs/>
          <w:sz w:val="24"/>
        </w:rPr>
        <w:t xml:space="preserve">he Financial Services Ombudsman] operates and it is probably expected by many complainants that they can rely on it. It would in my view be desirable that the respondent should, therefore, make reference to it in his determinations, if only to say why he does not think it applicable in the circumstances of a given case.” </w:t>
      </w:r>
    </w:p>
    <w:p w14:paraId="07042B97" w14:textId="0A38D1AD" w:rsidR="00E6439E" w:rsidRDefault="00E6439E"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As regards </w:t>
      </w:r>
      <w:proofErr w:type="spellStart"/>
      <w:r>
        <w:rPr>
          <w:rFonts w:ascii="Times New Roman" w:hAnsi="Times New Roman"/>
          <w:i/>
          <w:sz w:val="24"/>
        </w:rPr>
        <w:t>Fitzell</w:t>
      </w:r>
      <w:proofErr w:type="spellEnd"/>
      <w:r>
        <w:rPr>
          <w:rFonts w:ascii="Times New Roman" w:hAnsi="Times New Roman"/>
          <w:sz w:val="24"/>
        </w:rPr>
        <w:t>, this was a different kind of complaint, being one made in the context of proceedings for possession.  The code of conduct that fell for consideration by the court in that case was the code of conduct on mortgage arrears, and the court was required to consider the impact on the proceedings</w:t>
      </w:r>
      <w:r w:rsidR="00C57ED0">
        <w:rPr>
          <w:rFonts w:ascii="Times New Roman" w:hAnsi="Times New Roman"/>
          <w:sz w:val="24"/>
        </w:rPr>
        <w:t xml:space="preserve"> of the </w:t>
      </w:r>
      <w:r>
        <w:rPr>
          <w:rFonts w:ascii="Times New Roman" w:hAnsi="Times New Roman"/>
          <w:sz w:val="24"/>
        </w:rPr>
        <w:t xml:space="preserve">failure </w:t>
      </w:r>
      <w:r w:rsidR="00C57ED0">
        <w:rPr>
          <w:rFonts w:ascii="Times New Roman" w:hAnsi="Times New Roman"/>
          <w:sz w:val="24"/>
        </w:rPr>
        <w:t xml:space="preserve">on the part of the plaintiff </w:t>
      </w:r>
      <w:r>
        <w:rPr>
          <w:rFonts w:ascii="Times New Roman" w:hAnsi="Times New Roman"/>
          <w:sz w:val="24"/>
        </w:rPr>
        <w:t xml:space="preserve">to comply with the provisions of that code.  At para. 29, </w:t>
      </w:r>
      <w:proofErr w:type="spellStart"/>
      <w:r>
        <w:rPr>
          <w:rFonts w:ascii="Times New Roman" w:hAnsi="Times New Roman"/>
          <w:sz w:val="24"/>
        </w:rPr>
        <w:t>Laffoy</w:t>
      </w:r>
      <w:proofErr w:type="spellEnd"/>
      <w:r>
        <w:rPr>
          <w:rFonts w:ascii="Times New Roman" w:hAnsi="Times New Roman"/>
          <w:sz w:val="24"/>
        </w:rPr>
        <w:t xml:space="preserve"> J. held:</w:t>
      </w:r>
    </w:p>
    <w:p w14:paraId="4608E35F" w14:textId="29D70B06" w:rsidR="00E6439E" w:rsidRPr="00562671" w:rsidRDefault="00E6439E" w:rsidP="00E20F5C">
      <w:pPr>
        <w:pStyle w:val="ListParagraph"/>
        <w:spacing w:line="480" w:lineRule="auto"/>
        <w:ind w:left="567"/>
        <w:rPr>
          <w:rFonts w:ascii="Times New Roman" w:hAnsi="Times New Roman"/>
          <w:iCs/>
          <w:sz w:val="24"/>
        </w:rPr>
      </w:pPr>
      <w:r w:rsidRPr="00562671">
        <w:rPr>
          <w:rFonts w:ascii="Times New Roman" w:hAnsi="Times New Roman"/>
          <w:iCs/>
          <w:sz w:val="24"/>
        </w:rPr>
        <w:t xml:space="preserve">“Notwithstanding what is stated in the preceding paragraphs, I find it impossible to agree with the proposition that, in proceedings for possession of a primary residence by way of enforcement of a mortgage or charge to which the </w:t>
      </w:r>
      <w:r w:rsidR="00C57ED0" w:rsidRPr="00562671">
        <w:rPr>
          <w:rFonts w:ascii="Times New Roman" w:hAnsi="Times New Roman"/>
          <w:iCs/>
          <w:sz w:val="24"/>
        </w:rPr>
        <w:t>c</w:t>
      </w:r>
      <w:r w:rsidRPr="00562671">
        <w:rPr>
          <w:rFonts w:ascii="Times New Roman" w:hAnsi="Times New Roman"/>
          <w:iCs/>
          <w:sz w:val="24"/>
        </w:rPr>
        <w:t xml:space="preserve">urrent </w:t>
      </w:r>
      <w:r w:rsidR="00C57ED0" w:rsidRPr="00562671">
        <w:rPr>
          <w:rFonts w:ascii="Times New Roman" w:hAnsi="Times New Roman"/>
          <w:iCs/>
          <w:sz w:val="24"/>
        </w:rPr>
        <w:t>c</w:t>
      </w:r>
      <w:r w:rsidRPr="00562671">
        <w:rPr>
          <w:rFonts w:ascii="Times New Roman" w:hAnsi="Times New Roman"/>
          <w:iCs/>
          <w:sz w:val="24"/>
        </w:rPr>
        <w:t>ode applies, which comes before the court for hearing after the Current Code came into force, the plaintiff does not have to demonstrate to the Court compliance with the Current Code.”</w:t>
      </w:r>
    </w:p>
    <w:p w14:paraId="635640E6" w14:textId="35FAE33F" w:rsidR="00E6439E" w:rsidRPr="003B6D93" w:rsidRDefault="00E6439E" w:rsidP="00E20F5C">
      <w:pPr>
        <w:pStyle w:val="ListParagraph"/>
        <w:numPr>
          <w:ilvl w:val="0"/>
          <w:numId w:val="1"/>
        </w:numPr>
        <w:tabs>
          <w:tab w:val="left" w:pos="567"/>
        </w:tabs>
        <w:spacing w:line="480" w:lineRule="auto"/>
        <w:ind w:left="0" w:firstLine="0"/>
        <w:rPr>
          <w:rFonts w:ascii="Times New Roman" w:hAnsi="Times New Roman" w:cs="Times New Roman"/>
          <w:sz w:val="24"/>
          <w:szCs w:val="24"/>
        </w:rPr>
      </w:pPr>
      <w:proofErr w:type="spellStart"/>
      <w:r w:rsidRPr="003B6D93">
        <w:rPr>
          <w:rFonts w:ascii="Times New Roman" w:hAnsi="Times New Roman" w:cs="Times New Roman"/>
          <w:sz w:val="24"/>
          <w:szCs w:val="24"/>
        </w:rPr>
        <w:t>Laffoy</w:t>
      </w:r>
      <w:proofErr w:type="spellEnd"/>
      <w:r w:rsidRPr="003B6D93">
        <w:rPr>
          <w:rFonts w:ascii="Times New Roman" w:hAnsi="Times New Roman" w:cs="Times New Roman"/>
          <w:sz w:val="24"/>
          <w:szCs w:val="24"/>
        </w:rPr>
        <w:t xml:space="preserve"> J. considered that the provisions of the code (as to the imposition of a moratorium on the initiation of proceedings) would be rendered nugatory if the lender did not have to adduce evidence as to the expiration of the moratorium period had expired.  This, and other cases relied upon by Utmost, including the decision of Hogan J. in </w:t>
      </w:r>
      <w:r w:rsidRPr="003B6D93">
        <w:rPr>
          <w:rFonts w:ascii="Times New Roman" w:hAnsi="Times New Roman" w:cs="Times New Roman"/>
          <w:i/>
          <w:sz w:val="24"/>
          <w:szCs w:val="24"/>
        </w:rPr>
        <w:t>Irish Life and Permanent plc v. Financial Services Ombudsman</w:t>
      </w:r>
      <w:r w:rsidRPr="003B6D93">
        <w:rPr>
          <w:rFonts w:ascii="Times New Roman" w:hAnsi="Times New Roman" w:cs="Times New Roman"/>
          <w:sz w:val="24"/>
          <w:szCs w:val="24"/>
        </w:rPr>
        <w:t xml:space="preserve">, established that codes of conduct are not merely </w:t>
      </w:r>
      <w:r w:rsidRPr="003B6D93">
        <w:rPr>
          <w:rFonts w:ascii="Times New Roman" w:hAnsi="Times New Roman" w:cs="Times New Roman"/>
          <w:iCs/>
          <w:sz w:val="24"/>
          <w:szCs w:val="24"/>
        </w:rPr>
        <w:t>“soft law”.</w:t>
      </w:r>
      <w:r w:rsidRPr="003B6D93">
        <w:rPr>
          <w:rFonts w:ascii="Times New Roman" w:hAnsi="Times New Roman" w:cs="Times New Roman"/>
          <w:sz w:val="24"/>
          <w:szCs w:val="24"/>
        </w:rPr>
        <w:t xml:space="preserve">  As Hogan J. observed in </w:t>
      </w:r>
      <w:r w:rsidRPr="003B6D93">
        <w:rPr>
          <w:rFonts w:ascii="Times New Roman" w:hAnsi="Times New Roman" w:cs="Times New Roman"/>
          <w:iCs/>
          <w:sz w:val="24"/>
          <w:szCs w:val="24"/>
        </w:rPr>
        <w:t>that case:</w:t>
      </w:r>
      <w:r w:rsidRPr="003B6D93">
        <w:rPr>
          <w:rFonts w:ascii="Times New Roman" w:hAnsi="Times New Roman" w:cs="Times New Roman"/>
          <w:i/>
          <w:sz w:val="24"/>
          <w:szCs w:val="24"/>
        </w:rPr>
        <w:t xml:space="preserve"> </w:t>
      </w:r>
    </w:p>
    <w:p w14:paraId="7F04A911" w14:textId="3F1A9A18" w:rsidR="00E6439E" w:rsidRPr="003B6D93" w:rsidRDefault="00E6439E" w:rsidP="00E20F5C">
      <w:pPr>
        <w:pStyle w:val="ListParagraph"/>
        <w:spacing w:line="480" w:lineRule="auto"/>
        <w:ind w:left="567"/>
        <w:rPr>
          <w:rFonts w:ascii="Times New Roman" w:hAnsi="Times New Roman" w:cs="Times New Roman"/>
          <w:iCs/>
          <w:sz w:val="24"/>
          <w:szCs w:val="24"/>
        </w:rPr>
      </w:pPr>
      <w:r w:rsidRPr="003B6D93">
        <w:rPr>
          <w:rFonts w:ascii="Times New Roman" w:hAnsi="Times New Roman" w:cs="Times New Roman"/>
          <w:iCs/>
          <w:sz w:val="24"/>
          <w:szCs w:val="24"/>
        </w:rPr>
        <w:t>“These codes can certainly inform - in principle, at any rate - the thinking of regulatory authorities in assessing appropriate standards for credit institutions.”</w:t>
      </w:r>
    </w:p>
    <w:p w14:paraId="5ED2609A" w14:textId="160E8C7D" w:rsidR="00194693" w:rsidRPr="001374BB" w:rsidRDefault="00194693" w:rsidP="00E20F5C">
      <w:pPr>
        <w:pStyle w:val="ListParagraph"/>
        <w:tabs>
          <w:tab w:val="left" w:pos="567"/>
        </w:tabs>
        <w:spacing w:line="480" w:lineRule="auto"/>
        <w:ind w:left="0"/>
        <w:rPr>
          <w:rFonts w:ascii="Times New Roman" w:hAnsi="Times New Roman"/>
          <w:b/>
          <w:sz w:val="24"/>
        </w:rPr>
      </w:pPr>
      <w:r w:rsidRPr="001374BB">
        <w:rPr>
          <w:rFonts w:ascii="Times New Roman" w:hAnsi="Times New Roman"/>
          <w:b/>
          <w:sz w:val="24"/>
        </w:rPr>
        <w:t>Discussion and Decision o</w:t>
      </w:r>
      <w:r w:rsidR="00757715" w:rsidRPr="001374BB">
        <w:rPr>
          <w:rFonts w:ascii="Times New Roman" w:hAnsi="Times New Roman"/>
          <w:b/>
          <w:sz w:val="24"/>
        </w:rPr>
        <w:t>n</w:t>
      </w:r>
      <w:r w:rsidRPr="001374BB">
        <w:rPr>
          <w:rFonts w:ascii="Times New Roman" w:hAnsi="Times New Roman"/>
          <w:b/>
          <w:sz w:val="24"/>
        </w:rPr>
        <w:t xml:space="preserve"> Question</w:t>
      </w:r>
      <w:r w:rsidR="00595CCA" w:rsidRPr="001374BB">
        <w:rPr>
          <w:rFonts w:ascii="Times New Roman" w:hAnsi="Times New Roman"/>
          <w:b/>
          <w:sz w:val="24"/>
        </w:rPr>
        <w:t xml:space="preserve"> 1</w:t>
      </w:r>
    </w:p>
    <w:p w14:paraId="47D0DF2B" w14:textId="3D4E8C6C" w:rsidR="00194693" w:rsidRPr="004F0EB0"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There is no dispute that financial services providers are obliged to comply with the Code in the provision of their services.  At first glance therefore it is difficult to see why the proposition that the FSPO must have regard to the Code (</w:t>
      </w:r>
      <w:r w:rsidRPr="002B6D45">
        <w:rPr>
          <w:rFonts w:ascii="Times New Roman" w:hAnsi="Times New Roman"/>
          <w:sz w:val="24"/>
        </w:rPr>
        <w:t xml:space="preserve">and the obligations it imposes on the providers of financial services) </w:t>
      </w:r>
      <w:r>
        <w:rPr>
          <w:rFonts w:ascii="Times New Roman" w:hAnsi="Times New Roman"/>
          <w:sz w:val="24"/>
        </w:rPr>
        <w:t>when assessing the conduct of a financial services provider</w:t>
      </w:r>
      <w:r w:rsidR="00056BD3">
        <w:rPr>
          <w:rFonts w:ascii="Times New Roman" w:hAnsi="Times New Roman"/>
          <w:sz w:val="24"/>
        </w:rPr>
        <w:t>,</w:t>
      </w:r>
      <w:r>
        <w:rPr>
          <w:rFonts w:ascii="Times New Roman" w:hAnsi="Times New Roman"/>
          <w:sz w:val="24"/>
        </w:rPr>
        <w:t xml:space="preserve"> should be controversial.  If, for example, the conduct complained of is conduct engaged in by reason of an obligation imposed by the Code</w:t>
      </w:r>
      <w:r w:rsidR="00A8286D">
        <w:rPr>
          <w:rFonts w:ascii="Times New Roman" w:hAnsi="Times New Roman"/>
          <w:sz w:val="24"/>
        </w:rPr>
        <w:t>,</w:t>
      </w:r>
      <w:r w:rsidR="002123F8">
        <w:rPr>
          <w:rFonts w:ascii="Times New Roman" w:hAnsi="Times New Roman"/>
          <w:sz w:val="24"/>
        </w:rPr>
        <w:t xml:space="preserve"> </w:t>
      </w:r>
      <w:r>
        <w:rPr>
          <w:rFonts w:ascii="Times New Roman" w:hAnsi="Times New Roman"/>
          <w:sz w:val="24"/>
        </w:rPr>
        <w:t>then such conduct could hardly be considered to be unreasonable or otherwise contrary to s</w:t>
      </w:r>
      <w:r w:rsidR="00E26FC1">
        <w:rPr>
          <w:rFonts w:ascii="Times New Roman" w:hAnsi="Times New Roman"/>
          <w:sz w:val="24"/>
        </w:rPr>
        <w:t>.</w:t>
      </w:r>
      <w:r w:rsidR="00981355">
        <w:rPr>
          <w:rFonts w:ascii="Times New Roman" w:hAnsi="Times New Roman"/>
          <w:sz w:val="24"/>
        </w:rPr>
        <w:t xml:space="preserve"> </w:t>
      </w:r>
      <w:r>
        <w:rPr>
          <w:rFonts w:ascii="Times New Roman" w:hAnsi="Times New Roman"/>
          <w:sz w:val="24"/>
        </w:rPr>
        <w:t>60(2)(b) of the Act of 2017, or improper for the purposes of s.</w:t>
      </w:r>
      <w:r w:rsidR="00E26FC1">
        <w:rPr>
          <w:rFonts w:ascii="Times New Roman" w:hAnsi="Times New Roman"/>
          <w:sz w:val="24"/>
        </w:rPr>
        <w:t xml:space="preserve"> </w:t>
      </w:r>
      <w:r>
        <w:rPr>
          <w:rFonts w:ascii="Times New Roman" w:hAnsi="Times New Roman"/>
          <w:sz w:val="24"/>
        </w:rPr>
        <w:t xml:space="preserve">60(2)(g) thereof.  </w:t>
      </w:r>
    </w:p>
    <w:p w14:paraId="330E4BB0" w14:textId="08BD0E46" w:rsidR="00194693" w:rsidRPr="00E3758C"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However, the concern of the FSPO arises out of what he perceives to be the mandatory nature of the decision of the trial judge</w:t>
      </w:r>
      <w:r w:rsidR="00981355">
        <w:rPr>
          <w:rFonts w:ascii="Times New Roman" w:hAnsi="Times New Roman"/>
          <w:sz w:val="24"/>
        </w:rPr>
        <w:t>,</w:t>
      </w:r>
      <w:r>
        <w:rPr>
          <w:rFonts w:ascii="Times New Roman" w:hAnsi="Times New Roman"/>
          <w:sz w:val="24"/>
        </w:rPr>
        <w:t xml:space="preserve"> i.e. that in </w:t>
      </w:r>
      <w:r w:rsidRPr="00981355">
        <w:rPr>
          <w:rFonts w:ascii="Times New Roman" w:hAnsi="Times New Roman"/>
          <w:i/>
          <w:iCs/>
          <w:sz w:val="24"/>
        </w:rPr>
        <w:t>all cases</w:t>
      </w:r>
      <w:r>
        <w:rPr>
          <w:rFonts w:ascii="Times New Roman" w:hAnsi="Times New Roman"/>
          <w:sz w:val="24"/>
        </w:rPr>
        <w:t xml:space="preserve"> where he is considering a complaint under ss</w:t>
      </w:r>
      <w:r w:rsidR="00E26FC1">
        <w:rPr>
          <w:rFonts w:ascii="Times New Roman" w:hAnsi="Times New Roman"/>
          <w:sz w:val="24"/>
        </w:rPr>
        <w:t>.</w:t>
      </w:r>
      <w:r>
        <w:rPr>
          <w:rFonts w:ascii="Times New Roman" w:hAnsi="Times New Roman"/>
          <w:sz w:val="24"/>
        </w:rPr>
        <w:t xml:space="preserve"> 60(2)(b) and (g), he must have regard to the Code.  The FSPO </w:t>
      </w:r>
      <w:r w:rsidR="00757715">
        <w:rPr>
          <w:rFonts w:ascii="Times New Roman" w:hAnsi="Times New Roman"/>
          <w:sz w:val="24"/>
        </w:rPr>
        <w:t>submits that it is a matter for him to decide, at his discretion, whether or not to have regard to the Code when assessing the conduct of a provider. He is not obliged to do so</w:t>
      </w:r>
      <w:r>
        <w:rPr>
          <w:rFonts w:ascii="Times New Roman" w:hAnsi="Times New Roman"/>
          <w:sz w:val="24"/>
        </w:rPr>
        <w:t>.</w:t>
      </w:r>
      <w:r w:rsidR="00CA778F">
        <w:rPr>
          <w:rFonts w:ascii="Times New Roman" w:hAnsi="Times New Roman"/>
          <w:sz w:val="24"/>
        </w:rPr>
        <w:t xml:space="preserve"> I do not agree.</w:t>
      </w:r>
    </w:p>
    <w:p w14:paraId="1629785D" w14:textId="2D55F04A" w:rsidR="00FA0B96" w:rsidRPr="00F86B4D" w:rsidRDefault="00FA0B96" w:rsidP="00E3758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my view the position adopted by the FSPO on this issue is both illogical and untenable.  Codes adopted by the Central Bank are adopted following a process of consultation with stakeholders.  As the name implies, the Consumer Protection Code is intended to afford consumers a measure of protection in their dealings with financial services providers which, for the most part, will enjoy a position of commercial dominance over the consumer.  The imposition of a Code of Conduct on the provision of financial services by service providers, necessarily influences the manner in which such services are provided, as well as the interactions between consumers and financial services providers as regards the provision of such services.  The Code also serves an additional and useful purpose in providing an objective benchmark against which complaints of consumers and standards of service of financial services providers may by assessed, thereby affording both consumers </w:t>
      </w:r>
      <w:r>
        <w:rPr>
          <w:rFonts w:ascii="Times New Roman" w:hAnsi="Times New Roman"/>
          <w:sz w:val="24"/>
        </w:rPr>
        <w:lastRenderedPageBreak/>
        <w:t xml:space="preserve">and providers protection against potentially arbitrary or subjective decisions on the part of the FSPO.  </w:t>
      </w:r>
    </w:p>
    <w:p w14:paraId="57D95058" w14:textId="5F7AE5A9" w:rsidR="00CA778F" w:rsidRPr="00FA0B96" w:rsidRDefault="00FA0B96" w:rsidP="00E3758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the very vast majority of cases (unlike in this case) it is consumers, and not financial services providers who will seek to rely upon the Code when advancing a complaint.  Whether the Code is relied upon by a complainant, or by a financial services provider in responding to a complaint, it can hardly be doubted that once reliance is placed on it, the FSPO must have regard to it when determining the reasonableness of the conduct of the financial services provider.  But even where it is not relied upon by either party, the Code may nonetheless have a relevance to the determination of the complaint, and it is reasonable to expect the FSPO, having regard to the expertise imputed to that office, to have due regard to the Code when assessing the reasonableness of the conduct of a financial services provider.  By “due regard” I mean to consider whether or not the conduct complained of was conduct (a)</w:t>
      </w:r>
      <w:r w:rsidR="00B5425D">
        <w:rPr>
          <w:rFonts w:ascii="Times New Roman" w:hAnsi="Times New Roman"/>
          <w:sz w:val="24"/>
        </w:rPr>
        <w:t xml:space="preserve"> necessitated,</w:t>
      </w:r>
      <w:r w:rsidR="00427D5E">
        <w:rPr>
          <w:rFonts w:ascii="Times New Roman" w:hAnsi="Times New Roman"/>
          <w:sz w:val="24"/>
        </w:rPr>
        <w:t xml:space="preserve"> </w:t>
      </w:r>
      <w:r>
        <w:rPr>
          <w:rFonts w:ascii="Times New Roman" w:hAnsi="Times New Roman"/>
          <w:sz w:val="24"/>
        </w:rPr>
        <w:t xml:space="preserve">directly or indirectly, by any provision of the Code or (b) was in breach of any provision of the Code.  </w:t>
      </w:r>
    </w:p>
    <w:p w14:paraId="467A7B53" w14:textId="0A0B7FAA" w:rsidR="00194693" w:rsidRPr="00086811"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this case the FSPO did have regard to the Code.  It was the FSPO who raised, in the Decision, clause</w:t>
      </w:r>
      <w:r w:rsidR="00E60251">
        <w:rPr>
          <w:rFonts w:ascii="Times New Roman" w:hAnsi="Times New Roman"/>
          <w:sz w:val="24"/>
        </w:rPr>
        <w:t xml:space="preserve"> </w:t>
      </w:r>
      <w:r>
        <w:rPr>
          <w:rFonts w:ascii="Times New Roman" w:hAnsi="Times New Roman"/>
          <w:sz w:val="24"/>
        </w:rPr>
        <w:t xml:space="preserve">7.6 of the Code. </w:t>
      </w:r>
      <w:r w:rsidRPr="00086811">
        <w:rPr>
          <w:rFonts w:ascii="Times New Roman" w:hAnsi="Times New Roman"/>
          <w:sz w:val="24"/>
        </w:rPr>
        <w:t xml:space="preserve">What is not agreed however, and where the real controversy lies in this case, </w:t>
      </w:r>
      <w:r>
        <w:rPr>
          <w:rFonts w:ascii="Times New Roman" w:hAnsi="Times New Roman"/>
          <w:sz w:val="24"/>
        </w:rPr>
        <w:t xml:space="preserve">where this issue is concerned, </w:t>
      </w:r>
      <w:r w:rsidRPr="00086811">
        <w:rPr>
          <w:rFonts w:ascii="Times New Roman" w:hAnsi="Times New Roman"/>
          <w:sz w:val="24"/>
        </w:rPr>
        <w:t xml:space="preserve">is the conclusion of the trial judge that, in assessing the reasonableness of the conduct of Utmost, the FSPO should have had regard to the obligation of Utmost to verify the </w:t>
      </w:r>
      <w:r w:rsidR="00E26FC1">
        <w:rPr>
          <w:rFonts w:ascii="Times New Roman" w:hAnsi="Times New Roman"/>
          <w:sz w:val="24"/>
        </w:rPr>
        <w:t>C</w:t>
      </w:r>
      <w:r w:rsidRPr="00086811">
        <w:rPr>
          <w:rFonts w:ascii="Times New Roman" w:hAnsi="Times New Roman"/>
          <w:sz w:val="24"/>
        </w:rPr>
        <w:t>laim under clause 7.6 of the Code.  So, in the opinion of the tr</w:t>
      </w:r>
      <w:r>
        <w:rPr>
          <w:rFonts w:ascii="Times New Roman" w:hAnsi="Times New Roman"/>
          <w:sz w:val="24"/>
        </w:rPr>
        <w:t>ia</w:t>
      </w:r>
      <w:r w:rsidRPr="00086811">
        <w:rPr>
          <w:rFonts w:ascii="Times New Roman" w:hAnsi="Times New Roman"/>
          <w:sz w:val="24"/>
        </w:rPr>
        <w:t>l judge, it was not enough for the FSPO merely to mention clause 7.6 of the Code; he needed to go further, and assess the conduct of Utmost by reference to its obligation under clause 7.6</w:t>
      </w:r>
      <w:r>
        <w:rPr>
          <w:rFonts w:ascii="Times New Roman" w:hAnsi="Times New Roman"/>
          <w:sz w:val="24"/>
        </w:rPr>
        <w:t>, and in failing to do so, t</w:t>
      </w:r>
      <w:r w:rsidRPr="00086811">
        <w:rPr>
          <w:rFonts w:ascii="Times New Roman" w:hAnsi="Times New Roman"/>
          <w:sz w:val="24"/>
        </w:rPr>
        <w:t>he</w:t>
      </w:r>
      <w:r>
        <w:rPr>
          <w:rFonts w:ascii="Times New Roman" w:hAnsi="Times New Roman"/>
          <w:sz w:val="24"/>
        </w:rPr>
        <w:t xml:space="preserve"> FSPO, in the view of the trial judge,</w:t>
      </w:r>
      <w:r w:rsidRPr="00086811">
        <w:rPr>
          <w:rFonts w:ascii="Times New Roman" w:hAnsi="Times New Roman"/>
          <w:sz w:val="24"/>
        </w:rPr>
        <w:t xml:space="preserve"> was </w:t>
      </w:r>
      <w:r>
        <w:rPr>
          <w:rFonts w:ascii="Times New Roman" w:hAnsi="Times New Roman"/>
          <w:sz w:val="24"/>
        </w:rPr>
        <w:t>in</w:t>
      </w:r>
      <w:r w:rsidRPr="00086811">
        <w:rPr>
          <w:rFonts w:ascii="Times New Roman" w:hAnsi="Times New Roman"/>
          <w:sz w:val="24"/>
        </w:rPr>
        <w:t xml:space="preserve"> serious and significant error. </w:t>
      </w:r>
    </w:p>
    <w:p w14:paraId="362935FF" w14:textId="77777777" w:rsidR="00BE06CA" w:rsidRPr="00BE06CA"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However, with respect to the trial judge, I do not think this conclusion withstands scrutiny. As the trial judge acknowledged, the FSPO had identified the obligation of Utmost </w:t>
      </w:r>
      <w:r>
        <w:rPr>
          <w:rFonts w:ascii="Times New Roman" w:hAnsi="Times New Roman"/>
          <w:sz w:val="24"/>
        </w:rPr>
        <w:lastRenderedPageBreak/>
        <w:t xml:space="preserve">to verify the Claim. Utmost undertook this obligation, which in practical terms is no different to its contractual obligation to members of the Scheme, on receipt of a claim for benefit.  What more can be said about that obligation?  There is no mystery about it, and Utmost </w:t>
      </w:r>
      <w:r w:rsidR="00A8286D">
        <w:rPr>
          <w:rFonts w:ascii="Times New Roman" w:hAnsi="Times New Roman"/>
          <w:sz w:val="24"/>
        </w:rPr>
        <w:t>itself ha</w:t>
      </w:r>
      <w:r w:rsidR="0066133A">
        <w:rPr>
          <w:rFonts w:ascii="Times New Roman" w:hAnsi="Times New Roman"/>
          <w:sz w:val="24"/>
        </w:rPr>
        <w:t>d</w:t>
      </w:r>
      <w:r w:rsidR="00A8286D">
        <w:rPr>
          <w:rFonts w:ascii="Times New Roman" w:hAnsi="Times New Roman"/>
          <w:sz w:val="24"/>
        </w:rPr>
        <w:t xml:space="preserve"> not asserted </w:t>
      </w:r>
      <w:r>
        <w:rPr>
          <w:rFonts w:ascii="Times New Roman" w:hAnsi="Times New Roman"/>
          <w:sz w:val="24"/>
        </w:rPr>
        <w:t xml:space="preserve">that its obligation to verify a claim in and of itself influenced its conduct in </w:t>
      </w:r>
      <w:r w:rsidR="00A8286D">
        <w:rPr>
          <w:rFonts w:ascii="Times New Roman" w:hAnsi="Times New Roman"/>
          <w:sz w:val="24"/>
        </w:rPr>
        <w:t>the</w:t>
      </w:r>
      <w:r>
        <w:rPr>
          <w:rFonts w:ascii="Times New Roman" w:hAnsi="Times New Roman"/>
          <w:sz w:val="24"/>
        </w:rPr>
        <w:t xml:space="preserve"> assessment of the Claim</w:t>
      </w:r>
      <w:r w:rsidR="00A8286D">
        <w:rPr>
          <w:rFonts w:ascii="Times New Roman" w:hAnsi="Times New Roman"/>
          <w:sz w:val="24"/>
        </w:rPr>
        <w:t>, or the outcome of that assessment.</w:t>
      </w:r>
      <w:r>
        <w:rPr>
          <w:rFonts w:ascii="Times New Roman" w:hAnsi="Times New Roman"/>
          <w:sz w:val="24"/>
        </w:rPr>
        <w:t xml:space="preserve">  There is no connection at all, for present purposes, between the fact of being required to conduct such an exercise on the one hand, and the manner in which it is conducted on the other. </w:t>
      </w:r>
      <w:r w:rsidR="00C609A9">
        <w:rPr>
          <w:rFonts w:ascii="Times New Roman" w:hAnsi="Times New Roman"/>
          <w:sz w:val="24"/>
        </w:rPr>
        <w:t xml:space="preserve"> </w:t>
      </w:r>
    </w:p>
    <w:p w14:paraId="63D9F791" w14:textId="07E8288B" w:rsidR="00194693" w:rsidRPr="005A7422"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So, therefore, even if the FSPO had, in assessing the reasonableness of the conduct of Utmost in its handling of the Claim, expressly alluded to the fact that this was an exercise which Utmost was obliged to engage in pursuant to the Code, this could have led to no further conclusion and would have made no difference to the outcome of the Complaint. </w:t>
      </w:r>
      <w:r w:rsidR="00ED5291">
        <w:rPr>
          <w:rFonts w:ascii="Times New Roman" w:hAnsi="Times New Roman"/>
          <w:sz w:val="24"/>
        </w:rPr>
        <w:t>In particular, it would not</w:t>
      </w:r>
      <w:r>
        <w:rPr>
          <w:rFonts w:ascii="Times New Roman" w:hAnsi="Times New Roman"/>
          <w:sz w:val="24"/>
        </w:rPr>
        <w:t xml:space="preserve"> have shed any light at all on the manner in which the </w:t>
      </w:r>
      <w:r w:rsidR="00E26FC1">
        <w:rPr>
          <w:rFonts w:ascii="Times New Roman" w:hAnsi="Times New Roman"/>
          <w:sz w:val="24"/>
        </w:rPr>
        <w:t>C</w:t>
      </w:r>
      <w:r>
        <w:rPr>
          <w:rFonts w:ascii="Times New Roman" w:hAnsi="Times New Roman"/>
          <w:sz w:val="24"/>
        </w:rPr>
        <w:t xml:space="preserve">laim was handled by Utmost, and whether Utmost behaved unreasonably or in any other manner contrary to its statutory obligations. </w:t>
      </w:r>
      <w:r w:rsidRPr="005A7422">
        <w:rPr>
          <w:rFonts w:ascii="Times New Roman" w:hAnsi="Times New Roman"/>
          <w:sz w:val="24"/>
        </w:rPr>
        <w:t>The conclusions that the FSPO arrived</w:t>
      </w:r>
      <w:r w:rsidR="00E26FC1">
        <w:rPr>
          <w:rFonts w:ascii="Times New Roman" w:hAnsi="Times New Roman"/>
          <w:sz w:val="24"/>
        </w:rPr>
        <w:t xml:space="preserve"> at</w:t>
      </w:r>
      <w:r w:rsidRPr="005A7422">
        <w:rPr>
          <w:rFonts w:ascii="Times New Roman" w:hAnsi="Times New Roman"/>
          <w:sz w:val="24"/>
        </w:rPr>
        <w:t xml:space="preserve"> in relation to these matters arose from his examination of documents, and was not and could never have been influenced by the</w:t>
      </w:r>
      <w:r w:rsidR="00F820A4">
        <w:rPr>
          <w:rFonts w:ascii="Times New Roman" w:hAnsi="Times New Roman"/>
          <w:sz w:val="24"/>
        </w:rPr>
        <w:t xml:space="preserve"> mere</w:t>
      </w:r>
      <w:r w:rsidRPr="005A7422">
        <w:rPr>
          <w:rFonts w:ascii="Times New Roman" w:hAnsi="Times New Roman"/>
          <w:sz w:val="24"/>
        </w:rPr>
        <w:t xml:space="preserve"> fact that the exercise Utmost was undertaking was an obligation under the Code</w:t>
      </w:r>
      <w:r w:rsidR="000B5421">
        <w:rPr>
          <w:rFonts w:ascii="Times New Roman" w:hAnsi="Times New Roman"/>
          <w:sz w:val="24"/>
        </w:rPr>
        <w:t xml:space="preserve">. </w:t>
      </w:r>
      <w:r w:rsidRPr="005A7422">
        <w:rPr>
          <w:rFonts w:ascii="Times New Roman" w:hAnsi="Times New Roman"/>
          <w:sz w:val="24"/>
        </w:rPr>
        <w:t xml:space="preserve"> In my view, there was nothing more to be said </w:t>
      </w:r>
      <w:r w:rsidR="00757715">
        <w:rPr>
          <w:rFonts w:ascii="Times New Roman" w:hAnsi="Times New Roman"/>
          <w:sz w:val="24"/>
        </w:rPr>
        <w:t xml:space="preserve">about </w:t>
      </w:r>
      <w:r w:rsidRPr="005A7422">
        <w:rPr>
          <w:rFonts w:ascii="Times New Roman" w:hAnsi="Times New Roman"/>
          <w:sz w:val="24"/>
        </w:rPr>
        <w:t>clause 7.6 of the Code, than</w:t>
      </w:r>
      <w:r w:rsidR="008C27D3">
        <w:rPr>
          <w:rFonts w:ascii="Times New Roman" w:hAnsi="Times New Roman"/>
          <w:sz w:val="24"/>
        </w:rPr>
        <w:t xml:space="preserve"> was said by</w:t>
      </w:r>
      <w:r w:rsidRPr="005A7422">
        <w:rPr>
          <w:rFonts w:ascii="Times New Roman" w:hAnsi="Times New Roman"/>
          <w:sz w:val="24"/>
        </w:rPr>
        <w:t xml:space="preserve"> the FSPO in the Decision.</w:t>
      </w:r>
    </w:p>
    <w:p w14:paraId="3BFB5C67" w14:textId="255E31F7" w:rsidR="00194693" w:rsidRPr="00B9705C" w:rsidRDefault="0014645F"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w:t>
      </w:r>
      <w:r w:rsidR="00194693">
        <w:rPr>
          <w:rFonts w:ascii="Times New Roman" w:hAnsi="Times New Roman"/>
          <w:sz w:val="24"/>
        </w:rPr>
        <w:t>he outcome of the Complaint was determined by an altogether different issue, that being the interpretation given to specific e-mails referred to by the FSPO in the Decision, one being an internal e</w:t>
      </w:r>
      <w:r w:rsidR="005C30EC">
        <w:rPr>
          <w:rFonts w:ascii="Times New Roman" w:hAnsi="Times New Roman"/>
          <w:sz w:val="24"/>
        </w:rPr>
        <w:t>-</w:t>
      </w:r>
      <w:r w:rsidR="00194693">
        <w:rPr>
          <w:rFonts w:ascii="Times New Roman" w:hAnsi="Times New Roman"/>
          <w:sz w:val="24"/>
        </w:rPr>
        <w:t>mail</w:t>
      </w:r>
      <w:r w:rsidR="005C30EC">
        <w:rPr>
          <w:rFonts w:ascii="Times New Roman" w:hAnsi="Times New Roman"/>
          <w:sz w:val="24"/>
        </w:rPr>
        <w:t xml:space="preserve"> from Mr.</w:t>
      </w:r>
      <w:r w:rsidR="0042255A">
        <w:rPr>
          <w:rFonts w:ascii="Times New Roman" w:hAnsi="Times New Roman"/>
          <w:sz w:val="24"/>
        </w:rPr>
        <w:t xml:space="preserve"> </w:t>
      </w:r>
      <w:proofErr w:type="spellStart"/>
      <w:r w:rsidR="005C30EC">
        <w:rPr>
          <w:rFonts w:ascii="Times New Roman" w:hAnsi="Times New Roman"/>
          <w:sz w:val="24"/>
        </w:rPr>
        <w:t>Hulsman</w:t>
      </w:r>
      <w:proofErr w:type="spellEnd"/>
      <w:r w:rsidR="005C30EC">
        <w:rPr>
          <w:rFonts w:ascii="Times New Roman" w:hAnsi="Times New Roman"/>
          <w:sz w:val="24"/>
        </w:rPr>
        <w:t xml:space="preserve"> to </w:t>
      </w:r>
      <w:proofErr w:type="spellStart"/>
      <w:r w:rsidR="005C30EC">
        <w:rPr>
          <w:rFonts w:ascii="Times New Roman" w:hAnsi="Times New Roman"/>
          <w:sz w:val="24"/>
        </w:rPr>
        <w:t>Dr.</w:t>
      </w:r>
      <w:proofErr w:type="spellEnd"/>
      <w:r w:rsidR="0042255A">
        <w:rPr>
          <w:rFonts w:ascii="Times New Roman" w:hAnsi="Times New Roman"/>
          <w:sz w:val="24"/>
        </w:rPr>
        <w:t xml:space="preserve"> </w:t>
      </w:r>
      <w:r w:rsidR="005C30EC">
        <w:rPr>
          <w:rFonts w:ascii="Times New Roman" w:hAnsi="Times New Roman"/>
          <w:sz w:val="24"/>
        </w:rPr>
        <w:t>Gleeson of 27</w:t>
      </w:r>
      <w:r w:rsidR="005C30EC" w:rsidRPr="005C30EC">
        <w:rPr>
          <w:rFonts w:ascii="Times New Roman" w:hAnsi="Times New Roman"/>
          <w:sz w:val="24"/>
          <w:vertAlign w:val="superscript"/>
        </w:rPr>
        <w:t>th</w:t>
      </w:r>
      <w:r w:rsidR="005C30EC">
        <w:rPr>
          <w:rFonts w:ascii="Times New Roman" w:hAnsi="Times New Roman"/>
          <w:sz w:val="24"/>
        </w:rPr>
        <w:t xml:space="preserve"> July 2016</w:t>
      </w:r>
      <w:r w:rsidR="00194693">
        <w:rPr>
          <w:rFonts w:ascii="Times New Roman" w:hAnsi="Times New Roman"/>
          <w:sz w:val="24"/>
        </w:rPr>
        <w:t>, and the other being the e</w:t>
      </w:r>
      <w:r w:rsidR="005C30EC">
        <w:rPr>
          <w:rFonts w:ascii="Times New Roman" w:hAnsi="Times New Roman"/>
          <w:sz w:val="24"/>
        </w:rPr>
        <w:t>-</w:t>
      </w:r>
      <w:r w:rsidR="00194693">
        <w:rPr>
          <w:rFonts w:ascii="Times New Roman" w:hAnsi="Times New Roman"/>
          <w:sz w:val="24"/>
        </w:rPr>
        <w:t>mail of 19</w:t>
      </w:r>
      <w:r w:rsidR="00194693" w:rsidRPr="00E26FC1">
        <w:rPr>
          <w:rFonts w:ascii="Times New Roman" w:hAnsi="Times New Roman"/>
          <w:sz w:val="24"/>
          <w:vertAlign w:val="superscript"/>
        </w:rPr>
        <w:t>th</w:t>
      </w:r>
      <w:r w:rsidR="00194693">
        <w:rPr>
          <w:rFonts w:ascii="Times New Roman" w:hAnsi="Times New Roman"/>
          <w:sz w:val="24"/>
        </w:rPr>
        <w:t xml:space="preserve"> January 2017 from Ms. Devine to </w:t>
      </w:r>
      <w:proofErr w:type="spellStart"/>
      <w:r w:rsidR="00194693">
        <w:rPr>
          <w:rFonts w:ascii="Times New Roman" w:hAnsi="Times New Roman"/>
          <w:sz w:val="24"/>
        </w:rPr>
        <w:t>Dr.</w:t>
      </w:r>
      <w:proofErr w:type="spellEnd"/>
      <w:r w:rsidR="00194693">
        <w:rPr>
          <w:rFonts w:ascii="Times New Roman" w:hAnsi="Times New Roman"/>
          <w:sz w:val="24"/>
        </w:rPr>
        <w:t xml:space="preserve"> Howard (see paras. </w:t>
      </w:r>
      <w:r w:rsidR="0042255A">
        <w:rPr>
          <w:rFonts w:ascii="Times New Roman" w:hAnsi="Times New Roman"/>
          <w:sz w:val="24"/>
        </w:rPr>
        <w:t>10</w:t>
      </w:r>
      <w:r w:rsidR="00194693">
        <w:rPr>
          <w:rFonts w:ascii="Times New Roman" w:hAnsi="Times New Roman"/>
          <w:sz w:val="24"/>
        </w:rPr>
        <w:t xml:space="preserve"> and </w:t>
      </w:r>
      <w:r w:rsidR="005C30EC">
        <w:rPr>
          <w:rFonts w:ascii="Times New Roman" w:hAnsi="Times New Roman"/>
          <w:sz w:val="24"/>
        </w:rPr>
        <w:t>1</w:t>
      </w:r>
      <w:r w:rsidR="0042255A">
        <w:rPr>
          <w:rFonts w:ascii="Times New Roman" w:hAnsi="Times New Roman"/>
          <w:sz w:val="24"/>
        </w:rPr>
        <w:t>5</w:t>
      </w:r>
      <w:r w:rsidR="00194693">
        <w:rPr>
          <w:rFonts w:ascii="Times New Roman" w:hAnsi="Times New Roman"/>
          <w:sz w:val="24"/>
        </w:rPr>
        <w:t xml:space="preserve"> above)</w:t>
      </w:r>
      <w:r w:rsidR="006C2E97">
        <w:rPr>
          <w:rFonts w:ascii="Times New Roman" w:hAnsi="Times New Roman"/>
          <w:sz w:val="24"/>
        </w:rPr>
        <w:t>.</w:t>
      </w:r>
      <w:r w:rsidR="00194693">
        <w:rPr>
          <w:rFonts w:ascii="Times New Roman" w:hAnsi="Times New Roman"/>
          <w:sz w:val="24"/>
        </w:rPr>
        <w:t xml:space="preserve"> Whether or not the interpretation given to these e-mails by the FSPO constitutes a serious and significant error such as to justify the intervention of the High Court, </w:t>
      </w:r>
      <w:r w:rsidR="00194693">
        <w:rPr>
          <w:rFonts w:ascii="Times New Roman" w:hAnsi="Times New Roman"/>
          <w:sz w:val="24"/>
        </w:rPr>
        <w:lastRenderedPageBreak/>
        <w:t>and the setting aside of the Decision depends upon the answer to the third of the questions certified by the High Court, to which I now pass.</w:t>
      </w:r>
    </w:p>
    <w:p w14:paraId="3514B662" w14:textId="1164509E" w:rsidR="00194693" w:rsidRPr="00B9705C" w:rsidRDefault="00194693"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Question</w:t>
      </w:r>
      <w:r w:rsidR="00503C96">
        <w:rPr>
          <w:rFonts w:ascii="Times New Roman" w:hAnsi="Times New Roman"/>
          <w:b/>
          <w:sz w:val="24"/>
          <w:u w:val="single"/>
        </w:rPr>
        <w:t xml:space="preserve"> 3:</w:t>
      </w:r>
    </w:p>
    <w:p w14:paraId="76A594B5" w14:textId="408E07B0" w:rsidR="00194693" w:rsidRPr="0089689B" w:rsidRDefault="00194693" w:rsidP="00E20F5C">
      <w:pPr>
        <w:pStyle w:val="ListParagraph"/>
        <w:tabs>
          <w:tab w:val="left" w:pos="567"/>
        </w:tabs>
        <w:spacing w:line="480" w:lineRule="auto"/>
        <w:ind w:left="0"/>
        <w:rPr>
          <w:rFonts w:ascii="Times New Roman" w:hAnsi="Times New Roman"/>
          <w:b/>
          <w:sz w:val="24"/>
          <w:u w:val="single"/>
        </w:rPr>
      </w:pPr>
      <w:r w:rsidRPr="0089689B">
        <w:rPr>
          <w:rFonts w:ascii="Times New Roman" w:hAnsi="Times New Roman"/>
          <w:b/>
          <w:sz w:val="24"/>
        </w:rPr>
        <w:t xml:space="preserve">Is the High Court, in the exercise of its appellate jurisdiction in a statutory appeal under s.64 of the Financial Services and Pensions Ombudsman Act 2017, entitled to draw different inferences from documentation (in this case correspondence) than those of the Ombudsman?  Put otherwise, to what extent to the principles in </w:t>
      </w:r>
      <w:r w:rsidRPr="0089689B">
        <w:rPr>
          <w:rFonts w:ascii="Times New Roman" w:hAnsi="Times New Roman"/>
          <w:b/>
          <w:i/>
          <w:sz w:val="24"/>
        </w:rPr>
        <w:t>Fitzgibbon v</w:t>
      </w:r>
      <w:r w:rsidR="00D863AB">
        <w:rPr>
          <w:rFonts w:ascii="Times New Roman" w:hAnsi="Times New Roman"/>
          <w:b/>
          <w:i/>
          <w:sz w:val="24"/>
        </w:rPr>
        <w:t>.</w:t>
      </w:r>
      <w:r w:rsidRPr="0089689B">
        <w:rPr>
          <w:rFonts w:ascii="Times New Roman" w:hAnsi="Times New Roman"/>
          <w:b/>
          <w:i/>
          <w:sz w:val="24"/>
        </w:rPr>
        <w:t xml:space="preserve"> The Law Society </w:t>
      </w:r>
      <w:r w:rsidRPr="0089689B">
        <w:rPr>
          <w:rFonts w:ascii="Times New Roman" w:hAnsi="Times New Roman"/>
          <w:b/>
          <w:sz w:val="24"/>
        </w:rPr>
        <w:t>[2014] IESC 48; [2015] 1 IR 516 (at paras. 127 and 128 of the reported judgment) apply to a statutory appeal under s.64?</w:t>
      </w:r>
    </w:p>
    <w:p w14:paraId="4946CC0E" w14:textId="71AE3806" w:rsidR="00194693" w:rsidRPr="006F2BBD"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the context of these proceedings, the significance of the question arises in the context of the conclusion of the trial judge that the FSPO committed a serious and significant error of law in drawing unsubstantiated inferences from certain correspondence</w:t>
      </w:r>
      <w:r w:rsidR="0089689B">
        <w:rPr>
          <w:rFonts w:ascii="Times New Roman" w:hAnsi="Times New Roman"/>
          <w:sz w:val="24"/>
        </w:rPr>
        <w:t xml:space="preserve"> (para.</w:t>
      </w:r>
      <w:r w:rsidR="000B36F5">
        <w:rPr>
          <w:rFonts w:ascii="Times New Roman" w:hAnsi="Times New Roman"/>
          <w:sz w:val="24"/>
        </w:rPr>
        <w:t xml:space="preserve"> </w:t>
      </w:r>
      <w:r w:rsidR="0089689B">
        <w:rPr>
          <w:rFonts w:ascii="Times New Roman" w:hAnsi="Times New Roman"/>
          <w:sz w:val="24"/>
        </w:rPr>
        <w:t>81 of the judgment</w:t>
      </w:r>
      <w:r w:rsidR="000B36F5">
        <w:rPr>
          <w:rFonts w:ascii="Times New Roman" w:hAnsi="Times New Roman"/>
          <w:sz w:val="24"/>
        </w:rPr>
        <w:t>, see para. 4</w:t>
      </w:r>
      <w:r w:rsidR="00D733A3">
        <w:rPr>
          <w:rFonts w:ascii="Times New Roman" w:hAnsi="Times New Roman"/>
          <w:sz w:val="24"/>
        </w:rPr>
        <w:t>4</w:t>
      </w:r>
      <w:r w:rsidR="000B36F5">
        <w:rPr>
          <w:rFonts w:ascii="Times New Roman" w:hAnsi="Times New Roman"/>
          <w:sz w:val="24"/>
        </w:rPr>
        <w:t xml:space="preserve"> above</w:t>
      </w:r>
      <w:r w:rsidR="0089689B">
        <w:rPr>
          <w:rFonts w:ascii="Times New Roman" w:hAnsi="Times New Roman"/>
          <w:sz w:val="24"/>
        </w:rPr>
        <w:t>)</w:t>
      </w:r>
      <w:r>
        <w:rPr>
          <w:rFonts w:ascii="Times New Roman" w:hAnsi="Times New Roman"/>
          <w:sz w:val="24"/>
        </w:rPr>
        <w:t xml:space="preserve">.  </w:t>
      </w:r>
    </w:p>
    <w:p w14:paraId="3C0F08EE" w14:textId="2A276AF6" w:rsidR="00194693" w:rsidRPr="001C3DBC"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sidRPr="001C3DBC">
        <w:rPr>
          <w:rFonts w:ascii="Times New Roman" w:hAnsi="Times New Roman"/>
          <w:sz w:val="24"/>
        </w:rPr>
        <w:t xml:space="preserve">The FSPO </w:t>
      </w:r>
      <w:r w:rsidR="0089689B" w:rsidRPr="001C3DBC">
        <w:rPr>
          <w:rFonts w:ascii="Times New Roman" w:hAnsi="Times New Roman"/>
          <w:sz w:val="24"/>
        </w:rPr>
        <w:t>submits</w:t>
      </w:r>
      <w:r w:rsidRPr="001C3DBC">
        <w:rPr>
          <w:rFonts w:ascii="Times New Roman" w:hAnsi="Times New Roman"/>
          <w:sz w:val="24"/>
        </w:rPr>
        <w:t xml:space="preserve"> that the standard of review by the High Court on an appeal from the FSPO is well established,</w:t>
      </w:r>
      <w:r w:rsidR="0089689B" w:rsidRPr="001C3DBC">
        <w:rPr>
          <w:rFonts w:ascii="Times New Roman" w:hAnsi="Times New Roman"/>
          <w:sz w:val="24"/>
        </w:rPr>
        <w:t xml:space="preserve"> that being</w:t>
      </w:r>
      <w:r w:rsidRPr="001C3DBC">
        <w:rPr>
          <w:rFonts w:ascii="Times New Roman" w:hAnsi="Times New Roman"/>
          <w:sz w:val="24"/>
        </w:rPr>
        <w:t xml:space="preserve"> the test in </w:t>
      </w:r>
      <w:r w:rsidR="001C3DBC" w:rsidRPr="001C3DBC">
        <w:rPr>
          <w:rFonts w:ascii="Times New Roman" w:hAnsi="Times New Roman"/>
          <w:i/>
          <w:iCs/>
          <w:sz w:val="24"/>
        </w:rPr>
        <w:t>Ulster Bank Investment Funds Limited v</w:t>
      </w:r>
      <w:r w:rsidR="004E7D50">
        <w:rPr>
          <w:rFonts w:ascii="Times New Roman" w:hAnsi="Times New Roman"/>
          <w:i/>
          <w:iCs/>
          <w:sz w:val="24"/>
        </w:rPr>
        <w:t>.</w:t>
      </w:r>
      <w:r w:rsidR="001C3DBC" w:rsidRPr="001C3DBC">
        <w:rPr>
          <w:rFonts w:ascii="Times New Roman" w:hAnsi="Times New Roman"/>
          <w:i/>
          <w:iCs/>
          <w:sz w:val="24"/>
        </w:rPr>
        <w:t xml:space="preserve"> Financial Services Ombudsman</w:t>
      </w:r>
      <w:r w:rsidR="001C3DBC" w:rsidRPr="001C3DBC">
        <w:rPr>
          <w:rFonts w:ascii="Times New Roman" w:hAnsi="Times New Roman"/>
          <w:i/>
          <w:sz w:val="24"/>
        </w:rPr>
        <w:t xml:space="preserve"> </w:t>
      </w:r>
      <w:r w:rsidRPr="001C3DBC">
        <w:rPr>
          <w:rFonts w:ascii="Times New Roman" w:hAnsi="Times New Roman"/>
          <w:sz w:val="24"/>
        </w:rPr>
        <w:t>[2006] IEHC 323 wherein Finnegan P. held at p. 9:</w:t>
      </w:r>
    </w:p>
    <w:p w14:paraId="27D6761E" w14:textId="29AF86FB" w:rsidR="00194693" w:rsidRDefault="00194693"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“To succeed on this appeal the p</w:t>
      </w:r>
      <w:r w:rsidRPr="006F2BBD">
        <w:rPr>
          <w:rFonts w:ascii="Times New Roman" w:hAnsi="Times New Roman"/>
          <w:sz w:val="24"/>
        </w:rPr>
        <w:t>laintiff must establish as a matter of probability that, taking the adjudicative process as a whole, the decision reached was vitiated by a serious and significant error or a series of such er</w:t>
      </w:r>
      <w:r>
        <w:rPr>
          <w:rFonts w:ascii="Times New Roman" w:hAnsi="Times New Roman"/>
          <w:sz w:val="24"/>
        </w:rPr>
        <w:t>rors. In applying the test the c</w:t>
      </w:r>
      <w:r w:rsidRPr="006F2BBD">
        <w:rPr>
          <w:rFonts w:ascii="Times New Roman" w:hAnsi="Times New Roman"/>
          <w:sz w:val="24"/>
        </w:rPr>
        <w:t xml:space="preserve">ourt will have regard to the degree of expertise and specialist knowledge of </w:t>
      </w:r>
      <w:r>
        <w:rPr>
          <w:rFonts w:ascii="Times New Roman" w:hAnsi="Times New Roman"/>
          <w:sz w:val="24"/>
        </w:rPr>
        <w:t>the d</w:t>
      </w:r>
      <w:r w:rsidRPr="006F2BBD">
        <w:rPr>
          <w:rFonts w:ascii="Times New Roman" w:hAnsi="Times New Roman"/>
          <w:sz w:val="24"/>
        </w:rPr>
        <w:t xml:space="preserve">efendant. The deferential standard is that applied by Keane C.J. in </w:t>
      </w:r>
      <w:r w:rsidRPr="006F2BBD">
        <w:rPr>
          <w:rFonts w:ascii="Times New Roman" w:hAnsi="Times New Roman"/>
          <w:i/>
          <w:sz w:val="24"/>
        </w:rPr>
        <w:t>Orange v The Director of Telecommunications Regulation &amp; Anor</w:t>
      </w:r>
      <w:r w:rsidRPr="006F2BBD">
        <w:rPr>
          <w:rFonts w:ascii="Times New Roman" w:hAnsi="Times New Roman"/>
          <w:sz w:val="24"/>
        </w:rPr>
        <w:t xml:space="preserve"> </w:t>
      </w:r>
      <w:r>
        <w:rPr>
          <w:rFonts w:ascii="Times New Roman" w:hAnsi="Times New Roman"/>
          <w:sz w:val="24"/>
        </w:rPr>
        <w:t>…”</w:t>
      </w:r>
    </w:p>
    <w:p w14:paraId="09FBAA99" w14:textId="53745E9C" w:rsidR="003C7F00" w:rsidRPr="00D35C5F" w:rsidRDefault="00194693" w:rsidP="004668F7">
      <w:pPr>
        <w:pStyle w:val="ListParagraph"/>
        <w:numPr>
          <w:ilvl w:val="0"/>
          <w:numId w:val="1"/>
        </w:numPr>
        <w:tabs>
          <w:tab w:val="left" w:pos="567"/>
        </w:tabs>
        <w:spacing w:line="480" w:lineRule="auto"/>
        <w:ind w:left="0" w:firstLine="0"/>
        <w:rPr>
          <w:rFonts w:ascii="Times New Roman" w:hAnsi="Times New Roman" w:cs="Times New Roman"/>
          <w:sz w:val="24"/>
          <w:szCs w:val="24"/>
        </w:rPr>
      </w:pPr>
      <w:r w:rsidRPr="00D35C5F">
        <w:rPr>
          <w:rFonts w:ascii="Times New Roman" w:hAnsi="Times New Roman" w:cs="Times New Roman"/>
          <w:sz w:val="24"/>
          <w:szCs w:val="24"/>
        </w:rPr>
        <w:t>The submissions of the FSPO refer to a number of other subsequent authorities in which this test was</w:t>
      </w:r>
      <w:r w:rsidR="0089689B" w:rsidRPr="00D35C5F">
        <w:rPr>
          <w:rFonts w:ascii="Times New Roman" w:hAnsi="Times New Roman" w:cs="Times New Roman"/>
          <w:sz w:val="24"/>
          <w:szCs w:val="24"/>
        </w:rPr>
        <w:t xml:space="preserve"> repeatedly</w:t>
      </w:r>
      <w:r w:rsidRPr="00D35C5F">
        <w:rPr>
          <w:rFonts w:ascii="Times New Roman" w:hAnsi="Times New Roman" w:cs="Times New Roman"/>
          <w:sz w:val="24"/>
          <w:szCs w:val="24"/>
        </w:rPr>
        <w:t xml:space="preserve"> </w:t>
      </w:r>
      <w:r w:rsidR="0089689B" w:rsidRPr="00D35C5F">
        <w:rPr>
          <w:rFonts w:ascii="Times New Roman" w:hAnsi="Times New Roman" w:cs="Times New Roman"/>
          <w:sz w:val="24"/>
          <w:szCs w:val="24"/>
        </w:rPr>
        <w:t>affirmed</w:t>
      </w:r>
      <w:r w:rsidRPr="00D35C5F">
        <w:rPr>
          <w:rFonts w:ascii="Times New Roman" w:hAnsi="Times New Roman" w:cs="Times New Roman"/>
          <w:sz w:val="24"/>
          <w:szCs w:val="24"/>
        </w:rPr>
        <w:t xml:space="preserve">, including </w:t>
      </w:r>
      <w:r w:rsidRPr="00D35C5F">
        <w:rPr>
          <w:rFonts w:ascii="Times New Roman" w:hAnsi="Times New Roman" w:cs="Times New Roman"/>
          <w:i/>
          <w:sz w:val="24"/>
          <w:szCs w:val="24"/>
        </w:rPr>
        <w:t xml:space="preserve">Millar v. FSO.  </w:t>
      </w:r>
      <w:r w:rsidR="003C7F00" w:rsidRPr="00D35C5F">
        <w:rPr>
          <w:rFonts w:ascii="Times New Roman" w:hAnsi="Times New Roman" w:cs="Times New Roman"/>
          <w:sz w:val="24"/>
          <w:szCs w:val="24"/>
        </w:rPr>
        <w:t xml:space="preserve">In that case, the court was required to consider whether deference should be accorded to a decision of the Financial </w:t>
      </w:r>
      <w:r w:rsidR="003C7F00" w:rsidRPr="00D35C5F">
        <w:rPr>
          <w:rFonts w:ascii="Times New Roman" w:hAnsi="Times New Roman" w:cs="Times New Roman"/>
          <w:sz w:val="24"/>
          <w:szCs w:val="24"/>
        </w:rPr>
        <w:lastRenderedPageBreak/>
        <w:t>Services Ombudsman on a question of interpretation of contract.  The court held at para. 15 that “where the Ombudsman has made a decision or determination on a pure question of contract law which forms part of the finding under appeal, … the court should not adopt a deferential stance to the decision or determination on the question of law”.  Later in the same paragraph Finlay Geoghegan J. stated: “with respect to the Ombudsman he does not have expertise or specialist knowledge, certainly relative to the High Court, in deciding questions of law.”</w:t>
      </w:r>
    </w:p>
    <w:p w14:paraId="16CC7305" w14:textId="5FE65EE8" w:rsidR="003C7F00" w:rsidRDefault="003C7F00" w:rsidP="003C7F00">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At para</w:t>
      </w:r>
      <w:r w:rsidR="000C73AA">
        <w:rPr>
          <w:rFonts w:ascii="Times New Roman" w:hAnsi="Times New Roman"/>
          <w:sz w:val="24"/>
        </w:rPr>
        <w:t>s</w:t>
      </w:r>
      <w:r>
        <w:rPr>
          <w:rFonts w:ascii="Times New Roman" w:hAnsi="Times New Roman"/>
          <w:sz w:val="24"/>
        </w:rPr>
        <w:t xml:space="preserve">. 16 </w:t>
      </w:r>
      <w:r w:rsidR="000C73AA">
        <w:rPr>
          <w:rFonts w:ascii="Times New Roman" w:hAnsi="Times New Roman"/>
          <w:sz w:val="24"/>
        </w:rPr>
        <w:t xml:space="preserve">- </w:t>
      </w:r>
      <w:r>
        <w:rPr>
          <w:rFonts w:ascii="Times New Roman" w:hAnsi="Times New Roman"/>
          <w:sz w:val="24"/>
        </w:rPr>
        <w:t>1</w:t>
      </w:r>
      <w:r w:rsidR="000C73AA">
        <w:rPr>
          <w:rFonts w:ascii="Times New Roman" w:hAnsi="Times New Roman"/>
          <w:sz w:val="24"/>
        </w:rPr>
        <w:t>8</w:t>
      </w:r>
      <w:r>
        <w:rPr>
          <w:rFonts w:ascii="Times New Roman" w:hAnsi="Times New Roman"/>
          <w:sz w:val="24"/>
        </w:rPr>
        <w:t>, Finlay Geoghegan J. continued:</w:t>
      </w:r>
    </w:p>
    <w:p w14:paraId="3C654C93" w14:textId="23D3D847" w:rsidR="003C7F00" w:rsidRDefault="003C7F00" w:rsidP="003C7F00">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“16. </w:t>
      </w:r>
      <w:r w:rsidRPr="004B4585">
        <w:rPr>
          <w:rFonts w:ascii="Times New Roman" w:hAnsi="Times New Roman"/>
          <w:sz w:val="24"/>
        </w:rPr>
        <w:t>However, it does not appear to me that it follows from this conclusion that as put by the trial judge where the appeal is taken against a finding of the Ombudsman which includes a decision on the question of a contractual construction t</w:t>
      </w:r>
      <w:r>
        <w:rPr>
          <w:rFonts w:ascii="Times New Roman" w:hAnsi="Times New Roman"/>
          <w:sz w:val="24"/>
        </w:rPr>
        <w:t xml:space="preserve">hat the High Court is required </w:t>
      </w:r>
      <w:r w:rsidRPr="004B4585">
        <w:rPr>
          <w:rFonts w:ascii="Times New Roman" w:hAnsi="Times New Roman"/>
          <w:sz w:val="24"/>
        </w:rPr>
        <w:t xml:space="preserve">to </w:t>
      </w:r>
      <w:r>
        <w:rPr>
          <w:rFonts w:ascii="Times New Roman" w:hAnsi="Times New Roman"/>
          <w:sz w:val="24"/>
        </w:rPr>
        <w:t>‘</w:t>
      </w:r>
      <w:r w:rsidRPr="004B4585">
        <w:rPr>
          <w:rFonts w:ascii="Times New Roman" w:hAnsi="Times New Roman"/>
          <w:sz w:val="24"/>
        </w:rPr>
        <w:t>examine afresh’ that issue in the course of the appeal. Rather the correct position is that the general principles set out in </w:t>
      </w:r>
      <w:r w:rsidRPr="003B51FA">
        <w:rPr>
          <w:rFonts w:ascii="Times New Roman" w:hAnsi="Times New Roman"/>
          <w:i/>
          <w:sz w:val="24"/>
        </w:rPr>
        <w:t>Ulster Bank Investment Funds Ltd. v. Financial Services Ombudsman </w:t>
      </w:r>
      <w:r w:rsidRPr="004B4585">
        <w:rPr>
          <w:rFonts w:ascii="Times New Roman" w:hAnsi="Times New Roman"/>
          <w:sz w:val="24"/>
        </w:rPr>
        <w:t xml:space="preserve">still apply to the determination of the appeal save that the High Court in considering a decision of the Ombudsman on a pure question of law will not take a deferential stance to that part of the finding. </w:t>
      </w:r>
    </w:p>
    <w:p w14:paraId="1537815E" w14:textId="111CE826" w:rsidR="003C7F00" w:rsidRDefault="003C7F00" w:rsidP="003C7F00">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17. </w:t>
      </w:r>
      <w:r w:rsidRPr="003B51FA">
        <w:rPr>
          <w:rFonts w:ascii="Times New Roman" w:hAnsi="Times New Roman"/>
          <w:sz w:val="24"/>
        </w:rPr>
        <w:t>This means that on appeal to the High Court from a finding which includes a decision on a pure question of law, the burden of proof remains on the appellant; the onus of proof is the civil standard; the court should consider the adjudicative process as a whole and the onus is on the appellant to show that the decision was vitiated by a serious and significant error. The court will normally determine the appeal on the evidence and</w:t>
      </w:r>
      <w:r>
        <w:rPr>
          <w:rFonts w:ascii="Times New Roman" w:hAnsi="Times New Roman"/>
          <w:sz w:val="24"/>
        </w:rPr>
        <w:t xml:space="preserve"> material before the Ombudsman.</w:t>
      </w:r>
    </w:p>
    <w:p w14:paraId="67296D1F" w14:textId="0B458EC1" w:rsidR="00617D59" w:rsidRDefault="00D52895" w:rsidP="00617D59">
      <w:pPr>
        <w:pStyle w:val="ListParagraph"/>
        <w:tabs>
          <w:tab w:val="left" w:pos="567"/>
        </w:tabs>
        <w:spacing w:line="480" w:lineRule="auto"/>
        <w:ind w:left="567"/>
        <w:jc w:val="left"/>
        <w:rPr>
          <w:rFonts w:ascii="Times New Roman" w:hAnsi="Times New Roman"/>
          <w:sz w:val="24"/>
        </w:rPr>
      </w:pPr>
      <w:r>
        <w:rPr>
          <w:rFonts w:ascii="Times New Roman" w:hAnsi="Times New Roman"/>
          <w:sz w:val="24"/>
        </w:rPr>
        <w:t>18</w:t>
      </w:r>
      <w:r w:rsidR="00617D59">
        <w:rPr>
          <w:rFonts w:ascii="Times New Roman" w:hAnsi="Times New Roman"/>
          <w:sz w:val="24"/>
        </w:rPr>
        <w:t xml:space="preserve">.  The construction of a contract is not a pure question of law.  It is a mixed question of law and fact.  In relation to a contract in writing </w:t>
      </w:r>
      <w:r w:rsidR="00617D59" w:rsidRPr="00F86B4D">
        <w:rPr>
          <w:rFonts w:ascii="Times New Roman" w:hAnsi="Times New Roman"/>
          <w:i/>
          <w:sz w:val="24"/>
        </w:rPr>
        <w:t xml:space="preserve">Chitty </w:t>
      </w:r>
      <w:r w:rsidR="00617D59">
        <w:rPr>
          <w:rFonts w:ascii="Times New Roman" w:hAnsi="Times New Roman"/>
          <w:sz w:val="24"/>
        </w:rPr>
        <w:t>on Contracts 31</w:t>
      </w:r>
      <w:r w:rsidR="00617D59" w:rsidRPr="00F86B4D">
        <w:rPr>
          <w:rFonts w:ascii="Times New Roman" w:hAnsi="Times New Roman"/>
          <w:sz w:val="24"/>
          <w:vertAlign w:val="superscript"/>
        </w:rPr>
        <w:t>st</w:t>
      </w:r>
      <w:r w:rsidR="00617D59">
        <w:rPr>
          <w:rFonts w:ascii="Times New Roman" w:hAnsi="Times New Roman"/>
          <w:sz w:val="24"/>
        </w:rPr>
        <w:t xml:space="preserve"> Ed.Vol.1, para.12 – 046: -</w:t>
      </w:r>
    </w:p>
    <w:p w14:paraId="0C4E3F45" w14:textId="62CDAFE2" w:rsidR="00D52895" w:rsidRPr="00D35C5F" w:rsidRDefault="00617D59" w:rsidP="00D35C5F">
      <w:pPr>
        <w:pStyle w:val="ListParagraph"/>
        <w:tabs>
          <w:tab w:val="left" w:pos="567"/>
        </w:tabs>
        <w:spacing w:line="480" w:lineRule="auto"/>
        <w:ind w:left="1134"/>
        <w:jc w:val="left"/>
        <w:rPr>
          <w:rFonts w:ascii="Times New Roman" w:hAnsi="Times New Roman"/>
          <w:sz w:val="24"/>
        </w:rPr>
      </w:pPr>
      <w:r>
        <w:rPr>
          <w:rFonts w:ascii="Times New Roman" w:hAnsi="Times New Roman"/>
          <w:sz w:val="24"/>
        </w:rPr>
        <w:lastRenderedPageBreak/>
        <w:tab/>
      </w:r>
      <w:r w:rsidR="00427D5E">
        <w:rPr>
          <w:rFonts w:ascii="Times New Roman" w:hAnsi="Times New Roman"/>
          <w:sz w:val="24"/>
        </w:rPr>
        <w:t>‘</w:t>
      </w:r>
      <w:r>
        <w:rPr>
          <w:rFonts w:ascii="Times New Roman" w:hAnsi="Times New Roman"/>
          <w:sz w:val="24"/>
        </w:rPr>
        <w:t>the construction of written instruments is a question of mixed law and fact.  The expression “construction” as applied to a document includes two things, first, the meaning of the words; and secondly, their legal effect or the effect which is to be given to them.  Construction becomes a question of law as soon as the true meaning of the words in which an instrument has been expressed and the surrounding circumstances, if any, have been ascertained as facts.  However, the meaning of an ordinary English word of technical or commercial terms and of latent ambiguities, and the discovery of the surrounding circumstances (where they are relevant) are questions of fact.</w:t>
      </w:r>
      <w:r w:rsidR="00427D5E">
        <w:rPr>
          <w:rFonts w:ascii="Times New Roman" w:hAnsi="Times New Roman"/>
          <w:sz w:val="24"/>
        </w:rPr>
        <w:t>’”</w:t>
      </w:r>
      <w:r>
        <w:rPr>
          <w:rFonts w:ascii="Times New Roman" w:hAnsi="Times New Roman"/>
          <w:sz w:val="24"/>
        </w:rPr>
        <w:t xml:space="preserve"> </w:t>
      </w:r>
    </w:p>
    <w:p w14:paraId="697E26B3" w14:textId="675D6A5A" w:rsidR="00194693" w:rsidRPr="00F770E6"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It is submitted that in circumstances where there is a considerable body of case law on s. 64 appeals, the introduction of another judgment from another context is of limited assistance.  </w:t>
      </w:r>
    </w:p>
    <w:p w14:paraId="279F9E02" w14:textId="2D0F91E3" w:rsidR="00194693" w:rsidRPr="0041466B"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i/>
          <w:sz w:val="24"/>
        </w:rPr>
        <w:t xml:space="preserve">Fitzgibbon </w:t>
      </w:r>
      <w:r>
        <w:rPr>
          <w:rFonts w:ascii="Times New Roman" w:hAnsi="Times New Roman"/>
          <w:sz w:val="24"/>
        </w:rPr>
        <w:t xml:space="preserve">concerned an appeal on a point of law only from a decision of the respondent in that case.  The passages from </w:t>
      </w:r>
      <w:r>
        <w:rPr>
          <w:rFonts w:ascii="Times New Roman" w:hAnsi="Times New Roman"/>
          <w:i/>
          <w:sz w:val="24"/>
        </w:rPr>
        <w:t xml:space="preserve">Fitzgibbon </w:t>
      </w:r>
      <w:r>
        <w:rPr>
          <w:rFonts w:ascii="Times New Roman" w:hAnsi="Times New Roman"/>
          <w:sz w:val="24"/>
        </w:rPr>
        <w:t>referred to in the third question are as follows:</w:t>
      </w:r>
    </w:p>
    <w:p w14:paraId="317D8BAB" w14:textId="77777777" w:rsidR="00194693" w:rsidRPr="0041466B" w:rsidRDefault="00194693" w:rsidP="00E20F5C">
      <w:pPr>
        <w:pStyle w:val="ListParagraph"/>
        <w:tabs>
          <w:tab w:val="left" w:pos="567"/>
        </w:tabs>
        <w:spacing w:line="480" w:lineRule="auto"/>
        <w:ind w:left="567"/>
        <w:rPr>
          <w:rFonts w:ascii="Times New Roman" w:hAnsi="Times New Roman"/>
          <w:sz w:val="24"/>
        </w:rPr>
      </w:pPr>
      <w:r>
        <w:rPr>
          <w:rFonts w:ascii="Times New Roman" w:hAnsi="Times New Roman"/>
          <w:sz w:val="24"/>
        </w:rPr>
        <w:t>“127.</w:t>
      </w:r>
      <w:r w:rsidRPr="0041466B">
        <w:rPr>
          <w:rFonts w:ascii="Times New Roman" w:hAnsi="Times New Roman"/>
          <w:sz w:val="24"/>
        </w:rPr>
        <w:t xml:space="preserve"> The applicable principles were helpfully su</w:t>
      </w:r>
      <w:r>
        <w:rPr>
          <w:rFonts w:ascii="Times New Roman" w:hAnsi="Times New Roman"/>
          <w:sz w:val="24"/>
        </w:rPr>
        <w:t xml:space="preserve">mmarised by McKechnie J. in </w:t>
      </w:r>
      <w:proofErr w:type="spellStart"/>
      <w:r w:rsidRPr="0041466B">
        <w:rPr>
          <w:rFonts w:ascii="Times New Roman" w:hAnsi="Times New Roman"/>
          <w:i/>
          <w:sz w:val="24"/>
        </w:rPr>
        <w:t>Deely</w:t>
      </w:r>
      <w:proofErr w:type="spellEnd"/>
      <w:r w:rsidRPr="0041466B">
        <w:rPr>
          <w:rFonts w:ascii="Times New Roman" w:hAnsi="Times New Roman"/>
          <w:i/>
          <w:sz w:val="24"/>
        </w:rPr>
        <w:t xml:space="preserve"> v.</w:t>
      </w:r>
      <w:r>
        <w:rPr>
          <w:rFonts w:ascii="Times New Roman" w:hAnsi="Times New Roman"/>
          <w:i/>
          <w:sz w:val="24"/>
        </w:rPr>
        <w:t xml:space="preserve"> </w:t>
      </w:r>
      <w:r w:rsidRPr="0041466B">
        <w:rPr>
          <w:rFonts w:ascii="Times New Roman" w:hAnsi="Times New Roman"/>
          <w:i/>
          <w:sz w:val="24"/>
        </w:rPr>
        <w:t>Information Commissioner</w:t>
      </w:r>
      <w:r w:rsidRPr="0041466B">
        <w:rPr>
          <w:rFonts w:ascii="Times New Roman" w:hAnsi="Times New Roman"/>
          <w:sz w:val="24"/>
        </w:rPr>
        <w:t xml:space="preserve"> [2001] 3 I.R. 439 at p. 452, which concerned an appeal under s. 42 of the Freedom of Information Act, 1997, as follows: -</w:t>
      </w:r>
    </w:p>
    <w:p w14:paraId="3863E9E6" w14:textId="77777777" w:rsidR="00194693" w:rsidRPr="0041466B" w:rsidRDefault="00194693" w:rsidP="00E20F5C">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Pr="0041466B">
        <w:rPr>
          <w:rFonts w:ascii="Times New Roman" w:hAnsi="Times New Roman"/>
          <w:sz w:val="24"/>
        </w:rPr>
        <w:t>‘There is no doubt but that when a court is considering only a point of law, whether by way of a restricted appeal or via a case stated, the distinction in my view being irrelevant, it is, in accordance with established principles, confined as to its remit, in the manner following: -</w:t>
      </w:r>
    </w:p>
    <w:p w14:paraId="6C110108" w14:textId="77777777" w:rsidR="00194693" w:rsidRPr="0041466B" w:rsidRDefault="00194693" w:rsidP="00E20F5C">
      <w:pPr>
        <w:pStyle w:val="ListParagraph"/>
        <w:tabs>
          <w:tab w:val="left" w:pos="567"/>
        </w:tabs>
        <w:spacing w:line="480" w:lineRule="auto"/>
        <w:ind w:left="1701"/>
        <w:rPr>
          <w:rFonts w:ascii="Times New Roman" w:hAnsi="Times New Roman"/>
          <w:sz w:val="24"/>
        </w:rPr>
      </w:pPr>
      <w:r>
        <w:rPr>
          <w:rFonts w:ascii="Times New Roman" w:hAnsi="Times New Roman"/>
          <w:sz w:val="24"/>
        </w:rPr>
        <w:tab/>
      </w:r>
      <w:r w:rsidRPr="0041466B">
        <w:rPr>
          <w:rFonts w:ascii="Times New Roman" w:hAnsi="Times New Roman"/>
          <w:sz w:val="24"/>
        </w:rPr>
        <w:t>(a) it cannot set aside findings of primary fact unless there is no evidence to support such findings;</w:t>
      </w:r>
    </w:p>
    <w:p w14:paraId="63617FFF" w14:textId="77777777" w:rsidR="00194693" w:rsidRDefault="00194693" w:rsidP="00E20F5C">
      <w:pPr>
        <w:pStyle w:val="ListParagraph"/>
        <w:tabs>
          <w:tab w:val="left" w:pos="567"/>
        </w:tabs>
        <w:spacing w:line="480" w:lineRule="auto"/>
        <w:ind w:left="1701"/>
        <w:rPr>
          <w:rFonts w:ascii="Times New Roman" w:hAnsi="Times New Roman"/>
          <w:sz w:val="24"/>
        </w:rPr>
      </w:pPr>
      <w:r>
        <w:rPr>
          <w:rFonts w:ascii="Times New Roman" w:hAnsi="Times New Roman"/>
          <w:sz w:val="24"/>
        </w:rPr>
        <w:lastRenderedPageBreak/>
        <w:tab/>
      </w:r>
      <w:r w:rsidRPr="0041466B">
        <w:rPr>
          <w:rFonts w:ascii="Times New Roman" w:hAnsi="Times New Roman"/>
          <w:sz w:val="24"/>
        </w:rPr>
        <w:t>(b) it ought not to set aside inferences drawn from such facts unless such inferences were ones which no reasonable decision making body could draw;</w:t>
      </w:r>
    </w:p>
    <w:p w14:paraId="2E784FA6" w14:textId="77777777" w:rsidR="00194693" w:rsidRPr="0041466B" w:rsidRDefault="00194693" w:rsidP="00E20F5C">
      <w:pPr>
        <w:pStyle w:val="ListParagraph"/>
        <w:tabs>
          <w:tab w:val="left" w:pos="567"/>
        </w:tabs>
        <w:spacing w:line="480" w:lineRule="auto"/>
        <w:ind w:left="1701"/>
        <w:rPr>
          <w:rFonts w:ascii="Times New Roman" w:hAnsi="Times New Roman"/>
          <w:sz w:val="24"/>
        </w:rPr>
      </w:pPr>
      <w:r>
        <w:rPr>
          <w:rFonts w:ascii="Times New Roman" w:hAnsi="Times New Roman"/>
          <w:sz w:val="24"/>
        </w:rPr>
        <w:tab/>
      </w:r>
      <w:r w:rsidRPr="0041466B">
        <w:rPr>
          <w:rFonts w:ascii="Times New Roman" w:hAnsi="Times New Roman"/>
          <w:sz w:val="24"/>
        </w:rPr>
        <w:t>(c) it can however, reverse such inferences, if the same were based on the interpretation of documents and should do so if incorrect; and finally;</w:t>
      </w:r>
    </w:p>
    <w:p w14:paraId="5894705D" w14:textId="77777777" w:rsidR="00194693" w:rsidRDefault="00194693" w:rsidP="00E20F5C">
      <w:pPr>
        <w:pStyle w:val="ListParagraph"/>
        <w:tabs>
          <w:tab w:val="left" w:pos="567"/>
        </w:tabs>
        <w:spacing w:line="480" w:lineRule="auto"/>
        <w:ind w:left="1701"/>
        <w:rPr>
          <w:rFonts w:ascii="Times New Roman" w:hAnsi="Times New Roman"/>
          <w:sz w:val="24"/>
        </w:rPr>
      </w:pPr>
      <w:r>
        <w:rPr>
          <w:rFonts w:ascii="Times New Roman" w:hAnsi="Times New Roman"/>
          <w:sz w:val="24"/>
        </w:rPr>
        <w:tab/>
      </w:r>
      <w:r w:rsidRPr="0041466B">
        <w:rPr>
          <w:rFonts w:ascii="Times New Roman" w:hAnsi="Times New Roman"/>
          <w:sz w:val="24"/>
        </w:rPr>
        <w:t>(d) if the conclusion reached by such bodies shows that they have taken an erroneous view of the law, then that also is a ground for setting aside the resulting decision…</w:t>
      </w:r>
      <w:r>
        <w:rPr>
          <w:rFonts w:ascii="Times New Roman" w:hAnsi="Times New Roman"/>
          <w:sz w:val="24"/>
        </w:rPr>
        <w:t>’</w:t>
      </w:r>
    </w:p>
    <w:p w14:paraId="51A7908D" w14:textId="77777777" w:rsidR="00194693" w:rsidRDefault="00194693" w:rsidP="00E20F5C">
      <w:pPr>
        <w:tabs>
          <w:tab w:val="left" w:pos="567"/>
        </w:tabs>
        <w:spacing w:line="480" w:lineRule="auto"/>
        <w:ind w:left="567"/>
        <w:jc w:val="both"/>
      </w:pPr>
      <w:r w:rsidRPr="009C4BB4">
        <w:t>This passage was later cited in the Supreme Court judgments of both Fennelly and Kearns JJ. in </w:t>
      </w:r>
      <w:r w:rsidRPr="009C4BB4">
        <w:rPr>
          <w:i/>
          <w:iCs/>
        </w:rPr>
        <w:t>Sheedy v Information Commissioner</w:t>
      </w:r>
      <w:r w:rsidRPr="009C4BB4">
        <w:t>  </w:t>
      </w:r>
      <w:hyperlink r:id="rId8" w:history="1">
        <w:r w:rsidRPr="009C4BB4">
          <w:rPr>
            <w:rStyle w:val="Hyperlink"/>
            <w:color w:val="auto"/>
            <w:u w:val="none"/>
          </w:rPr>
          <w:t xml:space="preserve">[2005] </w:t>
        </w:r>
        <w:r>
          <w:rPr>
            <w:rStyle w:val="Hyperlink"/>
            <w:color w:val="auto"/>
            <w:u w:val="none"/>
          </w:rPr>
          <w:t xml:space="preserve">ICSC 35, [2005] </w:t>
        </w:r>
        <w:r w:rsidRPr="009C4BB4">
          <w:rPr>
            <w:rStyle w:val="Hyperlink"/>
            <w:color w:val="auto"/>
            <w:u w:val="none"/>
          </w:rPr>
          <w:t>2 I.R. 272</w:t>
        </w:r>
      </w:hyperlink>
      <w:r w:rsidRPr="009C4BB4">
        <w:t>.</w:t>
      </w:r>
    </w:p>
    <w:p w14:paraId="2461593A" w14:textId="215E0102" w:rsidR="00194693" w:rsidRPr="009C4BB4" w:rsidRDefault="00194693" w:rsidP="00D52895">
      <w:pPr>
        <w:tabs>
          <w:tab w:val="left" w:pos="567"/>
        </w:tabs>
        <w:spacing w:line="480" w:lineRule="auto"/>
        <w:ind w:left="567"/>
        <w:jc w:val="both"/>
      </w:pPr>
      <w:r>
        <w:t xml:space="preserve">128.  </w:t>
      </w:r>
      <w:r w:rsidRPr="009C4BB4">
        <w:t>In one sense it may be said that two types of points of law can legitimately be raised in an appeal which is limited to points of law alone. First, there may be an error of law in the determination of the first instance body. Second, it may be the case that the way in which the first instance body has reached its conclusions on the facts involves an error whi</w:t>
      </w:r>
      <w:r>
        <w:t>ch itself amounts to an error of</w:t>
      </w:r>
      <w:r w:rsidRPr="009C4BB4">
        <w:t xml:space="preserve"> law. There may have been no evidence to support a finding or inferences may have been drawn on the facts which no reasonable decision-maker could have drawn. It follows that a higher degree of deference, so far as the facts are concerned, is paid by the appellate body to the decision of the first instance body in an appeal on a point of law only, as opposed to an appeal against</w:t>
      </w:r>
      <w:r>
        <w:t xml:space="preserve"> error. In the latter case the c</w:t>
      </w:r>
      <w:r w:rsidRPr="009C4BB4">
        <w:t>ourt is entitled to form its own view on the proper inferences to be drawn (</w:t>
      </w:r>
      <w:r>
        <w:t>although not on primary facts)</w:t>
      </w:r>
      <w:r w:rsidR="00D52895">
        <w:t>”.</w:t>
      </w:r>
    </w:p>
    <w:p w14:paraId="45A8BE0B" w14:textId="3C8325BB" w:rsidR="00194693" w:rsidRDefault="00194693"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FSPO submits that even if </w:t>
      </w:r>
      <w:r w:rsidR="00133A02">
        <w:rPr>
          <w:rFonts w:ascii="Times New Roman" w:hAnsi="Times New Roman"/>
          <w:sz w:val="24"/>
        </w:rPr>
        <w:t>t</w:t>
      </w:r>
      <w:r>
        <w:rPr>
          <w:rFonts w:ascii="Times New Roman" w:hAnsi="Times New Roman"/>
          <w:sz w:val="24"/>
        </w:rPr>
        <w:t xml:space="preserve">he standard in </w:t>
      </w:r>
      <w:r>
        <w:rPr>
          <w:rFonts w:ascii="Times New Roman" w:hAnsi="Times New Roman"/>
          <w:i/>
          <w:sz w:val="24"/>
        </w:rPr>
        <w:t xml:space="preserve">Fitzgibbon </w:t>
      </w:r>
      <w:r>
        <w:rPr>
          <w:rFonts w:ascii="Times New Roman" w:hAnsi="Times New Roman"/>
          <w:sz w:val="24"/>
        </w:rPr>
        <w:t xml:space="preserve">is applied, it would favour its case on this appeal, because while the trial judge disagreed with the assessment of and conclusion drawn by the FSPO from the documentary evidence, and concluded that the FSPO had drawn “unsubstantiated inferences” from correspondence, the trial judge did not </w:t>
      </w:r>
      <w:r>
        <w:rPr>
          <w:rFonts w:ascii="Times New Roman" w:hAnsi="Times New Roman"/>
          <w:sz w:val="24"/>
        </w:rPr>
        <w:lastRenderedPageBreak/>
        <w:t>conclude that no reasonable Ombudsman could have drawn such inferences, and nor did he conclude that there was no evidence to support such inferences.  That said, the FSPO acknowledges that the trial judge did describe as “unreasonable”, an inference drawn by the FSPO from one particular document – the</w:t>
      </w:r>
      <w:r w:rsidR="00B62449">
        <w:rPr>
          <w:rFonts w:ascii="Times New Roman" w:hAnsi="Times New Roman"/>
          <w:sz w:val="24"/>
        </w:rPr>
        <w:t xml:space="preserve"> internal</w:t>
      </w:r>
      <w:r w:rsidR="00133A02">
        <w:rPr>
          <w:rFonts w:ascii="Times New Roman" w:hAnsi="Times New Roman"/>
          <w:sz w:val="24"/>
        </w:rPr>
        <w:t xml:space="preserve"> e-mail of Mr. </w:t>
      </w:r>
      <w:proofErr w:type="spellStart"/>
      <w:r w:rsidR="00133A02">
        <w:rPr>
          <w:rFonts w:ascii="Times New Roman" w:hAnsi="Times New Roman"/>
          <w:sz w:val="24"/>
        </w:rPr>
        <w:t>Hulsman</w:t>
      </w:r>
      <w:proofErr w:type="spellEnd"/>
      <w:r w:rsidR="00133A02">
        <w:rPr>
          <w:rFonts w:ascii="Times New Roman" w:hAnsi="Times New Roman"/>
          <w:sz w:val="24"/>
        </w:rPr>
        <w:t xml:space="preserve"> to </w:t>
      </w:r>
      <w:proofErr w:type="spellStart"/>
      <w:r w:rsidR="00133A02">
        <w:rPr>
          <w:rFonts w:ascii="Times New Roman" w:hAnsi="Times New Roman"/>
          <w:sz w:val="24"/>
        </w:rPr>
        <w:t>Dr.</w:t>
      </w:r>
      <w:proofErr w:type="spellEnd"/>
      <w:r w:rsidR="008803AC">
        <w:rPr>
          <w:rFonts w:ascii="Times New Roman" w:hAnsi="Times New Roman"/>
          <w:sz w:val="24"/>
        </w:rPr>
        <w:t xml:space="preserve"> </w:t>
      </w:r>
      <w:r w:rsidR="00133A02">
        <w:rPr>
          <w:rFonts w:ascii="Times New Roman" w:hAnsi="Times New Roman"/>
          <w:sz w:val="24"/>
        </w:rPr>
        <w:t>Gleeson</w:t>
      </w:r>
      <w:r>
        <w:rPr>
          <w:rFonts w:ascii="Times New Roman" w:hAnsi="Times New Roman"/>
          <w:sz w:val="24"/>
        </w:rPr>
        <w:t xml:space="preserve"> of 27</w:t>
      </w:r>
      <w:r w:rsidRPr="00230F6C">
        <w:rPr>
          <w:rFonts w:ascii="Times New Roman" w:hAnsi="Times New Roman"/>
          <w:sz w:val="24"/>
          <w:vertAlign w:val="superscript"/>
        </w:rPr>
        <w:t>th</w:t>
      </w:r>
      <w:r>
        <w:rPr>
          <w:rFonts w:ascii="Times New Roman" w:hAnsi="Times New Roman"/>
          <w:sz w:val="24"/>
        </w:rPr>
        <w:t xml:space="preserve"> July 2016, and </w:t>
      </w:r>
      <w:r w:rsidR="00B62449">
        <w:rPr>
          <w:rFonts w:ascii="Times New Roman" w:hAnsi="Times New Roman"/>
          <w:sz w:val="24"/>
        </w:rPr>
        <w:t xml:space="preserve">at para. 79 </w:t>
      </w:r>
      <w:r>
        <w:rPr>
          <w:rFonts w:ascii="Times New Roman" w:hAnsi="Times New Roman"/>
          <w:sz w:val="24"/>
        </w:rPr>
        <w:t>he also described as “untenable” another inference of the FSPO.  This was in reference to a distinction between the fact that the notice party suffered from an excluded illness</w:t>
      </w:r>
      <w:r w:rsidR="008B4F28">
        <w:rPr>
          <w:rFonts w:ascii="Times New Roman" w:hAnsi="Times New Roman"/>
          <w:sz w:val="24"/>
        </w:rPr>
        <w:t>,</w:t>
      </w:r>
      <w:r>
        <w:rPr>
          <w:rFonts w:ascii="Times New Roman" w:hAnsi="Times New Roman"/>
          <w:sz w:val="24"/>
        </w:rPr>
        <w:t xml:space="preserve"> i.e. fibromyalgia</w:t>
      </w:r>
      <w:r w:rsidR="00B62449">
        <w:rPr>
          <w:rFonts w:ascii="Times New Roman" w:hAnsi="Times New Roman"/>
          <w:sz w:val="24"/>
        </w:rPr>
        <w:t>,</w:t>
      </w:r>
      <w:r>
        <w:rPr>
          <w:rFonts w:ascii="Times New Roman" w:hAnsi="Times New Roman"/>
          <w:sz w:val="24"/>
        </w:rPr>
        <w:t xml:space="preserve"> on the one hand</w:t>
      </w:r>
      <w:r w:rsidR="00B62449">
        <w:rPr>
          <w:rFonts w:ascii="Times New Roman" w:hAnsi="Times New Roman"/>
          <w:sz w:val="24"/>
        </w:rPr>
        <w:t>,</w:t>
      </w:r>
      <w:r>
        <w:rPr>
          <w:rFonts w:ascii="Times New Roman" w:hAnsi="Times New Roman"/>
          <w:sz w:val="24"/>
        </w:rPr>
        <w:t xml:space="preserve"> while on the other hand her disability may have been caused by a covered illness -  rheumatoid arthritis.  The FSPO had inferred that Utmost did not appreciate the distinction, and the trial judge considered that it was clear from the documents before the court that it did.</w:t>
      </w:r>
    </w:p>
    <w:p w14:paraId="0E4B459D" w14:textId="1B2B3EAE" w:rsidR="00C2426B" w:rsidRDefault="00C2426B" w:rsidP="00E20F5C">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 xml:space="preserve">The FSPO further submits that </w:t>
      </w:r>
      <w:r w:rsidR="000C73AA">
        <w:rPr>
          <w:rFonts w:ascii="Times New Roman" w:hAnsi="Times New Roman"/>
          <w:sz w:val="24"/>
        </w:rPr>
        <w:t xml:space="preserve">he </w:t>
      </w:r>
      <w:r w:rsidR="008C1B3B">
        <w:rPr>
          <w:rFonts w:ascii="Times New Roman" w:hAnsi="Times New Roman"/>
          <w:sz w:val="24"/>
        </w:rPr>
        <w:t>did not draw</w:t>
      </w:r>
      <w:r>
        <w:rPr>
          <w:rFonts w:ascii="Times New Roman" w:hAnsi="Times New Roman"/>
          <w:sz w:val="24"/>
        </w:rPr>
        <w:t xml:space="preserve"> inferences </w:t>
      </w:r>
      <w:r w:rsidR="008C1B3B">
        <w:rPr>
          <w:rFonts w:ascii="Times New Roman" w:hAnsi="Times New Roman"/>
          <w:sz w:val="24"/>
        </w:rPr>
        <w:t>of fact</w:t>
      </w:r>
      <w:r>
        <w:rPr>
          <w:rFonts w:ascii="Times New Roman" w:hAnsi="Times New Roman"/>
          <w:sz w:val="24"/>
        </w:rPr>
        <w:t xml:space="preserve"> from </w:t>
      </w:r>
      <w:r w:rsidR="008C1B3B">
        <w:rPr>
          <w:rFonts w:ascii="Times New Roman" w:hAnsi="Times New Roman"/>
          <w:sz w:val="24"/>
        </w:rPr>
        <w:t>documents; rather he assessed the conduct of Utmost in verifying the claim by reference to the correspondence reviewed. Accordingly, there were no inferences of fact dr</w:t>
      </w:r>
      <w:r w:rsidR="00E703CB">
        <w:rPr>
          <w:rFonts w:ascii="Times New Roman" w:hAnsi="Times New Roman"/>
          <w:sz w:val="24"/>
        </w:rPr>
        <w:t>awn by the FSPO from the documents which can be said to constitute a serious or significant error.</w:t>
      </w:r>
    </w:p>
    <w:p w14:paraId="068D6C28" w14:textId="3A8C3C06" w:rsidR="003C7F00" w:rsidRPr="009D58B8" w:rsidRDefault="00194693" w:rsidP="009D58B8">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In its submissions, Utmost argues</w:t>
      </w:r>
      <w:r w:rsidR="008429E8">
        <w:rPr>
          <w:rFonts w:ascii="Times New Roman" w:hAnsi="Times New Roman"/>
          <w:sz w:val="24"/>
        </w:rPr>
        <w:t xml:space="preserve"> (on the basis of </w:t>
      </w:r>
      <w:r w:rsidR="008429E8">
        <w:rPr>
          <w:rFonts w:ascii="Times New Roman" w:hAnsi="Times New Roman"/>
          <w:i/>
          <w:iCs/>
          <w:sz w:val="24"/>
        </w:rPr>
        <w:t>Fitzgibbon</w:t>
      </w:r>
      <w:r w:rsidR="008429E8">
        <w:rPr>
          <w:rFonts w:ascii="Times New Roman" w:hAnsi="Times New Roman"/>
          <w:sz w:val="24"/>
        </w:rPr>
        <w:t>)</w:t>
      </w:r>
      <w:r>
        <w:rPr>
          <w:rFonts w:ascii="Times New Roman" w:hAnsi="Times New Roman"/>
          <w:sz w:val="24"/>
        </w:rPr>
        <w:t xml:space="preserve"> that </w:t>
      </w:r>
      <w:r w:rsidR="009D1619">
        <w:rPr>
          <w:rFonts w:ascii="Times New Roman" w:hAnsi="Times New Roman"/>
          <w:sz w:val="24"/>
        </w:rPr>
        <w:t xml:space="preserve">in this case </w:t>
      </w:r>
      <w:r>
        <w:rPr>
          <w:rFonts w:ascii="Times New Roman" w:hAnsi="Times New Roman"/>
          <w:sz w:val="24"/>
        </w:rPr>
        <w:t>the appeal from the FSPO to the High Court is an appeal against</w:t>
      </w:r>
      <w:r w:rsidR="009D1619">
        <w:rPr>
          <w:rFonts w:ascii="Times New Roman" w:hAnsi="Times New Roman"/>
          <w:sz w:val="24"/>
        </w:rPr>
        <w:t xml:space="preserve"> an </w:t>
      </w:r>
      <w:r>
        <w:rPr>
          <w:rFonts w:ascii="Times New Roman" w:hAnsi="Times New Roman"/>
          <w:sz w:val="24"/>
        </w:rPr>
        <w:t>error</w:t>
      </w:r>
      <w:r w:rsidR="009D1619">
        <w:rPr>
          <w:rFonts w:ascii="Times New Roman" w:hAnsi="Times New Roman"/>
          <w:sz w:val="24"/>
        </w:rPr>
        <w:t xml:space="preserve"> (the error being the inferences drawn by the FSPO)</w:t>
      </w:r>
      <w:r>
        <w:rPr>
          <w:rFonts w:ascii="Times New Roman" w:hAnsi="Times New Roman"/>
          <w:sz w:val="24"/>
        </w:rPr>
        <w:t xml:space="preserve">, and not an appeal on a </w:t>
      </w:r>
      <w:r w:rsidR="009D1619">
        <w:rPr>
          <w:rFonts w:ascii="Times New Roman" w:hAnsi="Times New Roman"/>
          <w:sz w:val="24"/>
        </w:rPr>
        <w:t xml:space="preserve">pure </w:t>
      </w:r>
      <w:r>
        <w:rPr>
          <w:rFonts w:ascii="Times New Roman" w:hAnsi="Times New Roman"/>
          <w:sz w:val="24"/>
        </w:rPr>
        <w:t>point of law.  Accordingly, there is a lower degree of deference afforded to the decision maker</w:t>
      </w:r>
      <w:r w:rsidR="00C2426B">
        <w:rPr>
          <w:rFonts w:ascii="Times New Roman" w:hAnsi="Times New Roman"/>
          <w:sz w:val="24"/>
        </w:rPr>
        <w:t xml:space="preserve"> (on matters of fact)</w:t>
      </w:r>
      <w:r>
        <w:rPr>
          <w:rFonts w:ascii="Times New Roman" w:hAnsi="Times New Roman"/>
          <w:sz w:val="24"/>
        </w:rPr>
        <w:t xml:space="preserve">, and in such circumstances the court is entitled to form its own view on the proper inferences to be drawn.  Utmost relies upon the concluding part of para. 128 in </w:t>
      </w:r>
      <w:r>
        <w:rPr>
          <w:rFonts w:ascii="Times New Roman" w:hAnsi="Times New Roman"/>
          <w:i/>
          <w:sz w:val="24"/>
        </w:rPr>
        <w:t xml:space="preserve">Fitzgibbon </w:t>
      </w:r>
      <w:r>
        <w:rPr>
          <w:rFonts w:ascii="Times New Roman" w:hAnsi="Times New Roman"/>
          <w:sz w:val="24"/>
        </w:rPr>
        <w:t xml:space="preserve">in support of this proposition.  It is also submitted that this follows from the decision in </w:t>
      </w:r>
      <w:r>
        <w:rPr>
          <w:rFonts w:ascii="Times New Roman" w:hAnsi="Times New Roman"/>
          <w:i/>
          <w:sz w:val="24"/>
        </w:rPr>
        <w:t>Ulster Bank Investment Funds Ltd</w:t>
      </w:r>
      <w:r w:rsidR="002926DC">
        <w:rPr>
          <w:rFonts w:ascii="Times New Roman" w:hAnsi="Times New Roman"/>
          <w:i/>
          <w:sz w:val="24"/>
        </w:rPr>
        <w:t>.</w:t>
      </w:r>
      <w:r>
        <w:rPr>
          <w:rFonts w:ascii="Times New Roman" w:hAnsi="Times New Roman"/>
          <w:i/>
          <w:sz w:val="24"/>
        </w:rPr>
        <w:t xml:space="preserve"> v. FSO</w:t>
      </w:r>
      <w:r w:rsidRPr="002926DC">
        <w:rPr>
          <w:rFonts w:ascii="Times New Roman" w:hAnsi="Times New Roman"/>
          <w:iCs/>
          <w:sz w:val="24"/>
        </w:rPr>
        <w:t xml:space="preserve">, </w:t>
      </w:r>
      <w:r>
        <w:rPr>
          <w:rFonts w:ascii="Times New Roman" w:hAnsi="Times New Roman"/>
          <w:sz w:val="24"/>
        </w:rPr>
        <w:t xml:space="preserve">by reason of its adoption of the test in </w:t>
      </w:r>
      <w:r>
        <w:rPr>
          <w:rFonts w:ascii="Times New Roman" w:hAnsi="Times New Roman"/>
          <w:i/>
          <w:sz w:val="24"/>
        </w:rPr>
        <w:t xml:space="preserve">Orange Ltd. v. Director of Telecoms (No.2). </w:t>
      </w:r>
      <w:r>
        <w:rPr>
          <w:rFonts w:ascii="Times New Roman" w:hAnsi="Times New Roman"/>
          <w:sz w:val="24"/>
        </w:rPr>
        <w:t xml:space="preserve"> The trial judge was, therefore, entitled to draw different inferences from documentation to those drawn by the FSPO from the same documentation.  </w:t>
      </w:r>
    </w:p>
    <w:p w14:paraId="14DC99DA" w14:textId="22A1FBC8" w:rsidR="003C7F00" w:rsidRPr="009D58B8" w:rsidRDefault="003C7F00" w:rsidP="003C7F00">
      <w:pPr>
        <w:pStyle w:val="ListParagraph"/>
        <w:tabs>
          <w:tab w:val="left" w:pos="567"/>
        </w:tabs>
        <w:spacing w:line="480" w:lineRule="auto"/>
        <w:ind w:left="0"/>
        <w:rPr>
          <w:rFonts w:ascii="Times New Roman" w:hAnsi="Times New Roman"/>
          <w:b/>
          <w:sz w:val="24"/>
        </w:rPr>
      </w:pPr>
      <w:r w:rsidRPr="009D58B8">
        <w:rPr>
          <w:rFonts w:ascii="Times New Roman" w:hAnsi="Times New Roman"/>
          <w:b/>
          <w:sz w:val="24"/>
        </w:rPr>
        <w:t>Discussion and Decision on Question 3</w:t>
      </w:r>
    </w:p>
    <w:p w14:paraId="6926E19E" w14:textId="77777777" w:rsidR="00725EDD" w:rsidRPr="001D3580" w:rsidRDefault="00725EDD" w:rsidP="009D58B8">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lastRenderedPageBreak/>
        <w:t xml:space="preserve">Firstly, in so far as it is argued on behalf of the FSPO that he did not draw inferences of fact from documents, this is not correct.  Having reviewed the internal communications of Utmost regarding the claim of the notice party, and external communications with medical advisors retained by Utmost, the FSPO concluded that </w:t>
      </w:r>
      <w:r w:rsidRPr="009D58B8">
        <w:rPr>
          <w:rFonts w:ascii="Times New Roman" w:hAnsi="Times New Roman" w:cs="Times New Roman"/>
          <w:iCs/>
          <w:sz w:val="24"/>
        </w:rPr>
        <w:t>“t</w:t>
      </w:r>
      <w:r w:rsidRPr="009D58B8">
        <w:rPr>
          <w:rFonts w:ascii="Times New Roman" w:hAnsi="Times New Roman"/>
          <w:iCs/>
          <w:sz w:val="24"/>
        </w:rPr>
        <w:t>here was an over emphasis by the Provider to quantify the impact that the two medical conditions had on the Complainant’s ability to work and in doing so to unreasonably and unfairly find that the excluded condition predominated, thereby preventing payment of benefit to the Complainant.”</w:t>
      </w:r>
    </w:p>
    <w:p w14:paraId="13AA4FA1" w14:textId="11203857" w:rsidR="00725EDD" w:rsidRPr="009B72FA" w:rsidRDefault="00725EDD" w:rsidP="004F0302">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This was an inference drawn not from a contract but from correspondence.  The interpretation of this correspondence is not a matter of law, but nor is it a matter of any particular expertise of the FSPO.  That being the case, there is no reason why a court should be required to afford deference to the interpretation of the FSPO of a letter or an email as a matter of general principle, although it is possible to envisage circumstances where deference is appropriate.  For example, in circumstances where the correspondence uses specialist terminology, or where evidence was given to the FSPO about the correspondence, or where the correspondence concerned is just a small part of a much greater volume of correspondence considered by the FSPO.  But none of those considerations arise here.  </w:t>
      </w:r>
    </w:p>
    <w:p w14:paraId="476CF49B" w14:textId="43F4AB6E" w:rsidR="003C0886" w:rsidRDefault="00725EDD" w:rsidP="004F0302">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i/>
          <w:sz w:val="24"/>
        </w:rPr>
        <w:t xml:space="preserve">Fitzgibbon </w:t>
      </w:r>
      <w:r>
        <w:rPr>
          <w:rFonts w:ascii="Times New Roman" w:hAnsi="Times New Roman"/>
          <w:sz w:val="24"/>
        </w:rPr>
        <w:t>(which was n</w:t>
      </w:r>
      <w:r w:rsidR="00D0714E">
        <w:rPr>
          <w:rFonts w:ascii="Times New Roman" w:hAnsi="Times New Roman"/>
          <w:sz w:val="24"/>
        </w:rPr>
        <w:t>either</w:t>
      </w:r>
      <w:r>
        <w:rPr>
          <w:rFonts w:ascii="Times New Roman" w:hAnsi="Times New Roman"/>
          <w:sz w:val="24"/>
        </w:rPr>
        <w:t xml:space="preserve"> cited</w:t>
      </w:r>
      <w:r w:rsidR="00D0714E">
        <w:rPr>
          <w:rFonts w:ascii="Times New Roman" w:hAnsi="Times New Roman"/>
          <w:sz w:val="24"/>
        </w:rPr>
        <w:t xml:space="preserve"> </w:t>
      </w:r>
      <w:r w:rsidR="00FC3D84">
        <w:rPr>
          <w:rFonts w:ascii="Times New Roman" w:hAnsi="Times New Roman"/>
          <w:sz w:val="24"/>
        </w:rPr>
        <w:t>n</w:t>
      </w:r>
      <w:r w:rsidR="00D0714E">
        <w:rPr>
          <w:rFonts w:ascii="Times New Roman" w:hAnsi="Times New Roman"/>
          <w:sz w:val="24"/>
        </w:rPr>
        <w:t>or discussed</w:t>
      </w:r>
      <w:r>
        <w:rPr>
          <w:rFonts w:ascii="Times New Roman" w:hAnsi="Times New Roman"/>
          <w:sz w:val="24"/>
        </w:rPr>
        <w:t xml:space="preserve"> in </w:t>
      </w:r>
      <w:r>
        <w:rPr>
          <w:rFonts w:ascii="Times New Roman" w:hAnsi="Times New Roman"/>
          <w:i/>
          <w:sz w:val="24"/>
        </w:rPr>
        <w:t>Millar</w:t>
      </w:r>
      <w:r>
        <w:rPr>
          <w:rFonts w:ascii="Times New Roman" w:hAnsi="Times New Roman"/>
          <w:sz w:val="24"/>
        </w:rPr>
        <w:t>),</w:t>
      </w:r>
      <w:r>
        <w:rPr>
          <w:rFonts w:ascii="Times New Roman" w:hAnsi="Times New Roman"/>
          <w:i/>
          <w:sz w:val="24"/>
        </w:rPr>
        <w:t xml:space="preserve"> </w:t>
      </w:r>
      <w:r>
        <w:rPr>
          <w:rFonts w:ascii="Times New Roman" w:hAnsi="Times New Roman"/>
          <w:sz w:val="24"/>
        </w:rPr>
        <w:t xml:space="preserve">makes clear, </w:t>
      </w:r>
      <w:r w:rsidRPr="009B72FA">
        <w:rPr>
          <w:rFonts w:ascii="Times New Roman" w:hAnsi="Times New Roman"/>
          <w:i/>
          <w:sz w:val="24"/>
        </w:rPr>
        <w:t>inter alia</w:t>
      </w:r>
      <w:r>
        <w:rPr>
          <w:rFonts w:ascii="Times New Roman" w:hAnsi="Times New Roman"/>
          <w:sz w:val="24"/>
        </w:rPr>
        <w:t xml:space="preserve">, that in considering an appeal on a point of law, an appellate court may set aside primary facts if there was no evidence to support such findings.  Moreover, it may reverse inferences drawn from such facts, if those inferences were based on the interpretation of documents, and should do so, if incorrect.  This must apply, </w:t>
      </w:r>
      <w:r w:rsidRPr="00DC72EA">
        <w:rPr>
          <w:rFonts w:ascii="Times New Roman" w:hAnsi="Times New Roman"/>
          <w:i/>
          <w:sz w:val="24"/>
        </w:rPr>
        <w:t>a fortiori</w:t>
      </w:r>
      <w:r>
        <w:rPr>
          <w:rFonts w:ascii="Times New Roman" w:hAnsi="Times New Roman"/>
          <w:i/>
          <w:sz w:val="24"/>
        </w:rPr>
        <w:t>,</w:t>
      </w:r>
      <w:r>
        <w:rPr>
          <w:rFonts w:ascii="Times New Roman" w:hAnsi="Times New Roman"/>
          <w:sz w:val="24"/>
        </w:rPr>
        <w:t xml:space="preserve"> to the court of first instance hearing a statutory appeal. It would be entirely illogical that an appellate court is free to correct </w:t>
      </w:r>
      <w:r w:rsidR="008A529D">
        <w:rPr>
          <w:rFonts w:ascii="Times New Roman" w:hAnsi="Times New Roman"/>
          <w:sz w:val="24"/>
        </w:rPr>
        <w:t xml:space="preserve">such </w:t>
      </w:r>
      <w:r>
        <w:rPr>
          <w:rFonts w:ascii="Times New Roman" w:hAnsi="Times New Roman"/>
          <w:sz w:val="24"/>
        </w:rPr>
        <w:t>errors, but the court of first instance is precluded from doing so (I appreciate of course that the appellate court is reviewing the decision of the lower court, and not the decision of the statutory body, but this is immaterial for this purpose).</w:t>
      </w:r>
    </w:p>
    <w:p w14:paraId="30E77654" w14:textId="77777777" w:rsidR="00827EDE" w:rsidRPr="00827EDE" w:rsidRDefault="00725EDD" w:rsidP="00E20F5C">
      <w:pPr>
        <w:pStyle w:val="ListParagraph"/>
        <w:numPr>
          <w:ilvl w:val="0"/>
          <w:numId w:val="1"/>
        </w:numPr>
        <w:tabs>
          <w:tab w:val="left" w:pos="567"/>
        </w:tabs>
        <w:spacing w:line="480" w:lineRule="auto"/>
        <w:ind w:left="0" w:firstLine="0"/>
        <w:rPr>
          <w:rFonts w:ascii="Times New Roman" w:hAnsi="Times New Roman"/>
          <w:b/>
          <w:sz w:val="24"/>
          <w:u w:val="single"/>
        </w:rPr>
      </w:pPr>
      <w:r w:rsidRPr="00AC6560">
        <w:rPr>
          <w:rFonts w:ascii="Times New Roman" w:hAnsi="Times New Roman" w:cs="Times New Roman"/>
          <w:sz w:val="24"/>
          <w:szCs w:val="24"/>
        </w:rPr>
        <w:lastRenderedPageBreak/>
        <w:t xml:space="preserve">In my view, </w:t>
      </w:r>
      <w:r w:rsidRPr="00AC6560">
        <w:rPr>
          <w:rFonts w:ascii="Times New Roman" w:hAnsi="Times New Roman" w:cs="Times New Roman"/>
          <w:i/>
          <w:sz w:val="24"/>
          <w:szCs w:val="24"/>
        </w:rPr>
        <w:t xml:space="preserve">Fitzgibbon </w:t>
      </w:r>
      <w:r w:rsidRPr="00AC6560">
        <w:rPr>
          <w:rFonts w:ascii="Times New Roman" w:hAnsi="Times New Roman" w:cs="Times New Roman"/>
          <w:sz w:val="24"/>
          <w:szCs w:val="24"/>
        </w:rPr>
        <w:t xml:space="preserve">is clearly applicable to statutory appeals under s.64 of the Act of 2017.  The only argument advanced against the application of </w:t>
      </w:r>
      <w:r w:rsidRPr="00AC6560">
        <w:rPr>
          <w:rFonts w:ascii="Times New Roman" w:hAnsi="Times New Roman" w:cs="Times New Roman"/>
          <w:i/>
          <w:sz w:val="24"/>
          <w:szCs w:val="24"/>
        </w:rPr>
        <w:t>Fitzgibbon</w:t>
      </w:r>
      <w:r w:rsidRPr="00AC6560">
        <w:rPr>
          <w:rFonts w:ascii="Times New Roman" w:hAnsi="Times New Roman" w:cs="Times New Roman"/>
          <w:sz w:val="24"/>
          <w:szCs w:val="24"/>
        </w:rPr>
        <w:t xml:space="preserve"> to such appeals was to the effect that the standard of review is governed by </w:t>
      </w:r>
      <w:r w:rsidRPr="00AC6560">
        <w:rPr>
          <w:rFonts w:ascii="Times New Roman" w:hAnsi="Times New Roman" w:cs="Times New Roman"/>
          <w:i/>
          <w:sz w:val="24"/>
          <w:szCs w:val="24"/>
        </w:rPr>
        <w:t>Ulster Bank Investment Funds Ltd. v. Financial Services Ombudsman</w:t>
      </w:r>
      <w:r w:rsidRPr="00AC6560">
        <w:rPr>
          <w:rFonts w:ascii="Times New Roman" w:hAnsi="Times New Roman" w:cs="Times New Roman"/>
          <w:sz w:val="24"/>
          <w:szCs w:val="24"/>
        </w:rPr>
        <w:t xml:space="preserve">. </w:t>
      </w:r>
      <w:r w:rsidR="00321FF5" w:rsidRPr="00AC6560">
        <w:rPr>
          <w:rFonts w:ascii="Times New Roman" w:hAnsi="Times New Roman" w:cs="Times New Roman"/>
          <w:sz w:val="24"/>
          <w:szCs w:val="24"/>
        </w:rPr>
        <w:t xml:space="preserve">However, </w:t>
      </w:r>
      <w:r w:rsidR="00FB6D92" w:rsidRPr="00AC6560">
        <w:rPr>
          <w:rFonts w:ascii="Times New Roman" w:hAnsi="Times New Roman" w:cs="Times New Roman"/>
          <w:sz w:val="24"/>
          <w:szCs w:val="24"/>
        </w:rPr>
        <w:t xml:space="preserve">in my opinion, a “serious and significant error” of the kind referred to in </w:t>
      </w:r>
      <w:r w:rsidR="00FB6D92" w:rsidRPr="003E7137">
        <w:rPr>
          <w:rFonts w:ascii="Times New Roman" w:hAnsi="Times New Roman" w:cs="Times New Roman"/>
          <w:i/>
          <w:sz w:val="24"/>
          <w:szCs w:val="24"/>
        </w:rPr>
        <w:t>Ulster Bank</w:t>
      </w:r>
      <w:r w:rsidR="00FB6D92" w:rsidRPr="003E7137">
        <w:rPr>
          <w:rFonts w:ascii="Times New Roman" w:hAnsi="Times New Roman" w:cs="Times New Roman"/>
          <w:bCs/>
          <w:sz w:val="24"/>
          <w:szCs w:val="24"/>
        </w:rPr>
        <w:t xml:space="preserve"> </w:t>
      </w:r>
      <w:r w:rsidR="00FB6D92" w:rsidRPr="003E7137">
        <w:rPr>
          <w:rFonts w:ascii="Times New Roman" w:hAnsi="Times New Roman" w:cs="Times New Roman"/>
          <w:sz w:val="24"/>
          <w:szCs w:val="24"/>
        </w:rPr>
        <w:t xml:space="preserve">must surely include an inference drawn from documents which no reasonable decision making could draw, per </w:t>
      </w:r>
      <w:r w:rsidR="00FB6D92" w:rsidRPr="003E7137">
        <w:rPr>
          <w:rFonts w:ascii="Times New Roman" w:hAnsi="Times New Roman" w:cs="Times New Roman"/>
          <w:i/>
          <w:sz w:val="24"/>
          <w:szCs w:val="24"/>
        </w:rPr>
        <w:t>Fitzgibbon</w:t>
      </w:r>
      <w:r w:rsidR="00FB6D92" w:rsidRPr="003E7137">
        <w:rPr>
          <w:rFonts w:ascii="Times New Roman" w:hAnsi="Times New Roman" w:cs="Times New Roman"/>
          <w:sz w:val="24"/>
          <w:szCs w:val="24"/>
        </w:rPr>
        <w:t>.</w:t>
      </w:r>
      <w:r w:rsidRPr="003E7137">
        <w:rPr>
          <w:rFonts w:ascii="Times New Roman" w:hAnsi="Times New Roman" w:cs="Times New Roman"/>
          <w:bCs/>
          <w:sz w:val="24"/>
          <w:szCs w:val="24"/>
        </w:rPr>
        <w:t xml:space="preserve"> </w:t>
      </w:r>
    </w:p>
    <w:p w14:paraId="0D8DB440" w14:textId="7360C1DB" w:rsidR="00194693" w:rsidRPr="003567CB"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this case, the trial judge held that the Decision was vitiated with serious and significant errors for two reasons, the first being that the FSPO failed to measure the conduct of Utmost against the Code, and the second being that the FSPO drew unsubstantiated inferences from certain correspondence. </w:t>
      </w:r>
      <w:r w:rsidR="002E49F6">
        <w:rPr>
          <w:rFonts w:ascii="Times New Roman" w:hAnsi="Times New Roman"/>
          <w:sz w:val="24"/>
        </w:rPr>
        <w:t xml:space="preserve">In saying that the Decision was vitiated with serious and significant errors, the trial judge was of course using the language of </w:t>
      </w:r>
      <w:bookmarkStart w:id="1" w:name="_Hlk97719496"/>
      <w:r w:rsidR="002E49F6" w:rsidRPr="00A938ED">
        <w:rPr>
          <w:rFonts w:ascii="Times New Roman" w:hAnsi="Times New Roman"/>
          <w:i/>
          <w:sz w:val="24"/>
        </w:rPr>
        <w:t xml:space="preserve">Ulster Bank Investment Funds Ltd. </w:t>
      </w:r>
      <w:r w:rsidR="00A938ED">
        <w:rPr>
          <w:rFonts w:ascii="Times New Roman" w:hAnsi="Times New Roman"/>
          <w:i/>
          <w:sz w:val="24"/>
        </w:rPr>
        <w:t>v.</w:t>
      </w:r>
      <w:r w:rsidR="002E49F6" w:rsidRPr="00A938ED">
        <w:rPr>
          <w:rFonts w:ascii="Times New Roman" w:hAnsi="Times New Roman"/>
          <w:i/>
          <w:sz w:val="24"/>
        </w:rPr>
        <w:t xml:space="preserve"> Financial Services Ombudsman</w:t>
      </w:r>
      <w:bookmarkEnd w:id="1"/>
      <w:r w:rsidR="002E49F6">
        <w:rPr>
          <w:rFonts w:ascii="Times New Roman" w:hAnsi="Times New Roman"/>
          <w:sz w:val="24"/>
        </w:rPr>
        <w:t>. For the reasons given earlier, I do</w:t>
      </w:r>
      <w:r w:rsidR="00A938ED">
        <w:rPr>
          <w:rFonts w:ascii="Times New Roman" w:hAnsi="Times New Roman"/>
          <w:sz w:val="24"/>
        </w:rPr>
        <w:t xml:space="preserve"> not</w:t>
      </w:r>
      <w:r w:rsidR="002E49F6">
        <w:rPr>
          <w:rFonts w:ascii="Times New Roman" w:hAnsi="Times New Roman"/>
          <w:sz w:val="24"/>
        </w:rPr>
        <w:t xml:space="preserve"> think the Code was of any relevance, but I do think the trial judge was correct in his determination that the FSPO drew unsubstantiated inferences. </w:t>
      </w:r>
      <w:r>
        <w:rPr>
          <w:rFonts w:ascii="Times New Roman" w:hAnsi="Times New Roman"/>
          <w:sz w:val="24"/>
        </w:rPr>
        <w:t>The trial judge provided detailed reasons for his conclusions as</w:t>
      </w:r>
      <w:r w:rsidR="00444668">
        <w:rPr>
          <w:rFonts w:ascii="Times New Roman" w:hAnsi="Times New Roman"/>
          <w:color w:val="000000" w:themeColor="text1"/>
          <w:sz w:val="24"/>
        </w:rPr>
        <w:t xml:space="preserve"> regards the drawing of unsubstantiated inferences</w:t>
      </w:r>
      <w:r>
        <w:rPr>
          <w:rFonts w:ascii="Times New Roman" w:hAnsi="Times New Roman"/>
          <w:sz w:val="24"/>
        </w:rPr>
        <w:t>, which he has concluded at para</w:t>
      </w:r>
      <w:r w:rsidR="00FE3C20">
        <w:rPr>
          <w:rFonts w:ascii="Times New Roman" w:hAnsi="Times New Roman"/>
          <w:sz w:val="24"/>
        </w:rPr>
        <w:t>.</w:t>
      </w:r>
      <w:r>
        <w:rPr>
          <w:rFonts w:ascii="Times New Roman" w:hAnsi="Times New Roman"/>
          <w:sz w:val="24"/>
        </w:rPr>
        <w:t xml:space="preserve"> 81 of his judgment, constituted serious and significant errors.  </w:t>
      </w:r>
      <w:r w:rsidR="00444668">
        <w:rPr>
          <w:rFonts w:ascii="Times New Roman" w:hAnsi="Times New Roman"/>
          <w:sz w:val="24"/>
        </w:rPr>
        <w:t xml:space="preserve">Whether considered on the basis of the test in </w:t>
      </w:r>
      <w:r w:rsidR="00444668" w:rsidRPr="00076078">
        <w:rPr>
          <w:rFonts w:ascii="Times New Roman" w:hAnsi="Times New Roman"/>
          <w:i/>
          <w:sz w:val="24"/>
        </w:rPr>
        <w:t xml:space="preserve">Ulster Bank Investment Funds Ltd. </w:t>
      </w:r>
      <w:r w:rsidR="00AD7C72">
        <w:rPr>
          <w:rFonts w:ascii="Times New Roman" w:hAnsi="Times New Roman"/>
          <w:i/>
          <w:sz w:val="24"/>
        </w:rPr>
        <w:t>v</w:t>
      </w:r>
      <w:r w:rsidR="009A5134">
        <w:rPr>
          <w:rFonts w:ascii="Times New Roman" w:hAnsi="Times New Roman"/>
          <w:i/>
          <w:sz w:val="24"/>
        </w:rPr>
        <w:t>.</w:t>
      </w:r>
      <w:r w:rsidR="00444668" w:rsidRPr="00076078">
        <w:rPr>
          <w:rFonts w:ascii="Times New Roman" w:hAnsi="Times New Roman"/>
          <w:i/>
          <w:sz w:val="24"/>
        </w:rPr>
        <w:t xml:space="preserve"> Financial Services Ombudsman</w:t>
      </w:r>
      <w:r w:rsidR="00444668">
        <w:rPr>
          <w:rFonts w:ascii="Times New Roman" w:hAnsi="Times New Roman"/>
          <w:sz w:val="24"/>
        </w:rPr>
        <w:t xml:space="preserve"> (i.e. was the Decision vitiated by a serious and significant error</w:t>
      </w:r>
      <w:r w:rsidR="00AD7C72">
        <w:rPr>
          <w:rFonts w:ascii="Times New Roman" w:hAnsi="Times New Roman"/>
          <w:sz w:val="24"/>
        </w:rPr>
        <w:t>?</w:t>
      </w:r>
      <w:r w:rsidR="00444668">
        <w:rPr>
          <w:rFonts w:ascii="Times New Roman" w:hAnsi="Times New Roman"/>
          <w:sz w:val="24"/>
        </w:rPr>
        <w:t xml:space="preserve">) or </w:t>
      </w:r>
      <w:r w:rsidR="00444668" w:rsidRPr="009A5134">
        <w:rPr>
          <w:rFonts w:ascii="Times New Roman" w:hAnsi="Times New Roman"/>
          <w:i/>
          <w:sz w:val="24"/>
        </w:rPr>
        <w:t>Fitzgibbon</w:t>
      </w:r>
      <w:r w:rsidR="00AD7C72">
        <w:rPr>
          <w:rFonts w:ascii="Times New Roman" w:hAnsi="Times New Roman"/>
          <w:sz w:val="24"/>
        </w:rPr>
        <w:t xml:space="preserve"> (which makes clear that findings of primary fact may be set aside where they are unsupported by evidence, and that inferences incorrectly drawn from documents on which the findings of fact were based should be set aside)</w:t>
      </w:r>
      <w:r w:rsidR="00444668" w:rsidRPr="00076078">
        <w:rPr>
          <w:rFonts w:ascii="Times New Roman" w:hAnsi="Times New Roman"/>
          <w:i/>
          <w:sz w:val="24"/>
        </w:rPr>
        <w:t xml:space="preserve"> </w:t>
      </w:r>
      <w:r w:rsidRPr="00444668">
        <w:rPr>
          <w:rFonts w:ascii="Times New Roman" w:hAnsi="Times New Roman"/>
          <w:sz w:val="24"/>
        </w:rPr>
        <w:t>I</w:t>
      </w:r>
      <w:r>
        <w:rPr>
          <w:rFonts w:ascii="Times New Roman" w:hAnsi="Times New Roman"/>
          <w:sz w:val="24"/>
        </w:rPr>
        <w:t xml:space="preserve"> am satisfied that the trial judge was entitled to draw different inferences from </w:t>
      </w:r>
      <w:r w:rsidR="00AD7C72">
        <w:rPr>
          <w:rFonts w:ascii="Times New Roman" w:hAnsi="Times New Roman"/>
          <w:sz w:val="24"/>
        </w:rPr>
        <w:t xml:space="preserve">the </w:t>
      </w:r>
      <w:r>
        <w:rPr>
          <w:rFonts w:ascii="Times New Roman" w:hAnsi="Times New Roman"/>
          <w:sz w:val="24"/>
        </w:rPr>
        <w:t xml:space="preserve">documentation than </w:t>
      </w:r>
      <w:r w:rsidR="00AD7C72">
        <w:rPr>
          <w:rFonts w:ascii="Times New Roman" w:hAnsi="Times New Roman"/>
          <w:sz w:val="24"/>
        </w:rPr>
        <w:t xml:space="preserve">those drawn by </w:t>
      </w:r>
      <w:r>
        <w:rPr>
          <w:rFonts w:ascii="Times New Roman" w:hAnsi="Times New Roman"/>
          <w:sz w:val="24"/>
        </w:rPr>
        <w:t>the FSPO</w:t>
      </w:r>
      <w:r w:rsidR="00AD7C72">
        <w:rPr>
          <w:rFonts w:ascii="Times New Roman" w:hAnsi="Times New Roman"/>
          <w:sz w:val="24"/>
        </w:rPr>
        <w:t xml:space="preserve"> in this case.</w:t>
      </w:r>
      <w:r>
        <w:rPr>
          <w:rFonts w:ascii="Times New Roman" w:hAnsi="Times New Roman"/>
          <w:sz w:val="24"/>
        </w:rPr>
        <w:t xml:space="preserve">  </w:t>
      </w:r>
    </w:p>
    <w:p w14:paraId="4D10932B" w14:textId="7E780EAF" w:rsidR="003567CB" w:rsidRPr="00DC3A82" w:rsidRDefault="003567CB" w:rsidP="00E20F5C">
      <w:pPr>
        <w:pStyle w:val="ListParagraph"/>
        <w:numPr>
          <w:ilvl w:val="0"/>
          <w:numId w:val="1"/>
        </w:numPr>
        <w:tabs>
          <w:tab w:val="left" w:pos="567"/>
        </w:tabs>
        <w:spacing w:line="480" w:lineRule="auto"/>
        <w:ind w:left="0" w:firstLine="0"/>
        <w:rPr>
          <w:rFonts w:ascii="Times New Roman" w:hAnsi="Times New Roman"/>
          <w:b/>
          <w:sz w:val="24"/>
          <w:u w:val="single"/>
        </w:rPr>
      </w:pPr>
      <w:r w:rsidRPr="003567CB">
        <w:rPr>
          <w:rFonts w:ascii="Times New Roman" w:hAnsi="Times New Roman"/>
          <w:sz w:val="24"/>
        </w:rPr>
        <w:t>While it has been submitted on behalf of the FSPO that the trial judge did not conclude that no reasonable Ombudsman could have drawn the inferences the Ombudsman drew, I do</w:t>
      </w:r>
      <w:r w:rsidR="006D45A5">
        <w:rPr>
          <w:rFonts w:ascii="Times New Roman" w:hAnsi="Times New Roman"/>
          <w:sz w:val="24"/>
        </w:rPr>
        <w:t xml:space="preserve"> </w:t>
      </w:r>
      <w:r w:rsidR="006D45A5">
        <w:rPr>
          <w:rFonts w:ascii="Times New Roman" w:hAnsi="Times New Roman"/>
          <w:sz w:val="24"/>
        </w:rPr>
        <w:lastRenderedPageBreak/>
        <w:t>no</w:t>
      </w:r>
      <w:r w:rsidRPr="003567CB">
        <w:rPr>
          <w:rFonts w:ascii="Times New Roman" w:hAnsi="Times New Roman"/>
          <w:sz w:val="24"/>
        </w:rPr>
        <w:t>t think that it is necessary for the trial judge to express himself in precisely these terms.  He described the inference drawn by the FSPO from the e-mail of 27</w:t>
      </w:r>
      <w:r w:rsidRPr="003567CB">
        <w:rPr>
          <w:rFonts w:ascii="Times New Roman" w:hAnsi="Times New Roman"/>
          <w:sz w:val="24"/>
          <w:vertAlign w:val="superscript"/>
        </w:rPr>
        <w:t>th</w:t>
      </w:r>
      <w:r w:rsidRPr="003567CB">
        <w:rPr>
          <w:rFonts w:ascii="Times New Roman" w:hAnsi="Times New Roman"/>
          <w:sz w:val="24"/>
        </w:rPr>
        <w:t xml:space="preserve"> July 2016 as being unreasonable.  He described another inference as “untenable”. As regards the e-mail of Ms. Devine to </w:t>
      </w:r>
      <w:proofErr w:type="spellStart"/>
      <w:r w:rsidRPr="003567CB">
        <w:rPr>
          <w:rFonts w:ascii="Times New Roman" w:hAnsi="Times New Roman"/>
          <w:sz w:val="24"/>
        </w:rPr>
        <w:t>Dr.</w:t>
      </w:r>
      <w:proofErr w:type="spellEnd"/>
      <w:r w:rsidRPr="003567CB">
        <w:rPr>
          <w:rFonts w:ascii="Times New Roman" w:hAnsi="Times New Roman"/>
          <w:sz w:val="24"/>
        </w:rPr>
        <w:t xml:space="preserve"> Howard of 19</w:t>
      </w:r>
      <w:r w:rsidRPr="003567CB">
        <w:rPr>
          <w:rFonts w:ascii="Times New Roman" w:hAnsi="Times New Roman"/>
          <w:sz w:val="24"/>
          <w:vertAlign w:val="superscript"/>
        </w:rPr>
        <w:t>th</w:t>
      </w:r>
      <w:r w:rsidRPr="003567CB">
        <w:rPr>
          <w:rFonts w:ascii="Times New Roman" w:hAnsi="Times New Roman"/>
          <w:sz w:val="24"/>
        </w:rPr>
        <w:t xml:space="preserve"> January 201</w:t>
      </w:r>
      <w:r w:rsidR="009A5134">
        <w:rPr>
          <w:rFonts w:ascii="Times New Roman" w:hAnsi="Times New Roman"/>
          <w:sz w:val="24"/>
        </w:rPr>
        <w:t>7</w:t>
      </w:r>
      <w:r w:rsidRPr="003567CB">
        <w:rPr>
          <w:rFonts w:ascii="Times New Roman" w:hAnsi="Times New Roman"/>
          <w:sz w:val="24"/>
        </w:rPr>
        <w:t>, he says that this correspondence was, contrary to the findings of the FSPO, “entirely proper”.  There can hardly be any doubt that it was the opinion of the trial judge that no Ombudsman</w:t>
      </w:r>
      <w:r w:rsidR="00FB6D92">
        <w:rPr>
          <w:rFonts w:ascii="Times New Roman" w:hAnsi="Times New Roman"/>
          <w:sz w:val="24"/>
        </w:rPr>
        <w:t>, acting reasonably,</w:t>
      </w:r>
      <w:r w:rsidRPr="003567CB">
        <w:rPr>
          <w:rFonts w:ascii="Times New Roman" w:hAnsi="Times New Roman"/>
          <w:sz w:val="24"/>
        </w:rPr>
        <w:t xml:space="preserve"> would have drawn the inferences that were drawn by the FSPO.</w:t>
      </w:r>
      <w:r w:rsidR="00542F65">
        <w:rPr>
          <w:rFonts w:ascii="Times New Roman" w:hAnsi="Times New Roman"/>
          <w:sz w:val="24"/>
        </w:rPr>
        <w:t xml:space="preserve"> For the reasons stated, </w:t>
      </w:r>
      <w:r w:rsidR="005C1B95">
        <w:rPr>
          <w:rFonts w:ascii="Times New Roman" w:hAnsi="Times New Roman"/>
          <w:sz w:val="24"/>
        </w:rPr>
        <w:t>such a conclusion was within the jurisdiction of the trial judge.</w:t>
      </w:r>
    </w:p>
    <w:p w14:paraId="1048BAB8" w14:textId="1BF3527B" w:rsidR="00194693" w:rsidRPr="003567CB" w:rsidRDefault="00194693"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Since the appeal to this Court is on a point of law only, the conclusions of the trial judge as regards the inferences drawn by the FSPO from the documentation are not reviewable by this Court.</w:t>
      </w:r>
      <w:r w:rsidR="003567CB">
        <w:rPr>
          <w:rFonts w:ascii="Times New Roman" w:hAnsi="Times New Roman"/>
          <w:sz w:val="24"/>
        </w:rPr>
        <w:t xml:space="preserve"> </w:t>
      </w:r>
      <w:r w:rsidR="003567CB" w:rsidRPr="003567CB">
        <w:rPr>
          <w:rFonts w:ascii="Times New Roman" w:hAnsi="Times New Roman"/>
          <w:sz w:val="24"/>
        </w:rPr>
        <w:t>If they were so reviewable however, I would wholly endorse the conclusions of the trial judge.  I say so for the following reasons:</w:t>
      </w:r>
    </w:p>
    <w:p w14:paraId="6D86FB12" w14:textId="77777777" w:rsidR="003567CB" w:rsidRPr="00AB3D73" w:rsidRDefault="003567CB" w:rsidP="00E20F5C">
      <w:pPr>
        <w:pStyle w:val="ListParagraph"/>
        <w:numPr>
          <w:ilvl w:val="0"/>
          <w:numId w:val="6"/>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The e-mail of Mr. </w:t>
      </w:r>
      <w:proofErr w:type="spellStart"/>
      <w:r>
        <w:rPr>
          <w:rFonts w:ascii="Times New Roman" w:hAnsi="Times New Roman"/>
          <w:sz w:val="24"/>
        </w:rPr>
        <w:t>Hulsman</w:t>
      </w:r>
      <w:proofErr w:type="spellEnd"/>
      <w:r>
        <w:rPr>
          <w:rFonts w:ascii="Times New Roman" w:hAnsi="Times New Roman"/>
          <w:sz w:val="24"/>
        </w:rPr>
        <w:t xml:space="preserve"> to </w:t>
      </w:r>
      <w:proofErr w:type="spellStart"/>
      <w:r>
        <w:rPr>
          <w:rFonts w:ascii="Times New Roman" w:hAnsi="Times New Roman"/>
          <w:sz w:val="24"/>
        </w:rPr>
        <w:t>Dr.</w:t>
      </w:r>
      <w:proofErr w:type="spellEnd"/>
      <w:r>
        <w:rPr>
          <w:rFonts w:ascii="Times New Roman" w:hAnsi="Times New Roman"/>
          <w:sz w:val="24"/>
        </w:rPr>
        <w:t xml:space="preserve"> Gleeson of 27</w:t>
      </w:r>
      <w:r w:rsidRPr="00AB3D73">
        <w:rPr>
          <w:rFonts w:ascii="Times New Roman" w:hAnsi="Times New Roman"/>
          <w:sz w:val="24"/>
          <w:vertAlign w:val="superscript"/>
        </w:rPr>
        <w:t>th</w:t>
      </w:r>
      <w:r>
        <w:rPr>
          <w:rFonts w:ascii="Times New Roman" w:hAnsi="Times New Roman"/>
          <w:sz w:val="24"/>
        </w:rPr>
        <w:t xml:space="preserve"> July 2016, which the trial judge described as being “wholly unexceptional” was an internal e-mail in which Mr. </w:t>
      </w:r>
      <w:proofErr w:type="spellStart"/>
      <w:r>
        <w:rPr>
          <w:rFonts w:ascii="Times New Roman" w:hAnsi="Times New Roman"/>
          <w:sz w:val="24"/>
        </w:rPr>
        <w:t>Hulsman</w:t>
      </w:r>
      <w:proofErr w:type="spellEnd"/>
      <w:r>
        <w:rPr>
          <w:rFonts w:ascii="Times New Roman" w:hAnsi="Times New Roman"/>
          <w:sz w:val="24"/>
        </w:rPr>
        <w:t xml:space="preserve"> expressed surprise that the notice party had been admitted to the Scheme in the first place, because of her history.  That was no more than an observation, and he proceeds to say: “nonetheless she was accepted with multiple exclusions” and he then goes on to analyse her claim, and the medical reports submitted with her claim.  He noted that the symptoms reported by the notice party appeared to “directly line up” with the excluded symptoms.  It is hardly surprising in these circumstances that Mr. </w:t>
      </w:r>
      <w:proofErr w:type="spellStart"/>
      <w:r>
        <w:rPr>
          <w:rFonts w:ascii="Times New Roman" w:hAnsi="Times New Roman"/>
          <w:sz w:val="24"/>
        </w:rPr>
        <w:t>Hulsman</w:t>
      </w:r>
      <w:proofErr w:type="spellEnd"/>
      <w:r>
        <w:rPr>
          <w:rFonts w:ascii="Times New Roman" w:hAnsi="Times New Roman"/>
          <w:sz w:val="24"/>
        </w:rPr>
        <w:t xml:space="preserve"> would seek an opinion from </w:t>
      </w:r>
      <w:proofErr w:type="spellStart"/>
      <w:r>
        <w:rPr>
          <w:rFonts w:ascii="Times New Roman" w:hAnsi="Times New Roman"/>
          <w:sz w:val="24"/>
        </w:rPr>
        <w:t>Dr.</w:t>
      </w:r>
      <w:proofErr w:type="spellEnd"/>
      <w:r>
        <w:rPr>
          <w:rFonts w:ascii="Times New Roman" w:hAnsi="Times New Roman"/>
          <w:sz w:val="24"/>
        </w:rPr>
        <w:t xml:space="preserve"> Gleeson, the Chief Medical Officer of Utmost, as to whether or not the symptoms complained of by the notice party were the same symptoms in respect of which cover was excluded, and that he should ask </w:t>
      </w:r>
      <w:proofErr w:type="spellStart"/>
      <w:r>
        <w:rPr>
          <w:rFonts w:ascii="Times New Roman" w:hAnsi="Times New Roman"/>
          <w:sz w:val="24"/>
        </w:rPr>
        <w:t>Dr.</w:t>
      </w:r>
      <w:proofErr w:type="spellEnd"/>
      <w:r>
        <w:rPr>
          <w:rFonts w:ascii="Times New Roman" w:hAnsi="Times New Roman"/>
          <w:sz w:val="24"/>
        </w:rPr>
        <w:t xml:space="preserve"> Gleeson to explain this clearly if she was of this opinion. </w:t>
      </w:r>
    </w:p>
    <w:p w14:paraId="6E5AD1B4" w14:textId="69E698D9" w:rsidR="003567CB" w:rsidRPr="00AD4CD9" w:rsidRDefault="003567CB" w:rsidP="00E20F5C">
      <w:pPr>
        <w:pStyle w:val="ListParagraph"/>
        <w:numPr>
          <w:ilvl w:val="0"/>
          <w:numId w:val="6"/>
        </w:numPr>
        <w:tabs>
          <w:tab w:val="left" w:pos="567"/>
        </w:tabs>
        <w:spacing w:line="480" w:lineRule="auto"/>
        <w:ind w:left="1134" w:hanging="567"/>
        <w:rPr>
          <w:rFonts w:ascii="Times New Roman" w:hAnsi="Times New Roman"/>
          <w:b/>
          <w:sz w:val="24"/>
          <w:u w:val="single"/>
        </w:rPr>
      </w:pPr>
      <w:r>
        <w:rPr>
          <w:rFonts w:ascii="Times New Roman" w:hAnsi="Times New Roman"/>
          <w:sz w:val="24"/>
        </w:rPr>
        <w:lastRenderedPageBreak/>
        <w:t xml:space="preserve">The e-mail of Ms. Devine to </w:t>
      </w:r>
      <w:proofErr w:type="spellStart"/>
      <w:r>
        <w:rPr>
          <w:rFonts w:ascii="Times New Roman" w:hAnsi="Times New Roman"/>
          <w:sz w:val="24"/>
        </w:rPr>
        <w:t>Dr.</w:t>
      </w:r>
      <w:proofErr w:type="spellEnd"/>
      <w:r>
        <w:rPr>
          <w:rFonts w:ascii="Times New Roman" w:hAnsi="Times New Roman"/>
          <w:sz w:val="24"/>
        </w:rPr>
        <w:t xml:space="preserve"> Howard of 19</w:t>
      </w:r>
      <w:r w:rsidRPr="00AD4CD9">
        <w:rPr>
          <w:rFonts w:ascii="Times New Roman" w:hAnsi="Times New Roman"/>
          <w:sz w:val="24"/>
          <w:vertAlign w:val="superscript"/>
        </w:rPr>
        <w:t>th</w:t>
      </w:r>
      <w:r>
        <w:rPr>
          <w:rFonts w:ascii="Times New Roman" w:hAnsi="Times New Roman"/>
          <w:sz w:val="24"/>
        </w:rPr>
        <w:t xml:space="preserve"> January 2017 was sent in response to </w:t>
      </w:r>
      <w:proofErr w:type="spellStart"/>
      <w:r>
        <w:rPr>
          <w:rFonts w:ascii="Times New Roman" w:hAnsi="Times New Roman"/>
          <w:sz w:val="24"/>
        </w:rPr>
        <w:t>Dr.</w:t>
      </w:r>
      <w:proofErr w:type="spellEnd"/>
      <w:r>
        <w:rPr>
          <w:rFonts w:ascii="Times New Roman" w:hAnsi="Times New Roman"/>
          <w:sz w:val="24"/>
        </w:rPr>
        <w:t xml:space="preserve"> Howard’s report of mid-December 2016, in which he expressed the view that,</w:t>
      </w:r>
      <w:r w:rsidR="00065676">
        <w:rPr>
          <w:rFonts w:ascii="Times New Roman" w:hAnsi="Times New Roman"/>
          <w:sz w:val="24"/>
        </w:rPr>
        <w:t xml:space="preserve"> </w:t>
      </w:r>
      <w:r>
        <w:rPr>
          <w:rFonts w:ascii="Times New Roman" w:hAnsi="Times New Roman"/>
          <w:sz w:val="24"/>
        </w:rPr>
        <w:t>firstly, he did not consider the notice party to be permanently disabled from work, and secondly, that the excluded condition, fibromyalgia, was the main contributing factor to her symptoms.  Those conclusions might well have been sufficient to warrant the notice party declining cover without further enquiry, but nonetheless Ms. Devine sought clarification with a very simple question: “would it be reasonable to deduce that her rheumatoid arthritis is not severe enough to prevent her from working at present?”.  It is very difficult to see how the FSPO could take issue with this enquiry, or the manner in which it is expressed, but nonetheless on p. 16 of the Decision, the FSPO describes this question as being: “very pointed” because it “contained information that went beyond that which would reasonably and fairly be considered necessary for what the provider was asking its specialist to consider”.  However, on p. 15 of the Decision, the FSPO stated: “the issue to be decided in this regard [in reference to what was causing the notice party to be unfit for work] is whether or not the diagnosis of rheumatoid arthritis was of sufficient severity to prevent the complainant from working”.  This description of the “issue to be decided”</w:t>
      </w:r>
      <w:r w:rsidR="00C37838">
        <w:rPr>
          <w:rFonts w:ascii="Times New Roman" w:hAnsi="Times New Roman"/>
          <w:sz w:val="24"/>
        </w:rPr>
        <w:t xml:space="preserve">, by the FSPO himself, </w:t>
      </w:r>
      <w:r>
        <w:rPr>
          <w:rFonts w:ascii="Times New Roman" w:hAnsi="Times New Roman"/>
          <w:sz w:val="24"/>
        </w:rPr>
        <w:t xml:space="preserve">is almost indistinguishable from the query put by Ms. Devine to </w:t>
      </w:r>
      <w:proofErr w:type="spellStart"/>
      <w:r>
        <w:rPr>
          <w:rFonts w:ascii="Times New Roman" w:hAnsi="Times New Roman"/>
          <w:sz w:val="24"/>
        </w:rPr>
        <w:t>Dr.</w:t>
      </w:r>
      <w:proofErr w:type="spellEnd"/>
      <w:r>
        <w:rPr>
          <w:rFonts w:ascii="Times New Roman" w:hAnsi="Times New Roman"/>
          <w:sz w:val="24"/>
        </w:rPr>
        <w:t xml:space="preserve"> Howard in the e-mail of 19</w:t>
      </w:r>
      <w:r w:rsidRPr="00AD4CD9">
        <w:rPr>
          <w:rFonts w:ascii="Times New Roman" w:hAnsi="Times New Roman"/>
          <w:sz w:val="24"/>
          <w:vertAlign w:val="superscript"/>
        </w:rPr>
        <w:t>th</w:t>
      </w:r>
      <w:r>
        <w:rPr>
          <w:rFonts w:ascii="Times New Roman" w:hAnsi="Times New Roman"/>
          <w:sz w:val="24"/>
        </w:rPr>
        <w:t xml:space="preserve"> January 2017.</w:t>
      </w:r>
    </w:p>
    <w:p w14:paraId="2376B3E9" w14:textId="77777777" w:rsidR="003567CB" w:rsidRDefault="003567CB" w:rsidP="00E20F5C">
      <w:pPr>
        <w:pStyle w:val="ListParagraph"/>
        <w:numPr>
          <w:ilvl w:val="0"/>
          <w:numId w:val="6"/>
        </w:numPr>
        <w:tabs>
          <w:tab w:val="left" w:pos="567"/>
        </w:tabs>
        <w:spacing w:line="480" w:lineRule="auto"/>
        <w:ind w:left="1134" w:hanging="567"/>
        <w:rPr>
          <w:rFonts w:ascii="Times New Roman" w:hAnsi="Times New Roman"/>
          <w:b/>
          <w:sz w:val="24"/>
          <w:u w:val="single"/>
        </w:rPr>
      </w:pPr>
      <w:r>
        <w:rPr>
          <w:rFonts w:ascii="Times New Roman" w:hAnsi="Times New Roman"/>
          <w:sz w:val="24"/>
        </w:rPr>
        <w:t xml:space="preserve">Moreover, the FSPO criticises Utmost for making its decision to decline based on the letter received from </w:t>
      </w:r>
      <w:proofErr w:type="spellStart"/>
      <w:r>
        <w:rPr>
          <w:rFonts w:ascii="Times New Roman" w:hAnsi="Times New Roman"/>
          <w:sz w:val="24"/>
        </w:rPr>
        <w:t>Dr.</w:t>
      </w:r>
      <w:proofErr w:type="spellEnd"/>
      <w:r>
        <w:rPr>
          <w:rFonts w:ascii="Times New Roman" w:hAnsi="Times New Roman"/>
          <w:sz w:val="24"/>
        </w:rPr>
        <w:t xml:space="preserve"> Howard of 24</w:t>
      </w:r>
      <w:r w:rsidRPr="00E63DE0">
        <w:rPr>
          <w:rFonts w:ascii="Times New Roman" w:hAnsi="Times New Roman"/>
          <w:sz w:val="24"/>
          <w:vertAlign w:val="superscript"/>
        </w:rPr>
        <w:t>th</w:t>
      </w:r>
      <w:r>
        <w:rPr>
          <w:rFonts w:ascii="Times New Roman" w:hAnsi="Times New Roman"/>
          <w:sz w:val="24"/>
        </w:rPr>
        <w:t xml:space="preserve"> January 2017, without having had the notice party further examined, in circumstances where she had been examined only weeks previously, on 14</w:t>
      </w:r>
      <w:r w:rsidRPr="00E63DE0">
        <w:rPr>
          <w:rFonts w:ascii="Times New Roman" w:hAnsi="Times New Roman"/>
          <w:sz w:val="24"/>
          <w:vertAlign w:val="superscript"/>
        </w:rPr>
        <w:t>th</w:t>
      </w:r>
      <w:r>
        <w:rPr>
          <w:rFonts w:ascii="Times New Roman" w:hAnsi="Times New Roman"/>
          <w:sz w:val="24"/>
        </w:rPr>
        <w:t xml:space="preserve"> December 2016.  </w:t>
      </w:r>
    </w:p>
    <w:p w14:paraId="60AFE7E3" w14:textId="6BF2B6DA" w:rsidR="003567CB" w:rsidRPr="00BB1C79" w:rsidRDefault="003567CB" w:rsidP="00E20F5C">
      <w:pPr>
        <w:pStyle w:val="ListParagraph"/>
        <w:numPr>
          <w:ilvl w:val="0"/>
          <w:numId w:val="6"/>
        </w:numPr>
        <w:tabs>
          <w:tab w:val="left" w:pos="567"/>
        </w:tabs>
        <w:spacing w:line="480" w:lineRule="auto"/>
        <w:ind w:left="1134" w:hanging="567"/>
        <w:rPr>
          <w:rFonts w:ascii="Times New Roman" w:hAnsi="Times New Roman" w:cs="Times New Roman"/>
          <w:b/>
          <w:sz w:val="24"/>
          <w:szCs w:val="24"/>
          <w:u w:val="single"/>
        </w:rPr>
      </w:pPr>
      <w:r w:rsidRPr="00BB1C79">
        <w:rPr>
          <w:rFonts w:ascii="Times New Roman" w:hAnsi="Times New Roman" w:cs="Times New Roman"/>
          <w:sz w:val="24"/>
          <w:szCs w:val="24"/>
        </w:rPr>
        <w:lastRenderedPageBreak/>
        <w:t xml:space="preserve">I </w:t>
      </w:r>
      <w:r w:rsidR="00C37838" w:rsidRPr="00BB1C79">
        <w:rPr>
          <w:rFonts w:ascii="Times New Roman" w:hAnsi="Times New Roman" w:cs="Times New Roman"/>
          <w:sz w:val="24"/>
          <w:szCs w:val="24"/>
        </w:rPr>
        <w:t xml:space="preserve">also </w:t>
      </w:r>
      <w:r w:rsidRPr="00BB1C79">
        <w:rPr>
          <w:rFonts w:ascii="Times New Roman" w:hAnsi="Times New Roman" w:cs="Times New Roman"/>
          <w:sz w:val="24"/>
          <w:szCs w:val="24"/>
        </w:rPr>
        <w:t xml:space="preserve">consider the trial judge was also correct in his use of the word “untenable” by the FSPO in drawing an inference that Utmost placed very considerable emphasis on the diagnosis of fibromyalgia, but did not apply the same level of scrutiny to the impact of rheumatoid arthritis on the notice party’s ability to work.  The correspondence between Utmost and its medical advisors evinces appropriate efforts to establish the extent to which the notice party was disabled from work, and the causes for any such disability.  </w:t>
      </w:r>
    </w:p>
    <w:p w14:paraId="3EBAD50E" w14:textId="11DB1B7D" w:rsidR="00846AC8" w:rsidRPr="003B2786" w:rsidRDefault="00C37838" w:rsidP="00E20F5C">
      <w:pPr>
        <w:pStyle w:val="ListParagraph"/>
        <w:numPr>
          <w:ilvl w:val="0"/>
          <w:numId w:val="6"/>
        </w:numPr>
        <w:tabs>
          <w:tab w:val="left" w:pos="567"/>
        </w:tabs>
        <w:spacing w:line="480" w:lineRule="auto"/>
        <w:ind w:left="1134" w:hanging="567"/>
        <w:rPr>
          <w:rFonts w:ascii="Times New Roman" w:hAnsi="Times New Roman"/>
          <w:sz w:val="24"/>
        </w:rPr>
      </w:pPr>
      <w:r w:rsidRPr="00C37838">
        <w:rPr>
          <w:rFonts w:ascii="Times New Roman" w:hAnsi="Times New Roman"/>
          <w:sz w:val="24"/>
        </w:rPr>
        <w:t xml:space="preserve">Finally, even </w:t>
      </w:r>
      <w:r>
        <w:rPr>
          <w:rFonts w:ascii="Times New Roman" w:hAnsi="Times New Roman"/>
          <w:sz w:val="24"/>
        </w:rPr>
        <w:t>when informing the notice party of its decision on her appeal, in February 2017, Utmost still left it open to the notice party to submit further evidence in support of the Claim</w:t>
      </w:r>
      <w:r w:rsidR="00053204">
        <w:rPr>
          <w:rFonts w:ascii="Times New Roman" w:hAnsi="Times New Roman"/>
          <w:sz w:val="24"/>
        </w:rPr>
        <w:t xml:space="preserve"> for consideration</w:t>
      </w:r>
      <w:r w:rsidR="003A46DA">
        <w:rPr>
          <w:rFonts w:ascii="Times New Roman" w:hAnsi="Times New Roman"/>
          <w:sz w:val="24"/>
        </w:rPr>
        <w:t xml:space="preserve"> </w:t>
      </w:r>
      <w:r w:rsidR="00053204">
        <w:rPr>
          <w:rFonts w:ascii="Times New Roman" w:hAnsi="Times New Roman"/>
          <w:sz w:val="24"/>
        </w:rPr>
        <w:t>-</w:t>
      </w:r>
      <w:r w:rsidR="003A46DA">
        <w:rPr>
          <w:rFonts w:ascii="Times New Roman" w:hAnsi="Times New Roman"/>
          <w:sz w:val="24"/>
        </w:rPr>
        <w:t xml:space="preserve"> </w:t>
      </w:r>
      <w:r>
        <w:rPr>
          <w:rFonts w:ascii="Times New Roman" w:hAnsi="Times New Roman"/>
          <w:sz w:val="24"/>
        </w:rPr>
        <w:t>see para.</w:t>
      </w:r>
      <w:r w:rsidR="003A46DA">
        <w:rPr>
          <w:rFonts w:ascii="Times New Roman" w:hAnsi="Times New Roman"/>
          <w:sz w:val="24"/>
        </w:rPr>
        <w:t xml:space="preserve"> </w:t>
      </w:r>
      <w:r w:rsidR="00D733A3">
        <w:rPr>
          <w:rFonts w:ascii="Times New Roman" w:hAnsi="Times New Roman"/>
          <w:sz w:val="24"/>
        </w:rPr>
        <w:t>20</w:t>
      </w:r>
      <w:r>
        <w:rPr>
          <w:rFonts w:ascii="Times New Roman" w:hAnsi="Times New Roman"/>
          <w:sz w:val="24"/>
        </w:rPr>
        <w:t xml:space="preserve"> above</w:t>
      </w:r>
      <w:r w:rsidR="00053204">
        <w:rPr>
          <w:rFonts w:ascii="Times New Roman" w:hAnsi="Times New Roman"/>
          <w:sz w:val="24"/>
        </w:rPr>
        <w:t>.</w:t>
      </w:r>
      <w:r w:rsidR="00BE2AB2">
        <w:rPr>
          <w:rFonts w:ascii="Times New Roman" w:hAnsi="Times New Roman"/>
          <w:sz w:val="24"/>
        </w:rPr>
        <w:t xml:space="preserve"> </w:t>
      </w:r>
      <w:r w:rsidR="00053204">
        <w:rPr>
          <w:rFonts w:ascii="Times New Roman" w:hAnsi="Times New Roman"/>
          <w:sz w:val="24"/>
        </w:rPr>
        <w:t>This is hardly suggestive of a service provider with a pre-determined outlook or a closed mind.</w:t>
      </w:r>
    </w:p>
    <w:p w14:paraId="2D5C3C8D" w14:textId="02772A29" w:rsidR="00C33097" w:rsidRPr="00053204" w:rsidRDefault="00741A21" w:rsidP="00E20F5C">
      <w:pPr>
        <w:pStyle w:val="ListParagraph"/>
        <w:tabs>
          <w:tab w:val="left" w:pos="567"/>
        </w:tabs>
        <w:spacing w:line="480" w:lineRule="auto"/>
        <w:ind w:left="0"/>
        <w:rPr>
          <w:rFonts w:ascii="Times New Roman" w:hAnsi="Times New Roman"/>
          <w:b/>
          <w:sz w:val="24"/>
          <w:u w:val="single"/>
        </w:rPr>
      </w:pPr>
      <w:r>
        <w:rPr>
          <w:rFonts w:ascii="Times New Roman" w:hAnsi="Times New Roman"/>
          <w:b/>
          <w:sz w:val="24"/>
          <w:u w:val="single"/>
        </w:rPr>
        <w:t>Question 2</w:t>
      </w:r>
      <w:r w:rsidR="00C33097">
        <w:rPr>
          <w:rFonts w:ascii="Times New Roman" w:hAnsi="Times New Roman"/>
          <w:b/>
          <w:sz w:val="24"/>
          <w:u w:val="single"/>
        </w:rPr>
        <w:t>:</w:t>
      </w:r>
      <w:r w:rsidR="00C33097">
        <w:rPr>
          <w:rFonts w:ascii="Times New Roman" w:hAnsi="Times New Roman"/>
          <w:b/>
          <w:sz w:val="24"/>
        </w:rPr>
        <w:t xml:space="preserve"> </w:t>
      </w:r>
    </w:p>
    <w:p w14:paraId="75A670AE" w14:textId="637391AA" w:rsidR="00C33097" w:rsidRDefault="00C33097" w:rsidP="00E20F5C">
      <w:pPr>
        <w:pStyle w:val="ListParagraph"/>
        <w:tabs>
          <w:tab w:val="left" w:pos="567"/>
        </w:tabs>
        <w:spacing w:line="480" w:lineRule="auto"/>
        <w:ind w:left="0"/>
        <w:rPr>
          <w:rFonts w:ascii="Times New Roman" w:hAnsi="Times New Roman"/>
          <w:b/>
          <w:sz w:val="24"/>
        </w:rPr>
      </w:pPr>
      <w:r>
        <w:rPr>
          <w:rFonts w:ascii="Times New Roman" w:hAnsi="Times New Roman"/>
          <w:b/>
          <w:sz w:val="24"/>
        </w:rPr>
        <w:t>Does the</w:t>
      </w:r>
      <w:r w:rsidRPr="00D83ED9">
        <w:rPr>
          <w:rFonts w:ascii="Times New Roman" w:hAnsi="Times New Roman"/>
          <w:b/>
          <w:sz w:val="24"/>
        </w:rPr>
        <w:t xml:space="preserve"> Ombudsman have jurisdiction, in the absence of any finding on his part that there has been a breach of contract, to direct a financial services provider to admit a claim under a policy of insurance and to pay the benefit to the insured?</w:t>
      </w:r>
    </w:p>
    <w:p w14:paraId="63A80025" w14:textId="66891E3B" w:rsidR="00053204" w:rsidRPr="00053204" w:rsidRDefault="00053204" w:rsidP="00E20F5C">
      <w:pPr>
        <w:pStyle w:val="ListParagraph"/>
        <w:numPr>
          <w:ilvl w:val="0"/>
          <w:numId w:val="1"/>
        </w:numPr>
        <w:tabs>
          <w:tab w:val="left" w:pos="567"/>
        </w:tabs>
        <w:spacing w:line="480" w:lineRule="auto"/>
        <w:ind w:left="0" w:firstLine="0"/>
        <w:rPr>
          <w:rFonts w:ascii="Times New Roman" w:hAnsi="Times New Roman"/>
          <w:sz w:val="24"/>
        </w:rPr>
      </w:pPr>
      <w:r w:rsidRPr="00653902">
        <w:rPr>
          <w:rFonts w:ascii="Times New Roman" w:hAnsi="Times New Roman"/>
          <w:sz w:val="24"/>
        </w:rPr>
        <w:t>The trial</w:t>
      </w:r>
      <w:r w:rsidRPr="00053204">
        <w:rPr>
          <w:rFonts w:ascii="Times New Roman" w:hAnsi="Times New Roman"/>
          <w:sz w:val="24"/>
          <w:u w:val="single"/>
        </w:rPr>
        <w:t xml:space="preserve"> </w:t>
      </w:r>
      <w:r w:rsidRPr="00053204">
        <w:rPr>
          <w:rFonts w:ascii="Times New Roman" w:hAnsi="Times New Roman"/>
          <w:sz w:val="24"/>
        </w:rPr>
        <w:t>judge observed that</w:t>
      </w:r>
      <w:r>
        <w:rPr>
          <w:rFonts w:ascii="Times New Roman" w:hAnsi="Times New Roman"/>
          <w:sz w:val="24"/>
        </w:rPr>
        <w:t xml:space="preserve"> in view of his conclusions that the Decision was vitiated by serious and significant error, it was not strictly necessary for him to address th</w:t>
      </w:r>
      <w:r w:rsidR="00BB04CD">
        <w:rPr>
          <w:rFonts w:ascii="Times New Roman" w:hAnsi="Times New Roman"/>
          <w:sz w:val="24"/>
        </w:rPr>
        <w:t>e validity of the remedy directed by the FSPO</w:t>
      </w:r>
      <w:r>
        <w:rPr>
          <w:rFonts w:ascii="Times New Roman" w:hAnsi="Times New Roman"/>
          <w:sz w:val="24"/>
        </w:rPr>
        <w:t xml:space="preserve">, but he proceeded to do so lest he be found </w:t>
      </w:r>
      <w:r w:rsidR="00071B18">
        <w:rPr>
          <w:rFonts w:ascii="Times New Roman" w:hAnsi="Times New Roman"/>
          <w:sz w:val="24"/>
        </w:rPr>
        <w:t xml:space="preserve">to be </w:t>
      </w:r>
      <w:r>
        <w:rPr>
          <w:rFonts w:ascii="Times New Roman" w:hAnsi="Times New Roman"/>
          <w:sz w:val="24"/>
        </w:rPr>
        <w:t>incorrect</w:t>
      </w:r>
      <w:r w:rsidR="00071B18">
        <w:rPr>
          <w:rFonts w:ascii="Times New Roman" w:hAnsi="Times New Roman"/>
          <w:sz w:val="24"/>
        </w:rPr>
        <w:t xml:space="preserve"> in his </w:t>
      </w:r>
      <w:r>
        <w:rPr>
          <w:rFonts w:ascii="Times New Roman" w:hAnsi="Times New Roman"/>
          <w:sz w:val="24"/>
        </w:rPr>
        <w:t xml:space="preserve">other </w:t>
      </w:r>
      <w:r w:rsidR="00071B18">
        <w:rPr>
          <w:rFonts w:ascii="Times New Roman" w:hAnsi="Times New Roman"/>
          <w:sz w:val="24"/>
        </w:rPr>
        <w:t>conclusions.</w:t>
      </w:r>
      <w:r w:rsidR="00BB04CD">
        <w:rPr>
          <w:rFonts w:ascii="Times New Roman" w:hAnsi="Times New Roman"/>
          <w:sz w:val="24"/>
        </w:rPr>
        <w:t xml:space="preserve"> In doing so he was , in effect, addressing the second question asked on this appeal.</w:t>
      </w:r>
    </w:p>
    <w:p w14:paraId="0D3DA9A4" w14:textId="36D01925" w:rsidR="00C33097" w:rsidRPr="00D83ED9"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In looking at the question he (correctly) did so on the assumption that the findings of the FSPO on the substance of the complaint, were upheld.  </w:t>
      </w:r>
      <w:r w:rsidR="00BE2AB2">
        <w:rPr>
          <w:rFonts w:ascii="Times New Roman" w:hAnsi="Times New Roman"/>
          <w:sz w:val="24"/>
        </w:rPr>
        <w:t xml:space="preserve">He concluded that the FSPO did not have jurisdiction to direct the admission of the Claim. </w:t>
      </w:r>
      <w:r>
        <w:rPr>
          <w:rFonts w:ascii="Times New Roman" w:hAnsi="Times New Roman"/>
          <w:sz w:val="24"/>
        </w:rPr>
        <w:t xml:space="preserve">He noted (at para. </w:t>
      </w:r>
      <w:r w:rsidR="00BB04CD">
        <w:rPr>
          <w:rFonts w:ascii="Times New Roman" w:hAnsi="Times New Roman"/>
          <w:sz w:val="24"/>
        </w:rPr>
        <w:t>91</w:t>
      </w:r>
      <w:r>
        <w:rPr>
          <w:rFonts w:ascii="Times New Roman" w:hAnsi="Times New Roman"/>
          <w:sz w:val="24"/>
        </w:rPr>
        <w:t>)</w:t>
      </w:r>
      <w:r w:rsidR="00614845">
        <w:rPr>
          <w:rFonts w:ascii="Times New Roman" w:hAnsi="Times New Roman"/>
          <w:sz w:val="24"/>
        </w:rPr>
        <w:t xml:space="preserve"> </w:t>
      </w:r>
      <w:r>
        <w:rPr>
          <w:rFonts w:ascii="Times New Roman" w:hAnsi="Times New Roman"/>
          <w:sz w:val="24"/>
        </w:rPr>
        <w:t>that:</w:t>
      </w:r>
    </w:p>
    <w:p w14:paraId="11A1B7BF" w14:textId="5ED85804" w:rsidR="00C33097" w:rsidRPr="009804D8" w:rsidRDefault="00C33097"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lastRenderedPageBreak/>
        <w:t>“</w:t>
      </w:r>
      <w:r w:rsidRPr="00D83ED9">
        <w:rPr>
          <w:rFonts w:ascii="Times New Roman" w:hAnsi="Times New Roman"/>
          <w:sz w:val="24"/>
        </w:rPr>
        <w:t>The Ombudsman did not find, </w:t>
      </w:r>
      <w:r w:rsidRPr="00D83ED9">
        <w:rPr>
          <w:rFonts w:ascii="Times New Roman" w:hAnsi="Times New Roman"/>
          <w:i/>
          <w:iCs/>
          <w:sz w:val="24"/>
        </w:rPr>
        <w:t>as a matter of contract law,</w:t>
      </w:r>
      <w:r w:rsidRPr="00D83ED9">
        <w:rPr>
          <w:rFonts w:ascii="Times New Roman" w:hAnsi="Times New Roman"/>
          <w:sz w:val="24"/>
        </w:rPr>
        <w:t> that the insured party was entitled to recover under the group income protection scheme. The Ombudsman made no finding to th</w:t>
      </w:r>
      <w:r>
        <w:rPr>
          <w:rFonts w:ascii="Times New Roman" w:hAnsi="Times New Roman"/>
          <w:sz w:val="24"/>
        </w:rPr>
        <w:t>e effect that the insured party’</w:t>
      </w:r>
      <w:r w:rsidRPr="00D83ED9">
        <w:rPr>
          <w:rFonts w:ascii="Times New Roman" w:hAnsi="Times New Roman"/>
          <w:sz w:val="24"/>
        </w:rPr>
        <w:t>s inability to work is attributable entirely to rheumatoid arthritis. Yet, the remedy directed was precisely that the ins</w:t>
      </w:r>
      <w:r>
        <w:rPr>
          <w:rFonts w:ascii="Times New Roman" w:hAnsi="Times New Roman"/>
          <w:sz w:val="24"/>
        </w:rPr>
        <w:t>urance provider admit the claim”.</w:t>
      </w:r>
    </w:p>
    <w:p w14:paraId="0412D296" w14:textId="4DEFA7A0" w:rsidR="00C33097" w:rsidRPr="005A137E"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The trial judge held that the remedy directed could not stand because there was no lawful connection between the finding of unreasonable or improper conduct, and the remedy imposed.  </w:t>
      </w:r>
    </w:p>
    <w:p w14:paraId="612580CF" w14:textId="77777777" w:rsidR="00C33097" w:rsidRPr="009804D8"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On behalf of the FSPO, it is argued that the jurisdiction that he enjoys, and in particular the powers conferred on him pursuant to s.60(4) of the Act of 2017 is a broad jurisdiction; that this is apparent from the terms of the section itself and from the authorities.  In this particular case, it is submitted that the remedy granted was appropriate and within the jurisdiction of the FSPO.  </w:t>
      </w:r>
    </w:p>
    <w:p w14:paraId="76CB6781" w14:textId="205ADEB1" w:rsidR="00C33097" w:rsidRPr="00B0254A"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Utmost argues that the effect of the Decision is to require Utmost to admit a claim which is expressly excluded under its contract with the notice party, and the cost of which could exceed €400,000.  Moreover, if Utmost failed to comply with the direction of the FSPO, the FSPO would be entitled to bring an application to the Circuit Court for the making of an order in the terms of the FSPO direction  to admit the notice party to cover (pursuant to s.65 of the Act of the 2017), and that order in turn could be enforced through the sequestration of the assets of Utmost, or the attachment and committal of its directors and officers.  </w:t>
      </w:r>
    </w:p>
    <w:p w14:paraId="744EA5B0" w14:textId="77777777" w:rsidR="00C33097" w:rsidRPr="00B0254A"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While Utmost recognises that the authorities confirm that the FSPO has a wide discretion in selecting an appropriate remedy, it is submitted that the FSPO is required to exercise that discretion in a manner that is proportionate.  It is submitted that it could not have been the intention of the Oireachtas to confer a jurisdiction on the FSPO to direct the </w:t>
      </w:r>
      <w:r>
        <w:rPr>
          <w:rFonts w:ascii="Times New Roman" w:hAnsi="Times New Roman"/>
          <w:sz w:val="24"/>
        </w:rPr>
        <w:lastRenderedPageBreak/>
        <w:t xml:space="preserve">provision of a financial service in circumstances where the FSPO has not upheld the complaint pursuant to s.60(2)(a) of the Act of 2017 i.e. on the basis that the conduct complained of was contrary to law.  Where the FSPO directs a financial services provider to admit a person to cover contrary to the terms of a policy of insurance, this has the effect of setting at nought the terms of the contract between the parties, and is disproportionate.  This could not have been contemplated by the legislature.  </w:t>
      </w:r>
    </w:p>
    <w:p w14:paraId="08374B73" w14:textId="77777777" w:rsidR="00C33097" w:rsidRPr="009804D8"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Accordingly, Utmost submits, the answer to the second question must be that the FSPO does not have the jurisdiction to </w:t>
      </w:r>
      <w:bookmarkStart w:id="2" w:name="_Hlk89857915"/>
      <w:r>
        <w:rPr>
          <w:rFonts w:ascii="Times New Roman" w:hAnsi="Times New Roman"/>
          <w:sz w:val="24"/>
        </w:rPr>
        <w:t>direct a financial services provider to admit a claim under a policy of insurance, absent a finding that there has been a breach of contract by the insurer concerned</w:t>
      </w:r>
      <w:bookmarkEnd w:id="2"/>
      <w:r>
        <w:rPr>
          <w:rFonts w:ascii="Times New Roman" w:hAnsi="Times New Roman"/>
          <w:sz w:val="24"/>
        </w:rPr>
        <w:t xml:space="preserve">.  Utmost further submitted that the saver in the direction order of the FSPO (that Utmost could review the matter at any time, in accordance with the Scheme policy) was ineffective in circumstances where it has already been determined, on the basis of medical evidence, that the Claim is inadmissible, and furthermore, the private contractual rights of the parties would not be engaged in any such review. </w:t>
      </w:r>
    </w:p>
    <w:p w14:paraId="4C562DA7" w14:textId="69F6AE0F" w:rsidR="00C33097" w:rsidRPr="00AE3552" w:rsidRDefault="00C33097" w:rsidP="00E20F5C">
      <w:pPr>
        <w:pStyle w:val="ListParagraph"/>
        <w:tabs>
          <w:tab w:val="left" w:pos="567"/>
        </w:tabs>
        <w:spacing w:line="480" w:lineRule="auto"/>
        <w:ind w:left="0"/>
        <w:rPr>
          <w:rFonts w:ascii="Times New Roman" w:hAnsi="Times New Roman"/>
          <w:b/>
          <w:sz w:val="24"/>
        </w:rPr>
      </w:pPr>
      <w:r w:rsidRPr="00AE3552">
        <w:rPr>
          <w:rFonts w:ascii="Times New Roman" w:hAnsi="Times New Roman"/>
          <w:b/>
          <w:sz w:val="24"/>
        </w:rPr>
        <w:t xml:space="preserve">Discussion and </w:t>
      </w:r>
      <w:r w:rsidR="00855836">
        <w:rPr>
          <w:rFonts w:ascii="Times New Roman" w:hAnsi="Times New Roman"/>
          <w:b/>
          <w:sz w:val="24"/>
        </w:rPr>
        <w:t>D</w:t>
      </w:r>
      <w:r w:rsidRPr="00AE3552">
        <w:rPr>
          <w:rFonts w:ascii="Times New Roman" w:hAnsi="Times New Roman"/>
          <w:b/>
          <w:sz w:val="24"/>
        </w:rPr>
        <w:t xml:space="preserve">ecision on </w:t>
      </w:r>
      <w:r w:rsidR="00AE3552">
        <w:rPr>
          <w:rFonts w:ascii="Times New Roman" w:hAnsi="Times New Roman"/>
          <w:b/>
          <w:sz w:val="24"/>
        </w:rPr>
        <w:t>Question 2</w:t>
      </w:r>
    </w:p>
    <w:p w14:paraId="21224652" w14:textId="69078B4F" w:rsidR="00C33097" w:rsidRPr="00B1078D"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Section 60(4) of the Act of 2017 provides:</w:t>
      </w:r>
    </w:p>
    <w:p w14:paraId="3AF08BC9" w14:textId="77777777" w:rsidR="00C33097" w:rsidRPr="00B1078D" w:rsidRDefault="00C33097" w:rsidP="004A11D5">
      <w:pPr>
        <w:pStyle w:val="ListParagraph"/>
        <w:tabs>
          <w:tab w:val="left" w:pos="567"/>
        </w:tabs>
        <w:spacing w:line="480" w:lineRule="auto"/>
        <w:ind w:left="567"/>
        <w:rPr>
          <w:rFonts w:ascii="Times New Roman" w:hAnsi="Times New Roman"/>
          <w:sz w:val="24"/>
        </w:rPr>
      </w:pPr>
      <w:r>
        <w:rPr>
          <w:rFonts w:ascii="Times New Roman" w:hAnsi="Times New Roman"/>
          <w:sz w:val="24"/>
        </w:rPr>
        <w:t xml:space="preserve">“(4) </w:t>
      </w:r>
      <w:r w:rsidRPr="00B1078D">
        <w:rPr>
          <w:rFonts w:ascii="Times New Roman" w:hAnsi="Times New Roman"/>
          <w:sz w:val="24"/>
        </w:rPr>
        <w:t>Where a complaint is found to be upheld, substantially upheld or partially upheld, the Ombudsman may direct the financial service provider to do one or more of the following:</w:t>
      </w:r>
    </w:p>
    <w:p w14:paraId="392F6940" w14:textId="77777777" w:rsidR="00C33097" w:rsidRDefault="00C33097" w:rsidP="00E20F5C">
      <w:pPr>
        <w:pStyle w:val="ListParagraph"/>
        <w:tabs>
          <w:tab w:val="left" w:pos="567"/>
        </w:tabs>
        <w:spacing w:line="480" w:lineRule="auto"/>
        <w:ind w:left="1134"/>
        <w:rPr>
          <w:rFonts w:ascii="Times New Roman" w:hAnsi="Times New Roman"/>
          <w:sz w:val="24"/>
        </w:rPr>
      </w:pPr>
      <w:r>
        <w:rPr>
          <w:rFonts w:ascii="Times New Roman" w:hAnsi="Times New Roman"/>
          <w:sz w:val="24"/>
        </w:rPr>
        <w:tab/>
      </w:r>
      <w:r w:rsidRPr="00B1078D">
        <w:rPr>
          <w:rFonts w:ascii="Times New Roman" w:hAnsi="Times New Roman"/>
          <w:sz w:val="24"/>
        </w:rPr>
        <w:t>(a) review, rectify, mitigate or change the conduct complained of or its consequences;</w:t>
      </w:r>
    </w:p>
    <w:p w14:paraId="6AE57DCF" w14:textId="77777777" w:rsidR="00C33097" w:rsidRPr="00B1078D" w:rsidRDefault="00C33097" w:rsidP="00E20F5C">
      <w:pPr>
        <w:pStyle w:val="ListParagraph"/>
        <w:tabs>
          <w:tab w:val="left" w:pos="567"/>
        </w:tabs>
        <w:spacing w:line="48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sidRPr="00B1078D">
        <w:rPr>
          <w:rFonts w:ascii="Times New Roman" w:hAnsi="Times New Roman"/>
          <w:sz w:val="24"/>
        </w:rPr>
        <w:t>(b) provide reasons or explanations for that conduct;</w:t>
      </w:r>
    </w:p>
    <w:p w14:paraId="01186BEF" w14:textId="77777777" w:rsidR="00C33097" w:rsidRPr="00B1078D" w:rsidRDefault="00C33097" w:rsidP="00E20F5C">
      <w:pPr>
        <w:pStyle w:val="ListParagraph"/>
        <w:tabs>
          <w:tab w:val="left" w:pos="567"/>
        </w:tabs>
        <w:spacing w:line="480" w:lineRule="auto"/>
        <w:rPr>
          <w:rFonts w:ascii="Times New Roman" w:hAnsi="Times New Roman"/>
          <w:sz w:val="24"/>
        </w:rPr>
      </w:pPr>
      <w:r>
        <w:rPr>
          <w:rFonts w:ascii="Times New Roman" w:hAnsi="Times New Roman"/>
          <w:sz w:val="24"/>
        </w:rPr>
        <w:t xml:space="preserve"> </w:t>
      </w:r>
      <w:r>
        <w:rPr>
          <w:rFonts w:ascii="Times New Roman" w:hAnsi="Times New Roman"/>
          <w:sz w:val="24"/>
        </w:rPr>
        <w:tab/>
      </w:r>
      <w:r w:rsidRPr="00B1078D">
        <w:rPr>
          <w:rFonts w:ascii="Times New Roman" w:hAnsi="Times New Roman"/>
          <w:sz w:val="24"/>
        </w:rPr>
        <w:t>(c) change a practice relating to that conduct;</w:t>
      </w:r>
    </w:p>
    <w:p w14:paraId="20F15B82" w14:textId="77777777" w:rsidR="00C33097" w:rsidRDefault="00C33097" w:rsidP="00E20F5C">
      <w:pPr>
        <w:pStyle w:val="ListParagraph"/>
        <w:tabs>
          <w:tab w:val="left" w:pos="567"/>
        </w:tabs>
        <w:spacing w:line="480" w:lineRule="auto"/>
        <w:ind w:left="1134"/>
        <w:rPr>
          <w:rFonts w:ascii="Times New Roman" w:hAnsi="Times New Roman"/>
          <w:sz w:val="24"/>
        </w:rPr>
      </w:pPr>
      <w:r>
        <w:rPr>
          <w:rFonts w:ascii="Times New Roman" w:hAnsi="Times New Roman"/>
          <w:sz w:val="24"/>
        </w:rPr>
        <w:lastRenderedPageBreak/>
        <w:t xml:space="preserve"> </w:t>
      </w:r>
      <w:r w:rsidRPr="00B1078D">
        <w:rPr>
          <w:rFonts w:ascii="Times New Roman" w:hAnsi="Times New Roman"/>
          <w:sz w:val="24"/>
        </w:rPr>
        <w:t xml:space="preserve">(d) pay an amount of compensation to the complainant for any loss, expense or </w:t>
      </w:r>
      <w:r>
        <w:rPr>
          <w:rFonts w:ascii="Times New Roman" w:hAnsi="Times New Roman"/>
          <w:sz w:val="24"/>
        </w:rPr>
        <w:t xml:space="preserve">inconvenience </w:t>
      </w:r>
      <w:r w:rsidRPr="00B1078D">
        <w:rPr>
          <w:rFonts w:ascii="Times New Roman" w:hAnsi="Times New Roman"/>
          <w:sz w:val="24"/>
        </w:rPr>
        <w:t>sustained by the complainant as a result of the conduct complained of;</w:t>
      </w:r>
    </w:p>
    <w:p w14:paraId="66506018" w14:textId="77777777" w:rsidR="00C33097" w:rsidRPr="009804D8" w:rsidRDefault="00C33097" w:rsidP="00E20F5C">
      <w:pPr>
        <w:pStyle w:val="ListParagraph"/>
        <w:tabs>
          <w:tab w:val="left" w:pos="567"/>
        </w:tabs>
        <w:spacing w:line="480" w:lineRule="auto"/>
        <w:ind w:left="1134"/>
        <w:rPr>
          <w:rFonts w:ascii="Times New Roman" w:hAnsi="Times New Roman"/>
          <w:b/>
          <w:sz w:val="24"/>
          <w:u w:val="single"/>
        </w:rPr>
      </w:pPr>
      <w:r>
        <w:rPr>
          <w:rFonts w:ascii="Times New Roman" w:hAnsi="Times New Roman"/>
          <w:sz w:val="24"/>
        </w:rPr>
        <w:tab/>
      </w:r>
      <w:r w:rsidRPr="00B1078D">
        <w:rPr>
          <w:rFonts w:ascii="Times New Roman" w:hAnsi="Times New Roman"/>
          <w:sz w:val="24"/>
        </w:rPr>
        <w:t>(e) take any other lawful action that the Ombudsman considers appropriate having had regard to all the circumstances of the complaint.</w:t>
      </w:r>
      <w:r>
        <w:rPr>
          <w:rFonts w:ascii="Times New Roman" w:hAnsi="Times New Roman"/>
          <w:sz w:val="24"/>
        </w:rPr>
        <w:t>”</w:t>
      </w:r>
    </w:p>
    <w:p w14:paraId="34836434" w14:textId="1FB4B411" w:rsidR="00C33097" w:rsidRPr="005D7CEE"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The breadth of jurisdiction conferred on the FSPO by this section is self-evident.  In its previous incarnation (s.57 CI (4) of the Central Bank Act 1942 (as inserted by s.16 of the Central Bank and Financial Services Authority of Ireland Act, 2004)</w:t>
      </w:r>
      <w:r w:rsidR="00A96D26">
        <w:rPr>
          <w:rFonts w:ascii="Times New Roman" w:hAnsi="Times New Roman"/>
          <w:sz w:val="24"/>
        </w:rPr>
        <w:t>)</w:t>
      </w:r>
      <w:r>
        <w:rPr>
          <w:rFonts w:ascii="Times New Roman" w:hAnsi="Times New Roman"/>
          <w:sz w:val="24"/>
        </w:rPr>
        <w:t xml:space="preserve"> it was considered in several cases, including </w:t>
      </w:r>
      <w:proofErr w:type="spellStart"/>
      <w:r>
        <w:rPr>
          <w:rFonts w:ascii="Times New Roman" w:hAnsi="Times New Roman"/>
          <w:i/>
          <w:sz w:val="24"/>
        </w:rPr>
        <w:t>Governey</w:t>
      </w:r>
      <w:proofErr w:type="spellEnd"/>
      <w:r>
        <w:rPr>
          <w:rFonts w:ascii="Times New Roman" w:hAnsi="Times New Roman"/>
          <w:i/>
          <w:sz w:val="24"/>
        </w:rPr>
        <w:t xml:space="preserve"> v. Financial Services Ombudsman </w:t>
      </w:r>
      <w:r>
        <w:rPr>
          <w:rFonts w:ascii="Times New Roman" w:hAnsi="Times New Roman"/>
          <w:sz w:val="24"/>
        </w:rPr>
        <w:t>[2015] 2 IR 616.  At para. 40 of his judgment in that matter, Clarke J. stated:</w:t>
      </w:r>
    </w:p>
    <w:p w14:paraId="2FA7FB34" w14:textId="1DD4AD27" w:rsidR="00C33097" w:rsidRPr="009804D8" w:rsidRDefault="00C33097" w:rsidP="00E20F5C">
      <w:pPr>
        <w:pStyle w:val="ListParagraph"/>
        <w:tabs>
          <w:tab w:val="left" w:pos="567"/>
        </w:tabs>
        <w:spacing w:line="480" w:lineRule="auto"/>
        <w:ind w:left="567"/>
        <w:rPr>
          <w:rFonts w:ascii="Times New Roman" w:hAnsi="Times New Roman"/>
          <w:b/>
          <w:sz w:val="24"/>
          <w:u w:val="single"/>
        </w:rPr>
      </w:pPr>
      <w:r>
        <w:rPr>
          <w:rFonts w:ascii="Times New Roman" w:hAnsi="Times New Roman"/>
          <w:sz w:val="24"/>
        </w:rPr>
        <w:t>“</w:t>
      </w:r>
      <w:r w:rsidR="00CF77CE">
        <w:rPr>
          <w:rFonts w:ascii="Times New Roman" w:hAnsi="Times New Roman"/>
          <w:sz w:val="24"/>
        </w:rPr>
        <w:t>I</w:t>
      </w:r>
      <w:r w:rsidRPr="005D7CEE">
        <w:rPr>
          <w:rFonts w:ascii="Times New Roman" w:hAnsi="Times New Roman"/>
          <w:sz w:val="24"/>
        </w:rPr>
        <w:t>t is also clea</w:t>
      </w:r>
      <w:r>
        <w:rPr>
          <w:rFonts w:ascii="Times New Roman" w:hAnsi="Times New Roman"/>
          <w:sz w:val="24"/>
        </w:rPr>
        <w:t>r from the provisions of s.</w:t>
      </w:r>
      <w:r w:rsidRPr="005D7CEE">
        <w:rPr>
          <w:rFonts w:ascii="Times New Roman" w:hAnsi="Times New Roman"/>
          <w:sz w:val="24"/>
        </w:rPr>
        <w:t xml:space="preserve"> 57</w:t>
      </w:r>
      <w:r>
        <w:rPr>
          <w:rFonts w:ascii="Times New Roman" w:hAnsi="Times New Roman"/>
          <w:sz w:val="24"/>
        </w:rPr>
        <w:t xml:space="preserve"> </w:t>
      </w:r>
      <w:r w:rsidRPr="005D7CEE">
        <w:rPr>
          <w:rFonts w:ascii="Times New Roman" w:hAnsi="Times New Roman"/>
          <w:sz w:val="24"/>
        </w:rPr>
        <w:t>C</w:t>
      </w:r>
      <w:r>
        <w:rPr>
          <w:rFonts w:ascii="Times New Roman" w:hAnsi="Times New Roman"/>
          <w:sz w:val="24"/>
        </w:rPr>
        <w:t xml:space="preserve"> </w:t>
      </w:r>
      <w:r w:rsidRPr="005D7CEE">
        <w:rPr>
          <w:rFonts w:ascii="Times New Roman" w:hAnsi="Times New Roman"/>
          <w:sz w:val="24"/>
        </w:rPr>
        <w:t>I</w:t>
      </w:r>
      <w:r>
        <w:rPr>
          <w:rFonts w:ascii="Times New Roman" w:hAnsi="Times New Roman"/>
          <w:sz w:val="24"/>
        </w:rPr>
        <w:t xml:space="preserve"> </w:t>
      </w:r>
      <w:r w:rsidRPr="005D7CEE">
        <w:rPr>
          <w:rFonts w:ascii="Times New Roman" w:hAnsi="Times New Roman"/>
          <w:sz w:val="24"/>
        </w:rPr>
        <w:t xml:space="preserve">(4) that the range of remedies </w:t>
      </w:r>
      <w:r>
        <w:rPr>
          <w:rFonts w:ascii="Times New Roman" w:hAnsi="Times New Roman"/>
          <w:sz w:val="24"/>
        </w:rPr>
        <w:t>which can be imposed by the FSO</w:t>
      </w:r>
      <w:r w:rsidRPr="005D7CEE">
        <w:rPr>
          <w:rFonts w:ascii="Times New Roman" w:hAnsi="Times New Roman"/>
          <w:sz w:val="24"/>
        </w:rPr>
        <w:t xml:space="preserve"> in the event that a complaint is substantiated are wide and go beyond (but do include) the form of redress which might be available in the case of someone whose legal rights have been interfered w</w:t>
      </w:r>
      <w:r>
        <w:rPr>
          <w:rFonts w:ascii="Times New Roman" w:hAnsi="Times New Roman"/>
          <w:sz w:val="24"/>
        </w:rPr>
        <w:t>ith”.</w:t>
      </w:r>
    </w:p>
    <w:p w14:paraId="5A5CCB56" w14:textId="67F73F6D" w:rsidR="00C33097" w:rsidRDefault="00C33097" w:rsidP="00E20F5C">
      <w:pPr>
        <w:pStyle w:val="ListParagraph"/>
        <w:tabs>
          <w:tab w:val="left" w:pos="567"/>
        </w:tabs>
        <w:spacing w:line="480" w:lineRule="auto"/>
        <w:ind w:left="0"/>
        <w:rPr>
          <w:rFonts w:ascii="Times New Roman" w:hAnsi="Times New Roman"/>
          <w:sz w:val="24"/>
        </w:rPr>
      </w:pPr>
      <w:r>
        <w:rPr>
          <w:rFonts w:ascii="Times New Roman" w:hAnsi="Times New Roman"/>
          <w:sz w:val="24"/>
        </w:rPr>
        <w:t xml:space="preserve">More recently, s.60(4) was considered by Hyland J. in the High Court in </w:t>
      </w:r>
      <w:r>
        <w:rPr>
          <w:rFonts w:ascii="Times New Roman" w:hAnsi="Times New Roman"/>
          <w:i/>
          <w:sz w:val="24"/>
        </w:rPr>
        <w:t xml:space="preserve">Danske Bank A/S v. The Financial Services and Pensions Ombudsman </w:t>
      </w:r>
      <w:r>
        <w:rPr>
          <w:rFonts w:ascii="Times New Roman" w:hAnsi="Times New Roman"/>
          <w:sz w:val="24"/>
        </w:rPr>
        <w:t xml:space="preserve">wherein Hyland J. observed that the jurisdiction conferred on the FSPO in effect includes a jurisdiction to override the law of contract (see para. </w:t>
      </w:r>
      <w:r w:rsidR="00371A48">
        <w:rPr>
          <w:rFonts w:ascii="Times New Roman" w:hAnsi="Times New Roman"/>
          <w:sz w:val="24"/>
        </w:rPr>
        <w:t>5</w:t>
      </w:r>
      <w:r w:rsidR="00D733A3">
        <w:rPr>
          <w:rFonts w:ascii="Times New Roman" w:hAnsi="Times New Roman"/>
          <w:sz w:val="24"/>
        </w:rPr>
        <w:t>5</w:t>
      </w:r>
      <w:r w:rsidR="00CC12D0">
        <w:rPr>
          <w:rFonts w:ascii="Times New Roman" w:hAnsi="Times New Roman"/>
          <w:sz w:val="24"/>
        </w:rPr>
        <w:t xml:space="preserve"> </w:t>
      </w:r>
      <w:r>
        <w:rPr>
          <w:rFonts w:ascii="Times New Roman" w:hAnsi="Times New Roman"/>
          <w:sz w:val="24"/>
        </w:rPr>
        <w:t>above).</w:t>
      </w:r>
    </w:p>
    <w:p w14:paraId="34F18D17" w14:textId="244C964B" w:rsidR="00C33097" w:rsidRPr="001D525E"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It is clear from the express terms of s.60(4) that jurisdiction of the FSPO is not limited to cases in which the FSPO has found a financial services provider to be in breach of contract.  The powers conferred upon the FSPO are indeed very broad and are clearly intended to reflect the intention of the Oireachtas to provide a swift, informal and effective mechanism for the resolution of disputes as between consumers and financial services providers.  Of its very nature, an investigation conducted by the FSPO is of an altogether different character to legal proceedings, and the powers conferred upon the FSPO are not circumscribed by the </w:t>
      </w:r>
      <w:r>
        <w:rPr>
          <w:rFonts w:ascii="Times New Roman" w:hAnsi="Times New Roman"/>
          <w:sz w:val="24"/>
        </w:rPr>
        <w:lastRenderedPageBreak/>
        <w:t xml:space="preserve">requirement that the FSPO should make a determination as to legal rights, before directing a remedy.  </w:t>
      </w:r>
    </w:p>
    <w:p w14:paraId="31BE85F2" w14:textId="2A356B00" w:rsidR="00C33097" w:rsidRPr="00CF77CE"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All of that said, and as the FSPO very properly acknowledged, he does not enjoy a </w:t>
      </w:r>
      <w:r w:rsidRPr="001D525E">
        <w:rPr>
          <w:rFonts w:ascii="Times New Roman" w:hAnsi="Times New Roman"/>
          <w:i/>
          <w:sz w:val="24"/>
        </w:rPr>
        <w:t>carte blanche</w:t>
      </w:r>
      <w:r>
        <w:rPr>
          <w:rFonts w:ascii="Times New Roman" w:hAnsi="Times New Roman"/>
          <w:i/>
          <w:sz w:val="24"/>
        </w:rPr>
        <w:t xml:space="preserve"> </w:t>
      </w:r>
      <w:r>
        <w:rPr>
          <w:rFonts w:ascii="Times New Roman" w:hAnsi="Times New Roman"/>
          <w:sz w:val="24"/>
        </w:rPr>
        <w:t xml:space="preserve">when directing remedies.  The remedies directed should be proportionate to whatever findings the FSPO has made as a result of his investigation, and the specific basis upon which a complaint has been upheld.  In order to establish whether or not a particular remedy is proportionate, it is necessary for the FSPO to have due regard to the impact of any order that he is contemplating making, upon the financial services provider, and in particular the likely cost of such an order.  If necessary, in appropriate cases the FSPO should invite submissions from the parties on this issue.  </w:t>
      </w:r>
    </w:p>
    <w:p w14:paraId="4CB0EA6F" w14:textId="77777777" w:rsidR="007D4D15" w:rsidRPr="001D3580" w:rsidRDefault="007D4D15" w:rsidP="00AC6560">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Furthermore, the remedy directed by the FSPO should bear some logical relationship to the conduct which the FSPO has found wanting.  It is not open to the FSPO to impose remedies which bear no relationship to the conduct giving rise to the complaint, or to rewrite or completely ignore the contractual arrangements between the parties.  While there may well be circumstances where the FSPO will be justified in overriding strict contractual arrangements – for example where there has been an egregious delay or wholly unreasonable conduct on the part of the service provider such as to render it unconscionable for the service provider to be permitted to rely upon its strict legal entitlements – the making of an order to direct a financial services provider to admit a claim under a policy of insurance and to pay benefit to the insured, in the absence of any finding of a breach of contract on the part of the provider, is one that requires the most careful of consideration taking account of all of the matters referred to above, and any other relevant considerations.  </w:t>
      </w:r>
    </w:p>
    <w:p w14:paraId="4FC4557E" w14:textId="03038325" w:rsidR="005A51F1" w:rsidRPr="00CF77CE" w:rsidRDefault="00C33097"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In this particular case,</w:t>
      </w:r>
      <w:r w:rsidR="00712E54">
        <w:rPr>
          <w:rFonts w:ascii="Times New Roman" w:hAnsi="Times New Roman"/>
          <w:sz w:val="24"/>
        </w:rPr>
        <w:t xml:space="preserve"> the remedy directed by the FSPO for the mischief identified (accepting for present purposes that that finding of mischief was correct) was, on any analysis, disproportionate and unconnected to that mischief. It was not in dispute that the </w:t>
      </w:r>
      <w:r w:rsidR="00712E54">
        <w:rPr>
          <w:rFonts w:ascii="Times New Roman" w:hAnsi="Times New Roman"/>
          <w:sz w:val="24"/>
        </w:rPr>
        <w:lastRenderedPageBreak/>
        <w:t>appellant suffered from an excluded illness, but the FSPO concluded that Utmost over emphasised that illness in considering elig</w:t>
      </w:r>
      <w:r w:rsidR="00F22EBC">
        <w:rPr>
          <w:rFonts w:ascii="Times New Roman" w:hAnsi="Times New Roman"/>
          <w:sz w:val="24"/>
        </w:rPr>
        <w:t>ib</w:t>
      </w:r>
      <w:r w:rsidR="00712E54">
        <w:rPr>
          <w:rFonts w:ascii="Times New Roman" w:hAnsi="Times New Roman"/>
          <w:sz w:val="24"/>
        </w:rPr>
        <w:t>ility for benefit, to the exclusion of another, covered illness, rheumatoid arthritis.</w:t>
      </w:r>
      <w:r w:rsidR="00F22EBC">
        <w:rPr>
          <w:rFonts w:ascii="Times New Roman" w:hAnsi="Times New Roman"/>
          <w:sz w:val="24"/>
        </w:rPr>
        <w:t xml:space="preserve"> </w:t>
      </w:r>
      <w:r w:rsidR="00712E54">
        <w:rPr>
          <w:rFonts w:ascii="Times New Roman" w:hAnsi="Times New Roman"/>
          <w:sz w:val="24"/>
        </w:rPr>
        <w:t>It is very difficult to see how the remedy</w:t>
      </w:r>
      <w:r w:rsidR="005A51F1">
        <w:rPr>
          <w:rFonts w:ascii="Times New Roman" w:hAnsi="Times New Roman"/>
          <w:sz w:val="24"/>
        </w:rPr>
        <w:t xml:space="preserve"> directed</w:t>
      </w:r>
      <w:r w:rsidR="00712E54">
        <w:rPr>
          <w:rFonts w:ascii="Times New Roman" w:hAnsi="Times New Roman"/>
          <w:sz w:val="24"/>
        </w:rPr>
        <w:t xml:space="preserve"> </w:t>
      </w:r>
      <w:r w:rsidR="005A51F1">
        <w:rPr>
          <w:rFonts w:ascii="Times New Roman" w:hAnsi="Times New Roman"/>
          <w:sz w:val="24"/>
        </w:rPr>
        <w:t>(payment of the benefit) logically follows from the conduct with which the FSPO found fault, not least in circumstances where the notice party suffers from an excluded illness.</w:t>
      </w:r>
    </w:p>
    <w:p w14:paraId="75255F8A" w14:textId="17428639" w:rsidR="00C33097" w:rsidRPr="00D426B9" w:rsidRDefault="005A51F1"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Moreover,</w:t>
      </w:r>
      <w:r w:rsidR="00C33097">
        <w:rPr>
          <w:rFonts w:ascii="Times New Roman" w:hAnsi="Times New Roman"/>
          <w:sz w:val="24"/>
        </w:rPr>
        <w:t xml:space="preserve"> the Court was informed by Utmost (by way of submission, rather than by way of evidence) that the admission of the claim of the notice party, if continued for her lifetime, could cost of the order of €400,000.  That was countered by an argument</w:t>
      </w:r>
      <w:r w:rsidR="00C33097" w:rsidRPr="00D92D88">
        <w:rPr>
          <w:rFonts w:ascii="Times New Roman" w:hAnsi="Times New Roman"/>
          <w:sz w:val="24"/>
        </w:rPr>
        <w:t xml:space="preserve"> that </w:t>
      </w:r>
      <w:r w:rsidR="00C33097">
        <w:rPr>
          <w:rFonts w:ascii="Times New Roman" w:hAnsi="Times New Roman"/>
          <w:sz w:val="24"/>
        </w:rPr>
        <w:t>the direction of the FSPO leaves it</w:t>
      </w:r>
      <w:r w:rsidR="00C33097" w:rsidRPr="00D92D88">
        <w:rPr>
          <w:rFonts w:ascii="Times New Roman" w:hAnsi="Times New Roman"/>
          <w:sz w:val="24"/>
        </w:rPr>
        <w:t xml:space="preserve"> open to Utmost to review the </w:t>
      </w:r>
      <w:r w:rsidR="00C33097">
        <w:rPr>
          <w:rFonts w:ascii="Times New Roman" w:hAnsi="Times New Roman"/>
          <w:sz w:val="24"/>
        </w:rPr>
        <w:t>eligibility of the notice party to benefit under the Scheme</w:t>
      </w:r>
      <w:r w:rsidR="00C33097" w:rsidRPr="00D92D88">
        <w:rPr>
          <w:rFonts w:ascii="Times New Roman" w:hAnsi="Times New Roman"/>
          <w:sz w:val="24"/>
        </w:rPr>
        <w:t xml:space="preserve"> at any time in the future</w:t>
      </w:r>
      <w:r w:rsidR="00371A48">
        <w:rPr>
          <w:rFonts w:ascii="Times New Roman" w:hAnsi="Times New Roman"/>
          <w:sz w:val="24"/>
        </w:rPr>
        <w:t>, and so Utmost will not be left paying a benefit which it is not obliged to pay by contract, if properly obtained medical evidence supports that position</w:t>
      </w:r>
      <w:r w:rsidR="00C33097" w:rsidRPr="00D92D88">
        <w:rPr>
          <w:rFonts w:ascii="Times New Roman" w:hAnsi="Times New Roman"/>
          <w:sz w:val="24"/>
        </w:rPr>
        <w:t>.</w:t>
      </w:r>
      <w:r w:rsidR="00CA46F5">
        <w:rPr>
          <w:rFonts w:ascii="Times New Roman" w:hAnsi="Times New Roman"/>
          <w:sz w:val="24"/>
        </w:rPr>
        <w:t xml:space="preserve"> Utmost howev</w:t>
      </w:r>
      <w:r w:rsidR="000660DE">
        <w:rPr>
          <w:rFonts w:ascii="Times New Roman" w:hAnsi="Times New Roman"/>
          <w:sz w:val="24"/>
        </w:rPr>
        <w:t>er</w:t>
      </w:r>
      <w:r w:rsidR="00CA46F5">
        <w:rPr>
          <w:rFonts w:ascii="Times New Roman" w:hAnsi="Times New Roman"/>
          <w:sz w:val="24"/>
        </w:rPr>
        <w:t xml:space="preserve"> expressed concern </w:t>
      </w:r>
      <w:r w:rsidR="000660DE">
        <w:rPr>
          <w:rFonts w:ascii="Times New Roman" w:hAnsi="Times New Roman"/>
          <w:sz w:val="24"/>
        </w:rPr>
        <w:t xml:space="preserve">about the utility of  such a process in circumstances where the </w:t>
      </w:r>
      <w:r w:rsidR="00C33097">
        <w:rPr>
          <w:rFonts w:ascii="Times New Roman" w:hAnsi="Times New Roman"/>
          <w:sz w:val="24"/>
        </w:rPr>
        <w:t xml:space="preserve"> </w:t>
      </w:r>
      <w:r w:rsidR="000660DE">
        <w:rPr>
          <w:rFonts w:ascii="Times New Roman" w:hAnsi="Times New Roman"/>
          <w:sz w:val="24"/>
        </w:rPr>
        <w:t xml:space="preserve">medical condition of the notice party and its impact upon her ability to work has already been assessed and determined in accordance with the Policy. </w:t>
      </w:r>
      <w:r w:rsidR="00371A48">
        <w:rPr>
          <w:rFonts w:ascii="Times New Roman" w:hAnsi="Times New Roman"/>
          <w:sz w:val="24"/>
        </w:rPr>
        <w:t>It is not necessary to resolve these conflicting positions</w:t>
      </w:r>
      <w:r w:rsidR="000660DE">
        <w:rPr>
          <w:rFonts w:ascii="Times New Roman" w:hAnsi="Times New Roman"/>
          <w:sz w:val="24"/>
        </w:rPr>
        <w:t xml:space="preserve"> or concerns</w:t>
      </w:r>
      <w:r w:rsidR="00371A48">
        <w:rPr>
          <w:rFonts w:ascii="Times New Roman" w:hAnsi="Times New Roman"/>
          <w:sz w:val="24"/>
        </w:rPr>
        <w:t xml:space="preserve"> in view of my decision on the third question. However,</w:t>
      </w:r>
      <w:r w:rsidR="00C33097">
        <w:rPr>
          <w:rFonts w:ascii="Times New Roman" w:hAnsi="Times New Roman"/>
          <w:sz w:val="24"/>
        </w:rPr>
        <w:t xml:space="preserve"> what all of this makes clear is that the FSPO should be careful,</w:t>
      </w:r>
      <w:r w:rsidR="00CC12D0">
        <w:rPr>
          <w:rFonts w:ascii="Times New Roman" w:hAnsi="Times New Roman"/>
          <w:sz w:val="24"/>
        </w:rPr>
        <w:t xml:space="preserve"> </w:t>
      </w:r>
      <w:r w:rsidR="00C33097">
        <w:rPr>
          <w:rFonts w:ascii="Times New Roman" w:hAnsi="Times New Roman"/>
          <w:sz w:val="24"/>
        </w:rPr>
        <w:t>when considering making orders of this kind, to appraise himself of the likely financial consequences of any such order before reaching his decision in the matter</w:t>
      </w:r>
      <w:r w:rsidR="000660DE">
        <w:rPr>
          <w:rFonts w:ascii="Times New Roman" w:hAnsi="Times New Roman"/>
          <w:sz w:val="24"/>
        </w:rPr>
        <w:t>, as they will undoubtedly have a bearing on the assessment of proportionality of any remedy he is considering.</w:t>
      </w:r>
    </w:p>
    <w:p w14:paraId="35CF2E0A" w14:textId="7427CA1F" w:rsidR="00C33097" w:rsidRPr="00D426B9" w:rsidRDefault="00C33097" w:rsidP="00E20F5C">
      <w:pPr>
        <w:pStyle w:val="ListParagraph"/>
        <w:numPr>
          <w:ilvl w:val="0"/>
          <w:numId w:val="1"/>
        </w:numPr>
        <w:tabs>
          <w:tab w:val="left" w:pos="567"/>
        </w:tabs>
        <w:spacing w:line="480" w:lineRule="auto"/>
        <w:ind w:left="0" w:firstLine="0"/>
        <w:rPr>
          <w:rFonts w:ascii="Times New Roman" w:hAnsi="Times New Roman"/>
          <w:sz w:val="24"/>
        </w:rPr>
      </w:pPr>
      <w:r w:rsidRPr="00D426B9">
        <w:rPr>
          <w:rFonts w:ascii="Times New Roman" w:hAnsi="Times New Roman"/>
          <w:sz w:val="24"/>
        </w:rPr>
        <w:t>For the foregoing reasons</w:t>
      </w:r>
      <w:r w:rsidR="00CA46F5">
        <w:rPr>
          <w:rFonts w:ascii="Times New Roman" w:hAnsi="Times New Roman"/>
          <w:sz w:val="24"/>
        </w:rPr>
        <w:t>, and subject as aforesaid,</w:t>
      </w:r>
      <w:r w:rsidRPr="00D426B9">
        <w:rPr>
          <w:rFonts w:ascii="Times New Roman" w:hAnsi="Times New Roman"/>
          <w:sz w:val="24"/>
        </w:rPr>
        <w:t xml:space="preserve"> I am of the view that t</w:t>
      </w:r>
      <w:r>
        <w:rPr>
          <w:rFonts w:ascii="Times New Roman" w:hAnsi="Times New Roman"/>
          <w:sz w:val="24"/>
        </w:rPr>
        <w:t>hat the FSPO does have jurisdiction</w:t>
      </w:r>
      <w:r w:rsidRPr="00D426B9">
        <w:rPr>
          <w:rFonts w:ascii="Times New Roman" w:hAnsi="Times New Roman"/>
          <w:sz w:val="24"/>
        </w:rPr>
        <w:t xml:space="preserve"> </w:t>
      </w:r>
      <w:r>
        <w:rPr>
          <w:rFonts w:ascii="Times New Roman" w:hAnsi="Times New Roman"/>
          <w:sz w:val="24"/>
        </w:rPr>
        <w:t>to direct a financial services provider to admit a claim under a policy of insurance, absent a finding that there has been a breach of contract by the insurer concerned.</w:t>
      </w:r>
    </w:p>
    <w:p w14:paraId="1AFB2D19" w14:textId="0D2A9228" w:rsidR="005C1B95" w:rsidRDefault="00BE2AB2" w:rsidP="005C1B95">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It follows from my conclusion on question three that the order of the trial judge setting aside the Decision should be affirmed.</w:t>
      </w:r>
      <w:r w:rsidRPr="00BE2AB2">
        <w:rPr>
          <w:rFonts w:ascii="Times New Roman" w:hAnsi="Times New Roman"/>
          <w:sz w:val="24"/>
        </w:rPr>
        <w:t xml:space="preserve"> </w:t>
      </w:r>
      <w:r w:rsidR="005C1B95">
        <w:rPr>
          <w:rFonts w:ascii="Times New Roman" w:hAnsi="Times New Roman"/>
          <w:sz w:val="24"/>
        </w:rPr>
        <w:t xml:space="preserve">However, </w:t>
      </w:r>
      <w:r w:rsidR="00CF77CE">
        <w:rPr>
          <w:rFonts w:ascii="Times New Roman" w:hAnsi="Times New Roman"/>
          <w:sz w:val="24"/>
        </w:rPr>
        <w:t>b</w:t>
      </w:r>
      <w:r w:rsidR="00F50643">
        <w:rPr>
          <w:rFonts w:ascii="Times New Roman" w:hAnsi="Times New Roman"/>
          <w:sz w:val="24"/>
        </w:rPr>
        <w:t>efore considering what further orders are appropriate</w:t>
      </w:r>
      <w:r w:rsidR="00F2749C">
        <w:rPr>
          <w:rFonts w:ascii="Times New Roman" w:hAnsi="Times New Roman"/>
          <w:sz w:val="24"/>
        </w:rPr>
        <w:t xml:space="preserve">, it is necessary to return to an issue to which I alluded at the very outset of this </w:t>
      </w:r>
      <w:r w:rsidR="00FB17E2">
        <w:rPr>
          <w:rFonts w:ascii="Times New Roman" w:hAnsi="Times New Roman"/>
          <w:sz w:val="24"/>
        </w:rPr>
        <w:t>judgment, at para.</w:t>
      </w:r>
      <w:r w:rsidR="008742F5">
        <w:rPr>
          <w:rFonts w:ascii="Times New Roman" w:hAnsi="Times New Roman"/>
          <w:sz w:val="24"/>
        </w:rPr>
        <w:t xml:space="preserve"> </w:t>
      </w:r>
      <w:r w:rsidR="00FB17E2">
        <w:rPr>
          <w:rFonts w:ascii="Times New Roman" w:hAnsi="Times New Roman"/>
          <w:sz w:val="24"/>
        </w:rPr>
        <w:t>5, that there were four elements to the Complaint.</w:t>
      </w:r>
      <w:r w:rsidR="00F2749C">
        <w:rPr>
          <w:rFonts w:ascii="Times New Roman" w:hAnsi="Times New Roman"/>
          <w:sz w:val="24"/>
        </w:rPr>
        <w:t xml:space="preserve"> </w:t>
      </w:r>
      <w:r w:rsidR="00D353C8" w:rsidRPr="008742F5">
        <w:rPr>
          <w:rFonts w:ascii="Times New Roman" w:hAnsi="Times New Roman"/>
          <w:sz w:val="24"/>
        </w:rPr>
        <w:t xml:space="preserve"> In the course of her submissions to the Court, counsel for Utmost made the point that the FSPO </w:t>
      </w:r>
      <w:r w:rsidR="003A1817" w:rsidRPr="008742F5">
        <w:rPr>
          <w:rFonts w:ascii="Times New Roman" w:hAnsi="Times New Roman"/>
          <w:sz w:val="24"/>
        </w:rPr>
        <w:t xml:space="preserve">had </w:t>
      </w:r>
      <w:r w:rsidR="00D353C8" w:rsidRPr="008742F5">
        <w:rPr>
          <w:rFonts w:ascii="Times New Roman" w:hAnsi="Times New Roman"/>
          <w:sz w:val="24"/>
        </w:rPr>
        <w:t xml:space="preserve">made a finding in respect of only one of those elements of the </w:t>
      </w:r>
      <w:r w:rsidR="00FB17E2" w:rsidRPr="008742F5">
        <w:rPr>
          <w:rFonts w:ascii="Times New Roman" w:hAnsi="Times New Roman"/>
          <w:sz w:val="24"/>
        </w:rPr>
        <w:t>C</w:t>
      </w:r>
      <w:r w:rsidR="00D353C8" w:rsidRPr="008742F5">
        <w:rPr>
          <w:rFonts w:ascii="Times New Roman" w:hAnsi="Times New Roman"/>
          <w:sz w:val="24"/>
        </w:rPr>
        <w:t xml:space="preserve">omplaint, that being that Utmost did not deal with the complaint of the notice party correctly. </w:t>
      </w:r>
      <w:r w:rsidR="00FB17E2" w:rsidRPr="008742F5">
        <w:rPr>
          <w:rFonts w:ascii="Times New Roman" w:hAnsi="Times New Roman"/>
          <w:sz w:val="24"/>
        </w:rPr>
        <w:t>Since the Decision is to be set aside,</w:t>
      </w:r>
      <w:r w:rsidR="008742F5">
        <w:rPr>
          <w:rFonts w:ascii="Times New Roman" w:hAnsi="Times New Roman"/>
          <w:sz w:val="24"/>
        </w:rPr>
        <w:t xml:space="preserve"> </w:t>
      </w:r>
      <w:r w:rsidR="00FB17E2" w:rsidRPr="008742F5">
        <w:rPr>
          <w:rFonts w:ascii="Times New Roman" w:hAnsi="Times New Roman"/>
          <w:sz w:val="24"/>
        </w:rPr>
        <w:t xml:space="preserve">the other three elements of the </w:t>
      </w:r>
      <w:r w:rsidR="00F50643" w:rsidRPr="008742F5">
        <w:rPr>
          <w:rFonts w:ascii="Times New Roman" w:hAnsi="Times New Roman"/>
          <w:sz w:val="24"/>
        </w:rPr>
        <w:t>C</w:t>
      </w:r>
      <w:r w:rsidR="00FB17E2" w:rsidRPr="008742F5">
        <w:rPr>
          <w:rFonts w:ascii="Times New Roman" w:hAnsi="Times New Roman"/>
          <w:sz w:val="24"/>
        </w:rPr>
        <w:t xml:space="preserve">omplaint once again come into focus. Whatever reasons the FSPO may have had for not deciding these elements of the </w:t>
      </w:r>
      <w:r w:rsidR="00F50643" w:rsidRPr="008742F5">
        <w:rPr>
          <w:rFonts w:ascii="Times New Roman" w:hAnsi="Times New Roman"/>
          <w:sz w:val="24"/>
        </w:rPr>
        <w:t>C</w:t>
      </w:r>
      <w:r w:rsidR="00FB17E2" w:rsidRPr="008742F5">
        <w:rPr>
          <w:rFonts w:ascii="Times New Roman" w:hAnsi="Times New Roman"/>
          <w:sz w:val="24"/>
        </w:rPr>
        <w:t xml:space="preserve">omplaint, they can no longer be relevant once the </w:t>
      </w:r>
      <w:r w:rsidR="00F50643" w:rsidRPr="008742F5">
        <w:rPr>
          <w:rFonts w:ascii="Times New Roman" w:hAnsi="Times New Roman"/>
          <w:sz w:val="24"/>
        </w:rPr>
        <w:t>D</w:t>
      </w:r>
      <w:r w:rsidR="00FB17E2" w:rsidRPr="008742F5">
        <w:rPr>
          <w:rFonts w:ascii="Times New Roman" w:hAnsi="Times New Roman"/>
          <w:sz w:val="24"/>
        </w:rPr>
        <w:t xml:space="preserve">ecision is set aside. Accordingly, I consider it appropriate </w:t>
      </w:r>
      <w:r w:rsidR="005C1B95">
        <w:rPr>
          <w:rFonts w:ascii="Times New Roman" w:hAnsi="Times New Roman"/>
          <w:sz w:val="24"/>
        </w:rPr>
        <w:t xml:space="preserve">that the Court should receive submissions as to the orders that should be made by the Court arising out of the answers </w:t>
      </w:r>
      <w:r w:rsidR="0024094B">
        <w:rPr>
          <w:rFonts w:ascii="Times New Roman" w:hAnsi="Times New Roman"/>
          <w:sz w:val="24"/>
        </w:rPr>
        <w:t xml:space="preserve">provided by this judgment </w:t>
      </w:r>
      <w:r w:rsidR="005C1B95">
        <w:rPr>
          <w:rFonts w:ascii="Times New Roman" w:hAnsi="Times New Roman"/>
          <w:sz w:val="24"/>
        </w:rPr>
        <w:t xml:space="preserve">to the questions certified by the High Court. </w:t>
      </w:r>
    </w:p>
    <w:p w14:paraId="0C0C895A" w14:textId="6B613337" w:rsidR="005C1B95" w:rsidRPr="0094212B" w:rsidRDefault="005C1B95" w:rsidP="0094212B">
      <w:pPr>
        <w:pStyle w:val="ListParagraph"/>
        <w:tabs>
          <w:tab w:val="left" w:pos="567"/>
        </w:tabs>
        <w:spacing w:line="480" w:lineRule="auto"/>
        <w:ind w:left="0"/>
        <w:rPr>
          <w:rFonts w:ascii="Times New Roman" w:hAnsi="Times New Roman"/>
          <w:b/>
          <w:bCs/>
          <w:sz w:val="24"/>
          <w:u w:val="single"/>
        </w:rPr>
      </w:pPr>
      <w:r w:rsidRPr="0094212B">
        <w:rPr>
          <w:rFonts w:ascii="Times New Roman" w:hAnsi="Times New Roman"/>
          <w:b/>
          <w:bCs/>
          <w:sz w:val="24"/>
          <w:u w:val="single"/>
        </w:rPr>
        <w:t>General Observations</w:t>
      </w:r>
    </w:p>
    <w:p w14:paraId="0E004B55" w14:textId="4255F81A" w:rsidR="00EF1E2B" w:rsidRPr="00D353C8" w:rsidRDefault="00F50643" w:rsidP="00173104">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More generally, while i</w:t>
      </w:r>
      <w:r w:rsidR="00D353C8">
        <w:rPr>
          <w:rFonts w:ascii="Times New Roman" w:hAnsi="Times New Roman"/>
          <w:sz w:val="24"/>
        </w:rPr>
        <w:t>t is well recognised that in discharging his functions the</w:t>
      </w:r>
      <w:r w:rsidR="005C14C0">
        <w:rPr>
          <w:rFonts w:ascii="Times New Roman" w:hAnsi="Times New Roman"/>
          <w:sz w:val="24"/>
        </w:rPr>
        <w:t xml:space="preserve"> FSPO it is not bound to do so with the same degree of formality or in the same level of detail as a court must do, nonetheless it is important that the FSPO should either make a decision on the matters that he himself has identified as being before him by way of complaint, or if he is not doing so in respect of any given matter, he should explain briefly why he feels it is not necessary</w:t>
      </w:r>
      <w:r>
        <w:rPr>
          <w:rFonts w:ascii="Times New Roman" w:hAnsi="Times New Roman"/>
          <w:sz w:val="24"/>
        </w:rPr>
        <w:t xml:space="preserve"> or appropriate for him</w:t>
      </w:r>
      <w:r w:rsidR="005C14C0">
        <w:rPr>
          <w:rFonts w:ascii="Times New Roman" w:hAnsi="Times New Roman"/>
          <w:sz w:val="24"/>
        </w:rPr>
        <w:t xml:space="preserve"> to do so. In this case, </w:t>
      </w:r>
      <w:r w:rsidR="003A1817">
        <w:rPr>
          <w:rFonts w:ascii="Times New Roman" w:hAnsi="Times New Roman"/>
          <w:sz w:val="24"/>
        </w:rPr>
        <w:t xml:space="preserve">it may be that </w:t>
      </w:r>
      <w:r w:rsidR="005C14C0">
        <w:rPr>
          <w:rFonts w:ascii="Times New Roman" w:hAnsi="Times New Roman"/>
          <w:sz w:val="24"/>
        </w:rPr>
        <w:t xml:space="preserve">the FSPO </w:t>
      </w:r>
      <w:r w:rsidR="003A1817">
        <w:rPr>
          <w:rFonts w:ascii="Times New Roman" w:hAnsi="Times New Roman"/>
          <w:sz w:val="24"/>
        </w:rPr>
        <w:t xml:space="preserve">deliberately </w:t>
      </w:r>
      <w:r w:rsidR="005C14C0">
        <w:rPr>
          <w:rFonts w:ascii="Times New Roman" w:hAnsi="Times New Roman"/>
          <w:sz w:val="24"/>
        </w:rPr>
        <w:t>did not address the first two elements of the Complaint</w:t>
      </w:r>
      <w:r w:rsidR="00A25365">
        <w:rPr>
          <w:rFonts w:ascii="Times New Roman" w:hAnsi="Times New Roman"/>
          <w:sz w:val="24"/>
        </w:rPr>
        <w:t>,</w:t>
      </w:r>
      <w:r w:rsidR="005C14C0">
        <w:rPr>
          <w:rFonts w:ascii="Times New Roman" w:hAnsi="Times New Roman"/>
          <w:sz w:val="24"/>
        </w:rPr>
        <w:t xml:space="preserve"> i.e. that Utmost had wrongly declined the initial claim and then wrongly denied the appeal of the notice party</w:t>
      </w:r>
      <w:r w:rsidR="003A1817">
        <w:rPr>
          <w:rFonts w:ascii="Times New Roman" w:hAnsi="Times New Roman"/>
          <w:sz w:val="24"/>
        </w:rPr>
        <w:t>,</w:t>
      </w:r>
      <w:r w:rsidR="005C14C0">
        <w:rPr>
          <w:rFonts w:ascii="Times New Roman" w:hAnsi="Times New Roman"/>
          <w:sz w:val="24"/>
        </w:rPr>
        <w:t xml:space="preserve"> on the basis that it was unnecessary</w:t>
      </w:r>
      <w:r>
        <w:rPr>
          <w:rFonts w:ascii="Times New Roman" w:hAnsi="Times New Roman"/>
          <w:sz w:val="24"/>
        </w:rPr>
        <w:t xml:space="preserve"> or even inappropriate for him </w:t>
      </w:r>
      <w:r w:rsidR="005C14C0">
        <w:rPr>
          <w:rFonts w:ascii="Times New Roman" w:hAnsi="Times New Roman"/>
          <w:sz w:val="24"/>
        </w:rPr>
        <w:t xml:space="preserve">to decide these issues because </w:t>
      </w:r>
      <w:r>
        <w:rPr>
          <w:rFonts w:ascii="Times New Roman" w:hAnsi="Times New Roman"/>
          <w:sz w:val="24"/>
        </w:rPr>
        <w:t>he</w:t>
      </w:r>
      <w:r w:rsidR="005C14C0">
        <w:rPr>
          <w:rFonts w:ascii="Times New Roman" w:hAnsi="Times New Roman"/>
          <w:sz w:val="24"/>
        </w:rPr>
        <w:t xml:space="preserve"> found in favour of the notice party on the third element of the Complaint</w:t>
      </w:r>
      <w:r w:rsidR="003A1817">
        <w:rPr>
          <w:rFonts w:ascii="Times New Roman" w:hAnsi="Times New Roman"/>
          <w:sz w:val="24"/>
        </w:rPr>
        <w:t>, or for some other reason. Whatever the explanation, however, he should have explained his treatment, or non</w:t>
      </w:r>
      <w:r w:rsidR="00A25365">
        <w:rPr>
          <w:rFonts w:ascii="Times New Roman" w:hAnsi="Times New Roman"/>
          <w:sz w:val="24"/>
        </w:rPr>
        <w:t>-</w:t>
      </w:r>
      <w:r w:rsidR="003A1817">
        <w:rPr>
          <w:rFonts w:ascii="Times New Roman" w:hAnsi="Times New Roman"/>
          <w:sz w:val="24"/>
        </w:rPr>
        <w:t>treatment of these issues in the Decision.</w:t>
      </w:r>
      <w:r w:rsidR="005C14C0">
        <w:rPr>
          <w:rFonts w:ascii="Times New Roman" w:hAnsi="Times New Roman"/>
          <w:sz w:val="24"/>
        </w:rPr>
        <w:t xml:space="preserve"> </w:t>
      </w:r>
    </w:p>
    <w:p w14:paraId="2BD6727A" w14:textId="4D66292B" w:rsidR="00D353C8" w:rsidRDefault="00EF1E2B" w:rsidP="00173104">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lastRenderedPageBreak/>
        <w:t xml:space="preserve">Moreover, </w:t>
      </w:r>
      <w:r w:rsidR="003A1817">
        <w:rPr>
          <w:rFonts w:ascii="Times New Roman" w:hAnsi="Times New Roman"/>
          <w:sz w:val="24"/>
        </w:rPr>
        <w:t xml:space="preserve">and more importantly, whatever </w:t>
      </w:r>
      <w:r w:rsidR="005C14C0">
        <w:rPr>
          <w:rFonts w:ascii="Times New Roman" w:hAnsi="Times New Roman"/>
          <w:sz w:val="24"/>
        </w:rPr>
        <w:t>th</w:t>
      </w:r>
      <w:r>
        <w:rPr>
          <w:rFonts w:ascii="Times New Roman" w:hAnsi="Times New Roman"/>
          <w:sz w:val="24"/>
        </w:rPr>
        <w:t>e reason</w:t>
      </w:r>
      <w:r w:rsidR="003A1817">
        <w:rPr>
          <w:rFonts w:ascii="Times New Roman" w:hAnsi="Times New Roman"/>
          <w:sz w:val="24"/>
        </w:rPr>
        <w:t>s</w:t>
      </w:r>
      <w:r>
        <w:rPr>
          <w:rFonts w:ascii="Times New Roman" w:hAnsi="Times New Roman"/>
          <w:sz w:val="24"/>
        </w:rPr>
        <w:t xml:space="preserve"> for there being no decision on the first and second elements of the Complaint</w:t>
      </w:r>
      <w:r w:rsidR="003A1817">
        <w:rPr>
          <w:rFonts w:ascii="Times New Roman" w:hAnsi="Times New Roman"/>
          <w:sz w:val="24"/>
        </w:rPr>
        <w:t>, these are unlikely to</w:t>
      </w:r>
      <w:r w:rsidR="005C14C0">
        <w:rPr>
          <w:rFonts w:ascii="Times New Roman" w:hAnsi="Times New Roman"/>
          <w:sz w:val="24"/>
        </w:rPr>
        <w:t xml:space="preserve"> explain why</w:t>
      </w:r>
      <w:r w:rsidR="003A1817">
        <w:rPr>
          <w:rFonts w:ascii="Times New Roman" w:hAnsi="Times New Roman"/>
          <w:sz w:val="24"/>
        </w:rPr>
        <w:t xml:space="preserve"> the</w:t>
      </w:r>
      <w:r w:rsidR="005C14C0">
        <w:rPr>
          <w:rFonts w:ascii="Times New Roman" w:hAnsi="Times New Roman"/>
          <w:sz w:val="24"/>
        </w:rPr>
        <w:t xml:space="preserve"> </w:t>
      </w:r>
      <w:r>
        <w:rPr>
          <w:rFonts w:ascii="Times New Roman" w:hAnsi="Times New Roman"/>
          <w:sz w:val="24"/>
        </w:rPr>
        <w:t>FSPO</w:t>
      </w:r>
      <w:r w:rsidR="005C14C0">
        <w:rPr>
          <w:rFonts w:ascii="Times New Roman" w:hAnsi="Times New Roman"/>
          <w:sz w:val="24"/>
        </w:rPr>
        <w:t xml:space="preserve"> </w:t>
      </w:r>
      <w:r>
        <w:rPr>
          <w:rFonts w:ascii="Times New Roman" w:hAnsi="Times New Roman"/>
          <w:sz w:val="24"/>
        </w:rPr>
        <w:t>made no</w:t>
      </w:r>
      <w:r w:rsidR="005C14C0">
        <w:rPr>
          <w:rFonts w:ascii="Times New Roman" w:hAnsi="Times New Roman"/>
          <w:sz w:val="24"/>
        </w:rPr>
        <w:t xml:space="preserve"> decision on the fourth element of the complaint</w:t>
      </w:r>
      <w:r w:rsidR="00A25365">
        <w:rPr>
          <w:rFonts w:ascii="Times New Roman" w:hAnsi="Times New Roman"/>
          <w:sz w:val="24"/>
        </w:rPr>
        <w:t>,</w:t>
      </w:r>
      <w:r w:rsidR="005C14C0">
        <w:rPr>
          <w:rFonts w:ascii="Times New Roman" w:hAnsi="Times New Roman"/>
          <w:sz w:val="24"/>
        </w:rPr>
        <w:t xml:space="preserve"> i.e. that the </w:t>
      </w:r>
      <w:r>
        <w:rPr>
          <w:rFonts w:ascii="Times New Roman" w:hAnsi="Times New Roman"/>
          <w:sz w:val="24"/>
        </w:rPr>
        <w:t>P</w:t>
      </w:r>
      <w:r w:rsidR="005C14C0">
        <w:rPr>
          <w:rFonts w:ascii="Times New Roman" w:hAnsi="Times New Roman"/>
          <w:sz w:val="24"/>
        </w:rPr>
        <w:t>olicy was not suitable for the notice party</w:t>
      </w:r>
      <w:r w:rsidR="003A1817">
        <w:rPr>
          <w:rFonts w:ascii="Times New Roman" w:hAnsi="Times New Roman"/>
          <w:sz w:val="24"/>
        </w:rPr>
        <w:t>.</w:t>
      </w:r>
      <w:r w:rsidR="00267D4E">
        <w:rPr>
          <w:rFonts w:ascii="Times New Roman" w:hAnsi="Times New Roman"/>
          <w:sz w:val="24"/>
        </w:rPr>
        <w:t xml:space="preserve"> That is surely an issue of fundamental importance to both Utmost and the notice party. </w:t>
      </w:r>
    </w:p>
    <w:p w14:paraId="634645BD" w14:textId="5F6780CC" w:rsidR="00602B56" w:rsidRDefault="00602B56" w:rsidP="00173104">
      <w:pPr>
        <w:pStyle w:val="ListParagraph"/>
        <w:numPr>
          <w:ilvl w:val="0"/>
          <w:numId w:val="1"/>
        </w:numPr>
        <w:tabs>
          <w:tab w:val="left" w:pos="567"/>
        </w:tabs>
        <w:spacing w:line="480" w:lineRule="auto"/>
        <w:ind w:left="0" w:firstLine="0"/>
        <w:rPr>
          <w:rFonts w:ascii="Times New Roman" w:hAnsi="Times New Roman"/>
          <w:sz w:val="24"/>
        </w:rPr>
      </w:pPr>
      <w:r>
        <w:rPr>
          <w:rFonts w:ascii="Times New Roman" w:hAnsi="Times New Roman"/>
          <w:sz w:val="24"/>
        </w:rPr>
        <w:t>Finally</w:t>
      </w:r>
      <w:r w:rsidR="00B54F02">
        <w:rPr>
          <w:rFonts w:ascii="Times New Roman" w:hAnsi="Times New Roman"/>
          <w:sz w:val="24"/>
        </w:rPr>
        <w:t xml:space="preserve">, and relatedly, while the FSPO stated in the Decision that the Complaint was upheld on the grounds prescribed in sub-sections 60(2)(b) and (g) of the </w:t>
      </w:r>
      <w:r w:rsidR="00CA46F5">
        <w:rPr>
          <w:rFonts w:ascii="Times New Roman" w:hAnsi="Times New Roman"/>
          <w:sz w:val="24"/>
        </w:rPr>
        <w:t>Act</w:t>
      </w:r>
      <w:r w:rsidR="00B54F02">
        <w:rPr>
          <w:rFonts w:ascii="Times New Roman" w:hAnsi="Times New Roman"/>
          <w:sz w:val="24"/>
        </w:rPr>
        <w:t xml:space="preserve"> of 2017, he did not specifically tie any of his findings regarding the conduct of Utmost to either of these statutory grounds. It may be that he took the view that the conduct he found fault with fell </w:t>
      </w:r>
      <w:proofErr w:type="spellStart"/>
      <w:r w:rsidR="00B54F02">
        <w:rPr>
          <w:rFonts w:ascii="Times New Roman" w:hAnsi="Times New Roman"/>
          <w:sz w:val="24"/>
        </w:rPr>
        <w:t>foul</w:t>
      </w:r>
      <w:proofErr w:type="spellEnd"/>
      <w:r w:rsidR="00B54F02">
        <w:rPr>
          <w:rFonts w:ascii="Times New Roman" w:hAnsi="Times New Roman"/>
          <w:sz w:val="24"/>
        </w:rPr>
        <w:t xml:space="preserve"> of both grounds, but when upholding a complaint, the FSPO should, when explaining his decision, expressly refer to the statutory ground or grounds upon which each element of a complaint is upheld, and on what basis.</w:t>
      </w:r>
      <w:r w:rsidR="00CA46F5">
        <w:rPr>
          <w:rFonts w:ascii="Times New Roman" w:hAnsi="Times New Roman"/>
          <w:sz w:val="24"/>
        </w:rPr>
        <w:t xml:space="preserve"> Similarly, any directions made pursuant to s.60(4) of the Act of 2017 should refer to the sub-section pursuant to which they are made.</w:t>
      </w:r>
    </w:p>
    <w:p w14:paraId="7F2CC093" w14:textId="1A499EAC" w:rsidR="0024094B" w:rsidRPr="00085D9B" w:rsidRDefault="0024094B" w:rsidP="00085D9B">
      <w:pPr>
        <w:pStyle w:val="ListParagraph"/>
        <w:tabs>
          <w:tab w:val="left" w:pos="567"/>
        </w:tabs>
        <w:spacing w:line="480" w:lineRule="auto"/>
        <w:ind w:left="0"/>
        <w:rPr>
          <w:rFonts w:ascii="Times New Roman" w:hAnsi="Times New Roman"/>
          <w:b/>
          <w:bCs/>
          <w:sz w:val="24"/>
          <w:u w:val="single"/>
        </w:rPr>
      </w:pPr>
      <w:r w:rsidRPr="00085D9B">
        <w:rPr>
          <w:rFonts w:ascii="Times New Roman" w:hAnsi="Times New Roman"/>
          <w:b/>
          <w:bCs/>
          <w:sz w:val="24"/>
          <w:u w:val="single"/>
        </w:rPr>
        <w:t>Costs</w:t>
      </w:r>
    </w:p>
    <w:p w14:paraId="73FB249E" w14:textId="2E10B24C" w:rsidR="00D06D38" w:rsidRPr="00CC12D0" w:rsidRDefault="00D06D38" w:rsidP="00E20F5C">
      <w:pPr>
        <w:pStyle w:val="ListParagraph"/>
        <w:numPr>
          <w:ilvl w:val="0"/>
          <w:numId w:val="1"/>
        </w:numPr>
        <w:tabs>
          <w:tab w:val="left" w:pos="567"/>
        </w:tabs>
        <w:spacing w:line="480" w:lineRule="auto"/>
        <w:ind w:left="0" w:firstLine="0"/>
        <w:rPr>
          <w:rFonts w:ascii="Times New Roman" w:hAnsi="Times New Roman"/>
          <w:b/>
          <w:sz w:val="24"/>
          <w:u w:val="single"/>
        </w:rPr>
      </w:pPr>
      <w:r>
        <w:rPr>
          <w:rFonts w:ascii="Times New Roman" w:hAnsi="Times New Roman"/>
          <w:sz w:val="24"/>
        </w:rPr>
        <w:t xml:space="preserve">As far as costs are concerned, it seems to me to be appropriate that the parties should make submissions in the light of this decision, before this </w:t>
      </w:r>
      <w:r w:rsidR="00CC12D0">
        <w:rPr>
          <w:rFonts w:ascii="Times New Roman" w:hAnsi="Times New Roman"/>
          <w:sz w:val="24"/>
        </w:rPr>
        <w:t>C</w:t>
      </w:r>
      <w:r>
        <w:rPr>
          <w:rFonts w:ascii="Times New Roman" w:hAnsi="Times New Roman"/>
          <w:sz w:val="24"/>
        </w:rPr>
        <w:t>ourt arrive</w:t>
      </w:r>
      <w:r w:rsidR="00267D4E">
        <w:rPr>
          <w:rFonts w:ascii="Times New Roman" w:hAnsi="Times New Roman"/>
          <w:sz w:val="24"/>
        </w:rPr>
        <w:t>s</w:t>
      </w:r>
      <w:r>
        <w:rPr>
          <w:rFonts w:ascii="Times New Roman" w:hAnsi="Times New Roman"/>
          <w:sz w:val="24"/>
        </w:rPr>
        <w:t xml:space="preserve"> at any conclusion</w:t>
      </w:r>
      <w:r w:rsidR="00DA05D0">
        <w:rPr>
          <w:rFonts w:ascii="Times New Roman" w:hAnsi="Times New Roman"/>
          <w:sz w:val="24"/>
        </w:rPr>
        <w:t>. Accordingly</w:t>
      </w:r>
      <w:r w:rsidR="00267D4E">
        <w:rPr>
          <w:rFonts w:ascii="Times New Roman" w:hAnsi="Times New Roman"/>
          <w:sz w:val="24"/>
        </w:rPr>
        <w:t>,</w:t>
      </w:r>
      <w:r w:rsidR="00DA05D0">
        <w:rPr>
          <w:rFonts w:ascii="Times New Roman" w:hAnsi="Times New Roman"/>
          <w:sz w:val="24"/>
        </w:rPr>
        <w:t xml:space="preserve"> the parties are invited to exchange submissions on the issue of costs </w:t>
      </w:r>
      <w:r w:rsidR="00437A05">
        <w:rPr>
          <w:rFonts w:ascii="Times New Roman" w:hAnsi="Times New Roman"/>
          <w:sz w:val="24"/>
        </w:rPr>
        <w:t>no later than 5pm on 9</w:t>
      </w:r>
      <w:r w:rsidR="00437A05" w:rsidRPr="00437A05">
        <w:rPr>
          <w:rFonts w:ascii="Times New Roman" w:hAnsi="Times New Roman"/>
          <w:sz w:val="24"/>
          <w:vertAlign w:val="superscript"/>
        </w:rPr>
        <w:t>th</w:t>
      </w:r>
      <w:r w:rsidR="00437A05">
        <w:rPr>
          <w:rFonts w:ascii="Times New Roman" w:hAnsi="Times New Roman"/>
          <w:sz w:val="24"/>
        </w:rPr>
        <w:t xml:space="preserve"> May 2022</w:t>
      </w:r>
      <w:r w:rsidR="00DA05D0">
        <w:rPr>
          <w:rFonts w:ascii="Times New Roman" w:hAnsi="Times New Roman"/>
          <w:sz w:val="24"/>
        </w:rPr>
        <w:t>.</w:t>
      </w:r>
    </w:p>
    <w:p w14:paraId="5308F6FF" w14:textId="4ABA108B" w:rsidR="00D82514" w:rsidRPr="00CC12D0" w:rsidRDefault="00DA05D0" w:rsidP="00E20F5C">
      <w:pPr>
        <w:pStyle w:val="ListParagraph"/>
        <w:numPr>
          <w:ilvl w:val="0"/>
          <w:numId w:val="1"/>
        </w:numPr>
        <w:tabs>
          <w:tab w:val="left" w:pos="567"/>
        </w:tabs>
        <w:spacing w:line="480" w:lineRule="auto"/>
        <w:ind w:left="0" w:firstLine="0"/>
        <w:rPr>
          <w:rFonts w:ascii="Times New Roman" w:hAnsi="Times New Roman"/>
          <w:sz w:val="24"/>
        </w:rPr>
      </w:pPr>
      <w:r w:rsidRPr="00CC12D0">
        <w:rPr>
          <w:rFonts w:ascii="Times New Roman" w:hAnsi="Times New Roman"/>
          <w:sz w:val="24"/>
        </w:rPr>
        <w:t xml:space="preserve">Since this judgment is being delivered electronically, Costello and Collins </w:t>
      </w:r>
      <w:r w:rsidR="00445634">
        <w:rPr>
          <w:rFonts w:ascii="Times New Roman" w:hAnsi="Times New Roman"/>
          <w:sz w:val="24"/>
        </w:rPr>
        <w:t>J</w:t>
      </w:r>
      <w:r w:rsidRPr="00CC12D0">
        <w:rPr>
          <w:rFonts w:ascii="Times New Roman" w:hAnsi="Times New Roman"/>
          <w:sz w:val="24"/>
        </w:rPr>
        <w:t>J. have authorised me to confirm their agreement with it.</w:t>
      </w:r>
    </w:p>
    <w:sectPr w:rsidR="00D82514" w:rsidRPr="00CC12D0" w:rsidSect="00081285">
      <w:headerReference w:type="even" r:id="rId9"/>
      <w:headerReference w:type="default" r:id="rId10"/>
      <w:headerReference w:type="first" r:id="rId11"/>
      <w:pgSz w:w="11906" w:h="16838" w:code="9"/>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A3569" w14:textId="77777777" w:rsidR="00EF1E2B" w:rsidRDefault="00EF1E2B">
      <w:r>
        <w:separator/>
      </w:r>
    </w:p>
  </w:endnote>
  <w:endnote w:type="continuationSeparator" w:id="0">
    <w:p w14:paraId="333EA30E" w14:textId="77777777" w:rsidR="00EF1E2B" w:rsidRDefault="00EF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FC0FF" w14:textId="77777777" w:rsidR="00EF1E2B" w:rsidRDefault="00EF1E2B">
      <w:r>
        <w:separator/>
      </w:r>
    </w:p>
  </w:footnote>
  <w:footnote w:type="continuationSeparator" w:id="0">
    <w:p w14:paraId="2787AE13" w14:textId="77777777" w:rsidR="00EF1E2B" w:rsidRDefault="00EF1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877DE" w14:textId="77777777" w:rsidR="00EF1E2B" w:rsidRDefault="00EF1E2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A6B5F8E" w14:textId="77777777" w:rsidR="00EF1E2B" w:rsidRDefault="00EF1E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9A2A" w14:textId="77777777" w:rsidR="00EF1E2B" w:rsidRDefault="00EF1E2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- 32 -</w:t>
    </w:r>
    <w:r>
      <w:rPr>
        <w:rStyle w:val="PageNumber"/>
      </w:rPr>
      <w:fldChar w:fldCharType="end"/>
    </w:r>
  </w:p>
  <w:p w14:paraId="215C0378" w14:textId="77777777" w:rsidR="00EF1E2B" w:rsidRDefault="00EF1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526" w14:textId="77777777" w:rsidR="00EF1E2B" w:rsidRDefault="00EF1E2B">
    <w:pPr>
      <w:pStyle w:val="Header"/>
      <w:jc w:val="center"/>
    </w:pPr>
    <w:r w:rsidRPr="00BB5679">
      <w:rPr>
        <w:noProof/>
      </w:rPr>
      <w:drawing>
        <wp:inline distT="0" distB="0" distL="0" distR="0" wp14:anchorId="53E939A9" wp14:editId="3555F138">
          <wp:extent cx="384175" cy="599440"/>
          <wp:effectExtent l="0" t="0" r="0" b="0"/>
          <wp:docPr id="1" name="Picture 1"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CCE"/>
    <w:multiLevelType w:val="hybridMultilevel"/>
    <w:tmpl w:val="76C26424"/>
    <w:lvl w:ilvl="0" w:tplc="6BE238DC">
      <w:start w:val="1"/>
      <w:numFmt w:val="decimal"/>
      <w:lvlText w:val="(%1)"/>
      <w:lvlJc w:val="left"/>
      <w:pPr>
        <w:ind w:left="1286" w:hanging="360"/>
      </w:pPr>
      <w:rPr>
        <w:rFonts w:hint="default"/>
      </w:rPr>
    </w:lvl>
    <w:lvl w:ilvl="1" w:tplc="18090019" w:tentative="1">
      <w:start w:val="1"/>
      <w:numFmt w:val="lowerLetter"/>
      <w:lvlText w:val="%2."/>
      <w:lvlJc w:val="left"/>
      <w:pPr>
        <w:ind w:left="2006" w:hanging="360"/>
      </w:pPr>
    </w:lvl>
    <w:lvl w:ilvl="2" w:tplc="1809001B" w:tentative="1">
      <w:start w:val="1"/>
      <w:numFmt w:val="lowerRoman"/>
      <w:lvlText w:val="%3."/>
      <w:lvlJc w:val="right"/>
      <w:pPr>
        <w:ind w:left="2726" w:hanging="180"/>
      </w:pPr>
    </w:lvl>
    <w:lvl w:ilvl="3" w:tplc="1809000F" w:tentative="1">
      <w:start w:val="1"/>
      <w:numFmt w:val="decimal"/>
      <w:lvlText w:val="%4."/>
      <w:lvlJc w:val="left"/>
      <w:pPr>
        <w:ind w:left="3446" w:hanging="360"/>
      </w:pPr>
    </w:lvl>
    <w:lvl w:ilvl="4" w:tplc="18090019" w:tentative="1">
      <w:start w:val="1"/>
      <w:numFmt w:val="lowerLetter"/>
      <w:lvlText w:val="%5."/>
      <w:lvlJc w:val="left"/>
      <w:pPr>
        <w:ind w:left="4166" w:hanging="360"/>
      </w:pPr>
    </w:lvl>
    <w:lvl w:ilvl="5" w:tplc="1809001B" w:tentative="1">
      <w:start w:val="1"/>
      <w:numFmt w:val="lowerRoman"/>
      <w:lvlText w:val="%6."/>
      <w:lvlJc w:val="right"/>
      <w:pPr>
        <w:ind w:left="4886" w:hanging="180"/>
      </w:pPr>
    </w:lvl>
    <w:lvl w:ilvl="6" w:tplc="1809000F" w:tentative="1">
      <w:start w:val="1"/>
      <w:numFmt w:val="decimal"/>
      <w:lvlText w:val="%7."/>
      <w:lvlJc w:val="left"/>
      <w:pPr>
        <w:ind w:left="5606" w:hanging="360"/>
      </w:pPr>
    </w:lvl>
    <w:lvl w:ilvl="7" w:tplc="18090019" w:tentative="1">
      <w:start w:val="1"/>
      <w:numFmt w:val="lowerLetter"/>
      <w:lvlText w:val="%8."/>
      <w:lvlJc w:val="left"/>
      <w:pPr>
        <w:ind w:left="6326" w:hanging="360"/>
      </w:pPr>
    </w:lvl>
    <w:lvl w:ilvl="8" w:tplc="1809001B" w:tentative="1">
      <w:start w:val="1"/>
      <w:numFmt w:val="lowerRoman"/>
      <w:lvlText w:val="%9."/>
      <w:lvlJc w:val="right"/>
      <w:pPr>
        <w:ind w:left="7046" w:hanging="180"/>
      </w:pPr>
    </w:lvl>
  </w:abstractNum>
  <w:abstractNum w:abstractNumId="1" w15:restartNumberingAfterBreak="0">
    <w:nsid w:val="27AF0F03"/>
    <w:multiLevelType w:val="hybridMultilevel"/>
    <w:tmpl w:val="1AD49C7C"/>
    <w:lvl w:ilvl="0" w:tplc="92E6F69A">
      <w:start w:val="1"/>
      <w:numFmt w:val="decimal"/>
      <w:lvlText w:val="%1."/>
      <w:lvlJc w:val="left"/>
      <w:pPr>
        <w:ind w:left="2345" w:hanging="360"/>
      </w:pPr>
      <w:rPr>
        <w:rFonts w:ascii="Times New Roman" w:hAnsi="Times New Roman" w:cs="Times New Roman" w:hint="default"/>
        <w:b/>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01671F"/>
    <w:multiLevelType w:val="hybridMultilevel"/>
    <w:tmpl w:val="DDCA3F98"/>
    <w:lvl w:ilvl="0" w:tplc="F716CC4C">
      <w:start w:val="1"/>
      <w:numFmt w:val="decimal"/>
      <w:lvlText w:val="(%1)"/>
      <w:lvlJc w:val="left"/>
      <w:pPr>
        <w:ind w:left="1290" w:hanging="360"/>
      </w:pPr>
      <w:rPr>
        <w:rFonts w:hint="default"/>
        <w:b w:val="0"/>
      </w:rPr>
    </w:lvl>
    <w:lvl w:ilvl="1" w:tplc="18090019" w:tentative="1">
      <w:start w:val="1"/>
      <w:numFmt w:val="lowerLetter"/>
      <w:lvlText w:val="%2."/>
      <w:lvlJc w:val="left"/>
      <w:pPr>
        <w:ind w:left="2010" w:hanging="360"/>
      </w:pPr>
    </w:lvl>
    <w:lvl w:ilvl="2" w:tplc="1809001B" w:tentative="1">
      <w:start w:val="1"/>
      <w:numFmt w:val="lowerRoman"/>
      <w:lvlText w:val="%3."/>
      <w:lvlJc w:val="right"/>
      <w:pPr>
        <w:ind w:left="2730" w:hanging="180"/>
      </w:pPr>
    </w:lvl>
    <w:lvl w:ilvl="3" w:tplc="1809000F" w:tentative="1">
      <w:start w:val="1"/>
      <w:numFmt w:val="decimal"/>
      <w:lvlText w:val="%4."/>
      <w:lvlJc w:val="left"/>
      <w:pPr>
        <w:ind w:left="3450" w:hanging="360"/>
      </w:pPr>
    </w:lvl>
    <w:lvl w:ilvl="4" w:tplc="18090019" w:tentative="1">
      <w:start w:val="1"/>
      <w:numFmt w:val="lowerLetter"/>
      <w:lvlText w:val="%5."/>
      <w:lvlJc w:val="left"/>
      <w:pPr>
        <w:ind w:left="4170" w:hanging="360"/>
      </w:pPr>
    </w:lvl>
    <w:lvl w:ilvl="5" w:tplc="1809001B" w:tentative="1">
      <w:start w:val="1"/>
      <w:numFmt w:val="lowerRoman"/>
      <w:lvlText w:val="%6."/>
      <w:lvlJc w:val="right"/>
      <w:pPr>
        <w:ind w:left="4890" w:hanging="180"/>
      </w:pPr>
    </w:lvl>
    <w:lvl w:ilvl="6" w:tplc="1809000F" w:tentative="1">
      <w:start w:val="1"/>
      <w:numFmt w:val="decimal"/>
      <w:lvlText w:val="%7."/>
      <w:lvlJc w:val="left"/>
      <w:pPr>
        <w:ind w:left="5610" w:hanging="360"/>
      </w:pPr>
    </w:lvl>
    <w:lvl w:ilvl="7" w:tplc="18090019" w:tentative="1">
      <w:start w:val="1"/>
      <w:numFmt w:val="lowerLetter"/>
      <w:lvlText w:val="%8."/>
      <w:lvlJc w:val="left"/>
      <w:pPr>
        <w:ind w:left="6330" w:hanging="360"/>
      </w:pPr>
    </w:lvl>
    <w:lvl w:ilvl="8" w:tplc="1809001B" w:tentative="1">
      <w:start w:val="1"/>
      <w:numFmt w:val="lowerRoman"/>
      <w:lvlText w:val="%9."/>
      <w:lvlJc w:val="right"/>
      <w:pPr>
        <w:ind w:left="7050" w:hanging="180"/>
      </w:pPr>
    </w:lvl>
  </w:abstractNum>
  <w:abstractNum w:abstractNumId="3" w15:restartNumberingAfterBreak="0">
    <w:nsid w:val="38874D69"/>
    <w:multiLevelType w:val="hybridMultilevel"/>
    <w:tmpl w:val="A148F1FA"/>
    <w:lvl w:ilvl="0" w:tplc="8C46E700">
      <w:start w:val="1"/>
      <w:numFmt w:val="decimal"/>
      <w:lvlText w:val="(%1)"/>
      <w:lvlJc w:val="left"/>
      <w:pPr>
        <w:ind w:left="1290" w:hanging="360"/>
      </w:pPr>
      <w:rPr>
        <w:rFonts w:hint="default"/>
        <w:b w:val="0"/>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15:restartNumberingAfterBreak="0">
    <w:nsid w:val="51CE2559"/>
    <w:multiLevelType w:val="hybridMultilevel"/>
    <w:tmpl w:val="0DA48728"/>
    <w:lvl w:ilvl="0" w:tplc="6BE238DC">
      <w:start w:val="1"/>
      <w:numFmt w:val="decimal"/>
      <w:lvlText w:val="(%1)"/>
      <w:lvlJc w:val="left"/>
      <w:pPr>
        <w:ind w:left="1286" w:hanging="360"/>
      </w:pPr>
      <w:rPr>
        <w:rFonts w:hint="default"/>
      </w:rPr>
    </w:lvl>
    <w:lvl w:ilvl="1" w:tplc="18090019" w:tentative="1">
      <w:start w:val="1"/>
      <w:numFmt w:val="lowerLetter"/>
      <w:lvlText w:val="%2."/>
      <w:lvlJc w:val="left"/>
      <w:pPr>
        <w:ind w:left="2006" w:hanging="360"/>
      </w:pPr>
    </w:lvl>
    <w:lvl w:ilvl="2" w:tplc="1809001B" w:tentative="1">
      <w:start w:val="1"/>
      <w:numFmt w:val="lowerRoman"/>
      <w:lvlText w:val="%3."/>
      <w:lvlJc w:val="right"/>
      <w:pPr>
        <w:ind w:left="2726" w:hanging="180"/>
      </w:pPr>
    </w:lvl>
    <w:lvl w:ilvl="3" w:tplc="1809000F" w:tentative="1">
      <w:start w:val="1"/>
      <w:numFmt w:val="decimal"/>
      <w:lvlText w:val="%4."/>
      <w:lvlJc w:val="left"/>
      <w:pPr>
        <w:ind w:left="3446" w:hanging="360"/>
      </w:pPr>
    </w:lvl>
    <w:lvl w:ilvl="4" w:tplc="18090019" w:tentative="1">
      <w:start w:val="1"/>
      <w:numFmt w:val="lowerLetter"/>
      <w:lvlText w:val="%5."/>
      <w:lvlJc w:val="left"/>
      <w:pPr>
        <w:ind w:left="4166" w:hanging="360"/>
      </w:pPr>
    </w:lvl>
    <w:lvl w:ilvl="5" w:tplc="1809001B" w:tentative="1">
      <w:start w:val="1"/>
      <w:numFmt w:val="lowerRoman"/>
      <w:lvlText w:val="%6."/>
      <w:lvlJc w:val="right"/>
      <w:pPr>
        <w:ind w:left="4886" w:hanging="180"/>
      </w:pPr>
    </w:lvl>
    <w:lvl w:ilvl="6" w:tplc="1809000F" w:tentative="1">
      <w:start w:val="1"/>
      <w:numFmt w:val="decimal"/>
      <w:lvlText w:val="%7."/>
      <w:lvlJc w:val="left"/>
      <w:pPr>
        <w:ind w:left="5606" w:hanging="360"/>
      </w:pPr>
    </w:lvl>
    <w:lvl w:ilvl="7" w:tplc="18090019" w:tentative="1">
      <w:start w:val="1"/>
      <w:numFmt w:val="lowerLetter"/>
      <w:lvlText w:val="%8."/>
      <w:lvlJc w:val="left"/>
      <w:pPr>
        <w:ind w:left="6326" w:hanging="360"/>
      </w:pPr>
    </w:lvl>
    <w:lvl w:ilvl="8" w:tplc="1809001B" w:tentative="1">
      <w:start w:val="1"/>
      <w:numFmt w:val="lowerRoman"/>
      <w:lvlText w:val="%9."/>
      <w:lvlJc w:val="right"/>
      <w:pPr>
        <w:ind w:left="7046" w:hanging="180"/>
      </w:pPr>
    </w:lvl>
  </w:abstractNum>
  <w:abstractNum w:abstractNumId="5" w15:restartNumberingAfterBreak="0">
    <w:nsid w:val="5A1E7CD5"/>
    <w:multiLevelType w:val="hybridMultilevel"/>
    <w:tmpl w:val="960843F4"/>
    <w:lvl w:ilvl="0" w:tplc="6BE238DC">
      <w:start w:val="1"/>
      <w:numFmt w:val="decimal"/>
      <w:lvlText w:val="(%1)"/>
      <w:lvlJc w:val="left"/>
      <w:pPr>
        <w:ind w:left="1286" w:hanging="360"/>
      </w:pPr>
      <w:rPr>
        <w:rFonts w:hint="default"/>
      </w:rPr>
    </w:lvl>
    <w:lvl w:ilvl="1" w:tplc="18090019" w:tentative="1">
      <w:start w:val="1"/>
      <w:numFmt w:val="lowerLetter"/>
      <w:lvlText w:val="%2."/>
      <w:lvlJc w:val="left"/>
      <w:pPr>
        <w:ind w:left="2006" w:hanging="360"/>
      </w:pPr>
    </w:lvl>
    <w:lvl w:ilvl="2" w:tplc="1809001B" w:tentative="1">
      <w:start w:val="1"/>
      <w:numFmt w:val="lowerRoman"/>
      <w:lvlText w:val="%3."/>
      <w:lvlJc w:val="right"/>
      <w:pPr>
        <w:ind w:left="2726" w:hanging="180"/>
      </w:pPr>
    </w:lvl>
    <w:lvl w:ilvl="3" w:tplc="1809000F" w:tentative="1">
      <w:start w:val="1"/>
      <w:numFmt w:val="decimal"/>
      <w:lvlText w:val="%4."/>
      <w:lvlJc w:val="left"/>
      <w:pPr>
        <w:ind w:left="3446" w:hanging="360"/>
      </w:pPr>
    </w:lvl>
    <w:lvl w:ilvl="4" w:tplc="18090019" w:tentative="1">
      <w:start w:val="1"/>
      <w:numFmt w:val="lowerLetter"/>
      <w:lvlText w:val="%5."/>
      <w:lvlJc w:val="left"/>
      <w:pPr>
        <w:ind w:left="4166" w:hanging="360"/>
      </w:pPr>
    </w:lvl>
    <w:lvl w:ilvl="5" w:tplc="1809001B" w:tentative="1">
      <w:start w:val="1"/>
      <w:numFmt w:val="lowerRoman"/>
      <w:lvlText w:val="%6."/>
      <w:lvlJc w:val="right"/>
      <w:pPr>
        <w:ind w:left="4886" w:hanging="180"/>
      </w:pPr>
    </w:lvl>
    <w:lvl w:ilvl="6" w:tplc="1809000F" w:tentative="1">
      <w:start w:val="1"/>
      <w:numFmt w:val="decimal"/>
      <w:lvlText w:val="%7."/>
      <w:lvlJc w:val="left"/>
      <w:pPr>
        <w:ind w:left="5606" w:hanging="360"/>
      </w:pPr>
    </w:lvl>
    <w:lvl w:ilvl="7" w:tplc="18090019" w:tentative="1">
      <w:start w:val="1"/>
      <w:numFmt w:val="lowerLetter"/>
      <w:lvlText w:val="%8."/>
      <w:lvlJc w:val="left"/>
      <w:pPr>
        <w:ind w:left="6326" w:hanging="360"/>
      </w:pPr>
    </w:lvl>
    <w:lvl w:ilvl="8" w:tplc="1809001B" w:tentative="1">
      <w:start w:val="1"/>
      <w:numFmt w:val="lowerRoman"/>
      <w:lvlText w:val="%9."/>
      <w:lvlJc w:val="right"/>
      <w:pPr>
        <w:ind w:left="7046" w:hanging="180"/>
      </w:pPr>
    </w:lvl>
  </w:abstractNum>
  <w:num w:numId="1">
    <w:abstractNumId w:val="1"/>
  </w:num>
  <w:num w:numId="2">
    <w:abstractNumId w:val="4"/>
  </w:num>
  <w:num w:numId="3">
    <w:abstractNumId w:val="5"/>
  </w:num>
  <w:num w:numId="4">
    <w:abstractNumId w:val="0"/>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EAE"/>
    <w:rsid w:val="0001079F"/>
    <w:rsid w:val="000159C0"/>
    <w:rsid w:val="000161E1"/>
    <w:rsid w:val="00025246"/>
    <w:rsid w:val="00035C62"/>
    <w:rsid w:val="0004086D"/>
    <w:rsid w:val="000466F7"/>
    <w:rsid w:val="00047808"/>
    <w:rsid w:val="00047D8C"/>
    <w:rsid w:val="00050D2D"/>
    <w:rsid w:val="00050EF5"/>
    <w:rsid w:val="00053204"/>
    <w:rsid w:val="00056BD3"/>
    <w:rsid w:val="000625D3"/>
    <w:rsid w:val="00065676"/>
    <w:rsid w:val="000660DE"/>
    <w:rsid w:val="00066863"/>
    <w:rsid w:val="00071B18"/>
    <w:rsid w:val="00072F92"/>
    <w:rsid w:val="00073E1E"/>
    <w:rsid w:val="000740BD"/>
    <w:rsid w:val="00074BE8"/>
    <w:rsid w:val="00077701"/>
    <w:rsid w:val="00081285"/>
    <w:rsid w:val="00085D9B"/>
    <w:rsid w:val="0008716E"/>
    <w:rsid w:val="00095A3F"/>
    <w:rsid w:val="00097666"/>
    <w:rsid w:val="000A33F3"/>
    <w:rsid w:val="000A3514"/>
    <w:rsid w:val="000B36F5"/>
    <w:rsid w:val="000B5284"/>
    <w:rsid w:val="000B5421"/>
    <w:rsid w:val="000B6DC0"/>
    <w:rsid w:val="000C1308"/>
    <w:rsid w:val="000C21C5"/>
    <w:rsid w:val="000C73AA"/>
    <w:rsid w:val="000C758F"/>
    <w:rsid w:val="000D1DAB"/>
    <w:rsid w:val="000D5B29"/>
    <w:rsid w:val="000D7C3B"/>
    <w:rsid w:val="000D7CC1"/>
    <w:rsid w:val="000E03A1"/>
    <w:rsid w:val="000F0157"/>
    <w:rsid w:val="000F1347"/>
    <w:rsid w:val="000F34BD"/>
    <w:rsid w:val="000F49F1"/>
    <w:rsid w:val="00101F5A"/>
    <w:rsid w:val="0010295F"/>
    <w:rsid w:val="00104B4D"/>
    <w:rsid w:val="00110DA4"/>
    <w:rsid w:val="00113702"/>
    <w:rsid w:val="001148C4"/>
    <w:rsid w:val="00117016"/>
    <w:rsid w:val="00117DCB"/>
    <w:rsid w:val="00121251"/>
    <w:rsid w:val="0012184F"/>
    <w:rsid w:val="00126862"/>
    <w:rsid w:val="001323F7"/>
    <w:rsid w:val="00133A02"/>
    <w:rsid w:val="00133E9A"/>
    <w:rsid w:val="001349D6"/>
    <w:rsid w:val="001374BB"/>
    <w:rsid w:val="001420F9"/>
    <w:rsid w:val="0014645F"/>
    <w:rsid w:val="00147634"/>
    <w:rsid w:val="001567B6"/>
    <w:rsid w:val="00156934"/>
    <w:rsid w:val="00157854"/>
    <w:rsid w:val="00160B83"/>
    <w:rsid w:val="00161FEC"/>
    <w:rsid w:val="00165305"/>
    <w:rsid w:val="00165749"/>
    <w:rsid w:val="00165CDE"/>
    <w:rsid w:val="0016600B"/>
    <w:rsid w:val="00166F9B"/>
    <w:rsid w:val="001716D2"/>
    <w:rsid w:val="00173104"/>
    <w:rsid w:val="001756F7"/>
    <w:rsid w:val="001817B8"/>
    <w:rsid w:val="00183295"/>
    <w:rsid w:val="00186625"/>
    <w:rsid w:val="00187263"/>
    <w:rsid w:val="00194693"/>
    <w:rsid w:val="00195897"/>
    <w:rsid w:val="001A396E"/>
    <w:rsid w:val="001B4BC1"/>
    <w:rsid w:val="001C10D0"/>
    <w:rsid w:val="001C2BA0"/>
    <w:rsid w:val="001C3DBC"/>
    <w:rsid w:val="001D17D7"/>
    <w:rsid w:val="001D3395"/>
    <w:rsid w:val="001E0ADE"/>
    <w:rsid w:val="001E25D8"/>
    <w:rsid w:val="001E2850"/>
    <w:rsid w:val="001E4AAF"/>
    <w:rsid w:val="001E54EF"/>
    <w:rsid w:val="001F0338"/>
    <w:rsid w:val="001F0BB8"/>
    <w:rsid w:val="001F3B55"/>
    <w:rsid w:val="001F46E0"/>
    <w:rsid w:val="001F682E"/>
    <w:rsid w:val="00202BC6"/>
    <w:rsid w:val="00205E2C"/>
    <w:rsid w:val="00207518"/>
    <w:rsid w:val="002102B2"/>
    <w:rsid w:val="00210F45"/>
    <w:rsid w:val="002123F8"/>
    <w:rsid w:val="002271B6"/>
    <w:rsid w:val="0023252C"/>
    <w:rsid w:val="00237EA9"/>
    <w:rsid w:val="0024094B"/>
    <w:rsid w:val="00246FC5"/>
    <w:rsid w:val="0025053C"/>
    <w:rsid w:val="002506DD"/>
    <w:rsid w:val="002549C7"/>
    <w:rsid w:val="00257685"/>
    <w:rsid w:val="0025784D"/>
    <w:rsid w:val="00262E0F"/>
    <w:rsid w:val="0026400B"/>
    <w:rsid w:val="00267D4E"/>
    <w:rsid w:val="002741D4"/>
    <w:rsid w:val="00277011"/>
    <w:rsid w:val="002778B8"/>
    <w:rsid w:val="002857A9"/>
    <w:rsid w:val="00285B3A"/>
    <w:rsid w:val="00286777"/>
    <w:rsid w:val="00287BF6"/>
    <w:rsid w:val="00290F46"/>
    <w:rsid w:val="002926DC"/>
    <w:rsid w:val="00292A5F"/>
    <w:rsid w:val="00296918"/>
    <w:rsid w:val="002A1D08"/>
    <w:rsid w:val="002A2CBC"/>
    <w:rsid w:val="002A69D5"/>
    <w:rsid w:val="002B0E05"/>
    <w:rsid w:val="002B4A11"/>
    <w:rsid w:val="002B4E63"/>
    <w:rsid w:val="002B71DE"/>
    <w:rsid w:val="002C14B8"/>
    <w:rsid w:val="002C15AF"/>
    <w:rsid w:val="002C2B03"/>
    <w:rsid w:val="002D018A"/>
    <w:rsid w:val="002D05EC"/>
    <w:rsid w:val="002D0691"/>
    <w:rsid w:val="002D270B"/>
    <w:rsid w:val="002D548D"/>
    <w:rsid w:val="002D5653"/>
    <w:rsid w:val="002E3249"/>
    <w:rsid w:val="002E32FF"/>
    <w:rsid w:val="002E49F6"/>
    <w:rsid w:val="002E515B"/>
    <w:rsid w:val="002E54EE"/>
    <w:rsid w:val="002F6A7A"/>
    <w:rsid w:val="00304792"/>
    <w:rsid w:val="00305348"/>
    <w:rsid w:val="003073A6"/>
    <w:rsid w:val="0031585F"/>
    <w:rsid w:val="00316D7D"/>
    <w:rsid w:val="00321226"/>
    <w:rsid w:val="00321FF5"/>
    <w:rsid w:val="00322185"/>
    <w:rsid w:val="003239CE"/>
    <w:rsid w:val="00323EF3"/>
    <w:rsid w:val="00325A95"/>
    <w:rsid w:val="003261F8"/>
    <w:rsid w:val="00327CD4"/>
    <w:rsid w:val="003337A7"/>
    <w:rsid w:val="003413BA"/>
    <w:rsid w:val="00343076"/>
    <w:rsid w:val="0035112F"/>
    <w:rsid w:val="00355FCB"/>
    <w:rsid w:val="003567CB"/>
    <w:rsid w:val="00357BDF"/>
    <w:rsid w:val="003607BE"/>
    <w:rsid w:val="003612EE"/>
    <w:rsid w:val="003617DB"/>
    <w:rsid w:val="003626C3"/>
    <w:rsid w:val="0036518A"/>
    <w:rsid w:val="00365B1B"/>
    <w:rsid w:val="003701FE"/>
    <w:rsid w:val="00371A48"/>
    <w:rsid w:val="00372012"/>
    <w:rsid w:val="00372BBA"/>
    <w:rsid w:val="00373D1A"/>
    <w:rsid w:val="003761E3"/>
    <w:rsid w:val="00387FFD"/>
    <w:rsid w:val="003957C0"/>
    <w:rsid w:val="00396802"/>
    <w:rsid w:val="0039737B"/>
    <w:rsid w:val="003A1726"/>
    <w:rsid w:val="003A1817"/>
    <w:rsid w:val="003A19AE"/>
    <w:rsid w:val="003A2408"/>
    <w:rsid w:val="003A277F"/>
    <w:rsid w:val="003A46DA"/>
    <w:rsid w:val="003A682B"/>
    <w:rsid w:val="003B19C8"/>
    <w:rsid w:val="003B2786"/>
    <w:rsid w:val="003B32B2"/>
    <w:rsid w:val="003B6342"/>
    <w:rsid w:val="003B6D93"/>
    <w:rsid w:val="003C0886"/>
    <w:rsid w:val="003C09FF"/>
    <w:rsid w:val="003C7F00"/>
    <w:rsid w:val="003D15FC"/>
    <w:rsid w:val="003D4AED"/>
    <w:rsid w:val="003E7137"/>
    <w:rsid w:val="003E7674"/>
    <w:rsid w:val="003F2C4E"/>
    <w:rsid w:val="003F3D3B"/>
    <w:rsid w:val="003F5290"/>
    <w:rsid w:val="004062AD"/>
    <w:rsid w:val="00406A8C"/>
    <w:rsid w:val="00415F71"/>
    <w:rsid w:val="00416247"/>
    <w:rsid w:val="004164B2"/>
    <w:rsid w:val="0042255A"/>
    <w:rsid w:val="00423328"/>
    <w:rsid w:val="00423D5E"/>
    <w:rsid w:val="004241C1"/>
    <w:rsid w:val="00424C6E"/>
    <w:rsid w:val="0042543F"/>
    <w:rsid w:val="004260C6"/>
    <w:rsid w:val="00427D5E"/>
    <w:rsid w:val="00431664"/>
    <w:rsid w:val="004320A0"/>
    <w:rsid w:val="004336C1"/>
    <w:rsid w:val="004355A8"/>
    <w:rsid w:val="00437A05"/>
    <w:rsid w:val="00441713"/>
    <w:rsid w:val="004437D5"/>
    <w:rsid w:val="00443A97"/>
    <w:rsid w:val="00444668"/>
    <w:rsid w:val="00445634"/>
    <w:rsid w:val="00452FA7"/>
    <w:rsid w:val="00453EED"/>
    <w:rsid w:val="00457B07"/>
    <w:rsid w:val="00460821"/>
    <w:rsid w:val="00465836"/>
    <w:rsid w:val="004664AC"/>
    <w:rsid w:val="004668F7"/>
    <w:rsid w:val="00467F02"/>
    <w:rsid w:val="0047158D"/>
    <w:rsid w:val="00472481"/>
    <w:rsid w:val="00474541"/>
    <w:rsid w:val="00484275"/>
    <w:rsid w:val="004864A4"/>
    <w:rsid w:val="00490D1F"/>
    <w:rsid w:val="00490F91"/>
    <w:rsid w:val="004941EC"/>
    <w:rsid w:val="00494A09"/>
    <w:rsid w:val="0049604F"/>
    <w:rsid w:val="004968CA"/>
    <w:rsid w:val="004979E7"/>
    <w:rsid w:val="004A11D5"/>
    <w:rsid w:val="004A68C1"/>
    <w:rsid w:val="004B6A19"/>
    <w:rsid w:val="004C1475"/>
    <w:rsid w:val="004C6EB4"/>
    <w:rsid w:val="004C7B30"/>
    <w:rsid w:val="004D008F"/>
    <w:rsid w:val="004D3FA4"/>
    <w:rsid w:val="004E6F57"/>
    <w:rsid w:val="004E7D50"/>
    <w:rsid w:val="004F0302"/>
    <w:rsid w:val="004F0C48"/>
    <w:rsid w:val="004F37C7"/>
    <w:rsid w:val="004F6F5C"/>
    <w:rsid w:val="00503C96"/>
    <w:rsid w:val="0050735E"/>
    <w:rsid w:val="00511D9A"/>
    <w:rsid w:val="00511DE4"/>
    <w:rsid w:val="00525CFE"/>
    <w:rsid w:val="0052776A"/>
    <w:rsid w:val="00531E94"/>
    <w:rsid w:val="005340E9"/>
    <w:rsid w:val="005341A5"/>
    <w:rsid w:val="005363D5"/>
    <w:rsid w:val="005374E8"/>
    <w:rsid w:val="00542F65"/>
    <w:rsid w:val="005433B1"/>
    <w:rsid w:val="005502CA"/>
    <w:rsid w:val="00551110"/>
    <w:rsid w:val="00552F26"/>
    <w:rsid w:val="005532C8"/>
    <w:rsid w:val="005548FB"/>
    <w:rsid w:val="005557E1"/>
    <w:rsid w:val="00562671"/>
    <w:rsid w:val="00564425"/>
    <w:rsid w:val="005663DF"/>
    <w:rsid w:val="00573264"/>
    <w:rsid w:val="005749C9"/>
    <w:rsid w:val="00577446"/>
    <w:rsid w:val="00577D4B"/>
    <w:rsid w:val="00584783"/>
    <w:rsid w:val="00585F9F"/>
    <w:rsid w:val="00587FA0"/>
    <w:rsid w:val="00592F7A"/>
    <w:rsid w:val="00593EAE"/>
    <w:rsid w:val="0059587C"/>
    <w:rsid w:val="00595CCA"/>
    <w:rsid w:val="005A18C8"/>
    <w:rsid w:val="005A30A2"/>
    <w:rsid w:val="005A37E5"/>
    <w:rsid w:val="005A51F1"/>
    <w:rsid w:val="005B084B"/>
    <w:rsid w:val="005B4470"/>
    <w:rsid w:val="005B5482"/>
    <w:rsid w:val="005B6004"/>
    <w:rsid w:val="005B60A2"/>
    <w:rsid w:val="005B6F99"/>
    <w:rsid w:val="005C0E9D"/>
    <w:rsid w:val="005C14C0"/>
    <w:rsid w:val="005C1B95"/>
    <w:rsid w:val="005C30EC"/>
    <w:rsid w:val="005D0BF5"/>
    <w:rsid w:val="005D1BBB"/>
    <w:rsid w:val="005D6420"/>
    <w:rsid w:val="005E085D"/>
    <w:rsid w:val="005E2C19"/>
    <w:rsid w:val="005E6306"/>
    <w:rsid w:val="005F08D3"/>
    <w:rsid w:val="005F3CC1"/>
    <w:rsid w:val="005F463B"/>
    <w:rsid w:val="00600A25"/>
    <w:rsid w:val="00601FCF"/>
    <w:rsid w:val="00602B56"/>
    <w:rsid w:val="00604252"/>
    <w:rsid w:val="00604D01"/>
    <w:rsid w:val="0060750F"/>
    <w:rsid w:val="00612072"/>
    <w:rsid w:val="00614845"/>
    <w:rsid w:val="0061767A"/>
    <w:rsid w:val="00617D59"/>
    <w:rsid w:val="00624096"/>
    <w:rsid w:val="006300C8"/>
    <w:rsid w:val="006332A1"/>
    <w:rsid w:val="006375F4"/>
    <w:rsid w:val="00642EDF"/>
    <w:rsid w:val="0064333C"/>
    <w:rsid w:val="00643667"/>
    <w:rsid w:val="006457DB"/>
    <w:rsid w:val="00645FFE"/>
    <w:rsid w:val="006464AB"/>
    <w:rsid w:val="00653902"/>
    <w:rsid w:val="006550D9"/>
    <w:rsid w:val="0066133A"/>
    <w:rsid w:val="00661ADC"/>
    <w:rsid w:val="00662241"/>
    <w:rsid w:val="00664DD8"/>
    <w:rsid w:val="00666664"/>
    <w:rsid w:val="00671988"/>
    <w:rsid w:val="00674098"/>
    <w:rsid w:val="00682C00"/>
    <w:rsid w:val="00684F1B"/>
    <w:rsid w:val="00693CA0"/>
    <w:rsid w:val="00695DF6"/>
    <w:rsid w:val="006A1A90"/>
    <w:rsid w:val="006A1D78"/>
    <w:rsid w:val="006A34CC"/>
    <w:rsid w:val="006A4A55"/>
    <w:rsid w:val="006A761E"/>
    <w:rsid w:val="006B0743"/>
    <w:rsid w:val="006B3D2B"/>
    <w:rsid w:val="006B5132"/>
    <w:rsid w:val="006B7FFE"/>
    <w:rsid w:val="006C2D14"/>
    <w:rsid w:val="006C2E97"/>
    <w:rsid w:val="006C346D"/>
    <w:rsid w:val="006C525C"/>
    <w:rsid w:val="006D444D"/>
    <w:rsid w:val="006D45A5"/>
    <w:rsid w:val="006D7C4A"/>
    <w:rsid w:val="006E0B15"/>
    <w:rsid w:val="006E1D38"/>
    <w:rsid w:val="006F1B06"/>
    <w:rsid w:val="006F3A73"/>
    <w:rsid w:val="007026E8"/>
    <w:rsid w:val="00702FA3"/>
    <w:rsid w:val="0070389B"/>
    <w:rsid w:val="00704553"/>
    <w:rsid w:val="007118C7"/>
    <w:rsid w:val="007119C7"/>
    <w:rsid w:val="0071233E"/>
    <w:rsid w:val="007124E8"/>
    <w:rsid w:val="007126FA"/>
    <w:rsid w:val="00712E54"/>
    <w:rsid w:val="00712F52"/>
    <w:rsid w:val="00724AE1"/>
    <w:rsid w:val="00725EDD"/>
    <w:rsid w:val="007262AE"/>
    <w:rsid w:val="00727D97"/>
    <w:rsid w:val="00727FD1"/>
    <w:rsid w:val="007310BD"/>
    <w:rsid w:val="007313A1"/>
    <w:rsid w:val="00734AD7"/>
    <w:rsid w:val="0074097D"/>
    <w:rsid w:val="00741A21"/>
    <w:rsid w:val="00742EA0"/>
    <w:rsid w:val="00747240"/>
    <w:rsid w:val="00747EBA"/>
    <w:rsid w:val="0075620E"/>
    <w:rsid w:val="007566E2"/>
    <w:rsid w:val="00757187"/>
    <w:rsid w:val="00757715"/>
    <w:rsid w:val="00760B43"/>
    <w:rsid w:val="00761FCC"/>
    <w:rsid w:val="0076357A"/>
    <w:rsid w:val="007716F9"/>
    <w:rsid w:val="00771A86"/>
    <w:rsid w:val="00772EDF"/>
    <w:rsid w:val="007809A4"/>
    <w:rsid w:val="007818F4"/>
    <w:rsid w:val="00781A54"/>
    <w:rsid w:val="00787A8B"/>
    <w:rsid w:val="007909B9"/>
    <w:rsid w:val="00791ED7"/>
    <w:rsid w:val="00792415"/>
    <w:rsid w:val="007960BA"/>
    <w:rsid w:val="0079639E"/>
    <w:rsid w:val="00797132"/>
    <w:rsid w:val="0079748B"/>
    <w:rsid w:val="007A383F"/>
    <w:rsid w:val="007A3A00"/>
    <w:rsid w:val="007A3BDC"/>
    <w:rsid w:val="007A6AB2"/>
    <w:rsid w:val="007B00D6"/>
    <w:rsid w:val="007B2FDB"/>
    <w:rsid w:val="007B5A59"/>
    <w:rsid w:val="007C0026"/>
    <w:rsid w:val="007C288B"/>
    <w:rsid w:val="007C46A7"/>
    <w:rsid w:val="007C5588"/>
    <w:rsid w:val="007D4C37"/>
    <w:rsid w:val="007D4D15"/>
    <w:rsid w:val="007D605B"/>
    <w:rsid w:val="007E07B2"/>
    <w:rsid w:val="007E1E56"/>
    <w:rsid w:val="007E4567"/>
    <w:rsid w:val="007E50A7"/>
    <w:rsid w:val="007F1C4B"/>
    <w:rsid w:val="007F4C77"/>
    <w:rsid w:val="008044F6"/>
    <w:rsid w:val="00805F50"/>
    <w:rsid w:val="00806902"/>
    <w:rsid w:val="00807368"/>
    <w:rsid w:val="00813383"/>
    <w:rsid w:val="0081646F"/>
    <w:rsid w:val="00816F69"/>
    <w:rsid w:val="00821EB5"/>
    <w:rsid w:val="00825B3C"/>
    <w:rsid w:val="00826D96"/>
    <w:rsid w:val="00827EDE"/>
    <w:rsid w:val="00831DDD"/>
    <w:rsid w:val="0083355B"/>
    <w:rsid w:val="00833F87"/>
    <w:rsid w:val="00835836"/>
    <w:rsid w:val="008409D3"/>
    <w:rsid w:val="008429E1"/>
    <w:rsid w:val="008429E8"/>
    <w:rsid w:val="00842BF2"/>
    <w:rsid w:val="00844D50"/>
    <w:rsid w:val="00846AC8"/>
    <w:rsid w:val="00852597"/>
    <w:rsid w:val="00852D25"/>
    <w:rsid w:val="00853D4F"/>
    <w:rsid w:val="00853F20"/>
    <w:rsid w:val="008543BF"/>
    <w:rsid w:val="008546AD"/>
    <w:rsid w:val="00855836"/>
    <w:rsid w:val="00861E2A"/>
    <w:rsid w:val="008620E7"/>
    <w:rsid w:val="00862D1C"/>
    <w:rsid w:val="008641BC"/>
    <w:rsid w:val="0086459E"/>
    <w:rsid w:val="0086491F"/>
    <w:rsid w:val="00866F30"/>
    <w:rsid w:val="0087024D"/>
    <w:rsid w:val="00871D5C"/>
    <w:rsid w:val="008726C7"/>
    <w:rsid w:val="00872944"/>
    <w:rsid w:val="008742F5"/>
    <w:rsid w:val="00875D75"/>
    <w:rsid w:val="008768B0"/>
    <w:rsid w:val="00876F2E"/>
    <w:rsid w:val="008803AC"/>
    <w:rsid w:val="008820DB"/>
    <w:rsid w:val="00883915"/>
    <w:rsid w:val="008855FB"/>
    <w:rsid w:val="00894500"/>
    <w:rsid w:val="0089689B"/>
    <w:rsid w:val="008A1E18"/>
    <w:rsid w:val="008A4540"/>
    <w:rsid w:val="008A529D"/>
    <w:rsid w:val="008A55CF"/>
    <w:rsid w:val="008A58C4"/>
    <w:rsid w:val="008A7DBC"/>
    <w:rsid w:val="008B1423"/>
    <w:rsid w:val="008B4F28"/>
    <w:rsid w:val="008B55E7"/>
    <w:rsid w:val="008C1B3B"/>
    <w:rsid w:val="008C27D3"/>
    <w:rsid w:val="008C6BB8"/>
    <w:rsid w:val="008D21BA"/>
    <w:rsid w:val="008D4265"/>
    <w:rsid w:val="008D58BB"/>
    <w:rsid w:val="008D5D2E"/>
    <w:rsid w:val="008E40EE"/>
    <w:rsid w:val="008F1322"/>
    <w:rsid w:val="008F1444"/>
    <w:rsid w:val="008F28EC"/>
    <w:rsid w:val="008F7174"/>
    <w:rsid w:val="009109AB"/>
    <w:rsid w:val="0091693D"/>
    <w:rsid w:val="0092221D"/>
    <w:rsid w:val="009226C3"/>
    <w:rsid w:val="009235D8"/>
    <w:rsid w:val="00924369"/>
    <w:rsid w:val="009272E3"/>
    <w:rsid w:val="0093564A"/>
    <w:rsid w:val="00935FF4"/>
    <w:rsid w:val="009365D0"/>
    <w:rsid w:val="00936E3E"/>
    <w:rsid w:val="0094212B"/>
    <w:rsid w:val="0094767B"/>
    <w:rsid w:val="00957989"/>
    <w:rsid w:val="009633A8"/>
    <w:rsid w:val="00981355"/>
    <w:rsid w:val="0098147F"/>
    <w:rsid w:val="00981DB6"/>
    <w:rsid w:val="00982818"/>
    <w:rsid w:val="00985BB7"/>
    <w:rsid w:val="009862B4"/>
    <w:rsid w:val="00987AD7"/>
    <w:rsid w:val="009918D0"/>
    <w:rsid w:val="009A0A29"/>
    <w:rsid w:val="009A4E1B"/>
    <w:rsid w:val="009A5134"/>
    <w:rsid w:val="009A6AE6"/>
    <w:rsid w:val="009A6ECA"/>
    <w:rsid w:val="009B3252"/>
    <w:rsid w:val="009C4922"/>
    <w:rsid w:val="009C71D8"/>
    <w:rsid w:val="009C7582"/>
    <w:rsid w:val="009D1619"/>
    <w:rsid w:val="009D1CCE"/>
    <w:rsid w:val="009D3C0A"/>
    <w:rsid w:val="009D58B8"/>
    <w:rsid w:val="009D6087"/>
    <w:rsid w:val="009D755D"/>
    <w:rsid w:val="009E648C"/>
    <w:rsid w:val="009E6EEC"/>
    <w:rsid w:val="009F08C4"/>
    <w:rsid w:val="009F21D1"/>
    <w:rsid w:val="009F6584"/>
    <w:rsid w:val="009F78A7"/>
    <w:rsid w:val="00A02515"/>
    <w:rsid w:val="00A104D4"/>
    <w:rsid w:val="00A11967"/>
    <w:rsid w:val="00A17AC1"/>
    <w:rsid w:val="00A25365"/>
    <w:rsid w:val="00A259C3"/>
    <w:rsid w:val="00A265DA"/>
    <w:rsid w:val="00A27F9F"/>
    <w:rsid w:val="00A30584"/>
    <w:rsid w:val="00A331FE"/>
    <w:rsid w:val="00A357AC"/>
    <w:rsid w:val="00A35AFA"/>
    <w:rsid w:val="00A35E40"/>
    <w:rsid w:val="00A4182D"/>
    <w:rsid w:val="00A43C51"/>
    <w:rsid w:val="00A4620B"/>
    <w:rsid w:val="00A56201"/>
    <w:rsid w:val="00A6134A"/>
    <w:rsid w:val="00A71889"/>
    <w:rsid w:val="00A72515"/>
    <w:rsid w:val="00A7669F"/>
    <w:rsid w:val="00A76D89"/>
    <w:rsid w:val="00A77579"/>
    <w:rsid w:val="00A778D8"/>
    <w:rsid w:val="00A8286D"/>
    <w:rsid w:val="00A83836"/>
    <w:rsid w:val="00A8498E"/>
    <w:rsid w:val="00A9363D"/>
    <w:rsid w:val="00A938ED"/>
    <w:rsid w:val="00A94EB4"/>
    <w:rsid w:val="00A96D26"/>
    <w:rsid w:val="00AA1A1A"/>
    <w:rsid w:val="00AA2F45"/>
    <w:rsid w:val="00AA38B5"/>
    <w:rsid w:val="00AA3A7A"/>
    <w:rsid w:val="00AA64E5"/>
    <w:rsid w:val="00AA777D"/>
    <w:rsid w:val="00AB47FA"/>
    <w:rsid w:val="00AC0BBD"/>
    <w:rsid w:val="00AC6392"/>
    <w:rsid w:val="00AC6560"/>
    <w:rsid w:val="00AD2A68"/>
    <w:rsid w:val="00AD5B13"/>
    <w:rsid w:val="00AD6F4E"/>
    <w:rsid w:val="00AD7C72"/>
    <w:rsid w:val="00AE2219"/>
    <w:rsid w:val="00AE3552"/>
    <w:rsid w:val="00AE4103"/>
    <w:rsid w:val="00AE4E5B"/>
    <w:rsid w:val="00AE79E7"/>
    <w:rsid w:val="00AF2343"/>
    <w:rsid w:val="00AF3F99"/>
    <w:rsid w:val="00AF416A"/>
    <w:rsid w:val="00AF788C"/>
    <w:rsid w:val="00B05269"/>
    <w:rsid w:val="00B0746D"/>
    <w:rsid w:val="00B13EF7"/>
    <w:rsid w:val="00B15FA2"/>
    <w:rsid w:val="00B2164E"/>
    <w:rsid w:val="00B237E9"/>
    <w:rsid w:val="00B23BC1"/>
    <w:rsid w:val="00B2419B"/>
    <w:rsid w:val="00B255E7"/>
    <w:rsid w:val="00B26549"/>
    <w:rsid w:val="00B26B23"/>
    <w:rsid w:val="00B33906"/>
    <w:rsid w:val="00B37770"/>
    <w:rsid w:val="00B418DE"/>
    <w:rsid w:val="00B423F4"/>
    <w:rsid w:val="00B42CF3"/>
    <w:rsid w:val="00B44BB2"/>
    <w:rsid w:val="00B45BC7"/>
    <w:rsid w:val="00B46BC5"/>
    <w:rsid w:val="00B50314"/>
    <w:rsid w:val="00B518A1"/>
    <w:rsid w:val="00B5425D"/>
    <w:rsid w:val="00B54F02"/>
    <w:rsid w:val="00B57C98"/>
    <w:rsid w:val="00B62449"/>
    <w:rsid w:val="00B64EE0"/>
    <w:rsid w:val="00B723C2"/>
    <w:rsid w:val="00B80060"/>
    <w:rsid w:val="00B813B4"/>
    <w:rsid w:val="00B8548F"/>
    <w:rsid w:val="00B92E9F"/>
    <w:rsid w:val="00B9553F"/>
    <w:rsid w:val="00BA7A08"/>
    <w:rsid w:val="00BB04CD"/>
    <w:rsid w:val="00BB110A"/>
    <w:rsid w:val="00BB170B"/>
    <w:rsid w:val="00BB1C79"/>
    <w:rsid w:val="00BB389F"/>
    <w:rsid w:val="00BB5679"/>
    <w:rsid w:val="00BC75FD"/>
    <w:rsid w:val="00BD38B7"/>
    <w:rsid w:val="00BE06CA"/>
    <w:rsid w:val="00BE232C"/>
    <w:rsid w:val="00BE2AB2"/>
    <w:rsid w:val="00BE3490"/>
    <w:rsid w:val="00BE4887"/>
    <w:rsid w:val="00BE7B3B"/>
    <w:rsid w:val="00BF0185"/>
    <w:rsid w:val="00BF1D3C"/>
    <w:rsid w:val="00BF1E03"/>
    <w:rsid w:val="00BF2161"/>
    <w:rsid w:val="00BF229A"/>
    <w:rsid w:val="00BF35AC"/>
    <w:rsid w:val="00BF55E1"/>
    <w:rsid w:val="00C015CC"/>
    <w:rsid w:val="00C01F24"/>
    <w:rsid w:val="00C05B77"/>
    <w:rsid w:val="00C07DBC"/>
    <w:rsid w:val="00C15AAC"/>
    <w:rsid w:val="00C17F6E"/>
    <w:rsid w:val="00C22817"/>
    <w:rsid w:val="00C236DB"/>
    <w:rsid w:val="00C2426B"/>
    <w:rsid w:val="00C30EAF"/>
    <w:rsid w:val="00C31343"/>
    <w:rsid w:val="00C31AE3"/>
    <w:rsid w:val="00C322B0"/>
    <w:rsid w:val="00C32C9F"/>
    <w:rsid w:val="00C33097"/>
    <w:rsid w:val="00C3771D"/>
    <w:rsid w:val="00C37838"/>
    <w:rsid w:val="00C4087A"/>
    <w:rsid w:val="00C45654"/>
    <w:rsid w:val="00C461A3"/>
    <w:rsid w:val="00C47CC5"/>
    <w:rsid w:val="00C51067"/>
    <w:rsid w:val="00C53CB6"/>
    <w:rsid w:val="00C541FE"/>
    <w:rsid w:val="00C5553C"/>
    <w:rsid w:val="00C563E0"/>
    <w:rsid w:val="00C57E72"/>
    <w:rsid w:val="00C57ED0"/>
    <w:rsid w:val="00C609A9"/>
    <w:rsid w:val="00C6358A"/>
    <w:rsid w:val="00C6392B"/>
    <w:rsid w:val="00C66700"/>
    <w:rsid w:val="00C71228"/>
    <w:rsid w:val="00C74245"/>
    <w:rsid w:val="00C7463E"/>
    <w:rsid w:val="00C7548E"/>
    <w:rsid w:val="00C770E7"/>
    <w:rsid w:val="00C77E4E"/>
    <w:rsid w:val="00C77EC9"/>
    <w:rsid w:val="00C81519"/>
    <w:rsid w:val="00C82293"/>
    <w:rsid w:val="00C8257F"/>
    <w:rsid w:val="00C916BC"/>
    <w:rsid w:val="00C93F4D"/>
    <w:rsid w:val="00CA07D8"/>
    <w:rsid w:val="00CA1C91"/>
    <w:rsid w:val="00CA46F5"/>
    <w:rsid w:val="00CA5671"/>
    <w:rsid w:val="00CA6991"/>
    <w:rsid w:val="00CA778F"/>
    <w:rsid w:val="00CB2FE6"/>
    <w:rsid w:val="00CB53BC"/>
    <w:rsid w:val="00CC12D0"/>
    <w:rsid w:val="00CC761A"/>
    <w:rsid w:val="00CE2539"/>
    <w:rsid w:val="00CE65B6"/>
    <w:rsid w:val="00CE7893"/>
    <w:rsid w:val="00CF3F2F"/>
    <w:rsid w:val="00CF6285"/>
    <w:rsid w:val="00CF77CE"/>
    <w:rsid w:val="00D01F41"/>
    <w:rsid w:val="00D04B9E"/>
    <w:rsid w:val="00D06D38"/>
    <w:rsid w:val="00D0714E"/>
    <w:rsid w:val="00D07A18"/>
    <w:rsid w:val="00D10539"/>
    <w:rsid w:val="00D1185E"/>
    <w:rsid w:val="00D15395"/>
    <w:rsid w:val="00D158AF"/>
    <w:rsid w:val="00D219EB"/>
    <w:rsid w:val="00D21FA9"/>
    <w:rsid w:val="00D23F70"/>
    <w:rsid w:val="00D24ACC"/>
    <w:rsid w:val="00D24FAA"/>
    <w:rsid w:val="00D301F1"/>
    <w:rsid w:val="00D35364"/>
    <w:rsid w:val="00D353C8"/>
    <w:rsid w:val="00D35C5F"/>
    <w:rsid w:val="00D3732C"/>
    <w:rsid w:val="00D440D4"/>
    <w:rsid w:val="00D45A5E"/>
    <w:rsid w:val="00D52895"/>
    <w:rsid w:val="00D66DE8"/>
    <w:rsid w:val="00D7224C"/>
    <w:rsid w:val="00D733A3"/>
    <w:rsid w:val="00D7425D"/>
    <w:rsid w:val="00D74E8A"/>
    <w:rsid w:val="00D82514"/>
    <w:rsid w:val="00D85996"/>
    <w:rsid w:val="00D863AB"/>
    <w:rsid w:val="00D90224"/>
    <w:rsid w:val="00D9026F"/>
    <w:rsid w:val="00D952DA"/>
    <w:rsid w:val="00D95656"/>
    <w:rsid w:val="00D95FA3"/>
    <w:rsid w:val="00DA05D0"/>
    <w:rsid w:val="00DA187D"/>
    <w:rsid w:val="00DA2D18"/>
    <w:rsid w:val="00DA60D0"/>
    <w:rsid w:val="00DA643B"/>
    <w:rsid w:val="00DA7E5C"/>
    <w:rsid w:val="00DB12B2"/>
    <w:rsid w:val="00DB218F"/>
    <w:rsid w:val="00DB46FA"/>
    <w:rsid w:val="00DB4DD0"/>
    <w:rsid w:val="00DD1C4A"/>
    <w:rsid w:val="00DE37CF"/>
    <w:rsid w:val="00DE5455"/>
    <w:rsid w:val="00DF101E"/>
    <w:rsid w:val="00DF7647"/>
    <w:rsid w:val="00E00DC6"/>
    <w:rsid w:val="00E03143"/>
    <w:rsid w:val="00E1448F"/>
    <w:rsid w:val="00E16FAE"/>
    <w:rsid w:val="00E20F5C"/>
    <w:rsid w:val="00E249E4"/>
    <w:rsid w:val="00E260C9"/>
    <w:rsid w:val="00E26FC1"/>
    <w:rsid w:val="00E34537"/>
    <w:rsid w:val="00E352D4"/>
    <w:rsid w:val="00E3758C"/>
    <w:rsid w:val="00E3771E"/>
    <w:rsid w:val="00E44400"/>
    <w:rsid w:val="00E45371"/>
    <w:rsid w:val="00E45620"/>
    <w:rsid w:val="00E53276"/>
    <w:rsid w:val="00E60251"/>
    <w:rsid w:val="00E617B2"/>
    <w:rsid w:val="00E6439E"/>
    <w:rsid w:val="00E64611"/>
    <w:rsid w:val="00E66CB8"/>
    <w:rsid w:val="00E7012A"/>
    <w:rsid w:val="00E703CB"/>
    <w:rsid w:val="00E738AE"/>
    <w:rsid w:val="00E74900"/>
    <w:rsid w:val="00E76E2B"/>
    <w:rsid w:val="00E84C2D"/>
    <w:rsid w:val="00E86198"/>
    <w:rsid w:val="00E873F9"/>
    <w:rsid w:val="00E87B04"/>
    <w:rsid w:val="00E91AD4"/>
    <w:rsid w:val="00E9556B"/>
    <w:rsid w:val="00E95B2E"/>
    <w:rsid w:val="00EA2278"/>
    <w:rsid w:val="00EA23C2"/>
    <w:rsid w:val="00EA43F9"/>
    <w:rsid w:val="00EA6F6D"/>
    <w:rsid w:val="00EB14BB"/>
    <w:rsid w:val="00EC06C9"/>
    <w:rsid w:val="00EC227F"/>
    <w:rsid w:val="00EC27EB"/>
    <w:rsid w:val="00EC43BC"/>
    <w:rsid w:val="00EC4B43"/>
    <w:rsid w:val="00EC53B6"/>
    <w:rsid w:val="00EC572E"/>
    <w:rsid w:val="00ED17C0"/>
    <w:rsid w:val="00ED3455"/>
    <w:rsid w:val="00ED39B9"/>
    <w:rsid w:val="00ED5291"/>
    <w:rsid w:val="00ED64E8"/>
    <w:rsid w:val="00EE06A5"/>
    <w:rsid w:val="00EE0E3A"/>
    <w:rsid w:val="00EE1627"/>
    <w:rsid w:val="00EE39F2"/>
    <w:rsid w:val="00EE3F17"/>
    <w:rsid w:val="00EE6372"/>
    <w:rsid w:val="00EE67A1"/>
    <w:rsid w:val="00EF1E2B"/>
    <w:rsid w:val="00EF4198"/>
    <w:rsid w:val="00EF57A5"/>
    <w:rsid w:val="00EF66EA"/>
    <w:rsid w:val="00EF7CA3"/>
    <w:rsid w:val="00F0018A"/>
    <w:rsid w:val="00F023C0"/>
    <w:rsid w:val="00F218DC"/>
    <w:rsid w:val="00F22B08"/>
    <w:rsid w:val="00F22EBC"/>
    <w:rsid w:val="00F2749C"/>
    <w:rsid w:val="00F336E7"/>
    <w:rsid w:val="00F40297"/>
    <w:rsid w:val="00F43436"/>
    <w:rsid w:val="00F44633"/>
    <w:rsid w:val="00F47DCA"/>
    <w:rsid w:val="00F50643"/>
    <w:rsid w:val="00F5157E"/>
    <w:rsid w:val="00F526DD"/>
    <w:rsid w:val="00F53CEC"/>
    <w:rsid w:val="00F56CA5"/>
    <w:rsid w:val="00F62B66"/>
    <w:rsid w:val="00F63318"/>
    <w:rsid w:val="00F67BF1"/>
    <w:rsid w:val="00F67EF1"/>
    <w:rsid w:val="00F67F37"/>
    <w:rsid w:val="00F820A4"/>
    <w:rsid w:val="00F870BB"/>
    <w:rsid w:val="00F8748B"/>
    <w:rsid w:val="00F91741"/>
    <w:rsid w:val="00F93ACC"/>
    <w:rsid w:val="00F93BAB"/>
    <w:rsid w:val="00F951AB"/>
    <w:rsid w:val="00FA0B96"/>
    <w:rsid w:val="00FA3F8D"/>
    <w:rsid w:val="00FA734B"/>
    <w:rsid w:val="00FB03B9"/>
    <w:rsid w:val="00FB17E2"/>
    <w:rsid w:val="00FB1B78"/>
    <w:rsid w:val="00FB3BB2"/>
    <w:rsid w:val="00FB6D92"/>
    <w:rsid w:val="00FC0E78"/>
    <w:rsid w:val="00FC3D84"/>
    <w:rsid w:val="00FD2953"/>
    <w:rsid w:val="00FD4FBB"/>
    <w:rsid w:val="00FE3C20"/>
    <w:rsid w:val="00FE41CE"/>
    <w:rsid w:val="00FE54C0"/>
    <w:rsid w:val="00FE75B5"/>
    <w:rsid w:val="00FE7A41"/>
    <w:rsid w:val="00FF0641"/>
    <w:rsid w:val="00FF0EF2"/>
    <w:rsid w:val="00FF2D91"/>
    <w:rsid w:val="00FF5B90"/>
    <w:rsid w:val="00FF67D8"/>
    <w:rsid w:val="00FF71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10341E"/>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6A761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semiHidden/>
    <w:rsid w:val="00977BE2"/>
    <w:rPr>
      <w:rFonts w:ascii="Calibri Light" w:eastAsia="Times New Roman" w:hAnsi="Calibri Light" w:cs="Times New Roman"/>
      <w:b/>
      <w:bCs/>
      <w:sz w:val="26"/>
      <w:szCs w:val="26"/>
    </w:rPr>
  </w:style>
  <w:style w:type="paragraph" w:customStyle="1" w:styleId="Harp">
    <w:name w:val="Harp"/>
    <w:pPr>
      <w:jc w:val="center"/>
    </w:pPr>
    <w:rPr>
      <w:rFonts w:ascii="Verdana" w:hAnsi="Verdana"/>
      <w:sz w:val="18"/>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977BE2"/>
    <w:rPr>
      <w:sz w:val="24"/>
      <w:szCs w:val="24"/>
    </w:rPr>
  </w:style>
  <w:style w:type="character" w:styleId="PageNumber">
    <w:name w:val="page number"/>
    <w:uiPriority w:val="99"/>
    <w:rPr>
      <w:rFonts w:cs="Times New Roman"/>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977BE2"/>
    <w:rPr>
      <w:sz w:val="24"/>
      <w:szCs w:val="24"/>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link w:val="BalloonText"/>
    <w:uiPriority w:val="99"/>
    <w:semiHidden/>
    <w:rsid w:val="00977BE2"/>
    <w:rPr>
      <w:rFonts w:ascii="Segoe UI" w:hAnsi="Segoe UI" w:cs="Segoe UI"/>
      <w:sz w:val="18"/>
      <w:szCs w:val="18"/>
    </w:rPr>
  </w:style>
  <w:style w:type="character" w:styleId="CommentReference">
    <w:name w:val="annotation reference"/>
    <w:uiPriority w:val="99"/>
    <w:semiHidden/>
    <w:rPr>
      <w:sz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link w:val="CommentText"/>
    <w:uiPriority w:val="99"/>
    <w:semiHidden/>
    <w:rsid w:val="00977BE2"/>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link w:val="CommentSubject"/>
    <w:uiPriority w:val="99"/>
    <w:semiHidden/>
    <w:rsid w:val="00977BE2"/>
    <w:rPr>
      <w:b/>
      <w:bCs/>
    </w:rPr>
  </w:style>
  <w:style w:type="paragraph" w:styleId="ListParagraph">
    <w:name w:val="List Paragraph"/>
    <w:basedOn w:val="Normal"/>
    <w:uiPriority w:val="34"/>
    <w:qFormat/>
    <w:rsid w:val="00DB4DD0"/>
    <w:pPr>
      <w:spacing w:line="360" w:lineRule="auto"/>
      <w:ind w:left="720"/>
      <w:contextualSpacing/>
      <w:jc w:val="both"/>
    </w:pPr>
    <w:rPr>
      <w:rFonts w:asciiTheme="minorHAnsi" w:eastAsiaTheme="minorHAnsi" w:hAnsiTheme="minorHAnsi" w:cstheme="minorBidi"/>
      <w:sz w:val="22"/>
      <w:szCs w:val="22"/>
      <w:lang w:eastAsia="en-US"/>
    </w:rPr>
  </w:style>
  <w:style w:type="character" w:styleId="Hyperlink">
    <w:name w:val="Hyperlink"/>
    <w:basedOn w:val="DefaultParagraphFont"/>
    <w:rsid w:val="00194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82545">
      <w:bodyDiv w:val="1"/>
      <w:marLeft w:val="0"/>
      <w:marRight w:val="0"/>
      <w:marTop w:val="0"/>
      <w:marBottom w:val="0"/>
      <w:divBdr>
        <w:top w:val="none" w:sz="0" w:space="0" w:color="auto"/>
        <w:left w:val="none" w:sz="0" w:space="0" w:color="auto"/>
        <w:bottom w:val="none" w:sz="0" w:space="0" w:color="auto"/>
        <w:right w:val="none" w:sz="0" w:space="0" w:color="auto"/>
      </w:divBdr>
      <w:divsChild>
        <w:div w:id="347678084">
          <w:marLeft w:val="0"/>
          <w:marRight w:val="0"/>
          <w:marTop w:val="0"/>
          <w:marBottom w:val="0"/>
          <w:divBdr>
            <w:top w:val="none" w:sz="0" w:space="0" w:color="auto"/>
            <w:left w:val="none" w:sz="0" w:space="0" w:color="auto"/>
            <w:bottom w:val="none" w:sz="0" w:space="0" w:color="auto"/>
            <w:right w:val="none" w:sz="0" w:space="0" w:color="auto"/>
          </w:divBdr>
        </w:div>
        <w:div w:id="1495954428">
          <w:marLeft w:val="0"/>
          <w:marRight w:val="0"/>
          <w:marTop w:val="0"/>
          <w:marBottom w:val="0"/>
          <w:divBdr>
            <w:top w:val="none" w:sz="0" w:space="0" w:color="auto"/>
            <w:left w:val="none" w:sz="0" w:space="0" w:color="auto"/>
            <w:bottom w:val="none" w:sz="0" w:space="0" w:color="auto"/>
            <w:right w:val="none" w:sz="0" w:space="0" w:color="auto"/>
          </w:divBdr>
        </w:div>
      </w:divsChild>
    </w:div>
    <w:div w:id="1409842109">
      <w:marLeft w:val="0"/>
      <w:marRight w:val="0"/>
      <w:marTop w:val="0"/>
      <w:marBottom w:val="0"/>
      <w:divBdr>
        <w:top w:val="none" w:sz="0" w:space="0" w:color="auto"/>
        <w:left w:val="none" w:sz="0" w:space="0" w:color="auto"/>
        <w:bottom w:val="none" w:sz="0" w:space="0" w:color="auto"/>
        <w:right w:val="none" w:sz="0" w:space="0" w:color="auto"/>
      </w:divBdr>
    </w:div>
    <w:div w:id="1409842110">
      <w:marLeft w:val="0"/>
      <w:marRight w:val="0"/>
      <w:marTop w:val="0"/>
      <w:marBottom w:val="0"/>
      <w:divBdr>
        <w:top w:val="none" w:sz="0" w:space="0" w:color="auto"/>
        <w:left w:val="none" w:sz="0" w:space="0" w:color="auto"/>
        <w:bottom w:val="none" w:sz="0" w:space="0" w:color="auto"/>
        <w:right w:val="none" w:sz="0" w:space="0" w:color="auto"/>
      </w:divBdr>
    </w:div>
    <w:div w:id="1515654573">
      <w:bodyDiv w:val="1"/>
      <w:marLeft w:val="0"/>
      <w:marRight w:val="0"/>
      <w:marTop w:val="0"/>
      <w:marBottom w:val="0"/>
      <w:divBdr>
        <w:top w:val="none" w:sz="0" w:space="0" w:color="auto"/>
        <w:left w:val="none" w:sz="0" w:space="0" w:color="auto"/>
        <w:bottom w:val="none" w:sz="0" w:space="0" w:color="auto"/>
        <w:right w:val="none" w:sz="0" w:space="0" w:color="auto"/>
      </w:divBdr>
      <w:divsChild>
        <w:div w:id="310672978">
          <w:marLeft w:val="0"/>
          <w:marRight w:val="0"/>
          <w:marTop w:val="0"/>
          <w:marBottom w:val="0"/>
          <w:divBdr>
            <w:top w:val="none" w:sz="0" w:space="0" w:color="auto"/>
            <w:left w:val="none" w:sz="0" w:space="0" w:color="auto"/>
            <w:bottom w:val="none" w:sz="0" w:space="0" w:color="auto"/>
            <w:right w:val="none" w:sz="0" w:space="0" w:color="auto"/>
          </w:divBdr>
        </w:div>
        <w:div w:id="913514524">
          <w:marLeft w:val="0"/>
          <w:marRight w:val="0"/>
          <w:marTop w:val="0"/>
          <w:marBottom w:val="0"/>
          <w:divBdr>
            <w:top w:val="none" w:sz="0" w:space="0" w:color="auto"/>
            <w:left w:val="none" w:sz="0" w:space="0" w:color="auto"/>
            <w:bottom w:val="none" w:sz="0" w:space="0" w:color="auto"/>
            <w:right w:val="none" w:sz="0" w:space="0" w:color="auto"/>
          </w:divBdr>
        </w:div>
      </w:divsChild>
    </w:div>
    <w:div w:id="18247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document/c4czm1mtoywca/overview/c4CZm1mtoYW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D27C5-463D-4117-A0D3-3A551ABA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15930</Words>
  <Characters>77396</Characters>
  <Application>Microsoft Office Word</Application>
  <DocSecurity>0</DocSecurity>
  <Lines>644</Lines>
  <Paragraphs>186</Paragraphs>
  <ScaleCrop>false</ScaleCrop>
  <Company/>
  <LinksUpToDate>false</LinksUpToDate>
  <CharactersWithSpaces>93140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2022-03-30T12:35:00Z</dcterms:created>
  <dcterms:modified xsi:type="dcterms:W3CDTF">2022-03-30T12:35:00Z</dcterms:modified>
</cp:coreProperties>
</file>