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0A4C3" w14:textId="1A19B6BF" w:rsidR="006E7957" w:rsidRDefault="006E7957" w:rsidP="005D68D2">
      <w:pPr>
        <w:jc w:val="center"/>
        <w:rPr>
          <w:rFonts w:ascii="Times New Roman" w:eastAsia="Calibri" w:hAnsi="Times New Roman" w:cs="Times New Roman"/>
          <w:b/>
          <w:sz w:val="32"/>
          <w:szCs w:val="32"/>
        </w:rPr>
      </w:pPr>
      <w:bookmarkStart w:id="0" w:name="_GoBack"/>
      <w:bookmarkEnd w:id="0"/>
      <w:r w:rsidRPr="00AA2D19">
        <w:rPr>
          <w:rFonts w:ascii="Times New Roman" w:eastAsia="Calibri" w:hAnsi="Times New Roman" w:cs="Times New Roman"/>
          <w:b/>
          <w:sz w:val="32"/>
          <w:szCs w:val="32"/>
        </w:rPr>
        <w:t>THE COURT OF APPEAL</w:t>
      </w:r>
    </w:p>
    <w:p w14:paraId="678475BB" w14:textId="76FB9045" w:rsidR="00FC51CE" w:rsidRPr="00AA2D19" w:rsidRDefault="00FC51CE" w:rsidP="005D68D2">
      <w:pPr>
        <w:jc w:val="center"/>
        <w:rPr>
          <w:rFonts w:ascii="Times New Roman" w:eastAsia="Calibri" w:hAnsi="Times New Roman" w:cs="Times New Roman"/>
          <w:b/>
          <w:sz w:val="32"/>
          <w:szCs w:val="32"/>
        </w:rPr>
      </w:pPr>
      <w:r w:rsidRPr="00FC51CE">
        <w:rPr>
          <w:rFonts w:ascii="Times New Roman" w:eastAsia="Calibri" w:hAnsi="Times New Roman" w:cs="Times New Roman"/>
          <w:b/>
          <w:sz w:val="32"/>
          <w:szCs w:val="32"/>
        </w:rPr>
        <w:t>CIVIL</w:t>
      </w:r>
    </w:p>
    <w:p w14:paraId="38442B4F" w14:textId="32A238ED" w:rsidR="00935FAB" w:rsidRDefault="00C24C25" w:rsidP="00935FAB">
      <w:pPr>
        <w:tabs>
          <w:tab w:val="right" w:pos="8787"/>
        </w:tabs>
        <w:spacing w:line="360" w:lineRule="auto"/>
        <w:rPr>
          <w:rFonts w:ascii="Times New Roman" w:eastAsia="Calibri" w:hAnsi="Times New Roman" w:cs="Times New Roman"/>
          <w:b/>
          <w:sz w:val="28"/>
          <w:szCs w:val="28"/>
        </w:rPr>
      </w:pPr>
      <w:r w:rsidRPr="00935FAB">
        <w:rPr>
          <w:rFonts w:ascii="Times New Roman" w:eastAsia="Calibri" w:hAnsi="Times New Roman" w:cs="Times New Roman"/>
          <w:b/>
          <w:sz w:val="28"/>
          <w:szCs w:val="28"/>
        </w:rPr>
        <w:t>Unapproved</w:t>
      </w:r>
    </w:p>
    <w:p w14:paraId="58A3BC04" w14:textId="0C8A7F59" w:rsidR="00C24C25" w:rsidRPr="00AA2D19" w:rsidRDefault="00935FAB" w:rsidP="00935FAB">
      <w:pPr>
        <w:tabs>
          <w:tab w:val="right" w:pos="8787"/>
        </w:tabs>
        <w:spacing w:line="360" w:lineRule="auto"/>
        <w:rPr>
          <w:rFonts w:ascii="Times New Roman" w:eastAsia="Calibri" w:hAnsi="Times New Roman" w:cs="Times New Roman"/>
          <w:b/>
          <w:u w:val="single"/>
        </w:rPr>
      </w:pPr>
      <w:r w:rsidRPr="00935FAB">
        <w:rPr>
          <w:rFonts w:ascii="Times New Roman" w:eastAsia="Calibri" w:hAnsi="Times New Roman" w:cs="Times New Roman"/>
          <w:b/>
          <w:sz w:val="28"/>
          <w:szCs w:val="28"/>
        </w:rPr>
        <w:t>No Redactions Needed</w:t>
      </w:r>
      <w:r w:rsidR="00C24C25" w:rsidRPr="00AA2D19">
        <w:rPr>
          <w:rFonts w:ascii="Times New Roman" w:eastAsia="Calibri" w:hAnsi="Times New Roman" w:cs="Times New Roman"/>
          <w:b/>
        </w:rPr>
        <w:tab/>
      </w:r>
    </w:p>
    <w:p w14:paraId="5374A8FF" w14:textId="77777777" w:rsidR="006E7957" w:rsidRDefault="006E7957" w:rsidP="006E7957">
      <w:pPr>
        <w:jc w:val="right"/>
        <w:rPr>
          <w:rFonts w:eastAsia="Calibri"/>
          <w:b/>
          <w:sz w:val="24"/>
        </w:rPr>
      </w:pPr>
    </w:p>
    <w:p w14:paraId="3D842630" w14:textId="65F68AE8" w:rsidR="006E7957" w:rsidRPr="00220ED4" w:rsidRDefault="006E7957" w:rsidP="006E7957">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Court of Appeal Record No. 2018</w:t>
      </w:r>
      <w:r w:rsidR="00A46BC7">
        <w:rPr>
          <w:rFonts w:ascii="Times New Roman" w:eastAsia="Calibri" w:hAnsi="Times New Roman" w:cs="Times New Roman"/>
          <w:b/>
          <w:sz w:val="24"/>
          <w:szCs w:val="24"/>
        </w:rPr>
        <w:t>/</w:t>
      </w:r>
      <w:r w:rsidRPr="00220ED4">
        <w:rPr>
          <w:rFonts w:ascii="Times New Roman" w:eastAsia="Calibri" w:hAnsi="Times New Roman" w:cs="Times New Roman"/>
          <w:b/>
          <w:sz w:val="24"/>
          <w:szCs w:val="24"/>
        </w:rPr>
        <w:t>338</w:t>
      </w:r>
    </w:p>
    <w:p w14:paraId="21F988A8" w14:textId="73FC243D" w:rsidR="006E7957" w:rsidRDefault="006E7957" w:rsidP="006E7957">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High Court Record No. 2015/1159S</w:t>
      </w:r>
    </w:p>
    <w:p w14:paraId="2B07349E" w14:textId="14E551BF" w:rsidR="00935FAB" w:rsidRPr="00220ED4" w:rsidRDefault="00935FAB" w:rsidP="006E7957">
      <w:pPr>
        <w:jc w:val="right"/>
        <w:rPr>
          <w:rFonts w:ascii="Times New Roman" w:eastAsia="Calibri" w:hAnsi="Times New Roman" w:cs="Times New Roman"/>
          <w:b/>
          <w:sz w:val="24"/>
          <w:szCs w:val="24"/>
        </w:rPr>
      </w:pPr>
      <w:r>
        <w:rPr>
          <w:rFonts w:ascii="Times New Roman" w:eastAsia="Calibri" w:hAnsi="Times New Roman" w:cs="Times New Roman"/>
          <w:b/>
          <w:sz w:val="24"/>
          <w:szCs w:val="24"/>
        </w:rPr>
        <w:t>Neutral Citation No. [2022] IECA</w:t>
      </w:r>
      <w:r w:rsidR="004336D9">
        <w:rPr>
          <w:rFonts w:ascii="Times New Roman" w:eastAsia="Calibri" w:hAnsi="Times New Roman" w:cs="Times New Roman"/>
          <w:b/>
          <w:sz w:val="24"/>
          <w:szCs w:val="24"/>
        </w:rPr>
        <w:t xml:space="preserve"> </w:t>
      </w:r>
      <w:r w:rsidR="006D5DAA">
        <w:rPr>
          <w:rFonts w:ascii="Times New Roman" w:eastAsia="Calibri" w:hAnsi="Times New Roman" w:cs="Times New Roman"/>
          <w:b/>
          <w:sz w:val="24"/>
          <w:szCs w:val="24"/>
        </w:rPr>
        <w:t>78</w:t>
      </w:r>
      <w:r w:rsidR="004336D9">
        <w:rPr>
          <w:rFonts w:ascii="Times New Roman" w:eastAsia="Calibri" w:hAnsi="Times New Roman" w:cs="Times New Roman"/>
          <w:b/>
          <w:sz w:val="24"/>
          <w:szCs w:val="24"/>
        </w:rPr>
        <w:t xml:space="preserve">     </w:t>
      </w:r>
    </w:p>
    <w:p w14:paraId="7CFC5B16" w14:textId="77777777" w:rsidR="006E7957" w:rsidRPr="00220ED4" w:rsidRDefault="006E7957" w:rsidP="006E7957">
      <w:pPr>
        <w:jc w:val="right"/>
        <w:rPr>
          <w:rFonts w:ascii="Times New Roman" w:eastAsia="Calibri" w:hAnsi="Times New Roman" w:cs="Times New Roman"/>
          <w:b/>
          <w:sz w:val="24"/>
          <w:szCs w:val="24"/>
        </w:rPr>
      </w:pPr>
    </w:p>
    <w:p w14:paraId="783F54D3" w14:textId="77777777" w:rsidR="006E7957" w:rsidRPr="00220ED4" w:rsidRDefault="006E7957" w:rsidP="006E7957">
      <w:pPr>
        <w:jc w:val="both"/>
        <w:rPr>
          <w:rFonts w:ascii="Times New Roman" w:eastAsia="Calibri" w:hAnsi="Times New Roman" w:cs="Times New Roman"/>
          <w:b/>
          <w:sz w:val="24"/>
          <w:szCs w:val="24"/>
        </w:rPr>
      </w:pPr>
      <w:r w:rsidRPr="00220ED4">
        <w:rPr>
          <w:rFonts w:ascii="Times New Roman" w:eastAsia="Calibri" w:hAnsi="Times New Roman" w:cs="Times New Roman"/>
          <w:b/>
          <w:sz w:val="24"/>
          <w:szCs w:val="24"/>
        </w:rPr>
        <w:t>Faherty J.</w:t>
      </w:r>
    </w:p>
    <w:p w14:paraId="30A609FB" w14:textId="77777777" w:rsidR="006E7957" w:rsidRPr="00220ED4" w:rsidRDefault="006E7957" w:rsidP="006E7957">
      <w:pPr>
        <w:jc w:val="both"/>
        <w:rPr>
          <w:rFonts w:ascii="Times New Roman" w:eastAsia="Calibri" w:hAnsi="Times New Roman" w:cs="Times New Roman"/>
          <w:b/>
          <w:sz w:val="24"/>
          <w:szCs w:val="24"/>
        </w:rPr>
      </w:pPr>
      <w:r w:rsidRPr="00220ED4">
        <w:rPr>
          <w:rFonts w:ascii="Times New Roman" w:eastAsia="Calibri" w:hAnsi="Times New Roman" w:cs="Times New Roman"/>
          <w:b/>
          <w:sz w:val="24"/>
          <w:szCs w:val="24"/>
        </w:rPr>
        <w:t>Collins J.</w:t>
      </w:r>
    </w:p>
    <w:p w14:paraId="6CD9A83D" w14:textId="77777777" w:rsidR="006E7957" w:rsidRPr="00220ED4" w:rsidRDefault="006E7957" w:rsidP="006E7957">
      <w:pPr>
        <w:jc w:val="both"/>
        <w:rPr>
          <w:rFonts w:ascii="Times New Roman" w:eastAsia="Calibri" w:hAnsi="Times New Roman" w:cs="Times New Roman"/>
          <w:b/>
          <w:sz w:val="24"/>
          <w:szCs w:val="24"/>
        </w:rPr>
      </w:pPr>
      <w:r w:rsidRPr="00220ED4">
        <w:rPr>
          <w:rFonts w:ascii="Times New Roman" w:eastAsia="Calibri" w:hAnsi="Times New Roman" w:cs="Times New Roman"/>
          <w:b/>
          <w:sz w:val="24"/>
          <w:szCs w:val="24"/>
        </w:rPr>
        <w:t>Pilkington J.</w:t>
      </w:r>
    </w:p>
    <w:p w14:paraId="751825FE" w14:textId="77777777" w:rsidR="006E7957" w:rsidRPr="00220ED4" w:rsidRDefault="006E7957" w:rsidP="006E7957">
      <w:pPr>
        <w:jc w:val="both"/>
        <w:rPr>
          <w:rFonts w:ascii="Times New Roman" w:eastAsia="Calibri" w:hAnsi="Times New Roman" w:cs="Times New Roman"/>
          <w:b/>
          <w:sz w:val="24"/>
          <w:szCs w:val="24"/>
        </w:rPr>
      </w:pPr>
    </w:p>
    <w:p w14:paraId="3A76689A" w14:textId="77777777" w:rsidR="006E7957" w:rsidRPr="00220ED4" w:rsidRDefault="006E7957" w:rsidP="006E7957">
      <w:pPr>
        <w:jc w:val="both"/>
        <w:rPr>
          <w:rFonts w:ascii="Times New Roman" w:eastAsia="Calibri" w:hAnsi="Times New Roman" w:cs="Times New Roman"/>
          <w:b/>
          <w:sz w:val="24"/>
          <w:szCs w:val="24"/>
        </w:rPr>
      </w:pPr>
    </w:p>
    <w:p w14:paraId="6B97A200" w14:textId="77777777" w:rsidR="006E7957" w:rsidRPr="00220ED4" w:rsidRDefault="006E7957" w:rsidP="006E7957">
      <w:pPr>
        <w:rPr>
          <w:rFonts w:ascii="Times New Roman" w:eastAsia="Calibri" w:hAnsi="Times New Roman" w:cs="Times New Roman"/>
          <w:b/>
          <w:sz w:val="24"/>
          <w:szCs w:val="24"/>
        </w:rPr>
      </w:pPr>
      <w:r w:rsidRPr="00220ED4">
        <w:rPr>
          <w:rFonts w:ascii="Times New Roman" w:eastAsia="Calibri" w:hAnsi="Times New Roman" w:cs="Times New Roman"/>
          <w:b/>
          <w:sz w:val="24"/>
          <w:szCs w:val="24"/>
        </w:rPr>
        <w:t>BETWEEN/</w:t>
      </w:r>
    </w:p>
    <w:p w14:paraId="332ED3D6" w14:textId="77777777" w:rsidR="006E7957" w:rsidRPr="00220ED4" w:rsidRDefault="006E7957" w:rsidP="006E7957">
      <w:pPr>
        <w:jc w:val="center"/>
        <w:rPr>
          <w:rFonts w:ascii="Times New Roman" w:eastAsia="Calibri" w:hAnsi="Times New Roman" w:cs="Times New Roman"/>
          <w:b/>
          <w:sz w:val="24"/>
          <w:szCs w:val="24"/>
        </w:rPr>
      </w:pPr>
    </w:p>
    <w:p w14:paraId="268179B5" w14:textId="77777777" w:rsidR="006E7957" w:rsidRPr="00220ED4" w:rsidRDefault="006E7957" w:rsidP="006E7957">
      <w:pPr>
        <w:jc w:val="center"/>
        <w:rPr>
          <w:rFonts w:ascii="Times New Roman" w:eastAsia="Calibri" w:hAnsi="Times New Roman" w:cs="Times New Roman"/>
          <w:b/>
          <w:sz w:val="24"/>
          <w:szCs w:val="24"/>
        </w:rPr>
      </w:pPr>
    </w:p>
    <w:p w14:paraId="5026DABC" w14:textId="77777777" w:rsidR="006E7957" w:rsidRPr="00220ED4" w:rsidRDefault="006E7957" w:rsidP="006E7957">
      <w:pPr>
        <w:jc w:val="center"/>
        <w:rPr>
          <w:rFonts w:ascii="Times New Roman" w:eastAsia="Calibri" w:hAnsi="Times New Roman" w:cs="Times New Roman"/>
          <w:b/>
          <w:sz w:val="24"/>
          <w:szCs w:val="24"/>
        </w:rPr>
      </w:pPr>
      <w:r w:rsidRPr="00220ED4">
        <w:rPr>
          <w:rFonts w:ascii="Times New Roman" w:eastAsia="Calibri" w:hAnsi="Times New Roman" w:cs="Times New Roman"/>
          <w:b/>
          <w:sz w:val="24"/>
          <w:szCs w:val="24"/>
        </w:rPr>
        <w:t xml:space="preserve">ALLIED IRISH BANKS PLC AND EVERYDAY FINANCE DAC </w:t>
      </w:r>
    </w:p>
    <w:p w14:paraId="7DA25129" w14:textId="77777777" w:rsidR="006E7957" w:rsidRPr="00220ED4" w:rsidRDefault="006E7957" w:rsidP="006E7957">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PLAINTIFFS/</w:t>
      </w:r>
    </w:p>
    <w:p w14:paraId="57107D31" w14:textId="77777777" w:rsidR="006E7957" w:rsidRPr="00220ED4" w:rsidRDefault="006E7957" w:rsidP="006E7957">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RESPONDENTS</w:t>
      </w:r>
    </w:p>
    <w:p w14:paraId="2E9F9ED6" w14:textId="77777777" w:rsidR="006E7957" w:rsidRPr="00220ED4" w:rsidRDefault="006E7957" w:rsidP="006E7957">
      <w:pPr>
        <w:jc w:val="right"/>
        <w:rPr>
          <w:rFonts w:ascii="Times New Roman" w:eastAsia="Calibri" w:hAnsi="Times New Roman" w:cs="Times New Roman"/>
          <w:b/>
          <w:sz w:val="24"/>
          <w:szCs w:val="24"/>
        </w:rPr>
      </w:pPr>
    </w:p>
    <w:p w14:paraId="3C9D5002" w14:textId="77777777" w:rsidR="006E7957" w:rsidRPr="00220ED4" w:rsidRDefault="006E7957" w:rsidP="006E7957">
      <w:pPr>
        <w:jc w:val="right"/>
        <w:rPr>
          <w:rFonts w:ascii="Times New Roman" w:eastAsia="Calibri" w:hAnsi="Times New Roman" w:cs="Times New Roman"/>
          <w:b/>
          <w:sz w:val="24"/>
          <w:szCs w:val="24"/>
        </w:rPr>
      </w:pPr>
    </w:p>
    <w:p w14:paraId="7A133583" w14:textId="77777777" w:rsidR="006E7957" w:rsidRPr="00220ED4" w:rsidRDefault="006E7957" w:rsidP="006E7957">
      <w:pPr>
        <w:jc w:val="center"/>
        <w:rPr>
          <w:rFonts w:ascii="Times New Roman" w:eastAsia="Calibri" w:hAnsi="Times New Roman" w:cs="Times New Roman"/>
          <w:b/>
          <w:sz w:val="24"/>
          <w:szCs w:val="24"/>
        </w:rPr>
      </w:pPr>
      <w:r w:rsidRPr="00220ED4">
        <w:rPr>
          <w:rFonts w:ascii="Times New Roman" w:eastAsia="Calibri" w:hAnsi="Times New Roman" w:cs="Times New Roman"/>
          <w:b/>
          <w:sz w:val="24"/>
          <w:szCs w:val="24"/>
        </w:rPr>
        <w:t>– AND –</w:t>
      </w:r>
    </w:p>
    <w:p w14:paraId="4DF8EC28" w14:textId="77777777" w:rsidR="006E7957" w:rsidRPr="00220ED4" w:rsidRDefault="006E7957" w:rsidP="006E7957">
      <w:pPr>
        <w:jc w:val="center"/>
        <w:rPr>
          <w:rFonts w:ascii="Times New Roman" w:eastAsia="Calibri" w:hAnsi="Times New Roman" w:cs="Times New Roman"/>
          <w:b/>
          <w:sz w:val="24"/>
          <w:szCs w:val="24"/>
        </w:rPr>
      </w:pPr>
    </w:p>
    <w:p w14:paraId="6188A740" w14:textId="77777777" w:rsidR="006E7957" w:rsidRPr="00220ED4" w:rsidRDefault="006E7957" w:rsidP="006E7957">
      <w:pPr>
        <w:jc w:val="center"/>
        <w:rPr>
          <w:rFonts w:ascii="Times New Roman" w:eastAsia="Calibri" w:hAnsi="Times New Roman" w:cs="Times New Roman"/>
          <w:b/>
          <w:sz w:val="24"/>
          <w:szCs w:val="24"/>
        </w:rPr>
      </w:pPr>
    </w:p>
    <w:p w14:paraId="52853198" w14:textId="77777777" w:rsidR="006E7957" w:rsidRPr="00220ED4" w:rsidRDefault="006E7957" w:rsidP="006E7957">
      <w:pPr>
        <w:jc w:val="center"/>
        <w:rPr>
          <w:rFonts w:ascii="Times New Roman" w:eastAsia="Calibri" w:hAnsi="Times New Roman" w:cs="Times New Roman"/>
          <w:b/>
          <w:sz w:val="24"/>
          <w:szCs w:val="24"/>
        </w:rPr>
      </w:pPr>
      <w:r w:rsidRPr="00220ED4">
        <w:rPr>
          <w:rFonts w:ascii="Times New Roman" w:eastAsia="Calibri" w:hAnsi="Times New Roman" w:cs="Times New Roman"/>
          <w:b/>
          <w:sz w:val="24"/>
          <w:szCs w:val="24"/>
        </w:rPr>
        <w:t>THOMAS DORAN AND THOMAS SCANLON</w:t>
      </w:r>
    </w:p>
    <w:p w14:paraId="5ACC6AE9" w14:textId="77777777" w:rsidR="006E7957" w:rsidRPr="00220ED4" w:rsidRDefault="006E7957" w:rsidP="006E7957">
      <w:pPr>
        <w:jc w:val="right"/>
        <w:rPr>
          <w:rFonts w:ascii="Times New Roman" w:eastAsia="Calibri" w:hAnsi="Times New Roman" w:cs="Times New Roman"/>
          <w:b/>
          <w:sz w:val="24"/>
          <w:szCs w:val="24"/>
        </w:rPr>
      </w:pPr>
    </w:p>
    <w:p w14:paraId="6F2E4C8D" w14:textId="77777777" w:rsidR="006E7957" w:rsidRPr="00220ED4" w:rsidRDefault="006E7957" w:rsidP="006E7957">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FIRST DEFENDANT/APPELLANT</w:t>
      </w:r>
    </w:p>
    <w:p w14:paraId="1C81BC52" w14:textId="2BDA937D" w:rsidR="006E7957" w:rsidRPr="00220ED4" w:rsidRDefault="006E7957" w:rsidP="00FC51CE">
      <w:pPr>
        <w:jc w:val="right"/>
        <w:rPr>
          <w:rFonts w:ascii="Times New Roman" w:eastAsia="Calibri" w:hAnsi="Times New Roman" w:cs="Times New Roman"/>
          <w:b/>
          <w:sz w:val="24"/>
          <w:szCs w:val="24"/>
        </w:rPr>
      </w:pPr>
      <w:r w:rsidRPr="00220ED4">
        <w:rPr>
          <w:rFonts w:ascii="Times New Roman" w:eastAsia="Calibri" w:hAnsi="Times New Roman" w:cs="Times New Roman"/>
          <w:b/>
          <w:sz w:val="24"/>
          <w:szCs w:val="24"/>
        </w:rPr>
        <w:t>AND SECOND DEFENDANT</w:t>
      </w:r>
    </w:p>
    <w:p w14:paraId="38224CB6" w14:textId="767A67F1" w:rsidR="006E7957" w:rsidRPr="00220ED4" w:rsidRDefault="006E7957" w:rsidP="001E19CC">
      <w:pPr>
        <w:widowControl w:val="0"/>
        <w:jc w:val="center"/>
        <w:rPr>
          <w:rFonts w:ascii="Times New Roman" w:eastAsia="Times New Roman" w:hAnsi="Times New Roman" w:cs="Times New Roman"/>
          <w:b/>
          <w:sz w:val="24"/>
          <w:szCs w:val="24"/>
          <w:u w:val="single"/>
          <w:lang w:eastAsia="en-IE"/>
        </w:rPr>
      </w:pPr>
      <w:r w:rsidRPr="00220ED4">
        <w:rPr>
          <w:rFonts w:ascii="Times New Roman" w:eastAsia="Calibri" w:hAnsi="Times New Roman" w:cs="Times New Roman"/>
          <w:b/>
          <w:sz w:val="24"/>
          <w:szCs w:val="24"/>
          <w:u w:val="single"/>
        </w:rPr>
        <w:lastRenderedPageBreak/>
        <w:t xml:space="preserve">JUDGMENT of Ms. Justice Pilkington on the </w:t>
      </w:r>
      <w:r w:rsidR="00415E73">
        <w:rPr>
          <w:rFonts w:ascii="Times New Roman" w:eastAsia="Calibri" w:hAnsi="Times New Roman" w:cs="Times New Roman"/>
          <w:b/>
          <w:sz w:val="24"/>
          <w:szCs w:val="24"/>
          <w:u w:val="single"/>
        </w:rPr>
        <w:t>31</w:t>
      </w:r>
      <w:r w:rsidR="00415E73" w:rsidRPr="00415E73">
        <w:rPr>
          <w:rFonts w:ascii="Times New Roman" w:eastAsia="Calibri" w:hAnsi="Times New Roman" w:cs="Times New Roman"/>
          <w:b/>
          <w:sz w:val="24"/>
          <w:szCs w:val="24"/>
          <w:u w:val="single"/>
          <w:vertAlign w:val="superscript"/>
        </w:rPr>
        <w:t>st</w:t>
      </w:r>
      <w:r w:rsidRPr="00220ED4">
        <w:rPr>
          <w:rFonts w:ascii="Times New Roman" w:eastAsia="Calibri" w:hAnsi="Times New Roman" w:cs="Times New Roman"/>
          <w:b/>
          <w:sz w:val="24"/>
          <w:szCs w:val="24"/>
          <w:u w:val="single"/>
        </w:rPr>
        <w:t xml:space="preserve"> day of </w:t>
      </w:r>
      <w:r w:rsidR="00935FAB">
        <w:rPr>
          <w:rFonts w:ascii="Times New Roman" w:eastAsia="Calibri" w:hAnsi="Times New Roman" w:cs="Times New Roman"/>
          <w:b/>
          <w:sz w:val="24"/>
          <w:szCs w:val="24"/>
          <w:u w:val="single"/>
        </w:rPr>
        <w:t>March</w:t>
      </w:r>
      <w:r w:rsidRPr="00220ED4">
        <w:rPr>
          <w:rFonts w:ascii="Times New Roman" w:eastAsia="Calibri" w:hAnsi="Times New Roman" w:cs="Times New Roman"/>
          <w:b/>
          <w:sz w:val="24"/>
          <w:szCs w:val="24"/>
          <w:u w:val="single"/>
        </w:rPr>
        <w:t xml:space="preserve"> 202</w:t>
      </w:r>
      <w:r w:rsidR="001E19CC" w:rsidRPr="00220ED4">
        <w:rPr>
          <w:rFonts w:ascii="Times New Roman" w:eastAsia="Calibri" w:hAnsi="Times New Roman" w:cs="Times New Roman"/>
          <w:b/>
          <w:sz w:val="24"/>
          <w:szCs w:val="24"/>
          <w:u w:val="single"/>
        </w:rPr>
        <w:t>2</w:t>
      </w:r>
    </w:p>
    <w:p w14:paraId="16E5C16E" w14:textId="77777777" w:rsidR="006E7957" w:rsidRPr="00220ED4" w:rsidRDefault="006E7957" w:rsidP="006E7957">
      <w:pPr>
        <w:widowControl w:val="0"/>
        <w:rPr>
          <w:rFonts w:ascii="Times New Roman" w:hAnsi="Times New Roman" w:cs="Times New Roman"/>
          <w:b/>
          <w:sz w:val="24"/>
          <w:szCs w:val="24"/>
          <w:u w:val="single"/>
        </w:rPr>
      </w:pPr>
    </w:p>
    <w:p w14:paraId="073A4E3D" w14:textId="77777777"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This is an appeal against the</w:t>
      </w:r>
      <w:r w:rsidRPr="00220ED4">
        <w:rPr>
          <w:rFonts w:ascii="Times New Roman" w:hAnsi="Times New Roman" w:cs="Times New Roman"/>
          <w:i/>
          <w:sz w:val="24"/>
          <w:szCs w:val="24"/>
        </w:rPr>
        <w:t xml:space="preserve"> ex tempore </w:t>
      </w:r>
      <w:r w:rsidRPr="00220ED4">
        <w:rPr>
          <w:rFonts w:ascii="Times New Roman" w:hAnsi="Times New Roman" w:cs="Times New Roman"/>
          <w:sz w:val="24"/>
          <w:szCs w:val="24"/>
        </w:rPr>
        <w:t xml:space="preserve">judgment of Burns (T) J.  delivered on 24 July 2018.  </w:t>
      </w:r>
    </w:p>
    <w:p w14:paraId="2775AA2B" w14:textId="77777777" w:rsidR="00F85395" w:rsidRPr="00F85395"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Pursuant to the order of the same date the court granted summary judgment against the first named defendant (</w:t>
      </w:r>
      <w:r w:rsidR="00680B1F" w:rsidRPr="00220ED4">
        <w:rPr>
          <w:rFonts w:ascii="Times New Roman" w:hAnsi="Times New Roman" w:cs="Times New Roman"/>
          <w:sz w:val="24"/>
          <w:szCs w:val="24"/>
        </w:rPr>
        <w:t>‘</w:t>
      </w:r>
      <w:r w:rsidRPr="00220ED4">
        <w:rPr>
          <w:rFonts w:ascii="Times New Roman" w:hAnsi="Times New Roman" w:cs="Times New Roman"/>
          <w:sz w:val="24"/>
          <w:szCs w:val="24"/>
        </w:rPr>
        <w:t>Mr. Doran</w:t>
      </w:r>
      <w:r w:rsidR="00680B1F" w:rsidRPr="00220ED4">
        <w:rPr>
          <w:rFonts w:ascii="Times New Roman" w:hAnsi="Times New Roman" w:cs="Times New Roman"/>
          <w:sz w:val="24"/>
          <w:szCs w:val="24"/>
        </w:rPr>
        <w:t>’ or ‘the appellant’</w:t>
      </w:r>
      <w:r w:rsidRPr="00220ED4">
        <w:rPr>
          <w:rFonts w:ascii="Times New Roman" w:hAnsi="Times New Roman" w:cs="Times New Roman"/>
          <w:sz w:val="24"/>
          <w:szCs w:val="24"/>
        </w:rPr>
        <w:t>) in the sum of €521,082.26 together with the costs of the application and a stay</w:t>
      </w:r>
      <w:r w:rsidR="001E19CC" w:rsidRPr="00220ED4">
        <w:rPr>
          <w:rFonts w:ascii="Times New Roman" w:hAnsi="Times New Roman" w:cs="Times New Roman"/>
          <w:sz w:val="24"/>
          <w:szCs w:val="24"/>
        </w:rPr>
        <w:t xml:space="preserve"> on the execution on foot of the judgment</w:t>
      </w:r>
      <w:r w:rsidRPr="00220ED4">
        <w:rPr>
          <w:rFonts w:ascii="Times New Roman" w:hAnsi="Times New Roman" w:cs="Times New Roman"/>
          <w:sz w:val="24"/>
          <w:szCs w:val="24"/>
        </w:rPr>
        <w:t xml:space="preserve"> for 28</w:t>
      </w:r>
      <w:r w:rsidR="00D5514F">
        <w:rPr>
          <w:rFonts w:ascii="Times New Roman" w:hAnsi="Times New Roman" w:cs="Times New Roman"/>
          <w:sz w:val="24"/>
          <w:szCs w:val="24"/>
        </w:rPr>
        <w:t xml:space="preserve"> </w:t>
      </w:r>
      <w:r w:rsidRPr="00220ED4">
        <w:rPr>
          <w:rFonts w:ascii="Times New Roman" w:hAnsi="Times New Roman" w:cs="Times New Roman"/>
          <w:sz w:val="24"/>
          <w:szCs w:val="24"/>
        </w:rPr>
        <w:t>day</w:t>
      </w:r>
      <w:r w:rsidR="00D5514F">
        <w:rPr>
          <w:rFonts w:ascii="Times New Roman" w:hAnsi="Times New Roman" w:cs="Times New Roman"/>
          <w:sz w:val="24"/>
          <w:szCs w:val="24"/>
        </w:rPr>
        <w:t>s</w:t>
      </w:r>
      <w:r w:rsidRPr="00220ED4">
        <w:rPr>
          <w:rFonts w:ascii="Times New Roman" w:hAnsi="Times New Roman" w:cs="Times New Roman"/>
          <w:sz w:val="24"/>
          <w:szCs w:val="24"/>
        </w:rPr>
        <w:t xml:space="preserve">.   </w:t>
      </w:r>
    </w:p>
    <w:p w14:paraId="62D83341" w14:textId="7B58F5F4" w:rsidR="006E7957" w:rsidRPr="00FC51CE"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The Notice of Appeal issued on 7 August 2018.</w:t>
      </w:r>
    </w:p>
    <w:p w14:paraId="1EE07FCA" w14:textId="77777777" w:rsidR="00FC51CE" w:rsidRPr="00220ED4" w:rsidRDefault="00FC51CE" w:rsidP="00FC51CE">
      <w:pPr>
        <w:pStyle w:val="ListParagraph"/>
        <w:tabs>
          <w:tab w:val="left" w:pos="567"/>
        </w:tabs>
        <w:spacing w:line="480" w:lineRule="auto"/>
        <w:ind w:left="0"/>
        <w:rPr>
          <w:rFonts w:ascii="Times New Roman" w:hAnsi="Times New Roman" w:cs="Times New Roman"/>
          <w:b/>
          <w:sz w:val="24"/>
          <w:szCs w:val="24"/>
          <w:u w:val="single"/>
        </w:rPr>
      </w:pPr>
    </w:p>
    <w:p w14:paraId="3AAFF8FC" w14:textId="27DD3813" w:rsidR="001E19CC" w:rsidRDefault="001E19CC" w:rsidP="001E19CC">
      <w:pPr>
        <w:pStyle w:val="ListParagraph"/>
        <w:tabs>
          <w:tab w:val="left" w:pos="567"/>
        </w:tabs>
        <w:spacing w:line="480" w:lineRule="auto"/>
        <w:ind w:left="0"/>
        <w:rPr>
          <w:rFonts w:ascii="Times New Roman" w:hAnsi="Times New Roman" w:cs="Times New Roman"/>
          <w:b/>
          <w:sz w:val="24"/>
          <w:szCs w:val="24"/>
          <w:u w:val="single"/>
        </w:rPr>
      </w:pPr>
      <w:r w:rsidRPr="00220ED4">
        <w:rPr>
          <w:rFonts w:ascii="Times New Roman" w:hAnsi="Times New Roman" w:cs="Times New Roman"/>
          <w:b/>
          <w:sz w:val="24"/>
          <w:szCs w:val="24"/>
          <w:u w:val="single"/>
        </w:rPr>
        <w:t xml:space="preserve">Summary Summons </w:t>
      </w:r>
    </w:p>
    <w:p w14:paraId="6CBCF263" w14:textId="77777777" w:rsidR="00BF1296" w:rsidRPr="00220ED4" w:rsidRDefault="00BF1296" w:rsidP="001E19CC">
      <w:pPr>
        <w:pStyle w:val="ListParagraph"/>
        <w:tabs>
          <w:tab w:val="left" w:pos="567"/>
        </w:tabs>
        <w:spacing w:line="480" w:lineRule="auto"/>
        <w:ind w:left="0"/>
        <w:rPr>
          <w:rFonts w:ascii="Times New Roman" w:hAnsi="Times New Roman" w:cs="Times New Roman"/>
          <w:b/>
          <w:sz w:val="24"/>
          <w:szCs w:val="24"/>
          <w:u w:val="single"/>
        </w:rPr>
      </w:pPr>
    </w:p>
    <w:p w14:paraId="50509C19" w14:textId="1637AC13" w:rsidR="00FB1B8D" w:rsidRPr="00220ED4" w:rsidRDefault="00FB1B8D" w:rsidP="00FB1B8D">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The summary summons </w:t>
      </w:r>
      <w:r w:rsidR="00A46BC7">
        <w:rPr>
          <w:rFonts w:ascii="Times New Roman" w:hAnsi="Times New Roman" w:cs="Times New Roman"/>
          <w:sz w:val="24"/>
          <w:szCs w:val="24"/>
        </w:rPr>
        <w:t xml:space="preserve">was </w:t>
      </w:r>
      <w:r w:rsidRPr="00220ED4">
        <w:rPr>
          <w:rFonts w:ascii="Times New Roman" w:hAnsi="Times New Roman" w:cs="Times New Roman"/>
          <w:sz w:val="24"/>
          <w:szCs w:val="24"/>
        </w:rPr>
        <w:t>issued on 19 June 2015 [2015/1159S] and an appearance</w:t>
      </w:r>
      <w:r w:rsidR="00F555DA">
        <w:rPr>
          <w:rFonts w:ascii="Times New Roman" w:hAnsi="Times New Roman" w:cs="Times New Roman"/>
          <w:sz w:val="24"/>
          <w:szCs w:val="24"/>
        </w:rPr>
        <w:t xml:space="preserve"> entered</w:t>
      </w:r>
      <w:r w:rsidRPr="00220ED4">
        <w:rPr>
          <w:rFonts w:ascii="Times New Roman" w:hAnsi="Times New Roman" w:cs="Times New Roman"/>
          <w:sz w:val="24"/>
          <w:szCs w:val="24"/>
        </w:rPr>
        <w:t xml:space="preserve"> by Mr</w:t>
      </w:r>
      <w:r w:rsidR="00E84FA4">
        <w:rPr>
          <w:rFonts w:ascii="Times New Roman" w:hAnsi="Times New Roman" w:cs="Times New Roman"/>
          <w:sz w:val="24"/>
          <w:szCs w:val="24"/>
        </w:rPr>
        <w:t>.</w:t>
      </w:r>
      <w:r w:rsidRPr="00220ED4">
        <w:rPr>
          <w:rFonts w:ascii="Times New Roman" w:hAnsi="Times New Roman" w:cs="Times New Roman"/>
          <w:sz w:val="24"/>
          <w:szCs w:val="24"/>
        </w:rPr>
        <w:t xml:space="preserve"> Doran on 18 December 2015.</w:t>
      </w:r>
    </w:p>
    <w:p w14:paraId="60C1F6FD" w14:textId="67FC0227"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The entirety of the pleading within the special indorsement</w:t>
      </w:r>
      <w:r w:rsidRPr="00220ED4">
        <w:rPr>
          <w:rFonts w:ascii="Times New Roman" w:hAnsi="Times New Roman" w:cs="Times New Roman"/>
          <w:b/>
          <w:sz w:val="24"/>
          <w:szCs w:val="24"/>
        </w:rPr>
        <w:t xml:space="preserve"> </w:t>
      </w:r>
      <w:r w:rsidRPr="00220ED4">
        <w:rPr>
          <w:rFonts w:ascii="Times New Roman" w:hAnsi="Times New Roman" w:cs="Times New Roman"/>
          <w:sz w:val="24"/>
          <w:szCs w:val="24"/>
        </w:rPr>
        <w:t>of claim is as follows:</w:t>
      </w:r>
      <w:r w:rsidR="003B4FFD">
        <w:rPr>
          <w:rFonts w:ascii="Times New Roman" w:hAnsi="Times New Roman" w:cs="Times New Roman"/>
          <w:sz w:val="24"/>
          <w:szCs w:val="24"/>
        </w:rPr>
        <w:t>-</w:t>
      </w:r>
    </w:p>
    <w:p w14:paraId="0C2D3E73" w14:textId="77777777" w:rsidR="006E7957" w:rsidRPr="00220ED4" w:rsidRDefault="006E7957" w:rsidP="006E7957">
      <w:pPr>
        <w:pStyle w:val="ListParagraph"/>
        <w:spacing w:line="480" w:lineRule="auto"/>
        <w:ind w:left="567"/>
        <w:jc w:val="left"/>
        <w:rPr>
          <w:rFonts w:ascii="Times New Roman" w:hAnsi="Times New Roman" w:cs="Times New Roman"/>
          <w:i/>
          <w:sz w:val="24"/>
          <w:szCs w:val="24"/>
        </w:rPr>
      </w:pPr>
    </w:p>
    <w:p w14:paraId="3EC182E4" w14:textId="5D02CEC0" w:rsidR="006E7957" w:rsidRPr="00220ED4" w:rsidRDefault="006E7957" w:rsidP="00151BF0">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 xml:space="preserve">“THE PLAINTIFF’S CLAIM IS FOR the sum of €521,082.26, being money payable by the Defendants and each of them to the Plaintiff for money lent in advance by the Plaintiff to the Defendants and each of them at their request and for interest agreed to be paid upon money due to the Plaintiff by the Defendants and each of them on foot of a </w:t>
      </w:r>
      <w:r w:rsidR="007756A3">
        <w:rPr>
          <w:rFonts w:ascii="Times New Roman" w:hAnsi="Times New Roman" w:cs="Times New Roman"/>
          <w:i/>
          <w:sz w:val="24"/>
          <w:szCs w:val="24"/>
        </w:rPr>
        <w:t>l</w:t>
      </w:r>
      <w:r w:rsidRPr="00220ED4">
        <w:rPr>
          <w:rFonts w:ascii="Times New Roman" w:hAnsi="Times New Roman" w:cs="Times New Roman"/>
          <w:i/>
          <w:sz w:val="24"/>
          <w:szCs w:val="24"/>
        </w:rPr>
        <w:t xml:space="preserve">oan </w:t>
      </w:r>
      <w:r w:rsidR="007756A3">
        <w:rPr>
          <w:rFonts w:ascii="Times New Roman" w:hAnsi="Times New Roman" w:cs="Times New Roman"/>
          <w:i/>
          <w:sz w:val="24"/>
          <w:szCs w:val="24"/>
        </w:rPr>
        <w:t>a</w:t>
      </w:r>
      <w:r w:rsidRPr="00220ED4">
        <w:rPr>
          <w:rFonts w:ascii="Times New Roman" w:hAnsi="Times New Roman" w:cs="Times New Roman"/>
          <w:i/>
          <w:sz w:val="24"/>
          <w:szCs w:val="24"/>
        </w:rPr>
        <w:t xml:space="preserve">ccount </w:t>
      </w:r>
      <w:r w:rsidR="007756A3">
        <w:rPr>
          <w:rFonts w:ascii="Times New Roman" w:hAnsi="Times New Roman" w:cs="Times New Roman"/>
          <w:i/>
          <w:sz w:val="24"/>
          <w:szCs w:val="24"/>
        </w:rPr>
        <w:t>n</w:t>
      </w:r>
      <w:r w:rsidRPr="00220ED4">
        <w:rPr>
          <w:rFonts w:ascii="Times New Roman" w:hAnsi="Times New Roman" w:cs="Times New Roman"/>
          <w:i/>
          <w:sz w:val="24"/>
          <w:szCs w:val="24"/>
        </w:rPr>
        <w:t>umber 932396</w:t>
      </w:r>
      <w:r w:rsidR="007756A3">
        <w:rPr>
          <w:rFonts w:ascii="Times New Roman" w:hAnsi="Times New Roman" w:cs="Times New Roman"/>
          <w:i/>
          <w:sz w:val="24"/>
          <w:szCs w:val="24"/>
        </w:rPr>
        <w:t xml:space="preserve"> </w:t>
      </w:r>
      <w:r w:rsidRPr="00220ED4">
        <w:rPr>
          <w:rFonts w:ascii="Times New Roman" w:hAnsi="Times New Roman" w:cs="Times New Roman"/>
          <w:i/>
          <w:sz w:val="24"/>
          <w:szCs w:val="24"/>
        </w:rPr>
        <w:t xml:space="preserve">17892106 opened and maintained by the Defendants and each of them by agreement entered into with the Plaintiff at </w:t>
      </w:r>
      <w:r w:rsidR="007756A3">
        <w:rPr>
          <w:rFonts w:ascii="Times New Roman" w:hAnsi="Times New Roman" w:cs="Times New Roman"/>
          <w:i/>
          <w:sz w:val="24"/>
          <w:szCs w:val="24"/>
        </w:rPr>
        <w:t>its</w:t>
      </w:r>
      <w:r w:rsidRPr="00220ED4">
        <w:rPr>
          <w:rFonts w:ascii="Times New Roman" w:hAnsi="Times New Roman" w:cs="Times New Roman"/>
          <w:i/>
          <w:sz w:val="24"/>
          <w:szCs w:val="24"/>
        </w:rPr>
        <w:t xml:space="preserve"> branch office at Ashbourne, County Westmeath, particulars whereof are as follows:</w:t>
      </w:r>
      <w:r w:rsidR="007756A3">
        <w:rPr>
          <w:rFonts w:ascii="Times New Roman" w:hAnsi="Times New Roman" w:cs="Times New Roman"/>
          <w:i/>
          <w:sz w:val="24"/>
          <w:szCs w:val="24"/>
        </w:rPr>
        <w:t>-</w:t>
      </w:r>
    </w:p>
    <w:p w14:paraId="20C738C0" w14:textId="77777777" w:rsidR="006E7957" w:rsidRPr="00220ED4" w:rsidRDefault="006E7957" w:rsidP="006E7957">
      <w:pPr>
        <w:pStyle w:val="ListParagraph"/>
        <w:spacing w:line="480" w:lineRule="auto"/>
        <w:ind w:left="567"/>
        <w:jc w:val="left"/>
        <w:rPr>
          <w:rFonts w:ascii="Times New Roman" w:hAnsi="Times New Roman" w:cs="Times New Roman"/>
          <w:i/>
          <w:sz w:val="24"/>
          <w:szCs w:val="24"/>
        </w:rPr>
      </w:pPr>
    </w:p>
    <w:p w14:paraId="15D8E203" w14:textId="77777777" w:rsidR="006E7957" w:rsidRPr="00220ED4" w:rsidRDefault="006E7957" w:rsidP="006E7957">
      <w:pPr>
        <w:pStyle w:val="ListParagraph"/>
        <w:spacing w:line="480" w:lineRule="auto"/>
        <w:ind w:left="567"/>
        <w:jc w:val="center"/>
        <w:rPr>
          <w:rFonts w:ascii="Times New Roman" w:hAnsi="Times New Roman" w:cs="Times New Roman"/>
          <w:i/>
          <w:sz w:val="24"/>
          <w:szCs w:val="24"/>
          <w:u w:val="single"/>
        </w:rPr>
      </w:pPr>
      <w:r w:rsidRPr="00220ED4">
        <w:rPr>
          <w:rFonts w:ascii="Times New Roman" w:hAnsi="Times New Roman" w:cs="Times New Roman"/>
          <w:i/>
          <w:sz w:val="24"/>
          <w:szCs w:val="24"/>
          <w:u w:val="single"/>
        </w:rPr>
        <w:t>Particulars</w:t>
      </w:r>
    </w:p>
    <w:p w14:paraId="3C6352C6" w14:textId="729BCE39" w:rsidR="006E7957" w:rsidRPr="00220ED4" w:rsidRDefault="007756A3" w:rsidP="006E7957">
      <w:pPr>
        <w:pStyle w:val="ListParagraph"/>
        <w:spacing w:line="480" w:lineRule="auto"/>
        <w:ind w:left="567"/>
        <w:jc w:val="left"/>
        <w:rPr>
          <w:rFonts w:ascii="Times New Roman" w:hAnsi="Times New Roman" w:cs="Times New Roman"/>
          <w:i/>
          <w:sz w:val="24"/>
          <w:szCs w:val="24"/>
        </w:rPr>
      </w:pPr>
      <w:r>
        <w:rPr>
          <w:rFonts w:ascii="Times New Roman" w:hAnsi="Times New Roman" w:cs="Times New Roman"/>
          <w:i/>
          <w:sz w:val="24"/>
          <w:szCs w:val="24"/>
          <w:u w:val="single"/>
        </w:rPr>
        <w:t>LOAN ACCOUNT</w:t>
      </w:r>
      <w:r w:rsidR="006E7957" w:rsidRPr="00220ED4">
        <w:rPr>
          <w:rFonts w:ascii="Times New Roman" w:hAnsi="Times New Roman" w:cs="Times New Roman"/>
          <w:i/>
          <w:sz w:val="24"/>
          <w:szCs w:val="24"/>
          <w:u w:val="single"/>
        </w:rPr>
        <w:t xml:space="preserve"> Number 932396</w:t>
      </w:r>
      <w:r>
        <w:rPr>
          <w:rFonts w:ascii="Times New Roman" w:hAnsi="Times New Roman" w:cs="Times New Roman"/>
          <w:i/>
          <w:sz w:val="24"/>
          <w:szCs w:val="24"/>
          <w:u w:val="single"/>
        </w:rPr>
        <w:t xml:space="preserve"> </w:t>
      </w:r>
      <w:r w:rsidR="006E7957" w:rsidRPr="00220ED4">
        <w:rPr>
          <w:rFonts w:ascii="Times New Roman" w:hAnsi="Times New Roman" w:cs="Times New Roman"/>
          <w:i/>
          <w:sz w:val="24"/>
          <w:szCs w:val="24"/>
          <w:u w:val="single"/>
        </w:rPr>
        <w:t>17892106</w:t>
      </w:r>
      <w:r w:rsidR="006E7957" w:rsidRPr="00220ED4">
        <w:rPr>
          <w:rFonts w:ascii="Times New Roman" w:hAnsi="Times New Roman" w:cs="Times New Roman"/>
          <w:i/>
          <w:sz w:val="24"/>
          <w:szCs w:val="24"/>
        </w:rPr>
        <w:t>:</w:t>
      </w:r>
    </w:p>
    <w:p w14:paraId="496B4CEC" w14:textId="77777777" w:rsidR="006E7957" w:rsidRPr="00220ED4" w:rsidRDefault="006E7957" w:rsidP="006E7957">
      <w:pPr>
        <w:pStyle w:val="ListParagraph"/>
        <w:spacing w:line="480" w:lineRule="auto"/>
        <w:ind w:left="567"/>
        <w:jc w:val="left"/>
        <w:rPr>
          <w:rFonts w:ascii="Times New Roman" w:hAnsi="Times New Roman" w:cs="Times New Roman"/>
          <w:i/>
          <w:sz w:val="24"/>
          <w:szCs w:val="24"/>
        </w:rPr>
      </w:pPr>
      <w:r w:rsidRPr="00220ED4">
        <w:rPr>
          <w:rFonts w:ascii="Times New Roman" w:hAnsi="Times New Roman" w:cs="Times New Roman"/>
          <w:i/>
          <w:sz w:val="24"/>
          <w:szCs w:val="24"/>
        </w:rPr>
        <w:t>22/4/2015</w:t>
      </w:r>
    </w:p>
    <w:p w14:paraId="3472CF27" w14:textId="20FBAFA1" w:rsidR="006E7957" w:rsidRPr="00220ED4" w:rsidRDefault="006E7957" w:rsidP="006E7957">
      <w:pPr>
        <w:pStyle w:val="ListParagraph"/>
        <w:spacing w:line="480" w:lineRule="auto"/>
        <w:ind w:left="567"/>
        <w:jc w:val="left"/>
        <w:rPr>
          <w:rFonts w:ascii="Times New Roman" w:hAnsi="Times New Roman" w:cs="Times New Roman"/>
          <w:i/>
          <w:sz w:val="24"/>
          <w:szCs w:val="24"/>
        </w:rPr>
      </w:pPr>
      <w:r w:rsidRPr="00220ED4">
        <w:rPr>
          <w:rFonts w:ascii="Times New Roman" w:hAnsi="Times New Roman" w:cs="Times New Roman"/>
          <w:i/>
          <w:sz w:val="24"/>
          <w:szCs w:val="24"/>
        </w:rPr>
        <w:lastRenderedPageBreak/>
        <w:t xml:space="preserve">Amount due at this stage:  </w:t>
      </w:r>
      <w:r w:rsidRPr="00220ED4">
        <w:rPr>
          <w:rFonts w:ascii="Times New Roman" w:hAnsi="Times New Roman" w:cs="Times New Roman"/>
          <w:i/>
          <w:sz w:val="24"/>
          <w:szCs w:val="24"/>
        </w:rPr>
        <w:tab/>
      </w:r>
      <w:r w:rsidRPr="00220ED4">
        <w:rPr>
          <w:rFonts w:ascii="Times New Roman" w:hAnsi="Times New Roman" w:cs="Times New Roman"/>
          <w:i/>
          <w:sz w:val="24"/>
          <w:szCs w:val="24"/>
        </w:rPr>
        <w:tab/>
        <w:t>€521,082.26”</w:t>
      </w:r>
    </w:p>
    <w:p w14:paraId="56D3A750" w14:textId="77777777" w:rsidR="00361CA5" w:rsidRPr="00361CA5" w:rsidRDefault="006E7957" w:rsidP="003C58E8">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Thereafter the claim is for this sum together with interest </w:t>
      </w:r>
      <w:r w:rsidRPr="00220ED4">
        <w:rPr>
          <w:rFonts w:ascii="Times New Roman" w:hAnsi="Times New Roman" w:cs="Times New Roman"/>
          <w:i/>
          <w:sz w:val="24"/>
          <w:szCs w:val="24"/>
        </w:rPr>
        <w:t>‘on the principal sum due at current bank rates varying from time to time agreed to be paid by the Defendants and each of them to the Plaintiff until payment or Judgment’</w:t>
      </w:r>
      <w:r w:rsidRPr="00220ED4">
        <w:rPr>
          <w:rFonts w:ascii="Times New Roman" w:hAnsi="Times New Roman" w:cs="Times New Roman"/>
          <w:sz w:val="24"/>
          <w:szCs w:val="24"/>
        </w:rPr>
        <w:t xml:space="preserve">, </w:t>
      </w:r>
      <w:r w:rsidR="003C58E8" w:rsidRPr="00220ED4">
        <w:rPr>
          <w:rFonts w:ascii="Times New Roman" w:hAnsi="Times New Roman" w:cs="Times New Roman"/>
          <w:sz w:val="24"/>
          <w:szCs w:val="24"/>
        </w:rPr>
        <w:t xml:space="preserve">together with </w:t>
      </w:r>
      <w:r w:rsidRPr="00220ED4">
        <w:rPr>
          <w:rFonts w:ascii="Times New Roman" w:hAnsi="Times New Roman" w:cs="Times New Roman"/>
          <w:sz w:val="24"/>
          <w:szCs w:val="24"/>
        </w:rPr>
        <w:t xml:space="preserve">further or other relief and costs. </w:t>
      </w:r>
    </w:p>
    <w:p w14:paraId="7136059C" w14:textId="77777777" w:rsidR="00361CA5" w:rsidRDefault="00361CA5" w:rsidP="00361CA5">
      <w:pPr>
        <w:pStyle w:val="ListParagraph"/>
        <w:tabs>
          <w:tab w:val="left" w:pos="567"/>
        </w:tabs>
        <w:spacing w:line="480" w:lineRule="auto"/>
        <w:ind w:left="0"/>
        <w:rPr>
          <w:rFonts w:ascii="Times New Roman" w:hAnsi="Times New Roman" w:cs="Times New Roman"/>
          <w:sz w:val="24"/>
          <w:szCs w:val="24"/>
        </w:rPr>
      </w:pPr>
    </w:p>
    <w:p w14:paraId="32F2A7DF" w14:textId="77777777" w:rsidR="00B24620" w:rsidRPr="00676E2E" w:rsidRDefault="00361CA5" w:rsidP="00361CA5">
      <w:pPr>
        <w:pStyle w:val="ListParagraph"/>
        <w:tabs>
          <w:tab w:val="left" w:pos="567"/>
        </w:tabs>
        <w:spacing w:line="480" w:lineRule="auto"/>
        <w:ind w:left="0"/>
        <w:rPr>
          <w:rFonts w:ascii="Times New Roman" w:hAnsi="Times New Roman" w:cs="Times New Roman"/>
          <w:b/>
          <w:sz w:val="24"/>
          <w:szCs w:val="24"/>
          <w:u w:val="single"/>
        </w:rPr>
      </w:pPr>
      <w:r w:rsidRPr="00676E2E">
        <w:rPr>
          <w:rFonts w:ascii="Times New Roman" w:hAnsi="Times New Roman" w:cs="Times New Roman"/>
          <w:b/>
          <w:sz w:val="24"/>
          <w:szCs w:val="24"/>
          <w:u w:val="single"/>
        </w:rPr>
        <w:t>Notice of Motion to enter final judgment</w:t>
      </w:r>
    </w:p>
    <w:p w14:paraId="3381E7B5" w14:textId="6F01CBC1" w:rsidR="006E7957" w:rsidRPr="00361CA5" w:rsidRDefault="006E7957" w:rsidP="00361CA5">
      <w:pPr>
        <w:pStyle w:val="ListParagraph"/>
        <w:tabs>
          <w:tab w:val="left" w:pos="567"/>
        </w:tabs>
        <w:spacing w:line="480" w:lineRule="auto"/>
        <w:ind w:left="0"/>
        <w:rPr>
          <w:rFonts w:ascii="Times New Roman" w:hAnsi="Times New Roman" w:cs="Times New Roman"/>
          <w:b/>
          <w:sz w:val="24"/>
          <w:szCs w:val="24"/>
          <w:u w:val="single"/>
        </w:rPr>
      </w:pPr>
      <w:r w:rsidRPr="00361CA5">
        <w:rPr>
          <w:rFonts w:ascii="Times New Roman" w:hAnsi="Times New Roman" w:cs="Times New Roman"/>
          <w:b/>
          <w:sz w:val="24"/>
          <w:szCs w:val="24"/>
        </w:rPr>
        <w:t xml:space="preserve"> </w:t>
      </w:r>
    </w:p>
    <w:p w14:paraId="02EC23EC" w14:textId="3A0F14CD" w:rsidR="00B24620" w:rsidRPr="00B24620" w:rsidRDefault="006E7957" w:rsidP="00B24620">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By Notice of Motion dated 16 June 2016, the Bank sought liberty to enter final judgment</w:t>
      </w:r>
      <w:r w:rsidR="00680B1F" w:rsidRPr="00220ED4">
        <w:rPr>
          <w:rFonts w:ascii="Times New Roman" w:hAnsi="Times New Roman" w:cs="Times New Roman"/>
          <w:sz w:val="24"/>
          <w:szCs w:val="24"/>
        </w:rPr>
        <w:t xml:space="preserve"> before the Master of the High Court for the sum of €521,082.26.  On 20 July 2016</w:t>
      </w:r>
      <w:r w:rsidR="002178E0">
        <w:rPr>
          <w:rFonts w:ascii="Times New Roman" w:hAnsi="Times New Roman" w:cs="Times New Roman"/>
          <w:sz w:val="24"/>
          <w:szCs w:val="24"/>
        </w:rPr>
        <w:t>,</w:t>
      </w:r>
      <w:r w:rsidR="00680B1F" w:rsidRPr="00220ED4">
        <w:rPr>
          <w:rFonts w:ascii="Times New Roman" w:hAnsi="Times New Roman" w:cs="Times New Roman"/>
          <w:sz w:val="24"/>
          <w:szCs w:val="24"/>
        </w:rPr>
        <w:t xml:space="preserve"> a Notice of </w:t>
      </w:r>
      <w:r w:rsidR="00FB1B8D" w:rsidRPr="00220ED4">
        <w:rPr>
          <w:rFonts w:ascii="Times New Roman" w:hAnsi="Times New Roman" w:cs="Times New Roman"/>
          <w:sz w:val="24"/>
          <w:szCs w:val="24"/>
        </w:rPr>
        <w:t>Motion</w:t>
      </w:r>
      <w:r w:rsidR="00680B1F" w:rsidRPr="00220ED4">
        <w:rPr>
          <w:rFonts w:ascii="Times New Roman" w:hAnsi="Times New Roman" w:cs="Times New Roman"/>
          <w:sz w:val="24"/>
          <w:szCs w:val="24"/>
        </w:rPr>
        <w:t xml:space="preserve"> issued in the High Court seeking judgment </w:t>
      </w:r>
      <w:r w:rsidR="00084874">
        <w:rPr>
          <w:rFonts w:ascii="Times New Roman" w:hAnsi="Times New Roman" w:cs="Times New Roman"/>
          <w:sz w:val="24"/>
          <w:szCs w:val="24"/>
        </w:rPr>
        <w:t>in</w:t>
      </w:r>
      <w:r w:rsidR="00680B1F" w:rsidRPr="00220ED4">
        <w:rPr>
          <w:rFonts w:ascii="Times New Roman" w:hAnsi="Times New Roman" w:cs="Times New Roman"/>
          <w:sz w:val="24"/>
          <w:szCs w:val="24"/>
        </w:rPr>
        <w:t xml:space="preserve"> th</w:t>
      </w:r>
      <w:r w:rsidR="00084874">
        <w:rPr>
          <w:rFonts w:ascii="Times New Roman" w:hAnsi="Times New Roman" w:cs="Times New Roman"/>
          <w:sz w:val="24"/>
          <w:szCs w:val="24"/>
        </w:rPr>
        <w:t>at</w:t>
      </w:r>
      <w:r w:rsidR="00680B1F" w:rsidRPr="00220ED4">
        <w:rPr>
          <w:rFonts w:ascii="Times New Roman" w:hAnsi="Times New Roman" w:cs="Times New Roman"/>
          <w:sz w:val="24"/>
          <w:szCs w:val="24"/>
        </w:rPr>
        <w:t xml:space="preserve"> amount. Thereafter a</w:t>
      </w:r>
      <w:r w:rsidRPr="00220ED4">
        <w:rPr>
          <w:rFonts w:ascii="Times New Roman" w:hAnsi="Times New Roman" w:cs="Times New Roman"/>
          <w:sz w:val="24"/>
          <w:szCs w:val="24"/>
        </w:rPr>
        <w:t xml:space="preserve"> Notice of Intention to </w:t>
      </w:r>
      <w:r w:rsidR="00680B1F" w:rsidRPr="00220ED4">
        <w:rPr>
          <w:rFonts w:ascii="Times New Roman" w:hAnsi="Times New Roman" w:cs="Times New Roman"/>
          <w:sz w:val="24"/>
          <w:szCs w:val="24"/>
        </w:rPr>
        <w:t>P</w:t>
      </w:r>
      <w:r w:rsidRPr="00220ED4">
        <w:rPr>
          <w:rFonts w:ascii="Times New Roman" w:hAnsi="Times New Roman" w:cs="Times New Roman"/>
          <w:sz w:val="24"/>
          <w:szCs w:val="24"/>
        </w:rPr>
        <w:t>roceed issu</w:t>
      </w:r>
      <w:r w:rsidR="00680B1F" w:rsidRPr="00220ED4">
        <w:rPr>
          <w:rFonts w:ascii="Times New Roman" w:hAnsi="Times New Roman" w:cs="Times New Roman"/>
          <w:sz w:val="24"/>
          <w:szCs w:val="24"/>
        </w:rPr>
        <w:t>ed</w:t>
      </w:r>
      <w:r w:rsidRPr="00220ED4">
        <w:rPr>
          <w:rFonts w:ascii="Times New Roman" w:hAnsi="Times New Roman" w:cs="Times New Roman"/>
          <w:sz w:val="24"/>
          <w:szCs w:val="24"/>
        </w:rPr>
        <w:t xml:space="preserve"> on 7 February 2017.</w:t>
      </w:r>
      <w:r w:rsidR="00B24620">
        <w:rPr>
          <w:rFonts w:ascii="Times New Roman" w:hAnsi="Times New Roman" w:cs="Times New Roman"/>
          <w:sz w:val="24"/>
          <w:szCs w:val="24"/>
        </w:rPr>
        <w:t xml:space="preserve">  </w:t>
      </w:r>
      <w:r w:rsidR="00DD7311">
        <w:rPr>
          <w:rFonts w:ascii="Times New Roman" w:hAnsi="Times New Roman" w:cs="Times New Roman"/>
          <w:sz w:val="24"/>
          <w:szCs w:val="24"/>
        </w:rPr>
        <w:t>T</w:t>
      </w:r>
      <w:r w:rsidR="00B24620">
        <w:rPr>
          <w:rFonts w:ascii="Times New Roman" w:hAnsi="Times New Roman" w:cs="Times New Roman"/>
          <w:sz w:val="24"/>
          <w:szCs w:val="24"/>
        </w:rPr>
        <w:t>he reasons for the application being brought initially in the Master’s Court and thereafter in the High Court are aired</w:t>
      </w:r>
      <w:r w:rsidR="00DD7311">
        <w:rPr>
          <w:rFonts w:ascii="Times New Roman" w:hAnsi="Times New Roman" w:cs="Times New Roman"/>
          <w:sz w:val="24"/>
          <w:szCs w:val="24"/>
        </w:rPr>
        <w:t xml:space="preserve"> within the affidavits</w:t>
      </w:r>
      <w:r w:rsidR="00B24620">
        <w:rPr>
          <w:rFonts w:ascii="Times New Roman" w:hAnsi="Times New Roman" w:cs="Times New Roman"/>
          <w:sz w:val="24"/>
          <w:szCs w:val="24"/>
        </w:rPr>
        <w:t xml:space="preserve">, but are not relevant to this appeal.  </w:t>
      </w:r>
    </w:p>
    <w:p w14:paraId="6E82CBF8" w14:textId="07D9D85C" w:rsidR="00E52B82" w:rsidRPr="00220ED4" w:rsidRDefault="007E3738" w:rsidP="00E52B82">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B</w:t>
      </w:r>
      <w:r w:rsidRPr="00220ED4">
        <w:rPr>
          <w:rFonts w:ascii="Times New Roman" w:hAnsi="Times New Roman" w:cs="Times New Roman"/>
          <w:sz w:val="24"/>
          <w:szCs w:val="24"/>
        </w:rPr>
        <w:t>y Order of Peart J.</w:t>
      </w:r>
      <w:r>
        <w:rPr>
          <w:rFonts w:ascii="Times New Roman" w:hAnsi="Times New Roman" w:cs="Times New Roman"/>
          <w:sz w:val="24"/>
          <w:szCs w:val="24"/>
        </w:rPr>
        <w:t xml:space="preserve"> on 5 July 2019, pu</w:t>
      </w:r>
      <w:r w:rsidR="00E52B82" w:rsidRPr="00220ED4">
        <w:rPr>
          <w:rFonts w:ascii="Times New Roman" w:hAnsi="Times New Roman" w:cs="Times New Roman"/>
          <w:sz w:val="24"/>
          <w:szCs w:val="24"/>
        </w:rPr>
        <w:t xml:space="preserve">rsuant to an ex </w:t>
      </w:r>
      <w:proofErr w:type="spellStart"/>
      <w:r w:rsidR="00E52B82" w:rsidRPr="00220ED4">
        <w:rPr>
          <w:rFonts w:ascii="Times New Roman" w:hAnsi="Times New Roman" w:cs="Times New Roman"/>
          <w:sz w:val="24"/>
          <w:szCs w:val="24"/>
        </w:rPr>
        <w:t>parte</w:t>
      </w:r>
      <w:proofErr w:type="spellEnd"/>
      <w:r w:rsidR="00E52B82" w:rsidRPr="00220ED4">
        <w:rPr>
          <w:rFonts w:ascii="Times New Roman" w:hAnsi="Times New Roman" w:cs="Times New Roman"/>
          <w:sz w:val="24"/>
          <w:szCs w:val="24"/>
        </w:rPr>
        <w:t xml:space="preserve"> docket dated 21 May 201</w:t>
      </w:r>
      <w:r>
        <w:rPr>
          <w:rFonts w:ascii="Times New Roman" w:hAnsi="Times New Roman" w:cs="Times New Roman"/>
          <w:sz w:val="24"/>
          <w:szCs w:val="24"/>
        </w:rPr>
        <w:t>9</w:t>
      </w:r>
      <w:r w:rsidR="00A46BC7">
        <w:rPr>
          <w:rFonts w:ascii="Times New Roman" w:hAnsi="Times New Roman" w:cs="Times New Roman"/>
          <w:sz w:val="24"/>
          <w:szCs w:val="24"/>
        </w:rPr>
        <w:t xml:space="preserve"> and </w:t>
      </w:r>
      <w:r w:rsidR="00E52B82" w:rsidRPr="00220ED4">
        <w:rPr>
          <w:rFonts w:ascii="Times New Roman" w:hAnsi="Times New Roman" w:cs="Times New Roman"/>
          <w:sz w:val="24"/>
          <w:szCs w:val="24"/>
        </w:rPr>
        <w:t>grounded upon the affidavit of Andrew McCrudden sworn on 10 May 2019, Everyday Finance DAC was added as a plaintiff to these proceedings and respondent to this appeal.  Throughout this judgment, unless indicated otherwise, the plaintiffs</w:t>
      </w:r>
      <w:r w:rsidR="004948CC">
        <w:rPr>
          <w:rFonts w:ascii="Times New Roman" w:hAnsi="Times New Roman" w:cs="Times New Roman"/>
          <w:sz w:val="24"/>
          <w:szCs w:val="24"/>
        </w:rPr>
        <w:t>/respondents</w:t>
      </w:r>
      <w:r w:rsidR="00E52B82" w:rsidRPr="00220ED4">
        <w:rPr>
          <w:rFonts w:ascii="Times New Roman" w:hAnsi="Times New Roman" w:cs="Times New Roman"/>
          <w:sz w:val="24"/>
          <w:szCs w:val="24"/>
        </w:rPr>
        <w:t xml:space="preserve"> will</w:t>
      </w:r>
      <w:r w:rsidR="00084874">
        <w:rPr>
          <w:rFonts w:ascii="Times New Roman" w:hAnsi="Times New Roman" w:cs="Times New Roman"/>
          <w:sz w:val="24"/>
          <w:szCs w:val="24"/>
        </w:rPr>
        <w:t xml:space="preserve"> collectively</w:t>
      </w:r>
      <w:r w:rsidR="00E52B82" w:rsidRPr="00220ED4">
        <w:rPr>
          <w:rFonts w:ascii="Times New Roman" w:hAnsi="Times New Roman" w:cs="Times New Roman"/>
          <w:sz w:val="24"/>
          <w:szCs w:val="24"/>
        </w:rPr>
        <w:t xml:space="preserve"> be referred to as “the Bank”. </w:t>
      </w:r>
    </w:p>
    <w:p w14:paraId="583651A3" w14:textId="59CDEBCD" w:rsidR="00E52B82" w:rsidRPr="00220ED4" w:rsidRDefault="00E52B82" w:rsidP="001B0D8D">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w:t>
      </w:r>
      <w:r w:rsidR="00795B44">
        <w:rPr>
          <w:rFonts w:ascii="Times New Roman" w:hAnsi="Times New Roman" w:cs="Times New Roman"/>
          <w:sz w:val="24"/>
          <w:szCs w:val="24"/>
        </w:rPr>
        <w:t>his</w:t>
      </w:r>
      <w:r w:rsidRPr="00220ED4">
        <w:rPr>
          <w:rFonts w:ascii="Times New Roman" w:hAnsi="Times New Roman" w:cs="Times New Roman"/>
          <w:sz w:val="24"/>
          <w:szCs w:val="24"/>
        </w:rPr>
        <w:t xml:space="preserve"> affidavit of Andrew McCrudden </w:t>
      </w:r>
      <w:r w:rsidR="00795B44">
        <w:rPr>
          <w:rFonts w:ascii="Times New Roman" w:hAnsi="Times New Roman" w:cs="Times New Roman"/>
          <w:sz w:val="24"/>
          <w:szCs w:val="24"/>
        </w:rPr>
        <w:t>also</w:t>
      </w:r>
      <w:r w:rsidRPr="00220ED4">
        <w:rPr>
          <w:rFonts w:ascii="Times New Roman" w:hAnsi="Times New Roman" w:cs="Times New Roman"/>
          <w:sz w:val="24"/>
          <w:szCs w:val="24"/>
        </w:rPr>
        <w:t xml:space="preserve"> confirmed</w:t>
      </w:r>
      <w:r w:rsidR="001B0D8D" w:rsidRPr="00220ED4">
        <w:rPr>
          <w:rFonts w:ascii="Times New Roman" w:hAnsi="Times New Roman" w:cs="Times New Roman"/>
          <w:sz w:val="24"/>
          <w:szCs w:val="24"/>
        </w:rPr>
        <w:t>,</w:t>
      </w:r>
      <w:r w:rsidRPr="00220ED4">
        <w:rPr>
          <w:rFonts w:ascii="Times New Roman" w:hAnsi="Times New Roman" w:cs="Times New Roman"/>
          <w:sz w:val="24"/>
          <w:szCs w:val="24"/>
        </w:rPr>
        <w:t xml:space="preserve"> at paragraph 6</w:t>
      </w:r>
      <w:r w:rsidR="001B0D8D" w:rsidRPr="00220ED4">
        <w:rPr>
          <w:rFonts w:ascii="Times New Roman" w:hAnsi="Times New Roman" w:cs="Times New Roman"/>
          <w:sz w:val="24"/>
          <w:szCs w:val="24"/>
        </w:rPr>
        <w:t>,</w:t>
      </w:r>
      <w:r w:rsidRPr="00220ED4">
        <w:rPr>
          <w:rFonts w:ascii="Times New Roman" w:hAnsi="Times New Roman" w:cs="Times New Roman"/>
          <w:sz w:val="24"/>
          <w:szCs w:val="24"/>
        </w:rPr>
        <w:t xml:space="preserve"> that </w:t>
      </w:r>
      <w:r w:rsidR="00FB1B8D" w:rsidRPr="00220ED4">
        <w:rPr>
          <w:rFonts w:ascii="Times New Roman" w:hAnsi="Times New Roman" w:cs="Times New Roman"/>
          <w:sz w:val="24"/>
          <w:szCs w:val="24"/>
        </w:rPr>
        <w:t xml:space="preserve">the Bank </w:t>
      </w:r>
      <w:r w:rsidR="00795B44">
        <w:rPr>
          <w:rFonts w:ascii="Times New Roman" w:hAnsi="Times New Roman" w:cs="Times New Roman"/>
          <w:sz w:val="24"/>
          <w:szCs w:val="24"/>
        </w:rPr>
        <w:t xml:space="preserve">had </w:t>
      </w:r>
      <w:r w:rsidR="00FB1B8D" w:rsidRPr="00220ED4">
        <w:rPr>
          <w:rFonts w:ascii="Times New Roman" w:hAnsi="Times New Roman" w:cs="Times New Roman"/>
          <w:sz w:val="24"/>
          <w:szCs w:val="24"/>
        </w:rPr>
        <w:t>obtained j</w:t>
      </w:r>
      <w:r w:rsidRPr="00220ED4">
        <w:rPr>
          <w:rFonts w:ascii="Times New Roman" w:hAnsi="Times New Roman" w:cs="Times New Roman"/>
          <w:sz w:val="24"/>
          <w:szCs w:val="24"/>
        </w:rPr>
        <w:t xml:space="preserve">udgment in default of appearance against </w:t>
      </w:r>
      <w:r w:rsidR="00844638">
        <w:rPr>
          <w:rFonts w:ascii="Times New Roman" w:hAnsi="Times New Roman" w:cs="Times New Roman"/>
          <w:sz w:val="24"/>
          <w:szCs w:val="24"/>
        </w:rPr>
        <w:t>the second named defendant</w:t>
      </w:r>
      <w:r w:rsidRPr="00220ED4">
        <w:rPr>
          <w:rFonts w:ascii="Times New Roman" w:hAnsi="Times New Roman" w:cs="Times New Roman"/>
          <w:sz w:val="24"/>
          <w:szCs w:val="24"/>
        </w:rPr>
        <w:t xml:space="preserve"> on 17 October 2016.  </w:t>
      </w:r>
    </w:p>
    <w:p w14:paraId="73A4FD14" w14:textId="318E4DD9" w:rsidR="000A18FC" w:rsidRPr="00220ED4" w:rsidRDefault="00795B44"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In respect of the motion for final judgment a</w:t>
      </w:r>
      <w:r w:rsidR="006E7957" w:rsidRPr="00220ED4">
        <w:rPr>
          <w:rFonts w:ascii="Times New Roman" w:hAnsi="Times New Roman" w:cs="Times New Roman"/>
          <w:sz w:val="24"/>
          <w:szCs w:val="24"/>
        </w:rPr>
        <w:t xml:space="preserve"> number of affidavits were filed.  Th</w:t>
      </w:r>
      <w:r w:rsidR="001B0D8D" w:rsidRPr="00220ED4">
        <w:rPr>
          <w:rFonts w:ascii="Times New Roman" w:hAnsi="Times New Roman" w:cs="Times New Roman"/>
          <w:sz w:val="24"/>
          <w:szCs w:val="24"/>
        </w:rPr>
        <w:t xml:space="preserve">e Notice of Motion is grounded upon </w:t>
      </w:r>
      <w:r w:rsidR="006E7957" w:rsidRPr="00220ED4">
        <w:rPr>
          <w:rFonts w:ascii="Times New Roman" w:hAnsi="Times New Roman" w:cs="Times New Roman"/>
          <w:sz w:val="24"/>
          <w:szCs w:val="24"/>
        </w:rPr>
        <w:t xml:space="preserve">the affidavit of </w:t>
      </w:r>
      <w:proofErr w:type="spellStart"/>
      <w:r w:rsidR="006E7957" w:rsidRPr="00220ED4">
        <w:rPr>
          <w:rFonts w:ascii="Times New Roman" w:hAnsi="Times New Roman" w:cs="Times New Roman"/>
          <w:sz w:val="24"/>
          <w:szCs w:val="24"/>
        </w:rPr>
        <w:t>Cathal</w:t>
      </w:r>
      <w:proofErr w:type="spellEnd"/>
      <w:r w:rsidR="006E7957" w:rsidRPr="00220ED4">
        <w:rPr>
          <w:rFonts w:ascii="Times New Roman" w:hAnsi="Times New Roman" w:cs="Times New Roman"/>
          <w:sz w:val="24"/>
          <w:szCs w:val="24"/>
        </w:rPr>
        <w:t xml:space="preserve"> Hardiman</w:t>
      </w:r>
      <w:r w:rsidR="001B0D8D" w:rsidRPr="00220ED4">
        <w:rPr>
          <w:rFonts w:ascii="Times New Roman" w:hAnsi="Times New Roman" w:cs="Times New Roman"/>
          <w:sz w:val="24"/>
          <w:szCs w:val="24"/>
        </w:rPr>
        <w:t xml:space="preserve"> (manager of the Bank)</w:t>
      </w:r>
      <w:r w:rsidR="006E7957" w:rsidRPr="00220ED4">
        <w:rPr>
          <w:rFonts w:ascii="Times New Roman" w:hAnsi="Times New Roman" w:cs="Times New Roman"/>
          <w:sz w:val="24"/>
          <w:szCs w:val="24"/>
        </w:rPr>
        <w:t xml:space="preserve"> sworn on 13 Ju</w:t>
      </w:r>
      <w:r w:rsidR="002E3F01">
        <w:rPr>
          <w:rFonts w:ascii="Times New Roman" w:hAnsi="Times New Roman" w:cs="Times New Roman"/>
          <w:sz w:val="24"/>
          <w:szCs w:val="24"/>
        </w:rPr>
        <w:t>ne</w:t>
      </w:r>
      <w:r w:rsidR="006E7957" w:rsidRPr="00220ED4">
        <w:rPr>
          <w:rFonts w:ascii="Times New Roman" w:hAnsi="Times New Roman" w:cs="Times New Roman"/>
          <w:sz w:val="24"/>
          <w:szCs w:val="24"/>
        </w:rPr>
        <w:t xml:space="preserve"> 2016</w:t>
      </w:r>
      <w:r w:rsidR="001B0D8D" w:rsidRPr="00220ED4">
        <w:rPr>
          <w:rFonts w:ascii="Times New Roman" w:hAnsi="Times New Roman" w:cs="Times New Roman"/>
          <w:sz w:val="24"/>
          <w:szCs w:val="24"/>
        </w:rPr>
        <w:t>.  There are then two</w:t>
      </w:r>
      <w:r w:rsidR="00352EA2">
        <w:rPr>
          <w:rFonts w:ascii="Times New Roman" w:hAnsi="Times New Roman" w:cs="Times New Roman"/>
          <w:sz w:val="24"/>
          <w:szCs w:val="24"/>
        </w:rPr>
        <w:t xml:space="preserve"> short</w:t>
      </w:r>
      <w:r w:rsidR="001B0D8D" w:rsidRPr="00220ED4">
        <w:rPr>
          <w:rFonts w:ascii="Times New Roman" w:hAnsi="Times New Roman" w:cs="Times New Roman"/>
          <w:sz w:val="24"/>
          <w:szCs w:val="24"/>
        </w:rPr>
        <w:t xml:space="preserve"> affidavits; the first by Eileen Grady, solicitor on 23 Ju</w:t>
      </w:r>
      <w:r w:rsidR="002E3F01">
        <w:rPr>
          <w:rFonts w:ascii="Times New Roman" w:hAnsi="Times New Roman" w:cs="Times New Roman"/>
          <w:sz w:val="24"/>
          <w:szCs w:val="24"/>
        </w:rPr>
        <w:t>ne</w:t>
      </w:r>
      <w:r w:rsidR="001B0D8D" w:rsidRPr="00220ED4">
        <w:rPr>
          <w:rFonts w:ascii="Times New Roman" w:hAnsi="Times New Roman" w:cs="Times New Roman"/>
          <w:sz w:val="24"/>
          <w:szCs w:val="24"/>
        </w:rPr>
        <w:t xml:space="preserve"> 2016 on behalf of the Bank</w:t>
      </w:r>
      <w:r w:rsidR="00A46BC7">
        <w:rPr>
          <w:rFonts w:ascii="Times New Roman" w:hAnsi="Times New Roman" w:cs="Times New Roman"/>
          <w:sz w:val="24"/>
          <w:szCs w:val="24"/>
        </w:rPr>
        <w:t xml:space="preserve">, </w:t>
      </w:r>
      <w:r w:rsidR="001B0D8D" w:rsidRPr="00220ED4">
        <w:rPr>
          <w:rFonts w:ascii="Times New Roman" w:hAnsi="Times New Roman" w:cs="Times New Roman"/>
          <w:sz w:val="24"/>
          <w:szCs w:val="24"/>
        </w:rPr>
        <w:t>confirming the</w:t>
      </w:r>
      <w:r w:rsidR="00BA0F07">
        <w:rPr>
          <w:rFonts w:ascii="Times New Roman" w:hAnsi="Times New Roman" w:cs="Times New Roman"/>
          <w:sz w:val="24"/>
          <w:szCs w:val="24"/>
        </w:rPr>
        <w:t xml:space="preserve"> court’s</w:t>
      </w:r>
      <w:r w:rsidR="001B0D8D" w:rsidRPr="00220ED4">
        <w:rPr>
          <w:rFonts w:ascii="Times New Roman" w:hAnsi="Times New Roman" w:cs="Times New Roman"/>
          <w:sz w:val="24"/>
          <w:szCs w:val="24"/>
        </w:rPr>
        <w:t xml:space="preserve"> jurisdiction in</w:t>
      </w:r>
      <w:r w:rsidR="00BA0F07">
        <w:rPr>
          <w:rFonts w:ascii="Times New Roman" w:hAnsi="Times New Roman" w:cs="Times New Roman"/>
          <w:sz w:val="24"/>
          <w:szCs w:val="24"/>
        </w:rPr>
        <w:t xml:space="preserve"> proceeding against</w:t>
      </w:r>
      <w:r w:rsidR="001B0D8D" w:rsidRPr="00220ED4">
        <w:rPr>
          <w:rFonts w:ascii="Times New Roman" w:hAnsi="Times New Roman" w:cs="Times New Roman"/>
          <w:sz w:val="24"/>
          <w:szCs w:val="24"/>
        </w:rPr>
        <w:t xml:space="preserve"> both </w:t>
      </w:r>
      <w:r w:rsidR="001B0D8D" w:rsidRPr="00220ED4">
        <w:rPr>
          <w:rFonts w:ascii="Times New Roman" w:hAnsi="Times New Roman" w:cs="Times New Roman"/>
          <w:sz w:val="24"/>
          <w:szCs w:val="24"/>
        </w:rPr>
        <w:lastRenderedPageBreak/>
        <w:t>Mr</w:t>
      </w:r>
      <w:r w:rsidR="00E84FA4">
        <w:rPr>
          <w:rFonts w:ascii="Times New Roman" w:hAnsi="Times New Roman" w:cs="Times New Roman"/>
          <w:sz w:val="24"/>
          <w:szCs w:val="24"/>
        </w:rPr>
        <w:t>.</w:t>
      </w:r>
      <w:r w:rsidR="001B0D8D" w:rsidRPr="00220ED4">
        <w:rPr>
          <w:rFonts w:ascii="Times New Roman" w:hAnsi="Times New Roman" w:cs="Times New Roman"/>
          <w:sz w:val="24"/>
          <w:szCs w:val="24"/>
        </w:rPr>
        <w:t xml:space="preserve"> Scanlon and Mr</w:t>
      </w:r>
      <w:r w:rsidR="00E84FA4">
        <w:rPr>
          <w:rFonts w:ascii="Times New Roman" w:hAnsi="Times New Roman" w:cs="Times New Roman"/>
          <w:sz w:val="24"/>
          <w:szCs w:val="24"/>
        </w:rPr>
        <w:t>.</w:t>
      </w:r>
      <w:r w:rsidR="001B0D8D" w:rsidRPr="00220ED4">
        <w:rPr>
          <w:rFonts w:ascii="Times New Roman" w:hAnsi="Times New Roman" w:cs="Times New Roman"/>
          <w:sz w:val="24"/>
          <w:szCs w:val="24"/>
        </w:rPr>
        <w:t xml:space="preserve"> Doran</w:t>
      </w:r>
      <w:r w:rsidR="00A46BC7">
        <w:rPr>
          <w:rFonts w:ascii="Times New Roman" w:hAnsi="Times New Roman" w:cs="Times New Roman"/>
          <w:sz w:val="24"/>
          <w:szCs w:val="24"/>
        </w:rPr>
        <w:t>,</w:t>
      </w:r>
      <w:r w:rsidR="001B0D8D" w:rsidRPr="00220ED4">
        <w:rPr>
          <w:rFonts w:ascii="Times New Roman" w:hAnsi="Times New Roman" w:cs="Times New Roman"/>
          <w:sz w:val="24"/>
          <w:szCs w:val="24"/>
        </w:rPr>
        <w:t xml:space="preserve"> and by </w:t>
      </w:r>
      <w:r w:rsidR="00233B7F">
        <w:rPr>
          <w:rFonts w:ascii="Times New Roman" w:hAnsi="Times New Roman" w:cs="Times New Roman"/>
          <w:sz w:val="24"/>
          <w:szCs w:val="24"/>
        </w:rPr>
        <w:t>Mr.</w:t>
      </w:r>
      <w:r w:rsidR="001B0D8D" w:rsidRPr="00220ED4">
        <w:rPr>
          <w:rFonts w:ascii="Times New Roman" w:hAnsi="Times New Roman" w:cs="Times New Roman"/>
          <w:sz w:val="24"/>
          <w:szCs w:val="24"/>
        </w:rPr>
        <w:t xml:space="preserve"> Hardiman on 7 November 2016</w:t>
      </w:r>
      <w:r w:rsidR="00361CA5">
        <w:rPr>
          <w:rFonts w:ascii="Times New Roman" w:hAnsi="Times New Roman" w:cs="Times New Roman"/>
          <w:sz w:val="24"/>
          <w:szCs w:val="24"/>
        </w:rPr>
        <w:t xml:space="preserve"> c</w:t>
      </w:r>
      <w:r w:rsidR="00361CA5" w:rsidRPr="00220ED4">
        <w:rPr>
          <w:rFonts w:ascii="Times New Roman" w:hAnsi="Times New Roman" w:cs="Times New Roman"/>
          <w:sz w:val="24"/>
          <w:szCs w:val="24"/>
        </w:rPr>
        <w:t>onfirming</w:t>
      </w:r>
      <w:r w:rsidR="000A18FC" w:rsidRPr="00220ED4">
        <w:rPr>
          <w:rFonts w:ascii="Times New Roman" w:hAnsi="Times New Roman" w:cs="Times New Roman"/>
          <w:sz w:val="24"/>
          <w:szCs w:val="24"/>
        </w:rPr>
        <w:t xml:space="preserve"> his means of knowledge in respect of th</w:t>
      </w:r>
      <w:r w:rsidR="00361CA5">
        <w:rPr>
          <w:rFonts w:ascii="Times New Roman" w:hAnsi="Times New Roman" w:cs="Times New Roman"/>
          <w:sz w:val="24"/>
          <w:szCs w:val="24"/>
        </w:rPr>
        <w:t>e</w:t>
      </w:r>
      <w:r w:rsidR="000A18FC" w:rsidRPr="00220ED4">
        <w:rPr>
          <w:rFonts w:ascii="Times New Roman" w:hAnsi="Times New Roman" w:cs="Times New Roman"/>
          <w:sz w:val="24"/>
          <w:szCs w:val="24"/>
        </w:rPr>
        <w:t xml:space="preserve"> matters deposed to </w:t>
      </w:r>
      <w:r w:rsidR="00233B7F">
        <w:rPr>
          <w:rFonts w:ascii="Times New Roman" w:hAnsi="Times New Roman" w:cs="Times New Roman"/>
          <w:sz w:val="24"/>
          <w:szCs w:val="24"/>
        </w:rPr>
        <w:t>with</w:t>
      </w:r>
      <w:r w:rsidR="000A18FC" w:rsidRPr="00220ED4">
        <w:rPr>
          <w:rFonts w:ascii="Times New Roman" w:hAnsi="Times New Roman" w:cs="Times New Roman"/>
          <w:sz w:val="24"/>
          <w:szCs w:val="24"/>
        </w:rPr>
        <w:t>in his grounding affidavit.</w:t>
      </w:r>
    </w:p>
    <w:p w14:paraId="4D6E3573" w14:textId="10EA775C" w:rsidR="000A18FC" w:rsidRPr="00220ED4" w:rsidRDefault="000A18FC"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w:t>
      </w:r>
      <w:r w:rsidR="006E7957" w:rsidRPr="00220ED4">
        <w:rPr>
          <w:rFonts w:ascii="Times New Roman" w:hAnsi="Times New Roman" w:cs="Times New Roman"/>
          <w:sz w:val="24"/>
          <w:szCs w:val="24"/>
        </w:rPr>
        <w:t>he first</w:t>
      </w:r>
      <w:r w:rsidR="003C58E8" w:rsidRPr="00220ED4">
        <w:rPr>
          <w:rFonts w:ascii="Times New Roman" w:hAnsi="Times New Roman" w:cs="Times New Roman"/>
          <w:sz w:val="24"/>
          <w:szCs w:val="24"/>
        </w:rPr>
        <w:t xml:space="preserve"> replying</w:t>
      </w:r>
      <w:r w:rsidR="006E7957" w:rsidRPr="00220ED4">
        <w:rPr>
          <w:rFonts w:ascii="Times New Roman" w:hAnsi="Times New Roman" w:cs="Times New Roman"/>
          <w:sz w:val="24"/>
          <w:szCs w:val="24"/>
        </w:rPr>
        <w:t xml:space="preserve"> affidavit of Mr. Doran</w:t>
      </w:r>
      <w:r w:rsidRPr="00220ED4">
        <w:rPr>
          <w:rFonts w:ascii="Times New Roman" w:hAnsi="Times New Roman" w:cs="Times New Roman"/>
          <w:sz w:val="24"/>
          <w:szCs w:val="24"/>
        </w:rPr>
        <w:t xml:space="preserve"> is </w:t>
      </w:r>
      <w:r w:rsidR="006E7957" w:rsidRPr="00220ED4">
        <w:rPr>
          <w:rFonts w:ascii="Times New Roman" w:hAnsi="Times New Roman" w:cs="Times New Roman"/>
          <w:sz w:val="24"/>
          <w:szCs w:val="24"/>
        </w:rPr>
        <w:t>sworn on 22 March 2017, the</w:t>
      </w:r>
      <w:r w:rsidR="00233B7F">
        <w:rPr>
          <w:rFonts w:ascii="Times New Roman" w:hAnsi="Times New Roman" w:cs="Times New Roman"/>
          <w:sz w:val="24"/>
          <w:szCs w:val="24"/>
        </w:rPr>
        <w:t xml:space="preserve"> further</w:t>
      </w:r>
      <w:r w:rsidR="006E7957" w:rsidRPr="00220ED4">
        <w:rPr>
          <w:rFonts w:ascii="Times New Roman" w:hAnsi="Times New Roman" w:cs="Times New Roman"/>
          <w:sz w:val="24"/>
          <w:szCs w:val="24"/>
        </w:rPr>
        <w:t xml:space="preserve"> supplemental affidavit of Mr. Hardiman </w:t>
      </w:r>
      <w:r w:rsidR="00233B7F">
        <w:rPr>
          <w:rFonts w:ascii="Times New Roman" w:hAnsi="Times New Roman" w:cs="Times New Roman"/>
          <w:sz w:val="24"/>
          <w:szCs w:val="24"/>
        </w:rPr>
        <w:t xml:space="preserve">sworn </w:t>
      </w:r>
      <w:r w:rsidR="006E7957" w:rsidRPr="00220ED4">
        <w:rPr>
          <w:rFonts w:ascii="Times New Roman" w:hAnsi="Times New Roman" w:cs="Times New Roman"/>
          <w:sz w:val="24"/>
          <w:szCs w:val="24"/>
        </w:rPr>
        <w:t>on 2 June 2017, the second</w:t>
      </w:r>
      <w:r w:rsidR="003C58E8" w:rsidRPr="00220ED4">
        <w:rPr>
          <w:rFonts w:ascii="Times New Roman" w:hAnsi="Times New Roman" w:cs="Times New Roman"/>
          <w:sz w:val="24"/>
          <w:szCs w:val="24"/>
        </w:rPr>
        <w:t xml:space="preserve"> replying</w:t>
      </w:r>
      <w:r w:rsidR="006E7957" w:rsidRPr="00220ED4">
        <w:rPr>
          <w:rFonts w:ascii="Times New Roman" w:hAnsi="Times New Roman" w:cs="Times New Roman"/>
          <w:sz w:val="24"/>
          <w:szCs w:val="24"/>
        </w:rPr>
        <w:t xml:space="preserve"> affidavit of Mr. Doran sworn on 20 April 2018</w:t>
      </w:r>
      <w:r w:rsidR="00212F1E">
        <w:rPr>
          <w:rFonts w:ascii="Times New Roman" w:hAnsi="Times New Roman" w:cs="Times New Roman"/>
          <w:sz w:val="24"/>
          <w:szCs w:val="24"/>
        </w:rPr>
        <w:t xml:space="preserve"> and</w:t>
      </w:r>
      <w:r w:rsidR="006E7957" w:rsidRPr="00220ED4">
        <w:rPr>
          <w:rFonts w:ascii="Times New Roman" w:hAnsi="Times New Roman" w:cs="Times New Roman"/>
          <w:sz w:val="24"/>
          <w:szCs w:val="24"/>
        </w:rPr>
        <w:t xml:space="preserve"> the affidavit of Paul Lynch (solicitor) sworn on behalf of the Bank on 23 July 2018</w:t>
      </w:r>
      <w:r w:rsidRPr="00220ED4">
        <w:rPr>
          <w:rFonts w:ascii="Times New Roman" w:hAnsi="Times New Roman" w:cs="Times New Roman"/>
          <w:sz w:val="24"/>
          <w:szCs w:val="24"/>
        </w:rPr>
        <w:t>.</w:t>
      </w:r>
    </w:p>
    <w:p w14:paraId="22018BF1" w14:textId="0E0FC61B" w:rsidR="006E7957" w:rsidRPr="00220ED4" w:rsidRDefault="000A18FC"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In </w:t>
      </w:r>
      <w:r w:rsidR="00233B7F" w:rsidRPr="00220ED4">
        <w:rPr>
          <w:rFonts w:ascii="Times New Roman" w:hAnsi="Times New Roman" w:cs="Times New Roman"/>
          <w:sz w:val="24"/>
          <w:szCs w:val="24"/>
        </w:rPr>
        <w:t>addition,</w:t>
      </w:r>
      <w:r w:rsidRPr="00220ED4">
        <w:rPr>
          <w:rFonts w:ascii="Times New Roman" w:hAnsi="Times New Roman" w:cs="Times New Roman"/>
          <w:sz w:val="24"/>
          <w:szCs w:val="24"/>
        </w:rPr>
        <w:t xml:space="preserve"> there is an</w:t>
      </w:r>
      <w:r w:rsidR="006E7957" w:rsidRPr="00220ED4">
        <w:rPr>
          <w:rFonts w:ascii="Times New Roman" w:hAnsi="Times New Roman" w:cs="Times New Roman"/>
          <w:sz w:val="24"/>
          <w:szCs w:val="24"/>
        </w:rPr>
        <w:t xml:space="preserve"> affidavit of </w:t>
      </w:r>
      <w:r w:rsidR="004948CC">
        <w:rPr>
          <w:rFonts w:ascii="Times New Roman" w:hAnsi="Times New Roman" w:cs="Times New Roman"/>
          <w:sz w:val="24"/>
          <w:szCs w:val="24"/>
        </w:rPr>
        <w:t>Mr.</w:t>
      </w:r>
      <w:r w:rsidR="006E7957" w:rsidRPr="00220ED4">
        <w:rPr>
          <w:rFonts w:ascii="Times New Roman" w:hAnsi="Times New Roman" w:cs="Times New Roman"/>
          <w:sz w:val="24"/>
          <w:szCs w:val="24"/>
        </w:rPr>
        <w:t xml:space="preserve"> Doran sworn on 15 </w:t>
      </w:r>
      <w:r w:rsidR="00986540">
        <w:rPr>
          <w:rFonts w:ascii="Times New Roman" w:hAnsi="Times New Roman" w:cs="Times New Roman"/>
          <w:sz w:val="24"/>
          <w:szCs w:val="24"/>
        </w:rPr>
        <w:t>November</w:t>
      </w:r>
      <w:r w:rsidR="006E7957" w:rsidRPr="00220ED4">
        <w:rPr>
          <w:rFonts w:ascii="Times New Roman" w:hAnsi="Times New Roman" w:cs="Times New Roman"/>
          <w:sz w:val="24"/>
          <w:szCs w:val="24"/>
        </w:rPr>
        <w:t xml:space="preserve"> 2012</w:t>
      </w:r>
      <w:r w:rsidR="00361CA5">
        <w:rPr>
          <w:rFonts w:ascii="Times New Roman" w:hAnsi="Times New Roman" w:cs="Times New Roman"/>
          <w:sz w:val="24"/>
          <w:szCs w:val="24"/>
        </w:rPr>
        <w:t xml:space="preserve">, </w:t>
      </w:r>
      <w:r w:rsidR="000127EF" w:rsidRPr="00220ED4">
        <w:rPr>
          <w:rFonts w:ascii="Times New Roman" w:hAnsi="Times New Roman" w:cs="Times New Roman"/>
          <w:sz w:val="24"/>
          <w:szCs w:val="24"/>
        </w:rPr>
        <w:t>prior to the institution of these proceedings and bearing a separate record number [2010/2596S]</w:t>
      </w:r>
      <w:r w:rsidR="00FB55DC">
        <w:rPr>
          <w:rFonts w:ascii="Times New Roman" w:hAnsi="Times New Roman" w:cs="Times New Roman"/>
          <w:sz w:val="24"/>
          <w:szCs w:val="24"/>
        </w:rPr>
        <w:t>.  T</w:t>
      </w:r>
      <w:r w:rsidRPr="00220ED4">
        <w:rPr>
          <w:rFonts w:ascii="Times New Roman" w:hAnsi="Times New Roman" w:cs="Times New Roman"/>
          <w:sz w:val="24"/>
          <w:szCs w:val="24"/>
        </w:rPr>
        <w:t>his is considered separately</w:t>
      </w:r>
      <w:r w:rsidR="006E7957" w:rsidRPr="00220ED4">
        <w:rPr>
          <w:rFonts w:ascii="Times New Roman" w:hAnsi="Times New Roman" w:cs="Times New Roman"/>
          <w:sz w:val="24"/>
          <w:szCs w:val="24"/>
        </w:rPr>
        <w:t>.</w:t>
      </w:r>
    </w:p>
    <w:p w14:paraId="32E42579" w14:textId="77777777" w:rsidR="00FF664D" w:rsidRPr="00220ED4" w:rsidRDefault="00FF664D" w:rsidP="00FF664D">
      <w:pPr>
        <w:pStyle w:val="ListParagraph"/>
        <w:tabs>
          <w:tab w:val="left" w:pos="567"/>
        </w:tabs>
        <w:spacing w:line="480" w:lineRule="auto"/>
        <w:ind w:left="0"/>
        <w:rPr>
          <w:rFonts w:ascii="Times New Roman" w:hAnsi="Times New Roman" w:cs="Times New Roman"/>
          <w:b/>
          <w:sz w:val="24"/>
          <w:szCs w:val="24"/>
          <w:u w:val="single"/>
        </w:rPr>
      </w:pPr>
    </w:p>
    <w:p w14:paraId="31F45CB7" w14:textId="58A4E170" w:rsidR="00FF664D" w:rsidRPr="00220ED4" w:rsidRDefault="00FF664D" w:rsidP="00FF664D">
      <w:pPr>
        <w:pStyle w:val="ListParagraph"/>
        <w:tabs>
          <w:tab w:val="left" w:pos="567"/>
        </w:tabs>
        <w:spacing w:line="480" w:lineRule="auto"/>
        <w:ind w:left="0"/>
        <w:rPr>
          <w:rFonts w:ascii="Times New Roman" w:hAnsi="Times New Roman" w:cs="Times New Roman"/>
          <w:b/>
          <w:sz w:val="24"/>
          <w:szCs w:val="24"/>
          <w:u w:val="single"/>
        </w:rPr>
      </w:pPr>
      <w:r w:rsidRPr="00220ED4">
        <w:rPr>
          <w:rFonts w:ascii="Times New Roman" w:hAnsi="Times New Roman" w:cs="Times New Roman"/>
          <w:b/>
          <w:sz w:val="24"/>
          <w:szCs w:val="24"/>
          <w:u w:val="single"/>
        </w:rPr>
        <w:t>Affidavit</w:t>
      </w:r>
      <w:r w:rsidR="006B78C2">
        <w:rPr>
          <w:rFonts w:ascii="Times New Roman" w:hAnsi="Times New Roman" w:cs="Times New Roman"/>
          <w:b/>
          <w:sz w:val="24"/>
          <w:szCs w:val="24"/>
          <w:u w:val="single"/>
        </w:rPr>
        <w:t>s</w:t>
      </w:r>
    </w:p>
    <w:p w14:paraId="12EC2F04" w14:textId="77777777" w:rsidR="00FF664D" w:rsidRPr="00220ED4" w:rsidRDefault="00FF664D" w:rsidP="00FF664D">
      <w:pPr>
        <w:pStyle w:val="ListParagraph"/>
        <w:tabs>
          <w:tab w:val="left" w:pos="567"/>
        </w:tabs>
        <w:spacing w:line="480" w:lineRule="auto"/>
        <w:ind w:left="0"/>
        <w:rPr>
          <w:rFonts w:ascii="Times New Roman" w:hAnsi="Times New Roman" w:cs="Times New Roman"/>
          <w:b/>
          <w:sz w:val="24"/>
          <w:szCs w:val="24"/>
          <w:u w:val="single"/>
        </w:rPr>
      </w:pPr>
    </w:p>
    <w:p w14:paraId="1849ED22" w14:textId="401CB1C9" w:rsidR="00233B7F" w:rsidRPr="00BF1296" w:rsidRDefault="006E7957" w:rsidP="00233B7F">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The Grounding Affidavit of Mr. Hardiman is limited in scope.  It essentially reiterates the matters set out in the summary summons.  At para. 7, Mr. Hardiman avers that </w:t>
      </w:r>
      <w:r w:rsidRPr="00220ED4">
        <w:rPr>
          <w:rFonts w:ascii="Times New Roman" w:hAnsi="Times New Roman" w:cs="Times New Roman"/>
          <w:i/>
          <w:sz w:val="24"/>
          <w:szCs w:val="24"/>
        </w:rPr>
        <w:t xml:space="preserve">“the Defendants and each of them were indebted to the Plaintiff in the sum of €521,082.26 on foot of the said loan account full particulars of which have been furnished to the </w:t>
      </w:r>
      <w:r w:rsidR="002E3F01">
        <w:rPr>
          <w:rFonts w:ascii="Times New Roman" w:hAnsi="Times New Roman" w:cs="Times New Roman"/>
          <w:i/>
          <w:sz w:val="24"/>
          <w:szCs w:val="24"/>
        </w:rPr>
        <w:t>D</w:t>
      </w:r>
      <w:r w:rsidRPr="00220ED4">
        <w:rPr>
          <w:rFonts w:ascii="Times New Roman" w:hAnsi="Times New Roman" w:cs="Times New Roman"/>
          <w:i/>
          <w:sz w:val="24"/>
          <w:szCs w:val="24"/>
        </w:rPr>
        <w:t xml:space="preserve">efendants by means of regular statements”.  </w:t>
      </w:r>
    </w:p>
    <w:p w14:paraId="4887D87D" w14:textId="0D9C2162" w:rsidR="006E7957" w:rsidRPr="00220ED4" w:rsidRDefault="006E7957" w:rsidP="003C58E8">
      <w:pPr>
        <w:pStyle w:val="ListParagraph"/>
        <w:tabs>
          <w:tab w:val="left" w:pos="567"/>
        </w:tabs>
        <w:spacing w:line="480" w:lineRule="auto"/>
        <w:ind w:left="0"/>
        <w:rPr>
          <w:rFonts w:ascii="Times New Roman" w:hAnsi="Times New Roman" w:cs="Times New Roman"/>
          <w:b/>
          <w:sz w:val="24"/>
          <w:szCs w:val="24"/>
          <w:u w:val="single"/>
        </w:rPr>
      </w:pPr>
      <w:r w:rsidRPr="00233B7F">
        <w:rPr>
          <w:rFonts w:ascii="Times New Roman" w:hAnsi="Times New Roman" w:cs="Times New Roman"/>
          <w:sz w:val="24"/>
          <w:szCs w:val="24"/>
        </w:rPr>
        <w:t xml:space="preserve">It further notes and exhibits the letters of demand issued on 5 May 2015.  </w:t>
      </w:r>
      <w:r w:rsidR="003C58E8" w:rsidRPr="00220ED4">
        <w:rPr>
          <w:rFonts w:ascii="Times New Roman" w:hAnsi="Times New Roman" w:cs="Times New Roman"/>
          <w:sz w:val="24"/>
          <w:szCs w:val="24"/>
        </w:rPr>
        <w:t xml:space="preserve">That </w:t>
      </w:r>
      <w:r w:rsidRPr="00220ED4">
        <w:rPr>
          <w:rFonts w:ascii="Times New Roman" w:hAnsi="Times New Roman" w:cs="Times New Roman"/>
          <w:sz w:val="24"/>
          <w:szCs w:val="24"/>
        </w:rPr>
        <w:t>letter of demand</w:t>
      </w:r>
      <w:r w:rsidR="00233B7F">
        <w:rPr>
          <w:rFonts w:ascii="Times New Roman" w:hAnsi="Times New Roman" w:cs="Times New Roman"/>
          <w:sz w:val="24"/>
          <w:szCs w:val="24"/>
        </w:rPr>
        <w:t>, addressed to</w:t>
      </w:r>
      <w:r w:rsidRPr="00220ED4">
        <w:rPr>
          <w:rFonts w:ascii="Times New Roman" w:hAnsi="Times New Roman" w:cs="Times New Roman"/>
          <w:sz w:val="24"/>
          <w:szCs w:val="24"/>
        </w:rPr>
        <w:t xml:space="preserve"> Mr. Doran</w:t>
      </w:r>
      <w:r w:rsidR="00233B7F">
        <w:rPr>
          <w:rFonts w:ascii="Times New Roman" w:hAnsi="Times New Roman" w:cs="Times New Roman"/>
          <w:sz w:val="24"/>
          <w:szCs w:val="24"/>
        </w:rPr>
        <w:t>,</w:t>
      </w:r>
      <w:r w:rsidRPr="00220ED4">
        <w:rPr>
          <w:rFonts w:ascii="Times New Roman" w:hAnsi="Times New Roman" w:cs="Times New Roman"/>
          <w:sz w:val="24"/>
          <w:szCs w:val="24"/>
        </w:rPr>
        <w:t xml:space="preserve"> is in the following terms: </w:t>
      </w:r>
    </w:p>
    <w:p w14:paraId="1E890B01" w14:textId="1DB99ABB" w:rsidR="006E7957" w:rsidRPr="00220ED4" w:rsidRDefault="006E7957" w:rsidP="006E7957">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“We refer to previous correspondence.  It has been not</w:t>
      </w:r>
      <w:r w:rsidR="002E3F01">
        <w:rPr>
          <w:rFonts w:ascii="Times New Roman" w:hAnsi="Times New Roman" w:cs="Times New Roman"/>
          <w:i/>
          <w:sz w:val="24"/>
          <w:szCs w:val="24"/>
        </w:rPr>
        <w:t>ed</w:t>
      </w:r>
      <w:r w:rsidRPr="00220ED4">
        <w:rPr>
          <w:rFonts w:ascii="Times New Roman" w:hAnsi="Times New Roman" w:cs="Times New Roman"/>
          <w:i/>
          <w:sz w:val="24"/>
          <w:szCs w:val="24"/>
        </w:rPr>
        <w:t xml:space="preserve"> that the demand issued by our client on 24</w:t>
      </w:r>
      <w:r w:rsidR="002E3F01" w:rsidRPr="00A34FFC">
        <w:rPr>
          <w:rFonts w:ascii="Times New Roman" w:hAnsi="Times New Roman" w:cs="Times New Roman"/>
          <w:i/>
          <w:sz w:val="24"/>
          <w:szCs w:val="24"/>
          <w:vertAlign w:val="superscript"/>
        </w:rPr>
        <w:t>th</w:t>
      </w:r>
      <w:r w:rsidRPr="00220ED4">
        <w:rPr>
          <w:rFonts w:ascii="Times New Roman" w:hAnsi="Times New Roman" w:cs="Times New Roman"/>
          <w:i/>
          <w:sz w:val="24"/>
          <w:szCs w:val="24"/>
        </w:rPr>
        <w:t xml:space="preserve"> November 2014 did not refer to the most recent credit agreement.  Accordingly the said demand is hereby withdrawn.</w:t>
      </w:r>
    </w:p>
    <w:p w14:paraId="18DC8D02" w14:textId="77777777" w:rsidR="003C58E8" w:rsidRPr="00220ED4" w:rsidRDefault="003C58E8" w:rsidP="006E7957">
      <w:pPr>
        <w:pStyle w:val="ListParagraph"/>
        <w:spacing w:line="480" w:lineRule="auto"/>
        <w:ind w:left="567"/>
        <w:rPr>
          <w:rFonts w:ascii="Times New Roman" w:hAnsi="Times New Roman" w:cs="Times New Roman"/>
          <w:i/>
          <w:sz w:val="24"/>
          <w:szCs w:val="24"/>
        </w:rPr>
      </w:pPr>
    </w:p>
    <w:p w14:paraId="0A77E5CE" w14:textId="6CA4A209" w:rsidR="006E7957" w:rsidRPr="00220ED4" w:rsidRDefault="006E7957" w:rsidP="006E7957">
      <w:pPr>
        <w:pStyle w:val="ListParagraph"/>
        <w:spacing w:line="480" w:lineRule="auto"/>
        <w:ind w:left="567"/>
        <w:rPr>
          <w:rFonts w:ascii="Times New Roman" w:hAnsi="Times New Roman" w:cs="Times New Roman"/>
          <w:b/>
          <w:sz w:val="24"/>
          <w:szCs w:val="24"/>
          <w:u w:val="single"/>
        </w:rPr>
      </w:pPr>
      <w:r w:rsidRPr="00220ED4">
        <w:rPr>
          <w:rFonts w:ascii="Times New Roman" w:hAnsi="Times New Roman" w:cs="Times New Roman"/>
          <w:i/>
          <w:sz w:val="24"/>
          <w:szCs w:val="24"/>
        </w:rPr>
        <w:t>We are advised by our client that the following amount is due and owing by you to its branch office at Ashbourne on foot of a Letter of Sanction dated 7</w:t>
      </w:r>
      <w:r w:rsidR="002E3F01" w:rsidRPr="00A34FFC">
        <w:rPr>
          <w:rFonts w:ascii="Times New Roman" w:hAnsi="Times New Roman" w:cs="Times New Roman"/>
          <w:i/>
          <w:sz w:val="24"/>
          <w:szCs w:val="24"/>
          <w:vertAlign w:val="superscript"/>
        </w:rPr>
        <w:t>th</w:t>
      </w:r>
      <w:r w:rsidRPr="00220ED4">
        <w:rPr>
          <w:rFonts w:ascii="Times New Roman" w:hAnsi="Times New Roman" w:cs="Times New Roman"/>
          <w:i/>
          <w:sz w:val="24"/>
          <w:szCs w:val="24"/>
        </w:rPr>
        <w:t xml:space="preserve"> December 2010.” </w:t>
      </w:r>
    </w:p>
    <w:p w14:paraId="34B7CB68" w14:textId="601A5227" w:rsidR="006E7957" w:rsidRPr="00220ED4" w:rsidRDefault="006E7957" w:rsidP="006E7957">
      <w:pPr>
        <w:pStyle w:val="ListParagraph"/>
        <w:tabs>
          <w:tab w:val="left" w:pos="567"/>
        </w:tabs>
        <w:spacing w:line="480" w:lineRule="auto"/>
        <w:ind w:left="0"/>
        <w:rPr>
          <w:rFonts w:ascii="Times New Roman" w:hAnsi="Times New Roman" w:cs="Times New Roman"/>
          <w:sz w:val="24"/>
          <w:szCs w:val="24"/>
        </w:rPr>
      </w:pPr>
      <w:r w:rsidRPr="00220ED4">
        <w:rPr>
          <w:rFonts w:ascii="Times New Roman" w:hAnsi="Times New Roman" w:cs="Times New Roman"/>
          <w:sz w:val="24"/>
          <w:szCs w:val="24"/>
        </w:rPr>
        <w:lastRenderedPageBreak/>
        <w:tab/>
      </w:r>
    </w:p>
    <w:p w14:paraId="0A0317C5" w14:textId="77777777" w:rsidR="006E7957" w:rsidRPr="00220ED4" w:rsidRDefault="006E7957" w:rsidP="006E7957">
      <w:pPr>
        <w:pStyle w:val="ListParagraph"/>
        <w:spacing w:line="480" w:lineRule="auto"/>
        <w:ind w:left="567"/>
        <w:jc w:val="left"/>
        <w:rPr>
          <w:rFonts w:ascii="Times New Roman" w:hAnsi="Times New Roman" w:cs="Times New Roman"/>
          <w:b/>
          <w:sz w:val="24"/>
          <w:szCs w:val="24"/>
          <w:u w:val="single"/>
        </w:rPr>
      </w:pPr>
      <w:r w:rsidRPr="00220ED4">
        <w:rPr>
          <w:rFonts w:ascii="Times New Roman" w:hAnsi="Times New Roman" w:cs="Times New Roman"/>
          <w:b/>
          <w:sz w:val="24"/>
          <w:szCs w:val="24"/>
          <w:u w:val="single"/>
        </w:rPr>
        <w:t>Loan Account Number 932396-17892106:</w:t>
      </w:r>
    </w:p>
    <w:p w14:paraId="33B3A2E1" w14:textId="77777777" w:rsidR="006E7957" w:rsidRPr="00220ED4" w:rsidRDefault="006E7957" w:rsidP="006E7957">
      <w:pPr>
        <w:pStyle w:val="ListParagraph"/>
        <w:spacing w:line="480" w:lineRule="auto"/>
        <w:ind w:left="567"/>
        <w:jc w:val="left"/>
        <w:rPr>
          <w:rFonts w:ascii="Times New Roman" w:hAnsi="Times New Roman" w:cs="Times New Roman"/>
          <w:i/>
          <w:sz w:val="24"/>
          <w:szCs w:val="24"/>
        </w:rPr>
      </w:pPr>
      <w:r w:rsidRPr="00220ED4">
        <w:rPr>
          <w:rFonts w:ascii="Times New Roman" w:hAnsi="Times New Roman" w:cs="Times New Roman"/>
          <w:i/>
          <w:sz w:val="24"/>
          <w:szCs w:val="24"/>
        </w:rPr>
        <w:t>22/4/2015</w:t>
      </w:r>
    </w:p>
    <w:p w14:paraId="0D7C6211" w14:textId="77777777" w:rsidR="006E7957" w:rsidRPr="00220ED4" w:rsidRDefault="006E7957" w:rsidP="006E7957">
      <w:pPr>
        <w:pStyle w:val="ListParagraph"/>
        <w:spacing w:line="480" w:lineRule="auto"/>
        <w:ind w:left="567"/>
        <w:jc w:val="left"/>
        <w:rPr>
          <w:rFonts w:ascii="Times New Roman" w:hAnsi="Times New Roman" w:cs="Times New Roman"/>
          <w:i/>
          <w:sz w:val="24"/>
          <w:szCs w:val="24"/>
        </w:rPr>
      </w:pPr>
      <w:r w:rsidRPr="00220ED4">
        <w:rPr>
          <w:rFonts w:ascii="Times New Roman" w:hAnsi="Times New Roman" w:cs="Times New Roman"/>
          <w:i/>
          <w:sz w:val="24"/>
          <w:szCs w:val="24"/>
        </w:rPr>
        <w:t xml:space="preserve">Amount due at this stage:  </w:t>
      </w:r>
      <w:r w:rsidRPr="00220ED4">
        <w:rPr>
          <w:rFonts w:ascii="Times New Roman" w:hAnsi="Times New Roman" w:cs="Times New Roman"/>
          <w:i/>
          <w:sz w:val="24"/>
          <w:szCs w:val="24"/>
        </w:rPr>
        <w:tab/>
      </w:r>
      <w:r w:rsidRPr="00220ED4">
        <w:rPr>
          <w:rFonts w:ascii="Times New Roman" w:hAnsi="Times New Roman" w:cs="Times New Roman"/>
          <w:i/>
          <w:sz w:val="24"/>
          <w:szCs w:val="24"/>
        </w:rPr>
        <w:tab/>
        <w:t>€521,082.26”</w:t>
      </w:r>
    </w:p>
    <w:p w14:paraId="4D7D1097" w14:textId="39B969F8" w:rsidR="003C58E8" w:rsidRPr="00220ED4" w:rsidRDefault="003C58E8" w:rsidP="006E7957">
      <w:pPr>
        <w:pStyle w:val="ListParagraph"/>
        <w:tabs>
          <w:tab w:val="left" w:pos="567"/>
        </w:tabs>
        <w:spacing w:line="480" w:lineRule="auto"/>
        <w:ind w:left="0"/>
        <w:jc w:val="left"/>
        <w:rPr>
          <w:rFonts w:ascii="Times New Roman" w:hAnsi="Times New Roman" w:cs="Times New Roman"/>
          <w:sz w:val="24"/>
          <w:szCs w:val="24"/>
        </w:rPr>
      </w:pPr>
      <w:r w:rsidRPr="00220ED4">
        <w:rPr>
          <w:rFonts w:ascii="Times New Roman" w:hAnsi="Times New Roman" w:cs="Times New Roman"/>
          <w:sz w:val="24"/>
          <w:szCs w:val="24"/>
        </w:rPr>
        <w:t>Thereafter, demand is made for that amount.</w:t>
      </w:r>
    </w:p>
    <w:p w14:paraId="3A6EBFF7" w14:textId="3F6D9866"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In his replying affidavit sworn on 22 March 2017, Mr. Doran</w:t>
      </w:r>
      <w:r w:rsidR="00233B7F">
        <w:rPr>
          <w:rFonts w:ascii="Times New Roman" w:hAnsi="Times New Roman" w:cs="Times New Roman"/>
          <w:sz w:val="24"/>
          <w:szCs w:val="24"/>
        </w:rPr>
        <w:t>, referencing the May 2015 letter of demand</w:t>
      </w:r>
      <w:r w:rsidR="00212F1E">
        <w:rPr>
          <w:rFonts w:ascii="Times New Roman" w:hAnsi="Times New Roman" w:cs="Times New Roman"/>
          <w:sz w:val="24"/>
          <w:szCs w:val="24"/>
        </w:rPr>
        <w:t>,</w:t>
      </w:r>
      <w:r w:rsidRPr="00220ED4">
        <w:rPr>
          <w:rFonts w:ascii="Times New Roman" w:hAnsi="Times New Roman" w:cs="Times New Roman"/>
          <w:sz w:val="24"/>
          <w:szCs w:val="24"/>
        </w:rPr>
        <w:t xml:space="preserve"> takes issue with the 2010 letter</w:t>
      </w:r>
      <w:r w:rsidR="00233B7F">
        <w:rPr>
          <w:rFonts w:ascii="Times New Roman" w:hAnsi="Times New Roman" w:cs="Times New Roman"/>
          <w:sz w:val="24"/>
          <w:szCs w:val="24"/>
        </w:rPr>
        <w:t xml:space="preserve"> of sanction</w:t>
      </w:r>
      <w:r w:rsidR="00650A9D">
        <w:rPr>
          <w:rFonts w:ascii="Times New Roman" w:hAnsi="Times New Roman" w:cs="Times New Roman"/>
          <w:sz w:val="24"/>
          <w:szCs w:val="24"/>
        </w:rPr>
        <w:t xml:space="preserve"> (‘the 2010 facility letter’)</w:t>
      </w:r>
      <w:r w:rsidR="00233B7F">
        <w:rPr>
          <w:rFonts w:ascii="Times New Roman" w:hAnsi="Times New Roman" w:cs="Times New Roman"/>
          <w:sz w:val="24"/>
          <w:szCs w:val="24"/>
        </w:rPr>
        <w:t>.</w:t>
      </w:r>
    </w:p>
    <w:p w14:paraId="45C72BE4" w14:textId="27FDA75C" w:rsidR="006E7957" w:rsidRPr="00220ED4" w:rsidRDefault="006E7957" w:rsidP="006E7957">
      <w:pPr>
        <w:pStyle w:val="ListParagraph"/>
        <w:numPr>
          <w:ilvl w:val="0"/>
          <w:numId w:val="2"/>
        </w:numPr>
        <w:tabs>
          <w:tab w:val="left" w:pos="567"/>
        </w:tabs>
        <w:spacing w:line="480" w:lineRule="auto"/>
        <w:rPr>
          <w:rFonts w:ascii="Times New Roman" w:hAnsi="Times New Roman" w:cs="Times New Roman"/>
          <w:sz w:val="24"/>
          <w:szCs w:val="24"/>
        </w:rPr>
      </w:pPr>
      <w:r w:rsidRPr="00220ED4">
        <w:rPr>
          <w:rFonts w:ascii="Times New Roman" w:hAnsi="Times New Roman" w:cs="Times New Roman"/>
          <w:sz w:val="24"/>
          <w:szCs w:val="24"/>
        </w:rPr>
        <w:t>At para. 5 he avers:</w:t>
      </w:r>
      <w:r w:rsidR="00024708">
        <w:rPr>
          <w:rFonts w:ascii="Times New Roman" w:hAnsi="Times New Roman" w:cs="Times New Roman"/>
          <w:sz w:val="24"/>
          <w:szCs w:val="24"/>
        </w:rPr>
        <w:t xml:space="preserve"> </w:t>
      </w:r>
      <w:r w:rsidR="001C7CC0">
        <w:rPr>
          <w:rFonts w:ascii="Times New Roman" w:hAnsi="Times New Roman" w:cs="Times New Roman"/>
          <w:i/>
          <w:sz w:val="24"/>
          <w:szCs w:val="24"/>
        </w:rPr>
        <w:t>‘</w:t>
      </w:r>
      <w:r w:rsidR="005D6E22">
        <w:rPr>
          <w:rFonts w:ascii="Times New Roman" w:hAnsi="Times New Roman" w:cs="Times New Roman"/>
          <w:i/>
          <w:sz w:val="24"/>
          <w:szCs w:val="24"/>
        </w:rPr>
        <w:t xml:space="preserve">Significantly </w:t>
      </w:r>
      <w:r w:rsidRPr="004F47AA">
        <w:rPr>
          <w:rFonts w:ascii="Times New Roman" w:hAnsi="Times New Roman" w:cs="Times New Roman"/>
          <w:i/>
          <w:sz w:val="24"/>
          <w:szCs w:val="24"/>
        </w:rPr>
        <w:t xml:space="preserve">I say that the Plaintiff does not identify the basis upon which the loan account is outstanding. I say that the Plaintiff simply says that “the Defendants and each of them maintain a loan account…” and that, as a letter of demand has gone unsatisfied, this amount is allegedly due and owing. I say that the only evidence adduced by the Plaintiff in relation to the alleged debt are letters of demand included at Exhibit A of Mr Hardiman’s Affidavit. I say on a prima facie basis these are evidence only that the </w:t>
      </w:r>
      <w:r w:rsidR="006960CE">
        <w:rPr>
          <w:rFonts w:ascii="Times New Roman" w:hAnsi="Times New Roman" w:cs="Times New Roman"/>
          <w:i/>
          <w:sz w:val="24"/>
          <w:szCs w:val="24"/>
        </w:rPr>
        <w:t>P</w:t>
      </w:r>
      <w:r w:rsidRPr="004F47AA">
        <w:rPr>
          <w:rFonts w:ascii="Times New Roman" w:hAnsi="Times New Roman" w:cs="Times New Roman"/>
          <w:i/>
          <w:sz w:val="24"/>
          <w:szCs w:val="24"/>
        </w:rPr>
        <w:t xml:space="preserve">laintiff sought repayment in respect of an alleged debt and they are manifestly not evidence that the underlying amount sought by the </w:t>
      </w:r>
      <w:r w:rsidR="006960CE">
        <w:rPr>
          <w:rFonts w:ascii="Times New Roman" w:hAnsi="Times New Roman" w:cs="Times New Roman"/>
          <w:i/>
          <w:sz w:val="24"/>
          <w:szCs w:val="24"/>
        </w:rPr>
        <w:t>P</w:t>
      </w:r>
      <w:r w:rsidRPr="004F47AA">
        <w:rPr>
          <w:rFonts w:ascii="Times New Roman" w:hAnsi="Times New Roman" w:cs="Times New Roman"/>
          <w:i/>
          <w:sz w:val="24"/>
          <w:szCs w:val="24"/>
        </w:rPr>
        <w:t>laintiff is due and owing or that I have any connection to the loan account specified. I say</w:t>
      </w:r>
      <w:r w:rsidR="006960CE">
        <w:rPr>
          <w:rFonts w:ascii="Times New Roman" w:hAnsi="Times New Roman" w:cs="Times New Roman"/>
          <w:i/>
          <w:sz w:val="24"/>
          <w:szCs w:val="24"/>
        </w:rPr>
        <w:t>,</w:t>
      </w:r>
      <w:r w:rsidRPr="004F47AA">
        <w:rPr>
          <w:rFonts w:ascii="Times New Roman" w:hAnsi="Times New Roman" w:cs="Times New Roman"/>
          <w:i/>
          <w:sz w:val="24"/>
          <w:szCs w:val="24"/>
        </w:rPr>
        <w:t xml:space="preserve"> believe and am advised that on the Plaintiff’s own proceedings, even taken at their height, there is no evidence before this Honourable Court that I owe the Plaintiff the sum sought.</w:t>
      </w:r>
      <w:r w:rsidR="004F47AA">
        <w:rPr>
          <w:rFonts w:ascii="Times New Roman" w:hAnsi="Times New Roman" w:cs="Times New Roman"/>
          <w:i/>
          <w:sz w:val="24"/>
          <w:szCs w:val="24"/>
        </w:rPr>
        <w:t>’</w:t>
      </w:r>
      <w:r w:rsidRPr="00220ED4">
        <w:rPr>
          <w:rFonts w:ascii="Times New Roman" w:hAnsi="Times New Roman" w:cs="Times New Roman"/>
          <w:sz w:val="24"/>
          <w:szCs w:val="24"/>
        </w:rPr>
        <w:t xml:space="preserve"> </w:t>
      </w:r>
    </w:p>
    <w:p w14:paraId="6234E423" w14:textId="2D9805EB" w:rsidR="00233B7F" w:rsidRPr="00233B7F" w:rsidRDefault="006E7957" w:rsidP="00233B7F">
      <w:pPr>
        <w:pStyle w:val="ListParagraph"/>
        <w:numPr>
          <w:ilvl w:val="0"/>
          <w:numId w:val="2"/>
        </w:numPr>
        <w:tabs>
          <w:tab w:val="left" w:pos="567"/>
        </w:tabs>
        <w:spacing w:line="480" w:lineRule="auto"/>
        <w:rPr>
          <w:rFonts w:ascii="Times New Roman" w:hAnsi="Times New Roman" w:cs="Times New Roman"/>
          <w:strike/>
          <w:sz w:val="24"/>
          <w:szCs w:val="24"/>
        </w:rPr>
      </w:pPr>
      <w:r w:rsidRPr="00233B7F">
        <w:rPr>
          <w:rFonts w:ascii="Times New Roman" w:hAnsi="Times New Roman" w:cs="Times New Roman"/>
          <w:sz w:val="24"/>
          <w:szCs w:val="24"/>
        </w:rPr>
        <w:t>At paragraph 7</w:t>
      </w:r>
      <w:r w:rsidR="00233B7F">
        <w:rPr>
          <w:rFonts w:ascii="Times New Roman" w:hAnsi="Times New Roman" w:cs="Times New Roman"/>
          <w:sz w:val="24"/>
          <w:szCs w:val="24"/>
        </w:rPr>
        <w:t xml:space="preserve">; </w:t>
      </w:r>
      <w:r w:rsidRPr="00233B7F">
        <w:rPr>
          <w:rFonts w:ascii="Times New Roman" w:hAnsi="Times New Roman" w:cs="Times New Roman"/>
          <w:sz w:val="24"/>
          <w:szCs w:val="24"/>
        </w:rPr>
        <w:t>‘</w:t>
      </w:r>
      <w:r w:rsidR="005B3636" w:rsidRPr="00233B7F">
        <w:rPr>
          <w:rFonts w:ascii="Times New Roman" w:hAnsi="Times New Roman" w:cs="Times New Roman"/>
          <w:i/>
          <w:sz w:val="24"/>
          <w:szCs w:val="24"/>
        </w:rPr>
        <w:t>Strictly without prejudice</w:t>
      </w:r>
      <w:r w:rsidR="005B3636" w:rsidRPr="00233B7F">
        <w:rPr>
          <w:rFonts w:ascii="Times New Roman" w:hAnsi="Times New Roman" w:cs="Times New Roman"/>
          <w:sz w:val="24"/>
          <w:szCs w:val="24"/>
        </w:rPr>
        <w:t xml:space="preserve"> ……</w:t>
      </w:r>
      <w:r w:rsidR="001638B7" w:rsidRPr="00233B7F">
        <w:rPr>
          <w:rFonts w:ascii="Times New Roman" w:hAnsi="Times New Roman" w:cs="Times New Roman"/>
          <w:i/>
          <w:sz w:val="24"/>
          <w:szCs w:val="24"/>
        </w:rPr>
        <w:t xml:space="preserve">I say that the reason why the </w:t>
      </w:r>
      <w:r w:rsidR="00270FF5" w:rsidRPr="00233B7F">
        <w:rPr>
          <w:rFonts w:ascii="Times New Roman" w:hAnsi="Times New Roman" w:cs="Times New Roman"/>
          <w:i/>
          <w:sz w:val="24"/>
          <w:szCs w:val="24"/>
        </w:rPr>
        <w:t>Plaintiff</w:t>
      </w:r>
      <w:r w:rsidR="001638B7" w:rsidRPr="00233B7F">
        <w:rPr>
          <w:rFonts w:ascii="Times New Roman" w:hAnsi="Times New Roman" w:cs="Times New Roman"/>
          <w:i/>
          <w:sz w:val="24"/>
          <w:szCs w:val="24"/>
        </w:rPr>
        <w:t xml:space="preserve"> has proceeded in this fashion is due to the fact that </w:t>
      </w:r>
      <w:r w:rsidRPr="00233B7F">
        <w:rPr>
          <w:rFonts w:ascii="Times New Roman" w:hAnsi="Times New Roman" w:cs="Times New Roman"/>
          <w:i/>
          <w:sz w:val="24"/>
          <w:szCs w:val="24"/>
        </w:rPr>
        <w:t>I never signed the letter of sanction provided by the Plaintiff in respect of the loan</w:t>
      </w:r>
      <w:r w:rsidR="00AF7693">
        <w:rPr>
          <w:rFonts w:ascii="Times New Roman" w:hAnsi="Times New Roman" w:cs="Times New Roman"/>
          <w:i/>
          <w:sz w:val="24"/>
          <w:szCs w:val="24"/>
        </w:rPr>
        <w:t>.  I say therefore that I am not a party to the loan the subject matter of these proceedings and I say believe</w:t>
      </w:r>
      <w:r w:rsidR="00893186">
        <w:rPr>
          <w:rFonts w:ascii="Times New Roman" w:hAnsi="Times New Roman" w:cs="Times New Roman"/>
          <w:i/>
          <w:sz w:val="24"/>
          <w:szCs w:val="24"/>
        </w:rPr>
        <w:t xml:space="preserve"> </w:t>
      </w:r>
      <w:r w:rsidR="00AF7693" w:rsidRPr="00151BF0">
        <w:rPr>
          <w:rFonts w:ascii="Times New Roman" w:hAnsi="Times New Roman" w:cs="Times New Roman"/>
          <w:iCs/>
          <w:sz w:val="24"/>
          <w:szCs w:val="24"/>
        </w:rPr>
        <w:t>(sic)</w:t>
      </w:r>
      <w:r w:rsidR="00AF7693">
        <w:rPr>
          <w:rFonts w:ascii="Times New Roman" w:hAnsi="Times New Roman" w:cs="Times New Roman"/>
          <w:i/>
          <w:sz w:val="24"/>
          <w:szCs w:val="24"/>
        </w:rPr>
        <w:t xml:space="preserve"> and am advised </w:t>
      </w:r>
      <w:r w:rsidR="001C7CC0">
        <w:rPr>
          <w:rFonts w:ascii="Times New Roman" w:hAnsi="Times New Roman" w:cs="Times New Roman"/>
          <w:i/>
          <w:sz w:val="24"/>
          <w:szCs w:val="24"/>
        </w:rPr>
        <w:t>there is no basis upon which the Plaintiff is entitled to seek recourse against me</w:t>
      </w:r>
      <w:r w:rsidRPr="00233B7F">
        <w:rPr>
          <w:rFonts w:ascii="Times New Roman" w:hAnsi="Times New Roman" w:cs="Times New Roman"/>
          <w:sz w:val="24"/>
          <w:szCs w:val="24"/>
        </w:rPr>
        <w:t xml:space="preserve">’.  </w:t>
      </w:r>
    </w:p>
    <w:p w14:paraId="04EB9669" w14:textId="19231FDF" w:rsidR="006E7957" w:rsidRPr="00233B7F" w:rsidRDefault="00253A61" w:rsidP="00233B7F">
      <w:pPr>
        <w:pStyle w:val="ListParagraph"/>
        <w:tabs>
          <w:tab w:val="left" w:pos="567"/>
        </w:tabs>
        <w:spacing w:line="480" w:lineRule="auto"/>
        <w:ind w:left="360"/>
        <w:rPr>
          <w:rFonts w:ascii="Times New Roman" w:hAnsi="Times New Roman" w:cs="Times New Roman"/>
          <w:strike/>
          <w:sz w:val="24"/>
          <w:szCs w:val="24"/>
        </w:rPr>
      </w:pPr>
      <w:r w:rsidRPr="00233B7F">
        <w:rPr>
          <w:rFonts w:ascii="Times New Roman" w:hAnsi="Times New Roman" w:cs="Times New Roman"/>
          <w:sz w:val="24"/>
          <w:szCs w:val="24"/>
        </w:rPr>
        <w:t>Mr</w:t>
      </w:r>
      <w:r w:rsidR="00E84FA4">
        <w:rPr>
          <w:rFonts w:ascii="Times New Roman" w:hAnsi="Times New Roman" w:cs="Times New Roman"/>
          <w:sz w:val="24"/>
          <w:szCs w:val="24"/>
        </w:rPr>
        <w:t>.</w:t>
      </w:r>
      <w:r w:rsidRPr="00233B7F">
        <w:rPr>
          <w:rFonts w:ascii="Times New Roman" w:hAnsi="Times New Roman" w:cs="Times New Roman"/>
          <w:sz w:val="24"/>
          <w:szCs w:val="24"/>
        </w:rPr>
        <w:t xml:space="preserve"> Doran</w:t>
      </w:r>
      <w:r w:rsidR="006E7957" w:rsidRPr="00233B7F">
        <w:rPr>
          <w:rFonts w:ascii="Times New Roman" w:hAnsi="Times New Roman" w:cs="Times New Roman"/>
          <w:sz w:val="24"/>
          <w:szCs w:val="24"/>
        </w:rPr>
        <w:t xml:space="preserve"> then exhibits a</w:t>
      </w:r>
      <w:r w:rsidR="00A04BDF" w:rsidRPr="00233B7F">
        <w:rPr>
          <w:rFonts w:ascii="Times New Roman" w:hAnsi="Times New Roman" w:cs="Times New Roman"/>
          <w:sz w:val="24"/>
          <w:szCs w:val="24"/>
        </w:rPr>
        <w:t xml:space="preserve"> </w:t>
      </w:r>
      <w:r w:rsidR="006E7957" w:rsidRPr="00233B7F">
        <w:rPr>
          <w:rFonts w:ascii="Times New Roman" w:hAnsi="Times New Roman" w:cs="Times New Roman"/>
          <w:sz w:val="24"/>
          <w:szCs w:val="24"/>
        </w:rPr>
        <w:t>facility letter dated 7 November 2008</w:t>
      </w:r>
      <w:r w:rsidR="00A04BDF" w:rsidRPr="00233B7F">
        <w:rPr>
          <w:rFonts w:ascii="Times New Roman" w:hAnsi="Times New Roman" w:cs="Times New Roman"/>
          <w:sz w:val="24"/>
          <w:szCs w:val="24"/>
        </w:rPr>
        <w:t xml:space="preserve"> </w:t>
      </w:r>
      <w:r w:rsidRPr="00233B7F">
        <w:rPr>
          <w:rFonts w:ascii="Times New Roman" w:hAnsi="Times New Roman" w:cs="Times New Roman"/>
          <w:sz w:val="24"/>
          <w:szCs w:val="24"/>
        </w:rPr>
        <w:t>(</w:t>
      </w:r>
      <w:r w:rsidR="00A04BDF" w:rsidRPr="00233B7F">
        <w:rPr>
          <w:rFonts w:ascii="Times New Roman" w:hAnsi="Times New Roman" w:cs="Times New Roman"/>
          <w:sz w:val="24"/>
          <w:szCs w:val="24"/>
        </w:rPr>
        <w:t>which appear</w:t>
      </w:r>
      <w:r w:rsidRPr="00233B7F">
        <w:rPr>
          <w:rFonts w:ascii="Times New Roman" w:hAnsi="Times New Roman" w:cs="Times New Roman"/>
          <w:sz w:val="24"/>
          <w:szCs w:val="24"/>
        </w:rPr>
        <w:t>s</w:t>
      </w:r>
      <w:r w:rsidR="00A04BDF" w:rsidRPr="00233B7F">
        <w:rPr>
          <w:rFonts w:ascii="Times New Roman" w:hAnsi="Times New Roman" w:cs="Times New Roman"/>
          <w:sz w:val="24"/>
          <w:szCs w:val="24"/>
        </w:rPr>
        <w:t xml:space="preserve"> only to be signed by Mr</w:t>
      </w:r>
      <w:r w:rsidR="00E84FA4">
        <w:rPr>
          <w:rFonts w:ascii="Times New Roman" w:hAnsi="Times New Roman" w:cs="Times New Roman"/>
          <w:sz w:val="24"/>
          <w:szCs w:val="24"/>
        </w:rPr>
        <w:t>.</w:t>
      </w:r>
      <w:r w:rsidR="00A04BDF" w:rsidRPr="00233B7F">
        <w:rPr>
          <w:rFonts w:ascii="Times New Roman" w:hAnsi="Times New Roman" w:cs="Times New Roman"/>
          <w:sz w:val="24"/>
          <w:szCs w:val="24"/>
        </w:rPr>
        <w:t xml:space="preserve"> Scanlon</w:t>
      </w:r>
      <w:r w:rsidRPr="00233B7F">
        <w:rPr>
          <w:rFonts w:ascii="Times New Roman" w:hAnsi="Times New Roman" w:cs="Times New Roman"/>
          <w:sz w:val="24"/>
          <w:szCs w:val="24"/>
        </w:rPr>
        <w:t>)</w:t>
      </w:r>
      <w:r w:rsidR="006E7957" w:rsidRPr="00233B7F">
        <w:rPr>
          <w:rFonts w:ascii="Times New Roman" w:hAnsi="Times New Roman" w:cs="Times New Roman"/>
          <w:sz w:val="24"/>
          <w:szCs w:val="24"/>
        </w:rPr>
        <w:t xml:space="preserve"> and a letter of demand of 24 November 2014</w:t>
      </w:r>
      <w:r w:rsidR="00EA0F1B" w:rsidRPr="00233B7F">
        <w:rPr>
          <w:rFonts w:ascii="Times New Roman" w:hAnsi="Times New Roman" w:cs="Times New Roman"/>
          <w:sz w:val="24"/>
          <w:szCs w:val="24"/>
        </w:rPr>
        <w:t xml:space="preserve"> (which appears to be </w:t>
      </w:r>
      <w:r w:rsidR="00EA0F1B" w:rsidRPr="00233B7F">
        <w:rPr>
          <w:rFonts w:ascii="Times New Roman" w:hAnsi="Times New Roman" w:cs="Times New Roman"/>
          <w:sz w:val="24"/>
          <w:szCs w:val="24"/>
        </w:rPr>
        <w:lastRenderedPageBreak/>
        <w:t>the demand withdrawn by the</w:t>
      </w:r>
      <w:r w:rsidRPr="00233B7F">
        <w:rPr>
          <w:rFonts w:ascii="Times New Roman" w:hAnsi="Times New Roman" w:cs="Times New Roman"/>
          <w:sz w:val="24"/>
          <w:szCs w:val="24"/>
        </w:rPr>
        <w:t xml:space="preserve"> subsequent demand</w:t>
      </w:r>
      <w:r w:rsidR="00EA0F1B" w:rsidRPr="00233B7F">
        <w:rPr>
          <w:rFonts w:ascii="Times New Roman" w:hAnsi="Times New Roman" w:cs="Times New Roman"/>
          <w:sz w:val="24"/>
          <w:szCs w:val="24"/>
        </w:rPr>
        <w:t xml:space="preserve"> letter of </w:t>
      </w:r>
      <w:r w:rsidR="00A04BDF" w:rsidRPr="00233B7F">
        <w:rPr>
          <w:rFonts w:ascii="Times New Roman" w:hAnsi="Times New Roman" w:cs="Times New Roman"/>
          <w:sz w:val="24"/>
          <w:szCs w:val="24"/>
        </w:rPr>
        <w:t>5 May 2015 quoted above)</w:t>
      </w:r>
      <w:r w:rsidR="00212F1E">
        <w:rPr>
          <w:rFonts w:ascii="Times New Roman" w:hAnsi="Times New Roman" w:cs="Times New Roman"/>
          <w:sz w:val="24"/>
          <w:szCs w:val="24"/>
        </w:rPr>
        <w:t>.</w:t>
      </w:r>
      <w:r w:rsidR="00F86492">
        <w:rPr>
          <w:rFonts w:ascii="Times New Roman" w:hAnsi="Times New Roman" w:cs="Times New Roman"/>
          <w:sz w:val="24"/>
          <w:szCs w:val="24"/>
        </w:rPr>
        <w:t xml:space="preserve"> It</w:t>
      </w:r>
      <w:r w:rsidR="00A04BDF" w:rsidRPr="00233B7F">
        <w:rPr>
          <w:rFonts w:ascii="Times New Roman" w:hAnsi="Times New Roman" w:cs="Times New Roman"/>
          <w:sz w:val="24"/>
          <w:szCs w:val="24"/>
        </w:rPr>
        <w:t xml:space="preserve"> appears</w:t>
      </w:r>
      <w:r w:rsidR="00233B7F">
        <w:rPr>
          <w:rFonts w:ascii="Times New Roman" w:hAnsi="Times New Roman" w:cs="Times New Roman"/>
          <w:sz w:val="24"/>
          <w:szCs w:val="24"/>
        </w:rPr>
        <w:t xml:space="preserve"> this documentation is exhibited</w:t>
      </w:r>
      <w:r w:rsidR="00A04BDF" w:rsidRPr="00233B7F">
        <w:rPr>
          <w:rFonts w:ascii="Times New Roman" w:hAnsi="Times New Roman" w:cs="Times New Roman"/>
          <w:sz w:val="24"/>
          <w:szCs w:val="24"/>
        </w:rPr>
        <w:t xml:space="preserve"> in support of his assertion that he is not a party to the loan</w:t>
      </w:r>
      <w:r w:rsidR="006E7957" w:rsidRPr="00233B7F">
        <w:rPr>
          <w:rFonts w:ascii="Times New Roman" w:hAnsi="Times New Roman" w:cs="Times New Roman"/>
          <w:sz w:val="24"/>
          <w:szCs w:val="24"/>
        </w:rPr>
        <w:t>.</w:t>
      </w:r>
      <w:r w:rsidR="006E7957" w:rsidRPr="00233B7F">
        <w:rPr>
          <w:rFonts w:ascii="Times New Roman" w:hAnsi="Times New Roman" w:cs="Times New Roman"/>
          <w:strike/>
          <w:sz w:val="24"/>
          <w:szCs w:val="24"/>
        </w:rPr>
        <w:t xml:space="preserve">  </w:t>
      </w:r>
    </w:p>
    <w:p w14:paraId="5CF5DFAF" w14:textId="15FCDEB5" w:rsidR="006E7957" w:rsidRPr="00220ED4" w:rsidRDefault="00270FF5" w:rsidP="006E7957">
      <w:pPr>
        <w:pStyle w:val="ListParagraph"/>
        <w:numPr>
          <w:ilvl w:val="0"/>
          <w:numId w:val="2"/>
        </w:numPr>
        <w:tabs>
          <w:tab w:val="left" w:pos="567"/>
        </w:tabs>
        <w:spacing w:line="480" w:lineRule="auto"/>
        <w:rPr>
          <w:rFonts w:ascii="Times New Roman" w:hAnsi="Times New Roman" w:cs="Times New Roman"/>
          <w:sz w:val="24"/>
          <w:szCs w:val="24"/>
          <w:u w:val="single"/>
        </w:rPr>
      </w:pPr>
      <w:r>
        <w:rPr>
          <w:rFonts w:ascii="Times New Roman" w:hAnsi="Times New Roman" w:cs="Times New Roman"/>
          <w:sz w:val="24"/>
          <w:szCs w:val="24"/>
        </w:rPr>
        <w:t>Mr</w:t>
      </w:r>
      <w:r w:rsidR="00233B7F">
        <w:rPr>
          <w:rFonts w:ascii="Times New Roman" w:hAnsi="Times New Roman" w:cs="Times New Roman"/>
          <w:sz w:val="24"/>
          <w:szCs w:val="24"/>
        </w:rPr>
        <w:t>.</w:t>
      </w:r>
      <w:r>
        <w:rPr>
          <w:rFonts w:ascii="Times New Roman" w:hAnsi="Times New Roman" w:cs="Times New Roman"/>
          <w:sz w:val="24"/>
          <w:szCs w:val="24"/>
        </w:rPr>
        <w:t xml:space="preserve"> Doran then deals with documentation he obtained following w</w:t>
      </w:r>
      <w:r w:rsidR="006E7957" w:rsidRPr="00220ED4">
        <w:rPr>
          <w:rFonts w:ascii="Times New Roman" w:hAnsi="Times New Roman" w:cs="Times New Roman"/>
          <w:sz w:val="24"/>
          <w:szCs w:val="24"/>
        </w:rPr>
        <w:t xml:space="preserve">hat he describes as a data access request from AIB. </w:t>
      </w:r>
      <w:r w:rsidR="00FF4E29">
        <w:rPr>
          <w:rFonts w:ascii="Times New Roman" w:hAnsi="Times New Roman" w:cs="Times New Roman"/>
          <w:sz w:val="24"/>
          <w:szCs w:val="24"/>
        </w:rPr>
        <w:t xml:space="preserve"> He contends that the contents of this </w:t>
      </w:r>
      <w:r w:rsidR="00050A1C">
        <w:rPr>
          <w:rFonts w:ascii="Times New Roman" w:hAnsi="Times New Roman" w:cs="Times New Roman"/>
          <w:sz w:val="24"/>
          <w:szCs w:val="24"/>
        </w:rPr>
        <w:t xml:space="preserve">documentation </w:t>
      </w:r>
      <w:r w:rsidR="00731928">
        <w:rPr>
          <w:rFonts w:ascii="Times New Roman" w:hAnsi="Times New Roman" w:cs="Times New Roman"/>
          <w:sz w:val="24"/>
          <w:szCs w:val="24"/>
        </w:rPr>
        <w:t>shows that there is no basis upon which the Bank is entitled to summary judgment.</w:t>
      </w:r>
      <w:r w:rsidR="00050A1C">
        <w:rPr>
          <w:rFonts w:ascii="Times New Roman" w:hAnsi="Times New Roman" w:cs="Times New Roman"/>
          <w:sz w:val="24"/>
          <w:szCs w:val="24"/>
        </w:rPr>
        <w:t xml:space="preserve"> </w:t>
      </w:r>
      <w:r w:rsidR="006E7957" w:rsidRPr="00220ED4">
        <w:rPr>
          <w:rFonts w:ascii="Times New Roman" w:hAnsi="Times New Roman" w:cs="Times New Roman"/>
          <w:sz w:val="24"/>
          <w:szCs w:val="24"/>
        </w:rPr>
        <w:t xml:space="preserve"> </w:t>
      </w:r>
      <w:r w:rsidR="00F55586">
        <w:rPr>
          <w:rFonts w:ascii="Times New Roman" w:hAnsi="Times New Roman" w:cs="Times New Roman"/>
          <w:sz w:val="24"/>
          <w:szCs w:val="24"/>
        </w:rPr>
        <w:t xml:space="preserve">Arising from this documentation </w:t>
      </w:r>
      <w:r w:rsidR="006E7957" w:rsidRPr="00220ED4">
        <w:rPr>
          <w:rFonts w:ascii="Times New Roman" w:hAnsi="Times New Roman" w:cs="Times New Roman"/>
          <w:sz w:val="24"/>
          <w:szCs w:val="24"/>
        </w:rPr>
        <w:t>he exhibits and makes reference to the following;</w:t>
      </w:r>
    </w:p>
    <w:p w14:paraId="5F93167D" w14:textId="3D616453" w:rsidR="006E7957" w:rsidRPr="00220ED4" w:rsidRDefault="006E7957" w:rsidP="006E7957">
      <w:pPr>
        <w:pStyle w:val="ListParagraph"/>
        <w:numPr>
          <w:ilvl w:val="0"/>
          <w:numId w:val="3"/>
        </w:numPr>
        <w:tabs>
          <w:tab w:val="left" w:pos="567"/>
        </w:tabs>
        <w:spacing w:line="480" w:lineRule="auto"/>
        <w:rPr>
          <w:rFonts w:ascii="Times New Roman" w:hAnsi="Times New Roman" w:cs="Times New Roman"/>
          <w:sz w:val="24"/>
          <w:szCs w:val="24"/>
        </w:rPr>
      </w:pPr>
      <w:r w:rsidRPr="00220ED4">
        <w:rPr>
          <w:rFonts w:ascii="Times New Roman" w:hAnsi="Times New Roman" w:cs="Times New Roman"/>
          <w:sz w:val="24"/>
          <w:szCs w:val="24"/>
        </w:rPr>
        <w:t xml:space="preserve">An internal file note of 8 December 2008 where the plaintiff bank appears to assert </w:t>
      </w:r>
      <w:r w:rsidRPr="00220ED4">
        <w:rPr>
          <w:rFonts w:ascii="Times New Roman" w:hAnsi="Times New Roman" w:cs="Times New Roman"/>
          <w:i/>
          <w:sz w:val="24"/>
          <w:szCs w:val="24"/>
        </w:rPr>
        <w:t>“the agreement has been signed by T</w:t>
      </w:r>
      <w:r w:rsidR="000462EB">
        <w:rPr>
          <w:rFonts w:ascii="Times New Roman" w:hAnsi="Times New Roman" w:cs="Times New Roman"/>
          <w:i/>
          <w:strike/>
          <w:sz w:val="24"/>
          <w:szCs w:val="24"/>
        </w:rPr>
        <w:t>.</w:t>
      </w:r>
      <w:r w:rsidRPr="00220ED4">
        <w:rPr>
          <w:rFonts w:ascii="Times New Roman" w:hAnsi="Times New Roman" w:cs="Times New Roman"/>
          <w:i/>
          <w:sz w:val="24"/>
          <w:szCs w:val="24"/>
        </w:rPr>
        <w:t xml:space="preserve"> Scanlon and now requires Mr. Doran’s signature, if you could organise same”.  </w:t>
      </w:r>
    </w:p>
    <w:p w14:paraId="28D2920D" w14:textId="3C045302" w:rsidR="006E7957" w:rsidRPr="00220ED4" w:rsidRDefault="008C451F" w:rsidP="006E7957">
      <w:pPr>
        <w:pStyle w:val="ListParagraph"/>
        <w:numPr>
          <w:ilvl w:val="0"/>
          <w:numId w:val="3"/>
        </w:numPr>
        <w:tabs>
          <w:tab w:val="left" w:pos="567"/>
        </w:tabs>
        <w:spacing w:line="480" w:lineRule="auto"/>
        <w:rPr>
          <w:rFonts w:ascii="Times New Roman" w:hAnsi="Times New Roman" w:cs="Times New Roman"/>
          <w:sz w:val="24"/>
          <w:szCs w:val="24"/>
        </w:rPr>
      </w:pPr>
      <w:r>
        <w:rPr>
          <w:rFonts w:ascii="Times New Roman" w:hAnsi="Times New Roman" w:cs="Times New Roman"/>
          <w:sz w:val="24"/>
          <w:szCs w:val="24"/>
        </w:rPr>
        <w:t>I</w:t>
      </w:r>
      <w:r w:rsidR="008B1931">
        <w:rPr>
          <w:rFonts w:ascii="Times New Roman" w:hAnsi="Times New Roman" w:cs="Times New Roman"/>
          <w:sz w:val="24"/>
          <w:szCs w:val="24"/>
        </w:rPr>
        <w:t>n</w:t>
      </w:r>
      <w:r>
        <w:rPr>
          <w:rFonts w:ascii="Times New Roman" w:hAnsi="Times New Roman" w:cs="Times New Roman"/>
          <w:sz w:val="24"/>
          <w:szCs w:val="24"/>
        </w:rPr>
        <w:t xml:space="preserve"> 2012</w:t>
      </w:r>
      <w:r w:rsidR="008B1931">
        <w:rPr>
          <w:rFonts w:ascii="Times New Roman" w:hAnsi="Times New Roman" w:cs="Times New Roman"/>
          <w:sz w:val="24"/>
          <w:szCs w:val="24"/>
        </w:rPr>
        <w:t xml:space="preserve"> there is an </w:t>
      </w:r>
      <w:r w:rsidR="006E7957" w:rsidRPr="00220ED4">
        <w:rPr>
          <w:rFonts w:ascii="Times New Roman" w:hAnsi="Times New Roman" w:cs="Times New Roman"/>
          <w:sz w:val="24"/>
          <w:szCs w:val="24"/>
        </w:rPr>
        <w:t>internal e-mail exchange within AIB</w:t>
      </w:r>
      <w:r w:rsidR="002C6CDC">
        <w:rPr>
          <w:rFonts w:ascii="Times New Roman" w:hAnsi="Times New Roman" w:cs="Times New Roman"/>
          <w:sz w:val="24"/>
          <w:szCs w:val="24"/>
        </w:rPr>
        <w:t xml:space="preserve"> which</w:t>
      </w:r>
      <w:r w:rsidR="006E7957" w:rsidRPr="00220ED4">
        <w:rPr>
          <w:rFonts w:ascii="Times New Roman" w:hAnsi="Times New Roman" w:cs="Times New Roman"/>
          <w:sz w:val="24"/>
          <w:szCs w:val="24"/>
        </w:rPr>
        <w:t xml:space="preserve"> appears to suggest that there is a difficulty in locating an executed letter of sanction on behalf of</w:t>
      </w:r>
      <w:r w:rsidR="00253A61" w:rsidRPr="00220ED4">
        <w:rPr>
          <w:rFonts w:ascii="Times New Roman" w:hAnsi="Times New Roman" w:cs="Times New Roman"/>
          <w:sz w:val="24"/>
          <w:szCs w:val="24"/>
        </w:rPr>
        <w:t xml:space="preserve"> Mr</w:t>
      </w:r>
      <w:r w:rsidR="00E84FA4">
        <w:rPr>
          <w:rFonts w:ascii="Times New Roman" w:hAnsi="Times New Roman" w:cs="Times New Roman"/>
          <w:sz w:val="24"/>
          <w:szCs w:val="24"/>
        </w:rPr>
        <w:t>.</w:t>
      </w:r>
      <w:r w:rsidR="00253A61" w:rsidRPr="00220ED4">
        <w:rPr>
          <w:rFonts w:ascii="Times New Roman" w:hAnsi="Times New Roman" w:cs="Times New Roman"/>
          <w:sz w:val="24"/>
          <w:szCs w:val="24"/>
        </w:rPr>
        <w:t xml:space="preserve"> Doran</w:t>
      </w:r>
      <w:r w:rsidR="006E7957" w:rsidRPr="00220ED4">
        <w:rPr>
          <w:rFonts w:ascii="Times New Roman" w:hAnsi="Times New Roman" w:cs="Times New Roman"/>
          <w:sz w:val="24"/>
          <w:szCs w:val="24"/>
        </w:rPr>
        <w:t xml:space="preserve">.  </w:t>
      </w:r>
    </w:p>
    <w:p w14:paraId="3139D1FE" w14:textId="4A99E6E4" w:rsidR="006E7957" w:rsidRPr="00220ED4" w:rsidRDefault="006E7957" w:rsidP="006E7957">
      <w:pPr>
        <w:pStyle w:val="ListParagraph"/>
        <w:numPr>
          <w:ilvl w:val="0"/>
          <w:numId w:val="3"/>
        </w:numPr>
        <w:tabs>
          <w:tab w:val="left" w:pos="567"/>
        </w:tabs>
        <w:spacing w:line="480" w:lineRule="auto"/>
        <w:rPr>
          <w:rFonts w:ascii="Times New Roman" w:hAnsi="Times New Roman" w:cs="Times New Roman"/>
          <w:sz w:val="24"/>
          <w:szCs w:val="24"/>
          <w:u w:val="single"/>
        </w:rPr>
      </w:pPr>
      <w:r w:rsidRPr="00220ED4">
        <w:rPr>
          <w:rFonts w:ascii="Times New Roman" w:hAnsi="Times New Roman" w:cs="Times New Roman"/>
          <w:sz w:val="24"/>
          <w:szCs w:val="24"/>
        </w:rPr>
        <w:t xml:space="preserve">The final document within this exhibit is an undated </w:t>
      </w:r>
      <w:r w:rsidRPr="00220ED4">
        <w:rPr>
          <w:rFonts w:ascii="Times New Roman" w:hAnsi="Times New Roman" w:cs="Times New Roman"/>
          <w:i/>
          <w:sz w:val="24"/>
          <w:szCs w:val="24"/>
        </w:rPr>
        <w:t xml:space="preserve">“standalone” </w:t>
      </w:r>
      <w:r w:rsidRPr="00220ED4">
        <w:rPr>
          <w:rFonts w:ascii="Times New Roman" w:hAnsi="Times New Roman" w:cs="Times New Roman"/>
          <w:sz w:val="24"/>
          <w:szCs w:val="24"/>
        </w:rPr>
        <w:t>entry headed and set out as follows:</w:t>
      </w:r>
      <w:r w:rsidR="00BF1296">
        <w:rPr>
          <w:rFonts w:ascii="Times New Roman" w:hAnsi="Times New Roman" w:cs="Times New Roman"/>
          <w:sz w:val="24"/>
          <w:szCs w:val="24"/>
        </w:rPr>
        <w:t>-</w:t>
      </w:r>
    </w:p>
    <w:p w14:paraId="1239CBE0" w14:textId="77777777" w:rsidR="006E7957" w:rsidRPr="00220ED4" w:rsidRDefault="006E7957" w:rsidP="006E7957">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“Doran and Scanlon</w:t>
      </w:r>
    </w:p>
    <w:p w14:paraId="4E4F189B" w14:textId="490A359C" w:rsidR="006E7957" w:rsidRPr="00220ED4" w:rsidRDefault="006E7957" w:rsidP="006E7957">
      <w:pPr>
        <w:pStyle w:val="ListParagraph"/>
        <w:spacing w:line="480" w:lineRule="auto"/>
        <w:ind w:left="567"/>
        <w:rPr>
          <w:rFonts w:ascii="Times New Roman" w:hAnsi="Times New Roman" w:cs="Times New Roman"/>
          <w:i/>
          <w:sz w:val="24"/>
          <w:szCs w:val="24"/>
          <w:u w:val="single"/>
        </w:rPr>
      </w:pPr>
      <w:r w:rsidRPr="00220ED4">
        <w:rPr>
          <w:rFonts w:ascii="Times New Roman" w:hAnsi="Times New Roman" w:cs="Times New Roman"/>
          <w:i/>
          <w:sz w:val="24"/>
          <w:szCs w:val="24"/>
        </w:rPr>
        <w:t xml:space="preserve">In relation to Thomas Doran and Thomas Scanlon debt of E504K – it was agreed in Nov 2008 to extend this loan for 12 </w:t>
      </w:r>
      <w:proofErr w:type="spellStart"/>
      <w:r w:rsidRPr="00220ED4">
        <w:rPr>
          <w:rFonts w:ascii="Times New Roman" w:hAnsi="Times New Roman" w:cs="Times New Roman"/>
          <w:i/>
          <w:sz w:val="24"/>
          <w:szCs w:val="24"/>
        </w:rPr>
        <w:t>mths</w:t>
      </w:r>
      <w:proofErr w:type="spellEnd"/>
      <w:r w:rsidRPr="00220ED4">
        <w:rPr>
          <w:rFonts w:ascii="Times New Roman" w:hAnsi="Times New Roman" w:cs="Times New Roman"/>
          <w:i/>
          <w:sz w:val="24"/>
          <w:szCs w:val="24"/>
        </w:rPr>
        <w:t>.  To date Doran has not signed the letter of sanction on the basis that he is not happy with his own letter of sanction.  When the</w:t>
      </w:r>
      <w:r w:rsidR="00B804EE" w:rsidRPr="00220ED4">
        <w:rPr>
          <w:rFonts w:ascii="Times New Roman" w:hAnsi="Times New Roman" w:cs="Times New Roman"/>
          <w:i/>
          <w:sz w:val="24"/>
          <w:szCs w:val="24"/>
        </w:rPr>
        <w:t xml:space="preserve"> </w:t>
      </w:r>
      <w:r w:rsidRPr="00220ED4">
        <w:rPr>
          <w:rFonts w:ascii="Times New Roman" w:hAnsi="Times New Roman" w:cs="Times New Roman"/>
          <w:i/>
          <w:sz w:val="24"/>
          <w:szCs w:val="24"/>
        </w:rPr>
        <w:t>letter of sanction was issued – it stated that the limits were extended to May</w:t>
      </w:r>
      <w:r w:rsidR="00D342B0">
        <w:rPr>
          <w:rFonts w:ascii="Times New Roman" w:hAnsi="Times New Roman" w:cs="Times New Roman"/>
          <w:i/>
          <w:sz w:val="24"/>
          <w:szCs w:val="24"/>
        </w:rPr>
        <w:t>,</w:t>
      </w:r>
      <w:r w:rsidRPr="00220ED4">
        <w:rPr>
          <w:rFonts w:ascii="Times New Roman" w:hAnsi="Times New Roman" w:cs="Times New Roman"/>
          <w:i/>
          <w:sz w:val="24"/>
          <w:szCs w:val="24"/>
        </w:rPr>
        <w:t xml:space="preserve"> 2010, and not November</w:t>
      </w:r>
      <w:r w:rsidR="00D342B0">
        <w:rPr>
          <w:rFonts w:ascii="Times New Roman" w:hAnsi="Times New Roman" w:cs="Times New Roman"/>
          <w:i/>
          <w:sz w:val="24"/>
          <w:szCs w:val="24"/>
        </w:rPr>
        <w:t>,</w:t>
      </w:r>
      <w:r w:rsidRPr="00220ED4">
        <w:rPr>
          <w:rFonts w:ascii="Times New Roman" w:hAnsi="Times New Roman" w:cs="Times New Roman"/>
          <w:i/>
          <w:sz w:val="24"/>
          <w:szCs w:val="24"/>
        </w:rPr>
        <w:t xml:space="preserve"> 2009.  On the basis that Thomas Scanlon has signed the letter of sanction and accepted the terms and conditions – no option here but to note the error the branch have made in relation to the term on the basis that Thomas </w:t>
      </w:r>
      <w:r w:rsidR="00AD76F5">
        <w:rPr>
          <w:rFonts w:ascii="Times New Roman" w:hAnsi="Times New Roman" w:cs="Times New Roman"/>
          <w:i/>
          <w:sz w:val="24"/>
          <w:szCs w:val="24"/>
        </w:rPr>
        <w:t>D</w:t>
      </w:r>
      <w:r w:rsidRPr="00220ED4">
        <w:rPr>
          <w:rFonts w:ascii="Times New Roman" w:hAnsi="Times New Roman" w:cs="Times New Roman"/>
          <w:i/>
          <w:sz w:val="24"/>
          <w:szCs w:val="24"/>
        </w:rPr>
        <w:t xml:space="preserve">oran is proving a very difficult client and the Bank does not want to give him another excuse </w:t>
      </w:r>
      <w:r w:rsidR="00D342B0">
        <w:rPr>
          <w:rFonts w:ascii="Times New Roman" w:hAnsi="Times New Roman" w:cs="Times New Roman"/>
          <w:i/>
          <w:sz w:val="24"/>
          <w:szCs w:val="24"/>
        </w:rPr>
        <w:t xml:space="preserve">to </w:t>
      </w:r>
      <w:r w:rsidRPr="00220ED4">
        <w:rPr>
          <w:rFonts w:ascii="Times New Roman" w:hAnsi="Times New Roman" w:cs="Times New Roman"/>
          <w:i/>
          <w:sz w:val="24"/>
          <w:szCs w:val="24"/>
        </w:rPr>
        <w:t>not put the offers in place.”</w:t>
      </w:r>
    </w:p>
    <w:p w14:paraId="4B6FD00B" w14:textId="08CB991A" w:rsidR="006E7957" w:rsidRDefault="006E7957" w:rsidP="00151BF0">
      <w:pPr>
        <w:spacing w:line="480" w:lineRule="auto"/>
        <w:jc w:val="both"/>
        <w:rPr>
          <w:rFonts w:ascii="Times New Roman" w:hAnsi="Times New Roman" w:cs="Times New Roman"/>
          <w:sz w:val="24"/>
          <w:szCs w:val="24"/>
        </w:rPr>
      </w:pPr>
      <w:r w:rsidRPr="00220ED4">
        <w:rPr>
          <w:rFonts w:ascii="Times New Roman" w:hAnsi="Times New Roman" w:cs="Times New Roman"/>
          <w:sz w:val="24"/>
          <w:szCs w:val="24"/>
        </w:rPr>
        <w:lastRenderedPageBreak/>
        <w:t>There was a disagreement between counsel as to the likely date of this last memo within AIB’s internal files</w:t>
      </w:r>
      <w:r w:rsidR="008F7AB9" w:rsidRPr="00220ED4">
        <w:rPr>
          <w:rFonts w:ascii="Times New Roman" w:hAnsi="Times New Roman" w:cs="Times New Roman"/>
          <w:sz w:val="24"/>
          <w:szCs w:val="24"/>
        </w:rPr>
        <w:t xml:space="preserve"> and on the basis of the documentation furnished</w:t>
      </w:r>
      <w:r w:rsidR="00993470">
        <w:rPr>
          <w:rFonts w:ascii="Times New Roman" w:hAnsi="Times New Roman" w:cs="Times New Roman"/>
          <w:sz w:val="24"/>
          <w:szCs w:val="24"/>
        </w:rPr>
        <w:t>,</w:t>
      </w:r>
      <w:r w:rsidR="008F7AB9" w:rsidRPr="00220ED4">
        <w:rPr>
          <w:rFonts w:ascii="Times New Roman" w:hAnsi="Times New Roman" w:cs="Times New Roman"/>
          <w:sz w:val="24"/>
          <w:szCs w:val="24"/>
        </w:rPr>
        <w:t xml:space="preserve"> there is no means of ascertaining its precise date</w:t>
      </w:r>
      <w:r w:rsidRPr="00220ED4">
        <w:rPr>
          <w:rFonts w:ascii="Times New Roman" w:hAnsi="Times New Roman" w:cs="Times New Roman"/>
          <w:sz w:val="24"/>
          <w:szCs w:val="24"/>
        </w:rPr>
        <w:t>.</w:t>
      </w:r>
      <w:r w:rsidR="008F7AB9" w:rsidRPr="00220ED4">
        <w:rPr>
          <w:rFonts w:ascii="Times New Roman" w:hAnsi="Times New Roman" w:cs="Times New Roman"/>
          <w:sz w:val="24"/>
          <w:szCs w:val="24"/>
        </w:rPr>
        <w:t xml:space="preserve"> </w:t>
      </w:r>
    </w:p>
    <w:p w14:paraId="0EFB6707" w14:textId="4E301377" w:rsidR="006E7957" w:rsidRPr="00220ED4" w:rsidRDefault="00657EE8" w:rsidP="00E76036">
      <w:pPr>
        <w:spacing w:line="480" w:lineRule="auto"/>
        <w:rPr>
          <w:rFonts w:ascii="Times New Roman" w:hAnsi="Times New Roman" w:cs="Times New Roman"/>
          <w:bCs/>
          <w:iCs/>
          <w:sz w:val="24"/>
          <w:szCs w:val="24"/>
        </w:rPr>
      </w:pPr>
      <w:r>
        <w:rPr>
          <w:rFonts w:ascii="Times New Roman" w:hAnsi="Times New Roman" w:cs="Times New Roman"/>
          <w:b/>
          <w:bCs/>
          <w:iCs/>
          <w:sz w:val="24"/>
          <w:szCs w:val="24"/>
        </w:rPr>
        <w:t>15.</w:t>
      </w:r>
      <w:r>
        <w:rPr>
          <w:rFonts w:ascii="Times New Roman" w:hAnsi="Times New Roman" w:cs="Times New Roman"/>
          <w:b/>
          <w:bCs/>
          <w:iCs/>
          <w:sz w:val="24"/>
          <w:szCs w:val="24"/>
        </w:rPr>
        <w:tab/>
      </w:r>
      <w:r w:rsidR="006E7957" w:rsidRPr="00220ED4">
        <w:rPr>
          <w:rFonts w:ascii="Times New Roman" w:hAnsi="Times New Roman" w:cs="Times New Roman"/>
          <w:bCs/>
          <w:iCs/>
          <w:sz w:val="24"/>
          <w:szCs w:val="24"/>
        </w:rPr>
        <w:t>The supplemental affidavit of Mr. Hardiman sworn on 2 June 2017 essentially sets out, for the first time, the basis of the Bank’s claim. In summary, it is as follows:</w:t>
      </w:r>
    </w:p>
    <w:p w14:paraId="524B7BD3" w14:textId="1F481037" w:rsidR="00C53941" w:rsidRPr="00220ED4" w:rsidRDefault="009953AE" w:rsidP="00C53941">
      <w:pPr>
        <w:pStyle w:val="ListParagraph"/>
        <w:numPr>
          <w:ilvl w:val="0"/>
          <w:numId w:val="4"/>
        </w:numPr>
        <w:spacing w:line="480" w:lineRule="auto"/>
        <w:ind w:left="567" w:hanging="567"/>
        <w:rPr>
          <w:rFonts w:ascii="Times New Roman" w:hAnsi="Times New Roman" w:cs="Times New Roman"/>
          <w:sz w:val="24"/>
          <w:szCs w:val="24"/>
          <w:u w:val="single"/>
        </w:rPr>
      </w:pPr>
      <w:r>
        <w:rPr>
          <w:rFonts w:ascii="Times New Roman" w:hAnsi="Times New Roman" w:cs="Times New Roman"/>
          <w:sz w:val="24"/>
          <w:szCs w:val="24"/>
        </w:rPr>
        <w:t>T</w:t>
      </w:r>
      <w:r w:rsidR="00E76036" w:rsidRPr="00220ED4">
        <w:rPr>
          <w:rFonts w:ascii="Times New Roman" w:hAnsi="Times New Roman" w:cs="Times New Roman"/>
          <w:sz w:val="24"/>
          <w:szCs w:val="24"/>
        </w:rPr>
        <w:t>he</w:t>
      </w:r>
      <w:r w:rsidR="006E7957" w:rsidRPr="00220ED4">
        <w:rPr>
          <w:rFonts w:ascii="Times New Roman" w:hAnsi="Times New Roman" w:cs="Times New Roman"/>
          <w:sz w:val="24"/>
          <w:szCs w:val="24"/>
        </w:rPr>
        <w:t xml:space="preserve"> loan</w:t>
      </w:r>
      <w:r>
        <w:rPr>
          <w:rFonts w:ascii="Times New Roman" w:hAnsi="Times New Roman" w:cs="Times New Roman"/>
          <w:sz w:val="24"/>
          <w:szCs w:val="24"/>
        </w:rPr>
        <w:t xml:space="preserve"> at issue</w:t>
      </w:r>
      <w:r w:rsidR="006E7957" w:rsidRPr="00220ED4">
        <w:rPr>
          <w:rFonts w:ascii="Times New Roman" w:hAnsi="Times New Roman" w:cs="Times New Roman"/>
          <w:sz w:val="24"/>
          <w:szCs w:val="24"/>
        </w:rPr>
        <w:t xml:space="preserve"> was initially advanced on foot of a sanction letter of 14 May 2007</w:t>
      </w:r>
      <w:r w:rsidR="007B2462">
        <w:rPr>
          <w:rFonts w:ascii="Times New Roman" w:hAnsi="Times New Roman" w:cs="Times New Roman"/>
          <w:sz w:val="24"/>
          <w:szCs w:val="24"/>
        </w:rPr>
        <w:t xml:space="preserve"> (‘the 2007 facility letter’)</w:t>
      </w:r>
      <w:r w:rsidR="00E76036" w:rsidRPr="00220ED4">
        <w:rPr>
          <w:rFonts w:ascii="Times New Roman" w:hAnsi="Times New Roman" w:cs="Times New Roman"/>
          <w:sz w:val="24"/>
          <w:szCs w:val="24"/>
        </w:rPr>
        <w:t xml:space="preserve"> which, on its face, appears to be executed by both borrowers, Mr</w:t>
      </w:r>
      <w:r w:rsidR="00E84FA4">
        <w:rPr>
          <w:rFonts w:ascii="Times New Roman" w:hAnsi="Times New Roman" w:cs="Times New Roman"/>
          <w:sz w:val="24"/>
          <w:szCs w:val="24"/>
        </w:rPr>
        <w:t>.</w:t>
      </w:r>
      <w:r w:rsidR="00E76036" w:rsidRPr="00220ED4">
        <w:rPr>
          <w:rFonts w:ascii="Times New Roman" w:hAnsi="Times New Roman" w:cs="Times New Roman"/>
          <w:sz w:val="24"/>
          <w:szCs w:val="24"/>
        </w:rPr>
        <w:t xml:space="preserve"> Doran</w:t>
      </w:r>
      <w:r>
        <w:rPr>
          <w:rFonts w:ascii="Times New Roman" w:hAnsi="Times New Roman" w:cs="Times New Roman"/>
          <w:sz w:val="24"/>
          <w:szCs w:val="24"/>
        </w:rPr>
        <w:t xml:space="preserve"> and Mr</w:t>
      </w:r>
      <w:r w:rsidR="00E84FA4">
        <w:rPr>
          <w:rFonts w:ascii="Times New Roman" w:hAnsi="Times New Roman" w:cs="Times New Roman"/>
          <w:sz w:val="24"/>
          <w:szCs w:val="24"/>
        </w:rPr>
        <w:t>.</w:t>
      </w:r>
      <w:r>
        <w:rPr>
          <w:rFonts w:ascii="Times New Roman" w:hAnsi="Times New Roman" w:cs="Times New Roman"/>
          <w:sz w:val="24"/>
          <w:szCs w:val="24"/>
        </w:rPr>
        <w:t xml:space="preserve"> Scanlon</w:t>
      </w:r>
      <w:r w:rsidR="00E76036" w:rsidRPr="00220ED4">
        <w:rPr>
          <w:rFonts w:ascii="Times New Roman" w:hAnsi="Times New Roman" w:cs="Times New Roman"/>
          <w:sz w:val="24"/>
          <w:szCs w:val="24"/>
        </w:rPr>
        <w:t xml:space="preserve">.  </w:t>
      </w:r>
    </w:p>
    <w:p w14:paraId="471D14C1" w14:textId="1DB116C2" w:rsidR="00CE301F" w:rsidRPr="00CE301F" w:rsidRDefault="006E7957" w:rsidP="00CE301F">
      <w:pPr>
        <w:pStyle w:val="ListParagraph"/>
        <w:numPr>
          <w:ilvl w:val="0"/>
          <w:numId w:val="4"/>
        </w:numPr>
        <w:spacing w:line="480" w:lineRule="auto"/>
        <w:ind w:left="567" w:hanging="567"/>
        <w:rPr>
          <w:rFonts w:ascii="Times New Roman" w:hAnsi="Times New Roman" w:cs="Times New Roman"/>
          <w:sz w:val="24"/>
          <w:szCs w:val="24"/>
          <w:u w:val="single"/>
        </w:rPr>
      </w:pPr>
      <w:r w:rsidRPr="00220ED4">
        <w:rPr>
          <w:rFonts w:ascii="Times New Roman" w:hAnsi="Times New Roman" w:cs="Times New Roman"/>
          <w:sz w:val="24"/>
          <w:szCs w:val="24"/>
        </w:rPr>
        <w:t>Mr. Hardiman</w:t>
      </w:r>
      <w:r w:rsidR="00E76036" w:rsidRPr="00220ED4">
        <w:rPr>
          <w:rFonts w:ascii="Times New Roman" w:hAnsi="Times New Roman" w:cs="Times New Roman"/>
          <w:sz w:val="24"/>
          <w:szCs w:val="24"/>
        </w:rPr>
        <w:t xml:space="preserve"> also</w:t>
      </w:r>
      <w:r w:rsidRPr="00220ED4">
        <w:rPr>
          <w:rFonts w:ascii="Times New Roman" w:hAnsi="Times New Roman" w:cs="Times New Roman"/>
          <w:sz w:val="24"/>
          <w:szCs w:val="24"/>
        </w:rPr>
        <w:t xml:space="preserve"> exhibits the letter from the defendants’ solicitors, Whelehan &amp; Co, dated 18 May 2007 </w:t>
      </w:r>
      <w:r w:rsidR="0012669D">
        <w:rPr>
          <w:rFonts w:ascii="Times New Roman" w:hAnsi="Times New Roman" w:cs="Times New Roman"/>
          <w:sz w:val="24"/>
          <w:szCs w:val="24"/>
        </w:rPr>
        <w:t xml:space="preserve">which in turn </w:t>
      </w:r>
      <w:r w:rsidR="00A71272">
        <w:rPr>
          <w:rFonts w:ascii="Times New Roman" w:hAnsi="Times New Roman" w:cs="Times New Roman"/>
          <w:sz w:val="24"/>
          <w:szCs w:val="24"/>
        </w:rPr>
        <w:t xml:space="preserve">encloses </w:t>
      </w:r>
      <w:r w:rsidRPr="00220ED4">
        <w:rPr>
          <w:rFonts w:ascii="Times New Roman" w:hAnsi="Times New Roman" w:cs="Times New Roman"/>
          <w:sz w:val="24"/>
          <w:szCs w:val="24"/>
        </w:rPr>
        <w:t xml:space="preserve">two items – a duly executed loan sanction </w:t>
      </w:r>
      <w:r w:rsidRPr="00220ED4">
        <w:rPr>
          <w:rFonts w:ascii="Times New Roman" w:hAnsi="Times New Roman" w:cs="Times New Roman"/>
          <w:i/>
          <w:sz w:val="24"/>
          <w:szCs w:val="24"/>
        </w:rPr>
        <w:t xml:space="preserve">“with acceptance duly completed” </w:t>
      </w:r>
      <w:r w:rsidRPr="00220ED4">
        <w:rPr>
          <w:rFonts w:ascii="Times New Roman" w:hAnsi="Times New Roman" w:cs="Times New Roman"/>
          <w:sz w:val="24"/>
          <w:szCs w:val="24"/>
        </w:rPr>
        <w:t>and a solicitor</w:t>
      </w:r>
      <w:r w:rsidR="00893186">
        <w:rPr>
          <w:rFonts w:ascii="Times New Roman" w:hAnsi="Times New Roman" w:cs="Times New Roman"/>
          <w:sz w:val="24"/>
          <w:szCs w:val="24"/>
        </w:rPr>
        <w:t>’</w:t>
      </w:r>
      <w:r w:rsidRPr="00220ED4">
        <w:rPr>
          <w:rFonts w:ascii="Times New Roman" w:hAnsi="Times New Roman" w:cs="Times New Roman"/>
          <w:sz w:val="24"/>
          <w:szCs w:val="24"/>
        </w:rPr>
        <w:t>s undertaking</w:t>
      </w:r>
      <w:r w:rsidR="009953AE">
        <w:rPr>
          <w:rFonts w:ascii="Times New Roman" w:hAnsi="Times New Roman" w:cs="Times New Roman"/>
          <w:sz w:val="24"/>
          <w:szCs w:val="24"/>
        </w:rPr>
        <w:t xml:space="preserve"> to ensure that the </w:t>
      </w:r>
      <w:r w:rsidR="00927C8E">
        <w:rPr>
          <w:rFonts w:ascii="Times New Roman" w:hAnsi="Times New Roman" w:cs="Times New Roman"/>
          <w:sz w:val="24"/>
          <w:szCs w:val="24"/>
        </w:rPr>
        <w:t>loan</w:t>
      </w:r>
      <w:r w:rsidR="009953AE">
        <w:rPr>
          <w:rFonts w:ascii="Times New Roman" w:hAnsi="Times New Roman" w:cs="Times New Roman"/>
          <w:sz w:val="24"/>
          <w:szCs w:val="24"/>
        </w:rPr>
        <w:t xml:space="preserve"> would be secured by way of charge against the subject property</w:t>
      </w:r>
      <w:r w:rsidRPr="00220ED4">
        <w:rPr>
          <w:rFonts w:ascii="Times New Roman" w:hAnsi="Times New Roman" w:cs="Times New Roman"/>
          <w:sz w:val="24"/>
          <w:szCs w:val="24"/>
        </w:rPr>
        <w:t xml:space="preserve">. </w:t>
      </w:r>
      <w:r w:rsidR="00614446">
        <w:rPr>
          <w:rFonts w:ascii="Times New Roman" w:hAnsi="Times New Roman" w:cs="Times New Roman"/>
          <w:sz w:val="24"/>
          <w:szCs w:val="24"/>
        </w:rPr>
        <w:t xml:space="preserve">  The letter of sanction dated 14 May 2007 is exhibited, addressed to Mr</w:t>
      </w:r>
      <w:r w:rsidR="00893186">
        <w:rPr>
          <w:rFonts w:ascii="Times New Roman" w:hAnsi="Times New Roman" w:cs="Times New Roman"/>
          <w:sz w:val="24"/>
          <w:szCs w:val="24"/>
        </w:rPr>
        <w:t>.</w:t>
      </w:r>
      <w:r w:rsidR="00614446">
        <w:rPr>
          <w:rFonts w:ascii="Times New Roman" w:hAnsi="Times New Roman" w:cs="Times New Roman"/>
          <w:sz w:val="24"/>
          <w:szCs w:val="24"/>
        </w:rPr>
        <w:t xml:space="preserve"> Doran and signed by both himself and Mr. Scanlon on 18 May 2007 (it appears as ‘207’ but is clearly intended to be 2007).  </w:t>
      </w:r>
      <w:r w:rsidRPr="00220ED4">
        <w:rPr>
          <w:rFonts w:ascii="Times New Roman" w:hAnsi="Times New Roman" w:cs="Times New Roman"/>
          <w:sz w:val="24"/>
          <w:szCs w:val="24"/>
        </w:rPr>
        <w:t>As pointed out by Burns J. within her judgment, the</w:t>
      </w:r>
      <w:r w:rsidR="00614446">
        <w:rPr>
          <w:rFonts w:ascii="Times New Roman" w:hAnsi="Times New Roman" w:cs="Times New Roman"/>
          <w:sz w:val="24"/>
          <w:szCs w:val="24"/>
        </w:rPr>
        <w:t>se</w:t>
      </w:r>
      <w:r w:rsidRPr="00220ED4">
        <w:rPr>
          <w:rFonts w:ascii="Times New Roman" w:hAnsi="Times New Roman" w:cs="Times New Roman"/>
          <w:sz w:val="24"/>
          <w:szCs w:val="24"/>
        </w:rPr>
        <w:t xml:space="preserve"> documents furnished by Whelehan &amp; Co</w:t>
      </w:r>
      <w:r w:rsidR="00CE301F">
        <w:rPr>
          <w:rFonts w:ascii="Times New Roman" w:hAnsi="Times New Roman" w:cs="Times New Roman"/>
          <w:sz w:val="24"/>
          <w:szCs w:val="24"/>
        </w:rPr>
        <w:t>.</w:t>
      </w:r>
      <w:r w:rsidR="00614446">
        <w:rPr>
          <w:rFonts w:ascii="Times New Roman" w:hAnsi="Times New Roman" w:cs="Times New Roman"/>
          <w:sz w:val="24"/>
          <w:szCs w:val="24"/>
        </w:rPr>
        <w:t xml:space="preserve"> to the Bank</w:t>
      </w:r>
      <w:r w:rsidRPr="00220ED4">
        <w:rPr>
          <w:rFonts w:ascii="Times New Roman" w:hAnsi="Times New Roman" w:cs="Times New Roman"/>
          <w:sz w:val="24"/>
          <w:szCs w:val="24"/>
        </w:rPr>
        <w:t xml:space="preserve"> confirm a signed acceptance (by both </w:t>
      </w:r>
      <w:r w:rsidR="00927C8E">
        <w:rPr>
          <w:rFonts w:ascii="Times New Roman" w:hAnsi="Times New Roman" w:cs="Times New Roman"/>
          <w:sz w:val="24"/>
          <w:szCs w:val="24"/>
        </w:rPr>
        <w:t>Messrs Doran and Scanlon</w:t>
      </w:r>
      <w:r w:rsidRPr="00220ED4">
        <w:rPr>
          <w:rFonts w:ascii="Times New Roman" w:hAnsi="Times New Roman" w:cs="Times New Roman"/>
          <w:sz w:val="24"/>
          <w:szCs w:val="24"/>
        </w:rPr>
        <w:t>) of the original</w:t>
      </w:r>
      <w:r w:rsidR="00614446">
        <w:rPr>
          <w:rFonts w:ascii="Times New Roman" w:hAnsi="Times New Roman" w:cs="Times New Roman"/>
          <w:sz w:val="24"/>
          <w:szCs w:val="24"/>
        </w:rPr>
        <w:t xml:space="preserve"> l</w:t>
      </w:r>
      <w:r w:rsidRPr="00220ED4">
        <w:rPr>
          <w:rFonts w:ascii="Times New Roman" w:hAnsi="Times New Roman" w:cs="Times New Roman"/>
          <w:sz w:val="24"/>
          <w:szCs w:val="24"/>
        </w:rPr>
        <w:t>etter of loan sanction dated 14 May 2007.</w:t>
      </w:r>
    </w:p>
    <w:p w14:paraId="0715F729" w14:textId="4668BC15" w:rsidR="00CE301F" w:rsidRPr="00CE301F" w:rsidRDefault="006E7957" w:rsidP="00CE301F">
      <w:pPr>
        <w:pStyle w:val="ListParagraph"/>
        <w:numPr>
          <w:ilvl w:val="0"/>
          <w:numId w:val="4"/>
        </w:numPr>
        <w:spacing w:line="480" w:lineRule="auto"/>
        <w:ind w:left="567" w:hanging="567"/>
        <w:rPr>
          <w:rFonts w:ascii="Times New Roman" w:hAnsi="Times New Roman" w:cs="Times New Roman"/>
          <w:sz w:val="24"/>
          <w:szCs w:val="24"/>
          <w:u w:val="single"/>
        </w:rPr>
      </w:pPr>
      <w:r w:rsidRPr="00CE301F">
        <w:rPr>
          <w:rFonts w:ascii="Times New Roman" w:hAnsi="Times New Roman" w:cs="Times New Roman"/>
          <w:sz w:val="24"/>
          <w:szCs w:val="24"/>
        </w:rPr>
        <w:t>In accordance with the solicitor</w:t>
      </w:r>
      <w:r w:rsidR="00893186">
        <w:rPr>
          <w:rFonts w:ascii="Times New Roman" w:hAnsi="Times New Roman" w:cs="Times New Roman"/>
          <w:sz w:val="24"/>
          <w:szCs w:val="24"/>
        </w:rPr>
        <w:t>’</w:t>
      </w:r>
      <w:r w:rsidRPr="00CE301F">
        <w:rPr>
          <w:rFonts w:ascii="Times New Roman" w:hAnsi="Times New Roman" w:cs="Times New Roman"/>
          <w:sz w:val="24"/>
          <w:szCs w:val="24"/>
        </w:rPr>
        <w:t xml:space="preserve">s undertaking, </w:t>
      </w:r>
      <w:r w:rsidR="00151BF0">
        <w:rPr>
          <w:rFonts w:ascii="Times New Roman" w:hAnsi="Times New Roman" w:cs="Times New Roman"/>
          <w:sz w:val="24"/>
          <w:szCs w:val="24"/>
        </w:rPr>
        <w:t xml:space="preserve">with regard to </w:t>
      </w:r>
      <w:r w:rsidRPr="00CE301F">
        <w:rPr>
          <w:rFonts w:ascii="Times New Roman" w:hAnsi="Times New Roman" w:cs="Times New Roman"/>
          <w:sz w:val="24"/>
          <w:szCs w:val="24"/>
        </w:rPr>
        <w:t xml:space="preserve">the land the subject matter of the security, Folio 24188F, </w:t>
      </w:r>
      <w:r w:rsidR="00151BF0">
        <w:rPr>
          <w:rFonts w:ascii="Times New Roman" w:hAnsi="Times New Roman" w:cs="Times New Roman"/>
          <w:sz w:val="24"/>
          <w:szCs w:val="24"/>
        </w:rPr>
        <w:t xml:space="preserve">a </w:t>
      </w:r>
      <w:r w:rsidRPr="00CE301F">
        <w:rPr>
          <w:rFonts w:ascii="Times New Roman" w:hAnsi="Times New Roman" w:cs="Times New Roman"/>
          <w:sz w:val="24"/>
          <w:szCs w:val="24"/>
        </w:rPr>
        <w:t>charge</w:t>
      </w:r>
      <w:r w:rsidR="00151BF0">
        <w:rPr>
          <w:rFonts w:ascii="Times New Roman" w:hAnsi="Times New Roman" w:cs="Times New Roman"/>
          <w:sz w:val="24"/>
          <w:szCs w:val="24"/>
        </w:rPr>
        <w:t xml:space="preserve"> is registered</w:t>
      </w:r>
      <w:r w:rsidRPr="00CE301F">
        <w:rPr>
          <w:rFonts w:ascii="Times New Roman" w:hAnsi="Times New Roman" w:cs="Times New Roman"/>
          <w:sz w:val="24"/>
          <w:szCs w:val="24"/>
        </w:rPr>
        <w:t xml:space="preserve"> in favour of AIB (other lands also appear to be charged in respect of Folio 14918F and 6581F in the Register of Freeholders County of Westmeath).  </w:t>
      </w:r>
      <w:r w:rsidR="00887186" w:rsidRPr="00CE301F">
        <w:rPr>
          <w:rFonts w:ascii="Times New Roman" w:hAnsi="Times New Roman" w:cs="Times New Roman"/>
          <w:sz w:val="24"/>
          <w:szCs w:val="24"/>
        </w:rPr>
        <w:t>A copy of th</w:t>
      </w:r>
      <w:r w:rsidR="002D43FF" w:rsidRPr="00CE301F">
        <w:rPr>
          <w:rFonts w:ascii="Times New Roman" w:hAnsi="Times New Roman" w:cs="Times New Roman"/>
          <w:sz w:val="24"/>
          <w:szCs w:val="24"/>
        </w:rPr>
        <w:t>is solicitor</w:t>
      </w:r>
      <w:r w:rsidR="00893186">
        <w:rPr>
          <w:rFonts w:ascii="Times New Roman" w:hAnsi="Times New Roman" w:cs="Times New Roman"/>
          <w:sz w:val="24"/>
          <w:szCs w:val="24"/>
        </w:rPr>
        <w:t>’</w:t>
      </w:r>
      <w:r w:rsidR="002D43FF" w:rsidRPr="00CE301F">
        <w:rPr>
          <w:rFonts w:ascii="Times New Roman" w:hAnsi="Times New Roman" w:cs="Times New Roman"/>
          <w:sz w:val="24"/>
          <w:szCs w:val="24"/>
        </w:rPr>
        <w:t>s</w:t>
      </w:r>
      <w:r w:rsidR="00887186" w:rsidRPr="00CE301F">
        <w:rPr>
          <w:rFonts w:ascii="Times New Roman" w:hAnsi="Times New Roman" w:cs="Times New Roman"/>
          <w:sz w:val="24"/>
          <w:szCs w:val="24"/>
        </w:rPr>
        <w:t xml:space="preserve"> undertaking is exhibited to the Affidavit of Paul Lynch solicitor sworn on 23 July 2018. </w:t>
      </w:r>
      <w:r w:rsidR="002D43FF" w:rsidRPr="00CE301F">
        <w:rPr>
          <w:rFonts w:ascii="Times New Roman" w:hAnsi="Times New Roman" w:cs="Times New Roman"/>
          <w:sz w:val="24"/>
          <w:szCs w:val="24"/>
        </w:rPr>
        <w:t>The exhibits comprising the</w:t>
      </w:r>
      <w:r w:rsidRPr="00CE301F">
        <w:rPr>
          <w:rFonts w:ascii="Times New Roman" w:hAnsi="Times New Roman" w:cs="Times New Roman"/>
          <w:sz w:val="24"/>
          <w:szCs w:val="24"/>
        </w:rPr>
        <w:t xml:space="preserve"> mortgage documentation</w:t>
      </w:r>
      <w:r w:rsidR="00930E75" w:rsidRPr="00CE301F">
        <w:rPr>
          <w:rFonts w:ascii="Times New Roman" w:hAnsi="Times New Roman" w:cs="Times New Roman"/>
          <w:sz w:val="24"/>
          <w:szCs w:val="24"/>
        </w:rPr>
        <w:t>, being a charge registered in favour of AIB</w:t>
      </w:r>
      <w:r w:rsidRPr="00CE301F">
        <w:rPr>
          <w:rFonts w:ascii="Times New Roman" w:hAnsi="Times New Roman" w:cs="Times New Roman"/>
          <w:sz w:val="24"/>
          <w:szCs w:val="24"/>
        </w:rPr>
        <w:t xml:space="preserve"> and the registration of both defendants on Folio 24188F</w:t>
      </w:r>
      <w:r w:rsidR="00B44565" w:rsidRPr="00CE301F">
        <w:rPr>
          <w:rFonts w:ascii="Times New Roman" w:hAnsi="Times New Roman" w:cs="Times New Roman"/>
          <w:sz w:val="24"/>
          <w:szCs w:val="24"/>
        </w:rPr>
        <w:t xml:space="preserve">, all dated </w:t>
      </w:r>
      <w:r w:rsidRPr="00CE301F">
        <w:rPr>
          <w:rFonts w:ascii="Times New Roman" w:hAnsi="Times New Roman" w:cs="Times New Roman"/>
          <w:sz w:val="24"/>
          <w:szCs w:val="24"/>
        </w:rPr>
        <w:t xml:space="preserve">4 July 2007. </w:t>
      </w:r>
      <w:r w:rsidR="002D43FF" w:rsidRPr="00CE301F">
        <w:rPr>
          <w:rFonts w:ascii="Times New Roman" w:hAnsi="Times New Roman" w:cs="Times New Roman"/>
          <w:sz w:val="24"/>
          <w:szCs w:val="24"/>
        </w:rPr>
        <w:t xml:space="preserve">  </w:t>
      </w:r>
    </w:p>
    <w:p w14:paraId="5529D6BE" w14:textId="3B045549" w:rsidR="00CE301F" w:rsidRPr="00CE301F" w:rsidRDefault="00E76036" w:rsidP="00CE301F">
      <w:pPr>
        <w:pStyle w:val="ListParagraph"/>
        <w:numPr>
          <w:ilvl w:val="0"/>
          <w:numId w:val="4"/>
        </w:numPr>
        <w:spacing w:line="480" w:lineRule="auto"/>
        <w:ind w:left="567" w:hanging="567"/>
        <w:rPr>
          <w:rFonts w:ascii="Times New Roman" w:hAnsi="Times New Roman" w:cs="Times New Roman"/>
          <w:sz w:val="24"/>
          <w:szCs w:val="24"/>
          <w:u w:val="single"/>
        </w:rPr>
      </w:pPr>
      <w:r w:rsidRPr="00CE301F">
        <w:rPr>
          <w:rFonts w:ascii="Times New Roman" w:hAnsi="Times New Roman" w:cs="Times New Roman"/>
          <w:sz w:val="24"/>
          <w:szCs w:val="24"/>
        </w:rPr>
        <w:lastRenderedPageBreak/>
        <w:t>Also exhibited are the</w:t>
      </w:r>
      <w:r w:rsidR="006E7957" w:rsidRPr="00CE301F">
        <w:rPr>
          <w:rFonts w:ascii="Times New Roman" w:hAnsi="Times New Roman" w:cs="Times New Roman"/>
          <w:sz w:val="24"/>
          <w:szCs w:val="24"/>
        </w:rPr>
        <w:t xml:space="preserve"> bank statements ‘</w:t>
      </w:r>
      <w:r w:rsidR="006E7957" w:rsidRPr="00CE301F">
        <w:rPr>
          <w:rFonts w:ascii="Times New Roman" w:hAnsi="Times New Roman" w:cs="Times New Roman"/>
          <w:i/>
          <w:sz w:val="24"/>
          <w:szCs w:val="24"/>
        </w:rPr>
        <w:t>from the commencement of the loan on 30 May 2007</w:t>
      </w:r>
      <w:r w:rsidR="006E7957" w:rsidRPr="00CE301F">
        <w:rPr>
          <w:rFonts w:ascii="Times New Roman" w:hAnsi="Times New Roman" w:cs="Times New Roman"/>
          <w:sz w:val="24"/>
          <w:szCs w:val="24"/>
        </w:rPr>
        <w:t xml:space="preserve">’.  </w:t>
      </w:r>
      <w:r w:rsidR="006C09EE" w:rsidRPr="00CE301F">
        <w:rPr>
          <w:rFonts w:ascii="Times New Roman" w:hAnsi="Times New Roman" w:cs="Times New Roman"/>
          <w:sz w:val="24"/>
          <w:szCs w:val="24"/>
        </w:rPr>
        <w:t>The first entry shows a deposit of €500,000 to Whelehan &amp; Co</w:t>
      </w:r>
      <w:r w:rsidR="00CE301F" w:rsidRPr="00CE301F">
        <w:rPr>
          <w:rFonts w:ascii="Times New Roman" w:hAnsi="Times New Roman" w:cs="Times New Roman"/>
          <w:sz w:val="24"/>
          <w:szCs w:val="24"/>
        </w:rPr>
        <w:t>.</w:t>
      </w:r>
      <w:r w:rsidR="006C09EE" w:rsidRPr="00CE301F">
        <w:rPr>
          <w:rFonts w:ascii="Times New Roman" w:hAnsi="Times New Roman" w:cs="Times New Roman"/>
          <w:sz w:val="24"/>
          <w:szCs w:val="24"/>
        </w:rPr>
        <w:t xml:space="preserve"> in respect of the ‘</w:t>
      </w:r>
      <w:r w:rsidR="006C09EE" w:rsidRPr="00151BF0">
        <w:rPr>
          <w:rFonts w:ascii="Times New Roman" w:hAnsi="Times New Roman" w:cs="Times New Roman"/>
          <w:i/>
          <w:iCs/>
          <w:sz w:val="24"/>
          <w:szCs w:val="24"/>
        </w:rPr>
        <w:t>Thomas Scanlon and Thomas Doran loan account’</w:t>
      </w:r>
      <w:r w:rsidR="006C09EE" w:rsidRPr="00CE301F">
        <w:rPr>
          <w:rFonts w:ascii="Times New Roman" w:hAnsi="Times New Roman" w:cs="Times New Roman"/>
          <w:sz w:val="24"/>
          <w:szCs w:val="24"/>
        </w:rPr>
        <w:t xml:space="preserve">.  </w:t>
      </w:r>
      <w:r w:rsidR="006E7957" w:rsidRPr="00CE301F">
        <w:rPr>
          <w:rFonts w:ascii="Times New Roman" w:hAnsi="Times New Roman" w:cs="Times New Roman"/>
          <w:sz w:val="24"/>
          <w:szCs w:val="24"/>
        </w:rPr>
        <w:t>The last</w:t>
      </w:r>
      <w:r w:rsidRPr="00CE301F">
        <w:rPr>
          <w:rFonts w:ascii="Times New Roman" w:hAnsi="Times New Roman" w:cs="Times New Roman"/>
          <w:sz w:val="24"/>
          <w:szCs w:val="24"/>
        </w:rPr>
        <w:t xml:space="preserve"> bank</w:t>
      </w:r>
      <w:r w:rsidR="006E7957" w:rsidRPr="00CE301F">
        <w:rPr>
          <w:rFonts w:ascii="Times New Roman" w:hAnsi="Times New Roman" w:cs="Times New Roman"/>
          <w:sz w:val="24"/>
          <w:szCs w:val="24"/>
        </w:rPr>
        <w:t xml:space="preserve"> statement is dated 5 December 2014 and shows a debit balance of €517,572.88.  The summons (issued 19 June 2015) seeks a sum of €521,082.26. Mr. Hardiman’s grounding affidavit was sworn on 13 June 2016.  </w:t>
      </w:r>
      <w:r w:rsidR="006C09EE" w:rsidRPr="00CE301F">
        <w:rPr>
          <w:rFonts w:ascii="Times New Roman" w:hAnsi="Times New Roman" w:cs="Times New Roman"/>
          <w:sz w:val="24"/>
          <w:szCs w:val="24"/>
        </w:rPr>
        <w:t>A</w:t>
      </w:r>
      <w:r w:rsidR="006E7957" w:rsidRPr="00CE301F">
        <w:rPr>
          <w:rFonts w:ascii="Times New Roman" w:hAnsi="Times New Roman" w:cs="Times New Roman"/>
          <w:sz w:val="24"/>
          <w:szCs w:val="24"/>
        </w:rPr>
        <w:t xml:space="preserve">ll the statements </w:t>
      </w:r>
      <w:r w:rsidR="006C09EE" w:rsidRPr="00CE301F">
        <w:rPr>
          <w:rFonts w:ascii="Times New Roman" w:hAnsi="Times New Roman" w:cs="Times New Roman"/>
          <w:sz w:val="24"/>
          <w:szCs w:val="24"/>
        </w:rPr>
        <w:t>reflect</w:t>
      </w:r>
      <w:r w:rsidR="006E7957" w:rsidRPr="00CE301F">
        <w:rPr>
          <w:rFonts w:ascii="Times New Roman" w:hAnsi="Times New Roman" w:cs="Times New Roman"/>
          <w:sz w:val="24"/>
          <w:szCs w:val="24"/>
        </w:rPr>
        <w:t xml:space="preserve"> one unchanging loan account number up to the date of the issue of the summary summons in June 2015.  As matters stand there is a</w:t>
      </w:r>
      <w:r w:rsidR="009F2BA6" w:rsidRPr="00CE301F">
        <w:rPr>
          <w:rFonts w:ascii="Times New Roman" w:hAnsi="Times New Roman" w:cs="Times New Roman"/>
          <w:sz w:val="24"/>
          <w:szCs w:val="24"/>
        </w:rPr>
        <w:t xml:space="preserve"> (potential)</w:t>
      </w:r>
      <w:r w:rsidR="006E7957" w:rsidRPr="00CE301F">
        <w:rPr>
          <w:rFonts w:ascii="Times New Roman" w:hAnsi="Times New Roman" w:cs="Times New Roman"/>
          <w:sz w:val="24"/>
          <w:szCs w:val="24"/>
        </w:rPr>
        <w:t xml:space="preserve"> discrepancy as to the figures</w:t>
      </w:r>
      <w:r w:rsidR="009F2BA6" w:rsidRPr="00CE301F">
        <w:rPr>
          <w:rFonts w:ascii="Times New Roman" w:hAnsi="Times New Roman" w:cs="Times New Roman"/>
          <w:sz w:val="24"/>
          <w:szCs w:val="24"/>
        </w:rPr>
        <w:t xml:space="preserve"> as the last </w:t>
      </w:r>
      <w:r w:rsidR="005A4EF1" w:rsidRPr="00CE301F">
        <w:rPr>
          <w:rFonts w:ascii="Times New Roman" w:hAnsi="Times New Roman" w:cs="Times New Roman"/>
          <w:sz w:val="24"/>
          <w:szCs w:val="24"/>
        </w:rPr>
        <w:t>b</w:t>
      </w:r>
      <w:r w:rsidR="009F2BA6" w:rsidRPr="00CE301F">
        <w:rPr>
          <w:rFonts w:ascii="Times New Roman" w:hAnsi="Times New Roman" w:cs="Times New Roman"/>
          <w:sz w:val="24"/>
          <w:szCs w:val="24"/>
        </w:rPr>
        <w:t>ank statement is dated some six months prior to the issue of the summons</w:t>
      </w:r>
      <w:r w:rsidR="006E7957" w:rsidRPr="00CE301F">
        <w:rPr>
          <w:rFonts w:ascii="Times New Roman" w:hAnsi="Times New Roman" w:cs="Times New Roman"/>
          <w:sz w:val="24"/>
          <w:szCs w:val="24"/>
        </w:rPr>
        <w:t xml:space="preserve">.  </w:t>
      </w:r>
    </w:p>
    <w:p w14:paraId="3791DFFD" w14:textId="36C8EC9B" w:rsidR="006E7957" w:rsidRPr="00CE301F" w:rsidRDefault="006E7957" w:rsidP="00CE301F">
      <w:pPr>
        <w:pStyle w:val="ListParagraph"/>
        <w:numPr>
          <w:ilvl w:val="0"/>
          <w:numId w:val="4"/>
        </w:numPr>
        <w:spacing w:line="480" w:lineRule="auto"/>
        <w:ind w:left="567" w:hanging="567"/>
        <w:rPr>
          <w:rFonts w:ascii="Times New Roman" w:hAnsi="Times New Roman" w:cs="Times New Roman"/>
          <w:sz w:val="24"/>
          <w:szCs w:val="24"/>
          <w:u w:val="single"/>
        </w:rPr>
      </w:pPr>
      <w:r w:rsidRPr="00CE301F">
        <w:rPr>
          <w:rFonts w:ascii="Times New Roman" w:hAnsi="Times New Roman" w:cs="Times New Roman"/>
          <w:sz w:val="24"/>
          <w:szCs w:val="24"/>
        </w:rPr>
        <w:t>At para. 9 of his affidavit, Mr. Hardiman avers that the loan was restructured from time to time “</w:t>
      </w:r>
      <w:r w:rsidRPr="00CE301F">
        <w:rPr>
          <w:rFonts w:ascii="Times New Roman" w:hAnsi="Times New Roman" w:cs="Times New Roman"/>
          <w:i/>
          <w:sz w:val="24"/>
          <w:szCs w:val="24"/>
        </w:rPr>
        <w:t>and ultimately by Sanction Letter dated the 7</w:t>
      </w:r>
      <w:r w:rsidRPr="00CE301F">
        <w:rPr>
          <w:rFonts w:ascii="Times New Roman" w:hAnsi="Times New Roman" w:cs="Times New Roman"/>
          <w:i/>
          <w:sz w:val="24"/>
          <w:szCs w:val="24"/>
          <w:vertAlign w:val="superscript"/>
        </w:rPr>
        <w:t>th</w:t>
      </w:r>
      <w:r w:rsidRPr="00CE301F">
        <w:rPr>
          <w:rFonts w:ascii="Times New Roman" w:hAnsi="Times New Roman" w:cs="Times New Roman"/>
          <w:i/>
          <w:sz w:val="24"/>
          <w:szCs w:val="24"/>
        </w:rPr>
        <w:t xml:space="preserve"> day of December 2010”</w:t>
      </w:r>
      <w:r w:rsidR="009557D5" w:rsidRPr="00CE301F">
        <w:rPr>
          <w:rFonts w:ascii="Times New Roman" w:hAnsi="Times New Roman" w:cs="Times New Roman"/>
          <w:i/>
          <w:sz w:val="24"/>
          <w:szCs w:val="24"/>
        </w:rPr>
        <w:t>.</w:t>
      </w:r>
      <w:r w:rsidR="009557D5" w:rsidRPr="00CE301F">
        <w:rPr>
          <w:rFonts w:ascii="Times New Roman" w:hAnsi="Times New Roman" w:cs="Times New Roman"/>
          <w:sz w:val="24"/>
          <w:szCs w:val="24"/>
        </w:rPr>
        <w:t xml:space="preserve"> </w:t>
      </w:r>
      <w:r w:rsidR="001053C8" w:rsidRPr="00CE301F">
        <w:rPr>
          <w:rFonts w:ascii="Times New Roman" w:hAnsi="Times New Roman" w:cs="Times New Roman"/>
          <w:sz w:val="24"/>
          <w:szCs w:val="24"/>
        </w:rPr>
        <w:t>Copies</w:t>
      </w:r>
      <w:r w:rsidRPr="00CE301F">
        <w:rPr>
          <w:rFonts w:ascii="Times New Roman" w:hAnsi="Times New Roman" w:cs="Times New Roman"/>
          <w:sz w:val="24"/>
          <w:szCs w:val="24"/>
        </w:rPr>
        <w:t xml:space="preserve"> of the 2010 facility letter</w:t>
      </w:r>
      <w:r w:rsidR="001053C8" w:rsidRPr="00CE301F">
        <w:rPr>
          <w:rFonts w:ascii="Times New Roman" w:hAnsi="Times New Roman" w:cs="Times New Roman"/>
          <w:sz w:val="24"/>
          <w:szCs w:val="24"/>
        </w:rPr>
        <w:t>s to both defendants are</w:t>
      </w:r>
      <w:r w:rsidRPr="00CE301F">
        <w:rPr>
          <w:rFonts w:ascii="Times New Roman" w:hAnsi="Times New Roman" w:cs="Times New Roman"/>
          <w:sz w:val="24"/>
          <w:szCs w:val="24"/>
        </w:rPr>
        <w:t xml:space="preserve"> exhibited and it is pointed out that</w:t>
      </w:r>
      <w:r w:rsidR="001053C8" w:rsidRPr="00CE301F">
        <w:rPr>
          <w:rFonts w:ascii="Times New Roman" w:hAnsi="Times New Roman" w:cs="Times New Roman"/>
          <w:sz w:val="24"/>
          <w:szCs w:val="24"/>
        </w:rPr>
        <w:t xml:space="preserve"> the letter addressed to Mr</w:t>
      </w:r>
      <w:r w:rsidR="00E84FA4" w:rsidRPr="00CE301F">
        <w:rPr>
          <w:rFonts w:ascii="Times New Roman" w:hAnsi="Times New Roman" w:cs="Times New Roman"/>
          <w:sz w:val="24"/>
          <w:szCs w:val="24"/>
        </w:rPr>
        <w:t>.</w:t>
      </w:r>
      <w:r w:rsidR="001053C8" w:rsidRPr="00CE301F">
        <w:rPr>
          <w:rFonts w:ascii="Times New Roman" w:hAnsi="Times New Roman" w:cs="Times New Roman"/>
          <w:sz w:val="24"/>
          <w:szCs w:val="24"/>
        </w:rPr>
        <w:t xml:space="preserve"> Doran</w:t>
      </w:r>
      <w:r w:rsidRPr="00CE301F">
        <w:rPr>
          <w:rFonts w:ascii="Times New Roman" w:hAnsi="Times New Roman" w:cs="Times New Roman"/>
          <w:sz w:val="24"/>
          <w:szCs w:val="24"/>
        </w:rPr>
        <w:t xml:space="preserve"> bears </w:t>
      </w:r>
      <w:r w:rsidR="001053C8" w:rsidRPr="00CE301F">
        <w:rPr>
          <w:rFonts w:ascii="Times New Roman" w:hAnsi="Times New Roman" w:cs="Times New Roman"/>
          <w:sz w:val="24"/>
          <w:szCs w:val="24"/>
        </w:rPr>
        <w:t>his</w:t>
      </w:r>
      <w:r w:rsidRPr="00CE301F">
        <w:rPr>
          <w:rFonts w:ascii="Times New Roman" w:hAnsi="Times New Roman" w:cs="Times New Roman"/>
          <w:sz w:val="24"/>
          <w:szCs w:val="24"/>
        </w:rPr>
        <w:t xml:space="preserve"> written</w:t>
      </w:r>
      <w:r w:rsidR="001053C8" w:rsidRPr="00CE301F">
        <w:rPr>
          <w:rFonts w:ascii="Times New Roman" w:hAnsi="Times New Roman" w:cs="Times New Roman"/>
          <w:sz w:val="24"/>
          <w:szCs w:val="24"/>
        </w:rPr>
        <w:t xml:space="preserve"> acceptance</w:t>
      </w:r>
      <w:r w:rsidRPr="00CE301F">
        <w:rPr>
          <w:rFonts w:ascii="Times New Roman" w:hAnsi="Times New Roman" w:cs="Times New Roman"/>
          <w:sz w:val="24"/>
          <w:szCs w:val="24"/>
        </w:rPr>
        <w:t>.</w:t>
      </w:r>
    </w:p>
    <w:p w14:paraId="724AC686" w14:textId="77777777" w:rsidR="006E7957" w:rsidRPr="00220ED4" w:rsidRDefault="006E7957" w:rsidP="006E7957">
      <w:pPr>
        <w:pStyle w:val="ListParagraph"/>
        <w:numPr>
          <w:ilvl w:val="0"/>
          <w:numId w:val="1"/>
        </w:numPr>
        <w:tabs>
          <w:tab w:val="left" w:pos="567"/>
        </w:tabs>
        <w:spacing w:line="480" w:lineRule="auto"/>
        <w:ind w:left="0" w:firstLine="0"/>
        <w:jc w:val="left"/>
        <w:rPr>
          <w:rFonts w:ascii="Times New Roman" w:hAnsi="Times New Roman" w:cs="Times New Roman"/>
          <w:bCs/>
          <w:vanish/>
          <w:sz w:val="24"/>
          <w:szCs w:val="24"/>
        </w:rPr>
      </w:pPr>
    </w:p>
    <w:p w14:paraId="39AEE5CF" w14:textId="3C3E2C86" w:rsidR="006E7957" w:rsidRPr="00BF1296" w:rsidRDefault="00BF1296" w:rsidP="00BF1296">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Mr. Doran filed a further affidavit on 20 April 2018.  Again, he </w:t>
      </w:r>
      <w:r>
        <w:rPr>
          <w:rFonts w:ascii="Times New Roman" w:hAnsi="Times New Roman" w:cs="Times New Roman"/>
          <w:sz w:val="24"/>
          <w:szCs w:val="24"/>
        </w:rPr>
        <w:t xml:space="preserve">reiterates </w:t>
      </w:r>
      <w:r w:rsidRPr="00220ED4">
        <w:rPr>
          <w:rFonts w:ascii="Times New Roman" w:hAnsi="Times New Roman" w:cs="Times New Roman"/>
          <w:sz w:val="24"/>
          <w:szCs w:val="24"/>
        </w:rPr>
        <w:t>that he did not sign the 2010 letter of sanction.  He avers that the letter shows some form of facsimile or copy of his signature, but</w:t>
      </w:r>
      <w:r>
        <w:rPr>
          <w:rFonts w:ascii="Times New Roman" w:hAnsi="Times New Roman" w:cs="Times New Roman"/>
          <w:sz w:val="24"/>
          <w:szCs w:val="24"/>
        </w:rPr>
        <w:t xml:space="preserve"> it</w:t>
      </w:r>
      <w:r w:rsidRPr="00220ED4">
        <w:rPr>
          <w:rFonts w:ascii="Times New Roman" w:hAnsi="Times New Roman" w:cs="Times New Roman"/>
          <w:sz w:val="24"/>
          <w:szCs w:val="24"/>
        </w:rPr>
        <w:t xml:space="preserve"> was not placed there by him.  He goes on to detail steps that were taken by and on his behalf (including a letter for voluntary discovery) seeking the original of this 2010 sanction letter.  Ultimately matters rested with the Bank forwarding a copy of the 2010 sanction letter and informing Mr. Doran’s solicitors that the original cannot be located.  That remains the position. </w:t>
      </w:r>
    </w:p>
    <w:p w14:paraId="43470C9D" w14:textId="17E32561" w:rsidR="006E7957" w:rsidRPr="00220ED4" w:rsidRDefault="00656D3E"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The</w:t>
      </w:r>
      <w:r w:rsidR="006E7957" w:rsidRPr="00220ED4">
        <w:rPr>
          <w:rFonts w:ascii="Times New Roman" w:hAnsi="Times New Roman" w:cs="Times New Roman"/>
          <w:sz w:val="24"/>
          <w:szCs w:val="24"/>
        </w:rPr>
        <w:t xml:space="preserve"> 2010 facility letter</w:t>
      </w:r>
      <w:r w:rsidR="00A55272" w:rsidRPr="00220ED4">
        <w:rPr>
          <w:rFonts w:ascii="Times New Roman" w:hAnsi="Times New Roman" w:cs="Times New Roman"/>
          <w:sz w:val="24"/>
          <w:szCs w:val="24"/>
        </w:rPr>
        <w:t xml:space="preserve"> itself</w:t>
      </w:r>
      <w:r w:rsidR="006E7957" w:rsidRPr="00220ED4">
        <w:rPr>
          <w:rFonts w:ascii="Times New Roman" w:hAnsi="Times New Roman" w:cs="Times New Roman"/>
          <w:sz w:val="24"/>
          <w:szCs w:val="24"/>
        </w:rPr>
        <w:t xml:space="preserve"> ends with the typed words; </w:t>
      </w:r>
      <w:r w:rsidR="006E7957" w:rsidRPr="00220ED4">
        <w:rPr>
          <w:rFonts w:ascii="Times New Roman" w:hAnsi="Times New Roman" w:cs="Times New Roman"/>
          <w:i/>
          <w:sz w:val="24"/>
          <w:szCs w:val="24"/>
        </w:rPr>
        <w:t>‘The terms and conditions applicable to this facility in this letter of sanction are accepted by me/us’</w:t>
      </w:r>
      <w:r w:rsidR="006E7957" w:rsidRPr="00220ED4">
        <w:rPr>
          <w:rFonts w:ascii="Times New Roman" w:hAnsi="Times New Roman" w:cs="Times New Roman"/>
          <w:sz w:val="24"/>
          <w:szCs w:val="24"/>
        </w:rPr>
        <w:t xml:space="preserve"> and then a handwritten date of </w:t>
      </w:r>
      <w:r w:rsidR="00E42C50">
        <w:rPr>
          <w:rFonts w:ascii="Times New Roman" w:hAnsi="Times New Roman" w:cs="Times New Roman"/>
          <w:sz w:val="24"/>
          <w:szCs w:val="24"/>
        </w:rPr>
        <w:t>‘</w:t>
      </w:r>
      <w:r w:rsidR="006E7957" w:rsidRPr="00E42C50">
        <w:rPr>
          <w:rFonts w:ascii="Times New Roman" w:hAnsi="Times New Roman" w:cs="Times New Roman"/>
          <w:i/>
          <w:sz w:val="24"/>
          <w:szCs w:val="24"/>
        </w:rPr>
        <w:t>19 January 2011</w:t>
      </w:r>
      <w:r w:rsidR="00E42C50" w:rsidRPr="00E42C50">
        <w:rPr>
          <w:rFonts w:ascii="Times New Roman" w:hAnsi="Times New Roman" w:cs="Times New Roman"/>
          <w:i/>
          <w:sz w:val="24"/>
          <w:szCs w:val="24"/>
        </w:rPr>
        <w:t>’</w:t>
      </w:r>
      <w:r w:rsidR="006E7957" w:rsidRPr="00220ED4">
        <w:rPr>
          <w:rFonts w:ascii="Times New Roman" w:hAnsi="Times New Roman" w:cs="Times New Roman"/>
          <w:sz w:val="24"/>
          <w:szCs w:val="24"/>
        </w:rPr>
        <w:t xml:space="preserve"> is inserted.  There is a signature above the typewritten name ‘</w:t>
      </w:r>
      <w:r w:rsidR="006E7957" w:rsidRPr="00151BF0">
        <w:rPr>
          <w:rFonts w:ascii="Times New Roman" w:hAnsi="Times New Roman" w:cs="Times New Roman"/>
          <w:i/>
          <w:iCs/>
          <w:sz w:val="24"/>
          <w:szCs w:val="24"/>
        </w:rPr>
        <w:t>Thomas Doran</w:t>
      </w:r>
      <w:r w:rsidR="006E7957" w:rsidRPr="00220ED4">
        <w:rPr>
          <w:rFonts w:ascii="Times New Roman" w:hAnsi="Times New Roman" w:cs="Times New Roman"/>
          <w:sz w:val="24"/>
          <w:szCs w:val="24"/>
        </w:rPr>
        <w:t xml:space="preserve">’.  </w:t>
      </w:r>
      <w:r w:rsidRPr="00220ED4">
        <w:rPr>
          <w:rFonts w:ascii="Times New Roman" w:hAnsi="Times New Roman" w:cs="Times New Roman"/>
          <w:sz w:val="24"/>
          <w:szCs w:val="24"/>
        </w:rPr>
        <w:t xml:space="preserve">Mr. Doran exhibits a handwriting expert’s report he has commissioned from Mr. </w:t>
      </w:r>
      <w:r w:rsidRPr="00220ED4">
        <w:rPr>
          <w:rFonts w:ascii="Times New Roman" w:hAnsi="Times New Roman" w:cs="Times New Roman"/>
          <w:sz w:val="24"/>
          <w:szCs w:val="24"/>
        </w:rPr>
        <w:lastRenderedPageBreak/>
        <w:t xml:space="preserve">David Madden of Document Examination Ireland. </w:t>
      </w:r>
      <w:r w:rsidR="006E7957" w:rsidRPr="00220ED4">
        <w:rPr>
          <w:rFonts w:ascii="Times New Roman" w:hAnsi="Times New Roman" w:cs="Times New Roman"/>
          <w:sz w:val="24"/>
          <w:szCs w:val="24"/>
        </w:rPr>
        <w:t>Mr. Madden is asked two questions with regard to the 2010 facility letter; the author of the handwriting in respect of (</w:t>
      </w:r>
      <w:proofErr w:type="spellStart"/>
      <w:r w:rsidR="006E7957" w:rsidRPr="00220ED4">
        <w:rPr>
          <w:rFonts w:ascii="Times New Roman" w:hAnsi="Times New Roman" w:cs="Times New Roman"/>
          <w:sz w:val="24"/>
          <w:szCs w:val="24"/>
        </w:rPr>
        <w:t>i</w:t>
      </w:r>
      <w:proofErr w:type="spellEnd"/>
      <w:r w:rsidR="006E7957" w:rsidRPr="00220ED4">
        <w:rPr>
          <w:rFonts w:ascii="Times New Roman" w:hAnsi="Times New Roman" w:cs="Times New Roman"/>
          <w:sz w:val="24"/>
          <w:szCs w:val="24"/>
        </w:rPr>
        <w:t xml:space="preserve">) the date and (ii) the signature.  </w:t>
      </w:r>
    </w:p>
    <w:p w14:paraId="17BBB53C" w14:textId="7FC30B26" w:rsidR="006E7957" w:rsidRPr="00220ED4" w:rsidRDefault="006E7957" w:rsidP="006E7957">
      <w:pPr>
        <w:spacing w:line="480" w:lineRule="auto"/>
        <w:jc w:val="both"/>
        <w:rPr>
          <w:rFonts w:ascii="Times New Roman" w:hAnsi="Times New Roman" w:cs="Times New Roman"/>
          <w:sz w:val="24"/>
          <w:szCs w:val="24"/>
        </w:rPr>
      </w:pPr>
      <w:r w:rsidRPr="00220ED4">
        <w:rPr>
          <w:rFonts w:ascii="Times New Roman" w:hAnsi="Times New Roman" w:cs="Times New Roman"/>
          <w:sz w:val="24"/>
          <w:szCs w:val="24"/>
        </w:rPr>
        <w:t>With regard to the signature</w:t>
      </w:r>
      <w:r w:rsidR="00AD7C05" w:rsidRPr="00220ED4">
        <w:rPr>
          <w:rFonts w:ascii="Times New Roman" w:hAnsi="Times New Roman" w:cs="Times New Roman"/>
          <w:sz w:val="24"/>
          <w:szCs w:val="24"/>
        </w:rPr>
        <w:t>,</w:t>
      </w:r>
      <w:r w:rsidRPr="00220ED4">
        <w:rPr>
          <w:rFonts w:ascii="Times New Roman" w:hAnsi="Times New Roman" w:cs="Times New Roman"/>
          <w:sz w:val="24"/>
          <w:szCs w:val="24"/>
        </w:rPr>
        <w:t xml:space="preserve"> his opinion is as follows</w:t>
      </w:r>
      <w:r w:rsidRPr="00220ED4">
        <w:rPr>
          <w:rFonts w:ascii="Times New Roman" w:hAnsi="Times New Roman" w:cs="Times New Roman"/>
          <w:i/>
          <w:sz w:val="24"/>
          <w:szCs w:val="24"/>
        </w:rPr>
        <w:t xml:space="preserve">: </w:t>
      </w:r>
      <w:r w:rsidRPr="00220ED4">
        <w:rPr>
          <w:rFonts w:ascii="Times New Roman" w:hAnsi="Times New Roman" w:cs="Times New Roman"/>
          <w:sz w:val="24"/>
          <w:szCs w:val="24"/>
        </w:rPr>
        <w:t xml:space="preserve">   </w:t>
      </w:r>
    </w:p>
    <w:p w14:paraId="17247C3E" w14:textId="27B77C90" w:rsidR="006E7957" w:rsidRPr="00220ED4" w:rsidRDefault="006E7957" w:rsidP="006E7957">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b/>
          <w:i/>
          <w:sz w:val="24"/>
          <w:szCs w:val="24"/>
        </w:rPr>
        <w:t>“</w:t>
      </w:r>
      <w:r w:rsidRPr="00220ED4">
        <w:rPr>
          <w:rFonts w:ascii="Times New Roman" w:hAnsi="Times New Roman" w:cs="Times New Roman"/>
          <w:i/>
          <w:sz w:val="24"/>
          <w:szCs w:val="24"/>
        </w:rPr>
        <w:t>In my opinion it is inconclusive whether Mr. Doran did or did not author the “Thomas Doran” signature</w:t>
      </w:r>
      <w:r w:rsidR="009C1EC5">
        <w:rPr>
          <w:rFonts w:ascii="Times New Roman" w:hAnsi="Times New Roman" w:cs="Times New Roman"/>
          <w:i/>
          <w:sz w:val="24"/>
          <w:szCs w:val="24"/>
        </w:rPr>
        <w:t>…</w:t>
      </w:r>
    </w:p>
    <w:p w14:paraId="6DBF07E6" w14:textId="45326073" w:rsidR="006E7957" w:rsidRPr="00220ED4" w:rsidRDefault="006E7957" w:rsidP="006E7957">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 xml:space="preserve">The signature … compares very favourably with the known signatures from Mr. Doran and I did not find any sign of cut and paste on the photocopy document….  However, due to the very low complexity of the signature involved, the possibility of a simulation by a third party cannot be ruled out.  To provide further clarity on this I would require access to the original questioned document.”  </w:t>
      </w:r>
    </w:p>
    <w:p w14:paraId="549EF74B" w14:textId="77777777"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With regard to the handwritten date on the 2010 facility letter</w:t>
      </w:r>
      <w:r w:rsidRPr="00220ED4">
        <w:rPr>
          <w:rFonts w:ascii="Times New Roman" w:hAnsi="Times New Roman" w:cs="Times New Roman"/>
          <w:b/>
          <w:sz w:val="24"/>
          <w:szCs w:val="24"/>
        </w:rPr>
        <w:t>,</w:t>
      </w:r>
      <w:r w:rsidRPr="00220ED4">
        <w:rPr>
          <w:rFonts w:ascii="Times New Roman" w:hAnsi="Times New Roman" w:cs="Times New Roman"/>
          <w:sz w:val="24"/>
          <w:szCs w:val="24"/>
        </w:rPr>
        <w:t xml:space="preserve"> Mr. Madden states:</w:t>
      </w:r>
    </w:p>
    <w:p w14:paraId="7181D215" w14:textId="77777777" w:rsidR="006E7957" w:rsidRPr="00220ED4" w:rsidRDefault="006E7957" w:rsidP="006E7957">
      <w:pPr>
        <w:pStyle w:val="ListParagraph"/>
        <w:spacing w:line="480" w:lineRule="auto"/>
        <w:ind w:left="567"/>
        <w:rPr>
          <w:rFonts w:ascii="Times New Roman" w:hAnsi="Times New Roman" w:cs="Times New Roman"/>
          <w:b/>
          <w:sz w:val="24"/>
          <w:szCs w:val="24"/>
          <w:u w:val="single"/>
        </w:rPr>
      </w:pPr>
      <w:r w:rsidRPr="00220ED4">
        <w:rPr>
          <w:rFonts w:ascii="Times New Roman" w:hAnsi="Times New Roman" w:cs="Times New Roman"/>
          <w:i/>
          <w:sz w:val="24"/>
          <w:szCs w:val="24"/>
        </w:rPr>
        <w:t>“In my opinion it is strongly probable that Mr. Doran authored the date on the document.”</w:t>
      </w:r>
      <w:r w:rsidRPr="00220ED4">
        <w:rPr>
          <w:rFonts w:ascii="Times New Roman" w:hAnsi="Times New Roman" w:cs="Times New Roman"/>
          <w:sz w:val="24"/>
          <w:szCs w:val="24"/>
        </w:rPr>
        <w:t xml:space="preserve"> </w:t>
      </w:r>
    </w:p>
    <w:p w14:paraId="1C6567AB" w14:textId="17B79790" w:rsidR="006E7957" w:rsidRPr="00FC51CE"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The internal documentation procured by Mr. Doran from AIB pursuant to a data protection request is again exhibited as set out within his previous affidavit.  </w:t>
      </w:r>
    </w:p>
    <w:p w14:paraId="793E27BB" w14:textId="77777777" w:rsidR="00FC51CE" w:rsidRPr="00220ED4" w:rsidRDefault="00FC51CE" w:rsidP="00FC51CE">
      <w:pPr>
        <w:pStyle w:val="ListParagraph"/>
        <w:tabs>
          <w:tab w:val="left" w:pos="567"/>
        </w:tabs>
        <w:spacing w:line="480" w:lineRule="auto"/>
        <w:ind w:left="0"/>
        <w:rPr>
          <w:rFonts w:ascii="Times New Roman" w:hAnsi="Times New Roman" w:cs="Times New Roman"/>
          <w:b/>
          <w:sz w:val="24"/>
          <w:szCs w:val="24"/>
          <w:u w:val="single"/>
        </w:rPr>
      </w:pPr>
    </w:p>
    <w:p w14:paraId="41248097" w14:textId="60872884" w:rsidR="006E7957" w:rsidRDefault="006E7957" w:rsidP="002159D7">
      <w:pPr>
        <w:pStyle w:val="ListParagraph"/>
        <w:tabs>
          <w:tab w:val="left" w:pos="567"/>
        </w:tabs>
        <w:spacing w:line="480" w:lineRule="auto"/>
        <w:ind w:left="0"/>
        <w:jc w:val="left"/>
        <w:rPr>
          <w:rFonts w:ascii="Times New Roman" w:hAnsi="Times New Roman" w:cs="Times New Roman"/>
          <w:sz w:val="24"/>
          <w:szCs w:val="24"/>
        </w:rPr>
      </w:pPr>
      <w:r w:rsidRPr="002159D7">
        <w:rPr>
          <w:rFonts w:ascii="Times New Roman" w:hAnsi="Times New Roman" w:cs="Times New Roman"/>
          <w:b/>
          <w:sz w:val="24"/>
          <w:szCs w:val="24"/>
          <w:u w:val="single"/>
        </w:rPr>
        <w:t>Judgment of Burns (T) J.</w:t>
      </w:r>
      <w:r w:rsidRPr="002159D7">
        <w:rPr>
          <w:rFonts w:ascii="Times New Roman" w:hAnsi="Times New Roman" w:cs="Times New Roman"/>
          <w:sz w:val="24"/>
          <w:szCs w:val="24"/>
        </w:rPr>
        <w:t xml:space="preserve"> </w:t>
      </w:r>
    </w:p>
    <w:p w14:paraId="3C2A4C42" w14:textId="77777777" w:rsidR="00FC51CE" w:rsidRPr="002159D7" w:rsidRDefault="00FC51CE" w:rsidP="002159D7">
      <w:pPr>
        <w:pStyle w:val="ListParagraph"/>
        <w:tabs>
          <w:tab w:val="left" w:pos="567"/>
        </w:tabs>
        <w:spacing w:line="480" w:lineRule="auto"/>
        <w:ind w:left="0"/>
        <w:jc w:val="left"/>
        <w:rPr>
          <w:rFonts w:ascii="Times New Roman" w:hAnsi="Times New Roman" w:cs="Times New Roman"/>
          <w:b/>
          <w:sz w:val="24"/>
          <w:szCs w:val="24"/>
          <w:u w:val="single"/>
        </w:rPr>
      </w:pPr>
    </w:p>
    <w:p w14:paraId="3065FB85" w14:textId="49C61EB5"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In her </w:t>
      </w:r>
      <w:r w:rsidRPr="00220ED4">
        <w:rPr>
          <w:rFonts w:ascii="Times New Roman" w:hAnsi="Times New Roman" w:cs="Times New Roman"/>
          <w:i/>
          <w:sz w:val="24"/>
          <w:szCs w:val="24"/>
        </w:rPr>
        <w:t xml:space="preserve">ex tempore </w:t>
      </w:r>
      <w:r w:rsidRPr="00220ED4">
        <w:rPr>
          <w:rFonts w:ascii="Times New Roman" w:hAnsi="Times New Roman" w:cs="Times New Roman"/>
          <w:sz w:val="24"/>
          <w:szCs w:val="24"/>
        </w:rPr>
        <w:t xml:space="preserve">judgment, Burns J. points to the original </w:t>
      </w:r>
      <w:r w:rsidR="00370E89">
        <w:rPr>
          <w:rFonts w:ascii="Times New Roman" w:hAnsi="Times New Roman" w:cs="Times New Roman"/>
          <w:sz w:val="24"/>
          <w:szCs w:val="24"/>
        </w:rPr>
        <w:t>l</w:t>
      </w:r>
      <w:r w:rsidRPr="00220ED4">
        <w:rPr>
          <w:rFonts w:ascii="Times New Roman" w:hAnsi="Times New Roman" w:cs="Times New Roman"/>
          <w:sz w:val="24"/>
          <w:szCs w:val="24"/>
        </w:rPr>
        <w:t xml:space="preserve">etter of </w:t>
      </w:r>
      <w:r w:rsidR="00370E89">
        <w:rPr>
          <w:rFonts w:ascii="Times New Roman" w:hAnsi="Times New Roman" w:cs="Times New Roman"/>
          <w:sz w:val="24"/>
          <w:szCs w:val="24"/>
        </w:rPr>
        <w:t>s</w:t>
      </w:r>
      <w:r w:rsidRPr="00220ED4">
        <w:rPr>
          <w:rFonts w:ascii="Times New Roman" w:hAnsi="Times New Roman" w:cs="Times New Roman"/>
          <w:sz w:val="24"/>
          <w:szCs w:val="24"/>
        </w:rPr>
        <w:t xml:space="preserve">anction of 14 May 2007 and in particular the defendants’ solicitors’ letter of 18 May 2007 furnishing the duly completed </w:t>
      </w:r>
      <w:r w:rsidR="00370E89">
        <w:rPr>
          <w:rFonts w:ascii="Times New Roman" w:hAnsi="Times New Roman" w:cs="Times New Roman"/>
          <w:sz w:val="24"/>
          <w:szCs w:val="24"/>
        </w:rPr>
        <w:t>l</w:t>
      </w:r>
      <w:r w:rsidRPr="00220ED4">
        <w:rPr>
          <w:rFonts w:ascii="Times New Roman" w:hAnsi="Times New Roman" w:cs="Times New Roman"/>
          <w:sz w:val="24"/>
          <w:szCs w:val="24"/>
        </w:rPr>
        <w:t xml:space="preserve">etter of </w:t>
      </w:r>
      <w:r w:rsidR="00370E89">
        <w:rPr>
          <w:rFonts w:ascii="Times New Roman" w:hAnsi="Times New Roman" w:cs="Times New Roman"/>
          <w:sz w:val="24"/>
          <w:szCs w:val="24"/>
        </w:rPr>
        <w:t>a</w:t>
      </w:r>
      <w:r w:rsidRPr="00220ED4">
        <w:rPr>
          <w:rFonts w:ascii="Times New Roman" w:hAnsi="Times New Roman" w:cs="Times New Roman"/>
          <w:sz w:val="24"/>
          <w:szCs w:val="24"/>
        </w:rPr>
        <w:t>cceptance in respect of that facility and</w:t>
      </w:r>
      <w:r w:rsidR="00370E89">
        <w:rPr>
          <w:rFonts w:ascii="Times New Roman" w:hAnsi="Times New Roman" w:cs="Times New Roman"/>
          <w:sz w:val="24"/>
          <w:szCs w:val="24"/>
        </w:rPr>
        <w:t xml:space="preserve"> the standard</w:t>
      </w:r>
      <w:r w:rsidRPr="00220ED4">
        <w:rPr>
          <w:rFonts w:ascii="Times New Roman" w:hAnsi="Times New Roman" w:cs="Times New Roman"/>
          <w:sz w:val="24"/>
          <w:szCs w:val="24"/>
        </w:rPr>
        <w:t xml:space="preserve"> undertaking with regard to the pledging of security.  </w:t>
      </w:r>
    </w:p>
    <w:p w14:paraId="536EEEEA" w14:textId="25931C76"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Burns J. went on </w:t>
      </w:r>
      <w:r w:rsidR="002A12EB">
        <w:rPr>
          <w:rFonts w:ascii="Times New Roman" w:hAnsi="Times New Roman" w:cs="Times New Roman"/>
          <w:sz w:val="24"/>
          <w:szCs w:val="24"/>
        </w:rPr>
        <w:t xml:space="preserve">consider </w:t>
      </w:r>
      <w:r w:rsidRPr="00220ED4">
        <w:rPr>
          <w:rFonts w:ascii="Times New Roman" w:hAnsi="Times New Roman" w:cs="Times New Roman"/>
          <w:sz w:val="24"/>
          <w:szCs w:val="24"/>
        </w:rPr>
        <w:t xml:space="preserve">the test set out by the Supreme Court in </w:t>
      </w:r>
      <w:r w:rsidRPr="00220ED4">
        <w:rPr>
          <w:rFonts w:ascii="Times New Roman" w:hAnsi="Times New Roman" w:cs="Times New Roman"/>
          <w:i/>
          <w:sz w:val="24"/>
          <w:szCs w:val="24"/>
        </w:rPr>
        <w:t xml:space="preserve">IBRC v. McCaughey </w:t>
      </w:r>
      <w:r w:rsidRPr="00220ED4">
        <w:rPr>
          <w:rFonts w:ascii="Times New Roman" w:hAnsi="Times New Roman" w:cs="Times New Roman"/>
          <w:sz w:val="24"/>
          <w:szCs w:val="24"/>
        </w:rPr>
        <w:t>[2014] 1 IR 749, neutral citation [2014] IESC 44 (‘</w:t>
      </w:r>
      <w:r w:rsidRPr="00220ED4">
        <w:rPr>
          <w:rFonts w:ascii="Times New Roman" w:hAnsi="Times New Roman" w:cs="Times New Roman"/>
          <w:i/>
          <w:sz w:val="24"/>
          <w:szCs w:val="24"/>
        </w:rPr>
        <w:t>McCaughey’).</w:t>
      </w:r>
      <w:r w:rsidRPr="00220ED4">
        <w:rPr>
          <w:rFonts w:ascii="Times New Roman" w:hAnsi="Times New Roman" w:cs="Times New Roman"/>
          <w:sz w:val="24"/>
          <w:szCs w:val="24"/>
        </w:rPr>
        <w:t xml:space="preserve">   </w:t>
      </w:r>
      <w:r w:rsidR="00884C7A">
        <w:rPr>
          <w:rFonts w:ascii="Times New Roman" w:hAnsi="Times New Roman" w:cs="Times New Roman"/>
          <w:sz w:val="24"/>
          <w:szCs w:val="24"/>
        </w:rPr>
        <w:t>O</w:t>
      </w:r>
      <w:r w:rsidRPr="00220ED4">
        <w:rPr>
          <w:rFonts w:ascii="Times New Roman" w:hAnsi="Times New Roman" w:cs="Times New Roman"/>
          <w:sz w:val="24"/>
          <w:szCs w:val="24"/>
        </w:rPr>
        <w:t xml:space="preserve">n the basis of that authority </w:t>
      </w:r>
      <w:r w:rsidRPr="00220ED4">
        <w:rPr>
          <w:rFonts w:ascii="Times New Roman" w:hAnsi="Times New Roman" w:cs="Times New Roman"/>
          <w:sz w:val="24"/>
          <w:szCs w:val="24"/>
        </w:rPr>
        <w:lastRenderedPageBreak/>
        <w:t>(and the cases quoted within it),</w:t>
      </w:r>
      <w:r w:rsidR="00B46E29">
        <w:rPr>
          <w:rFonts w:ascii="Times New Roman" w:hAnsi="Times New Roman" w:cs="Times New Roman"/>
          <w:sz w:val="24"/>
          <w:szCs w:val="24"/>
        </w:rPr>
        <w:t xml:space="preserve"> she </w:t>
      </w:r>
      <w:r w:rsidRPr="00220ED4">
        <w:rPr>
          <w:rFonts w:ascii="Times New Roman" w:hAnsi="Times New Roman" w:cs="Times New Roman"/>
          <w:sz w:val="24"/>
          <w:szCs w:val="24"/>
        </w:rPr>
        <w:t>consider</w:t>
      </w:r>
      <w:r w:rsidR="00F6340A">
        <w:rPr>
          <w:rFonts w:ascii="Times New Roman" w:hAnsi="Times New Roman" w:cs="Times New Roman"/>
          <w:sz w:val="24"/>
          <w:szCs w:val="24"/>
        </w:rPr>
        <w:t>ed</w:t>
      </w:r>
      <w:r w:rsidRPr="00220ED4">
        <w:rPr>
          <w:rFonts w:ascii="Times New Roman" w:hAnsi="Times New Roman" w:cs="Times New Roman"/>
          <w:sz w:val="24"/>
          <w:szCs w:val="24"/>
        </w:rPr>
        <w:t xml:space="preserve"> whether </w:t>
      </w:r>
      <w:r w:rsidR="00884C7A">
        <w:rPr>
          <w:rFonts w:ascii="Times New Roman" w:hAnsi="Times New Roman" w:cs="Times New Roman"/>
          <w:sz w:val="24"/>
          <w:szCs w:val="24"/>
        </w:rPr>
        <w:t>Mr</w:t>
      </w:r>
      <w:r w:rsidR="00E84FA4">
        <w:rPr>
          <w:rFonts w:ascii="Times New Roman" w:hAnsi="Times New Roman" w:cs="Times New Roman"/>
          <w:sz w:val="24"/>
          <w:szCs w:val="24"/>
        </w:rPr>
        <w:t>.</w:t>
      </w:r>
      <w:r w:rsidR="00884C7A">
        <w:rPr>
          <w:rFonts w:ascii="Times New Roman" w:hAnsi="Times New Roman" w:cs="Times New Roman"/>
          <w:sz w:val="24"/>
          <w:szCs w:val="24"/>
        </w:rPr>
        <w:t xml:space="preserve"> Doran</w:t>
      </w:r>
      <w:r w:rsidRPr="00220ED4">
        <w:rPr>
          <w:rFonts w:ascii="Times New Roman" w:hAnsi="Times New Roman" w:cs="Times New Roman"/>
          <w:sz w:val="24"/>
          <w:szCs w:val="24"/>
        </w:rPr>
        <w:t xml:space="preserve">’s assertion that he </w:t>
      </w:r>
      <w:r w:rsidR="00345D6B">
        <w:rPr>
          <w:rFonts w:ascii="Times New Roman" w:hAnsi="Times New Roman" w:cs="Times New Roman"/>
          <w:sz w:val="24"/>
          <w:szCs w:val="24"/>
        </w:rPr>
        <w:t xml:space="preserve">had </w:t>
      </w:r>
      <w:r w:rsidRPr="00220ED4">
        <w:rPr>
          <w:rFonts w:ascii="Times New Roman" w:hAnsi="Times New Roman" w:cs="Times New Roman"/>
          <w:sz w:val="24"/>
          <w:szCs w:val="24"/>
        </w:rPr>
        <w:t xml:space="preserve">an arguable defence was sufficient to withstand the </w:t>
      </w:r>
      <w:r w:rsidR="005A4EF1">
        <w:rPr>
          <w:rFonts w:ascii="Times New Roman" w:hAnsi="Times New Roman" w:cs="Times New Roman"/>
          <w:sz w:val="24"/>
          <w:szCs w:val="24"/>
        </w:rPr>
        <w:t>B</w:t>
      </w:r>
      <w:r w:rsidRPr="00220ED4">
        <w:rPr>
          <w:rFonts w:ascii="Times New Roman" w:hAnsi="Times New Roman" w:cs="Times New Roman"/>
          <w:sz w:val="24"/>
          <w:szCs w:val="24"/>
        </w:rPr>
        <w:t xml:space="preserve">ank’s application for summary judgment. </w:t>
      </w:r>
    </w:p>
    <w:p w14:paraId="61D0596D" w14:textId="40F5B666" w:rsidR="006E7957" w:rsidRPr="00220ED4" w:rsidRDefault="00FF6E8F"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A</w:t>
      </w:r>
      <w:r w:rsidR="006E7957" w:rsidRPr="00220ED4">
        <w:rPr>
          <w:rFonts w:ascii="Times New Roman" w:hAnsi="Times New Roman" w:cs="Times New Roman"/>
          <w:sz w:val="24"/>
          <w:szCs w:val="24"/>
        </w:rPr>
        <w:t xml:space="preserve">ccepting the </w:t>
      </w:r>
      <w:r w:rsidR="00884C7A">
        <w:rPr>
          <w:rFonts w:ascii="Times New Roman" w:hAnsi="Times New Roman" w:cs="Times New Roman"/>
          <w:sz w:val="24"/>
          <w:szCs w:val="24"/>
        </w:rPr>
        <w:t>arguments advanced</w:t>
      </w:r>
      <w:r w:rsidR="006E7957" w:rsidRPr="00220ED4">
        <w:rPr>
          <w:rFonts w:ascii="Times New Roman" w:hAnsi="Times New Roman" w:cs="Times New Roman"/>
          <w:sz w:val="24"/>
          <w:szCs w:val="24"/>
        </w:rPr>
        <w:t xml:space="preserve"> by Mr. </w:t>
      </w:r>
      <w:r w:rsidR="007F1C20" w:rsidRPr="00220ED4">
        <w:rPr>
          <w:rFonts w:ascii="Times New Roman" w:hAnsi="Times New Roman" w:cs="Times New Roman"/>
          <w:sz w:val="24"/>
          <w:szCs w:val="24"/>
        </w:rPr>
        <w:t>D</w:t>
      </w:r>
      <w:r w:rsidR="006E7957" w:rsidRPr="00220ED4">
        <w:rPr>
          <w:rFonts w:ascii="Times New Roman" w:hAnsi="Times New Roman" w:cs="Times New Roman"/>
          <w:sz w:val="24"/>
          <w:szCs w:val="24"/>
        </w:rPr>
        <w:t>oran, including the views expressed by his handwriting expert</w:t>
      </w:r>
      <w:r w:rsidR="00345D6B">
        <w:rPr>
          <w:rFonts w:ascii="Times New Roman" w:hAnsi="Times New Roman" w:cs="Times New Roman"/>
          <w:sz w:val="24"/>
          <w:szCs w:val="24"/>
        </w:rPr>
        <w:t xml:space="preserve"> in respect of the 2010 facility letter</w:t>
      </w:r>
      <w:r w:rsidR="006E7957" w:rsidRPr="00220ED4">
        <w:rPr>
          <w:rFonts w:ascii="Times New Roman" w:hAnsi="Times New Roman" w:cs="Times New Roman"/>
          <w:sz w:val="24"/>
          <w:szCs w:val="24"/>
        </w:rPr>
        <w:t>, Burns J. was nevertheless of the opinion Mr. Doran</w:t>
      </w:r>
      <w:r w:rsidR="00E95A1B">
        <w:rPr>
          <w:rFonts w:ascii="Times New Roman" w:hAnsi="Times New Roman" w:cs="Times New Roman"/>
          <w:sz w:val="24"/>
          <w:szCs w:val="24"/>
        </w:rPr>
        <w:t>’s claim</w:t>
      </w:r>
      <w:r w:rsidR="006E7957" w:rsidRPr="00220ED4">
        <w:rPr>
          <w:rFonts w:ascii="Times New Roman" w:hAnsi="Times New Roman" w:cs="Times New Roman"/>
          <w:sz w:val="24"/>
          <w:szCs w:val="24"/>
        </w:rPr>
        <w:t xml:space="preserve"> </w:t>
      </w:r>
      <w:r w:rsidR="00FE77A4">
        <w:rPr>
          <w:rFonts w:ascii="Times New Roman" w:hAnsi="Times New Roman" w:cs="Times New Roman"/>
          <w:sz w:val="24"/>
          <w:szCs w:val="24"/>
        </w:rPr>
        <w:t xml:space="preserve">failed to raise any </w:t>
      </w:r>
      <w:r w:rsidR="006E7957" w:rsidRPr="00220ED4">
        <w:rPr>
          <w:rFonts w:ascii="Times New Roman" w:hAnsi="Times New Roman" w:cs="Times New Roman"/>
          <w:sz w:val="24"/>
          <w:szCs w:val="24"/>
        </w:rPr>
        <w:t>arguable defence. This was</w:t>
      </w:r>
      <w:r w:rsidR="006E7957" w:rsidRPr="00220ED4">
        <w:rPr>
          <w:rFonts w:ascii="Times New Roman" w:hAnsi="Times New Roman" w:cs="Times New Roman"/>
          <w:b/>
          <w:sz w:val="24"/>
          <w:szCs w:val="24"/>
        </w:rPr>
        <w:t xml:space="preserve"> </w:t>
      </w:r>
      <w:r w:rsidR="006E7957" w:rsidRPr="00220ED4">
        <w:rPr>
          <w:rFonts w:ascii="Times New Roman" w:hAnsi="Times New Roman" w:cs="Times New Roman"/>
          <w:sz w:val="24"/>
          <w:szCs w:val="24"/>
        </w:rPr>
        <w:t xml:space="preserve">on the basis that the </w:t>
      </w:r>
      <w:r w:rsidR="00E95A1B">
        <w:rPr>
          <w:rFonts w:ascii="Times New Roman" w:hAnsi="Times New Roman" w:cs="Times New Roman"/>
          <w:sz w:val="24"/>
          <w:szCs w:val="24"/>
        </w:rPr>
        <w:t>l</w:t>
      </w:r>
      <w:r w:rsidR="006E7957" w:rsidRPr="00220ED4">
        <w:rPr>
          <w:rFonts w:ascii="Times New Roman" w:hAnsi="Times New Roman" w:cs="Times New Roman"/>
          <w:sz w:val="24"/>
          <w:szCs w:val="24"/>
        </w:rPr>
        <w:t xml:space="preserve">oan </w:t>
      </w:r>
      <w:r w:rsidR="00E95A1B">
        <w:rPr>
          <w:rFonts w:ascii="Times New Roman" w:hAnsi="Times New Roman" w:cs="Times New Roman"/>
          <w:sz w:val="24"/>
          <w:szCs w:val="24"/>
        </w:rPr>
        <w:t>a</w:t>
      </w:r>
      <w:r w:rsidR="006E7957" w:rsidRPr="00220ED4">
        <w:rPr>
          <w:rFonts w:ascii="Times New Roman" w:hAnsi="Times New Roman" w:cs="Times New Roman"/>
          <w:sz w:val="24"/>
          <w:szCs w:val="24"/>
        </w:rPr>
        <w:t>greement was entered into in May 2007 and security put in place at that time.</w:t>
      </w:r>
      <w:r w:rsidR="00E95A1B">
        <w:rPr>
          <w:rFonts w:ascii="Times New Roman" w:hAnsi="Times New Roman" w:cs="Times New Roman"/>
          <w:sz w:val="24"/>
          <w:szCs w:val="24"/>
        </w:rPr>
        <w:t xml:space="preserve">  The necessary documentation to effect this was executed by Mr</w:t>
      </w:r>
      <w:r w:rsidR="00E84FA4">
        <w:rPr>
          <w:rFonts w:ascii="Times New Roman" w:hAnsi="Times New Roman" w:cs="Times New Roman"/>
          <w:sz w:val="24"/>
          <w:szCs w:val="24"/>
        </w:rPr>
        <w:t>.</w:t>
      </w:r>
      <w:r w:rsidR="00E95A1B">
        <w:rPr>
          <w:rFonts w:ascii="Times New Roman" w:hAnsi="Times New Roman" w:cs="Times New Roman"/>
          <w:sz w:val="24"/>
          <w:szCs w:val="24"/>
        </w:rPr>
        <w:t xml:space="preserve"> Doran.  </w:t>
      </w:r>
      <w:r w:rsidR="006E7957" w:rsidRPr="00220ED4">
        <w:rPr>
          <w:rFonts w:ascii="Times New Roman" w:hAnsi="Times New Roman" w:cs="Times New Roman"/>
          <w:sz w:val="24"/>
          <w:szCs w:val="24"/>
        </w:rPr>
        <w:t>The subsequent letters of sanction</w:t>
      </w:r>
      <w:r w:rsidR="00345D6B">
        <w:rPr>
          <w:rFonts w:ascii="Times New Roman" w:hAnsi="Times New Roman" w:cs="Times New Roman"/>
          <w:sz w:val="24"/>
          <w:szCs w:val="24"/>
        </w:rPr>
        <w:t xml:space="preserve"> (including that in 2010)</w:t>
      </w:r>
      <w:r w:rsidR="006E7957" w:rsidRPr="00220ED4">
        <w:rPr>
          <w:rFonts w:ascii="Times New Roman" w:hAnsi="Times New Roman" w:cs="Times New Roman"/>
          <w:sz w:val="24"/>
          <w:szCs w:val="24"/>
        </w:rPr>
        <w:t xml:space="preserve"> merely deal</w:t>
      </w:r>
      <w:r w:rsidR="007F1C20" w:rsidRPr="00220ED4">
        <w:rPr>
          <w:rFonts w:ascii="Times New Roman" w:hAnsi="Times New Roman" w:cs="Times New Roman"/>
          <w:sz w:val="24"/>
          <w:szCs w:val="24"/>
        </w:rPr>
        <w:t>t</w:t>
      </w:r>
      <w:r w:rsidR="006E7957" w:rsidRPr="00220ED4">
        <w:rPr>
          <w:rFonts w:ascii="Times New Roman" w:hAnsi="Times New Roman" w:cs="Times New Roman"/>
          <w:sz w:val="24"/>
          <w:szCs w:val="24"/>
        </w:rPr>
        <w:t xml:space="preserve"> with</w:t>
      </w:r>
      <w:r w:rsidR="00FF316C">
        <w:rPr>
          <w:rFonts w:ascii="Times New Roman" w:hAnsi="Times New Roman" w:cs="Times New Roman"/>
          <w:sz w:val="24"/>
          <w:szCs w:val="24"/>
        </w:rPr>
        <w:t xml:space="preserve"> a</w:t>
      </w:r>
      <w:r w:rsidR="006E7957" w:rsidRPr="00220ED4">
        <w:rPr>
          <w:rFonts w:ascii="Times New Roman" w:hAnsi="Times New Roman" w:cs="Times New Roman"/>
          <w:sz w:val="24"/>
          <w:szCs w:val="24"/>
        </w:rPr>
        <w:t xml:space="preserve"> re-structuring of this original loan facility.</w:t>
      </w:r>
    </w:p>
    <w:p w14:paraId="1103A34F" w14:textId="7C24BB92" w:rsidR="006E7957" w:rsidRPr="00FC51CE"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In the view of the learned </w:t>
      </w:r>
      <w:r w:rsidR="00E84FA4">
        <w:rPr>
          <w:rFonts w:ascii="Times New Roman" w:hAnsi="Times New Roman" w:cs="Times New Roman"/>
          <w:sz w:val="24"/>
          <w:szCs w:val="24"/>
        </w:rPr>
        <w:t>trial</w:t>
      </w:r>
      <w:r w:rsidR="00E84FA4" w:rsidRPr="00220ED4">
        <w:rPr>
          <w:rFonts w:ascii="Times New Roman" w:hAnsi="Times New Roman" w:cs="Times New Roman"/>
          <w:sz w:val="24"/>
          <w:szCs w:val="24"/>
        </w:rPr>
        <w:t xml:space="preserve"> </w:t>
      </w:r>
      <w:r w:rsidRPr="00220ED4">
        <w:rPr>
          <w:rFonts w:ascii="Times New Roman" w:hAnsi="Times New Roman" w:cs="Times New Roman"/>
          <w:sz w:val="24"/>
          <w:szCs w:val="24"/>
        </w:rPr>
        <w:t xml:space="preserve">judge the bank statements disclosed that the monies remain due and owing on foot of that original </w:t>
      </w:r>
      <w:r w:rsidR="00435B46">
        <w:rPr>
          <w:rFonts w:ascii="Times New Roman" w:hAnsi="Times New Roman" w:cs="Times New Roman"/>
          <w:sz w:val="24"/>
          <w:szCs w:val="24"/>
        </w:rPr>
        <w:t>l</w:t>
      </w:r>
      <w:r w:rsidRPr="00220ED4">
        <w:rPr>
          <w:rFonts w:ascii="Times New Roman" w:hAnsi="Times New Roman" w:cs="Times New Roman"/>
          <w:sz w:val="24"/>
          <w:szCs w:val="24"/>
        </w:rPr>
        <w:t xml:space="preserve">oan </w:t>
      </w:r>
      <w:r w:rsidR="00435B46">
        <w:rPr>
          <w:rFonts w:ascii="Times New Roman" w:hAnsi="Times New Roman" w:cs="Times New Roman"/>
          <w:sz w:val="24"/>
          <w:szCs w:val="24"/>
        </w:rPr>
        <w:t>a</w:t>
      </w:r>
      <w:r w:rsidRPr="00220ED4">
        <w:rPr>
          <w:rFonts w:ascii="Times New Roman" w:hAnsi="Times New Roman" w:cs="Times New Roman"/>
          <w:sz w:val="24"/>
          <w:szCs w:val="24"/>
        </w:rPr>
        <w:t xml:space="preserve">greement </w:t>
      </w:r>
      <w:r w:rsidR="00435B46">
        <w:rPr>
          <w:rFonts w:ascii="Times New Roman" w:hAnsi="Times New Roman" w:cs="Times New Roman"/>
          <w:sz w:val="24"/>
          <w:szCs w:val="24"/>
        </w:rPr>
        <w:t xml:space="preserve">as  </w:t>
      </w:r>
      <w:r w:rsidRPr="00220ED4">
        <w:rPr>
          <w:rFonts w:ascii="Times New Roman" w:hAnsi="Times New Roman" w:cs="Times New Roman"/>
          <w:sz w:val="24"/>
          <w:szCs w:val="24"/>
        </w:rPr>
        <w:t xml:space="preserve">are set out within the </w:t>
      </w:r>
      <w:r w:rsidR="00435B46">
        <w:rPr>
          <w:rFonts w:ascii="Times New Roman" w:hAnsi="Times New Roman" w:cs="Times New Roman"/>
          <w:sz w:val="24"/>
          <w:szCs w:val="24"/>
        </w:rPr>
        <w:t>l</w:t>
      </w:r>
      <w:r w:rsidRPr="00220ED4">
        <w:rPr>
          <w:rFonts w:ascii="Times New Roman" w:hAnsi="Times New Roman" w:cs="Times New Roman"/>
          <w:sz w:val="24"/>
          <w:szCs w:val="24"/>
        </w:rPr>
        <w:t xml:space="preserve">etter of </w:t>
      </w:r>
      <w:r w:rsidR="00435B46">
        <w:rPr>
          <w:rFonts w:ascii="Times New Roman" w:hAnsi="Times New Roman" w:cs="Times New Roman"/>
          <w:sz w:val="24"/>
          <w:szCs w:val="24"/>
        </w:rPr>
        <w:t>d</w:t>
      </w:r>
      <w:r w:rsidRPr="00220ED4">
        <w:rPr>
          <w:rFonts w:ascii="Times New Roman" w:hAnsi="Times New Roman" w:cs="Times New Roman"/>
          <w:sz w:val="24"/>
          <w:szCs w:val="24"/>
        </w:rPr>
        <w:t xml:space="preserve">emand of 24 April 2015.  </w:t>
      </w:r>
      <w:r w:rsidR="006C7400">
        <w:rPr>
          <w:rFonts w:ascii="Times New Roman" w:hAnsi="Times New Roman" w:cs="Times New Roman"/>
          <w:sz w:val="24"/>
          <w:szCs w:val="24"/>
        </w:rPr>
        <w:t>No defence had been raised</w:t>
      </w:r>
      <w:r w:rsidR="00212F1E">
        <w:rPr>
          <w:rFonts w:ascii="Times New Roman" w:hAnsi="Times New Roman" w:cs="Times New Roman"/>
          <w:sz w:val="24"/>
          <w:szCs w:val="24"/>
        </w:rPr>
        <w:t xml:space="preserve"> regarding </w:t>
      </w:r>
      <w:r w:rsidR="00163172">
        <w:rPr>
          <w:rFonts w:ascii="Times New Roman" w:hAnsi="Times New Roman" w:cs="Times New Roman"/>
          <w:sz w:val="24"/>
          <w:szCs w:val="24"/>
        </w:rPr>
        <w:t>Mr</w:t>
      </w:r>
      <w:r w:rsidR="00E84FA4">
        <w:rPr>
          <w:rFonts w:ascii="Times New Roman" w:hAnsi="Times New Roman" w:cs="Times New Roman"/>
          <w:sz w:val="24"/>
          <w:szCs w:val="24"/>
        </w:rPr>
        <w:t>.</w:t>
      </w:r>
      <w:r w:rsidR="00163172">
        <w:rPr>
          <w:rFonts w:ascii="Times New Roman" w:hAnsi="Times New Roman" w:cs="Times New Roman"/>
          <w:sz w:val="24"/>
          <w:szCs w:val="24"/>
        </w:rPr>
        <w:t xml:space="preserve"> Doran’s liability in respect of </w:t>
      </w:r>
      <w:r w:rsidR="006C7400">
        <w:rPr>
          <w:rFonts w:ascii="Times New Roman" w:hAnsi="Times New Roman" w:cs="Times New Roman"/>
          <w:sz w:val="24"/>
          <w:szCs w:val="24"/>
        </w:rPr>
        <w:t xml:space="preserve">the original </w:t>
      </w:r>
      <w:r w:rsidR="00AF372A">
        <w:rPr>
          <w:rFonts w:ascii="Times New Roman" w:hAnsi="Times New Roman" w:cs="Times New Roman"/>
          <w:sz w:val="24"/>
          <w:szCs w:val="24"/>
        </w:rPr>
        <w:t xml:space="preserve">facility in 2007 </w:t>
      </w:r>
      <w:r w:rsidR="006C7400">
        <w:rPr>
          <w:rFonts w:ascii="Times New Roman" w:hAnsi="Times New Roman" w:cs="Times New Roman"/>
          <w:sz w:val="24"/>
          <w:szCs w:val="24"/>
        </w:rPr>
        <w:t>and the defence raised</w:t>
      </w:r>
      <w:r w:rsidR="00163172">
        <w:rPr>
          <w:rFonts w:ascii="Times New Roman" w:hAnsi="Times New Roman" w:cs="Times New Roman"/>
          <w:sz w:val="24"/>
          <w:szCs w:val="24"/>
        </w:rPr>
        <w:t xml:space="preserve"> dealt solely with issues surrounding a</w:t>
      </w:r>
      <w:r w:rsidR="006C7400">
        <w:rPr>
          <w:rFonts w:ascii="Times New Roman" w:hAnsi="Times New Roman" w:cs="Times New Roman"/>
          <w:sz w:val="24"/>
          <w:szCs w:val="24"/>
        </w:rPr>
        <w:t xml:space="preserve"> re-structuring of th</w:t>
      </w:r>
      <w:r w:rsidR="00163172">
        <w:rPr>
          <w:rFonts w:ascii="Times New Roman" w:hAnsi="Times New Roman" w:cs="Times New Roman"/>
          <w:sz w:val="24"/>
          <w:szCs w:val="24"/>
        </w:rPr>
        <w:t>at</w:t>
      </w:r>
      <w:r w:rsidR="006C7400">
        <w:rPr>
          <w:rFonts w:ascii="Times New Roman" w:hAnsi="Times New Roman" w:cs="Times New Roman"/>
          <w:sz w:val="24"/>
          <w:szCs w:val="24"/>
        </w:rPr>
        <w:t xml:space="preserve"> original facility</w:t>
      </w:r>
      <w:r w:rsidR="00163172">
        <w:rPr>
          <w:rFonts w:ascii="Times New Roman" w:hAnsi="Times New Roman" w:cs="Times New Roman"/>
          <w:sz w:val="24"/>
          <w:szCs w:val="24"/>
        </w:rPr>
        <w:t xml:space="preserve"> which</w:t>
      </w:r>
      <w:r w:rsidR="006C7400">
        <w:rPr>
          <w:rFonts w:ascii="Times New Roman" w:hAnsi="Times New Roman" w:cs="Times New Roman"/>
          <w:sz w:val="24"/>
          <w:szCs w:val="24"/>
        </w:rPr>
        <w:t xml:space="preserve"> did not, in her view, constitute</w:t>
      </w:r>
      <w:r w:rsidRPr="00220ED4">
        <w:rPr>
          <w:rFonts w:ascii="Times New Roman" w:hAnsi="Times New Roman" w:cs="Times New Roman"/>
          <w:sz w:val="24"/>
          <w:szCs w:val="24"/>
        </w:rPr>
        <w:t xml:space="preserve"> </w:t>
      </w:r>
      <w:r w:rsidR="006C7400">
        <w:rPr>
          <w:rFonts w:ascii="Times New Roman" w:hAnsi="Times New Roman" w:cs="Times New Roman"/>
          <w:sz w:val="24"/>
          <w:szCs w:val="24"/>
        </w:rPr>
        <w:t xml:space="preserve"> an </w:t>
      </w:r>
      <w:r w:rsidRPr="00220ED4">
        <w:rPr>
          <w:rFonts w:ascii="Times New Roman" w:hAnsi="Times New Roman" w:cs="Times New Roman"/>
          <w:sz w:val="24"/>
          <w:szCs w:val="24"/>
        </w:rPr>
        <w:t xml:space="preserve">arguable defence </w:t>
      </w:r>
      <w:r w:rsidR="00AF372A">
        <w:rPr>
          <w:rFonts w:ascii="Times New Roman" w:hAnsi="Times New Roman" w:cs="Times New Roman"/>
          <w:sz w:val="24"/>
          <w:szCs w:val="24"/>
        </w:rPr>
        <w:t>A</w:t>
      </w:r>
      <w:r w:rsidR="006C7400">
        <w:rPr>
          <w:rFonts w:ascii="Times New Roman" w:hAnsi="Times New Roman" w:cs="Times New Roman"/>
          <w:sz w:val="24"/>
          <w:szCs w:val="24"/>
        </w:rPr>
        <w:t xml:space="preserve">ccordingly </w:t>
      </w:r>
      <w:r w:rsidR="00FF316C">
        <w:rPr>
          <w:rFonts w:ascii="Times New Roman" w:hAnsi="Times New Roman" w:cs="Times New Roman"/>
          <w:sz w:val="24"/>
          <w:szCs w:val="24"/>
        </w:rPr>
        <w:t xml:space="preserve">the Bank was entitled to summary judgment. </w:t>
      </w:r>
    </w:p>
    <w:p w14:paraId="283CBB57" w14:textId="77777777" w:rsidR="00FC51CE" w:rsidRPr="00220ED4" w:rsidRDefault="00FC51CE" w:rsidP="00FC51CE">
      <w:pPr>
        <w:pStyle w:val="ListParagraph"/>
        <w:tabs>
          <w:tab w:val="left" w:pos="567"/>
        </w:tabs>
        <w:spacing w:line="480" w:lineRule="auto"/>
        <w:ind w:left="0"/>
        <w:rPr>
          <w:rFonts w:ascii="Times New Roman" w:hAnsi="Times New Roman" w:cs="Times New Roman"/>
          <w:b/>
          <w:sz w:val="24"/>
          <w:szCs w:val="24"/>
          <w:u w:val="single"/>
        </w:rPr>
      </w:pPr>
    </w:p>
    <w:p w14:paraId="539CD914" w14:textId="3CEBB047" w:rsidR="006E7957" w:rsidRDefault="006E7957" w:rsidP="006319A9">
      <w:pPr>
        <w:pStyle w:val="ListParagraph"/>
        <w:tabs>
          <w:tab w:val="left" w:pos="567"/>
        </w:tabs>
        <w:spacing w:line="480" w:lineRule="auto"/>
        <w:ind w:left="0"/>
        <w:rPr>
          <w:rFonts w:ascii="Times New Roman" w:hAnsi="Times New Roman" w:cs="Times New Roman"/>
          <w:b/>
          <w:sz w:val="24"/>
          <w:szCs w:val="24"/>
        </w:rPr>
      </w:pPr>
      <w:r w:rsidRPr="005633CE">
        <w:rPr>
          <w:rFonts w:ascii="Times New Roman" w:hAnsi="Times New Roman" w:cs="Times New Roman"/>
          <w:b/>
          <w:sz w:val="24"/>
          <w:szCs w:val="24"/>
          <w:u w:val="single"/>
        </w:rPr>
        <w:t xml:space="preserve">The </w:t>
      </w:r>
      <w:r w:rsidR="003B4FFD" w:rsidRPr="005633CE">
        <w:rPr>
          <w:rFonts w:ascii="Times New Roman" w:hAnsi="Times New Roman" w:cs="Times New Roman"/>
          <w:b/>
          <w:sz w:val="24"/>
          <w:szCs w:val="24"/>
          <w:u w:val="single"/>
        </w:rPr>
        <w:t>A</w:t>
      </w:r>
      <w:r w:rsidRPr="005633CE">
        <w:rPr>
          <w:rFonts w:ascii="Times New Roman" w:hAnsi="Times New Roman" w:cs="Times New Roman"/>
          <w:b/>
          <w:sz w:val="24"/>
          <w:szCs w:val="24"/>
          <w:u w:val="single"/>
        </w:rPr>
        <w:t>ppea</w:t>
      </w:r>
      <w:r w:rsidRPr="00ED7830">
        <w:rPr>
          <w:rFonts w:ascii="Times New Roman" w:hAnsi="Times New Roman" w:cs="Times New Roman"/>
          <w:b/>
          <w:sz w:val="24"/>
          <w:szCs w:val="24"/>
          <w:u w:val="single"/>
        </w:rPr>
        <w:t>l</w:t>
      </w:r>
    </w:p>
    <w:p w14:paraId="38D66C0F" w14:textId="77777777" w:rsidR="00FC51CE" w:rsidRPr="002C349D" w:rsidRDefault="00FC51CE" w:rsidP="006319A9">
      <w:pPr>
        <w:pStyle w:val="ListParagraph"/>
        <w:tabs>
          <w:tab w:val="left" w:pos="567"/>
        </w:tabs>
        <w:spacing w:line="480" w:lineRule="auto"/>
        <w:ind w:left="0"/>
        <w:rPr>
          <w:rFonts w:ascii="Times New Roman" w:hAnsi="Times New Roman" w:cs="Times New Roman"/>
          <w:b/>
          <w:sz w:val="24"/>
          <w:szCs w:val="24"/>
        </w:rPr>
      </w:pPr>
    </w:p>
    <w:p w14:paraId="4F3F9B92" w14:textId="49F0C34B" w:rsidR="009A6DFD" w:rsidRPr="009A6DFD" w:rsidRDefault="006E7957" w:rsidP="00FC75C4">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Mr. Doran’s </w:t>
      </w:r>
      <w:r w:rsidR="00CE301F">
        <w:rPr>
          <w:rFonts w:ascii="Times New Roman" w:hAnsi="Times New Roman" w:cs="Times New Roman"/>
          <w:sz w:val="24"/>
          <w:szCs w:val="24"/>
        </w:rPr>
        <w:t>N</w:t>
      </w:r>
      <w:r w:rsidRPr="00220ED4">
        <w:rPr>
          <w:rFonts w:ascii="Times New Roman" w:hAnsi="Times New Roman" w:cs="Times New Roman"/>
          <w:sz w:val="24"/>
          <w:szCs w:val="24"/>
        </w:rPr>
        <w:t xml:space="preserve">otice of </w:t>
      </w:r>
      <w:r w:rsidR="00CE301F">
        <w:rPr>
          <w:rFonts w:ascii="Times New Roman" w:hAnsi="Times New Roman" w:cs="Times New Roman"/>
          <w:sz w:val="24"/>
          <w:szCs w:val="24"/>
        </w:rPr>
        <w:t>A</w:t>
      </w:r>
      <w:r w:rsidRPr="00220ED4">
        <w:rPr>
          <w:rFonts w:ascii="Times New Roman" w:hAnsi="Times New Roman" w:cs="Times New Roman"/>
          <w:sz w:val="24"/>
          <w:szCs w:val="24"/>
        </w:rPr>
        <w:t xml:space="preserve">ppeal asserts simply that the trial judge erred in law in concluding that the evidence he placed before her was not sufficient to warrant remittal of the matter to plenary hearing. It </w:t>
      </w:r>
      <w:r w:rsidR="002D59AC">
        <w:rPr>
          <w:rFonts w:ascii="Times New Roman" w:hAnsi="Times New Roman" w:cs="Times New Roman"/>
          <w:sz w:val="24"/>
          <w:szCs w:val="24"/>
        </w:rPr>
        <w:t xml:space="preserve">asserts </w:t>
      </w:r>
      <w:r w:rsidRPr="00220ED4">
        <w:rPr>
          <w:rFonts w:ascii="Times New Roman" w:hAnsi="Times New Roman" w:cs="Times New Roman"/>
          <w:sz w:val="24"/>
          <w:szCs w:val="24"/>
        </w:rPr>
        <w:t xml:space="preserve">if </w:t>
      </w:r>
      <w:r w:rsidR="002D59AC">
        <w:rPr>
          <w:rFonts w:ascii="Times New Roman" w:hAnsi="Times New Roman" w:cs="Times New Roman"/>
          <w:sz w:val="24"/>
          <w:szCs w:val="24"/>
        </w:rPr>
        <w:t xml:space="preserve">he </w:t>
      </w:r>
      <w:r w:rsidRPr="00220ED4">
        <w:rPr>
          <w:rFonts w:ascii="Times New Roman" w:hAnsi="Times New Roman" w:cs="Times New Roman"/>
          <w:sz w:val="24"/>
          <w:szCs w:val="24"/>
        </w:rPr>
        <w:t>can prove that</w:t>
      </w:r>
      <w:r w:rsidR="00CF7AD6">
        <w:rPr>
          <w:rFonts w:ascii="Times New Roman" w:hAnsi="Times New Roman" w:cs="Times New Roman"/>
          <w:sz w:val="24"/>
          <w:szCs w:val="24"/>
        </w:rPr>
        <w:t xml:space="preserve"> </w:t>
      </w:r>
      <w:r w:rsidRPr="00220ED4">
        <w:rPr>
          <w:rFonts w:ascii="Times New Roman" w:hAnsi="Times New Roman" w:cs="Times New Roman"/>
          <w:sz w:val="24"/>
          <w:szCs w:val="24"/>
        </w:rPr>
        <w:t xml:space="preserve">he did not sign the 7 December 2010 letter of sanction then he has a good defence in law in respect of the proceedings. </w:t>
      </w:r>
      <w:r w:rsidR="009A6DFD">
        <w:rPr>
          <w:rFonts w:ascii="Times New Roman" w:hAnsi="Times New Roman" w:cs="Times New Roman"/>
          <w:sz w:val="24"/>
          <w:szCs w:val="24"/>
        </w:rPr>
        <w:t xml:space="preserve">  </w:t>
      </w:r>
    </w:p>
    <w:p w14:paraId="11228AF9" w14:textId="26BA2630" w:rsidR="00B26D98" w:rsidRPr="00BF1296" w:rsidRDefault="006E7957" w:rsidP="002C2BD0">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However, in the written and oral submissions to this </w:t>
      </w:r>
      <w:r w:rsidR="00E84FA4">
        <w:rPr>
          <w:rFonts w:ascii="Times New Roman" w:hAnsi="Times New Roman" w:cs="Times New Roman"/>
          <w:sz w:val="24"/>
          <w:szCs w:val="24"/>
        </w:rPr>
        <w:t>c</w:t>
      </w:r>
      <w:r w:rsidRPr="00220ED4">
        <w:rPr>
          <w:rFonts w:ascii="Times New Roman" w:hAnsi="Times New Roman" w:cs="Times New Roman"/>
          <w:sz w:val="24"/>
          <w:szCs w:val="24"/>
        </w:rPr>
        <w:t>ourt, the case advanced is not just that Mr. Doran has a credible defence to the proceedings but</w:t>
      </w:r>
      <w:r w:rsidR="00B31A38">
        <w:rPr>
          <w:rFonts w:ascii="Times New Roman" w:hAnsi="Times New Roman" w:cs="Times New Roman"/>
          <w:sz w:val="24"/>
          <w:szCs w:val="24"/>
        </w:rPr>
        <w:t xml:space="preserve"> in addition</w:t>
      </w:r>
      <w:r w:rsidRPr="00220ED4">
        <w:rPr>
          <w:rFonts w:ascii="Times New Roman" w:hAnsi="Times New Roman" w:cs="Times New Roman"/>
          <w:sz w:val="24"/>
          <w:szCs w:val="24"/>
        </w:rPr>
        <w:t xml:space="preserve"> that the</w:t>
      </w:r>
      <w:r w:rsidR="008F4B71">
        <w:rPr>
          <w:rFonts w:ascii="Times New Roman" w:hAnsi="Times New Roman" w:cs="Times New Roman"/>
          <w:sz w:val="24"/>
          <w:szCs w:val="24"/>
        </w:rPr>
        <w:t xml:space="preserve"> pleadings within the</w:t>
      </w:r>
      <w:r w:rsidRPr="00220ED4">
        <w:rPr>
          <w:rFonts w:ascii="Times New Roman" w:hAnsi="Times New Roman" w:cs="Times New Roman"/>
          <w:sz w:val="24"/>
          <w:szCs w:val="24"/>
        </w:rPr>
        <w:t xml:space="preserve"> special indorsement of claim</w:t>
      </w:r>
      <w:r w:rsidR="008F4B71">
        <w:rPr>
          <w:rFonts w:ascii="Times New Roman" w:hAnsi="Times New Roman" w:cs="Times New Roman"/>
          <w:sz w:val="24"/>
          <w:szCs w:val="24"/>
        </w:rPr>
        <w:t xml:space="preserve">, </w:t>
      </w:r>
      <w:r w:rsidR="0080164A">
        <w:rPr>
          <w:rFonts w:ascii="Times New Roman" w:hAnsi="Times New Roman" w:cs="Times New Roman"/>
          <w:sz w:val="24"/>
          <w:szCs w:val="24"/>
        </w:rPr>
        <w:t>and</w:t>
      </w:r>
      <w:r w:rsidR="001C284C">
        <w:rPr>
          <w:rFonts w:ascii="Times New Roman" w:hAnsi="Times New Roman" w:cs="Times New Roman"/>
          <w:sz w:val="24"/>
          <w:szCs w:val="24"/>
        </w:rPr>
        <w:t xml:space="preserve"> the documentation referred to within it</w:t>
      </w:r>
      <w:r w:rsidR="0080164A">
        <w:rPr>
          <w:rFonts w:ascii="Times New Roman" w:hAnsi="Times New Roman" w:cs="Times New Roman"/>
          <w:sz w:val="24"/>
          <w:szCs w:val="24"/>
        </w:rPr>
        <w:t>, are</w:t>
      </w:r>
      <w:r w:rsidR="001C284C">
        <w:rPr>
          <w:rFonts w:ascii="Times New Roman" w:hAnsi="Times New Roman" w:cs="Times New Roman"/>
          <w:sz w:val="24"/>
          <w:szCs w:val="24"/>
        </w:rPr>
        <w:t xml:space="preserve"> insufficient to provide an evidential basis to entitle the Bank</w:t>
      </w:r>
      <w:r w:rsidRPr="00220ED4">
        <w:rPr>
          <w:rFonts w:ascii="Times New Roman" w:hAnsi="Times New Roman" w:cs="Times New Roman"/>
          <w:sz w:val="24"/>
          <w:szCs w:val="24"/>
        </w:rPr>
        <w:t xml:space="preserve"> to </w:t>
      </w:r>
      <w:r w:rsidR="001C284C">
        <w:rPr>
          <w:rFonts w:ascii="Times New Roman" w:hAnsi="Times New Roman" w:cs="Times New Roman"/>
          <w:sz w:val="24"/>
          <w:szCs w:val="24"/>
        </w:rPr>
        <w:t>obtain</w:t>
      </w:r>
      <w:r w:rsidRPr="00220ED4">
        <w:rPr>
          <w:rFonts w:ascii="Times New Roman" w:hAnsi="Times New Roman" w:cs="Times New Roman"/>
          <w:sz w:val="24"/>
          <w:szCs w:val="24"/>
        </w:rPr>
        <w:t xml:space="preserve"> summary </w:t>
      </w:r>
      <w:r w:rsidR="001C284C">
        <w:rPr>
          <w:rFonts w:ascii="Times New Roman" w:hAnsi="Times New Roman" w:cs="Times New Roman"/>
          <w:sz w:val="24"/>
          <w:szCs w:val="24"/>
        </w:rPr>
        <w:t>judgment</w:t>
      </w:r>
      <w:r w:rsidRPr="00220ED4">
        <w:rPr>
          <w:rFonts w:ascii="Times New Roman" w:hAnsi="Times New Roman" w:cs="Times New Roman"/>
          <w:sz w:val="24"/>
          <w:szCs w:val="24"/>
        </w:rPr>
        <w:t>.</w:t>
      </w:r>
    </w:p>
    <w:p w14:paraId="7FBA961B" w14:textId="14FC543E" w:rsidR="002D59AC" w:rsidRPr="003910EC" w:rsidRDefault="002D59AC" w:rsidP="002C2BD0">
      <w:pPr>
        <w:pStyle w:val="ListParagraph"/>
        <w:tabs>
          <w:tab w:val="left" w:pos="567"/>
        </w:tabs>
        <w:spacing w:line="480" w:lineRule="auto"/>
        <w:ind w:left="0"/>
        <w:rPr>
          <w:rFonts w:ascii="Times New Roman" w:hAnsi="Times New Roman" w:cs="Times New Roman"/>
          <w:b/>
          <w:sz w:val="24"/>
          <w:szCs w:val="24"/>
          <w:u w:val="single"/>
        </w:rPr>
      </w:pPr>
      <w:r w:rsidRPr="003910EC">
        <w:rPr>
          <w:rFonts w:ascii="Times New Roman" w:hAnsi="Times New Roman" w:cs="Times New Roman"/>
          <w:b/>
          <w:sz w:val="24"/>
          <w:szCs w:val="24"/>
          <w:u w:val="single"/>
        </w:rPr>
        <w:lastRenderedPageBreak/>
        <w:t>The Law</w:t>
      </w:r>
    </w:p>
    <w:p w14:paraId="2F388B5E" w14:textId="77777777" w:rsidR="00FC51CE" w:rsidRDefault="00FC51CE" w:rsidP="002C2BD0">
      <w:pPr>
        <w:pStyle w:val="ListParagraph"/>
        <w:tabs>
          <w:tab w:val="left" w:pos="567"/>
        </w:tabs>
        <w:spacing w:line="480" w:lineRule="auto"/>
        <w:ind w:left="0"/>
        <w:rPr>
          <w:rFonts w:ascii="Times New Roman" w:hAnsi="Times New Roman" w:cs="Times New Roman"/>
          <w:b/>
          <w:sz w:val="24"/>
          <w:szCs w:val="24"/>
        </w:rPr>
      </w:pPr>
    </w:p>
    <w:p w14:paraId="6BD400FD" w14:textId="5642BE72" w:rsidR="007752AA" w:rsidRPr="00220ED4" w:rsidRDefault="007752AA" w:rsidP="007752AA">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Within </w:t>
      </w:r>
      <w:r w:rsidRPr="00220ED4">
        <w:rPr>
          <w:rFonts w:ascii="Times New Roman" w:hAnsi="Times New Roman" w:cs="Times New Roman"/>
          <w:i/>
          <w:sz w:val="24"/>
          <w:szCs w:val="24"/>
        </w:rPr>
        <w:t>McCaughey</w:t>
      </w:r>
      <w:r w:rsidRPr="00220ED4">
        <w:rPr>
          <w:rFonts w:ascii="Times New Roman" w:hAnsi="Times New Roman" w:cs="Times New Roman"/>
          <w:sz w:val="24"/>
          <w:szCs w:val="24"/>
        </w:rPr>
        <w:t>, Clarke J.</w:t>
      </w:r>
      <w:r w:rsidR="00A56E7D">
        <w:rPr>
          <w:rFonts w:ascii="Times New Roman" w:hAnsi="Times New Roman" w:cs="Times New Roman"/>
          <w:sz w:val="24"/>
          <w:szCs w:val="24"/>
        </w:rPr>
        <w:t xml:space="preserve"> (as he then was)</w:t>
      </w:r>
      <w:r w:rsidRPr="00220ED4">
        <w:rPr>
          <w:rFonts w:ascii="Times New Roman" w:hAnsi="Times New Roman" w:cs="Times New Roman"/>
          <w:sz w:val="24"/>
          <w:szCs w:val="24"/>
        </w:rPr>
        <w:t xml:space="preserve"> summarised the </w:t>
      </w:r>
      <w:r w:rsidR="005D2BAB">
        <w:rPr>
          <w:rFonts w:ascii="Times New Roman" w:hAnsi="Times New Roman" w:cs="Times New Roman"/>
          <w:sz w:val="24"/>
          <w:szCs w:val="24"/>
        </w:rPr>
        <w:t>criteria</w:t>
      </w:r>
      <w:r w:rsidRPr="00220ED4">
        <w:rPr>
          <w:rFonts w:ascii="Times New Roman" w:hAnsi="Times New Roman" w:cs="Times New Roman"/>
          <w:sz w:val="24"/>
          <w:szCs w:val="24"/>
        </w:rPr>
        <w:t xml:space="preserve"> the court </w:t>
      </w:r>
      <w:r w:rsidR="005D2BAB">
        <w:rPr>
          <w:rFonts w:ascii="Times New Roman" w:hAnsi="Times New Roman" w:cs="Times New Roman"/>
          <w:sz w:val="24"/>
          <w:szCs w:val="24"/>
        </w:rPr>
        <w:t xml:space="preserve">might adopt </w:t>
      </w:r>
      <w:r w:rsidRPr="00220ED4">
        <w:rPr>
          <w:rFonts w:ascii="Times New Roman" w:hAnsi="Times New Roman" w:cs="Times New Roman"/>
          <w:sz w:val="24"/>
          <w:szCs w:val="24"/>
        </w:rPr>
        <w:t xml:space="preserve">when considering </w:t>
      </w:r>
      <w:r w:rsidR="005D2BAB">
        <w:rPr>
          <w:rFonts w:ascii="Times New Roman" w:hAnsi="Times New Roman" w:cs="Times New Roman"/>
          <w:sz w:val="24"/>
          <w:szCs w:val="24"/>
        </w:rPr>
        <w:t>what constitutes</w:t>
      </w:r>
      <w:r w:rsidRPr="00220ED4">
        <w:rPr>
          <w:rFonts w:ascii="Times New Roman" w:hAnsi="Times New Roman" w:cs="Times New Roman"/>
          <w:sz w:val="24"/>
          <w:szCs w:val="24"/>
        </w:rPr>
        <w:t xml:space="preserve"> a credible defence</w:t>
      </w:r>
      <w:r>
        <w:rPr>
          <w:rFonts w:ascii="Times New Roman" w:hAnsi="Times New Roman" w:cs="Times New Roman"/>
          <w:sz w:val="24"/>
          <w:szCs w:val="24"/>
        </w:rPr>
        <w:t xml:space="preserve"> as follows</w:t>
      </w:r>
      <w:r w:rsidRPr="00220ED4">
        <w:rPr>
          <w:rFonts w:ascii="Times New Roman" w:hAnsi="Times New Roman" w:cs="Times New Roman"/>
          <w:sz w:val="24"/>
          <w:szCs w:val="24"/>
        </w:rPr>
        <w:t>:</w:t>
      </w:r>
    </w:p>
    <w:p w14:paraId="3F36DBF4" w14:textId="406F94F5" w:rsidR="007752AA" w:rsidRPr="00220ED4" w:rsidRDefault="007752AA" w:rsidP="007752AA">
      <w:pPr>
        <w:pStyle w:val="ListParagraph"/>
        <w:tabs>
          <w:tab w:val="left" w:pos="567"/>
        </w:tabs>
        <w:spacing w:line="480" w:lineRule="auto"/>
        <w:ind w:left="567"/>
        <w:rPr>
          <w:rFonts w:ascii="Times New Roman" w:hAnsi="Times New Roman" w:cs="Times New Roman"/>
          <w:i/>
          <w:iCs/>
          <w:sz w:val="24"/>
          <w:szCs w:val="24"/>
        </w:rPr>
      </w:pPr>
      <w:r w:rsidRPr="00220ED4">
        <w:rPr>
          <w:rFonts w:ascii="Times New Roman" w:hAnsi="Times New Roman" w:cs="Times New Roman"/>
          <w:i/>
          <w:iCs/>
          <w:sz w:val="24"/>
          <w:szCs w:val="24"/>
        </w:rPr>
        <w:tab/>
        <w:t xml:space="preserve">“5.5 </w:t>
      </w:r>
      <w:r w:rsidR="00BC4801" w:rsidRPr="00BC4801">
        <w:rPr>
          <w:rFonts w:ascii="Times New Roman" w:hAnsi="Times New Roman" w:cs="Times New Roman"/>
          <w:i/>
          <w:iCs/>
          <w:sz w:val="24"/>
          <w:szCs w:val="24"/>
        </w:rPr>
        <w:t>Insofar as facts are put forward, then, subject to a very narrow limitation, the court will be required, for the purposes of the summary judgment application, to accept that facts of which the defendant gives evidence, or facts in respect of which the defendant puts forward a credible basis for believing that evidence may be forthcoming, are as the defendant asserts them to be. The sort of factual assertions, which may not provide an arguable defence, are facts which amount to a mere assertion unsupported either by evidence or by any realistic suggestion that evidence might be available, or, facts which are in themselves contradictory and inconsistent with uncontested documentation or other similar circumstances such as those analysed by Hardiman J. in  Aer Rianta c.p.t. v. Ryanair Ltd. [2001] 4 I.R. 607 It needs to be emphasised again that it is no function of the court on a summary judgment motion to form any general view as to the credibility of the evidence put forward by the defendant.</w:t>
      </w:r>
    </w:p>
    <w:p w14:paraId="4C90D8A5" w14:textId="641A56DD" w:rsidR="007752AA" w:rsidRPr="00BF1296" w:rsidRDefault="007752AA" w:rsidP="00BF1296">
      <w:pPr>
        <w:pStyle w:val="ListParagraph"/>
        <w:tabs>
          <w:tab w:val="left" w:pos="567"/>
        </w:tabs>
        <w:spacing w:line="480" w:lineRule="auto"/>
        <w:ind w:left="567"/>
        <w:rPr>
          <w:rFonts w:ascii="Times New Roman" w:hAnsi="Times New Roman" w:cs="Times New Roman"/>
          <w:i/>
          <w:iCs/>
          <w:sz w:val="24"/>
          <w:szCs w:val="24"/>
        </w:rPr>
      </w:pPr>
      <w:r w:rsidRPr="00220ED4">
        <w:rPr>
          <w:rFonts w:ascii="Times New Roman" w:hAnsi="Times New Roman" w:cs="Times New Roman"/>
          <w:i/>
          <w:iCs/>
          <w:sz w:val="24"/>
          <w:szCs w:val="24"/>
        </w:rPr>
        <w:t xml:space="preserve"> 5.</w:t>
      </w:r>
      <w:r w:rsidR="00BC4801">
        <w:rPr>
          <w:rFonts w:ascii="Times New Roman" w:hAnsi="Times New Roman" w:cs="Times New Roman"/>
          <w:i/>
          <w:iCs/>
          <w:sz w:val="24"/>
          <w:szCs w:val="24"/>
        </w:rPr>
        <w:t xml:space="preserve">6 </w:t>
      </w:r>
      <w:r w:rsidR="00BC4801" w:rsidRPr="00BC4801">
        <w:rPr>
          <w:rFonts w:ascii="Times New Roman" w:hAnsi="Times New Roman" w:cs="Times New Roman"/>
          <w:i/>
          <w:iCs/>
          <w:sz w:val="24"/>
          <w:szCs w:val="24"/>
        </w:rPr>
        <w:t>Finally, I should touch on one matter which turned out to be of some specific relevance in the circumstances of this case. As was pointed out by this court in  Lopes v. Minister for Justice, Equality and Law Reform [2014] IESC 21, in the context of an application to dismiss as being bound to fail under the inherent power of the court first identified in  Barry v. Buckley [1981] I.R. 306, the courts, in hearing such applications, must be</w:t>
      </w:r>
      <w:r w:rsidR="00BC4801">
        <w:rPr>
          <w:rFonts w:ascii="Times New Roman" w:hAnsi="Times New Roman" w:cs="Times New Roman"/>
          <w:i/>
          <w:iCs/>
          <w:sz w:val="24"/>
          <w:szCs w:val="24"/>
        </w:rPr>
        <w:t xml:space="preserve"> </w:t>
      </w:r>
      <w:r w:rsidR="00BC4801" w:rsidRPr="00BC4801">
        <w:rPr>
          <w:rFonts w:ascii="Times New Roman" w:hAnsi="Times New Roman" w:cs="Times New Roman"/>
          <w:i/>
          <w:iCs/>
          <w:sz w:val="24"/>
          <w:szCs w:val="24"/>
        </w:rPr>
        <w:t>mindful of the fact that a party may, by a successful application, be shut out from having their claim determined at full trial, and are required to be more flexible in relation to the consideration of arguments or materials brought forward on appeal</w:t>
      </w:r>
      <w:r w:rsidR="00DC563B">
        <w:rPr>
          <w:rFonts w:ascii="Times New Roman" w:hAnsi="Times New Roman" w:cs="Times New Roman"/>
          <w:i/>
          <w:iCs/>
          <w:sz w:val="24"/>
          <w:szCs w:val="24"/>
        </w:rPr>
        <w:t xml:space="preserve"> </w:t>
      </w:r>
      <w:r w:rsidR="00DC563B" w:rsidRPr="00151BF0">
        <w:rPr>
          <w:rFonts w:ascii="Times New Roman" w:hAnsi="Times New Roman" w:cs="Times New Roman"/>
          <w:sz w:val="24"/>
          <w:szCs w:val="24"/>
        </w:rPr>
        <w:t>(see para. 9.1 of the judgment)</w:t>
      </w:r>
      <w:r w:rsidR="00BC4801" w:rsidRPr="00BC4801">
        <w:rPr>
          <w:rFonts w:ascii="Times New Roman" w:hAnsi="Times New Roman" w:cs="Times New Roman"/>
          <w:i/>
          <w:iCs/>
          <w:sz w:val="24"/>
          <w:szCs w:val="24"/>
        </w:rPr>
        <w:t xml:space="preserve">. It seems to me that like considerations potentially arise in the context </w:t>
      </w:r>
      <w:r w:rsidR="00BC4801" w:rsidRPr="00BC4801">
        <w:rPr>
          <w:rFonts w:ascii="Times New Roman" w:hAnsi="Times New Roman" w:cs="Times New Roman"/>
          <w:i/>
          <w:iCs/>
          <w:sz w:val="24"/>
          <w:szCs w:val="24"/>
        </w:rPr>
        <w:lastRenderedPageBreak/>
        <w:t>of a summary judgment motion for precisely the same reason in that, if successful, the defendant will be shut out from having a full trial of the issues raised by his defence. While it remains important that a defendant put forward his full case on the summary judgment motion, and while it follows, therefore, that the courts will be reluctant to allow a different or additional case (backed up by evidence) to be run on appeal, nonetheless, some proportionality between the consequences of granting summary judgment and the rigour with which the rules applicable to new evidence on appeal ought be enforced, needs to be achieved.</w:t>
      </w:r>
      <w:r w:rsidRPr="00220ED4">
        <w:rPr>
          <w:rFonts w:ascii="Times New Roman" w:hAnsi="Times New Roman" w:cs="Times New Roman"/>
          <w:i/>
          <w:iCs/>
          <w:sz w:val="24"/>
          <w:szCs w:val="24"/>
        </w:rPr>
        <w:t>”</w:t>
      </w:r>
    </w:p>
    <w:p w14:paraId="64B9C712" w14:textId="64803DCA" w:rsidR="003843C7" w:rsidRPr="003843C7" w:rsidRDefault="0070044D" w:rsidP="003843C7">
      <w:pPr>
        <w:pStyle w:val="ListParagraph"/>
        <w:numPr>
          <w:ilvl w:val="0"/>
          <w:numId w:val="1"/>
        </w:numPr>
        <w:tabs>
          <w:tab w:val="left" w:pos="567"/>
        </w:tabs>
        <w:spacing w:line="480" w:lineRule="auto"/>
        <w:ind w:left="0" w:firstLine="0"/>
        <w:rPr>
          <w:rFonts w:ascii="Times New Roman" w:hAnsi="Times New Roman" w:cs="Times New Roman"/>
          <w:b/>
          <w:strike/>
          <w:sz w:val="24"/>
          <w:szCs w:val="24"/>
          <w:u w:val="single"/>
        </w:rPr>
      </w:pPr>
      <w:r>
        <w:rPr>
          <w:rFonts w:ascii="Times New Roman" w:hAnsi="Times New Roman" w:cs="Times New Roman"/>
          <w:sz w:val="24"/>
          <w:szCs w:val="24"/>
        </w:rPr>
        <w:t>In</w:t>
      </w:r>
      <w:r w:rsidR="003843C7">
        <w:rPr>
          <w:rFonts w:ascii="Times New Roman" w:hAnsi="Times New Roman" w:cs="Times New Roman"/>
          <w:sz w:val="24"/>
          <w:szCs w:val="24"/>
        </w:rPr>
        <w:t xml:space="preserve"> </w:t>
      </w:r>
      <w:r w:rsidR="006E7957" w:rsidRPr="004032FE">
        <w:rPr>
          <w:rFonts w:ascii="Times New Roman" w:hAnsi="Times New Roman" w:cs="Times New Roman"/>
          <w:i/>
          <w:sz w:val="24"/>
          <w:szCs w:val="24"/>
        </w:rPr>
        <w:t xml:space="preserve">Bank of Ireland Mortgage Bank v. O’Malley </w:t>
      </w:r>
      <w:r w:rsidR="006E7957" w:rsidRPr="004032FE">
        <w:rPr>
          <w:rFonts w:ascii="Times New Roman" w:hAnsi="Times New Roman" w:cs="Times New Roman"/>
          <w:sz w:val="24"/>
          <w:szCs w:val="24"/>
        </w:rPr>
        <w:t>[2019] IESC 84 (</w:t>
      </w:r>
      <w:r w:rsidR="006E7957" w:rsidRPr="004032FE">
        <w:rPr>
          <w:rFonts w:ascii="Times New Roman" w:hAnsi="Times New Roman" w:cs="Times New Roman"/>
          <w:i/>
          <w:sz w:val="24"/>
          <w:szCs w:val="24"/>
        </w:rPr>
        <w:t>‘O’Malley’</w:t>
      </w:r>
      <w:r w:rsidR="006E7957" w:rsidRPr="004032FE">
        <w:rPr>
          <w:rFonts w:ascii="Times New Roman" w:hAnsi="Times New Roman" w:cs="Times New Roman"/>
          <w:sz w:val="24"/>
          <w:szCs w:val="24"/>
        </w:rPr>
        <w:t>) (delivered after the judgment of Burns J.</w:t>
      </w:r>
      <w:r w:rsidR="00B2460E">
        <w:rPr>
          <w:rFonts w:ascii="Times New Roman" w:hAnsi="Times New Roman" w:cs="Times New Roman"/>
          <w:sz w:val="24"/>
          <w:szCs w:val="24"/>
        </w:rPr>
        <w:t>)</w:t>
      </w:r>
      <w:r w:rsidR="006E7957" w:rsidRPr="004032FE">
        <w:rPr>
          <w:rFonts w:ascii="Times New Roman" w:hAnsi="Times New Roman" w:cs="Times New Roman"/>
          <w:sz w:val="24"/>
          <w:szCs w:val="24"/>
        </w:rPr>
        <w:t xml:space="preserve"> the</w:t>
      </w:r>
      <w:r>
        <w:rPr>
          <w:rFonts w:ascii="Times New Roman" w:hAnsi="Times New Roman" w:cs="Times New Roman"/>
          <w:sz w:val="24"/>
          <w:szCs w:val="24"/>
        </w:rPr>
        <w:t xml:space="preserve"> Supreme Court </w:t>
      </w:r>
      <w:r w:rsidR="006E7957" w:rsidRPr="004032FE">
        <w:rPr>
          <w:rFonts w:ascii="Times New Roman" w:hAnsi="Times New Roman" w:cs="Times New Roman"/>
          <w:sz w:val="24"/>
          <w:szCs w:val="24"/>
        </w:rPr>
        <w:t>considered</w:t>
      </w:r>
      <w:r w:rsidR="007C351D">
        <w:rPr>
          <w:rFonts w:ascii="Times New Roman" w:hAnsi="Times New Roman" w:cs="Times New Roman"/>
          <w:sz w:val="24"/>
          <w:szCs w:val="24"/>
        </w:rPr>
        <w:t>, in a claim for summary judgment,</w:t>
      </w:r>
      <w:r>
        <w:rPr>
          <w:rFonts w:ascii="Times New Roman" w:hAnsi="Times New Roman" w:cs="Times New Roman"/>
          <w:sz w:val="24"/>
          <w:szCs w:val="24"/>
        </w:rPr>
        <w:t xml:space="preserve"> the implication</w:t>
      </w:r>
      <w:r w:rsidR="007C351D">
        <w:rPr>
          <w:rFonts w:ascii="Times New Roman" w:hAnsi="Times New Roman" w:cs="Times New Roman"/>
          <w:sz w:val="24"/>
          <w:szCs w:val="24"/>
        </w:rPr>
        <w:t>s that might arise where a court is</w:t>
      </w:r>
      <w:r>
        <w:rPr>
          <w:rFonts w:ascii="Times New Roman" w:hAnsi="Times New Roman" w:cs="Times New Roman"/>
          <w:sz w:val="24"/>
          <w:szCs w:val="24"/>
        </w:rPr>
        <w:t xml:space="preserve"> satisfied that no </w:t>
      </w:r>
      <w:r w:rsidR="003843C7">
        <w:rPr>
          <w:rFonts w:ascii="Times New Roman" w:hAnsi="Times New Roman" w:cs="Times New Roman"/>
          <w:sz w:val="24"/>
          <w:szCs w:val="24"/>
        </w:rPr>
        <w:t>credible defence ha</w:t>
      </w:r>
      <w:r w:rsidR="007C351D">
        <w:rPr>
          <w:rFonts w:ascii="Times New Roman" w:hAnsi="Times New Roman" w:cs="Times New Roman"/>
          <w:sz w:val="24"/>
          <w:szCs w:val="24"/>
        </w:rPr>
        <w:t>s</w:t>
      </w:r>
      <w:r w:rsidR="003843C7">
        <w:rPr>
          <w:rFonts w:ascii="Times New Roman" w:hAnsi="Times New Roman" w:cs="Times New Roman"/>
          <w:sz w:val="24"/>
          <w:szCs w:val="24"/>
        </w:rPr>
        <w:t xml:space="preserve"> been raised</w:t>
      </w:r>
      <w:r w:rsidR="00875FE8">
        <w:rPr>
          <w:rFonts w:ascii="Times New Roman" w:hAnsi="Times New Roman" w:cs="Times New Roman"/>
          <w:sz w:val="24"/>
          <w:szCs w:val="24"/>
        </w:rPr>
        <w:t xml:space="preserve">, </w:t>
      </w:r>
      <w:r w:rsidR="007C351D">
        <w:rPr>
          <w:rFonts w:ascii="Times New Roman" w:hAnsi="Times New Roman" w:cs="Times New Roman"/>
          <w:sz w:val="24"/>
          <w:szCs w:val="24"/>
        </w:rPr>
        <w:t xml:space="preserve">but </w:t>
      </w:r>
      <w:r>
        <w:rPr>
          <w:rFonts w:ascii="Times New Roman" w:hAnsi="Times New Roman" w:cs="Times New Roman"/>
          <w:sz w:val="24"/>
          <w:szCs w:val="24"/>
        </w:rPr>
        <w:t xml:space="preserve">upon a finding of </w:t>
      </w:r>
      <w:r w:rsidR="00B23C40">
        <w:rPr>
          <w:rFonts w:ascii="Times New Roman" w:hAnsi="Times New Roman" w:cs="Times New Roman"/>
          <w:sz w:val="24"/>
          <w:szCs w:val="24"/>
        </w:rPr>
        <w:t xml:space="preserve">what </w:t>
      </w:r>
      <w:r w:rsidR="00B23C40" w:rsidRPr="0070044D">
        <w:rPr>
          <w:rFonts w:ascii="Times New Roman" w:hAnsi="Times New Roman" w:cs="Times New Roman"/>
          <w:i/>
          <w:sz w:val="24"/>
          <w:szCs w:val="24"/>
        </w:rPr>
        <w:t>O’Malley</w:t>
      </w:r>
      <w:r w:rsidR="00B23C40">
        <w:rPr>
          <w:rFonts w:ascii="Times New Roman" w:hAnsi="Times New Roman" w:cs="Times New Roman"/>
          <w:sz w:val="24"/>
          <w:szCs w:val="24"/>
        </w:rPr>
        <w:t xml:space="preserve"> describes as an</w:t>
      </w:r>
      <w:r w:rsidR="009822DD">
        <w:rPr>
          <w:rFonts w:ascii="Times New Roman" w:hAnsi="Times New Roman" w:cs="Times New Roman"/>
          <w:sz w:val="24"/>
          <w:szCs w:val="24"/>
        </w:rPr>
        <w:t xml:space="preserve"> </w:t>
      </w:r>
      <w:r w:rsidR="006E7957" w:rsidRPr="004032FE">
        <w:rPr>
          <w:rFonts w:ascii="Times New Roman" w:hAnsi="Times New Roman" w:cs="Times New Roman"/>
          <w:sz w:val="24"/>
          <w:szCs w:val="24"/>
        </w:rPr>
        <w:t xml:space="preserve">evidential </w:t>
      </w:r>
      <w:r w:rsidR="005D2BAB">
        <w:rPr>
          <w:rFonts w:ascii="Times New Roman" w:hAnsi="Times New Roman" w:cs="Times New Roman"/>
          <w:sz w:val="24"/>
          <w:szCs w:val="24"/>
        </w:rPr>
        <w:t>gap</w:t>
      </w:r>
      <w:r w:rsidR="006E7957" w:rsidRPr="004032FE">
        <w:rPr>
          <w:rFonts w:ascii="Times New Roman" w:hAnsi="Times New Roman" w:cs="Times New Roman"/>
          <w:sz w:val="24"/>
          <w:szCs w:val="24"/>
        </w:rPr>
        <w:t xml:space="preserve"> within the</w:t>
      </w:r>
      <w:r w:rsidR="000658B6">
        <w:rPr>
          <w:rFonts w:ascii="Times New Roman" w:hAnsi="Times New Roman" w:cs="Times New Roman"/>
          <w:sz w:val="24"/>
          <w:szCs w:val="24"/>
        </w:rPr>
        <w:t xml:space="preserve"> </w:t>
      </w:r>
      <w:r w:rsidR="004D27C4">
        <w:rPr>
          <w:rFonts w:ascii="Times New Roman" w:hAnsi="Times New Roman" w:cs="Times New Roman"/>
          <w:sz w:val="24"/>
          <w:szCs w:val="24"/>
        </w:rPr>
        <w:t>pleadings.</w:t>
      </w:r>
      <w:r w:rsidR="0005793A">
        <w:rPr>
          <w:rFonts w:ascii="Times New Roman" w:hAnsi="Times New Roman" w:cs="Times New Roman"/>
          <w:sz w:val="24"/>
          <w:szCs w:val="24"/>
        </w:rPr>
        <w:t xml:space="preserve"> </w:t>
      </w:r>
      <w:r w:rsidR="006E7957" w:rsidRPr="004032FE">
        <w:rPr>
          <w:rFonts w:ascii="Times New Roman" w:hAnsi="Times New Roman" w:cs="Times New Roman"/>
          <w:sz w:val="24"/>
          <w:szCs w:val="24"/>
        </w:rPr>
        <w:t xml:space="preserve">  </w:t>
      </w:r>
    </w:p>
    <w:p w14:paraId="307AF071" w14:textId="14FCD072" w:rsidR="004032FE" w:rsidRPr="00667E36" w:rsidRDefault="00340EFB" w:rsidP="000F7AB2">
      <w:pPr>
        <w:pStyle w:val="ListParagraph"/>
        <w:numPr>
          <w:ilvl w:val="0"/>
          <w:numId w:val="1"/>
        </w:numPr>
        <w:tabs>
          <w:tab w:val="left" w:pos="567"/>
        </w:tabs>
        <w:spacing w:line="480" w:lineRule="auto"/>
        <w:ind w:left="0" w:firstLine="0"/>
        <w:rPr>
          <w:rFonts w:ascii="Times New Roman" w:hAnsi="Times New Roman" w:cs="Times New Roman"/>
          <w:b/>
          <w:strike/>
          <w:sz w:val="24"/>
          <w:szCs w:val="24"/>
          <w:u w:val="single"/>
        </w:rPr>
      </w:pPr>
      <w:r>
        <w:rPr>
          <w:rFonts w:ascii="Times New Roman" w:hAnsi="Times New Roman" w:cs="Times New Roman"/>
          <w:sz w:val="24"/>
          <w:szCs w:val="24"/>
        </w:rPr>
        <w:t>I</w:t>
      </w:r>
      <w:r w:rsidR="00E20FE6">
        <w:rPr>
          <w:rFonts w:ascii="Times New Roman" w:hAnsi="Times New Roman" w:cs="Times New Roman"/>
          <w:sz w:val="24"/>
          <w:szCs w:val="24"/>
        </w:rPr>
        <w:t>n</w:t>
      </w:r>
      <w:r w:rsidR="0005793A">
        <w:rPr>
          <w:rFonts w:ascii="Times New Roman" w:hAnsi="Times New Roman" w:cs="Times New Roman"/>
          <w:sz w:val="24"/>
          <w:szCs w:val="24"/>
        </w:rPr>
        <w:t xml:space="preserve"> </w:t>
      </w:r>
      <w:r w:rsidR="0005793A" w:rsidRPr="00151BF0">
        <w:rPr>
          <w:rFonts w:ascii="Times New Roman" w:hAnsi="Times New Roman" w:cs="Times New Roman"/>
          <w:i/>
          <w:sz w:val="24"/>
          <w:szCs w:val="24"/>
        </w:rPr>
        <w:t>O’Malley</w:t>
      </w:r>
      <w:r w:rsidR="0005793A" w:rsidRPr="00CF494C">
        <w:rPr>
          <w:rFonts w:ascii="Times New Roman" w:hAnsi="Times New Roman" w:cs="Times New Roman"/>
          <w:sz w:val="24"/>
          <w:szCs w:val="24"/>
        </w:rPr>
        <w:t xml:space="preserve"> </w:t>
      </w:r>
      <w:r w:rsidR="009822DD">
        <w:rPr>
          <w:rFonts w:ascii="Times New Roman" w:hAnsi="Times New Roman" w:cs="Times New Roman"/>
          <w:sz w:val="24"/>
          <w:szCs w:val="24"/>
        </w:rPr>
        <w:t>th</w:t>
      </w:r>
      <w:r w:rsidR="0005793A">
        <w:rPr>
          <w:rFonts w:ascii="Times New Roman" w:hAnsi="Times New Roman" w:cs="Times New Roman"/>
          <w:sz w:val="24"/>
          <w:szCs w:val="24"/>
        </w:rPr>
        <w:t xml:space="preserve">ere was no dispute </w:t>
      </w:r>
      <w:r w:rsidR="00716810">
        <w:rPr>
          <w:rFonts w:ascii="Times New Roman" w:hAnsi="Times New Roman" w:cs="Times New Roman"/>
          <w:sz w:val="24"/>
          <w:szCs w:val="24"/>
        </w:rPr>
        <w:t>that Mr. O’Malley had the benefit of  funds</w:t>
      </w:r>
      <w:r>
        <w:rPr>
          <w:rFonts w:ascii="Times New Roman" w:hAnsi="Times New Roman" w:cs="Times New Roman"/>
          <w:sz w:val="24"/>
          <w:szCs w:val="24"/>
        </w:rPr>
        <w:t xml:space="preserve"> from the </w:t>
      </w:r>
      <w:r w:rsidR="005A4EF1">
        <w:rPr>
          <w:rFonts w:ascii="Times New Roman" w:hAnsi="Times New Roman" w:cs="Times New Roman"/>
          <w:sz w:val="24"/>
          <w:szCs w:val="24"/>
        </w:rPr>
        <w:t>bank</w:t>
      </w:r>
      <w:r w:rsidR="00237FDE">
        <w:rPr>
          <w:rFonts w:ascii="Times New Roman" w:hAnsi="Times New Roman" w:cs="Times New Roman"/>
          <w:sz w:val="24"/>
          <w:szCs w:val="24"/>
        </w:rPr>
        <w:t xml:space="preserve"> and was in arrears. </w:t>
      </w:r>
      <w:r w:rsidR="00716810">
        <w:rPr>
          <w:rFonts w:ascii="Times New Roman" w:hAnsi="Times New Roman" w:cs="Times New Roman"/>
          <w:sz w:val="24"/>
          <w:szCs w:val="24"/>
        </w:rPr>
        <w:t xml:space="preserve"> </w:t>
      </w:r>
      <w:r w:rsidR="009822DD">
        <w:rPr>
          <w:rFonts w:ascii="Times New Roman" w:hAnsi="Times New Roman" w:cs="Times New Roman"/>
          <w:sz w:val="24"/>
          <w:szCs w:val="24"/>
        </w:rPr>
        <w:t xml:space="preserve">His </w:t>
      </w:r>
      <w:r w:rsidR="00716810">
        <w:rPr>
          <w:rFonts w:ascii="Times New Roman" w:hAnsi="Times New Roman" w:cs="Times New Roman"/>
          <w:sz w:val="24"/>
          <w:szCs w:val="24"/>
        </w:rPr>
        <w:t xml:space="preserve">essential complaint was that the </w:t>
      </w:r>
      <w:r w:rsidR="005A4EF1">
        <w:rPr>
          <w:rFonts w:ascii="Times New Roman" w:hAnsi="Times New Roman" w:cs="Times New Roman"/>
          <w:sz w:val="24"/>
          <w:szCs w:val="24"/>
        </w:rPr>
        <w:t>bank</w:t>
      </w:r>
      <w:r w:rsidR="00716810">
        <w:rPr>
          <w:rFonts w:ascii="Times New Roman" w:hAnsi="Times New Roman" w:cs="Times New Roman"/>
          <w:sz w:val="24"/>
          <w:szCs w:val="24"/>
        </w:rPr>
        <w:t xml:space="preserve"> should not be entitled to summary judgment as its pleadings were defective</w:t>
      </w:r>
      <w:r>
        <w:rPr>
          <w:rFonts w:ascii="Times New Roman" w:hAnsi="Times New Roman" w:cs="Times New Roman"/>
          <w:sz w:val="24"/>
          <w:szCs w:val="24"/>
        </w:rPr>
        <w:t>,</w:t>
      </w:r>
      <w:r w:rsidR="00716810">
        <w:rPr>
          <w:rFonts w:ascii="Times New Roman" w:hAnsi="Times New Roman" w:cs="Times New Roman"/>
          <w:sz w:val="24"/>
          <w:szCs w:val="24"/>
        </w:rPr>
        <w:t xml:space="preserve"> </w:t>
      </w:r>
      <w:r w:rsidR="00EC7615">
        <w:rPr>
          <w:rFonts w:ascii="Times New Roman" w:hAnsi="Times New Roman" w:cs="Times New Roman"/>
          <w:sz w:val="24"/>
          <w:szCs w:val="24"/>
        </w:rPr>
        <w:t>due</w:t>
      </w:r>
      <w:r w:rsidR="00E20FE6">
        <w:rPr>
          <w:rFonts w:ascii="Times New Roman" w:hAnsi="Times New Roman" w:cs="Times New Roman"/>
          <w:sz w:val="24"/>
          <w:szCs w:val="24"/>
        </w:rPr>
        <w:t xml:space="preserve"> to</w:t>
      </w:r>
      <w:r w:rsidR="00716810">
        <w:rPr>
          <w:rFonts w:ascii="Times New Roman" w:hAnsi="Times New Roman" w:cs="Times New Roman"/>
          <w:sz w:val="24"/>
          <w:szCs w:val="24"/>
        </w:rPr>
        <w:t xml:space="preserve"> an absence of detail</w:t>
      </w:r>
      <w:r w:rsidR="00EC7615">
        <w:rPr>
          <w:rFonts w:ascii="Times New Roman" w:hAnsi="Times New Roman" w:cs="Times New Roman"/>
          <w:sz w:val="24"/>
          <w:szCs w:val="24"/>
        </w:rPr>
        <w:t xml:space="preserve"> which meant that he was unable to ascertain</w:t>
      </w:r>
      <w:r w:rsidR="00716810">
        <w:rPr>
          <w:rFonts w:ascii="Times New Roman" w:hAnsi="Times New Roman" w:cs="Times New Roman"/>
          <w:sz w:val="24"/>
          <w:szCs w:val="24"/>
        </w:rPr>
        <w:t xml:space="preserve"> how the outstanding sums were calculated</w:t>
      </w:r>
      <w:r w:rsidR="00E20FE6">
        <w:rPr>
          <w:rFonts w:ascii="Times New Roman" w:hAnsi="Times New Roman" w:cs="Times New Roman"/>
          <w:sz w:val="24"/>
          <w:szCs w:val="24"/>
        </w:rPr>
        <w:t>.  That absence</w:t>
      </w:r>
      <w:r>
        <w:rPr>
          <w:rFonts w:ascii="Times New Roman" w:hAnsi="Times New Roman" w:cs="Times New Roman"/>
          <w:sz w:val="24"/>
          <w:szCs w:val="24"/>
        </w:rPr>
        <w:t>,</w:t>
      </w:r>
      <w:r w:rsidR="00E20FE6">
        <w:rPr>
          <w:rFonts w:ascii="Times New Roman" w:hAnsi="Times New Roman" w:cs="Times New Roman"/>
          <w:sz w:val="24"/>
          <w:szCs w:val="24"/>
        </w:rPr>
        <w:t xml:space="preserve"> </w:t>
      </w:r>
      <w:r w:rsidR="00D539DB">
        <w:rPr>
          <w:rFonts w:ascii="Times New Roman" w:hAnsi="Times New Roman" w:cs="Times New Roman"/>
          <w:sz w:val="24"/>
          <w:szCs w:val="24"/>
        </w:rPr>
        <w:t>he</w:t>
      </w:r>
      <w:r w:rsidR="00E20FE6">
        <w:rPr>
          <w:rFonts w:ascii="Times New Roman" w:hAnsi="Times New Roman" w:cs="Times New Roman"/>
          <w:sz w:val="24"/>
          <w:szCs w:val="24"/>
        </w:rPr>
        <w:t xml:space="preserve"> argued</w:t>
      </w:r>
      <w:r>
        <w:rPr>
          <w:rFonts w:ascii="Times New Roman" w:hAnsi="Times New Roman" w:cs="Times New Roman"/>
          <w:sz w:val="24"/>
          <w:szCs w:val="24"/>
        </w:rPr>
        <w:t>, was such</w:t>
      </w:r>
      <w:r w:rsidR="007F2445">
        <w:rPr>
          <w:rFonts w:ascii="Times New Roman" w:hAnsi="Times New Roman" w:cs="Times New Roman"/>
          <w:sz w:val="24"/>
          <w:szCs w:val="24"/>
        </w:rPr>
        <w:t xml:space="preserve"> </w:t>
      </w:r>
      <w:r w:rsidR="009822DD">
        <w:rPr>
          <w:rFonts w:ascii="Times New Roman" w:hAnsi="Times New Roman" w:cs="Times New Roman"/>
          <w:sz w:val="24"/>
          <w:szCs w:val="24"/>
        </w:rPr>
        <w:t>that</w:t>
      </w:r>
      <w:r w:rsidR="007F2445">
        <w:rPr>
          <w:rFonts w:ascii="Times New Roman" w:hAnsi="Times New Roman" w:cs="Times New Roman"/>
          <w:sz w:val="24"/>
          <w:szCs w:val="24"/>
        </w:rPr>
        <w:t xml:space="preserve"> </w:t>
      </w:r>
      <w:r w:rsidR="009822DD">
        <w:rPr>
          <w:rFonts w:ascii="Times New Roman" w:hAnsi="Times New Roman" w:cs="Times New Roman"/>
          <w:sz w:val="24"/>
          <w:szCs w:val="24"/>
        </w:rPr>
        <w:t xml:space="preserve">the </w:t>
      </w:r>
      <w:r w:rsidR="005A4EF1">
        <w:rPr>
          <w:rFonts w:ascii="Times New Roman" w:hAnsi="Times New Roman" w:cs="Times New Roman"/>
          <w:sz w:val="24"/>
          <w:szCs w:val="24"/>
        </w:rPr>
        <w:t>bank</w:t>
      </w:r>
      <w:r w:rsidR="009822DD">
        <w:rPr>
          <w:rFonts w:ascii="Times New Roman" w:hAnsi="Times New Roman" w:cs="Times New Roman"/>
          <w:sz w:val="24"/>
          <w:szCs w:val="24"/>
        </w:rPr>
        <w:t xml:space="preserve"> had failed to discharge its </w:t>
      </w:r>
      <w:r w:rsidR="007F2445">
        <w:rPr>
          <w:rFonts w:ascii="Times New Roman" w:hAnsi="Times New Roman" w:cs="Times New Roman"/>
          <w:sz w:val="24"/>
          <w:szCs w:val="24"/>
        </w:rPr>
        <w:t>evidential burden of proof</w:t>
      </w:r>
      <w:r w:rsidR="00716810">
        <w:rPr>
          <w:rFonts w:ascii="Times New Roman" w:hAnsi="Times New Roman" w:cs="Times New Roman"/>
          <w:sz w:val="24"/>
          <w:szCs w:val="24"/>
        </w:rPr>
        <w:t>.</w:t>
      </w:r>
      <w:r w:rsidR="0005793A">
        <w:rPr>
          <w:rFonts w:ascii="Times New Roman" w:hAnsi="Times New Roman" w:cs="Times New Roman"/>
          <w:sz w:val="24"/>
          <w:szCs w:val="24"/>
        </w:rPr>
        <w:t xml:space="preserve"> </w:t>
      </w:r>
      <w:r w:rsidR="006223B7">
        <w:rPr>
          <w:rFonts w:ascii="Times New Roman" w:hAnsi="Times New Roman" w:cs="Times New Roman"/>
          <w:sz w:val="24"/>
          <w:szCs w:val="24"/>
        </w:rPr>
        <w:t xml:space="preserve"> The </w:t>
      </w:r>
      <w:r w:rsidR="005A4EF1">
        <w:rPr>
          <w:rFonts w:ascii="Times New Roman" w:hAnsi="Times New Roman" w:cs="Times New Roman"/>
          <w:sz w:val="24"/>
          <w:szCs w:val="24"/>
        </w:rPr>
        <w:t>bank</w:t>
      </w:r>
      <w:r w:rsidR="006223B7">
        <w:rPr>
          <w:rFonts w:ascii="Times New Roman" w:hAnsi="Times New Roman" w:cs="Times New Roman"/>
          <w:sz w:val="24"/>
          <w:szCs w:val="24"/>
        </w:rPr>
        <w:t xml:space="preserve"> </w:t>
      </w:r>
      <w:r w:rsidR="009822DD">
        <w:rPr>
          <w:rFonts w:ascii="Times New Roman" w:hAnsi="Times New Roman" w:cs="Times New Roman"/>
          <w:sz w:val="24"/>
          <w:szCs w:val="24"/>
        </w:rPr>
        <w:t xml:space="preserve">argued that the requirement of </w:t>
      </w:r>
      <w:r w:rsidR="006223B7">
        <w:rPr>
          <w:rFonts w:ascii="Times New Roman" w:hAnsi="Times New Roman" w:cs="Times New Roman"/>
          <w:sz w:val="24"/>
          <w:szCs w:val="24"/>
        </w:rPr>
        <w:t>RSC O.4 r. 4</w:t>
      </w:r>
      <w:r w:rsidR="009822DD">
        <w:rPr>
          <w:rFonts w:ascii="Times New Roman" w:hAnsi="Times New Roman" w:cs="Times New Roman"/>
          <w:sz w:val="24"/>
          <w:szCs w:val="24"/>
        </w:rPr>
        <w:t xml:space="preserve"> had been met</w:t>
      </w:r>
      <w:r w:rsidR="00984942">
        <w:rPr>
          <w:rFonts w:ascii="Times New Roman" w:hAnsi="Times New Roman" w:cs="Times New Roman"/>
          <w:sz w:val="24"/>
          <w:szCs w:val="24"/>
        </w:rPr>
        <w:t xml:space="preserve"> with</w:t>
      </w:r>
      <w:r w:rsidR="007C351D">
        <w:rPr>
          <w:rFonts w:ascii="Times New Roman" w:hAnsi="Times New Roman" w:cs="Times New Roman"/>
          <w:sz w:val="24"/>
          <w:szCs w:val="24"/>
        </w:rPr>
        <w:t xml:space="preserve"> sufficient evidence being pleaded within the </w:t>
      </w:r>
      <w:r w:rsidR="00984942">
        <w:rPr>
          <w:rFonts w:ascii="Times New Roman" w:hAnsi="Times New Roman" w:cs="Times New Roman"/>
          <w:sz w:val="24"/>
          <w:szCs w:val="24"/>
        </w:rPr>
        <w:t>indorsement of claim</w:t>
      </w:r>
      <w:r w:rsidR="00D539DB">
        <w:rPr>
          <w:rFonts w:ascii="Times New Roman" w:hAnsi="Times New Roman" w:cs="Times New Roman"/>
          <w:sz w:val="24"/>
          <w:szCs w:val="24"/>
        </w:rPr>
        <w:t>,</w:t>
      </w:r>
      <w:r w:rsidR="007C351D">
        <w:rPr>
          <w:rFonts w:ascii="Times New Roman" w:hAnsi="Times New Roman" w:cs="Times New Roman"/>
          <w:sz w:val="24"/>
          <w:szCs w:val="24"/>
        </w:rPr>
        <w:t xml:space="preserve"> coupled with </w:t>
      </w:r>
      <w:r w:rsidR="00CC5BD4">
        <w:rPr>
          <w:rFonts w:ascii="Times New Roman" w:hAnsi="Times New Roman" w:cs="Times New Roman"/>
          <w:sz w:val="24"/>
          <w:szCs w:val="24"/>
        </w:rPr>
        <w:t>the statement of account and the loan offer.</w:t>
      </w:r>
      <w:r w:rsidR="004C5775">
        <w:rPr>
          <w:rFonts w:ascii="Times New Roman" w:hAnsi="Times New Roman" w:cs="Times New Roman"/>
          <w:sz w:val="24"/>
          <w:szCs w:val="24"/>
        </w:rPr>
        <w:t xml:space="preserve">  </w:t>
      </w:r>
    </w:p>
    <w:p w14:paraId="1D5A4698" w14:textId="10354170" w:rsidR="00667E36" w:rsidRDefault="00667E36" w:rsidP="00667E36">
      <w:pPr>
        <w:pStyle w:val="ListParagraph"/>
        <w:numPr>
          <w:ilvl w:val="0"/>
          <w:numId w:val="1"/>
        </w:numPr>
        <w:tabs>
          <w:tab w:val="left" w:pos="567"/>
        </w:tabs>
        <w:spacing w:line="480" w:lineRule="auto"/>
        <w:rPr>
          <w:rFonts w:ascii="Times New Roman" w:hAnsi="Times New Roman" w:cs="Times New Roman"/>
          <w:sz w:val="24"/>
          <w:szCs w:val="24"/>
        </w:rPr>
      </w:pPr>
      <w:r>
        <w:rPr>
          <w:rFonts w:ascii="Times New Roman" w:hAnsi="Times New Roman" w:cs="Times New Roman"/>
          <w:sz w:val="24"/>
          <w:szCs w:val="24"/>
        </w:rPr>
        <w:t>Clarke</w:t>
      </w:r>
      <w:r w:rsidR="003E6C28">
        <w:rPr>
          <w:rFonts w:ascii="Times New Roman" w:hAnsi="Times New Roman" w:cs="Times New Roman"/>
          <w:sz w:val="24"/>
          <w:szCs w:val="24"/>
        </w:rPr>
        <w:t xml:space="preserve"> C.</w:t>
      </w:r>
      <w:r>
        <w:rPr>
          <w:rFonts w:ascii="Times New Roman" w:hAnsi="Times New Roman" w:cs="Times New Roman"/>
          <w:sz w:val="24"/>
          <w:szCs w:val="24"/>
        </w:rPr>
        <w:t xml:space="preserve"> J</w:t>
      </w:r>
      <w:r w:rsidR="003E6C28">
        <w:rPr>
          <w:rFonts w:ascii="Times New Roman" w:hAnsi="Times New Roman" w:cs="Times New Roman"/>
          <w:sz w:val="24"/>
          <w:szCs w:val="24"/>
        </w:rPr>
        <w:t>.</w:t>
      </w:r>
      <w:r>
        <w:rPr>
          <w:rFonts w:ascii="Times New Roman" w:hAnsi="Times New Roman" w:cs="Times New Roman"/>
          <w:sz w:val="24"/>
          <w:szCs w:val="24"/>
        </w:rPr>
        <w:t xml:space="preserve"> </w:t>
      </w:r>
      <w:r w:rsidR="004C5775">
        <w:rPr>
          <w:rFonts w:ascii="Times New Roman" w:hAnsi="Times New Roman" w:cs="Times New Roman"/>
          <w:sz w:val="24"/>
          <w:szCs w:val="24"/>
        </w:rPr>
        <w:t>stated</w:t>
      </w:r>
      <w:r>
        <w:rPr>
          <w:rFonts w:ascii="Times New Roman" w:hAnsi="Times New Roman" w:cs="Times New Roman"/>
          <w:sz w:val="24"/>
          <w:szCs w:val="24"/>
        </w:rPr>
        <w:t>;</w:t>
      </w:r>
    </w:p>
    <w:p w14:paraId="1E6629E6" w14:textId="2F58F937" w:rsidR="007F2445" w:rsidRPr="00F739D7" w:rsidRDefault="00667E36" w:rsidP="00A34FFC">
      <w:pPr>
        <w:tabs>
          <w:tab w:val="left" w:pos="567"/>
        </w:tabs>
        <w:spacing w:line="480" w:lineRule="auto"/>
        <w:ind w:left="360"/>
        <w:jc w:val="both"/>
        <w:rPr>
          <w:rFonts w:ascii="Times New Roman" w:hAnsi="Times New Roman" w:cs="Times New Roman"/>
          <w:i/>
          <w:sz w:val="24"/>
          <w:szCs w:val="24"/>
        </w:rPr>
      </w:pPr>
      <w:r w:rsidRPr="00AF2C8B">
        <w:rPr>
          <w:rFonts w:ascii="Times New Roman" w:hAnsi="Times New Roman" w:cs="Times New Roman"/>
          <w:i/>
          <w:sz w:val="24"/>
          <w:szCs w:val="24"/>
        </w:rPr>
        <w:t xml:space="preserve">‘4.2  It does seem to me that the trial judge had some concerns as to whether there was sufficient detail to </w:t>
      </w:r>
      <w:r w:rsidR="00BD3A87">
        <w:rPr>
          <w:rFonts w:ascii="Times New Roman" w:hAnsi="Times New Roman" w:cs="Times New Roman"/>
          <w:i/>
          <w:sz w:val="24"/>
          <w:szCs w:val="24"/>
        </w:rPr>
        <w:t>be</w:t>
      </w:r>
      <w:r w:rsidRPr="00AF2C8B">
        <w:rPr>
          <w:rFonts w:ascii="Times New Roman" w:hAnsi="Times New Roman" w:cs="Times New Roman"/>
          <w:i/>
          <w:sz w:val="24"/>
          <w:szCs w:val="24"/>
        </w:rPr>
        <w:t xml:space="preserve"> found in the special indorsement of claim on the summary summons and did have regard, therefore, </w:t>
      </w:r>
      <w:r w:rsidR="00BD3A87">
        <w:rPr>
          <w:rFonts w:ascii="Times New Roman" w:hAnsi="Times New Roman" w:cs="Times New Roman"/>
          <w:i/>
          <w:sz w:val="24"/>
          <w:szCs w:val="24"/>
        </w:rPr>
        <w:t>to</w:t>
      </w:r>
      <w:r w:rsidRPr="00AF2C8B">
        <w:rPr>
          <w:rFonts w:ascii="Times New Roman" w:hAnsi="Times New Roman" w:cs="Times New Roman"/>
          <w:i/>
          <w:sz w:val="24"/>
          <w:szCs w:val="24"/>
        </w:rPr>
        <w:t xml:space="preserve"> the evidence put before the court by Bank of Ireland for </w:t>
      </w:r>
      <w:r w:rsidRPr="00AF2C8B">
        <w:rPr>
          <w:rFonts w:ascii="Times New Roman" w:hAnsi="Times New Roman" w:cs="Times New Roman"/>
          <w:i/>
          <w:sz w:val="24"/>
          <w:szCs w:val="24"/>
        </w:rPr>
        <w:lastRenderedPageBreak/>
        <w:t>the purpose of assessing</w:t>
      </w:r>
      <w:r w:rsidR="00AF2C8B" w:rsidRPr="00AF2C8B">
        <w:rPr>
          <w:rFonts w:ascii="Times New Roman" w:hAnsi="Times New Roman" w:cs="Times New Roman"/>
          <w:i/>
          <w:sz w:val="24"/>
          <w:szCs w:val="24"/>
        </w:rPr>
        <w:t xml:space="preserve"> whether the claim was sufficiently particularised.  In those circumstances, it seems to me that there is an inextricable link between the pleading sand the evidence such that it is appropriate to allow Mr. O’Malley to argue on this appeal that the detail in either or both of the pleadings and the evidence was insufficient to justify granting judgment to Bank of Ireland’</w:t>
      </w:r>
    </w:p>
    <w:p w14:paraId="69716391" w14:textId="1090B400"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strike/>
          <w:sz w:val="24"/>
          <w:szCs w:val="24"/>
          <w:u w:val="single"/>
        </w:rPr>
      </w:pPr>
      <w:r w:rsidRPr="00220ED4">
        <w:rPr>
          <w:rFonts w:ascii="Times New Roman" w:hAnsi="Times New Roman" w:cs="Times New Roman"/>
          <w:sz w:val="24"/>
          <w:szCs w:val="24"/>
        </w:rPr>
        <w:t>Clarke C.J. went on to underscore the obligation on any plaintiff</w:t>
      </w:r>
      <w:r w:rsidR="00DD1770">
        <w:rPr>
          <w:rFonts w:ascii="Times New Roman" w:hAnsi="Times New Roman" w:cs="Times New Roman"/>
          <w:sz w:val="24"/>
          <w:szCs w:val="24"/>
        </w:rPr>
        <w:t xml:space="preserve"> seeking summary judgment;</w:t>
      </w:r>
      <w:r w:rsidRPr="00220ED4">
        <w:rPr>
          <w:rFonts w:ascii="Times New Roman" w:hAnsi="Times New Roman" w:cs="Times New Roman"/>
          <w:sz w:val="24"/>
          <w:szCs w:val="24"/>
        </w:rPr>
        <w:t xml:space="preserve"> </w:t>
      </w:r>
    </w:p>
    <w:p w14:paraId="3E05933C" w14:textId="41D55478" w:rsidR="006E7957" w:rsidRPr="00220ED4" w:rsidRDefault="006E7957" w:rsidP="006E7957">
      <w:pPr>
        <w:pStyle w:val="ListParagraph"/>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w:t>
      </w:r>
      <w:r w:rsidR="00AE1394">
        <w:rPr>
          <w:rFonts w:ascii="Times New Roman" w:hAnsi="Times New Roman" w:cs="Times New Roman"/>
          <w:i/>
          <w:sz w:val="24"/>
          <w:szCs w:val="24"/>
        </w:rPr>
        <w:t>5.</w:t>
      </w:r>
      <w:r w:rsidR="004D381D">
        <w:rPr>
          <w:rFonts w:ascii="Times New Roman" w:hAnsi="Times New Roman" w:cs="Times New Roman"/>
          <w:i/>
          <w:sz w:val="24"/>
          <w:szCs w:val="24"/>
        </w:rPr>
        <w:t>3……..</w:t>
      </w:r>
      <w:r w:rsidRPr="00220ED4">
        <w:rPr>
          <w:rFonts w:ascii="Times New Roman" w:hAnsi="Times New Roman" w:cs="Times New Roman"/>
          <w:i/>
          <w:sz w:val="24"/>
          <w:szCs w:val="24"/>
        </w:rPr>
        <w:t xml:space="preserve">There are, therefore, two questions. The first is as </w:t>
      </w:r>
      <w:r w:rsidR="00AE1394">
        <w:rPr>
          <w:rFonts w:ascii="Times New Roman" w:hAnsi="Times New Roman" w:cs="Times New Roman"/>
          <w:i/>
          <w:sz w:val="24"/>
          <w:szCs w:val="24"/>
        </w:rPr>
        <w:t xml:space="preserve">to </w:t>
      </w:r>
      <w:r w:rsidRPr="00220ED4">
        <w:rPr>
          <w:rFonts w:ascii="Times New Roman" w:hAnsi="Times New Roman" w:cs="Times New Roman"/>
          <w:i/>
          <w:sz w:val="24"/>
          <w:szCs w:val="24"/>
        </w:rPr>
        <w:t xml:space="preserve">whether the plaintiff has put sufficient evidence before the court to establish a prima facie debt. If the answer to that question is no, then the plaintiff cannot be entitled to summary judgment in any event. If, however, the answer to that question is yes, then the court must go on to consider, in accordance with the established jurisprudence, whether the defendant has put forward a credible defence.” </w:t>
      </w:r>
    </w:p>
    <w:p w14:paraId="2A002641" w14:textId="602699B1"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i/>
          <w:strike/>
          <w:sz w:val="24"/>
          <w:szCs w:val="24"/>
          <w:u w:val="single"/>
        </w:rPr>
      </w:pPr>
      <w:r w:rsidRPr="00220ED4">
        <w:rPr>
          <w:rFonts w:ascii="Times New Roman" w:hAnsi="Times New Roman" w:cs="Times New Roman"/>
          <w:sz w:val="24"/>
          <w:szCs w:val="24"/>
        </w:rPr>
        <w:t>The court</w:t>
      </w:r>
      <w:r w:rsidR="006204C1">
        <w:rPr>
          <w:rFonts w:ascii="Times New Roman" w:hAnsi="Times New Roman" w:cs="Times New Roman"/>
          <w:sz w:val="24"/>
          <w:szCs w:val="24"/>
        </w:rPr>
        <w:t>, whilst</w:t>
      </w:r>
      <w:r w:rsidR="002013E3">
        <w:rPr>
          <w:rFonts w:ascii="Times New Roman" w:hAnsi="Times New Roman" w:cs="Times New Roman"/>
          <w:sz w:val="24"/>
          <w:szCs w:val="24"/>
        </w:rPr>
        <w:t xml:space="preserve"> satisfied that it could</w:t>
      </w:r>
      <w:r w:rsidRPr="00220ED4">
        <w:rPr>
          <w:rFonts w:ascii="Times New Roman" w:hAnsi="Times New Roman" w:cs="Times New Roman"/>
          <w:sz w:val="24"/>
          <w:szCs w:val="24"/>
        </w:rPr>
        <w:t xml:space="preserve"> take into account any documentation which ha</w:t>
      </w:r>
      <w:r w:rsidR="006204C1">
        <w:rPr>
          <w:rFonts w:ascii="Times New Roman" w:hAnsi="Times New Roman" w:cs="Times New Roman"/>
          <w:sz w:val="24"/>
          <w:szCs w:val="24"/>
        </w:rPr>
        <w:t>d</w:t>
      </w:r>
      <w:r w:rsidRPr="00220ED4">
        <w:rPr>
          <w:rFonts w:ascii="Times New Roman" w:hAnsi="Times New Roman" w:cs="Times New Roman"/>
          <w:sz w:val="24"/>
          <w:szCs w:val="24"/>
        </w:rPr>
        <w:t xml:space="preserve"> been sent to a defendant in advance of the commencement of the proceedings</w:t>
      </w:r>
      <w:r w:rsidR="004168E3">
        <w:rPr>
          <w:rFonts w:ascii="Times New Roman" w:hAnsi="Times New Roman" w:cs="Times New Roman"/>
          <w:sz w:val="24"/>
          <w:szCs w:val="24"/>
        </w:rPr>
        <w:t>,</w:t>
      </w:r>
      <w:r w:rsidR="006204C1">
        <w:rPr>
          <w:rFonts w:ascii="Times New Roman" w:hAnsi="Times New Roman" w:cs="Times New Roman"/>
          <w:sz w:val="24"/>
          <w:szCs w:val="24"/>
        </w:rPr>
        <w:t xml:space="preserve"> indicated that those</w:t>
      </w:r>
      <w:r w:rsidR="004168E3">
        <w:rPr>
          <w:rFonts w:ascii="Times New Roman" w:hAnsi="Times New Roman" w:cs="Times New Roman"/>
          <w:sz w:val="24"/>
          <w:szCs w:val="24"/>
        </w:rPr>
        <w:t xml:space="preserve"> details supplied previously</w:t>
      </w:r>
      <w:r w:rsidR="006204C1">
        <w:rPr>
          <w:rFonts w:ascii="Times New Roman" w:hAnsi="Times New Roman" w:cs="Times New Roman"/>
          <w:sz w:val="24"/>
          <w:szCs w:val="24"/>
        </w:rPr>
        <w:t xml:space="preserve"> must</w:t>
      </w:r>
      <w:r w:rsidR="004168E3">
        <w:rPr>
          <w:rFonts w:ascii="Times New Roman" w:hAnsi="Times New Roman" w:cs="Times New Roman"/>
          <w:sz w:val="24"/>
          <w:szCs w:val="24"/>
        </w:rPr>
        <w:t xml:space="preserve"> be referred to in some manner within the special indorsement of claim itself.</w:t>
      </w:r>
    </w:p>
    <w:p w14:paraId="62C85A10" w14:textId="667F225D"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i/>
          <w:strike/>
          <w:sz w:val="24"/>
          <w:szCs w:val="24"/>
          <w:u w:val="single"/>
        </w:rPr>
      </w:pPr>
      <w:r w:rsidRPr="00220ED4">
        <w:rPr>
          <w:rFonts w:ascii="Times New Roman" w:hAnsi="Times New Roman" w:cs="Times New Roman"/>
          <w:i/>
          <w:sz w:val="24"/>
          <w:szCs w:val="24"/>
        </w:rPr>
        <w:t xml:space="preserve"> </w:t>
      </w:r>
      <w:r w:rsidR="004168E3" w:rsidRPr="002013E3">
        <w:rPr>
          <w:rFonts w:ascii="Times New Roman" w:hAnsi="Times New Roman" w:cs="Times New Roman"/>
          <w:sz w:val="24"/>
          <w:szCs w:val="24"/>
        </w:rPr>
        <w:t>On the facts of</w:t>
      </w:r>
      <w:r w:rsidR="004168E3">
        <w:rPr>
          <w:rFonts w:ascii="Times New Roman" w:hAnsi="Times New Roman" w:cs="Times New Roman"/>
          <w:i/>
          <w:sz w:val="24"/>
          <w:szCs w:val="24"/>
        </w:rPr>
        <w:t xml:space="preserve"> O’Malley</w:t>
      </w:r>
      <w:r w:rsidR="000718A0">
        <w:rPr>
          <w:rFonts w:ascii="Times New Roman" w:hAnsi="Times New Roman" w:cs="Times New Roman"/>
          <w:i/>
          <w:sz w:val="24"/>
          <w:szCs w:val="24"/>
        </w:rPr>
        <w:t>,</w:t>
      </w:r>
      <w:r w:rsidR="004168E3">
        <w:rPr>
          <w:rFonts w:ascii="Times New Roman" w:hAnsi="Times New Roman" w:cs="Times New Roman"/>
          <w:i/>
          <w:sz w:val="24"/>
          <w:szCs w:val="24"/>
        </w:rPr>
        <w:t xml:space="preserve"> </w:t>
      </w:r>
      <w:r w:rsidR="004168E3" w:rsidRPr="007906FF">
        <w:rPr>
          <w:rFonts w:ascii="Times New Roman" w:hAnsi="Times New Roman" w:cs="Times New Roman"/>
          <w:sz w:val="24"/>
          <w:szCs w:val="24"/>
        </w:rPr>
        <w:t xml:space="preserve">Clarke </w:t>
      </w:r>
      <w:r w:rsidR="00183296" w:rsidRPr="007906FF">
        <w:rPr>
          <w:rFonts w:ascii="Times New Roman" w:hAnsi="Times New Roman" w:cs="Times New Roman"/>
          <w:sz w:val="24"/>
          <w:szCs w:val="24"/>
        </w:rPr>
        <w:t>C.</w:t>
      </w:r>
      <w:r w:rsidR="004168E3" w:rsidRPr="007906FF">
        <w:rPr>
          <w:rFonts w:ascii="Times New Roman" w:hAnsi="Times New Roman" w:cs="Times New Roman"/>
          <w:sz w:val="24"/>
          <w:szCs w:val="24"/>
        </w:rPr>
        <w:t>J</w:t>
      </w:r>
      <w:r w:rsidR="00B25D03" w:rsidRPr="007906FF">
        <w:rPr>
          <w:rFonts w:ascii="Times New Roman" w:hAnsi="Times New Roman" w:cs="Times New Roman"/>
          <w:sz w:val="24"/>
          <w:szCs w:val="24"/>
        </w:rPr>
        <w:t>.</w:t>
      </w:r>
      <w:r w:rsidR="004168E3" w:rsidRPr="007906FF">
        <w:rPr>
          <w:rFonts w:ascii="Times New Roman" w:hAnsi="Times New Roman" w:cs="Times New Roman"/>
          <w:sz w:val="24"/>
          <w:szCs w:val="24"/>
        </w:rPr>
        <w:t xml:space="preserve"> held</w:t>
      </w:r>
      <w:r w:rsidR="004168E3">
        <w:rPr>
          <w:rFonts w:ascii="Times New Roman" w:hAnsi="Times New Roman" w:cs="Times New Roman"/>
          <w:i/>
          <w:sz w:val="24"/>
          <w:szCs w:val="24"/>
        </w:rPr>
        <w:t xml:space="preserve"> </w:t>
      </w:r>
      <w:r w:rsidRPr="00220ED4">
        <w:rPr>
          <w:rFonts w:ascii="Times New Roman" w:hAnsi="Times New Roman" w:cs="Times New Roman"/>
          <w:sz w:val="24"/>
          <w:szCs w:val="24"/>
        </w:rPr>
        <w:t xml:space="preserve">: </w:t>
      </w:r>
    </w:p>
    <w:p w14:paraId="53CFF992" w14:textId="7331CEAA" w:rsidR="006E7957" w:rsidRPr="00220ED4" w:rsidRDefault="0036261E" w:rsidP="0014374D">
      <w:pPr>
        <w:pStyle w:val="ListParagraph"/>
        <w:tabs>
          <w:tab w:val="left" w:pos="567"/>
        </w:tabs>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 xml:space="preserve"> </w:t>
      </w:r>
      <w:r w:rsidR="0014374D" w:rsidRPr="00220ED4">
        <w:rPr>
          <w:rFonts w:ascii="Times New Roman" w:hAnsi="Times New Roman" w:cs="Times New Roman"/>
          <w:i/>
          <w:sz w:val="24"/>
          <w:szCs w:val="24"/>
        </w:rPr>
        <w:tab/>
      </w:r>
      <w:r w:rsidR="006E7957" w:rsidRPr="00220ED4">
        <w:rPr>
          <w:rFonts w:ascii="Times New Roman" w:hAnsi="Times New Roman" w:cs="Times New Roman"/>
          <w:i/>
          <w:sz w:val="24"/>
          <w:szCs w:val="24"/>
        </w:rPr>
        <w:t>“5.8 However, in my view, the special indorsement of claim in this case was not sufficient. There are absolutely no details of how the sum said to be due is arrived at. There are more than adequate particulars as to how it is said that monies generally are due having regard to the asserted loan, drawdown, failure to pay and calling in of the balance. But why the particular amount due should be the sum claimed is not at all clear. I cannot see that a person receiving such a summons could have the “necessary” details to decide whether they should concede or resist.”</w:t>
      </w:r>
    </w:p>
    <w:p w14:paraId="6CA6380B" w14:textId="5DF4BA4D" w:rsidR="006E7957" w:rsidRPr="00220ED4" w:rsidRDefault="006E7957" w:rsidP="006E7957">
      <w:pPr>
        <w:pStyle w:val="ListParagraph"/>
        <w:tabs>
          <w:tab w:val="left" w:pos="567"/>
        </w:tabs>
        <w:spacing w:line="480" w:lineRule="auto"/>
        <w:ind w:left="0"/>
        <w:rPr>
          <w:rFonts w:ascii="Times New Roman" w:hAnsi="Times New Roman" w:cs="Times New Roman"/>
          <w:b/>
          <w:sz w:val="24"/>
          <w:szCs w:val="24"/>
          <w:u w:val="single"/>
        </w:rPr>
      </w:pPr>
      <w:r w:rsidRPr="00220ED4">
        <w:rPr>
          <w:rFonts w:ascii="Times New Roman" w:hAnsi="Times New Roman" w:cs="Times New Roman"/>
          <w:sz w:val="24"/>
          <w:szCs w:val="24"/>
        </w:rPr>
        <w:lastRenderedPageBreak/>
        <w:t xml:space="preserve">Thereafter, the Court set out what, in general terms, would be required of a plaintiff financial institution seeking summary judgment in such circumstances.  At para. 6.7, </w:t>
      </w:r>
      <w:r w:rsidR="0014374D" w:rsidRPr="00220ED4">
        <w:rPr>
          <w:rFonts w:ascii="Times New Roman" w:hAnsi="Times New Roman" w:cs="Times New Roman"/>
          <w:sz w:val="24"/>
          <w:szCs w:val="24"/>
        </w:rPr>
        <w:t>Clarke C.J</w:t>
      </w:r>
      <w:r w:rsidR="00E84FA4">
        <w:rPr>
          <w:rFonts w:ascii="Times New Roman" w:hAnsi="Times New Roman" w:cs="Times New Roman"/>
          <w:sz w:val="24"/>
          <w:szCs w:val="24"/>
        </w:rPr>
        <w:t>.</w:t>
      </w:r>
      <w:r w:rsidR="0014374D" w:rsidRPr="00220ED4">
        <w:rPr>
          <w:rFonts w:ascii="Times New Roman" w:hAnsi="Times New Roman" w:cs="Times New Roman"/>
          <w:sz w:val="24"/>
          <w:szCs w:val="24"/>
        </w:rPr>
        <w:t xml:space="preserve"> </w:t>
      </w:r>
      <w:r w:rsidRPr="00220ED4">
        <w:rPr>
          <w:rFonts w:ascii="Times New Roman" w:hAnsi="Times New Roman" w:cs="Times New Roman"/>
          <w:sz w:val="24"/>
          <w:szCs w:val="24"/>
        </w:rPr>
        <w:t>stated as follows:</w:t>
      </w:r>
    </w:p>
    <w:p w14:paraId="5DDD4303" w14:textId="7519E61C" w:rsidR="006731BC" w:rsidRDefault="006E7957" w:rsidP="00AE1394">
      <w:pPr>
        <w:pStyle w:val="ListParagraph"/>
        <w:spacing w:line="480" w:lineRule="auto"/>
        <w:ind w:left="567"/>
        <w:rPr>
          <w:rFonts w:ascii="Times New Roman" w:hAnsi="Times New Roman" w:cs="Times New Roman"/>
          <w:sz w:val="24"/>
          <w:szCs w:val="24"/>
        </w:rPr>
      </w:pPr>
      <w:r w:rsidRPr="00220ED4">
        <w:rPr>
          <w:rFonts w:ascii="Times New Roman" w:hAnsi="Times New Roman" w:cs="Times New Roman"/>
          <w:i/>
          <w:sz w:val="24"/>
          <w:szCs w:val="24"/>
        </w:rPr>
        <w:t xml:space="preserve"> “6.7 </w:t>
      </w:r>
      <w:r w:rsidR="00AE1394" w:rsidRPr="00AE1394">
        <w:rPr>
          <w:rFonts w:ascii="Times New Roman" w:hAnsi="Times New Roman" w:cs="Times New Roman"/>
          <w:i/>
          <w:sz w:val="24"/>
          <w:szCs w:val="24"/>
        </w:rPr>
        <w:t>But it does not seem to me to be too much to ask that a financial institution, availing of the benefit of a summary judgment procedure, should specify, both in the special indorsement of claim and in the evidence presented, at least some straightforward account of how the amount said to be due is calculated and whether it includes surcharges and/or penalties as well as interest. Indeed, if it really is as simple as counsel suggested, then I cannot see any reason why Bank of Ireland should not have set out those calculations. A person confronted with a claim or a court confronted with a question of whether there is prima facie evidence for that claim is entitled to at least enough detail to know the basis on which the sum claimed is calculated. The defendant is entitled to that information to decide whether there is any point in pursuing a defence or, indeed, potentially expending monies on procuring professional advice in that regard. The court is entitled to that information to enable it to form an assessment as to whether there is sufficient evidence to say that the debt has been established on a prima facie basis. Neither the defendant nor the court should be required to infer the methodology used, unless that methodology would be obvious to a reasonable person or is actually described in the relevant documentation placed before the court.</w:t>
      </w:r>
      <w:r w:rsidR="00AE1394">
        <w:rPr>
          <w:rFonts w:ascii="Times New Roman" w:hAnsi="Times New Roman" w:cs="Times New Roman"/>
          <w:i/>
          <w:sz w:val="24"/>
          <w:szCs w:val="24"/>
        </w:rPr>
        <w:t>”</w:t>
      </w:r>
    </w:p>
    <w:p w14:paraId="678357B0" w14:textId="49F934D9" w:rsidR="006E7957" w:rsidRPr="00BB6AA5" w:rsidRDefault="006E7957" w:rsidP="00685C84">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BB6AA5">
        <w:rPr>
          <w:rFonts w:ascii="Times New Roman" w:hAnsi="Times New Roman" w:cs="Times New Roman"/>
          <w:sz w:val="24"/>
          <w:szCs w:val="24"/>
        </w:rPr>
        <w:t xml:space="preserve">In </w:t>
      </w:r>
      <w:r w:rsidRPr="00BB6AA5">
        <w:rPr>
          <w:rFonts w:ascii="Times New Roman" w:hAnsi="Times New Roman" w:cs="Times New Roman"/>
          <w:i/>
          <w:sz w:val="24"/>
          <w:szCs w:val="24"/>
        </w:rPr>
        <w:t>O’Malley</w:t>
      </w:r>
      <w:r w:rsidRPr="00BB6AA5">
        <w:rPr>
          <w:rFonts w:ascii="Times New Roman" w:hAnsi="Times New Roman" w:cs="Times New Roman"/>
          <w:sz w:val="24"/>
          <w:szCs w:val="24"/>
        </w:rPr>
        <w:t>, the</w:t>
      </w:r>
      <w:r w:rsidR="0063756D" w:rsidRPr="00BB6AA5">
        <w:rPr>
          <w:rFonts w:ascii="Times New Roman" w:hAnsi="Times New Roman" w:cs="Times New Roman"/>
          <w:sz w:val="24"/>
          <w:szCs w:val="24"/>
        </w:rPr>
        <w:t xml:space="preserve"> evidential</w:t>
      </w:r>
      <w:r w:rsidRPr="00BB6AA5">
        <w:rPr>
          <w:rFonts w:ascii="Times New Roman" w:hAnsi="Times New Roman" w:cs="Times New Roman"/>
          <w:sz w:val="24"/>
          <w:szCs w:val="24"/>
        </w:rPr>
        <w:t xml:space="preserve"> </w:t>
      </w:r>
      <w:r w:rsidR="003D3343" w:rsidRPr="00BB6AA5">
        <w:rPr>
          <w:rFonts w:ascii="Times New Roman" w:hAnsi="Times New Roman" w:cs="Times New Roman"/>
          <w:sz w:val="24"/>
          <w:szCs w:val="24"/>
        </w:rPr>
        <w:t>gap</w:t>
      </w:r>
      <w:r w:rsidR="0063756D" w:rsidRPr="00BB6AA5">
        <w:rPr>
          <w:rFonts w:ascii="Times New Roman" w:hAnsi="Times New Roman" w:cs="Times New Roman"/>
          <w:sz w:val="24"/>
          <w:szCs w:val="24"/>
        </w:rPr>
        <w:t xml:space="preserve"> identified by the court </w:t>
      </w:r>
      <w:r w:rsidRPr="00BB6AA5">
        <w:rPr>
          <w:rFonts w:ascii="Times New Roman" w:hAnsi="Times New Roman" w:cs="Times New Roman"/>
          <w:sz w:val="24"/>
          <w:szCs w:val="24"/>
        </w:rPr>
        <w:t>did not result in a remittal to plenary hearing, but rather a remittal to the High Court on the basis that the bank could apply to amend its special indorsement</w:t>
      </w:r>
      <w:r w:rsidRPr="00BB6AA5">
        <w:rPr>
          <w:rFonts w:ascii="Times New Roman" w:hAnsi="Times New Roman" w:cs="Times New Roman"/>
          <w:b/>
          <w:sz w:val="24"/>
          <w:szCs w:val="24"/>
        </w:rPr>
        <w:t xml:space="preserve"> </w:t>
      </w:r>
      <w:r w:rsidRPr="00BB6AA5">
        <w:rPr>
          <w:rFonts w:ascii="Times New Roman" w:hAnsi="Times New Roman" w:cs="Times New Roman"/>
          <w:sz w:val="24"/>
          <w:szCs w:val="24"/>
        </w:rPr>
        <w:t>of claim to include such details as</w:t>
      </w:r>
      <w:r w:rsidR="0063756D" w:rsidRPr="00BB6AA5">
        <w:rPr>
          <w:rFonts w:ascii="Times New Roman" w:hAnsi="Times New Roman" w:cs="Times New Roman"/>
          <w:sz w:val="24"/>
          <w:szCs w:val="24"/>
        </w:rPr>
        <w:t xml:space="preserve"> it considered </w:t>
      </w:r>
      <w:r w:rsidRPr="00BB6AA5">
        <w:rPr>
          <w:rFonts w:ascii="Times New Roman" w:hAnsi="Times New Roman" w:cs="Times New Roman"/>
          <w:sz w:val="24"/>
          <w:szCs w:val="24"/>
        </w:rPr>
        <w:t>appropriate</w:t>
      </w:r>
      <w:r w:rsidR="0063756D" w:rsidRPr="00BB6AA5">
        <w:rPr>
          <w:rFonts w:ascii="Times New Roman" w:hAnsi="Times New Roman" w:cs="Times New Roman"/>
          <w:sz w:val="24"/>
          <w:szCs w:val="24"/>
        </w:rPr>
        <w:t xml:space="preserve"> in light of </w:t>
      </w:r>
      <w:r w:rsidR="003D3343" w:rsidRPr="00BB6AA5">
        <w:rPr>
          <w:rFonts w:ascii="Times New Roman" w:hAnsi="Times New Roman" w:cs="Times New Roman"/>
          <w:sz w:val="24"/>
          <w:szCs w:val="24"/>
        </w:rPr>
        <w:t>the court’s</w:t>
      </w:r>
      <w:r w:rsidR="0063756D" w:rsidRPr="00BB6AA5">
        <w:rPr>
          <w:rFonts w:ascii="Times New Roman" w:hAnsi="Times New Roman" w:cs="Times New Roman"/>
          <w:sz w:val="24"/>
          <w:szCs w:val="24"/>
        </w:rPr>
        <w:t xml:space="preserve"> judgment</w:t>
      </w:r>
      <w:r w:rsidR="005A28AF" w:rsidRPr="00BB6AA5">
        <w:rPr>
          <w:rFonts w:ascii="Times New Roman" w:hAnsi="Times New Roman" w:cs="Times New Roman"/>
          <w:sz w:val="24"/>
          <w:szCs w:val="24"/>
        </w:rPr>
        <w:t>.</w:t>
      </w:r>
      <w:r w:rsidRPr="00BB6AA5">
        <w:rPr>
          <w:rFonts w:ascii="Times New Roman" w:hAnsi="Times New Roman" w:cs="Times New Roman"/>
          <w:sz w:val="24"/>
          <w:szCs w:val="24"/>
        </w:rPr>
        <w:t xml:space="preserve">  </w:t>
      </w:r>
    </w:p>
    <w:p w14:paraId="222695DD" w14:textId="4411AD5F" w:rsidR="006E7957" w:rsidRPr="00BB6AA5" w:rsidRDefault="006E7957" w:rsidP="00685C84">
      <w:pPr>
        <w:pStyle w:val="ListParagraph"/>
        <w:numPr>
          <w:ilvl w:val="0"/>
          <w:numId w:val="1"/>
        </w:numPr>
        <w:spacing w:line="480" w:lineRule="auto"/>
        <w:ind w:left="0" w:firstLine="0"/>
        <w:rPr>
          <w:rFonts w:ascii="Times New Roman" w:hAnsi="Times New Roman" w:cs="Times New Roman"/>
          <w:sz w:val="24"/>
          <w:szCs w:val="24"/>
        </w:rPr>
      </w:pPr>
      <w:r w:rsidRPr="00BB6AA5">
        <w:rPr>
          <w:rFonts w:ascii="Times New Roman" w:hAnsi="Times New Roman" w:cs="Times New Roman"/>
          <w:i/>
          <w:sz w:val="24"/>
          <w:szCs w:val="24"/>
        </w:rPr>
        <w:lastRenderedPageBreak/>
        <w:t>O’Malley</w:t>
      </w:r>
      <w:r w:rsidRPr="00BB6AA5">
        <w:rPr>
          <w:rFonts w:ascii="Times New Roman" w:hAnsi="Times New Roman" w:cs="Times New Roman"/>
          <w:sz w:val="24"/>
          <w:szCs w:val="24"/>
        </w:rPr>
        <w:t xml:space="preserve"> is clear that the </w:t>
      </w:r>
      <w:r w:rsidRPr="00BB6AA5">
        <w:rPr>
          <w:rFonts w:ascii="Times New Roman" w:hAnsi="Times New Roman" w:cs="Times New Roman"/>
          <w:i/>
          <w:sz w:val="24"/>
          <w:szCs w:val="24"/>
        </w:rPr>
        <w:t xml:space="preserve">prima facie </w:t>
      </w:r>
      <w:r w:rsidRPr="00BB6AA5">
        <w:rPr>
          <w:rFonts w:ascii="Times New Roman" w:hAnsi="Times New Roman" w:cs="Times New Roman"/>
          <w:sz w:val="24"/>
          <w:szCs w:val="24"/>
        </w:rPr>
        <w:t xml:space="preserve">evidence as to the debt must be adduced by the party seeking it.  Moreover, in </w:t>
      </w:r>
      <w:r w:rsidRPr="00BB6AA5">
        <w:rPr>
          <w:rFonts w:ascii="Times New Roman" w:hAnsi="Times New Roman" w:cs="Times New Roman"/>
          <w:i/>
          <w:sz w:val="24"/>
          <w:szCs w:val="24"/>
        </w:rPr>
        <w:t xml:space="preserve">AIB v. O’Callaghan &amp; anor </w:t>
      </w:r>
      <w:r w:rsidRPr="00BB6AA5">
        <w:rPr>
          <w:rFonts w:ascii="Times New Roman" w:hAnsi="Times New Roman" w:cs="Times New Roman"/>
          <w:sz w:val="24"/>
          <w:szCs w:val="24"/>
        </w:rPr>
        <w:t>[2020] IECA 318, Haughton J. at para. 10 states:</w:t>
      </w:r>
    </w:p>
    <w:p w14:paraId="3977B8D2" w14:textId="7C27D754" w:rsidR="00171115" w:rsidRPr="00BF1296" w:rsidRDefault="006E7957" w:rsidP="00BF1296">
      <w:pPr>
        <w:pStyle w:val="ListParagraph"/>
        <w:spacing w:line="480" w:lineRule="auto"/>
        <w:ind w:left="709"/>
        <w:rPr>
          <w:rFonts w:ascii="Times New Roman" w:hAnsi="Times New Roman" w:cs="Times New Roman"/>
          <w:i/>
          <w:sz w:val="24"/>
          <w:szCs w:val="24"/>
        </w:rPr>
      </w:pPr>
      <w:r w:rsidRPr="00220ED4">
        <w:rPr>
          <w:rFonts w:ascii="Times New Roman" w:hAnsi="Times New Roman" w:cs="Times New Roman"/>
          <w:i/>
          <w:sz w:val="24"/>
          <w:szCs w:val="24"/>
        </w:rPr>
        <w:t>“I pause here to say that had the appellants taken issue in the High Court with the level of particulars furnished in the Summary Summons it is likely that it would have been found wanting in several respects.  In particular it gives no detail as to the earlier lending of which the 2009 Loan Sanction was a renewal; it fails to identify or plead the Terms and Conditions applicable to any of the lending; it refers to “full particulars whereof have been furnished to the defendants” but fails to identify the statements or other documents where these are to be found, and therefore falls short of incorporating Bank statements</w:t>
      </w:r>
      <w:r w:rsidR="00BD3A87">
        <w:rPr>
          <w:rFonts w:ascii="Times New Roman" w:hAnsi="Times New Roman" w:cs="Times New Roman"/>
          <w:i/>
          <w:sz w:val="24"/>
          <w:szCs w:val="24"/>
        </w:rPr>
        <w:t>,</w:t>
      </w:r>
      <w:r w:rsidRPr="00220ED4">
        <w:rPr>
          <w:rFonts w:ascii="Times New Roman" w:hAnsi="Times New Roman" w:cs="Times New Roman"/>
          <w:i/>
          <w:sz w:val="24"/>
          <w:szCs w:val="24"/>
        </w:rPr>
        <w:t xml:space="preserve"> a shortcoming that is not made good by the one page statements exhibited by Mr. McGuinness…Had issue been taken it is more likely than not that the Bank would have been given an opportunity to amend/furnish fuller particulars.”  </w:t>
      </w:r>
    </w:p>
    <w:p w14:paraId="279E885E" w14:textId="5632F683" w:rsidR="00171115" w:rsidRPr="00BF1296" w:rsidRDefault="006E7957" w:rsidP="00BF1296">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3D28DB">
        <w:rPr>
          <w:rFonts w:ascii="Times New Roman" w:hAnsi="Times New Roman" w:cs="Times New Roman"/>
          <w:sz w:val="24"/>
          <w:szCs w:val="24"/>
        </w:rPr>
        <w:t xml:space="preserve">Mr. Doran contends that </w:t>
      </w:r>
      <w:r w:rsidR="00171115">
        <w:rPr>
          <w:rFonts w:ascii="Times New Roman" w:hAnsi="Times New Roman" w:cs="Times New Roman"/>
          <w:sz w:val="24"/>
          <w:szCs w:val="24"/>
        </w:rPr>
        <w:t xml:space="preserve">upon the facts of this </w:t>
      </w:r>
      <w:r w:rsidRPr="003D28DB">
        <w:rPr>
          <w:rFonts w:ascii="Times New Roman" w:hAnsi="Times New Roman" w:cs="Times New Roman"/>
          <w:sz w:val="24"/>
          <w:szCs w:val="24"/>
        </w:rPr>
        <w:t>case there is</w:t>
      </w:r>
      <w:r w:rsidR="0063756D">
        <w:rPr>
          <w:rFonts w:ascii="Times New Roman" w:hAnsi="Times New Roman" w:cs="Times New Roman"/>
          <w:sz w:val="24"/>
          <w:szCs w:val="24"/>
        </w:rPr>
        <w:t xml:space="preserve"> a credible defence which should result in a re</w:t>
      </w:r>
      <w:r w:rsidRPr="003D28DB">
        <w:rPr>
          <w:rFonts w:ascii="Times New Roman" w:hAnsi="Times New Roman" w:cs="Times New Roman"/>
          <w:sz w:val="24"/>
          <w:szCs w:val="24"/>
        </w:rPr>
        <w:t>mittal to plenary hearing</w:t>
      </w:r>
      <w:r w:rsidR="00CA778C">
        <w:rPr>
          <w:rFonts w:ascii="Times New Roman" w:hAnsi="Times New Roman" w:cs="Times New Roman"/>
          <w:sz w:val="24"/>
          <w:szCs w:val="24"/>
        </w:rPr>
        <w:t>.</w:t>
      </w:r>
    </w:p>
    <w:p w14:paraId="508472E2" w14:textId="61B8927D"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Both </w:t>
      </w:r>
      <w:r w:rsidRPr="00220ED4">
        <w:rPr>
          <w:rFonts w:ascii="Times New Roman" w:hAnsi="Times New Roman" w:cs="Times New Roman"/>
          <w:i/>
          <w:sz w:val="24"/>
          <w:szCs w:val="24"/>
        </w:rPr>
        <w:t xml:space="preserve">O’Malley </w:t>
      </w:r>
      <w:r w:rsidRPr="00220ED4">
        <w:rPr>
          <w:rFonts w:ascii="Times New Roman" w:hAnsi="Times New Roman" w:cs="Times New Roman"/>
          <w:sz w:val="24"/>
          <w:szCs w:val="24"/>
        </w:rPr>
        <w:t xml:space="preserve">and </w:t>
      </w:r>
      <w:r w:rsidRPr="00220ED4">
        <w:rPr>
          <w:rFonts w:ascii="Times New Roman" w:hAnsi="Times New Roman" w:cs="Times New Roman"/>
          <w:i/>
          <w:sz w:val="24"/>
          <w:szCs w:val="24"/>
        </w:rPr>
        <w:t xml:space="preserve">McCaughey </w:t>
      </w:r>
      <w:r w:rsidRPr="00220ED4">
        <w:rPr>
          <w:rFonts w:ascii="Times New Roman" w:hAnsi="Times New Roman" w:cs="Times New Roman"/>
          <w:sz w:val="24"/>
          <w:szCs w:val="24"/>
        </w:rPr>
        <w:t>cite</w:t>
      </w:r>
      <w:r w:rsidR="008D5ED3">
        <w:rPr>
          <w:rFonts w:ascii="Times New Roman" w:hAnsi="Times New Roman" w:cs="Times New Roman"/>
          <w:sz w:val="24"/>
          <w:szCs w:val="24"/>
        </w:rPr>
        <w:t>d</w:t>
      </w:r>
      <w:r w:rsidRPr="00220ED4">
        <w:rPr>
          <w:rFonts w:ascii="Times New Roman" w:hAnsi="Times New Roman" w:cs="Times New Roman"/>
          <w:sz w:val="24"/>
          <w:szCs w:val="24"/>
        </w:rPr>
        <w:t xml:space="preserve"> </w:t>
      </w:r>
      <w:r w:rsidRPr="00220ED4">
        <w:rPr>
          <w:rFonts w:ascii="Times New Roman" w:hAnsi="Times New Roman" w:cs="Times New Roman"/>
          <w:i/>
          <w:sz w:val="24"/>
          <w:szCs w:val="24"/>
        </w:rPr>
        <w:t xml:space="preserve">First </w:t>
      </w:r>
      <w:r w:rsidR="00BD3A87">
        <w:rPr>
          <w:rFonts w:ascii="Times New Roman" w:hAnsi="Times New Roman" w:cs="Times New Roman"/>
          <w:i/>
          <w:sz w:val="24"/>
          <w:szCs w:val="24"/>
        </w:rPr>
        <w:t xml:space="preserve">National </w:t>
      </w:r>
      <w:r w:rsidRPr="00220ED4">
        <w:rPr>
          <w:rFonts w:ascii="Times New Roman" w:hAnsi="Times New Roman" w:cs="Times New Roman"/>
          <w:i/>
          <w:sz w:val="24"/>
          <w:szCs w:val="24"/>
        </w:rPr>
        <w:t xml:space="preserve">Commercial Bank plc v. Anglin </w:t>
      </w:r>
      <w:r w:rsidRPr="00220ED4">
        <w:rPr>
          <w:rFonts w:ascii="Times New Roman" w:hAnsi="Times New Roman" w:cs="Times New Roman"/>
          <w:sz w:val="24"/>
          <w:szCs w:val="24"/>
        </w:rPr>
        <w:t xml:space="preserve">[1996] 1 IR 75 [1996] IESC 1 as endorsed in </w:t>
      </w:r>
      <w:r w:rsidRPr="00220ED4">
        <w:rPr>
          <w:rFonts w:ascii="Times New Roman" w:hAnsi="Times New Roman" w:cs="Times New Roman"/>
          <w:i/>
          <w:sz w:val="24"/>
          <w:szCs w:val="24"/>
        </w:rPr>
        <w:t xml:space="preserve">Aer Rianta CPT v. Ryanair Limited </w:t>
      </w:r>
      <w:r w:rsidRPr="00220ED4">
        <w:rPr>
          <w:rFonts w:ascii="Times New Roman" w:hAnsi="Times New Roman" w:cs="Times New Roman"/>
          <w:sz w:val="24"/>
          <w:szCs w:val="24"/>
        </w:rPr>
        <w:t xml:space="preserve">[2001] 4 IR 607, [2001] IESC 94, quoting the statement by Hardiman J. within </w:t>
      </w:r>
      <w:r w:rsidRPr="00220ED4">
        <w:rPr>
          <w:rFonts w:ascii="Times New Roman" w:hAnsi="Times New Roman" w:cs="Times New Roman"/>
          <w:i/>
          <w:sz w:val="24"/>
          <w:szCs w:val="24"/>
        </w:rPr>
        <w:t>Aer Rianta (</w:t>
      </w:r>
      <w:r w:rsidRPr="00220ED4">
        <w:rPr>
          <w:rFonts w:ascii="Times New Roman" w:hAnsi="Times New Roman" w:cs="Times New Roman"/>
          <w:sz w:val="24"/>
          <w:szCs w:val="24"/>
        </w:rPr>
        <w:t>p. 627) as follows:</w:t>
      </w:r>
    </w:p>
    <w:p w14:paraId="0438222B" w14:textId="00D8B0A3" w:rsidR="006E7957" w:rsidRPr="00220ED4" w:rsidRDefault="006E7957" w:rsidP="006E7957">
      <w:pPr>
        <w:pStyle w:val="ListParagraph"/>
        <w:tabs>
          <w:tab w:val="left" w:pos="567"/>
        </w:tabs>
        <w:spacing w:line="480" w:lineRule="auto"/>
        <w:ind w:left="567"/>
        <w:rPr>
          <w:rFonts w:ascii="Times New Roman" w:hAnsi="Times New Roman" w:cs="Times New Roman"/>
          <w:bCs/>
          <w:i/>
          <w:iCs/>
          <w:sz w:val="24"/>
          <w:szCs w:val="24"/>
        </w:rPr>
      </w:pPr>
      <w:r w:rsidRPr="00220ED4">
        <w:rPr>
          <w:rFonts w:ascii="Times New Roman" w:hAnsi="Times New Roman" w:cs="Times New Roman"/>
          <w:bCs/>
          <w:i/>
          <w:iCs/>
          <w:sz w:val="24"/>
          <w:szCs w:val="24"/>
        </w:rPr>
        <w:t xml:space="preserve">“… the fundamental questions to be posed on an application such as this remain: is it “very clear” that the defendant has no case?; is there either no issue to be tried or only issues which are simple and easily determined?; do the Defendant's affidavits fail to disclose even an arguable defence?”  </w:t>
      </w:r>
    </w:p>
    <w:p w14:paraId="78838BD5" w14:textId="53C5D4D8" w:rsidR="006E7957" w:rsidRPr="00220ED4" w:rsidRDefault="006E7957" w:rsidP="006E7957">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lastRenderedPageBreak/>
        <w:t xml:space="preserve">In </w:t>
      </w:r>
      <w:r w:rsidRPr="00220ED4">
        <w:rPr>
          <w:rFonts w:ascii="Times New Roman" w:hAnsi="Times New Roman" w:cs="Times New Roman"/>
          <w:i/>
          <w:iCs/>
          <w:sz w:val="24"/>
          <w:szCs w:val="24"/>
        </w:rPr>
        <w:t>McCaughey</w:t>
      </w:r>
      <w:r w:rsidRPr="00220ED4">
        <w:rPr>
          <w:rFonts w:ascii="Times New Roman" w:hAnsi="Times New Roman" w:cs="Times New Roman"/>
          <w:b/>
          <w:i/>
          <w:iCs/>
          <w:sz w:val="24"/>
          <w:szCs w:val="24"/>
        </w:rPr>
        <w:t>,</w:t>
      </w:r>
      <w:r w:rsidRPr="00220ED4">
        <w:rPr>
          <w:rFonts w:ascii="Times New Roman" w:hAnsi="Times New Roman" w:cs="Times New Roman"/>
          <w:sz w:val="24"/>
          <w:szCs w:val="24"/>
        </w:rPr>
        <w:t xml:space="preserve"> Clarke J. (as he then was) was mindful that, as noted by Finlay Geoghegan J. in </w:t>
      </w:r>
      <w:r w:rsidRPr="00220ED4">
        <w:rPr>
          <w:rFonts w:ascii="Times New Roman" w:hAnsi="Times New Roman" w:cs="Times New Roman"/>
          <w:i/>
          <w:iCs/>
          <w:sz w:val="24"/>
          <w:szCs w:val="24"/>
        </w:rPr>
        <w:t>Bank of Ireland v. Walsh</w:t>
      </w:r>
      <w:r w:rsidRPr="00220ED4">
        <w:rPr>
          <w:rFonts w:ascii="Times New Roman" w:hAnsi="Times New Roman" w:cs="Times New Roman"/>
          <w:sz w:val="24"/>
          <w:szCs w:val="24"/>
        </w:rPr>
        <w:t xml:space="preserve"> [2009] IEHC 220, the use of the term “credible” in relation to a defence has</w:t>
      </w:r>
      <w:r w:rsidR="001B7319">
        <w:rPr>
          <w:rFonts w:ascii="Times New Roman" w:hAnsi="Times New Roman" w:cs="Times New Roman"/>
          <w:sz w:val="24"/>
          <w:szCs w:val="24"/>
        </w:rPr>
        <w:t xml:space="preserve"> </w:t>
      </w:r>
      <w:r w:rsidRPr="00220ED4">
        <w:rPr>
          <w:rFonts w:ascii="Times New Roman" w:hAnsi="Times New Roman" w:cs="Times New Roman"/>
          <w:sz w:val="24"/>
          <w:szCs w:val="24"/>
        </w:rPr>
        <w:t>a very narrow meaning.</w:t>
      </w:r>
    </w:p>
    <w:p w14:paraId="2715AF07" w14:textId="612F65AD" w:rsidR="00E16DAB" w:rsidRPr="00220ED4" w:rsidRDefault="006E7957" w:rsidP="003C2195">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In determining whether</w:t>
      </w:r>
      <w:r w:rsidR="0016408B" w:rsidRPr="00220ED4">
        <w:rPr>
          <w:rFonts w:ascii="Times New Roman" w:hAnsi="Times New Roman" w:cs="Times New Roman"/>
          <w:sz w:val="24"/>
          <w:szCs w:val="24"/>
        </w:rPr>
        <w:t xml:space="preserve"> </w:t>
      </w:r>
      <w:r w:rsidRPr="00220ED4">
        <w:rPr>
          <w:rFonts w:ascii="Times New Roman" w:hAnsi="Times New Roman" w:cs="Times New Roman"/>
          <w:sz w:val="24"/>
          <w:szCs w:val="24"/>
        </w:rPr>
        <w:t xml:space="preserve">a credible defence exists, </w:t>
      </w:r>
      <w:r w:rsidR="001B7319">
        <w:rPr>
          <w:rFonts w:ascii="Times New Roman" w:hAnsi="Times New Roman" w:cs="Times New Roman"/>
          <w:sz w:val="24"/>
          <w:szCs w:val="24"/>
        </w:rPr>
        <w:t xml:space="preserve">in summary judgment proceedings, </w:t>
      </w:r>
      <w:r w:rsidRPr="00220ED4">
        <w:rPr>
          <w:rFonts w:ascii="Times New Roman" w:hAnsi="Times New Roman" w:cs="Times New Roman"/>
          <w:sz w:val="24"/>
          <w:szCs w:val="24"/>
        </w:rPr>
        <w:t xml:space="preserve">it is a relatively low bar that must be satisfied.  As </w:t>
      </w:r>
      <w:r w:rsidR="00E32ED9" w:rsidRPr="00220ED4">
        <w:rPr>
          <w:rFonts w:ascii="Times New Roman" w:hAnsi="Times New Roman" w:cs="Times New Roman"/>
          <w:sz w:val="24"/>
          <w:szCs w:val="24"/>
        </w:rPr>
        <w:t xml:space="preserve">stated </w:t>
      </w:r>
      <w:r w:rsidRPr="00220ED4">
        <w:rPr>
          <w:rFonts w:ascii="Times New Roman" w:hAnsi="Times New Roman" w:cs="Times New Roman"/>
          <w:sz w:val="24"/>
          <w:szCs w:val="24"/>
        </w:rPr>
        <w:t xml:space="preserve">by Collins J. in </w:t>
      </w:r>
      <w:r w:rsidRPr="00220ED4">
        <w:rPr>
          <w:rFonts w:ascii="Times New Roman" w:hAnsi="Times New Roman" w:cs="Times New Roman"/>
          <w:i/>
          <w:sz w:val="24"/>
          <w:szCs w:val="24"/>
        </w:rPr>
        <w:t xml:space="preserve">Allied Irish Banks plc v. Cuddy </w:t>
      </w:r>
      <w:r w:rsidRPr="00220ED4">
        <w:rPr>
          <w:rFonts w:ascii="Times New Roman" w:hAnsi="Times New Roman" w:cs="Times New Roman"/>
          <w:sz w:val="24"/>
          <w:szCs w:val="24"/>
        </w:rPr>
        <w:t>[2020] IECA 211:</w:t>
      </w:r>
    </w:p>
    <w:p w14:paraId="5C1CAA5D" w14:textId="77777777" w:rsidR="00E16DAB" w:rsidRPr="00220ED4" w:rsidRDefault="00E16DAB" w:rsidP="00E16DAB">
      <w:pPr>
        <w:pStyle w:val="ListParagraph"/>
        <w:tabs>
          <w:tab w:val="left" w:pos="567"/>
        </w:tabs>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ab/>
      </w:r>
      <w:r w:rsidR="006E7957" w:rsidRPr="00220ED4">
        <w:rPr>
          <w:rFonts w:ascii="Times New Roman" w:hAnsi="Times New Roman" w:cs="Times New Roman"/>
          <w:i/>
          <w:sz w:val="24"/>
          <w:szCs w:val="24"/>
        </w:rPr>
        <w:t>“67. The relevant test is not, at this stage, one of “cogent evidence” and/or “written evidence”.  It is, rather, whether “credible” evidence is before the Court in the particular sense indicated in the authorities. That is not to suggest that the absence of such documentary evidence is irrelevant; it may be a factor, and an important factor, in assessing the credibility of a defence but absence of documentary evidence does not necessarily require that the court refuse leave to defend.</w:t>
      </w:r>
    </w:p>
    <w:p w14:paraId="3FDBC93F" w14:textId="77777777" w:rsidR="00E16DAB" w:rsidRPr="00220ED4" w:rsidRDefault="006E7957" w:rsidP="00E16DAB">
      <w:pPr>
        <w:pStyle w:val="ListParagraph"/>
        <w:tabs>
          <w:tab w:val="left" w:pos="567"/>
        </w:tabs>
        <w:spacing w:line="480" w:lineRule="auto"/>
        <w:ind w:left="567"/>
        <w:rPr>
          <w:rFonts w:ascii="Times New Roman" w:hAnsi="Times New Roman" w:cs="Times New Roman"/>
          <w:i/>
          <w:sz w:val="24"/>
          <w:szCs w:val="24"/>
        </w:rPr>
      </w:pPr>
      <w:r w:rsidRPr="00220ED4">
        <w:rPr>
          <w:rFonts w:ascii="Times New Roman" w:hAnsi="Times New Roman" w:cs="Times New Roman"/>
          <w:i/>
          <w:sz w:val="24"/>
          <w:szCs w:val="24"/>
        </w:rPr>
        <w:t xml:space="preserve">68.  In addressing that test, it is evident from the authorities that mere “assertion” is not sufficient. Where precisely the line between credible evidence and mere assertion is to be drawn cannot, I think, be delineated a priori. Rather, a case-by-case assessment has to be made to decide on which side of the line any given case properly falls. </w:t>
      </w:r>
    </w:p>
    <w:p w14:paraId="5055693E" w14:textId="55BB1264" w:rsidR="006E7957" w:rsidRDefault="006E7957" w:rsidP="00E16DAB">
      <w:pPr>
        <w:pStyle w:val="ListParagraph"/>
        <w:tabs>
          <w:tab w:val="left" w:pos="567"/>
        </w:tabs>
        <w:spacing w:line="480" w:lineRule="auto"/>
        <w:ind w:left="567"/>
        <w:rPr>
          <w:rFonts w:ascii="Times New Roman" w:hAnsi="Times New Roman" w:cs="Times New Roman"/>
          <w:sz w:val="24"/>
          <w:szCs w:val="24"/>
        </w:rPr>
      </w:pPr>
      <w:r w:rsidRPr="00220ED4">
        <w:rPr>
          <w:rFonts w:ascii="Times New Roman" w:hAnsi="Times New Roman" w:cs="Times New Roman"/>
          <w:i/>
          <w:sz w:val="24"/>
          <w:szCs w:val="24"/>
        </w:rPr>
        <w:t xml:space="preserve"> 69.  Ultimately, what the Court must ask itself is whether it</w:t>
      </w:r>
      <w:r w:rsidR="00BD3A87">
        <w:rPr>
          <w:rFonts w:ascii="Times New Roman" w:hAnsi="Times New Roman" w:cs="Times New Roman"/>
          <w:i/>
          <w:sz w:val="24"/>
          <w:szCs w:val="24"/>
        </w:rPr>
        <w:t xml:space="preserve"> is</w:t>
      </w:r>
      <w:r w:rsidRPr="00220ED4">
        <w:rPr>
          <w:rFonts w:ascii="Times New Roman" w:hAnsi="Times New Roman" w:cs="Times New Roman"/>
          <w:i/>
          <w:sz w:val="24"/>
          <w:szCs w:val="24"/>
        </w:rPr>
        <w:t xml:space="preserve"> “very clear” that there is no defence disclosed on the material before it.”</w:t>
      </w:r>
      <w:r w:rsidRPr="00220ED4">
        <w:rPr>
          <w:rFonts w:ascii="Times New Roman" w:hAnsi="Times New Roman" w:cs="Times New Roman"/>
          <w:sz w:val="24"/>
          <w:szCs w:val="24"/>
        </w:rPr>
        <w:t xml:space="preserve"> </w:t>
      </w:r>
    </w:p>
    <w:p w14:paraId="0C02E575" w14:textId="77777777" w:rsidR="00BF1296" w:rsidRDefault="00BF1296" w:rsidP="00685C84">
      <w:pPr>
        <w:tabs>
          <w:tab w:val="left" w:pos="567"/>
        </w:tabs>
        <w:spacing w:line="480" w:lineRule="auto"/>
        <w:rPr>
          <w:rFonts w:ascii="Times New Roman" w:hAnsi="Times New Roman" w:cs="Times New Roman"/>
          <w:b/>
          <w:sz w:val="24"/>
          <w:szCs w:val="24"/>
          <w:u w:val="single"/>
        </w:rPr>
      </w:pPr>
    </w:p>
    <w:p w14:paraId="6DE5D0EC" w14:textId="662964CF" w:rsidR="00C24C25" w:rsidRDefault="00C24C25" w:rsidP="00685C84">
      <w:pPr>
        <w:tabs>
          <w:tab w:val="left" w:pos="567"/>
        </w:tabs>
        <w:spacing w:line="480" w:lineRule="auto"/>
        <w:rPr>
          <w:rFonts w:ascii="Times New Roman" w:hAnsi="Times New Roman" w:cs="Times New Roman"/>
          <w:b/>
          <w:sz w:val="24"/>
          <w:szCs w:val="24"/>
          <w:u w:val="single"/>
        </w:rPr>
      </w:pPr>
      <w:r w:rsidRPr="00685C84">
        <w:rPr>
          <w:rFonts w:ascii="Times New Roman" w:hAnsi="Times New Roman" w:cs="Times New Roman"/>
          <w:b/>
          <w:sz w:val="24"/>
          <w:szCs w:val="24"/>
          <w:u w:val="single"/>
        </w:rPr>
        <w:t>Issues</w:t>
      </w:r>
    </w:p>
    <w:p w14:paraId="5D0D58F3" w14:textId="77777777" w:rsidR="00BF1296" w:rsidRPr="00685C84" w:rsidRDefault="00BF1296" w:rsidP="00685C84">
      <w:pPr>
        <w:tabs>
          <w:tab w:val="left" w:pos="567"/>
        </w:tabs>
        <w:spacing w:line="480" w:lineRule="auto"/>
        <w:rPr>
          <w:rFonts w:ascii="Times New Roman" w:hAnsi="Times New Roman" w:cs="Times New Roman"/>
          <w:b/>
          <w:sz w:val="24"/>
          <w:szCs w:val="24"/>
          <w:u w:val="single"/>
        </w:rPr>
      </w:pPr>
    </w:p>
    <w:p w14:paraId="61ED0B4B" w14:textId="6B5251AD" w:rsidR="00CA778C" w:rsidRPr="009B09AF" w:rsidRDefault="00CA778C" w:rsidP="009B09AF">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9B09AF">
        <w:rPr>
          <w:rFonts w:ascii="Times New Roman" w:hAnsi="Times New Roman" w:cs="Times New Roman"/>
          <w:sz w:val="24"/>
          <w:szCs w:val="24"/>
        </w:rPr>
        <w:t>In considering whether there is any credible defence to th</w:t>
      </w:r>
      <w:r w:rsidR="006A6F2D">
        <w:rPr>
          <w:rFonts w:ascii="Times New Roman" w:hAnsi="Times New Roman" w:cs="Times New Roman"/>
          <w:sz w:val="24"/>
          <w:szCs w:val="24"/>
        </w:rPr>
        <w:t>is</w:t>
      </w:r>
      <w:r w:rsidRPr="009B09AF">
        <w:rPr>
          <w:rFonts w:ascii="Times New Roman" w:hAnsi="Times New Roman" w:cs="Times New Roman"/>
          <w:sz w:val="24"/>
          <w:szCs w:val="24"/>
        </w:rPr>
        <w:t xml:space="preserve"> summary judgment claim, </w:t>
      </w:r>
      <w:r w:rsidR="009B09AF" w:rsidRPr="009B09AF">
        <w:rPr>
          <w:rFonts w:ascii="Times New Roman" w:hAnsi="Times New Roman" w:cs="Times New Roman"/>
          <w:sz w:val="24"/>
          <w:szCs w:val="24"/>
        </w:rPr>
        <w:t>it is clear that th</w:t>
      </w:r>
      <w:r w:rsidR="001B7319">
        <w:rPr>
          <w:rFonts w:ascii="Times New Roman" w:hAnsi="Times New Roman" w:cs="Times New Roman"/>
          <w:sz w:val="24"/>
          <w:szCs w:val="24"/>
        </w:rPr>
        <w:t>e</w:t>
      </w:r>
      <w:r w:rsidR="009B09AF" w:rsidRPr="009B09AF">
        <w:rPr>
          <w:rFonts w:ascii="Times New Roman" w:hAnsi="Times New Roman" w:cs="Times New Roman"/>
          <w:sz w:val="24"/>
          <w:szCs w:val="24"/>
        </w:rPr>
        <w:t xml:space="preserve"> defence relates solely to</w:t>
      </w:r>
      <w:r w:rsidR="006A6F2D">
        <w:rPr>
          <w:rFonts w:ascii="Times New Roman" w:hAnsi="Times New Roman" w:cs="Times New Roman"/>
          <w:sz w:val="24"/>
          <w:szCs w:val="24"/>
        </w:rPr>
        <w:t xml:space="preserve"> Mr</w:t>
      </w:r>
      <w:r w:rsidR="00E84FA4">
        <w:rPr>
          <w:rFonts w:ascii="Times New Roman" w:hAnsi="Times New Roman" w:cs="Times New Roman"/>
          <w:sz w:val="24"/>
          <w:szCs w:val="24"/>
        </w:rPr>
        <w:t>.</w:t>
      </w:r>
      <w:r w:rsidR="006A6F2D">
        <w:rPr>
          <w:rFonts w:ascii="Times New Roman" w:hAnsi="Times New Roman" w:cs="Times New Roman"/>
          <w:sz w:val="24"/>
          <w:szCs w:val="24"/>
        </w:rPr>
        <w:t xml:space="preserve"> Doran’s</w:t>
      </w:r>
      <w:r w:rsidR="009B09AF" w:rsidRPr="009B09AF">
        <w:rPr>
          <w:rFonts w:ascii="Times New Roman" w:hAnsi="Times New Roman" w:cs="Times New Roman"/>
          <w:sz w:val="24"/>
          <w:szCs w:val="24"/>
        </w:rPr>
        <w:t xml:space="preserve"> contention</w:t>
      </w:r>
      <w:r w:rsidR="006A6F2D">
        <w:rPr>
          <w:rFonts w:ascii="Times New Roman" w:hAnsi="Times New Roman" w:cs="Times New Roman"/>
          <w:sz w:val="24"/>
          <w:szCs w:val="24"/>
        </w:rPr>
        <w:t xml:space="preserve"> that</w:t>
      </w:r>
      <w:r w:rsidR="009B09AF" w:rsidRPr="009B09AF">
        <w:rPr>
          <w:rFonts w:ascii="Times New Roman" w:hAnsi="Times New Roman" w:cs="Times New Roman"/>
          <w:sz w:val="24"/>
          <w:szCs w:val="24"/>
        </w:rPr>
        <w:t xml:space="preserve"> the signature to the 2010 </w:t>
      </w:r>
      <w:r w:rsidR="00950BB2">
        <w:rPr>
          <w:rFonts w:ascii="Times New Roman" w:hAnsi="Times New Roman" w:cs="Times New Roman"/>
          <w:sz w:val="24"/>
          <w:szCs w:val="24"/>
        </w:rPr>
        <w:t>f</w:t>
      </w:r>
      <w:r w:rsidR="009B09AF" w:rsidRPr="009B09AF">
        <w:rPr>
          <w:rFonts w:ascii="Times New Roman" w:hAnsi="Times New Roman" w:cs="Times New Roman"/>
          <w:sz w:val="24"/>
          <w:szCs w:val="24"/>
        </w:rPr>
        <w:t xml:space="preserve">acility </w:t>
      </w:r>
      <w:r w:rsidR="00950BB2">
        <w:rPr>
          <w:rFonts w:ascii="Times New Roman" w:hAnsi="Times New Roman" w:cs="Times New Roman"/>
          <w:sz w:val="24"/>
          <w:szCs w:val="24"/>
        </w:rPr>
        <w:t>l</w:t>
      </w:r>
      <w:r w:rsidR="009B09AF" w:rsidRPr="009B09AF">
        <w:rPr>
          <w:rFonts w:ascii="Times New Roman" w:hAnsi="Times New Roman" w:cs="Times New Roman"/>
          <w:sz w:val="24"/>
          <w:szCs w:val="24"/>
        </w:rPr>
        <w:t>etter is a forgery and that</w:t>
      </w:r>
      <w:r w:rsidR="00CF494C">
        <w:rPr>
          <w:rFonts w:ascii="Times New Roman" w:hAnsi="Times New Roman" w:cs="Times New Roman"/>
          <w:sz w:val="24"/>
          <w:szCs w:val="24"/>
        </w:rPr>
        <w:t>,</w:t>
      </w:r>
      <w:r w:rsidR="009B09AF" w:rsidRPr="009B09AF">
        <w:rPr>
          <w:rFonts w:ascii="Times New Roman" w:hAnsi="Times New Roman" w:cs="Times New Roman"/>
          <w:sz w:val="24"/>
          <w:szCs w:val="24"/>
        </w:rPr>
        <w:t xml:space="preserve"> arising from this</w:t>
      </w:r>
      <w:r w:rsidR="00CF494C">
        <w:rPr>
          <w:rFonts w:ascii="Times New Roman" w:hAnsi="Times New Roman" w:cs="Times New Roman"/>
          <w:sz w:val="24"/>
          <w:szCs w:val="24"/>
        </w:rPr>
        <w:t>,</w:t>
      </w:r>
      <w:r w:rsidR="006A6F2D">
        <w:rPr>
          <w:rFonts w:ascii="Times New Roman" w:hAnsi="Times New Roman" w:cs="Times New Roman"/>
          <w:sz w:val="24"/>
          <w:szCs w:val="24"/>
        </w:rPr>
        <w:t xml:space="preserve"> he </w:t>
      </w:r>
      <w:r w:rsidR="009B09AF" w:rsidRPr="009B09AF">
        <w:rPr>
          <w:rFonts w:ascii="Times New Roman" w:hAnsi="Times New Roman" w:cs="Times New Roman"/>
          <w:sz w:val="24"/>
          <w:szCs w:val="24"/>
        </w:rPr>
        <w:t xml:space="preserve">is not bound by its terms.  It has been </w:t>
      </w:r>
      <w:r w:rsidR="009B09AF" w:rsidRPr="009B09AF">
        <w:rPr>
          <w:rFonts w:ascii="Times New Roman" w:hAnsi="Times New Roman" w:cs="Times New Roman"/>
          <w:sz w:val="24"/>
          <w:szCs w:val="24"/>
        </w:rPr>
        <w:lastRenderedPageBreak/>
        <w:t>said against Mr. Doran by counsel for the</w:t>
      </w:r>
      <w:r w:rsidR="009B09AF" w:rsidRPr="009B09AF">
        <w:rPr>
          <w:rFonts w:ascii="Times New Roman" w:hAnsi="Times New Roman" w:cs="Times New Roman"/>
          <w:b/>
          <w:sz w:val="24"/>
          <w:szCs w:val="24"/>
        </w:rPr>
        <w:t xml:space="preserve"> </w:t>
      </w:r>
      <w:r w:rsidR="009B09AF" w:rsidRPr="009B09AF">
        <w:rPr>
          <w:rFonts w:ascii="Times New Roman" w:hAnsi="Times New Roman" w:cs="Times New Roman"/>
          <w:sz w:val="24"/>
          <w:szCs w:val="24"/>
        </w:rPr>
        <w:t>Bank</w:t>
      </w:r>
      <w:r w:rsidR="009B09AF" w:rsidRPr="009B09AF">
        <w:rPr>
          <w:rFonts w:ascii="Times New Roman" w:hAnsi="Times New Roman" w:cs="Times New Roman"/>
          <w:b/>
          <w:sz w:val="24"/>
          <w:szCs w:val="24"/>
        </w:rPr>
        <w:t xml:space="preserve"> </w:t>
      </w:r>
      <w:r w:rsidR="009B09AF" w:rsidRPr="009B09AF">
        <w:rPr>
          <w:rFonts w:ascii="Times New Roman" w:hAnsi="Times New Roman" w:cs="Times New Roman"/>
          <w:sz w:val="24"/>
          <w:szCs w:val="24"/>
        </w:rPr>
        <w:t xml:space="preserve">that it was only when the letter from his solicitor (Whelehan &amp; Co.) </w:t>
      </w:r>
      <w:r w:rsidR="00CF494C">
        <w:rPr>
          <w:rFonts w:ascii="Times New Roman" w:hAnsi="Times New Roman" w:cs="Times New Roman"/>
          <w:sz w:val="24"/>
          <w:szCs w:val="24"/>
        </w:rPr>
        <w:t>made</w:t>
      </w:r>
      <w:r w:rsidR="00CF494C" w:rsidRPr="009B09AF">
        <w:rPr>
          <w:rFonts w:ascii="Times New Roman" w:hAnsi="Times New Roman" w:cs="Times New Roman"/>
          <w:sz w:val="24"/>
          <w:szCs w:val="24"/>
        </w:rPr>
        <w:t xml:space="preserve"> </w:t>
      </w:r>
      <w:r w:rsidR="009B09AF" w:rsidRPr="009B09AF">
        <w:rPr>
          <w:rFonts w:ascii="Times New Roman" w:hAnsi="Times New Roman" w:cs="Times New Roman"/>
          <w:sz w:val="24"/>
          <w:szCs w:val="24"/>
        </w:rPr>
        <w:t xml:space="preserve">clear that monies were advanced pursuant to a 2007 Facility Letter that he restricted his possible defence to the 2010 letter of sanction. </w:t>
      </w:r>
      <w:r w:rsidRPr="009B09AF">
        <w:rPr>
          <w:rFonts w:ascii="Times New Roman" w:hAnsi="Times New Roman" w:cs="Times New Roman"/>
          <w:sz w:val="24"/>
          <w:szCs w:val="24"/>
        </w:rPr>
        <w:t xml:space="preserve"> </w:t>
      </w:r>
      <w:r w:rsidR="00923814">
        <w:rPr>
          <w:rFonts w:ascii="Times New Roman" w:hAnsi="Times New Roman" w:cs="Times New Roman"/>
          <w:sz w:val="24"/>
          <w:szCs w:val="24"/>
        </w:rPr>
        <w:t>Certainly,</w:t>
      </w:r>
      <w:r w:rsidR="001B7319">
        <w:rPr>
          <w:rFonts w:ascii="Times New Roman" w:hAnsi="Times New Roman" w:cs="Times New Roman"/>
          <w:sz w:val="24"/>
          <w:szCs w:val="24"/>
        </w:rPr>
        <w:t xml:space="preserve"> Mr</w:t>
      </w:r>
      <w:r w:rsidR="00E84FA4">
        <w:rPr>
          <w:rFonts w:ascii="Times New Roman" w:hAnsi="Times New Roman" w:cs="Times New Roman"/>
          <w:sz w:val="24"/>
          <w:szCs w:val="24"/>
        </w:rPr>
        <w:t>.</w:t>
      </w:r>
      <w:r w:rsidR="001B7319">
        <w:rPr>
          <w:rFonts w:ascii="Times New Roman" w:hAnsi="Times New Roman" w:cs="Times New Roman"/>
          <w:sz w:val="24"/>
          <w:szCs w:val="24"/>
        </w:rPr>
        <w:t xml:space="preserve"> Doran’s initial replying affidavit</w:t>
      </w:r>
      <w:r w:rsidR="00EA6896">
        <w:rPr>
          <w:rFonts w:ascii="Times New Roman" w:hAnsi="Times New Roman" w:cs="Times New Roman"/>
          <w:sz w:val="24"/>
          <w:szCs w:val="24"/>
        </w:rPr>
        <w:t xml:space="preserve"> of 22 March 2017</w:t>
      </w:r>
      <w:r w:rsidR="001B7319">
        <w:rPr>
          <w:rFonts w:ascii="Times New Roman" w:hAnsi="Times New Roman" w:cs="Times New Roman"/>
          <w:sz w:val="24"/>
          <w:szCs w:val="24"/>
        </w:rPr>
        <w:t xml:space="preserve"> was very general in his averments that he</w:t>
      </w:r>
      <w:r w:rsidR="00C621E5">
        <w:rPr>
          <w:rFonts w:ascii="Times New Roman" w:hAnsi="Times New Roman" w:cs="Times New Roman"/>
          <w:sz w:val="24"/>
          <w:szCs w:val="24"/>
        </w:rPr>
        <w:t xml:space="preserve"> does not owe the money and that he never signed the letter of sanction</w:t>
      </w:r>
      <w:r w:rsidR="00877F52">
        <w:rPr>
          <w:rFonts w:ascii="Times New Roman" w:hAnsi="Times New Roman" w:cs="Times New Roman"/>
          <w:sz w:val="24"/>
          <w:szCs w:val="24"/>
        </w:rPr>
        <w:t xml:space="preserve"> (date unspecified)</w:t>
      </w:r>
      <w:r w:rsidR="00C621E5">
        <w:rPr>
          <w:rFonts w:ascii="Times New Roman" w:hAnsi="Times New Roman" w:cs="Times New Roman"/>
          <w:sz w:val="24"/>
          <w:szCs w:val="24"/>
        </w:rPr>
        <w:t xml:space="preserve">.  </w:t>
      </w:r>
    </w:p>
    <w:p w14:paraId="5DD73627" w14:textId="7DFF7450" w:rsidR="00CA778C" w:rsidRPr="00220ED4" w:rsidRDefault="00CA778C" w:rsidP="00CA778C">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20ED4">
        <w:rPr>
          <w:rFonts w:ascii="Times New Roman" w:hAnsi="Times New Roman" w:cs="Times New Roman"/>
          <w:sz w:val="24"/>
          <w:szCs w:val="24"/>
        </w:rPr>
        <w:t xml:space="preserve"> Mr. Doran says that he will require a remittal to plenary hearing to</w:t>
      </w:r>
      <w:r w:rsidR="009B09AF">
        <w:rPr>
          <w:rFonts w:ascii="Times New Roman" w:hAnsi="Times New Roman" w:cs="Times New Roman"/>
          <w:sz w:val="24"/>
          <w:szCs w:val="24"/>
        </w:rPr>
        <w:t xml:space="preserve"> seek discovery</w:t>
      </w:r>
      <w:r w:rsidR="00923814">
        <w:rPr>
          <w:rFonts w:ascii="Times New Roman" w:hAnsi="Times New Roman" w:cs="Times New Roman"/>
          <w:sz w:val="24"/>
          <w:szCs w:val="24"/>
        </w:rPr>
        <w:t>, in particular</w:t>
      </w:r>
      <w:r w:rsidR="00CF494C">
        <w:rPr>
          <w:rFonts w:ascii="Times New Roman" w:hAnsi="Times New Roman" w:cs="Times New Roman"/>
          <w:sz w:val="24"/>
          <w:szCs w:val="24"/>
        </w:rPr>
        <w:t>,</w:t>
      </w:r>
      <w:r w:rsidR="009B09AF">
        <w:rPr>
          <w:rFonts w:ascii="Times New Roman" w:hAnsi="Times New Roman" w:cs="Times New Roman"/>
          <w:sz w:val="24"/>
          <w:szCs w:val="24"/>
        </w:rPr>
        <w:t xml:space="preserve"> to</w:t>
      </w:r>
      <w:r w:rsidR="00D94595">
        <w:rPr>
          <w:rFonts w:ascii="Times New Roman" w:hAnsi="Times New Roman" w:cs="Times New Roman"/>
          <w:sz w:val="24"/>
          <w:szCs w:val="24"/>
        </w:rPr>
        <w:t xml:space="preserve"> further enquire into</w:t>
      </w:r>
      <w:r w:rsidRPr="00220ED4">
        <w:rPr>
          <w:rFonts w:ascii="Times New Roman" w:hAnsi="Times New Roman" w:cs="Times New Roman"/>
          <w:sz w:val="24"/>
          <w:szCs w:val="24"/>
        </w:rPr>
        <w:t xml:space="preserve"> </w:t>
      </w:r>
      <w:r w:rsidR="00D94595">
        <w:rPr>
          <w:rFonts w:ascii="Times New Roman" w:hAnsi="Times New Roman" w:cs="Times New Roman"/>
          <w:sz w:val="24"/>
          <w:szCs w:val="24"/>
        </w:rPr>
        <w:t>the</w:t>
      </w:r>
      <w:r w:rsidR="00923814">
        <w:rPr>
          <w:rFonts w:ascii="Times New Roman" w:hAnsi="Times New Roman" w:cs="Times New Roman"/>
          <w:sz w:val="24"/>
          <w:szCs w:val="24"/>
        </w:rPr>
        <w:t xml:space="preserve"> circumstances surrounding the</w:t>
      </w:r>
      <w:r w:rsidR="00CC0F96">
        <w:rPr>
          <w:rFonts w:ascii="Times New Roman" w:hAnsi="Times New Roman" w:cs="Times New Roman"/>
          <w:sz w:val="24"/>
          <w:szCs w:val="24"/>
        </w:rPr>
        <w:t xml:space="preserve"> execution of the</w:t>
      </w:r>
      <w:r w:rsidRPr="00220ED4">
        <w:rPr>
          <w:rFonts w:ascii="Times New Roman" w:hAnsi="Times New Roman" w:cs="Times New Roman"/>
          <w:sz w:val="24"/>
          <w:szCs w:val="24"/>
        </w:rPr>
        <w:t xml:space="preserve"> 2010 letter of sanction.  </w:t>
      </w:r>
    </w:p>
    <w:p w14:paraId="60B992EE" w14:textId="107B89CC" w:rsidR="009B09AF" w:rsidRPr="009B09AF" w:rsidRDefault="00CA778C" w:rsidP="009B09AF">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As Burns J. points out in her judgment,</w:t>
      </w:r>
      <w:r w:rsidRPr="00220ED4">
        <w:rPr>
          <w:rFonts w:ascii="Times New Roman" w:hAnsi="Times New Roman" w:cs="Times New Roman"/>
          <w:sz w:val="24"/>
          <w:szCs w:val="24"/>
        </w:rPr>
        <w:t xml:space="preserve"> this facility was</w:t>
      </w:r>
      <w:r w:rsidR="006A6F2D">
        <w:rPr>
          <w:rFonts w:ascii="Times New Roman" w:hAnsi="Times New Roman" w:cs="Times New Roman"/>
          <w:sz w:val="24"/>
          <w:szCs w:val="24"/>
        </w:rPr>
        <w:t xml:space="preserve"> clearly</w:t>
      </w:r>
      <w:r w:rsidR="009B09AF">
        <w:rPr>
          <w:rFonts w:ascii="Times New Roman" w:hAnsi="Times New Roman" w:cs="Times New Roman"/>
          <w:sz w:val="24"/>
          <w:szCs w:val="24"/>
        </w:rPr>
        <w:t xml:space="preserve"> put in</w:t>
      </w:r>
      <w:r w:rsidRPr="00220ED4">
        <w:rPr>
          <w:rFonts w:ascii="Times New Roman" w:hAnsi="Times New Roman" w:cs="Times New Roman"/>
          <w:sz w:val="24"/>
          <w:szCs w:val="24"/>
        </w:rPr>
        <w:t xml:space="preserve"> place</w:t>
      </w:r>
      <w:r w:rsidR="009B09AF">
        <w:rPr>
          <w:rFonts w:ascii="Times New Roman" w:hAnsi="Times New Roman" w:cs="Times New Roman"/>
          <w:sz w:val="24"/>
          <w:szCs w:val="24"/>
        </w:rPr>
        <w:t xml:space="preserve"> in 2007, the monies were advanced at that time and the Bank’s security put in place.  Mr</w:t>
      </w:r>
      <w:r w:rsidR="00E84FA4">
        <w:rPr>
          <w:rFonts w:ascii="Times New Roman" w:hAnsi="Times New Roman" w:cs="Times New Roman"/>
          <w:sz w:val="24"/>
          <w:szCs w:val="24"/>
        </w:rPr>
        <w:t>.</w:t>
      </w:r>
      <w:r w:rsidR="009B09AF">
        <w:rPr>
          <w:rFonts w:ascii="Times New Roman" w:hAnsi="Times New Roman" w:cs="Times New Roman"/>
          <w:sz w:val="24"/>
          <w:szCs w:val="24"/>
        </w:rPr>
        <w:t xml:space="preserve"> Doran, aside from his contention that the indorsement of claim is not properly particularised,</w:t>
      </w:r>
      <w:r>
        <w:rPr>
          <w:rFonts w:ascii="Times New Roman" w:hAnsi="Times New Roman" w:cs="Times New Roman"/>
          <w:sz w:val="24"/>
          <w:szCs w:val="24"/>
        </w:rPr>
        <w:t xml:space="preserve"> does </w:t>
      </w:r>
      <w:r w:rsidR="009B09AF">
        <w:rPr>
          <w:rFonts w:ascii="Times New Roman" w:hAnsi="Times New Roman" w:cs="Times New Roman"/>
          <w:sz w:val="24"/>
          <w:szCs w:val="24"/>
        </w:rPr>
        <w:t xml:space="preserve">not </w:t>
      </w:r>
      <w:r>
        <w:rPr>
          <w:rFonts w:ascii="Times New Roman" w:hAnsi="Times New Roman" w:cs="Times New Roman"/>
          <w:sz w:val="24"/>
          <w:szCs w:val="24"/>
        </w:rPr>
        <w:t xml:space="preserve">deal </w:t>
      </w:r>
      <w:r w:rsidR="009B09AF">
        <w:rPr>
          <w:rFonts w:ascii="Times New Roman" w:hAnsi="Times New Roman" w:cs="Times New Roman"/>
          <w:sz w:val="24"/>
          <w:szCs w:val="24"/>
        </w:rPr>
        <w:t xml:space="preserve">in any substantive manner </w:t>
      </w:r>
      <w:r>
        <w:rPr>
          <w:rFonts w:ascii="Times New Roman" w:hAnsi="Times New Roman" w:cs="Times New Roman"/>
          <w:sz w:val="24"/>
          <w:szCs w:val="24"/>
        </w:rPr>
        <w:t>with the facility clearly advanced to him in 2007</w:t>
      </w:r>
      <w:r w:rsidR="009B09AF">
        <w:rPr>
          <w:rFonts w:ascii="Times New Roman" w:hAnsi="Times New Roman" w:cs="Times New Roman"/>
          <w:sz w:val="24"/>
          <w:szCs w:val="24"/>
        </w:rPr>
        <w:t xml:space="preserve">.  </w:t>
      </w:r>
    </w:p>
    <w:p w14:paraId="7A5EBC96" w14:textId="4CDB348B" w:rsidR="00B84EFD" w:rsidRPr="00B84EFD" w:rsidRDefault="00CA778C" w:rsidP="00C74FAE">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B84EFD">
        <w:rPr>
          <w:rFonts w:ascii="Times New Roman" w:hAnsi="Times New Roman" w:cs="Times New Roman"/>
          <w:sz w:val="24"/>
          <w:szCs w:val="24"/>
        </w:rPr>
        <w:t>Taking Mr</w:t>
      </w:r>
      <w:r w:rsidR="00E84FA4">
        <w:rPr>
          <w:rFonts w:ascii="Times New Roman" w:hAnsi="Times New Roman" w:cs="Times New Roman"/>
          <w:sz w:val="24"/>
          <w:szCs w:val="24"/>
        </w:rPr>
        <w:t>.</w:t>
      </w:r>
      <w:r w:rsidRPr="00B84EFD">
        <w:rPr>
          <w:rFonts w:ascii="Times New Roman" w:hAnsi="Times New Roman" w:cs="Times New Roman"/>
          <w:sz w:val="24"/>
          <w:szCs w:val="24"/>
        </w:rPr>
        <w:t xml:space="preserve"> Doran’s </w:t>
      </w:r>
      <w:r w:rsidR="006A6F2D" w:rsidRPr="00B84EFD">
        <w:rPr>
          <w:rFonts w:ascii="Times New Roman" w:hAnsi="Times New Roman" w:cs="Times New Roman"/>
          <w:sz w:val="24"/>
          <w:szCs w:val="24"/>
        </w:rPr>
        <w:t>argument</w:t>
      </w:r>
      <w:r w:rsidRPr="00B84EFD">
        <w:rPr>
          <w:rFonts w:ascii="Times New Roman" w:hAnsi="Times New Roman" w:cs="Times New Roman"/>
          <w:sz w:val="24"/>
          <w:szCs w:val="24"/>
        </w:rPr>
        <w:t xml:space="preserve"> at its height, even if the 2010 facility letter cannot be relied upon, then it is difficult to see that a credible defence is thereby raised to the effect that Mr</w:t>
      </w:r>
      <w:r w:rsidR="00E84FA4">
        <w:rPr>
          <w:rFonts w:ascii="Times New Roman" w:hAnsi="Times New Roman" w:cs="Times New Roman"/>
          <w:sz w:val="24"/>
          <w:szCs w:val="24"/>
        </w:rPr>
        <w:t>.</w:t>
      </w:r>
      <w:r w:rsidRPr="00B84EFD">
        <w:rPr>
          <w:rFonts w:ascii="Times New Roman" w:hAnsi="Times New Roman" w:cs="Times New Roman"/>
          <w:sz w:val="24"/>
          <w:szCs w:val="24"/>
        </w:rPr>
        <w:t xml:space="preserve"> Doran’s entire indebtedness to the Bank can be set aside.  It may have implications for the calculation of interest arising on foot of the various facility letters</w:t>
      </w:r>
      <w:r w:rsidR="00C6215E">
        <w:rPr>
          <w:rFonts w:ascii="Times New Roman" w:hAnsi="Times New Roman" w:cs="Times New Roman"/>
          <w:sz w:val="24"/>
          <w:szCs w:val="24"/>
        </w:rPr>
        <w:t xml:space="preserve">, </w:t>
      </w:r>
      <w:r w:rsidR="006A6F2D" w:rsidRPr="00B84EFD">
        <w:rPr>
          <w:rFonts w:ascii="Times New Roman" w:hAnsi="Times New Roman" w:cs="Times New Roman"/>
          <w:sz w:val="24"/>
          <w:szCs w:val="24"/>
        </w:rPr>
        <w:t>where the interest rates clearly vary</w:t>
      </w:r>
      <w:r w:rsidRPr="00B84EFD">
        <w:rPr>
          <w:rFonts w:ascii="Times New Roman" w:hAnsi="Times New Roman" w:cs="Times New Roman"/>
          <w:sz w:val="24"/>
          <w:szCs w:val="24"/>
        </w:rPr>
        <w:t>, but</w:t>
      </w:r>
      <w:r w:rsidR="009B09AF" w:rsidRPr="00B84EFD">
        <w:rPr>
          <w:rFonts w:ascii="Times New Roman" w:hAnsi="Times New Roman" w:cs="Times New Roman"/>
          <w:sz w:val="24"/>
          <w:szCs w:val="24"/>
        </w:rPr>
        <w:t xml:space="preserve"> that is not to suggest that</w:t>
      </w:r>
      <w:r w:rsidRPr="00B84EFD">
        <w:rPr>
          <w:rFonts w:ascii="Times New Roman" w:hAnsi="Times New Roman" w:cs="Times New Roman"/>
          <w:sz w:val="24"/>
          <w:szCs w:val="24"/>
        </w:rPr>
        <w:t xml:space="preserve"> the overall facility </w:t>
      </w:r>
      <w:r w:rsidR="009B09AF" w:rsidRPr="00B84EFD">
        <w:rPr>
          <w:rFonts w:ascii="Times New Roman" w:hAnsi="Times New Roman" w:cs="Times New Roman"/>
          <w:sz w:val="24"/>
          <w:szCs w:val="24"/>
        </w:rPr>
        <w:t xml:space="preserve">must be set aside in such circumstances. </w:t>
      </w:r>
      <w:r w:rsidRPr="00B84EFD">
        <w:rPr>
          <w:rFonts w:ascii="Times New Roman" w:hAnsi="Times New Roman" w:cs="Times New Roman"/>
          <w:sz w:val="24"/>
          <w:szCs w:val="24"/>
        </w:rPr>
        <w:t xml:space="preserve">  </w:t>
      </w:r>
    </w:p>
    <w:p w14:paraId="191E9314" w14:textId="42B2C8DD" w:rsidR="002159D7" w:rsidRDefault="009065F2" w:rsidP="003C2195">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9065F2">
        <w:rPr>
          <w:rFonts w:ascii="Times New Roman" w:hAnsi="Times New Roman" w:cs="Times New Roman"/>
          <w:sz w:val="24"/>
          <w:szCs w:val="24"/>
        </w:rPr>
        <w:t>The Bank</w:t>
      </w:r>
      <w:r w:rsidR="0041265E">
        <w:rPr>
          <w:rFonts w:ascii="Times New Roman" w:hAnsi="Times New Roman" w:cs="Times New Roman"/>
          <w:sz w:val="24"/>
          <w:szCs w:val="24"/>
        </w:rPr>
        <w:t xml:space="preserve"> objected to Mr</w:t>
      </w:r>
      <w:r w:rsidR="00E84FA4">
        <w:rPr>
          <w:rFonts w:ascii="Times New Roman" w:hAnsi="Times New Roman" w:cs="Times New Roman"/>
          <w:sz w:val="24"/>
          <w:szCs w:val="24"/>
        </w:rPr>
        <w:t>.</w:t>
      </w:r>
      <w:r w:rsidR="0041265E">
        <w:rPr>
          <w:rFonts w:ascii="Times New Roman" w:hAnsi="Times New Roman" w:cs="Times New Roman"/>
          <w:sz w:val="24"/>
          <w:szCs w:val="24"/>
        </w:rPr>
        <w:t xml:space="preserve"> Doran seeking to adduce </w:t>
      </w:r>
      <w:r>
        <w:rPr>
          <w:rFonts w:ascii="Times New Roman" w:hAnsi="Times New Roman" w:cs="Times New Roman"/>
          <w:sz w:val="24"/>
          <w:szCs w:val="24"/>
        </w:rPr>
        <w:t>a</w:t>
      </w:r>
      <w:r w:rsidR="00D8641D">
        <w:rPr>
          <w:rFonts w:ascii="Times New Roman" w:hAnsi="Times New Roman" w:cs="Times New Roman"/>
          <w:sz w:val="24"/>
          <w:szCs w:val="24"/>
        </w:rPr>
        <w:t xml:space="preserve"> fresh ground of appeal</w:t>
      </w:r>
      <w:r>
        <w:rPr>
          <w:rFonts w:ascii="Times New Roman" w:hAnsi="Times New Roman" w:cs="Times New Roman"/>
          <w:sz w:val="24"/>
          <w:szCs w:val="24"/>
        </w:rPr>
        <w:t xml:space="preserve"> before this court </w:t>
      </w:r>
      <w:r w:rsidR="0041265E">
        <w:rPr>
          <w:rFonts w:ascii="Times New Roman" w:hAnsi="Times New Roman" w:cs="Times New Roman"/>
          <w:sz w:val="24"/>
          <w:szCs w:val="24"/>
        </w:rPr>
        <w:t>which</w:t>
      </w:r>
      <w:r>
        <w:rPr>
          <w:rFonts w:ascii="Times New Roman" w:hAnsi="Times New Roman" w:cs="Times New Roman"/>
          <w:sz w:val="24"/>
          <w:szCs w:val="24"/>
        </w:rPr>
        <w:t xml:space="preserve"> was not raised in the High Court</w:t>
      </w:r>
      <w:r w:rsidR="0041265E">
        <w:rPr>
          <w:rFonts w:ascii="Times New Roman" w:hAnsi="Times New Roman" w:cs="Times New Roman"/>
          <w:sz w:val="24"/>
          <w:szCs w:val="24"/>
        </w:rPr>
        <w:t>; specifically</w:t>
      </w:r>
      <w:r w:rsidR="00FD72DB">
        <w:rPr>
          <w:rFonts w:ascii="Times New Roman" w:hAnsi="Times New Roman" w:cs="Times New Roman"/>
          <w:sz w:val="24"/>
          <w:szCs w:val="24"/>
        </w:rPr>
        <w:t>,</w:t>
      </w:r>
      <w:r w:rsidR="0041265E">
        <w:rPr>
          <w:rFonts w:ascii="Times New Roman" w:hAnsi="Times New Roman" w:cs="Times New Roman"/>
          <w:sz w:val="24"/>
          <w:szCs w:val="24"/>
        </w:rPr>
        <w:t xml:space="preserve"> that</w:t>
      </w:r>
      <w:r w:rsidR="00D8641D">
        <w:rPr>
          <w:rFonts w:ascii="Times New Roman" w:hAnsi="Times New Roman" w:cs="Times New Roman"/>
          <w:sz w:val="24"/>
          <w:szCs w:val="24"/>
        </w:rPr>
        <w:t xml:space="preserve"> </w:t>
      </w:r>
      <w:r w:rsidR="00183F92">
        <w:rPr>
          <w:rFonts w:ascii="Times New Roman" w:hAnsi="Times New Roman" w:cs="Times New Roman"/>
          <w:sz w:val="24"/>
          <w:szCs w:val="24"/>
        </w:rPr>
        <w:t xml:space="preserve">the </w:t>
      </w:r>
      <w:r w:rsidR="00D8641D">
        <w:rPr>
          <w:rFonts w:ascii="Times New Roman" w:hAnsi="Times New Roman" w:cs="Times New Roman"/>
          <w:sz w:val="24"/>
          <w:szCs w:val="24"/>
        </w:rPr>
        <w:t>indorsement of claim and the documentation referred to within it did not satisfy the burden of evidential proof the Bank must satisfy in a summary judgment application.</w:t>
      </w:r>
      <w:r w:rsidR="0041265E">
        <w:rPr>
          <w:rFonts w:ascii="Times New Roman" w:hAnsi="Times New Roman" w:cs="Times New Roman"/>
          <w:sz w:val="24"/>
          <w:szCs w:val="24"/>
        </w:rPr>
        <w:t xml:space="preserve"> </w:t>
      </w:r>
      <w:r w:rsidR="00112A49">
        <w:rPr>
          <w:rFonts w:ascii="Times New Roman" w:hAnsi="Times New Roman" w:cs="Times New Roman"/>
          <w:sz w:val="24"/>
          <w:szCs w:val="24"/>
        </w:rPr>
        <w:t xml:space="preserve"> </w:t>
      </w:r>
      <w:r w:rsidR="00D8641D">
        <w:rPr>
          <w:rFonts w:ascii="Times New Roman" w:hAnsi="Times New Roman" w:cs="Times New Roman"/>
          <w:sz w:val="24"/>
          <w:szCs w:val="24"/>
        </w:rPr>
        <w:t xml:space="preserve">  </w:t>
      </w:r>
    </w:p>
    <w:p w14:paraId="46A12780" w14:textId="64D94457" w:rsidR="002159D7" w:rsidRPr="002A12EB" w:rsidRDefault="002159D7" w:rsidP="00151BF0">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cs="Times New Roman"/>
          <w:sz w:val="24"/>
          <w:szCs w:val="24"/>
        </w:rPr>
        <w:t>The Bank also</w:t>
      </w:r>
      <w:r w:rsidR="00D91B18">
        <w:rPr>
          <w:rFonts w:ascii="Times New Roman" w:hAnsi="Times New Roman" w:cs="Times New Roman"/>
          <w:sz w:val="24"/>
          <w:szCs w:val="24"/>
        </w:rPr>
        <w:t xml:space="preserve"> objected and</w:t>
      </w:r>
      <w:r>
        <w:rPr>
          <w:rFonts w:ascii="Times New Roman" w:hAnsi="Times New Roman" w:cs="Times New Roman"/>
          <w:sz w:val="24"/>
          <w:szCs w:val="24"/>
        </w:rPr>
        <w:t xml:space="preserve"> </w:t>
      </w:r>
      <w:r w:rsidRPr="002A12EB">
        <w:rPr>
          <w:rFonts w:ascii="Times New Roman" w:hAnsi="Times New Roman" w:cs="Times New Roman"/>
          <w:sz w:val="24"/>
          <w:szCs w:val="24"/>
        </w:rPr>
        <w:t>filed short additional submissions arguing that</w:t>
      </w:r>
      <w:r>
        <w:rPr>
          <w:rFonts w:ascii="Times New Roman" w:hAnsi="Times New Roman" w:cs="Times New Roman"/>
          <w:sz w:val="24"/>
          <w:szCs w:val="24"/>
        </w:rPr>
        <w:t xml:space="preserve"> the </w:t>
      </w:r>
      <w:r w:rsidRPr="002A12EB">
        <w:rPr>
          <w:rFonts w:ascii="Times New Roman" w:hAnsi="Times New Roman" w:cs="Times New Roman"/>
          <w:sz w:val="24"/>
          <w:szCs w:val="24"/>
        </w:rPr>
        <w:t xml:space="preserve">affidavit of </w:t>
      </w:r>
      <w:r w:rsidR="004948CC">
        <w:rPr>
          <w:rFonts w:ascii="Times New Roman" w:hAnsi="Times New Roman" w:cs="Times New Roman"/>
          <w:sz w:val="24"/>
          <w:szCs w:val="24"/>
        </w:rPr>
        <w:t>Mr.</w:t>
      </w:r>
      <w:r w:rsidR="004948CC" w:rsidRPr="002A12EB">
        <w:rPr>
          <w:rFonts w:ascii="Times New Roman" w:hAnsi="Times New Roman" w:cs="Times New Roman"/>
          <w:sz w:val="24"/>
          <w:szCs w:val="24"/>
        </w:rPr>
        <w:t xml:space="preserve"> </w:t>
      </w:r>
      <w:r w:rsidRPr="002A12EB">
        <w:rPr>
          <w:rFonts w:ascii="Times New Roman" w:hAnsi="Times New Roman" w:cs="Times New Roman"/>
          <w:sz w:val="24"/>
          <w:szCs w:val="24"/>
        </w:rPr>
        <w:t>Doran</w:t>
      </w:r>
      <w:r>
        <w:rPr>
          <w:rFonts w:ascii="Times New Roman" w:hAnsi="Times New Roman" w:cs="Times New Roman"/>
          <w:sz w:val="24"/>
          <w:szCs w:val="24"/>
        </w:rPr>
        <w:t xml:space="preserve"> </w:t>
      </w:r>
      <w:r w:rsidRPr="002A12EB">
        <w:rPr>
          <w:rFonts w:ascii="Times New Roman" w:hAnsi="Times New Roman" w:cs="Times New Roman"/>
          <w:sz w:val="24"/>
          <w:szCs w:val="24"/>
        </w:rPr>
        <w:t>sworn on 15 November 2012</w:t>
      </w:r>
      <w:r>
        <w:rPr>
          <w:rFonts w:ascii="Times New Roman" w:hAnsi="Times New Roman" w:cs="Times New Roman"/>
          <w:sz w:val="24"/>
          <w:szCs w:val="24"/>
        </w:rPr>
        <w:t>, well before the institution of these proceedings and in respect of other proceedings bearing record number 2010/2596S</w:t>
      </w:r>
      <w:r w:rsidR="00DD27B6">
        <w:rPr>
          <w:rFonts w:ascii="Times New Roman" w:hAnsi="Times New Roman" w:cs="Times New Roman"/>
          <w:sz w:val="24"/>
          <w:szCs w:val="24"/>
        </w:rPr>
        <w:t>,</w:t>
      </w:r>
      <w:r w:rsidRPr="002A12EB">
        <w:rPr>
          <w:rFonts w:ascii="Times New Roman" w:hAnsi="Times New Roman" w:cs="Times New Roman"/>
          <w:sz w:val="24"/>
          <w:szCs w:val="24"/>
        </w:rPr>
        <w:t xml:space="preserve"> should not be admitted </w:t>
      </w:r>
      <w:r w:rsidRPr="002A12EB">
        <w:rPr>
          <w:rFonts w:ascii="Times New Roman" w:hAnsi="Times New Roman" w:cs="Times New Roman"/>
          <w:sz w:val="24"/>
          <w:szCs w:val="24"/>
        </w:rPr>
        <w:lastRenderedPageBreak/>
        <w:t xml:space="preserve">without leave of this court.  </w:t>
      </w:r>
      <w:r>
        <w:rPr>
          <w:rFonts w:ascii="Times New Roman" w:hAnsi="Times New Roman" w:cs="Times New Roman"/>
          <w:sz w:val="24"/>
          <w:szCs w:val="24"/>
        </w:rPr>
        <w:t xml:space="preserve"> </w:t>
      </w:r>
      <w:r w:rsidRPr="002A12EB">
        <w:rPr>
          <w:rFonts w:ascii="Times New Roman" w:hAnsi="Times New Roman" w:cs="Times New Roman"/>
          <w:sz w:val="24"/>
          <w:szCs w:val="24"/>
        </w:rPr>
        <w:t>In any event counsel for Mr</w:t>
      </w:r>
      <w:r w:rsidR="00E84FA4">
        <w:rPr>
          <w:rFonts w:ascii="Times New Roman" w:hAnsi="Times New Roman" w:cs="Times New Roman"/>
          <w:sz w:val="24"/>
          <w:szCs w:val="24"/>
        </w:rPr>
        <w:t>.</w:t>
      </w:r>
      <w:r w:rsidRPr="002A12EB">
        <w:rPr>
          <w:rFonts w:ascii="Times New Roman" w:hAnsi="Times New Roman" w:cs="Times New Roman"/>
          <w:sz w:val="24"/>
          <w:szCs w:val="24"/>
        </w:rPr>
        <w:t xml:space="preserve"> Doran did not place any reliance upon it and the matters contained within it are clearly of no relevance to the matters within this summary judgment appeal.</w:t>
      </w:r>
      <w:r>
        <w:rPr>
          <w:rFonts w:ascii="Times New Roman" w:hAnsi="Times New Roman" w:cs="Times New Roman"/>
          <w:sz w:val="24"/>
          <w:szCs w:val="24"/>
        </w:rPr>
        <w:t xml:space="preserve">  The court has not had regard to it.</w:t>
      </w:r>
      <w:r w:rsidRPr="002A12EB">
        <w:rPr>
          <w:rFonts w:ascii="Times New Roman" w:hAnsi="Times New Roman" w:cs="Times New Roman"/>
          <w:sz w:val="24"/>
          <w:szCs w:val="24"/>
        </w:rPr>
        <w:t xml:space="preserve">  </w:t>
      </w:r>
    </w:p>
    <w:p w14:paraId="5785FE83" w14:textId="2ACCF758" w:rsidR="009843C9" w:rsidRDefault="009843C9" w:rsidP="005D68D2">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9843C9">
        <w:rPr>
          <w:rFonts w:ascii="Times New Roman" w:hAnsi="Times New Roman" w:cs="Times New Roman"/>
          <w:sz w:val="24"/>
          <w:szCs w:val="24"/>
        </w:rPr>
        <w:t>In</w:t>
      </w:r>
      <w:r w:rsidR="00BD3A87">
        <w:rPr>
          <w:rFonts w:ascii="Times New Roman" w:hAnsi="Times New Roman" w:cs="Times New Roman"/>
          <w:sz w:val="24"/>
          <w:szCs w:val="24"/>
        </w:rPr>
        <w:t xml:space="preserve">  </w:t>
      </w:r>
      <w:r w:rsidR="004B5651" w:rsidRPr="00BC7B08">
        <w:rPr>
          <w:rFonts w:ascii="Times New Roman" w:hAnsi="Times New Roman" w:cs="Times New Roman"/>
          <w:i/>
          <w:sz w:val="24"/>
          <w:szCs w:val="24"/>
        </w:rPr>
        <w:t>AIB v</w:t>
      </w:r>
      <w:r w:rsidR="00F34D05">
        <w:rPr>
          <w:rFonts w:ascii="Times New Roman" w:hAnsi="Times New Roman" w:cs="Times New Roman"/>
          <w:i/>
          <w:sz w:val="24"/>
          <w:szCs w:val="24"/>
        </w:rPr>
        <w:t>.</w:t>
      </w:r>
      <w:r w:rsidR="004B5651" w:rsidRPr="00BC7B08">
        <w:rPr>
          <w:rFonts w:ascii="Times New Roman" w:hAnsi="Times New Roman" w:cs="Times New Roman"/>
          <w:i/>
          <w:sz w:val="24"/>
          <w:szCs w:val="24"/>
        </w:rPr>
        <w:t xml:space="preserve"> Ennis</w:t>
      </w:r>
      <w:r w:rsidR="004B5651">
        <w:rPr>
          <w:rFonts w:ascii="Times New Roman" w:hAnsi="Times New Roman" w:cs="Times New Roman"/>
          <w:sz w:val="24"/>
          <w:szCs w:val="24"/>
        </w:rPr>
        <w:t xml:space="preserve"> (‘</w:t>
      </w:r>
      <w:r w:rsidR="004B5651" w:rsidRPr="00D91B18">
        <w:rPr>
          <w:rFonts w:ascii="Times New Roman" w:hAnsi="Times New Roman" w:cs="Times New Roman"/>
          <w:i/>
          <w:sz w:val="24"/>
          <w:szCs w:val="24"/>
        </w:rPr>
        <w:t>Ennis</w:t>
      </w:r>
      <w:r w:rsidR="004B5651">
        <w:rPr>
          <w:rFonts w:ascii="Times New Roman" w:hAnsi="Times New Roman" w:cs="Times New Roman"/>
          <w:sz w:val="24"/>
          <w:szCs w:val="24"/>
        </w:rPr>
        <w:t>’)</w:t>
      </w:r>
      <w:r w:rsidR="00B25D03">
        <w:rPr>
          <w:rFonts w:ascii="Times New Roman" w:hAnsi="Times New Roman" w:cs="Times New Roman"/>
          <w:sz w:val="24"/>
          <w:szCs w:val="24"/>
        </w:rPr>
        <w:t xml:space="preserve"> </w:t>
      </w:r>
      <w:r w:rsidR="00C00F76">
        <w:rPr>
          <w:rFonts w:ascii="Times New Roman" w:hAnsi="Times New Roman" w:cs="Times New Roman"/>
          <w:sz w:val="24"/>
          <w:szCs w:val="24"/>
        </w:rPr>
        <w:t>2021 [IE</w:t>
      </w:r>
      <w:r w:rsidR="00D01A32">
        <w:rPr>
          <w:rFonts w:ascii="Times New Roman" w:hAnsi="Times New Roman" w:cs="Times New Roman"/>
          <w:sz w:val="24"/>
          <w:szCs w:val="24"/>
        </w:rPr>
        <w:t>S</w:t>
      </w:r>
      <w:r w:rsidR="00C00F76">
        <w:rPr>
          <w:rFonts w:ascii="Times New Roman" w:hAnsi="Times New Roman" w:cs="Times New Roman"/>
          <w:sz w:val="24"/>
          <w:szCs w:val="24"/>
        </w:rPr>
        <w:t>C] 12</w:t>
      </w:r>
      <w:r w:rsidR="004B5651">
        <w:rPr>
          <w:rFonts w:ascii="Times New Roman" w:hAnsi="Times New Roman" w:cs="Times New Roman"/>
          <w:sz w:val="24"/>
          <w:szCs w:val="24"/>
        </w:rPr>
        <w:t xml:space="preserve"> the Supreme Court</w:t>
      </w:r>
      <w:r w:rsidR="00C00F76">
        <w:rPr>
          <w:rFonts w:ascii="Times New Roman" w:hAnsi="Times New Roman" w:cs="Times New Roman"/>
          <w:sz w:val="24"/>
          <w:szCs w:val="24"/>
        </w:rPr>
        <w:t xml:space="preserve"> considered</w:t>
      </w:r>
      <w:r w:rsidR="008F5066">
        <w:rPr>
          <w:rFonts w:ascii="Times New Roman" w:hAnsi="Times New Roman" w:cs="Times New Roman"/>
          <w:sz w:val="24"/>
          <w:szCs w:val="24"/>
        </w:rPr>
        <w:t xml:space="preserve"> </w:t>
      </w:r>
      <w:r w:rsidR="00C00F76">
        <w:rPr>
          <w:rFonts w:ascii="Times New Roman" w:hAnsi="Times New Roman" w:cs="Times New Roman"/>
          <w:sz w:val="24"/>
          <w:szCs w:val="24"/>
        </w:rPr>
        <w:t xml:space="preserve">the entitlement </w:t>
      </w:r>
      <w:r>
        <w:rPr>
          <w:rFonts w:ascii="Times New Roman" w:hAnsi="Times New Roman" w:cs="Times New Roman"/>
          <w:sz w:val="24"/>
          <w:szCs w:val="24"/>
        </w:rPr>
        <w:t>of</w:t>
      </w:r>
      <w:r w:rsidR="00C00F76">
        <w:rPr>
          <w:rFonts w:ascii="Times New Roman" w:hAnsi="Times New Roman" w:cs="Times New Roman"/>
          <w:sz w:val="24"/>
          <w:szCs w:val="24"/>
        </w:rPr>
        <w:t xml:space="preserve"> a party to adduce new arguments and/or new evidence in an appeal</w:t>
      </w:r>
      <w:r w:rsidR="000A7406">
        <w:rPr>
          <w:rFonts w:ascii="Times New Roman" w:hAnsi="Times New Roman" w:cs="Times New Roman"/>
          <w:sz w:val="24"/>
          <w:szCs w:val="24"/>
        </w:rPr>
        <w:t xml:space="preserve"> from the entry of summary </w:t>
      </w:r>
      <w:r>
        <w:rPr>
          <w:rFonts w:ascii="Times New Roman" w:hAnsi="Times New Roman" w:cs="Times New Roman"/>
          <w:sz w:val="24"/>
          <w:szCs w:val="24"/>
        </w:rPr>
        <w:t>judgment</w:t>
      </w:r>
      <w:r w:rsidR="000A7406">
        <w:rPr>
          <w:rFonts w:ascii="Times New Roman" w:hAnsi="Times New Roman" w:cs="Times New Roman"/>
          <w:sz w:val="24"/>
          <w:szCs w:val="24"/>
        </w:rPr>
        <w:t xml:space="preserve">.  </w:t>
      </w:r>
      <w:r w:rsidR="00414051">
        <w:rPr>
          <w:rFonts w:ascii="Times New Roman" w:hAnsi="Times New Roman" w:cs="Times New Roman"/>
          <w:sz w:val="24"/>
          <w:szCs w:val="24"/>
        </w:rPr>
        <w:t>The court</w:t>
      </w:r>
      <w:r>
        <w:rPr>
          <w:rFonts w:ascii="Times New Roman" w:hAnsi="Times New Roman" w:cs="Times New Roman"/>
          <w:sz w:val="24"/>
          <w:szCs w:val="24"/>
        </w:rPr>
        <w:t xml:space="preserve"> endors</w:t>
      </w:r>
      <w:r w:rsidR="00414051">
        <w:rPr>
          <w:rFonts w:ascii="Times New Roman" w:hAnsi="Times New Roman" w:cs="Times New Roman"/>
          <w:sz w:val="24"/>
          <w:szCs w:val="24"/>
        </w:rPr>
        <w:t>ed</w:t>
      </w:r>
      <w:r>
        <w:rPr>
          <w:rFonts w:ascii="Times New Roman" w:hAnsi="Times New Roman" w:cs="Times New Roman"/>
          <w:sz w:val="24"/>
          <w:szCs w:val="24"/>
        </w:rPr>
        <w:t xml:space="preserve"> the</w:t>
      </w:r>
      <w:r w:rsidR="00A85DD0">
        <w:rPr>
          <w:rFonts w:ascii="Times New Roman" w:hAnsi="Times New Roman" w:cs="Times New Roman"/>
          <w:sz w:val="24"/>
          <w:szCs w:val="24"/>
        </w:rPr>
        <w:t xml:space="preserve"> comments</w:t>
      </w:r>
      <w:r w:rsidR="008F5066">
        <w:rPr>
          <w:rFonts w:ascii="Times New Roman" w:hAnsi="Times New Roman" w:cs="Times New Roman"/>
          <w:sz w:val="24"/>
          <w:szCs w:val="24"/>
        </w:rPr>
        <w:t xml:space="preserve"> in </w:t>
      </w:r>
      <w:r w:rsidR="008F5066" w:rsidRPr="008F5066">
        <w:rPr>
          <w:rFonts w:ascii="Times New Roman" w:hAnsi="Times New Roman" w:cs="Times New Roman"/>
          <w:i/>
          <w:sz w:val="24"/>
          <w:szCs w:val="24"/>
        </w:rPr>
        <w:t>McCaughey</w:t>
      </w:r>
      <w:r w:rsidR="00950BB2">
        <w:rPr>
          <w:rFonts w:ascii="Times New Roman" w:hAnsi="Times New Roman" w:cs="Times New Roman"/>
          <w:i/>
          <w:sz w:val="24"/>
          <w:szCs w:val="24"/>
        </w:rPr>
        <w:t xml:space="preserve"> </w:t>
      </w:r>
      <w:r w:rsidR="00950BB2" w:rsidRPr="00950BB2">
        <w:rPr>
          <w:rFonts w:ascii="Times New Roman" w:hAnsi="Times New Roman" w:cs="Times New Roman"/>
          <w:sz w:val="24"/>
          <w:szCs w:val="24"/>
        </w:rPr>
        <w:t>(paragraph 5.6) as</w:t>
      </w:r>
      <w:r w:rsidR="008F5066">
        <w:rPr>
          <w:rFonts w:ascii="Times New Roman" w:hAnsi="Times New Roman" w:cs="Times New Roman"/>
          <w:sz w:val="24"/>
          <w:szCs w:val="24"/>
        </w:rPr>
        <w:t xml:space="preserve"> cited</w:t>
      </w:r>
      <w:r w:rsidR="00A85DD0">
        <w:rPr>
          <w:rFonts w:ascii="Times New Roman" w:hAnsi="Times New Roman" w:cs="Times New Roman"/>
          <w:sz w:val="24"/>
          <w:szCs w:val="24"/>
        </w:rPr>
        <w:t xml:space="preserve"> </w:t>
      </w:r>
      <w:r w:rsidR="0032136F">
        <w:rPr>
          <w:rFonts w:ascii="Times New Roman" w:hAnsi="Times New Roman" w:cs="Times New Roman"/>
          <w:sz w:val="24"/>
          <w:szCs w:val="24"/>
        </w:rPr>
        <w:t>at paragraph 27 above</w:t>
      </w:r>
      <w:r w:rsidR="00A85DD0">
        <w:rPr>
          <w:rFonts w:ascii="Times New Roman" w:hAnsi="Times New Roman" w:cs="Times New Roman"/>
          <w:sz w:val="24"/>
          <w:szCs w:val="24"/>
        </w:rPr>
        <w:t xml:space="preserve"> and also</w:t>
      </w:r>
      <w:r w:rsidR="00DD27B6">
        <w:rPr>
          <w:rFonts w:ascii="Times New Roman" w:hAnsi="Times New Roman" w:cs="Times New Roman"/>
          <w:sz w:val="24"/>
          <w:szCs w:val="24"/>
        </w:rPr>
        <w:t>,</w:t>
      </w:r>
      <w:r w:rsidR="00A85DD0">
        <w:rPr>
          <w:rFonts w:ascii="Times New Roman" w:hAnsi="Times New Roman" w:cs="Times New Roman"/>
          <w:sz w:val="24"/>
          <w:szCs w:val="24"/>
        </w:rPr>
        <w:t xml:space="preserve"> in particular</w:t>
      </w:r>
      <w:r w:rsidR="00DD27B6">
        <w:rPr>
          <w:rFonts w:ascii="Times New Roman" w:hAnsi="Times New Roman" w:cs="Times New Roman"/>
          <w:sz w:val="24"/>
          <w:szCs w:val="24"/>
        </w:rPr>
        <w:t>,</w:t>
      </w:r>
      <w:r w:rsidR="00A85DD0">
        <w:rPr>
          <w:rFonts w:ascii="Times New Roman" w:hAnsi="Times New Roman" w:cs="Times New Roman"/>
          <w:sz w:val="24"/>
          <w:szCs w:val="24"/>
        </w:rPr>
        <w:t xml:space="preserve"> the comments of Clarke J</w:t>
      </w:r>
      <w:r w:rsidR="00E84FA4">
        <w:rPr>
          <w:rFonts w:ascii="Times New Roman" w:hAnsi="Times New Roman" w:cs="Times New Roman"/>
          <w:sz w:val="24"/>
          <w:szCs w:val="24"/>
        </w:rPr>
        <w:t xml:space="preserve">. </w:t>
      </w:r>
      <w:r w:rsidR="00E84FA4" w:rsidRPr="00E84FA4">
        <w:rPr>
          <w:rFonts w:ascii="Times New Roman" w:hAnsi="Times New Roman" w:cs="Times New Roman"/>
          <w:sz w:val="24"/>
          <w:szCs w:val="24"/>
        </w:rPr>
        <w:t>(as he then was)</w:t>
      </w:r>
      <w:r w:rsidR="00A85DD0">
        <w:rPr>
          <w:rFonts w:ascii="Times New Roman" w:hAnsi="Times New Roman" w:cs="Times New Roman"/>
          <w:sz w:val="24"/>
          <w:szCs w:val="24"/>
        </w:rPr>
        <w:t xml:space="preserve"> in </w:t>
      </w:r>
      <w:r w:rsidR="00A85DD0" w:rsidRPr="00BC7B08">
        <w:rPr>
          <w:rFonts w:ascii="Times New Roman" w:hAnsi="Times New Roman" w:cs="Times New Roman"/>
          <w:i/>
          <w:sz w:val="24"/>
          <w:szCs w:val="24"/>
        </w:rPr>
        <w:t>Ambrose v</w:t>
      </w:r>
      <w:r w:rsidR="00F34D05">
        <w:rPr>
          <w:rFonts w:ascii="Times New Roman" w:hAnsi="Times New Roman" w:cs="Times New Roman"/>
          <w:i/>
          <w:sz w:val="24"/>
          <w:szCs w:val="24"/>
        </w:rPr>
        <w:t>.</w:t>
      </w:r>
      <w:r w:rsidR="00A85DD0" w:rsidRPr="00BC7B08">
        <w:rPr>
          <w:rFonts w:ascii="Times New Roman" w:hAnsi="Times New Roman" w:cs="Times New Roman"/>
          <w:i/>
          <w:sz w:val="24"/>
          <w:szCs w:val="24"/>
        </w:rPr>
        <w:t xml:space="preserve"> Shevlin</w:t>
      </w:r>
      <w:r w:rsidR="00A85DD0">
        <w:rPr>
          <w:rFonts w:ascii="Times New Roman" w:hAnsi="Times New Roman" w:cs="Times New Roman"/>
          <w:sz w:val="24"/>
          <w:szCs w:val="24"/>
        </w:rPr>
        <w:t xml:space="preserve"> [2015] IESC</w:t>
      </w:r>
      <w:r w:rsidR="00381970">
        <w:rPr>
          <w:rFonts w:ascii="Times New Roman" w:hAnsi="Times New Roman" w:cs="Times New Roman"/>
          <w:sz w:val="24"/>
          <w:szCs w:val="24"/>
        </w:rPr>
        <w:t xml:space="preserve"> </w:t>
      </w:r>
      <w:r w:rsidR="00DC563B">
        <w:rPr>
          <w:rFonts w:ascii="Times New Roman" w:hAnsi="Times New Roman" w:cs="Times New Roman"/>
          <w:sz w:val="24"/>
          <w:szCs w:val="24"/>
        </w:rPr>
        <w:t xml:space="preserve">10 </w:t>
      </w:r>
      <w:r w:rsidR="00381970">
        <w:rPr>
          <w:rFonts w:ascii="Times New Roman" w:hAnsi="Times New Roman" w:cs="Times New Roman"/>
          <w:sz w:val="24"/>
          <w:szCs w:val="24"/>
        </w:rPr>
        <w:t>that,</w:t>
      </w:r>
      <w:r w:rsidR="004B5651">
        <w:rPr>
          <w:rFonts w:ascii="Times New Roman" w:hAnsi="Times New Roman" w:cs="Times New Roman"/>
          <w:sz w:val="24"/>
          <w:szCs w:val="24"/>
        </w:rPr>
        <w:t xml:space="preserve"> in considering the criteria to be </w:t>
      </w:r>
      <w:r w:rsidR="00414051">
        <w:rPr>
          <w:rFonts w:ascii="Times New Roman" w:hAnsi="Times New Roman" w:cs="Times New Roman"/>
          <w:sz w:val="24"/>
          <w:szCs w:val="24"/>
        </w:rPr>
        <w:t>considered</w:t>
      </w:r>
      <w:r w:rsidR="004B5651">
        <w:rPr>
          <w:rFonts w:ascii="Times New Roman" w:hAnsi="Times New Roman" w:cs="Times New Roman"/>
          <w:sz w:val="24"/>
          <w:szCs w:val="24"/>
        </w:rPr>
        <w:t xml:space="preserve"> for the admission of new</w:t>
      </w:r>
      <w:r w:rsidR="00A85DD0">
        <w:rPr>
          <w:rFonts w:ascii="Times New Roman" w:hAnsi="Times New Roman" w:cs="Times New Roman"/>
          <w:sz w:val="24"/>
          <w:szCs w:val="24"/>
        </w:rPr>
        <w:t xml:space="preserve"> evidence</w:t>
      </w:r>
      <w:r w:rsidR="00BC7B08">
        <w:rPr>
          <w:rFonts w:ascii="Times New Roman" w:hAnsi="Times New Roman" w:cs="Times New Roman"/>
          <w:sz w:val="24"/>
          <w:szCs w:val="24"/>
        </w:rPr>
        <w:t>,</w:t>
      </w:r>
      <w:r w:rsidR="00414051">
        <w:rPr>
          <w:rFonts w:ascii="Times New Roman" w:hAnsi="Times New Roman" w:cs="Times New Roman"/>
          <w:sz w:val="24"/>
          <w:szCs w:val="24"/>
        </w:rPr>
        <w:t xml:space="preserve"> a court</w:t>
      </w:r>
      <w:r w:rsidR="00A85DD0">
        <w:rPr>
          <w:rFonts w:ascii="Times New Roman" w:hAnsi="Times New Roman" w:cs="Times New Roman"/>
          <w:sz w:val="24"/>
          <w:szCs w:val="24"/>
        </w:rPr>
        <w:t xml:space="preserve"> would place a much greater weight against its admission than one where a new legal argument was advanced.</w:t>
      </w:r>
    </w:p>
    <w:p w14:paraId="2B65AE52" w14:textId="48CDB20A" w:rsidR="00796401" w:rsidRDefault="008F5066" w:rsidP="003C2195">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In distinguishing the position as to</w:t>
      </w:r>
      <w:r w:rsidR="000F351C">
        <w:rPr>
          <w:rFonts w:ascii="Times New Roman" w:hAnsi="Times New Roman" w:cs="Times New Roman"/>
          <w:sz w:val="24"/>
          <w:szCs w:val="24"/>
        </w:rPr>
        <w:t xml:space="preserve"> the criteria </w:t>
      </w:r>
      <w:r>
        <w:rPr>
          <w:rFonts w:ascii="Times New Roman" w:hAnsi="Times New Roman" w:cs="Times New Roman"/>
          <w:sz w:val="24"/>
          <w:szCs w:val="24"/>
        </w:rPr>
        <w:t>to be applied on appeal from</w:t>
      </w:r>
      <w:r w:rsidR="00B0490D">
        <w:rPr>
          <w:rFonts w:ascii="Times New Roman" w:hAnsi="Times New Roman" w:cs="Times New Roman"/>
          <w:sz w:val="24"/>
          <w:szCs w:val="24"/>
        </w:rPr>
        <w:t xml:space="preserve"> the entry of judgment in plenary proceedings</w:t>
      </w:r>
      <w:r>
        <w:rPr>
          <w:rFonts w:ascii="Times New Roman" w:hAnsi="Times New Roman" w:cs="Times New Roman"/>
          <w:sz w:val="24"/>
          <w:szCs w:val="24"/>
        </w:rPr>
        <w:t xml:space="preserve"> (in particular </w:t>
      </w:r>
      <w:r w:rsidRPr="00796401">
        <w:rPr>
          <w:rFonts w:ascii="Times New Roman" w:hAnsi="Times New Roman" w:cs="Times New Roman"/>
          <w:i/>
          <w:sz w:val="24"/>
          <w:szCs w:val="24"/>
        </w:rPr>
        <w:t xml:space="preserve">Lough </w:t>
      </w:r>
      <w:proofErr w:type="spellStart"/>
      <w:r w:rsidRPr="00796401">
        <w:rPr>
          <w:rFonts w:ascii="Times New Roman" w:hAnsi="Times New Roman" w:cs="Times New Roman"/>
          <w:i/>
          <w:sz w:val="24"/>
          <w:szCs w:val="24"/>
        </w:rPr>
        <w:t>Swilly</w:t>
      </w:r>
      <w:proofErr w:type="spellEnd"/>
      <w:r w:rsidRPr="00796401">
        <w:rPr>
          <w:rFonts w:ascii="Times New Roman" w:hAnsi="Times New Roman" w:cs="Times New Roman"/>
          <w:i/>
          <w:sz w:val="24"/>
          <w:szCs w:val="24"/>
        </w:rPr>
        <w:t xml:space="preserve"> Shellfish Growers Co-operative Society Ltd &amp; anor v</w:t>
      </w:r>
      <w:r w:rsidR="00F34D05">
        <w:rPr>
          <w:rFonts w:ascii="Times New Roman" w:hAnsi="Times New Roman" w:cs="Times New Roman"/>
          <w:i/>
          <w:sz w:val="24"/>
          <w:szCs w:val="24"/>
        </w:rPr>
        <w:t>.</w:t>
      </w:r>
      <w:r w:rsidRPr="00796401">
        <w:rPr>
          <w:rFonts w:ascii="Times New Roman" w:hAnsi="Times New Roman" w:cs="Times New Roman"/>
          <w:i/>
          <w:sz w:val="24"/>
          <w:szCs w:val="24"/>
        </w:rPr>
        <w:t xml:space="preserve"> Bradley</w:t>
      </w:r>
      <w:r w:rsidR="00DC563B">
        <w:rPr>
          <w:rFonts w:ascii="Times New Roman" w:hAnsi="Times New Roman" w:cs="Times New Roman"/>
          <w:i/>
          <w:sz w:val="24"/>
          <w:szCs w:val="24"/>
        </w:rPr>
        <w:t xml:space="preserve"> &amp; anor</w:t>
      </w:r>
      <w:r>
        <w:rPr>
          <w:rFonts w:ascii="Times New Roman" w:hAnsi="Times New Roman" w:cs="Times New Roman"/>
          <w:sz w:val="24"/>
          <w:szCs w:val="24"/>
        </w:rPr>
        <w:t xml:space="preserve"> [2013] IESC 16)</w:t>
      </w:r>
      <w:r w:rsidR="000F351C">
        <w:rPr>
          <w:rFonts w:ascii="Times New Roman" w:hAnsi="Times New Roman" w:cs="Times New Roman"/>
          <w:sz w:val="24"/>
          <w:szCs w:val="24"/>
        </w:rPr>
        <w:t xml:space="preserve"> from that of a summary judgment,</w:t>
      </w:r>
      <w:r>
        <w:rPr>
          <w:rFonts w:ascii="Times New Roman" w:hAnsi="Times New Roman" w:cs="Times New Roman"/>
          <w:sz w:val="24"/>
          <w:szCs w:val="24"/>
        </w:rPr>
        <w:t xml:space="preserve"> the court</w:t>
      </w:r>
      <w:r w:rsidR="008F6923">
        <w:rPr>
          <w:rFonts w:ascii="Times New Roman" w:hAnsi="Times New Roman" w:cs="Times New Roman"/>
          <w:sz w:val="24"/>
          <w:szCs w:val="24"/>
        </w:rPr>
        <w:t xml:space="preserve"> </w:t>
      </w:r>
      <w:r>
        <w:rPr>
          <w:rFonts w:ascii="Times New Roman" w:hAnsi="Times New Roman" w:cs="Times New Roman"/>
          <w:sz w:val="24"/>
          <w:szCs w:val="24"/>
        </w:rPr>
        <w:t xml:space="preserve">noted that a summary </w:t>
      </w:r>
      <w:r w:rsidR="00B0490D">
        <w:rPr>
          <w:rFonts w:ascii="Times New Roman" w:hAnsi="Times New Roman" w:cs="Times New Roman"/>
          <w:sz w:val="24"/>
          <w:szCs w:val="24"/>
        </w:rPr>
        <w:t>procedure</w:t>
      </w:r>
      <w:r>
        <w:rPr>
          <w:rFonts w:ascii="Times New Roman" w:hAnsi="Times New Roman" w:cs="Times New Roman"/>
          <w:sz w:val="24"/>
          <w:szCs w:val="24"/>
        </w:rPr>
        <w:t xml:space="preserve"> is decided on affidavit evidence only</w:t>
      </w:r>
      <w:r w:rsidR="008F6923">
        <w:rPr>
          <w:rFonts w:ascii="Times New Roman" w:hAnsi="Times New Roman" w:cs="Times New Roman"/>
          <w:sz w:val="24"/>
          <w:szCs w:val="24"/>
        </w:rPr>
        <w:t xml:space="preserve">, it being the only evidence before the </w:t>
      </w:r>
      <w:r w:rsidR="00381970">
        <w:rPr>
          <w:rFonts w:ascii="Times New Roman" w:hAnsi="Times New Roman" w:cs="Times New Roman"/>
          <w:sz w:val="24"/>
          <w:szCs w:val="24"/>
        </w:rPr>
        <w:t>parties</w:t>
      </w:r>
      <w:r w:rsidR="008F6923">
        <w:rPr>
          <w:rFonts w:ascii="Times New Roman" w:hAnsi="Times New Roman" w:cs="Times New Roman"/>
          <w:sz w:val="24"/>
          <w:szCs w:val="24"/>
        </w:rPr>
        <w:t xml:space="preserve"> and also available to either party </w:t>
      </w:r>
      <w:r>
        <w:rPr>
          <w:rFonts w:ascii="Times New Roman" w:hAnsi="Times New Roman" w:cs="Times New Roman"/>
          <w:sz w:val="24"/>
          <w:szCs w:val="24"/>
        </w:rPr>
        <w:t>without the</w:t>
      </w:r>
      <w:r w:rsidR="008F6923">
        <w:rPr>
          <w:rFonts w:ascii="Times New Roman" w:hAnsi="Times New Roman" w:cs="Times New Roman"/>
          <w:sz w:val="24"/>
          <w:szCs w:val="24"/>
        </w:rPr>
        <w:t xml:space="preserve"> </w:t>
      </w:r>
      <w:r w:rsidR="00381970">
        <w:rPr>
          <w:rFonts w:ascii="Times New Roman" w:hAnsi="Times New Roman" w:cs="Times New Roman"/>
          <w:sz w:val="24"/>
          <w:szCs w:val="24"/>
        </w:rPr>
        <w:t>additional interlocutory</w:t>
      </w:r>
      <w:r w:rsidR="00815314">
        <w:rPr>
          <w:rFonts w:ascii="Times New Roman" w:hAnsi="Times New Roman" w:cs="Times New Roman"/>
          <w:sz w:val="24"/>
          <w:szCs w:val="24"/>
        </w:rPr>
        <w:t xml:space="preserve"> steps open </w:t>
      </w:r>
      <w:r w:rsidR="00BC7B08">
        <w:rPr>
          <w:rFonts w:ascii="Times New Roman" w:hAnsi="Times New Roman" w:cs="Times New Roman"/>
          <w:sz w:val="24"/>
          <w:szCs w:val="24"/>
        </w:rPr>
        <w:t>within</w:t>
      </w:r>
      <w:r w:rsidR="00815314">
        <w:rPr>
          <w:rFonts w:ascii="Times New Roman" w:hAnsi="Times New Roman" w:cs="Times New Roman"/>
          <w:sz w:val="24"/>
          <w:szCs w:val="24"/>
        </w:rPr>
        <w:t xml:space="preserve"> plenary </w:t>
      </w:r>
      <w:r w:rsidR="00414051">
        <w:rPr>
          <w:rFonts w:ascii="Times New Roman" w:hAnsi="Times New Roman" w:cs="Times New Roman"/>
          <w:sz w:val="24"/>
          <w:szCs w:val="24"/>
        </w:rPr>
        <w:t>proceedings</w:t>
      </w:r>
      <w:r w:rsidR="00BC7B08">
        <w:rPr>
          <w:rFonts w:ascii="Times New Roman" w:hAnsi="Times New Roman" w:cs="Times New Roman"/>
          <w:sz w:val="24"/>
          <w:szCs w:val="24"/>
        </w:rPr>
        <w:t>,</w:t>
      </w:r>
      <w:r w:rsidR="00815314">
        <w:rPr>
          <w:rFonts w:ascii="Times New Roman" w:hAnsi="Times New Roman" w:cs="Times New Roman"/>
          <w:sz w:val="24"/>
          <w:szCs w:val="24"/>
        </w:rPr>
        <w:t xml:space="preserve"> such as discovery.  The </w:t>
      </w:r>
      <w:r w:rsidR="00E84FA4">
        <w:rPr>
          <w:rFonts w:ascii="Times New Roman" w:hAnsi="Times New Roman" w:cs="Times New Roman"/>
          <w:sz w:val="24"/>
          <w:szCs w:val="24"/>
        </w:rPr>
        <w:t>c</w:t>
      </w:r>
      <w:r w:rsidR="00815314">
        <w:rPr>
          <w:rFonts w:ascii="Times New Roman" w:hAnsi="Times New Roman" w:cs="Times New Roman"/>
          <w:sz w:val="24"/>
          <w:szCs w:val="24"/>
        </w:rPr>
        <w:t xml:space="preserve">ourt </w:t>
      </w:r>
      <w:r w:rsidR="003C2278">
        <w:rPr>
          <w:rFonts w:ascii="Times New Roman" w:hAnsi="Times New Roman" w:cs="Times New Roman"/>
          <w:sz w:val="24"/>
          <w:szCs w:val="24"/>
        </w:rPr>
        <w:t>following its</w:t>
      </w:r>
      <w:r w:rsidR="00815314">
        <w:rPr>
          <w:rFonts w:ascii="Times New Roman" w:hAnsi="Times New Roman" w:cs="Times New Roman"/>
          <w:sz w:val="24"/>
          <w:szCs w:val="24"/>
        </w:rPr>
        <w:t xml:space="preserve"> review of the authorities,  </w:t>
      </w:r>
      <w:r w:rsidR="00DC563B">
        <w:rPr>
          <w:rFonts w:ascii="Times New Roman" w:hAnsi="Times New Roman" w:cs="Times New Roman"/>
          <w:i/>
          <w:sz w:val="24"/>
          <w:szCs w:val="24"/>
        </w:rPr>
        <w:t>Lopes</w:t>
      </w:r>
      <w:r w:rsidR="00815314" w:rsidRPr="00815314">
        <w:rPr>
          <w:rFonts w:ascii="Times New Roman" w:hAnsi="Times New Roman" w:cs="Times New Roman"/>
          <w:i/>
          <w:sz w:val="24"/>
          <w:szCs w:val="24"/>
        </w:rPr>
        <w:t xml:space="preserve"> v</w:t>
      </w:r>
      <w:r w:rsidR="00F34D05">
        <w:rPr>
          <w:rFonts w:ascii="Times New Roman" w:hAnsi="Times New Roman" w:cs="Times New Roman"/>
          <w:i/>
          <w:sz w:val="24"/>
          <w:szCs w:val="24"/>
        </w:rPr>
        <w:t>.</w:t>
      </w:r>
      <w:r w:rsidR="00815314" w:rsidRPr="00815314">
        <w:rPr>
          <w:rFonts w:ascii="Times New Roman" w:hAnsi="Times New Roman" w:cs="Times New Roman"/>
          <w:i/>
          <w:sz w:val="24"/>
          <w:szCs w:val="24"/>
        </w:rPr>
        <w:t xml:space="preserve"> Minister for Justice, Equality and Law Reform</w:t>
      </w:r>
      <w:r w:rsidR="00815314">
        <w:rPr>
          <w:rFonts w:ascii="Times New Roman" w:hAnsi="Times New Roman" w:cs="Times New Roman"/>
          <w:sz w:val="24"/>
          <w:szCs w:val="24"/>
        </w:rPr>
        <w:t xml:space="preserve"> [2014] IESC 21 and </w:t>
      </w:r>
      <w:proofErr w:type="spellStart"/>
      <w:r w:rsidR="00815314" w:rsidRPr="00815314">
        <w:rPr>
          <w:rFonts w:ascii="Times New Roman" w:hAnsi="Times New Roman" w:cs="Times New Roman"/>
          <w:i/>
          <w:sz w:val="24"/>
          <w:szCs w:val="24"/>
        </w:rPr>
        <w:t>Moylist</w:t>
      </w:r>
      <w:proofErr w:type="spellEnd"/>
      <w:r w:rsidR="00815314" w:rsidRPr="00815314">
        <w:rPr>
          <w:rFonts w:ascii="Times New Roman" w:hAnsi="Times New Roman" w:cs="Times New Roman"/>
          <w:i/>
          <w:sz w:val="24"/>
          <w:szCs w:val="24"/>
        </w:rPr>
        <w:t xml:space="preserve"> Construction Ltd v</w:t>
      </w:r>
      <w:r w:rsidR="00F34D05">
        <w:rPr>
          <w:rFonts w:ascii="Times New Roman" w:hAnsi="Times New Roman" w:cs="Times New Roman"/>
          <w:i/>
          <w:sz w:val="24"/>
          <w:szCs w:val="24"/>
        </w:rPr>
        <w:t>.</w:t>
      </w:r>
      <w:r w:rsidR="00815314" w:rsidRPr="00815314">
        <w:rPr>
          <w:rFonts w:ascii="Times New Roman" w:hAnsi="Times New Roman" w:cs="Times New Roman"/>
          <w:i/>
          <w:sz w:val="24"/>
          <w:szCs w:val="24"/>
        </w:rPr>
        <w:t xml:space="preserve">  Doheny</w:t>
      </w:r>
      <w:r w:rsidR="00815314">
        <w:rPr>
          <w:rFonts w:ascii="Times New Roman" w:hAnsi="Times New Roman" w:cs="Times New Roman"/>
          <w:sz w:val="24"/>
          <w:szCs w:val="24"/>
        </w:rPr>
        <w:t xml:space="preserve"> [2016] IESC 9</w:t>
      </w:r>
      <w:r w:rsidR="003C2278">
        <w:rPr>
          <w:rFonts w:ascii="Times New Roman" w:hAnsi="Times New Roman" w:cs="Times New Roman"/>
          <w:sz w:val="24"/>
          <w:szCs w:val="24"/>
        </w:rPr>
        <w:t xml:space="preserve"> and</w:t>
      </w:r>
      <w:r w:rsidR="003C2278" w:rsidRPr="003C2278">
        <w:rPr>
          <w:rFonts w:ascii="Times New Roman" w:hAnsi="Times New Roman" w:cs="Times New Roman"/>
          <w:sz w:val="24"/>
          <w:szCs w:val="24"/>
        </w:rPr>
        <w:t xml:space="preserve"> </w:t>
      </w:r>
      <w:r w:rsidR="003C2278">
        <w:rPr>
          <w:rFonts w:ascii="Times New Roman" w:hAnsi="Times New Roman" w:cs="Times New Roman"/>
          <w:sz w:val="24"/>
          <w:szCs w:val="24"/>
        </w:rPr>
        <w:t xml:space="preserve">the quotation from </w:t>
      </w:r>
      <w:r w:rsidR="003C2278" w:rsidRPr="00815314">
        <w:rPr>
          <w:rFonts w:ascii="Times New Roman" w:hAnsi="Times New Roman" w:cs="Times New Roman"/>
          <w:i/>
          <w:sz w:val="24"/>
          <w:szCs w:val="24"/>
        </w:rPr>
        <w:t>McCaughey</w:t>
      </w:r>
      <w:r w:rsidR="003C2278">
        <w:rPr>
          <w:rFonts w:ascii="Times New Roman" w:hAnsi="Times New Roman" w:cs="Times New Roman"/>
          <w:i/>
          <w:sz w:val="24"/>
          <w:szCs w:val="24"/>
        </w:rPr>
        <w:t xml:space="preserve"> </w:t>
      </w:r>
      <w:r w:rsidR="003C2278" w:rsidRPr="00C919E4">
        <w:rPr>
          <w:rFonts w:ascii="Times New Roman" w:hAnsi="Times New Roman" w:cs="Times New Roman"/>
          <w:sz w:val="24"/>
          <w:szCs w:val="24"/>
        </w:rPr>
        <w:t xml:space="preserve">quoted </w:t>
      </w:r>
      <w:r w:rsidR="003C2278">
        <w:rPr>
          <w:rFonts w:ascii="Times New Roman" w:hAnsi="Times New Roman" w:cs="Times New Roman"/>
          <w:sz w:val="24"/>
          <w:szCs w:val="24"/>
        </w:rPr>
        <w:t>above,</w:t>
      </w:r>
      <w:r w:rsidR="00815314">
        <w:rPr>
          <w:rFonts w:ascii="Times New Roman" w:hAnsi="Times New Roman" w:cs="Times New Roman"/>
          <w:sz w:val="24"/>
          <w:szCs w:val="24"/>
        </w:rPr>
        <w:t xml:space="preserve"> </w:t>
      </w:r>
      <w:r w:rsidR="000F351C">
        <w:rPr>
          <w:rFonts w:ascii="Times New Roman" w:hAnsi="Times New Roman" w:cs="Times New Roman"/>
          <w:sz w:val="24"/>
          <w:szCs w:val="24"/>
        </w:rPr>
        <w:t>held</w:t>
      </w:r>
      <w:r w:rsidR="00815314">
        <w:rPr>
          <w:rFonts w:ascii="Times New Roman" w:hAnsi="Times New Roman" w:cs="Times New Roman"/>
          <w:sz w:val="24"/>
          <w:szCs w:val="24"/>
        </w:rPr>
        <w:t xml:space="preserve"> that</w:t>
      </w:r>
      <w:r w:rsidR="003C2278">
        <w:rPr>
          <w:rFonts w:ascii="Times New Roman" w:hAnsi="Times New Roman" w:cs="Times New Roman"/>
          <w:sz w:val="24"/>
          <w:szCs w:val="24"/>
        </w:rPr>
        <w:t xml:space="preserve"> </w:t>
      </w:r>
      <w:r w:rsidR="008F6923">
        <w:rPr>
          <w:rFonts w:ascii="Times New Roman" w:hAnsi="Times New Roman" w:cs="Times New Roman"/>
          <w:sz w:val="24"/>
          <w:szCs w:val="24"/>
        </w:rPr>
        <w:t>the relative</w:t>
      </w:r>
      <w:r w:rsidR="00DD27B6">
        <w:rPr>
          <w:rFonts w:ascii="Times New Roman" w:hAnsi="Times New Roman" w:cs="Times New Roman"/>
          <w:sz w:val="24"/>
          <w:szCs w:val="24"/>
        </w:rPr>
        <w:t>ly</w:t>
      </w:r>
      <w:r w:rsidR="008F6923">
        <w:rPr>
          <w:rFonts w:ascii="Times New Roman" w:hAnsi="Times New Roman" w:cs="Times New Roman"/>
          <w:sz w:val="24"/>
          <w:szCs w:val="24"/>
        </w:rPr>
        <w:t xml:space="preserve"> </w:t>
      </w:r>
      <w:r w:rsidR="00BB09B6">
        <w:rPr>
          <w:rFonts w:ascii="Times New Roman" w:hAnsi="Times New Roman" w:cs="Times New Roman"/>
          <w:sz w:val="24"/>
          <w:szCs w:val="24"/>
        </w:rPr>
        <w:t xml:space="preserve">limited </w:t>
      </w:r>
      <w:r w:rsidR="008F6923">
        <w:rPr>
          <w:rFonts w:ascii="Times New Roman" w:hAnsi="Times New Roman" w:cs="Times New Roman"/>
          <w:sz w:val="24"/>
          <w:szCs w:val="24"/>
        </w:rPr>
        <w:t>evidence potentially available to a party in summary judgment proceedings necessitated</w:t>
      </w:r>
      <w:r w:rsidR="0015482C">
        <w:rPr>
          <w:rFonts w:ascii="Times New Roman" w:hAnsi="Times New Roman" w:cs="Times New Roman"/>
          <w:sz w:val="24"/>
          <w:szCs w:val="24"/>
        </w:rPr>
        <w:t xml:space="preserve"> a</w:t>
      </w:r>
      <w:r w:rsidR="008F6923">
        <w:rPr>
          <w:rFonts w:ascii="Times New Roman" w:hAnsi="Times New Roman" w:cs="Times New Roman"/>
          <w:sz w:val="24"/>
          <w:szCs w:val="24"/>
        </w:rPr>
        <w:t xml:space="preserve"> more</w:t>
      </w:r>
      <w:r w:rsidR="0015482C">
        <w:rPr>
          <w:rFonts w:ascii="Times New Roman" w:hAnsi="Times New Roman" w:cs="Times New Roman"/>
          <w:sz w:val="24"/>
          <w:szCs w:val="24"/>
        </w:rPr>
        <w:t xml:space="preserve"> flexible approach</w:t>
      </w:r>
      <w:r w:rsidR="008F6923">
        <w:rPr>
          <w:rFonts w:ascii="Times New Roman" w:hAnsi="Times New Roman" w:cs="Times New Roman"/>
          <w:sz w:val="24"/>
          <w:szCs w:val="24"/>
        </w:rPr>
        <w:t xml:space="preserve"> in considering the question of adducing new evidence</w:t>
      </w:r>
      <w:r w:rsidR="0015482C">
        <w:rPr>
          <w:rFonts w:ascii="Times New Roman" w:hAnsi="Times New Roman" w:cs="Times New Roman"/>
          <w:sz w:val="24"/>
          <w:szCs w:val="24"/>
        </w:rPr>
        <w:t>.</w:t>
      </w:r>
      <w:r w:rsidR="00815314">
        <w:rPr>
          <w:rFonts w:ascii="Times New Roman" w:hAnsi="Times New Roman" w:cs="Times New Roman"/>
          <w:sz w:val="24"/>
          <w:szCs w:val="24"/>
        </w:rPr>
        <w:t xml:space="preserve"> </w:t>
      </w:r>
    </w:p>
    <w:p w14:paraId="0D5D82A6" w14:textId="3D649912" w:rsidR="009E064D" w:rsidRPr="00BB6AA5" w:rsidRDefault="00796401" w:rsidP="00685C84">
      <w:pPr>
        <w:pStyle w:val="ListParagraph"/>
        <w:numPr>
          <w:ilvl w:val="0"/>
          <w:numId w:val="1"/>
        </w:numPr>
        <w:tabs>
          <w:tab w:val="left" w:pos="567"/>
        </w:tabs>
        <w:spacing w:line="480" w:lineRule="auto"/>
        <w:ind w:left="0" w:firstLine="0"/>
        <w:rPr>
          <w:rFonts w:ascii="Times New Roman" w:hAnsi="Times New Roman" w:cs="Times New Roman"/>
          <w:i/>
          <w:sz w:val="24"/>
          <w:szCs w:val="24"/>
        </w:rPr>
      </w:pPr>
      <w:r w:rsidRPr="00BB6AA5">
        <w:rPr>
          <w:rFonts w:ascii="Times New Roman" w:hAnsi="Times New Roman" w:cs="Times New Roman"/>
          <w:sz w:val="24"/>
          <w:szCs w:val="24"/>
        </w:rPr>
        <w:t>On the facts of this case no new evidence was sought to be adduced on appeal</w:t>
      </w:r>
      <w:r w:rsidR="008F6923" w:rsidRPr="00BB6AA5">
        <w:rPr>
          <w:rFonts w:ascii="Times New Roman" w:hAnsi="Times New Roman" w:cs="Times New Roman"/>
          <w:sz w:val="24"/>
          <w:szCs w:val="24"/>
        </w:rPr>
        <w:t>.  T</w:t>
      </w:r>
      <w:r w:rsidRPr="00BB6AA5">
        <w:rPr>
          <w:rFonts w:ascii="Times New Roman" w:hAnsi="Times New Roman" w:cs="Times New Roman"/>
          <w:sz w:val="24"/>
          <w:szCs w:val="24"/>
        </w:rPr>
        <w:t xml:space="preserve">he new </w:t>
      </w:r>
      <w:r w:rsidR="000F351C" w:rsidRPr="00BB6AA5">
        <w:rPr>
          <w:rFonts w:ascii="Times New Roman" w:hAnsi="Times New Roman" w:cs="Times New Roman"/>
          <w:sz w:val="24"/>
          <w:szCs w:val="24"/>
        </w:rPr>
        <w:t>argument</w:t>
      </w:r>
      <w:r w:rsidR="009B03F3" w:rsidRPr="00BB6AA5">
        <w:rPr>
          <w:rFonts w:ascii="Times New Roman" w:hAnsi="Times New Roman" w:cs="Times New Roman"/>
          <w:sz w:val="24"/>
          <w:szCs w:val="24"/>
        </w:rPr>
        <w:t xml:space="preserve"> relies upon existing documentation in contending</w:t>
      </w:r>
      <w:r w:rsidR="008F6923" w:rsidRPr="00BB6AA5">
        <w:rPr>
          <w:rFonts w:ascii="Times New Roman" w:hAnsi="Times New Roman" w:cs="Times New Roman"/>
          <w:sz w:val="24"/>
          <w:szCs w:val="24"/>
        </w:rPr>
        <w:t xml:space="preserve"> that the pleadings within the indorsement of claim </w:t>
      </w:r>
      <w:r w:rsidR="009B03F3" w:rsidRPr="00BB6AA5">
        <w:rPr>
          <w:rFonts w:ascii="Times New Roman" w:hAnsi="Times New Roman" w:cs="Times New Roman"/>
          <w:sz w:val="24"/>
          <w:szCs w:val="24"/>
        </w:rPr>
        <w:t xml:space="preserve">give rise to an argument as to whether it is pleaded with sufficient specificity as </w:t>
      </w:r>
      <w:r w:rsidR="00137273" w:rsidRPr="00BB6AA5">
        <w:rPr>
          <w:rFonts w:ascii="Times New Roman" w:hAnsi="Times New Roman" w:cs="Times New Roman"/>
          <w:sz w:val="24"/>
          <w:szCs w:val="24"/>
        </w:rPr>
        <w:t>consider</w:t>
      </w:r>
      <w:r w:rsidR="009B03F3" w:rsidRPr="00BB6AA5">
        <w:rPr>
          <w:rFonts w:ascii="Times New Roman" w:hAnsi="Times New Roman" w:cs="Times New Roman"/>
          <w:sz w:val="24"/>
          <w:szCs w:val="24"/>
        </w:rPr>
        <w:t xml:space="preserve">ed within </w:t>
      </w:r>
      <w:r w:rsidR="009B03F3" w:rsidRPr="00BB6AA5">
        <w:rPr>
          <w:rFonts w:ascii="Times New Roman" w:hAnsi="Times New Roman" w:cs="Times New Roman"/>
          <w:i/>
          <w:sz w:val="24"/>
          <w:szCs w:val="24"/>
        </w:rPr>
        <w:t>O’Malley</w:t>
      </w:r>
      <w:r w:rsidR="009B03F3" w:rsidRPr="00BB6AA5">
        <w:rPr>
          <w:rFonts w:ascii="Times New Roman" w:hAnsi="Times New Roman" w:cs="Times New Roman"/>
          <w:sz w:val="24"/>
          <w:szCs w:val="24"/>
        </w:rPr>
        <w:t xml:space="preserve">.   </w:t>
      </w:r>
    </w:p>
    <w:p w14:paraId="767E586D" w14:textId="36FB399D" w:rsidR="00890AAF" w:rsidRDefault="009B03F3" w:rsidP="003C2195">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Whilst this argument was not reflected within the Notice of Appeal</w:t>
      </w:r>
      <w:r w:rsidR="002136B4">
        <w:rPr>
          <w:rFonts w:ascii="Times New Roman" w:hAnsi="Times New Roman" w:cs="Times New Roman"/>
          <w:sz w:val="24"/>
          <w:szCs w:val="24"/>
        </w:rPr>
        <w:t>, the point is raised within Mr</w:t>
      </w:r>
      <w:r w:rsidR="00E84FA4">
        <w:rPr>
          <w:rFonts w:ascii="Times New Roman" w:hAnsi="Times New Roman" w:cs="Times New Roman"/>
          <w:sz w:val="24"/>
          <w:szCs w:val="24"/>
        </w:rPr>
        <w:t>.</w:t>
      </w:r>
      <w:r w:rsidR="002136B4">
        <w:rPr>
          <w:rFonts w:ascii="Times New Roman" w:hAnsi="Times New Roman" w:cs="Times New Roman"/>
          <w:sz w:val="24"/>
          <w:szCs w:val="24"/>
        </w:rPr>
        <w:t xml:space="preserve"> Doran’s written submissions</w:t>
      </w:r>
      <w:r w:rsidR="004B568F">
        <w:rPr>
          <w:rFonts w:ascii="Times New Roman" w:hAnsi="Times New Roman" w:cs="Times New Roman"/>
          <w:sz w:val="24"/>
          <w:szCs w:val="24"/>
        </w:rPr>
        <w:t xml:space="preserve"> of 1 December 2020 </w:t>
      </w:r>
      <w:r w:rsidR="00BB09B6">
        <w:rPr>
          <w:rFonts w:ascii="Times New Roman" w:hAnsi="Times New Roman" w:cs="Times New Roman"/>
          <w:sz w:val="24"/>
          <w:szCs w:val="24"/>
        </w:rPr>
        <w:t>cit</w:t>
      </w:r>
      <w:r w:rsidR="004B568F">
        <w:rPr>
          <w:rFonts w:ascii="Times New Roman" w:hAnsi="Times New Roman" w:cs="Times New Roman"/>
          <w:sz w:val="24"/>
          <w:szCs w:val="24"/>
        </w:rPr>
        <w:t xml:space="preserve">ing the </w:t>
      </w:r>
      <w:r w:rsidR="004B568F" w:rsidRPr="004B568F">
        <w:rPr>
          <w:rFonts w:ascii="Times New Roman" w:hAnsi="Times New Roman" w:cs="Times New Roman"/>
          <w:i/>
          <w:sz w:val="24"/>
          <w:szCs w:val="24"/>
        </w:rPr>
        <w:t>O’Malley</w:t>
      </w:r>
      <w:r w:rsidR="004B568F">
        <w:rPr>
          <w:rFonts w:ascii="Times New Roman" w:hAnsi="Times New Roman" w:cs="Times New Roman"/>
          <w:sz w:val="24"/>
          <w:szCs w:val="24"/>
        </w:rPr>
        <w:t xml:space="preserve"> judgment.  </w:t>
      </w:r>
      <w:r>
        <w:rPr>
          <w:rFonts w:ascii="Times New Roman" w:hAnsi="Times New Roman" w:cs="Times New Roman"/>
          <w:sz w:val="24"/>
          <w:szCs w:val="24"/>
        </w:rPr>
        <w:t xml:space="preserve"> Whilst opposing the</w:t>
      </w:r>
      <w:r w:rsidR="00636BD0">
        <w:rPr>
          <w:rFonts w:ascii="Times New Roman" w:hAnsi="Times New Roman" w:cs="Times New Roman"/>
          <w:sz w:val="24"/>
          <w:szCs w:val="24"/>
        </w:rPr>
        <w:t xml:space="preserve"> appellant</w:t>
      </w:r>
      <w:r>
        <w:rPr>
          <w:rFonts w:ascii="Times New Roman" w:hAnsi="Times New Roman" w:cs="Times New Roman"/>
          <w:sz w:val="24"/>
          <w:szCs w:val="24"/>
        </w:rPr>
        <w:t xml:space="preserve">’s entitlement to raise it, </w:t>
      </w:r>
      <w:r w:rsidR="002F4694">
        <w:rPr>
          <w:rFonts w:ascii="Times New Roman" w:hAnsi="Times New Roman" w:cs="Times New Roman"/>
          <w:sz w:val="24"/>
          <w:szCs w:val="24"/>
        </w:rPr>
        <w:t>the plaintiff</w:t>
      </w:r>
      <w:r w:rsidR="004B568F">
        <w:rPr>
          <w:rFonts w:ascii="Times New Roman" w:hAnsi="Times New Roman" w:cs="Times New Roman"/>
          <w:sz w:val="24"/>
          <w:szCs w:val="24"/>
        </w:rPr>
        <w:t xml:space="preserve"> was on notice of it within the submissions (and dealt with the argument within its own submissions of 24 December 2020).  Moreover, it was in a position</w:t>
      </w:r>
      <w:r w:rsidR="002F4694">
        <w:rPr>
          <w:rFonts w:ascii="Times New Roman" w:hAnsi="Times New Roman" w:cs="Times New Roman"/>
          <w:sz w:val="24"/>
          <w:szCs w:val="24"/>
        </w:rPr>
        <w:t xml:space="preserve"> to </w:t>
      </w:r>
      <w:r w:rsidR="00431FD9">
        <w:rPr>
          <w:rFonts w:ascii="Times New Roman" w:hAnsi="Times New Roman" w:cs="Times New Roman"/>
          <w:sz w:val="24"/>
          <w:szCs w:val="24"/>
        </w:rPr>
        <w:t>deal with</w:t>
      </w:r>
      <w:r w:rsidR="002F4694">
        <w:rPr>
          <w:rFonts w:ascii="Times New Roman" w:hAnsi="Times New Roman" w:cs="Times New Roman"/>
          <w:sz w:val="24"/>
          <w:szCs w:val="24"/>
        </w:rPr>
        <w:t xml:space="preserve"> the argument in its submissions to the court. </w:t>
      </w:r>
      <w:r w:rsidR="00414051">
        <w:rPr>
          <w:rFonts w:ascii="Times New Roman" w:hAnsi="Times New Roman" w:cs="Times New Roman"/>
          <w:sz w:val="24"/>
          <w:szCs w:val="24"/>
        </w:rPr>
        <w:t xml:space="preserve">  Whilst not raised before the </w:t>
      </w:r>
      <w:r w:rsidR="00BE1162">
        <w:rPr>
          <w:rFonts w:ascii="Times New Roman" w:hAnsi="Times New Roman" w:cs="Times New Roman"/>
          <w:sz w:val="24"/>
          <w:szCs w:val="24"/>
        </w:rPr>
        <w:t>H</w:t>
      </w:r>
      <w:r w:rsidR="00414051">
        <w:rPr>
          <w:rFonts w:ascii="Times New Roman" w:hAnsi="Times New Roman" w:cs="Times New Roman"/>
          <w:sz w:val="24"/>
          <w:szCs w:val="24"/>
        </w:rPr>
        <w:t xml:space="preserve">igh </w:t>
      </w:r>
      <w:r w:rsidR="00BE1162">
        <w:rPr>
          <w:rFonts w:ascii="Times New Roman" w:hAnsi="Times New Roman" w:cs="Times New Roman"/>
          <w:sz w:val="24"/>
          <w:szCs w:val="24"/>
        </w:rPr>
        <w:t>C</w:t>
      </w:r>
      <w:r w:rsidR="00414051">
        <w:rPr>
          <w:rFonts w:ascii="Times New Roman" w:hAnsi="Times New Roman" w:cs="Times New Roman"/>
          <w:sz w:val="24"/>
          <w:szCs w:val="24"/>
        </w:rPr>
        <w:t>ourt</w:t>
      </w:r>
      <w:r w:rsidR="00BB09B6">
        <w:rPr>
          <w:rFonts w:ascii="Times New Roman" w:hAnsi="Times New Roman" w:cs="Times New Roman"/>
          <w:sz w:val="24"/>
          <w:szCs w:val="24"/>
        </w:rPr>
        <w:t xml:space="preserve"> the judgment in</w:t>
      </w:r>
      <w:r w:rsidR="00414051">
        <w:rPr>
          <w:rFonts w:ascii="Times New Roman" w:hAnsi="Times New Roman" w:cs="Times New Roman"/>
          <w:sz w:val="24"/>
          <w:szCs w:val="24"/>
        </w:rPr>
        <w:t xml:space="preserve"> </w:t>
      </w:r>
      <w:r w:rsidR="00414051" w:rsidRPr="00414051">
        <w:rPr>
          <w:rFonts w:ascii="Times New Roman" w:hAnsi="Times New Roman" w:cs="Times New Roman"/>
          <w:i/>
          <w:sz w:val="24"/>
          <w:szCs w:val="24"/>
        </w:rPr>
        <w:t xml:space="preserve">O’Malley </w:t>
      </w:r>
      <w:r w:rsidR="00414051">
        <w:rPr>
          <w:rFonts w:ascii="Times New Roman" w:hAnsi="Times New Roman" w:cs="Times New Roman"/>
          <w:sz w:val="24"/>
          <w:szCs w:val="24"/>
        </w:rPr>
        <w:t>had not been de</w:t>
      </w:r>
      <w:r w:rsidR="00BC7B08">
        <w:rPr>
          <w:rFonts w:ascii="Times New Roman" w:hAnsi="Times New Roman" w:cs="Times New Roman"/>
          <w:sz w:val="24"/>
          <w:szCs w:val="24"/>
        </w:rPr>
        <w:t>livered</w:t>
      </w:r>
      <w:r w:rsidR="00BB09B6">
        <w:rPr>
          <w:rFonts w:ascii="Times New Roman" w:hAnsi="Times New Roman" w:cs="Times New Roman"/>
          <w:sz w:val="24"/>
          <w:szCs w:val="24"/>
        </w:rPr>
        <w:t xml:space="preserve"> and thereafter</w:t>
      </w:r>
      <w:r w:rsidR="00414051">
        <w:rPr>
          <w:rFonts w:ascii="Times New Roman" w:hAnsi="Times New Roman" w:cs="Times New Roman"/>
          <w:sz w:val="24"/>
          <w:szCs w:val="24"/>
        </w:rPr>
        <w:t xml:space="preserve"> this argument </w:t>
      </w:r>
      <w:r w:rsidR="00BB09B6">
        <w:rPr>
          <w:rFonts w:ascii="Times New Roman" w:hAnsi="Times New Roman" w:cs="Times New Roman"/>
          <w:sz w:val="24"/>
          <w:szCs w:val="24"/>
        </w:rPr>
        <w:t xml:space="preserve">has </w:t>
      </w:r>
      <w:r w:rsidR="00414051">
        <w:rPr>
          <w:rFonts w:ascii="Times New Roman" w:hAnsi="Times New Roman" w:cs="Times New Roman"/>
          <w:sz w:val="24"/>
          <w:szCs w:val="24"/>
        </w:rPr>
        <w:t>assumed a greater importance in summary judgment cases.</w:t>
      </w:r>
      <w:r w:rsidR="002F4694">
        <w:rPr>
          <w:rFonts w:ascii="Times New Roman" w:hAnsi="Times New Roman" w:cs="Times New Roman"/>
          <w:sz w:val="24"/>
          <w:szCs w:val="24"/>
        </w:rPr>
        <w:t xml:space="preserve">  </w:t>
      </w:r>
    </w:p>
    <w:p w14:paraId="34AD3597" w14:textId="716C280D" w:rsidR="009B03F3" w:rsidRPr="009065F2" w:rsidRDefault="002F4694" w:rsidP="003C2195">
      <w:pPr>
        <w:pStyle w:val="ListParagraph"/>
        <w:numPr>
          <w:ilvl w:val="0"/>
          <w:numId w:val="1"/>
        </w:numPr>
        <w:tabs>
          <w:tab w:val="left" w:pos="567"/>
        </w:tabs>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considering the flexible approach advocated in </w:t>
      </w:r>
      <w:r w:rsidRPr="008D286C">
        <w:rPr>
          <w:rFonts w:ascii="Times New Roman" w:hAnsi="Times New Roman" w:cs="Times New Roman"/>
          <w:i/>
          <w:sz w:val="24"/>
          <w:szCs w:val="24"/>
        </w:rPr>
        <w:t>Ennis</w:t>
      </w:r>
      <w:r>
        <w:rPr>
          <w:rFonts w:ascii="Times New Roman" w:hAnsi="Times New Roman" w:cs="Times New Roman"/>
          <w:sz w:val="24"/>
          <w:szCs w:val="24"/>
        </w:rPr>
        <w:t xml:space="preserve"> the court is satisfied that this is an appropriate case to consider the new argument advanced</w:t>
      </w:r>
      <w:r w:rsidR="00B578AC">
        <w:rPr>
          <w:rFonts w:ascii="Times New Roman" w:hAnsi="Times New Roman" w:cs="Times New Roman"/>
          <w:sz w:val="24"/>
          <w:szCs w:val="24"/>
        </w:rPr>
        <w:t xml:space="preserve"> by the appellant</w:t>
      </w:r>
      <w:r>
        <w:rPr>
          <w:rFonts w:ascii="Times New Roman" w:hAnsi="Times New Roman" w:cs="Times New Roman"/>
          <w:sz w:val="24"/>
          <w:szCs w:val="24"/>
        </w:rPr>
        <w:t xml:space="preserve"> in the determination of this appeal</w:t>
      </w:r>
      <w:r w:rsidR="00B578AC">
        <w:rPr>
          <w:rFonts w:ascii="Times New Roman" w:hAnsi="Times New Roman" w:cs="Times New Roman"/>
          <w:sz w:val="24"/>
          <w:szCs w:val="24"/>
        </w:rPr>
        <w:t>.  It was not one which took the Bank by surprise and is an argument which features in many summary judgment cases.</w:t>
      </w:r>
    </w:p>
    <w:p w14:paraId="42778AEE" w14:textId="1913410C" w:rsidR="00ED267B" w:rsidRPr="00220ED4" w:rsidRDefault="00ED267B" w:rsidP="00685C84">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issue</w:t>
      </w:r>
      <w:r w:rsidR="003C2278">
        <w:rPr>
          <w:rFonts w:ascii="Times New Roman" w:hAnsi="Times New Roman" w:cs="Times New Roman"/>
          <w:sz w:val="24"/>
          <w:szCs w:val="24"/>
        </w:rPr>
        <w:t xml:space="preserve"> in this case is</w:t>
      </w:r>
      <w:r>
        <w:rPr>
          <w:rFonts w:ascii="Times New Roman" w:hAnsi="Times New Roman" w:cs="Times New Roman"/>
          <w:sz w:val="24"/>
          <w:szCs w:val="24"/>
        </w:rPr>
        <w:t xml:space="preserve"> therefore whether the pleadings and any documentation referred to within it satisfies the evidential burden of proof required of the Bank in seeking summary judgment.  </w:t>
      </w:r>
    </w:p>
    <w:p w14:paraId="15B44356" w14:textId="12763114" w:rsidR="003C2278" w:rsidRPr="00B74ED1" w:rsidRDefault="00C76158" w:rsidP="003C2278">
      <w:pPr>
        <w:pStyle w:val="ListParagraph"/>
        <w:numPr>
          <w:ilvl w:val="0"/>
          <w:numId w:val="1"/>
        </w:numPr>
        <w:spacing w:line="480" w:lineRule="auto"/>
        <w:ind w:left="0" w:firstLine="0"/>
        <w:rPr>
          <w:rFonts w:ascii="Times New Roman" w:hAnsi="Times New Roman" w:cs="Times New Roman"/>
          <w:sz w:val="24"/>
          <w:szCs w:val="24"/>
        </w:rPr>
      </w:pPr>
      <w:r w:rsidRPr="00B74ED1">
        <w:rPr>
          <w:rFonts w:ascii="Times New Roman" w:hAnsi="Times New Roman" w:cs="Times New Roman"/>
          <w:sz w:val="24"/>
          <w:szCs w:val="24"/>
        </w:rPr>
        <w:t xml:space="preserve">In considering the indorsement of claim in light of the judgment in </w:t>
      </w:r>
      <w:r w:rsidRPr="00B74ED1">
        <w:rPr>
          <w:rFonts w:ascii="Times New Roman" w:hAnsi="Times New Roman" w:cs="Times New Roman"/>
          <w:i/>
          <w:sz w:val="24"/>
          <w:szCs w:val="24"/>
        </w:rPr>
        <w:t>O’Malley</w:t>
      </w:r>
      <w:r w:rsidRPr="00B74ED1">
        <w:rPr>
          <w:rFonts w:ascii="Times New Roman" w:hAnsi="Times New Roman" w:cs="Times New Roman"/>
          <w:sz w:val="24"/>
          <w:szCs w:val="24"/>
        </w:rPr>
        <w:t>, there is no calculation of interest within this pleading or in any other document furnished to Mr</w:t>
      </w:r>
      <w:r w:rsidR="00E84FA4">
        <w:rPr>
          <w:rFonts w:ascii="Times New Roman" w:hAnsi="Times New Roman" w:cs="Times New Roman"/>
          <w:sz w:val="24"/>
          <w:szCs w:val="24"/>
        </w:rPr>
        <w:t>.</w:t>
      </w:r>
      <w:r w:rsidRPr="00B74ED1">
        <w:rPr>
          <w:rFonts w:ascii="Times New Roman" w:hAnsi="Times New Roman" w:cs="Times New Roman"/>
          <w:sz w:val="24"/>
          <w:szCs w:val="24"/>
        </w:rPr>
        <w:t xml:space="preserve"> Doran.  </w:t>
      </w:r>
      <w:r w:rsidR="003C2278">
        <w:rPr>
          <w:rFonts w:ascii="Times New Roman" w:hAnsi="Times New Roman" w:cs="Times New Roman"/>
          <w:sz w:val="24"/>
          <w:szCs w:val="24"/>
        </w:rPr>
        <w:t xml:space="preserve">The interest rate clearly varied throughout the duration of the facility. </w:t>
      </w:r>
      <w:r w:rsidR="003C2278" w:rsidRPr="00B74ED1">
        <w:rPr>
          <w:rFonts w:ascii="Times New Roman" w:hAnsi="Times New Roman" w:cs="Times New Roman"/>
          <w:sz w:val="24"/>
          <w:szCs w:val="24"/>
        </w:rPr>
        <w:t>In the second affidavit of Mr</w:t>
      </w:r>
      <w:r w:rsidR="003C2278">
        <w:rPr>
          <w:rFonts w:ascii="Times New Roman" w:hAnsi="Times New Roman" w:cs="Times New Roman"/>
          <w:sz w:val="24"/>
          <w:szCs w:val="24"/>
        </w:rPr>
        <w:t>.</w:t>
      </w:r>
      <w:r w:rsidR="003C2278" w:rsidRPr="00B74ED1">
        <w:rPr>
          <w:rFonts w:ascii="Times New Roman" w:hAnsi="Times New Roman" w:cs="Times New Roman"/>
          <w:sz w:val="24"/>
          <w:szCs w:val="24"/>
        </w:rPr>
        <w:t xml:space="preserve"> Hardiman</w:t>
      </w:r>
      <w:r w:rsidR="009C1EC5">
        <w:rPr>
          <w:rFonts w:ascii="Times New Roman" w:hAnsi="Times New Roman" w:cs="Times New Roman"/>
          <w:sz w:val="24"/>
          <w:szCs w:val="24"/>
        </w:rPr>
        <w:t>,</w:t>
      </w:r>
      <w:r w:rsidR="00986540">
        <w:rPr>
          <w:rFonts w:ascii="Times New Roman" w:hAnsi="Times New Roman" w:cs="Times New Roman"/>
          <w:sz w:val="24"/>
          <w:szCs w:val="24"/>
        </w:rPr>
        <w:t xml:space="preserve"> the</w:t>
      </w:r>
      <w:r w:rsidR="003C2278" w:rsidRPr="00B74ED1">
        <w:rPr>
          <w:rFonts w:ascii="Times New Roman" w:hAnsi="Times New Roman" w:cs="Times New Roman"/>
          <w:sz w:val="24"/>
          <w:szCs w:val="24"/>
        </w:rPr>
        <w:t xml:space="preserve"> 2007 and 2010 facility letters terms and interest rates are set out; in the 2007 facility letter </w:t>
      </w:r>
      <w:r w:rsidR="003C2278" w:rsidRPr="003C2278">
        <w:rPr>
          <w:rFonts w:ascii="Times New Roman" w:hAnsi="Times New Roman" w:cs="Times New Roman"/>
          <w:i/>
          <w:sz w:val="24"/>
          <w:szCs w:val="24"/>
        </w:rPr>
        <w:t>‘</w:t>
      </w:r>
      <w:r w:rsidR="00D342B0">
        <w:rPr>
          <w:rFonts w:ascii="Times New Roman" w:hAnsi="Times New Roman" w:cs="Times New Roman"/>
          <w:i/>
          <w:sz w:val="24"/>
          <w:szCs w:val="24"/>
        </w:rPr>
        <w:t>P</w:t>
      </w:r>
      <w:r w:rsidR="003C2278" w:rsidRPr="003C2278">
        <w:rPr>
          <w:rFonts w:ascii="Times New Roman" w:hAnsi="Times New Roman" w:cs="Times New Roman"/>
          <w:i/>
          <w:sz w:val="24"/>
          <w:szCs w:val="24"/>
        </w:rPr>
        <w:t>rime rate varying, plus 1.25% per annum, currently 5.125% per annum’</w:t>
      </w:r>
      <w:r w:rsidR="003C2278" w:rsidRPr="00B74ED1">
        <w:rPr>
          <w:rFonts w:ascii="Times New Roman" w:hAnsi="Times New Roman" w:cs="Times New Roman"/>
          <w:sz w:val="24"/>
          <w:szCs w:val="24"/>
        </w:rPr>
        <w:t xml:space="preserve">, the 2010 facility letter as </w:t>
      </w:r>
      <w:r w:rsidR="003C2278" w:rsidRPr="003C2278">
        <w:rPr>
          <w:rFonts w:ascii="Times New Roman" w:hAnsi="Times New Roman" w:cs="Times New Roman"/>
          <w:i/>
          <w:sz w:val="24"/>
          <w:szCs w:val="24"/>
        </w:rPr>
        <w:t>‘</w:t>
      </w:r>
      <w:r w:rsidR="00D342B0">
        <w:rPr>
          <w:rFonts w:ascii="Times New Roman" w:hAnsi="Times New Roman" w:cs="Times New Roman"/>
          <w:i/>
          <w:sz w:val="24"/>
          <w:szCs w:val="24"/>
        </w:rPr>
        <w:t>B</w:t>
      </w:r>
      <w:r w:rsidR="003C2278" w:rsidRPr="003C2278">
        <w:rPr>
          <w:rFonts w:ascii="Times New Roman" w:hAnsi="Times New Roman" w:cs="Times New Roman"/>
          <w:i/>
          <w:sz w:val="24"/>
          <w:szCs w:val="24"/>
        </w:rPr>
        <w:t>ase lending rate varying, plus 1.75% per annum, currently 2.74% per annum and includ</w:t>
      </w:r>
      <w:r w:rsidR="00D342B0">
        <w:rPr>
          <w:rFonts w:ascii="Times New Roman" w:hAnsi="Times New Roman" w:cs="Times New Roman"/>
          <w:i/>
          <w:sz w:val="24"/>
          <w:szCs w:val="24"/>
        </w:rPr>
        <w:t>es</w:t>
      </w:r>
      <w:r w:rsidR="003C2278" w:rsidRPr="003C2278">
        <w:rPr>
          <w:rFonts w:ascii="Times New Roman" w:hAnsi="Times New Roman" w:cs="Times New Roman"/>
          <w:i/>
          <w:sz w:val="24"/>
          <w:szCs w:val="24"/>
        </w:rPr>
        <w:t xml:space="preserve"> a </w:t>
      </w:r>
      <w:r w:rsidR="00D342B0">
        <w:rPr>
          <w:rFonts w:ascii="Times New Roman" w:hAnsi="Times New Roman" w:cs="Times New Roman"/>
          <w:i/>
          <w:sz w:val="24"/>
          <w:szCs w:val="24"/>
        </w:rPr>
        <w:t>F</w:t>
      </w:r>
      <w:r w:rsidR="003C2278" w:rsidRPr="003C2278">
        <w:rPr>
          <w:rFonts w:ascii="Times New Roman" w:hAnsi="Times New Roman" w:cs="Times New Roman"/>
          <w:i/>
          <w:sz w:val="24"/>
          <w:szCs w:val="24"/>
        </w:rPr>
        <w:t xml:space="preserve">unding </w:t>
      </w:r>
      <w:r w:rsidR="00D342B0">
        <w:rPr>
          <w:rFonts w:ascii="Times New Roman" w:hAnsi="Times New Roman" w:cs="Times New Roman"/>
          <w:i/>
          <w:sz w:val="24"/>
          <w:szCs w:val="24"/>
        </w:rPr>
        <w:t>P</w:t>
      </w:r>
      <w:r w:rsidR="003C2278" w:rsidRPr="003C2278">
        <w:rPr>
          <w:rFonts w:ascii="Times New Roman" w:hAnsi="Times New Roman" w:cs="Times New Roman"/>
          <w:i/>
          <w:sz w:val="24"/>
          <w:szCs w:val="24"/>
        </w:rPr>
        <w:t>remium of 1.4%</w:t>
      </w:r>
      <w:r w:rsidR="003C2278" w:rsidRPr="00B74ED1">
        <w:rPr>
          <w:rFonts w:ascii="Times New Roman" w:hAnsi="Times New Roman" w:cs="Times New Roman"/>
          <w:sz w:val="24"/>
          <w:szCs w:val="24"/>
        </w:rPr>
        <w:t>’.</w:t>
      </w:r>
      <w:r w:rsidR="00DC5094">
        <w:rPr>
          <w:rFonts w:ascii="Times New Roman" w:hAnsi="Times New Roman" w:cs="Times New Roman"/>
          <w:sz w:val="24"/>
          <w:szCs w:val="24"/>
        </w:rPr>
        <w:t xml:space="preserve"> </w:t>
      </w:r>
    </w:p>
    <w:p w14:paraId="539C2DBE" w14:textId="1F77E739" w:rsidR="00AF408F" w:rsidRPr="00AB11EE" w:rsidRDefault="00C76158" w:rsidP="005C43EC">
      <w:pPr>
        <w:pStyle w:val="ListParagraph"/>
        <w:numPr>
          <w:ilvl w:val="0"/>
          <w:numId w:val="7"/>
        </w:numPr>
        <w:spacing w:line="480" w:lineRule="auto"/>
        <w:ind w:left="0" w:firstLine="0"/>
        <w:rPr>
          <w:rFonts w:ascii="Times New Roman" w:hAnsi="Times New Roman" w:cs="Times New Roman"/>
          <w:b/>
          <w:sz w:val="24"/>
          <w:szCs w:val="24"/>
          <w:u w:val="single"/>
        </w:rPr>
      </w:pPr>
      <w:r w:rsidRPr="00AB11EE">
        <w:rPr>
          <w:rFonts w:ascii="Times New Roman" w:hAnsi="Times New Roman" w:cs="Times New Roman"/>
          <w:sz w:val="24"/>
          <w:szCs w:val="24"/>
        </w:rPr>
        <w:t xml:space="preserve">The statement of account </w:t>
      </w:r>
      <w:r w:rsidR="00F93C2F" w:rsidRPr="00AB11EE">
        <w:rPr>
          <w:rFonts w:ascii="Times New Roman" w:hAnsi="Times New Roman" w:cs="Times New Roman"/>
          <w:sz w:val="24"/>
          <w:szCs w:val="24"/>
        </w:rPr>
        <w:t>is not referenced within any pleading and the only facility letter pleaded is that</w:t>
      </w:r>
      <w:r w:rsidR="00986540" w:rsidRPr="00AB11EE">
        <w:rPr>
          <w:rFonts w:ascii="Times New Roman" w:hAnsi="Times New Roman" w:cs="Times New Roman"/>
          <w:sz w:val="24"/>
          <w:szCs w:val="24"/>
        </w:rPr>
        <w:t xml:space="preserve"> which issued</w:t>
      </w:r>
      <w:r w:rsidR="00F93C2F" w:rsidRPr="00AB11EE">
        <w:rPr>
          <w:rFonts w:ascii="Times New Roman" w:hAnsi="Times New Roman" w:cs="Times New Roman"/>
          <w:sz w:val="24"/>
          <w:szCs w:val="24"/>
        </w:rPr>
        <w:t xml:space="preserve"> in 2010</w:t>
      </w:r>
      <w:r w:rsidR="00986540" w:rsidRPr="00AB11EE">
        <w:rPr>
          <w:rFonts w:ascii="Times New Roman" w:hAnsi="Times New Roman" w:cs="Times New Roman"/>
          <w:sz w:val="24"/>
          <w:szCs w:val="24"/>
        </w:rPr>
        <w:t>,</w:t>
      </w:r>
      <w:r w:rsidR="00F93C2F" w:rsidRPr="00AB11EE">
        <w:rPr>
          <w:rFonts w:ascii="Times New Roman" w:hAnsi="Times New Roman" w:cs="Times New Roman"/>
          <w:sz w:val="24"/>
          <w:szCs w:val="24"/>
        </w:rPr>
        <w:t xml:space="preserve"> which is in turn the only </w:t>
      </w:r>
      <w:r w:rsidR="001B262C" w:rsidRPr="00AB11EE">
        <w:rPr>
          <w:rFonts w:ascii="Times New Roman" w:hAnsi="Times New Roman" w:cs="Times New Roman"/>
          <w:sz w:val="24"/>
          <w:szCs w:val="24"/>
        </w:rPr>
        <w:t>facility letter</w:t>
      </w:r>
      <w:r w:rsidR="00F93C2F" w:rsidRPr="00AB11EE">
        <w:rPr>
          <w:rFonts w:ascii="Times New Roman" w:hAnsi="Times New Roman" w:cs="Times New Roman"/>
          <w:sz w:val="24"/>
          <w:szCs w:val="24"/>
        </w:rPr>
        <w:t xml:space="preserve"> </w:t>
      </w:r>
      <w:r w:rsidR="001B262C" w:rsidRPr="00AB11EE">
        <w:rPr>
          <w:rFonts w:ascii="Times New Roman" w:hAnsi="Times New Roman" w:cs="Times New Roman"/>
          <w:sz w:val="24"/>
          <w:szCs w:val="24"/>
        </w:rPr>
        <w:t>referred to within</w:t>
      </w:r>
      <w:r w:rsidR="00F93C2F" w:rsidRPr="00AB11EE">
        <w:rPr>
          <w:rFonts w:ascii="Times New Roman" w:hAnsi="Times New Roman" w:cs="Times New Roman"/>
          <w:sz w:val="24"/>
          <w:szCs w:val="24"/>
        </w:rPr>
        <w:t xml:space="preserve"> the </w:t>
      </w:r>
      <w:r w:rsidRPr="00AB11EE">
        <w:rPr>
          <w:rFonts w:ascii="Times New Roman" w:hAnsi="Times New Roman" w:cs="Times New Roman"/>
          <w:sz w:val="24"/>
          <w:szCs w:val="24"/>
        </w:rPr>
        <w:t xml:space="preserve">2015 letter of demand. </w:t>
      </w:r>
      <w:r w:rsidR="00AB11EE" w:rsidRPr="00AB11EE">
        <w:rPr>
          <w:rFonts w:ascii="Times New Roman" w:hAnsi="Times New Roman" w:cs="Times New Roman"/>
          <w:sz w:val="24"/>
          <w:szCs w:val="24"/>
        </w:rPr>
        <w:t xml:space="preserve"> </w:t>
      </w:r>
      <w:r w:rsidR="00E84DF8" w:rsidRPr="00AB11EE">
        <w:rPr>
          <w:rFonts w:ascii="Times New Roman" w:hAnsi="Times New Roman" w:cs="Times New Roman"/>
          <w:sz w:val="24"/>
          <w:szCs w:val="24"/>
        </w:rPr>
        <w:t>None of this information</w:t>
      </w:r>
      <w:r w:rsidR="00986540" w:rsidRPr="00AB11EE">
        <w:rPr>
          <w:rFonts w:ascii="Times New Roman" w:hAnsi="Times New Roman" w:cs="Times New Roman"/>
          <w:sz w:val="24"/>
          <w:szCs w:val="24"/>
        </w:rPr>
        <w:t>,</w:t>
      </w:r>
      <w:r w:rsidR="00E84DF8" w:rsidRPr="00AB11EE">
        <w:rPr>
          <w:rFonts w:ascii="Times New Roman" w:hAnsi="Times New Roman" w:cs="Times New Roman"/>
          <w:sz w:val="24"/>
          <w:szCs w:val="24"/>
        </w:rPr>
        <w:t xml:space="preserve"> or any figures reflecting the </w:t>
      </w:r>
      <w:r w:rsidR="00495C50" w:rsidRPr="00AB11EE">
        <w:rPr>
          <w:rFonts w:ascii="Times New Roman" w:hAnsi="Times New Roman" w:cs="Times New Roman"/>
          <w:sz w:val="24"/>
          <w:szCs w:val="24"/>
        </w:rPr>
        <w:t xml:space="preserve">amount </w:t>
      </w:r>
      <w:r w:rsidR="00495C50" w:rsidRPr="00AB11EE">
        <w:rPr>
          <w:rFonts w:ascii="Times New Roman" w:hAnsi="Times New Roman" w:cs="Times New Roman"/>
          <w:sz w:val="24"/>
          <w:szCs w:val="24"/>
        </w:rPr>
        <w:lastRenderedPageBreak/>
        <w:t>of interest charged</w:t>
      </w:r>
      <w:r w:rsidR="00986540" w:rsidRPr="00AB11EE">
        <w:rPr>
          <w:rFonts w:ascii="Times New Roman" w:hAnsi="Times New Roman" w:cs="Times New Roman"/>
          <w:sz w:val="24"/>
          <w:szCs w:val="24"/>
        </w:rPr>
        <w:t>,</w:t>
      </w:r>
      <w:r w:rsidR="00495C50" w:rsidRPr="00AB11EE">
        <w:rPr>
          <w:rFonts w:ascii="Times New Roman" w:hAnsi="Times New Roman" w:cs="Times New Roman"/>
          <w:sz w:val="24"/>
          <w:szCs w:val="24"/>
        </w:rPr>
        <w:t xml:space="preserve"> is reflected  or specifically referred to within any of the pleadings. </w:t>
      </w:r>
      <w:r w:rsidR="00AF408F" w:rsidRPr="00AB11EE">
        <w:rPr>
          <w:rFonts w:ascii="Times New Roman" w:hAnsi="Times New Roman" w:cs="Times New Roman"/>
          <w:sz w:val="24"/>
          <w:szCs w:val="24"/>
        </w:rPr>
        <w:t>In short the Bank, within its pleading, has failed to deal with the evidential gap identified.</w:t>
      </w:r>
    </w:p>
    <w:p w14:paraId="5A0550F6" w14:textId="21F8E257" w:rsidR="005F5C77" w:rsidRPr="00FD28A3" w:rsidRDefault="00F93C2F" w:rsidP="00A34FFC">
      <w:pPr>
        <w:pStyle w:val="ListParagraph"/>
        <w:numPr>
          <w:ilvl w:val="0"/>
          <w:numId w:val="7"/>
        </w:numPr>
        <w:spacing w:line="480" w:lineRule="auto"/>
        <w:ind w:left="0" w:firstLine="0"/>
        <w:rPr>
          <w:rFonts w:ascii="Times New Roman" w:hAnsi="Times New Roman" w:cs="Times New Roman"/>
          <w:b/>
          <w:sz w:val="24"/>
          <w:szCs w:val="24"/>
          <w:u w:val="single"/>
        </w:rPr>
      </w:pPr>
      <w:r w:rsidRPr="00FD28A3">
        <w:rPr>
          <w:rFonts w:ascii="Times New Roman" w:hAnsi="Times New Roman" w:cs="Times New Roman"/>
          <w:sz w:val="24"/>
          <w:szCs w:val="24"/>
        </w:rPr>
        <w:t>In</w:t>
      </w:r>
      <w:r w:rsidR="005E3783" w:rsidRPr="00FD28A3">
        <w:rPr>
          <w:rFonts w:ascii="Times New Roman" w:hAnsi="Times New Roman" w:cs="Times New Roman"/>
          <w:sz w:val="24"/>
          <w:szCs w:val="24"/>
        </w:rPr>
        <w:t xml:space="preserve"> such</w:t>
      </w:r>
      <w:r w:rsidRPr="00FD28A3">
        <w:rPr>
          <w:rFonts w:ascii="Times New Roman" w:hAnsi="Times New Roman" w:cs="Times New Roman"/>
          <w:sz w:val="24"/>
          <w:szCs w:val="24"/>
        </w:rPr>
        <w:t xml:space="preserve"> circumstances</w:t>
      </w:r>
      <w:r w:rsidR="005E3783" w:rsidRPr="00FD28A3">
        <w:rPr>
          <w:rFonts w:ascii="Times New Roman" w:hAnsi="Times New Roman" w:cs="Times New Roman"/>
          <w:sz w:val="24"/>
          <w:szCs w:val="24"/>
        </w:rPr>
        <w:t>, in my view</w:t>
      </w:r>
      <w:r w:rsidR="00DD27B6" w:rsidRPr="00FD28A3">
        <w:rPr>
          <w:rFonts w:ascii="Times New Roman" w:hAnsi="Times New Roman" w:cs="Times New Roman"/>
          <w:sz w:val="24"/>
          <w:szCs w:val="24"/>
        </w:rPr>
        <w:t>,</w:t>
      </w:r>
      <w:r w:rsidR="00470CF2" w:rsidRPr="00FD28A3">
        <w:rPr>
          <w:rFonts w:ascii="Times New Roman" w:hAnsi="Times New Roman" w:cs="Times New Roman"/>
          <w:sz w:val="24"/>
          <w:szCs w:val="24"/>
        </w:rPr>
        <w:t xml:space="preserve"> </w:t>
      </w:r>
      <w:r w:rsidR="000B64F8" w:rsidRPr="00FD28A3">
        <w:rPr>
          <w:rFonts w:ascii="Times New Roman" w:hAnsi="Times New Roman" w:cs="Times New Roman"/>
          <w:sz w:val="24"/>
          <w:szCs w:val="24"/>
        </w:rPr>
        <w:t xml:space="preserve"> it follows that the entry of summary judgment by the </w:t>
      </w:r>
      <w:r w:rsidR="00BC7B08" w:rsidRPr="00FD28A3">
        <w:rPr>
          <w:rFonts w:ascii="Times New Roman" w:hAnsi="Times New Roman" w:cs="Times New Roman"/>
          <w:sz w:val="24"/>
          <w:szCs w:val="24"/>
        </w:rPr>
        <w:t>H</w:t>
      </w:r>
      <w:r w:rsidR="000B64F8" w:rsidRPr="00FD28A3">
        <w:rPr>
          <w:rFonts w:ascii="Times New Roman" w:hAnsi="Times New Roman" w:cs="Times New Roman"/>
          <w:sz w:val="24"/>
          <w:szCs w:val="24"/>
        </w:rPr>
        <w:t xml:space="preserve">igh </w:t>
      </w:r>
      <w:r w:rsidR="00BC7B08" w:rsidRPr="00FD28A3">
        <w:rPr>
          <w:rFonts w:ascii="Times New Roman" w:hAnsi="Times New Roman" w:cs="Times New Roman"/>
          <w:sz w:val="24"/>
          <w:szCs w:val="24"/>
        </w:rPr>
        <w:t>C</w:t>
      </w:r>
      <w:r w:rsidR="000B64F8" w:rsidRPr="00FD28A3">
        <w:rPr>
          <w:rFonts w:ascii="Times New Roman" w:hAnsi="Times New Roman" w:cs="Times New Roman"/>
          <w:sz w:val="24"/>
          <w:szCs w:val="24"/>
        </w:rPr>
        <w:t>ourt judge must be set aside with a direction that the proceedings</w:t>
      </w:r>
      <w:r w:rsidR="00AA2D19" w:rsidRPr="00FD28A3">
        <w:rPr>
          <w:rFonts w:ascii="Times New Roman" w:hAnsi="Times New Roman" w:cs="Times New Roman"/>
          <w:sz w:val="24"/>
          <w:szCs w:val="24"/>
        </w:rPr>
        <w:t xml:space="preserve"> can</w:t>
      </w:r>
      <w:r w:rsidR="005E3783" w:rsidRPr="00FD28A3">
        <w:rPr>
          <w:rFonts w:ascii="Times New Roman" w:hAnsi="Times New Roman" w:cs="Times New Roman"/>
          <w:sz w:val="24"/>
          <w:szCs w:val="24"/>
        </w:rPr>
        <w:t xml:space="preserve"> now</w:t>
      </w:r>
      <w:r w:rsidR="000B64F8" w:rsidRPr="00FD28A3">
        <w:rPr>
          <w:rFonts w:ascii="Times New Roman" w:hAnsi="Times New Roman" w:cs="Times New Roman"/>
          <w:sz w:val="24"/>
          <w:szCs w:val="24"/>
        </w:rPr>
        <w:t xml:space="preserve"> be remitted</w:t>
      </w:r>
      <w:r w:rsidR="00BC7B08" w:rsidRPr="00FD28A3">
        <w:rPr>
          <w:rFonts w:ascii="Times New Roman" w:hAnsi="Times New Roman" w:cs="Times New Roman"/>
          <w:sz w:val="24"/>
          <w:szCs w:val="24"/>
        </w:rPr>
        <w:t xml:space="preserve"> to the High Court to</w:t>
      </w:r>
      <w:r w:rsidR="000B64F8" w:rsidRPr="00FD28A3">
        <w:rPr>
          <w:rFonts w:ascii="Times New Roman" w:hAnsi="Times New Roman" w:cs="Times New Roman"/>
          <w:sz w:val="24"/>
          <w:szCs w:val="24"/>
        </w:rPr>
        <w:t xml:space="preserve"> enable the </w:t>
      </w:r>
      <w:r w:rsidR="00BC7B08" w:rsidRPr="00FD28A3">
        <w:rPr>
          <w:rFonts w:ascii="Times New Roman" w:hAnsi="Times New Roman" w:cs="Times New Roman"/>
          <w:sz w:val="24"/>
          <w:szCs w:val="24"/>
        </w:rPr>
        <w:t>Bank</w:t>
      </w:r>
      <w:r w:rsidR="000B64F8" w:rsidRPr="00FD28A3">
        <w:rPr>
          <w:rFonts w:ascii="Times New Roman" w:hAnsi="Times New Roman" w:cs="Times New Roman"/>
          <w:sz w:val="24"/>
          <w:szCs w:val="24"/>
        </w:rPr>
        <w:t xml:space="preserve"> </w:t>
      </w:r>
      <w:r w:rsidR="00FD2D80" w:rsidRPr="00FD28A3">
        <w:rPr>
          <w:rFonts w:ascii="Times New Roman" w:hAnsi="Times New Roman" w:cs="Times New Roman"/>
          <w:sz w:val="24"/>
          <w:szCs w:val="24"/>
        </w:rPr>
        <w:t>to</w:t>
      </w:r>
      <w:r w:rsidR="00636BD0" w:rsidRPr="00FD28A3">
        <w:rPr>
          <w:rFonts w:ascii="Times New Roman" w:hAnsi="Times New Roman" w:cs="Times New Roman"/>
          <w:sz w:val="24"/>
          <w:szCs w:val="24"/>
        </w:rPr>
        <w:t xml:space="preserve"> ma</w:t>
      </w:r>
      <w:r w:rsidR="00151BF0" w:rsidRPr="00FD28A3">
        <w:rPr>
          <w:rFonts w:ascii="Times New Roman" w:hAnsi="Times New Roman" w:cs="Times New Roman"/>
          <w:sz w:val="24"/>
          <w:szCs w:val="24"/>
        </w:rPr>
        <w:t xml:space="preserve">ke </w:t>
      </w:r>
      <w:r w:rsidR="00636BD0" w:rsidRPr="00FD28A3">
        <w:rPr>
          <w:rFonts w:ascii="Times New Roman" w:hAnsi="Times New Roman" w:cs="Times New Roman"/>
          <w:sz w:val="24"/>
          <w:szCs w:val="24"/>
        </w:rPr>
        <w:t>such application as it considers appropriate</w:t>
      </w:r>
      <w:r w:rsidR="00AA2D19" w:rsidRPr="00FD28A3">
        <w:rPr>
          <w:rFonts w:ascii="Times New Roman" w:hAnsi="Times New Roman" w:cs="Times New Roman"/>
          <w:sz w:val="24"/>
          <w:szCs w:val="24"/>
        </w:rPr>
        <w:t xml:space="preserve"> </w:t>
      </w:r>
      <w:r w:rsidR="00FD2D80" w:rsidRPr="00FD28A3">
        <w:rPr>
          <w:rFonts w:ascii="Times New Roman" w:hAnsi="Times New Roman" w:cs="Times New Roman"/>
          <w:sz w:val="24"/>
          <w:szCs w:val="24"/>
        </w:rPr>
        <w:t>to amend its pleadings</w:t>
      </w:r>
      <w:r w:rsidR="00AA2D19" w:rsidRPr="00FD28A3">
        <w:rPr>
          <w:rFonts w:ascii="Times New Roman" w:hAnsi="Times New Roman" w:cs="Times New Roman"/>
          <w:sz w:val="24"/>
          <w:szCs w:val="24"/>
        </w:rPr>
        <w:t xml:space="preserve"> in light of the court’s findings </w:t>
      </w:r>
      <w:r w:rsidR="00AB11EE">
        <w:rPr>
          <w:rFonts w:ascii="Times New Roman" w:hAnsi="Times New Roman" w:cs="Times New Roman"/>
          <w:sz w:val="24"/>
          <w:szCs w:val="24"/>
        </w:rPr>
        <w:t>within</w:t>
      </w:r>
      <w:r w:rsidR="00AB640C" w:rsidRPr="00FD28A3">
        <w:rPr>
          <w:rFonts w:ascii="Times New Roman" w:hAnsi="Times New Roman" w:cs="Times New Roman"/>
          <w:sz w:val="24"/>
          <w:szCs w:val="24"/>
        </w:rPr>
        <w:t xml:space="preserve"> th</w:t>
      </w:r>
      <w:r w:rsidR="00636BD0" w:rsidRPr="00FD28A3">
        <w:rPr>
          <w:rFonts w:ascii="Times New Roman" w:hAnsi="Times New Roman" w:cs="Times New Roman"/>
          <w:sz w:val="24"/>
          <w:szCs w:val="24"/>
        </w:rPr>
        <w:t>is</w:t>
      </w:r>
      <w:r w:rsidR="00AB640C" w:rsidRPr="00FD28A3">
        <w:rPr>
          <w:rFonts w:ascii="Times New Roman" w:hAnsi="Times New Roman" w:cs="Times New Roman"/>
          <w:sz w:val="24"/>
          <w:szCs w:val="24"/>
        </w:rPr>
        <w:t xml:space="preserve"> </w:t>
      </w:r>
      <w:r w:rsidR="001B262C" w:rsidRPr="00FD28A3">
        <w:rPr>
          <w:rFonts w:ascii="Times New Roman" w:hAnsi="Times New Roman" w:cs="Times New Roman"/>
          <w:sz w:val="24"/>
          <w:szCs w:val="24"/>
        </w:rPr>
        <w:t>judgment</w:t>
      </w:r>
      <w:r w:rsidR="00685DF6" w:rsidRPr="00FD28A3">
        <w:rPr>
          <w:rFonts w:ascii="Times New Roman" w:hAnsi="Times New Roman" w:cs="Times New Roman"/>
          <w:sz w:val="24"/>
          <w:szCs w:val="24"/>
        </w:rPr>
        <w:t>.</w:t>
      </w:r>
      <w:r w:rsidRPr="00FD28A3">
        <w:rPr>
          <w:rFonts w:ascii="Times New Roman" w:hAnsi="Times New Roman" w:cs="Times New Roman"/>
          <w:sz w:val="24"/>
          <w:szCs w:val="24"/>
        </w:rPr>
        <w:t xml:space="preserve"> </w:t>
      </w:r>
    </w:p>
    <w:p w14:paraId="7F4EDEE1" w14:textId="50899F08" w:rsidR="005F5C77" w:rsidRPr="005F5C77" w:rsidRDefault="006E7957" w:rsidP="00A34FFC">
      <w:pPr>
        <w:pStyle w:val="ListParagraph"/>
        <w:numPr>
          <w:ilvl w:val="0"/>
          <w:numId w:val="7"/>
        </w:numPr>
        <w:tabs>
          <w:tab w:val="left" w:pos="567"/>
        </w:tabs>
        <w:spacing w:line="480" w:lineRule="auto"/>
        <w:ind w:left="0" w:firstLine="0"/>
        <w:rPr>
          <w:rFonts w:ascii="Times New Roman" w:hAnsi="Times New Roman" w:cs="Times New Roman"/>
          <w:b/>
          <w:sz w:val="24"/>
          <w:szCs w:val="24"/>
          <w:u w:val="single"/>
        </w:rPr>
      </w:pPr>
      <w:r w:rsidRPr="005F5C77">
        <w:rPr>
          <w:rFonts w:ascii="Times New Roman" w:hAnsi="Times New Roman" w:cs="Times New Roman"/>
          <w:sz w:val="24"/>
          <w:szCs w:val="24"/>
        </w:rPr>
        <w:t>In</w:t>
      </w:r>
      <w:r w:rsidR="00685DF6" w:rsidRPr="005F5C77">
        <w:rPr>
          <w:rFonts w:ascii="Times New Roman" w:hAnsi="Times New Roman" w:cs="Times New Roman"/>
          <w:sz w:val="24"/>
          <w:szCs w:val="24"/>
        </w:rPr>
        <w:t xml:space="preserve"> light of the court</w:t>
      </w:r>
      <w:r w:rsidR="00FD2D80" w:rsidRPr="005F5C77">
        <w:rPr>
          <w:rFonts w:ascii="Times New Roman" w:hAnsi="Times New Roman" w:cs="Times New Roman"/>
          <w:sz w:val="24"/>
          <w:szCs w:val="24"/>
        </w:rPr>
        <w:t>’</w:t>
      </w:r>
      <w:r w:rsidR="00685DF6" w:rsidRPr="005F5C77">
        <w:rPr>
          <w:rFonts w:ascii="Times New Roman" w:hAnsi="Times New Roman" w:cs="Times New Roman"/>
          <w:sz w:val="24"/>
          <w:szCs w:val="24"/>
        </w:rPr>
        <w:t>s finding</w:t>
      </w:r>
      <w:r w:rsidR="005D68D2" w:rsidRPr="005F5C77">
        <w:rPr>
          <w:rFonts w:ascii="Times New Roman" w:hAnsi="Times New Roman" w:cs="Times New Roman"/>
          <w:sz w:val="24"/>
          <w:szCs w:val="24"/>
        </w:rPr>
        <w:t>,</w:t>
      </w:r>
      <w:r w:rsidR="00685DF6" w:rsidRPr="005F5C77">
        <w:rPr>
          <w:rFonts w:ascii="Times New Roman" w:hAnsi="Times New Roman" w:cs="Times New Roman"/>
          <w:sz w:val="24"/>
          <w:szCs w:val="24"/>
        </w:rPr>
        <w:t xml:space="preserve"> my preliminary view</w:t>
      </w:r>
      <w:r w:rsidRPr="005F5C77">
        <w:rPr>
          <w:rFonts w:ascii="Times New Roman" w:hAnsi="Times New Roman" w:cs="Times New Roman"/>
          <w:b/>
          <w:sz w:val="24"/>
          <w:szCs w:val="24"/>
        </w:rPr>
        <w:t xml:space="preserve"> </w:t>
      </w:r>
      <w:r w:rsidRPr="005F5C77">
        <w:rPr>
          <w:rFonts w:ascii="Times New Roman" w:hAnsi="Times New Roman" w:cs="Times New Roman"/>
          <w:sz w:val="24"/>
          <w:szCs w:val="24"/>
        </w:rPr>
        <w:t>on the issue of costs</w:t>
      </w:r>
      <w:r w:rsidR="005D68D2" w:rsidRPr="005F5C77">
        <w:rPr>
          <w:rFonts w:ascii="Times New Roman" w:hAnsi="Times New Roman" w:cs="Times New Roman"/>
          <w:sz w:val="24"/>
          <w:szCs w:val="24"/>
        </w:rPr>
        <w:t xml:space="preserve"> </w:t>
      </w:r>
      <w:r w:rsidRPr="005F5C77">
        <w:rPr>
          <w:rFonts w:ascii="Times New Roman" w:hAnsi="Times New Roman" w:cs="Times New Roman"/>
          <w:sz w:val="24"/>
          <w:szCs w:val="24"/>
        </w:rPr>
        <w:t>is that</w:t>
      </w:r>
      <w:r w:rsidRPr="005F5C77">
        <w:rPr>
          <w:rFonts w:ascii="Times New Roman" w:hAnsi="Times New Roman" w:cs="Times New Roman"/>
          <w:b/>
          <w:sz w:val="24"/>
          <w:szCs w:val="24"/>
        </w:rPr>
        <w:t xml:space="preserve"> </w:t>
      </w:r>
      <w:r w:rsidRPr="005F5C77">
        <w:rPr>
          <w:rFonts w:ascii="Times New Roman" w:hAnsi="Times New Roman" w:cs="Times New Roman"/>
          <w:sz w:val="24"/>
          <w:szCs w:val="24"/>
        </w:rPr>
        <w:t>Mr. Doran</w:t>
      </w:r>
      <w:r w:rsidR="005F5C77" w:rsidRPr="005F5C77">
        <w:rPr>
          <w:rFonts w:ascii="Times New Roman" w:hAnsi="Times New Roman" w:cs="Times New Roman"/>
          <w:sz w:val="24"/>
          <w:szCs w:val="24"/>
        </w:rPr>
        <w:t xml:space="preserve">, </w:t>
      </w:r>
      <w:r w:rsidRPr="005F5C77">
        <w:rPr>
          <w:rFonts w:ascii="Times New Roman" w:hAnsi="Times New Roman" w:cs="Times New Roman"/>
          <w:sz w:val="24"/>
          <w:szCs w:val="24"/>
        </w:rPr>
        <w:t>having succeeded in his appeal</w:t>
      </w:r>
      <w:r w:rsidR="00685DF6" w:rsidRPr="005F5C77">
        <w:rPr>
          <w:rFonts w:ascii="Times New Roman" w:hAnsi="Times New Roman" w:cs="Times New Roman"/>
          <w:sz w:val="24"/>
          <w:szCs w:val="24"/>
        </w:rPr>
        <w:t xml:space="preserve"> in resisting the</w:t>
      </w:r>
      <w:r w:rsidR="0086039A" w:rsidRPr="005F5C77">
        <w:rPr>
          <w:rFonts w:ascii="Times New Roman" w:hAnsi="Times New Roman" w:cs="Times New Roman"/>
          <w:sz w:val="24"/>
          <w:szCs w:val="24"/>
        </w:rPr>
        <w:t xml:space="preserve"> entry of summary judgment</w:t>
      </w:r>
      <w:r w:rsidRPr="005F5C77">
        <w:rPr>
          <w:rFonts w:ascii="Times New Roman" w:hAnsi="Times New Roman" w:cs="Times New Roman"/>
          <w:sz w:val="24"/>
          <w:szCs w:val="24"/>
        </w:rPr>
        <w:t xml:space="preserve">, is entitled to his costs in the High Court and in this </w:t>
      </w:r>
      <w:r w:rsidR="00E84FA4" w:rsidRPr="005F5C77">
        <w:rPr>
          <w:rFonts w:ascii="Times New Roman" w:hAnsi="Times New Roman" w:cs="Times New Roman"/>
          <w:sz w:val="24"/>
          <w:szCs w:val="24"/>
        </w:rPr>
        <w:t>c</w:t>
      </w:r>
      <w:r w:rsidRPr="005F5C77">
        <w:rPr>
          <w:rFonts w:ascii="Times New Roman" w:hAnsi="Times New Roman" w:cs="Times New Roman"/>
          <w:sz w:val="24"/>
          <w:szCs w:val="24"/>
        </w:rPr>
        <w:t>ourt, to be adjudicated in default of agreement</w:t>
      </w:r>
      <w:r w:rsidR="00853760" w:rsidRPr="005F5C77">
        <w:rPr>
          <w:rFonts w:ascii="Times New Roman" w:hAnsi="Times New Roman" w:cs="Times New Roman"/>
          <w:sz w:val="24"/>
          <w:szCs w:val="24"/>
        </w:rPr>
        <w:t>, with a stay upon the</w:t>
      </w:r>
      <w:r w:rsidR="00E51328" w:rsidRPr="005F5C77">
        <w:rPr>
          <w:rFonts w:ascii="Times New Roman" w:hAnsi="Times New Roman" w:cs="Times New Roman"/>
          <w:sz w:val="24"/>
          <w:szCs w:val="24"/>
        </w:rPr>
        <w:t xml:space="preserve"> execution of</w:t>
      </w:r>
      <w:r w:rsidR="00853760" w:rsidRPr="005F5C77">
        <w:rPr>
          <w:rFonts w:ascii="Times New Roman" w:hAnsi="Times New Roman" w:cs="Times New Roman"/>
          <w:sz w:val="24"/>
          <w:szCs w:val="24"/>
        </w:rPr>
        <w:t xml:space="preserve"> those costs pending resolution of these proceedings</w:t>
      </w:r>
      <w:r w:rsidRPr="005F5C77">
        <w:rPr>
          <w:rFonts w:ascii="Times New Roman" w:hAnsi="Times New Roman" w:cs="Times New Roman"/>
          <w:sz w:val="24"/>
          <w:szCs w:val="24"/>
        </w:rPr>
        <w:t>.</w:t>
      </w:r>
      <w:r w:rsidR="00F43E7E" w:rsidRPr="005F5C77">
        <w:rPr>
          <w:rFonts w:ascii="Times New Roman" w:hAnsi="Times New Roman" w:cs="Times New Roman"/>
          <w:sz w:val="24"/>
          <w:szCs w:val="24"/>
        </w:rPr>
        <w:t xml:space="preserve"> If, however, any party wishes to seek </w:t>
      </w:r>
      <w:r w:rsidR="00CF591D">
        <w:rPr>
          <w:rFonts w:ascii="Times New Roman" w:hAnsi="Times New Roman" w:cs="Times New Roman"/>
          <w:sz w:val="24"/>
          <w:szCs w:val="24"/>
        </w:rPr>
        <w:t>a</w:t>
      </w:r>
      <w:r w:rsidR="00F43E7E" w:rsidRPr="005F5C77">
        <w:rPr>
          <w:rFonts w:ascii="Times New Roman" w:hAnsi="Times New Roman" w:cs="Times New Roman"/>
          <w:sz w:val="24"/>
          <w:szCs w:val="24"/>
        </w:rPr>
        <w:t xml:space="preserve"> different costs order to th</w:t>
      </w:r>
      <w:r w:rsidR="00CF591D">
        <w:rPr>
          <w:rFonts w:ascii="Times New Roman" w:hAnsi="Times New Roman" w:cs="Times New Roman"/>
          <w:sz w:val="24"/>
          <w:szCs w:val="24"/>
        </w:rPr>
        <w:t>at</w:t>
      </w:r>
      <w:r w:rsidR="00F43E7E" w:rsidRPr="005F5C77">
        <w:rPr>
          <w:rFonts w:ascii="Times New Roman" w:hAnsi="Times New Roman" w:cs="Times New Roman"/>
          <w:sz w:val="24"/>
          <w:szCs w:val="24"/>
        </w:rPr>
        <w:t xml:space="preserve"> proposed they should so indicate to the Court of Appeal Office within twenty one days of the receipt of the electronic delivery of this judgment, and a costs hearing will be scheduled, but any party seeking such a hearing will run the risk that if they are unsuccessful they may incur further costs. If no indication is received within the twenty-one-day period, the orders of the Court, including the proposed costs orders, will be drawn and perfected. </w:t>
      </w:r>
      <w:r w:rsidR="00F43E7E" w:rsidRPr="005F5C77">
        <w:rPr>
          <w:rFonts w:ascii="Times New Roman" w:hAnsi="Times New Roman" w:cs="Times New Roman"/>
          <w:b/>
          <w:sz w:val="24"/>
          <w:szCs w:val="24"/>
        </w:rPr>
        <w:t xml:space="preserve"> </w:t>
      </w:r>
      <w:r w:rsidR="005F5C77" w:rsidRPr="005F5C77">
        <w:rPr>
          <w:rFonts w:ascii="Times New Roman" w:hAnsi="Times New Roman" w:cs="Times New Roman"/>
          <w:b/>
          <w:sz w:val="24"/>
          <w:szCs w:val="24"/>
        </w:rPr>
        <w:t xml:space="preserve"> </w:t>
      </w:r>
    </w:p>
    <w:p w14:paraId="187BD2A0" w14:textId="079F24AE" w:rsidR="006E7957" w:rsidRPr="005F5C77" w:rsidRDefault="008D3D23" w:rsidP="00A34FFC">
      <w:pPr>
        <w:pStyle w:val="ListParagraph"/>
        <w:numPr>
          <w:ilvl w:val="0"/>
          <w:numId w:val="7"/>
        </w:numPr>
        <w:tabs>
          <w:tab w:val="left" w:pos="567"/>
        </w:tabs>
        <w:spacing w:line="480" w:lineRule="auto"/>
        <w:ind w:left="0" w:firstLine="0"/>
        <w:rPr>
          <w:rFonts w:ascii="Times New Roman" w:hAnsi="Times New Roman" w:cs="Times New Roman"/>
          <w:b/>
          <w:sz w:val="24"/>
          <w:szCs w:val="24"/>
          <w:u w:val="single"/>
        </w:rPr>
      </w:pPr>
      <w:r w:rsidRPr="005F5C77">
        <w:rPr>
          <w:rFonts w:ascii="Times New Roman" w:hAnsi="Times New Roman" w:cs="Times New Roman"/>
          <w:sz w:val="24"/>
          <w:szCs w:val="24"/>
        </w:rPr>
        <w:t xml:space="preserve"> </w:t>
      </w:r>
      <w:r w:rsidR="00354622" w:rsidRPr="005F5C77">
        <w:rPr>
          <w:rFonts w:ascii="Times New Roman" w:hAnsi="Times New Roman" w:cs="Times New Roman"/>
          <w:sz w:val="24"/>
          <w:szCs w:val="24"/>
        </w:rPr>
        <w:t xml:space="preserve">Faherty and Collins JJ. concur with this judgment which is being delivered electronically. </w:t>
      </w:r>
    </w:p>
    <w:p w14:paraId="614C0A8E" w14:textId="77777777" w:rsidR="006E7957" w:rsidRDefault="006E7957"/>
    <w:sectPr w:rsidR="006E7957" w:rsidSect="00151BF0">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DFDBD" w14:textId="77777777" w:rsidR="00E648C3" w:rsidRDefault="00E648C3" w:rsidP="005D68D2">
      <w:pPr>
        <w:spacing w:after="0" w:line="240" w:lineRule="auto"/>
      </w:pPr>
      <w:r>
        <w:separator/>
      </w:r>
    </w:p>
  </w:endnote>
  <w:endnote w:type="continuationSeparator" w:id="0">
    <w:p w14:paraId="30A1DD3D" w14:textId="77777777" w:rsidR="00E648C3" w:rsidRDefault="00E648C3" w:rsidP="005D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75D7" w14:textId="77777777" w:rsidR="00E648C3" w:rsidRDefault="00E648C3" w:rsidP="005D68D2">
      <w:pPr>
        <w:spacing w:after="0" w:line="240" w:lineRule="auto"/>
      </w:pPr>
      <w:r>
        <w:separator/>
      </w:r>
    </w:p>
  </w:footnote>
  <w:footnote w:type="continuationSeparator" w:id="0">
    <w:p w14:paraId="1F37D1D3" w14:textId="77777777" w:rsidR="00E648C3" w:rsidRDefault="00E648C3" w:rsidP="005D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134097"/>
      <w:docPartObj>
        <w:docPartGallery w:val="Page Numbers (Top of Page)"/>
        <w:docPartUnique/>
      </w:docPartObj>
    </w:sdtPr>
    <w:sdtEndPr>
      <w:rPr>
        <w:rFonts w:ascii="Times New Roman" w:hAnsi="Times New Roman" w:cs="Times New Roman"/>
        <w:noProof/>
        <w:u w:val="single"/>
      </w:rPr>
    </w:sdtEndPr>
    <w:sdtContent>
      <w:p w14:paraId="7FFB91F0" w14:textId="23B75DCF" w:rsidR="00912331" w:rsidRPr="00912331" w:rsidRDefault="00912331">
        <w:pPr>
          <w:pStyle w:val="Header"/>
          <w:jc w:val="center"/>
          <w:rPr>
            <w:rFonts w:ascii="Times New Roman" w:hAnsi="Times New Roman" w:cs="Times New Roman"/>
            <w:u w:val="single"/>
          </w:rPr>
        </w:pPr>
        <w:r w:rsidRPr="00912331">
          <w:rPr>
            <w:rFonts w:ascii="Times New Roman" w:hAnsi="Times New Roman" w:cs="Times New Roman"/>
            <w:u w:val="single"/>
          </w:rPr>
          <w:fldChar w:fldCharType="begin"/>
        </w:r>
        <w:r w:rsidRPr="00912331">
          <w:rPr>
            <w:rFonts w:ascii="Times New Roman" w:hAnsi="Times New Roman" w:cs="Times New Roman"/>
            <w:u w:val="single"/>
          </w:rPr>
          <w:instrText xml:space="preserve"> PAGE   \* MERGEFORMAT </w:instrText>
        </w:r>
        <w:r w:rsidRPr="00912331">
          <w:rPr>
            <w:rFonts w:ascii="Times New Roman" w:hAnsi="Times New Roman" w:cs="Times New Roman"/>
            <w:u w:val="single"/>
          </w:rPr>
          <w:fldChar w:fldCharType="separate"/>
        </w:r>
        <w:r w:rsidRPr="00912331">
          <w:rPr>
            <w:rFonts w:ascii="Times New Roman" w:hAnsi="Times New Roman" w:cs="Times New Roman"/>
            <w:noProof/>
            <w:u w:val="single"/>
          </w:rPr>
          <w:t>2</w:t>
        </w:r>
        <w:r w:rsidRPr="00912331">
          <w:rPr>
            <w:rFonts w:ascii="Times New Roman" w:hAnsi="Times New Roman" w:cs="Times New Roman"/>
            <w:noProof/>
            <w:u w:val="single"/>
          </w:rPr>
          <w:fldChar w:fldCharType="end"/>
        </w:r>
      </w:p>
    </w:sdtContent>
  </w:sdt>
  <w:p w14:paraId="3A57A1D0" w14:textId="1B38BFDF" w:rsidR="005D68D2" w:rsidRDefault="005D68D2" w:rsidP="00F25EA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E1F4" w14:textId="2CA97CA3" w:rsidR="005A4EF1" w:rsidRDefault="005A4EF1" w:rsidP="00AA2D19">
    <w:pPr>
      <w:pStyle w:val="Header"/>
      <w:jc w:val="center"/>
    </w:pPr>
    <w:r>
      <w:rPr>
        <w:noProof/>
      </w:rPr>
      <w:drawing>
        <wp:inline distT="0" distB="0" distL="0" distR="0" wp14:anchorId="323EEAF5" wp14:editId="7507769D">
          <wp:extent cx="384175"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714E"/>
    <w:multiLevelType w:val="hybridMultilevel"/>
    <w:tmpl w:val="30EEA3E2"/>
    <w:lvl w:ilvl="0" w:tplc="C6A6488E">
      <w:start w:val="1"/>
      <w:numFmt w:val="lowerLetter"/>
      <w:lvlText w:val="(%1)"/>
      <w:lvlJc w:val="left"/>
      <w:pPr>
        <w:ind w:left="720" w:hanging="360"/>
      </w:pPr>
      <w:rPr>
        <w:rFonts w:ascii="Times New Roman" w:hAnsi="Times New Roman" w:cs="Times New Roman" w:hint="default"/>
        <w:b w:val="0"/>
        <w:i w:val="0"/>
        <w:sz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32A7746"/>
    <w:multiLevelType w:val="hybridMultilevel"/>
    <w:tmpl w:val="B790ADE6"/>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7AF0F03"/>
    <w:multiLevelType w:val="hybridMultilevel"/>
    <w:tmpl w:val="0E7CFBD8"/>
    <w:lvl w:ilvl="0" w:tplc="A3E88ACE">
      <w:start w:val="1"/>
      <w:numFmt w:val="decimal"/>
      <w:lvlText w:val="%1."/>
      <w:lvlJc w:val="left"/>
      <w:pPr>
        <w:ind w:left="360" w:hanging="360"/>
      </w:pPr>
      <w:rPr>
        <w:rFonts w:ascii="Times New Roman" w:hAnsi="Times New Roman" w:cs="Times New Roman" w:hint="default"/>
        <w:b/>
        <w:i w:val="0"/>
        <w:strike w:val="0"/>
        <w:sz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455F05B4"/>
    <w:multiLevelType w:val="hybridMultilevel"/>
    <w:tmpl w:val="E3F6D712"/>
    <w:lvl w:ilvl="0" w:tplc="C6A6488E">
      <w:start w:val="1"/>
      <w:numFmt w:val="lowerLetter"/>
      <w:lvlText w:val="(%1)"/>
      <w:lvlJc w:val="left"/>
      <w:pPr>
        <w:ind w:left="720" w:hanging="360"/>
      </w:pPr>
      <w:rPr>
        <w:rFonts w:ascii="Times New Roman" w:hAnsi="Times New Roman" w:cs="Times New Roman" w:hint="default"/>
        <w:b w:val="0"/>
        <w:i w:val="0"/>
        <w:sz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50E23012"/>
    <w:multiLevelType w:val="hybridMultilevel"/>
    <w:tmpl w:val="D7463DC0"/>
    <w:lvl w:ilvl="0" w:tplc="1A46357E">
      <w:start w:val="42"/>
      <w:numFmt w:val="decimal"/>
      <w:lvlText w:val="%1."/>
      <w:lvlJc w:val="left"/>
      <w:pPr>
        <w:ind w:left="360" w:hanging="360"/>
      </w:pPr>
      <w:rPr>
        <w:rFonts w:ascii="Times New Roman" w:hAnsi="Times New Roman" w:cs="Times New Roman" w:hint="default"/>
        <w:b/>
        <w:i w:val="0"/>
        <w:sz w:val="24"/>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5" w15:restartNumberingAfterBreak="0">
    <w:nsid w:val="66C85903"/>
    <w:multiLevelType w:val="hybridMultilevel"/>
    <w:tmpl w:val="C3EE1436"/>
    <w:lvl w:ilvl="0" w:tplc="06FEA5D8">
      <w:start w:val="1"/>
      <w:numFmt w:val="lowerRoman"/>
      <w:lvlText w:val="(%1)"/>
      <w:lvlJc w:val="left"/>
      <w:pPr>
        <w:ind w:left="1440" w:hanging="72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6" w15:restartNumberingAfterBreak="0">
    <w:nsid w:val="72FB5A9A"/>
    <w:multiLevelType w:val="hybridMultilevel"/>
    <w:tmpl w:val="00F8A9BE"/>
    <w:lvl w:ilvl="0" w:tplc="A3E88ACE">
      <w:start w:val="1"/>
      <w:numFmt w:val="decimal"/>
      <w:lvlText w:val="%1."/>
      <w:lvlJc w:val="left"/>
      <w:pPr>
        <w:ind w:left="360" w:hanging="360"/>
      </w:pPr>
      <w:rPr>
        <w:rFonts w:ascii="Times New Roman" w:hAnsi="Times New Roman" w:cs="Times New Roman" w:hint="default"/>
        <w:b/>
        <w:i w:val="0"/>
        <w:strike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67790E"/>
    <w:multiLevelType w:val="hybridMultilevel"/>
    <w:tmpl w:val="EDEC18A0"/>
    <w:lvl w:ilvl="0" w:tplc="32BA6FFC">
      <w:start w:val="1"/>
      <w:numFmt w:val="lowerLetter"/>
      <w:lvlText w:val="(%1)"/>
      <w:lvlJc w:val="left"/>
      <w:pPr>
        <w:ind w:left="360" w:hanging="360"/>
      </w:pPr>
      <w:rPr>
        <w:strike w:val="0"/>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A5"/>
    <w:rsid w:val="000019C4"/>
    <w:rsid w:val="000127EF"/>
    <w:rsid w:val="0002246C"/>
    <w:rsid w:val="00024708"/>
    <w:rsid w:val="00042889"/>
    <w:rsid w:val="000462EB"/>
    <w:rsid w:val="00050A1C"/>
    <w:rsid w:val="0005793A"/>
    <w:rsid w:val="000658B6"/>
    <w:rsid w:val="000718A0"/>
    <w:rsid w:val="00083EF1"/>
    <w:rsid w:val="00084874"/>
    <w:rsid w:val="00086ABD"/>
    <w:rsid w:val="000A18FC"/>
    <w:rsid w:val="000A5464"/>
    <w:rsid w:val="000A7406"/>
    <w:rsid w:val="000B5EF4"/>
    <w:rsid w:val="000B64F8"/>
    <w:rsid w:val="000C36EC"/>
    <w:rsid w:val="000E1141"/>
    <w:rsid w:val="000F351C"/>
    <w:rsid w:val="001053C8"/>
    <w:rsid w:val="00112A49"/>
    <w:rsid w:val="0012669D"/>
    <w:rsid w:val="00137273"/>
    <w:rsid w:val="0014374D"/>
    <w:rsid w:val="00151BF0"/>
    <w:rsid w:val="0015482C"/>
    <w:rsid w:val="00163172"/>
    <w:rsid w:val="001638B7"/>
    <w:rsid w:val="0016408B"/>
    <w:rsid w:val="00164DD8"/>
    <w:rsid w:val="001700C0"/>
    <w:rsid w:val="00171115"/>
    <w:rsid w:val="00183296"/>
    <w:rsid w:val="00183F92"/>
    <w:rsid w:val="001954C6"/>
    <w:rsid w:val="001B0D8D"/>
    <w:rsid w:val="001B262C"/>
    <w:rsid w:val="001B7319"/>
    <w:rsid w:val="001C284C"/>
    <w:rsid w:val="001C7CC0"/>
    <w:rsid w:val="001D7A27"/>
    <w:rsid w:val="001E19CC"/>
    <w:rsid w:val="002013E3"/>
    <w:rsid w:val="00212F1E"/>
    <w:rsid w:val="002136B4"/>
    <w:rsid w:val="00213738"/>
    <w:rsid w:val="00213EF5"/>
    <w:rsid w:val="002159D7"/>
    <w:rsid w:val="002178E0"/>
    <w:rsid w:val="00220ED4"/>
    <w:rsid w:val="00233B7F"/>
    <w:rsid w:val="00237FDE"/>
    <w:rsid w:val="00252ECE"/>
    <w:rsid w:val="00253A61"/>
    <w:rsid w:val="00270FF5"/>
    <w:rsid w:val="00291F50"/>
    <w:rsid w:val="002938EC"/>
    <w:rsid w:val="002A12EB"/>
    <w:rsid w:val="002A2D0D"/>
    <w:rsid w:val="002A79C7"/>
    <w:rsid w:val="002C088F"/>
    <w:rsid w:val="002C0E56"/>
    <w:rsid w:val="002C20F5"/>
    <w:rsid w:val="002C2BD0"/>
    <w:rsid w:val="002C349D"/>
    <w:rsid w:val="002C6CDC"/>
    <w:rsid w:val="002D003E"/>
    <w:rsid w:val="002D43FF"/>
    <w:rsid w:val="002D59AC"/>
    <w:rsid w:val="002E3F01"/>
    <w:rsid w:val="002E545B"/>
    <w:rsid w:val="002F0819"/>
    <w:rsid w:val="002F4694"/>
    <w:rsid w:val="00302906"/>
    <w:rsid w:val="0030470A"/>
    <w:rsid w:val="0032136F"/>
    <w:rsid w:val="00321F63"/>
    <w:rsid w:val="00332594"/>
    <w:rsid w:val="00335A90"/>
    <w:rsid w:val="00340EFB"/>
    <w:rsid w:val="0034515C"/>
    <w:rsid w:val="00345D6B"/>
    <w:rsid w:val="00352EA2"/>
    <w:rsid w:val="00354622"/>
    <w:rsid w:val="00361CA5"/>
    <w:rsid w:val="0036261E"/>
    <w:rsid w:val="00363146"/>
    <w:rsid w:val="00370E89"/>
    <w:rsid w:val="00381970"/>
    <w:rsid w:val="003843C7"/>
    <w:rsid w:val="003910EC"/>
    <w:rsid w:val="003913DC"/>
    <w:rsid w:val="003B4FFD"/>
    <w:rsid w:val="003C2195"/>
    <w:rsid w:val="003C2278"/>
    <w:rsid w:val="003C258A"/>
    <w:rsid w:val="003C58E8"/>
    <w:rsid w:val="003D28DB"/>
    <w:rsid w:val="003D3343"/>
    <w:rsid w:val="003D67B9"/>
    <w:rsid w:val="003E5550"/>
    <w:rsid w:val="003E6C28"/>
    <w:rsid w:val="003E7AF0"/>
    <w:rsid w:val="003F5146"/>
    <w:rsid w:val="004032FE"/>
    <w:rsid w:val="004040D6"/>
    <w:rsid w:val="0041265E"/>
    <w:rsid w:val="00414051"/>
    <w:rsid w:val="00415E73"/>
    <w:rsid w:val="004168E3"/>
    <w:rsid w:val="00431FD9"/>
    <w:rsid w:val="004336D9"/>
    <w:rsid w:val="00435B46"/>
    <w:rsid w:val="004437CA"/>
    <w:rsid w:val="00470CF2"/>
    <w:rsid w:val="00471ADF"/>
    <w:rsid w:val="0047652D"/>
    <w:rsid w:val="00486A5E"/>
    <w:rsid w:val="00491257"/>
    <w:rsid w:val="004948CC"/>
    <w:rsid w:val="00495C50"/>
    <w:rsid w:val="004A58A5"/>
    <w:rsid w:val="004A59BC"/>
    <w:rsid w:val="004A7A54"/>
    <w:rsid w:val="004B455C"/>
    <w:rsid w:val="004B5651"/>
    <w:rsid w:val="004B568F"/>
    <w:rsid w:val="004C5036"/>
    <w:rsid w:val="004C5775"/>
    <w:rsid w:val="004D27C4"/>
    <w:rsid w:val="004D381D"/>
    <w:rsid w:val="004F18D7"/>
    <w:rsid w:val="004F47AA"/>
    <w:rsid w:val="00504AA7"/>
    <w:rsid w:val="00516EC7"/>
    <w:rsid w:val="00536880"/>
    <w:rsid w:val="005379AB"/>
    <w:rsid w:val="00540492"/>
    <w:rsid w:val="005409EF"/>
    <w:rsid w:val="00541989"/>
    <w:rsid w:val="00544C74"/>
    <w:rsid w:val="00562836"/>
    <w:rsid w:val="005633CE"/>
    <w:rsid w:val="00584B75"/>
    <w:rsid w:val="0058573F"/>
    <w:rsid w:val="00587980"/>
    <w:rsid w:val="00591EE1"/>
    <w:rsid w:val="005A1419"/>
    <w:rsid w:val="005A1E9A"/>
    <w:rsid w:val="005A28AF"/>
    <w:rsid w:val="005A4EF1"/>
    <w:rsid w:val="005B3636"/>
    <w:rsid w:val="005B5AEA"/>
    <w:rsid w:val="005C5011"/>
    <w:rsid w:val="005D2BAB"/>
    <w:rsid w:val="005D68D2"/>
    <w:rsid w:val="005D6E22"/>
    <w:rsid w:val="005E3783"/>
    <w:rsid w:val="005E6FCB"/>
    <w:rsid w:val="005F5C77"/>
    <w:rsid w:val="00600BF7"/>
    <w:rsid w:val="006032EC"/>
    <w:rsid w:val="00614446"/>
    <w:rsid w:val="006204C1"/>
    <w:rsid w:val="006223B7"/>
    <w:rsid w:val="006319A9"/>
    <w:rsid w:val="00636BD0"/>
    <w:rsid w:val="0063756D"/>
    <w:rsid w:val="00642EFC"/>
    <w:rsid w:val="00650A9D"/>
    <w:rsid w:val="00656D3E"/>
    <w:rsid w:val="00657EE8"/>
    <w:rsid w:val="00667E36"/>
    <w:rsid w:val="006731BC"/>
    <w:rsid w:val="006734CF"/>
    <w:rsid w:val="00676E2E"/>
    <w:rsid w:val="00680B1F"/>
    <w:rsid w:val="00685C84"/>
    <w:rsid w:val="00685DF6"/>
    <w:rsid w:val="006960CE"/>
    <w:rsid w:val="006A2EF6"/>
    <w:rsid w:val="006A6F2D"/>
    <w:rsid w:val="006B78C2"/>
    <w:rsid w:val="006C09EE"/>
    <w:rsid w:val="006C7400"/>
    <w:rsid w:val="006D5DAA"/>
    <w:rsid w:val="006E7957"/>
    <w:rsid w:val="006F0D35"/>
    <w:rsid w:val="0070044D"/>
    <w:rsid w:val="00704CF8"/>
    <w:rsid w:val="00714E2B"/>
    <w:rsid w:val="00716810"/>
    <w:rsid w:val="00731928"/>
    <w:rsid w:val="007523A9"/>
    <w:rsid w:val="00753221"/>
    <w:rsid w:val="007539E1"/>
    <w:rsid w:val="00757434"/>
    <w:rsid w:val="00761F6B"/>
    <w:rsid w:val="00765EC2"/>
    <w:rsid w:val="00771A4C"/>
    <w:rsid w:val="007752AA"/>
    <w:rsid w:val="007756A3"/>
    <w:rsid w:val="00782B31"/>
    <w:rsid w:val="007906FF"/>
    <w:rsid w:val="00795B44"/>
    <w:rsid w:val="00796401"/>
    <w:rsid w:val="007A6B78"/>
    <w:rsid w:val="007B2457"/>
    <w:rsid w:val="007B2462"/>
    <w:rsid w:val="007C351D"/>
    <w:rsid w:val="007E3719"/>
    <w:rsid w:val="007E3738"/>
    <w:rsid w:val="007E7274"/>
    <w:rsid w:val="007E795A"/>
    <w:rsid w:val="007F1411"/>
    <w:rsid w:val="007F1C20"/>
    <w:rsid w:val="007F2445"/>
    <w:rsid w:val="0080164A"/>
    <w:rsid w:val="00815314"/>
    <w:rsid w:val="0081644A"/>
    <w:rsid w:val="008403A2"/>
    <w:rsid w:val="0084327F"/>
    <w:rsid w:val="00844638"/>
    <w:rsid w:val="00853760"/>
    <w:rsid w:val="0086039A"/>
    <w:rsid w:val="008637EC"/>
    <w:rsid w:val="00875FE8"/>
    <w:rsid w:val="00877F52"/>
    <w:rsid w:val="008818CF"/>
    <w:rsid w:val="00884C7A"/>
    <w:rsid w:val="00887186"/>
    <w:rsid w:val="00890AAF"/>
    <w:rsid w:val="00893186"/>
    <w:rsid w:val="008A0CAD"/>
    <w:rsid w:val="008B1931"/>
    <w:rsid w:val="008C451F"/>
    <w:rsid w:val="008C6593"/>
    <w:rsid w:val="008C72F9"/>
    <w:rsid w:val="008D286C"/>
    <w:rsid w:val="008D3D23"/>
    <w:rsid w:val="008D5ED3"/>
    <w:rsid w:val="008F4B71"/>
    <w:rsid w:val="008F5066"/>
    <w:rsid w:val="008F6923"/>
    <w:rsid w:val="008F7AB9"/>
    <w:rsid w:val="009065F2"/>
    <w:rsid w:val="00912331"/>
    <w:rsid w:val="00923814"/>
    <w:rsid w:val="00927C8E"/>
    <w:rsid w:val="00930E75"/>
    <w:rsid w:val="00932A6E"/>
    <w:rsid w:val="00935FAB"/>
    <w:rsid w:val="009374E9"/>
    <w:rsid w:val="00940750"/>
    <w:rsid w:val="00944989"/>
    <w:rsid w:val="0094778E"/>
    <w:rsid w:val="00950BB2"/>
    <w:rsid w:val="009557D5"/>
    <w:rsid w:val="00956FE3"/>
    <w:rsid w:val="00957241"/>
    <w:rsid w:val="00962CB9"/>
    <w:rsid w:val="009822DD"/>
    <w:rsid w:val="009843C9"/>
    <w:rsid w:val="00984942"/>
    <w:rsid w:val="00986540"/>
    <w:rsid w:val="0098676B"/>
    <w:rsid w:val="00993470"/>
    <w:rsid w:val="009953AE"/>
    <w:rsid w:val="0099541D"/>
    <w:rsid w:val="009A22A6"/>
    <w:rsid w:val="009A6DFD"/>
    <w:rsid w:val="009B03F3"/>
    <w:rsid w:val="009B09AF"/>
    <w:rsid w:val="009B261A"/>
    <w:rsid w:val="009C1EC5"/>
    <w:rsid w:val="009C44A7"/>
    <w:rsid w:val="009E064D"/>
    <w:rsid w:val="009F2BA6"/>
    <w:rsid w:val="00A04BDF"/>
    <w:rsid w:val="00A215B3"/>
    <w:rsid w:val="00A31E26"/>
    <w:rsid w:val="00A34FFC"/>
    <w:rsid w:val="00A369D5"/>
    <w:rsid w:val="00A46BC7"/>
    <w:rsid w:val="00A55272"/>
    <w:rsid w:val="00A56E7D"/>
    <w:rsid w:val="00A57152"/>
    <w:rsid w:val="00A71272"/>
    <w:rsid w:val="00A8569A"/>
    <w:rsid w:val="00A85DD0"/>
    <w:rsid w:val="00AA2D19"/>
    <w:rsid w:val="00AA3A55"/>
    <w:rsid w:val="00AB11EE"/>
    <w:rsid w:val="00AB4DC8"/>
    <w:rsid w:val="00AB640C"/>
    <w:rsid w:val="00AC379D"/>
    <w:rsid w:val="00AD76F5"/>
    <w:rsid w:val="00AD7C05"/>
    <w:rsid w:val="00AE1394"/>
    <w:rsid w:val="00AF2C8B"/>
    <w:rsid w:val="00AF372A"/>
    <w:rsid w:val="00AF408F"/>
    <w:rsid w:val="00AF7693"/>
    <w:rsid w:val="00AF7BC6"/>
    <w:rsid w:val="00B0490D"/>
    <w:rsid w:val="00B076EC"/>
    <w:rsid w:val="00B146AF"/>
    <w:rsid w:val="00B216BD"/>
    <w:rsid w:val="00B23C40"/>
    <w:rsid w:val="00B2460E"/>
    <w:rsid w:val="00B24620"/>
    <w:rsid w:val="00B251AF"/>
    <w:rsid w:val="00B25D03"/>
    <w:rsid w:val="00B26D98"/>
    <w:rsid w:val="00B27FAC"/>
    <w:rsid w:val="00B31A38"/>
    <w:rsid w:val="00B44565"/>
    <w:rsid w:val="00B46E29"/>
    <w:rsid w:val="00B578AC"/>
    <w:rsid w:val="00B6477F"/>
    <w:rsid w:val="00B74ED1"/>
    <w:rsid w:val="00B804EE"/>
    <w:rsid w:val="00B8063F"/>
    <w:rsid w:val="00B82F7F"/>
    <w:rsid w:val="00B84EFD"/>
    <w:rsid w:val="00BA0F07"/>
    <w:rsid w:val="00BB09B6"/>
    <w:rsid w:val="00BB11F7"/>
    <w:rsid w:val="00BB6AA5"/>
    <w:rsid w:val="00BC4801"/>
    <w:rsid w:val="00BC7B08"/>
    <w:rsid w:val="00BD3A87"/>
    <w:rsid w:val="00BD6848"/>
    <w:rsid w:val="00BE1162"/>
    <w:rsid w:val="00BF1296"/>
    <w:rsid w:val="00BF3488"/>
    <w:rsid w:val="00C00F76"/>
    <w:rsid w:val="00C17A31"/>
    <w:rsid w:val="00C230B2"/>
    <w:rsid w:val="00C24C25"/>
    <w:rsid w:val="00C30F91"/>
    <w:rsid w:val="00C416AC"/>
    <w:rsid w:val="00C53941"/>
    <w:rsid w:val="00C6215E"/>
    <w:rsid w:val="00C621E5"/>
    <w:rsid w:val="00C76158"/>
    <w:rsid w:val="00C80942"/>
    <w:rsid w:val="00C81AD9"/>
    <w:rsid w:val="00C919E4"/>
    <w:rsid w:val="00C953F4"/>
    <w:rsid w:val="00CA6154"/>
    <w:rsid w:val="00CA778C"/>
    <w:rsid w:val="00CC0F96"/>
    <w:rsid w:val="00CC5024"/>
    <w:rsid w:val="00CC5BD4"/>
    <w:rsid w:val="00CE301F"/>
    <w:rsid w:val="00CF494C"/>
    <w:rsid w:val="00CF591D"/>
    <w:rsid w:val="00CF7AD6"/>
    <w:rsid w:val="00D01A32"/>
    <w:rsid w:val="00D06AF4"/>
    <w:rsid w:val="00D1020B"/>
    <w:rsid w:val="00D25E1C"/>
    <w:rsid w:val="00D342B0"/>
    <w:rsid w:val="00D539DB"/>
    <w:rsid w:val="00D5514F"/>
    <w:rsid w:val="00D8641D"/>
    <w:rsid w:val="00D91B18"/>
    <w:rsid w:val="00D94595"/>
    <w:rsid w:val="00DB3873"/>
    <w:rsid w:val="00DC5094"/>
    <w:rsid w:val="00DC563B"/>
    <w:rsid w:val="00DD1770"/>
    <w:rsid w:val="00DD27B6"/>
    <w:rsid w:val="00DD7311"/>
    <w:rsid w:val="00DE558F"/>
    <w:rsid w:val="00E00334"/>
    <w:rsid w:val="00E02AE8"/>
    <w:rsid w:val="00E16DAB"/>
    <w:rsid w:val="00E20FE6"/>
    <w:rsid w:val="00E32ED9"/>
    <w:rsid w:val="00E42C50"/>
    <w:rsid w:val="00E50736"/>
    <w:rsid w:val="00E51328"/>
    <w:rsid w:val="00E52B82"/>
    <w:rsid w:val="00E648C3"/>
    <w:rsid w:val="00E64C5A"/>
    <w:rsid w:val="00E76036"/>
    <w:rsid w:val="00E84DF8"/>
    <w:rsid w:val="00E84FA4"/>
    <w:rsid w:val="00E9594B"/>
    <w:rsid w:val="00E95A1B"/>
    <w:rsid w:val="00EA0F1B"/>
    <w:rsid w:val="00EA6896"/>
    <w:rsid w:val="00EC146D"/>
    <w:rsid w:val="00EC4299"/>
    <w:rsid w:val="00EC7615"/>
    <w:rsid w:val="00ED267B"/>
    <w:rsid w:val="00ED7830"/>
    <w:rsid w:val="00EE75DE"/>
    <w:rsid w:val="00EF279F"/>
    <w:rsid w:val="00F07E02"/>
    <w:rsid w:val="00F25EAE"/>
    <w:rsid w:val="00F26FF2"/>
    <w:rsid w:val="00F34D05"/>
    <w:rsid w:val="00F43E7E"/>
    <w:rsid w:val="00F441E9"/>
    <w:rsid w:val="00F55586"/>
    <w:rsid w:val="00F555DA"/>
    <w:rsid w:val="00F6340A"/>
    <w:rsid w:val="00F739D7"/>
    <w:rsid w:val="00F85395"/>
    <w:rsid w:val="00F86492"/>
    <w:rsid w:val="00F8666B"/>
    <w:rsid w:val="00F93C2F"/>
    <w:rsid w:val="00FB1B8D"/>
    <w:rsid w:val="00FB55DC"/>
    <w:rsid w:val="00FC400A"/>
    <w:rsid w:val="00FC51CE"/>
    <w:rsid w:val="00FC75C4"/>
    <w:rsid w:val="00FD28A3"/>
    <w:rsid w:val="00FD2D80"/>
    <w:rsid w:val="00FD72DB"/>
    <w:rsid w:val="00FE77A4"/>
    <w:rsid w:val="00FF0953"/>
    <w:rsid w:val="00FF316C"/>
    <w:rsid w:val="00FF4E29"/>
    <w:rsid w:val="00FF5B20"/>
    <w:rsid w:val="00FF664D"/>
    <w:rsid w:val="00FF6E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35CD2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E7957"/>
    <w:pPr>
      <w:spacing w:after="0" w:line="240" w:lineRule="auto"/>
    </w:pPr>
    <w:rPr>
      <w:rFonts w:ascii="Times New Roman" w:eastAsia="Times New Roman" w:hAnsi="Times New Roman" w:cs="Times New Roman"/>
      <w:sz w:val="20"/>
      <w:szCs w:val="20"/>
      <w:lang w:eastAsia="en-IE"/>
    </w:rPr>
  </w:style>
  <w:style w:type="character" w:customStyle="1" w:styleId="CommentTextChar">
    <w:name w:val="Comment Text Char"/>
    <w:basedOn w:val="DefaultParagraphFont"/>
    <w:link w:val="CommentText"/>
    <w:uiPriority w:val="99"/>
    <w:semiHidden/>
    <w:rsid w:val="006E7957"/>
    <w:rPr>
      <w:rFonts w:ascii="Times New Roman" w:eastAsia="Times New Roman" w:hAnsi="Times New Roman" w:cs="Times New Roman"/>
      <w:sz w:val="20"/>
      <w:szCs w:val="20"/>
      <w:lang w:eastAsia="en-IE"/>
    </w:rPr>
  </w:style>
  <w:style w:type="paragraph" w:styleId="ListParagraph">
    <w:name w:val="List Paragraph"/>
    <w:basedOn w:val="Normal"/>
    <w:uiPriority w:val="34"/>
    <w:qFormat/>
    <w:rsid w:val="006E7957"/>
    <w:pPr>
      <w:spacing w:after="0" w:line="360" w:lineRule="auto"/>
      <w:ind w:left="720"/>
      <w:contextualSpacing/>
      <w:jc w:val="both"/>
    </w:pPr>
  </w:style>
  <w:style w:type="character" w:styleId="CommentReference">
    <w:name w:val="annotation reference"/>
    <w:uiPriority w:val="99"/>
    <w:semiHidden/>
    <w:unhideWhenUsed/>
    <w:rsid w:val="006E7957"/>
    <w:rPr>
      <w:sz w:val="16"/>
    </w:rPr>
  </w:style>
  <w:style w:type="paragraph" w:styleId="BalloonText">
    <w:name w:val="Balloon Text"/>
    <w:basedOn w:val="Normal"/>
    <w:link w:val="BalloonTextChar"/>
    <w:uiPriority w:val="99"/>
    <w:semiHidden/>
    <w:unhideWhenUsed/>
    <w:rsid w:val="006E79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957"/>
    <w:rPr>
      <w:rFonts w:ascii="Segoe UI" w:hAnsi="Segoe UI" w:cs="Segoe UI"/>
      <w:sz w:val="18"/>
      <w:szCs w:val="18"/>
    </w:rPr>
  </w:style>
  <w:style w:type="paragraph" w:styleId="Header">
    <w:name w:val="header"/>
    <w:basedOn w:val="Normal"/>
    <w:link w:val="HeaderChar"/>
    <w:uiPriority w:val="99"/>
    <w:unhideWhenUsed/>
    <w:rsid w:val="005D6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D2"/>
  </w:style>
  <w:style w:type="paragraph" w:styleId="Footer">
    <w:name w:val="footer"/>
    <w:basedOn w:val="Normal"/>
    <w:link w:val="FooterChar"/>
    <w:uiPriority w:val="99"/>
    <w:unhideWhenUsed/>
    <w:rsid w:val="005D6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D2"/>
  </w:style>
  <w:style w:type="paragraph" w:styleId="CommentSubject">
    <w:name w:val="annotation subject"/>
    <w:basedOn w:val="CommentText"/>
    <w:next w:val="CommentText"/>
    <w:link w:val="CommentSubjectChar"/>
    <w:uiPriority w:val="99"/>
    <w:semiHidden/>
    <w:unhideWhenUsed/>
    <w:rsid w:val="005A4EF1"/>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5A4EF1"/>
    <w:rPr>
      <w:rFonts w:ascii="Times New Roman" w:eastAsia="Times New Roman" w:hAnsi="Times New Roman" w:cs="Times New Roman"/>
      <w:b/>
      <w:bCs/>
      <w:sz w:val="20"/>
      <w:szCs w:val="20"/>
      <w:lang w:eastAsia="en-IE"/>
    </w:rPr>
  </w:style>
  <w:style w:type="paragraph" w:styleId="Revision">
    <w:name w:val="Revision"/>
    <w:hidden/>
    <w:uiPriority w:val="99"/>
    <w:semiHidden/>
    <w:rsid w:val="00C80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5529">
      <w:bodyDiv w:val="1"/>
      <w:marLeft w:val="0"/>
      <w:marRight w:val="0"/>
      <w:marTop w:val="0"/>
      <w:marBottom w:val="0"/>
      <w:divBdr>
        <w:top w:val="none" w:sz="0" w:space="0" w:color="auto"/>
        <w:left w:val="none" w:sz="0" w:space="0" w:color="auto"/>
        <w:bottom w:val="none" w:sz="0" w:space="0" w:color="auto"/>
        <w:right w:val="none" w:sz="0" w:space="0" w:color="auto"/>
      </w:divBdr>
    </w:div>
    <w:div w:id="7430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5267</Words>
  <Characters>30023</Characters>
  <Application>Microsoft Office Word</Application>
  <DocSecurity>0</DocSecurity>
  <Lines>250</Lines>
  <Paragraphs>70</Paragraphs>
  <ScaleCrop>false</ScaleCrop>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2022-03-31T11:06:00Z</dcterms:created>
  <dcterms:modified xsi:type="dcterms:W3CDTF">2022-03-31T11:06:00Z</dcterms:modified>
</cp:coreProperties>
</file>