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0BE8F" w14:textId="77777777" w:rsidR="005D0736" w:rsidRPr="00434D69" w:rsidRDefault="005D0736" w:rsidP="005D0736">
      <w:pPr>
        <w:spacing w:after="0" w:line="240" w:lineRule="auto"/>
        <w:jc w:val="center"/>
        <w:rPr>
          <w:rFonts w:ascii="Times New Roman" w:hAnsi="Times New Roman" w:cs="Times New Roman"/>
          <w:b/>
          <w:sz w:val="32"/>
          <w:szCs w:val="32"/>
        </w:rPr>
      </w:pPr>
      <w:bookmarkStart w:id="0" w:name="_GoBack"/>
      <w:bookmarkEnd w:id="0"/>
      <w:r w:rsidRPr="00434D69">
        <w:rPr>
          <w:rFonts w:ascii="Times New Roman" w:hAnsi="Times New Roman" w:cs="Times New Roman"/>
          <w:b/>
          <w:sz w:val="32"/>
          <w:szCs w:val="32"/>
        </w:rPr>
        <w:t>THE COURT OF APPEAL</w:t>
      </w:r>
    </w:p>
    <w:p w14:paraId="6BEB42C5" w14:textId="77777777" w:rsidR="005D0736" w:rsidRDefault="005D0736" w:rsidP="005D0736">
      <w:pPr>
        <w:spacing w:after="0" w:line="240" w:lineRule="auto"/>
        <w:jc w:val="center"/>
        <w:rPr>
          <w:rFonts w:ascii="Times New Roman" w:hAnsi="Times New Roman" w:cs="Times New Roman"/>
          <w:b/>
          <w:sz w:val="24"/>
          <w:szCs w:val="24"/>
          <w:u w:val="single"/>
        </w:rPr>
      </w:pPr>
      <w:r w:rsidRPr="00434D69">
        <w:rPr>
          <w:rFonts w:ascii="Times New Roman" w:hAnsi="Times New Roman" w:cs="Times New Roman"/>
          <w:b/>
          <w:sz w:val="32"/>
          <w:szCs w:val="32"/>
        </w:rPr>
        <w:t>CIVIL</w:t>
      </w:r>
    </w:p>
    <w:p w14:paraId="3B6D8311" w14:textId="77777777" w:rsidR="005D0736" w:rsidRDefault="005D0736" w:rsidP="005D0736">
      <w:pPr>
        <w:spacing w:after="0" w:line="240" w:lineRule="auto"/>
        <w:jc w:val="right"/>
        <w:rPr>
          <w:rFonts w:ascii="Times New Roman" w:hAnsi="Times New Roman" w:cs="Times New Roman"/>
          <w:b/>
          <w:sz w:val="24"/>
          <w:szCs w:val="24"/>
        </w:rPr>
      </w:pPr>
    </w:p>
    <w:p w14:paraId="7349F49F" w14:textId="77777777" w:rsidR="005D0736" w:rsidRDefault="005D0736" w:rsidP="005D0736">
      <w:pPr>
        <w:spacing w:after="0" w:line="240" w:lineRule="auto"/>
        <w:jc w:val="right"/>
        <w:rPr>
          <w:rFonts w:ascii="Times New Roman" w:hAnsi="Times New Roman" w:cs="Times New Roman"/>
          <w:b/>
          <w:sz w:val="24"/>
          <w:szCs w:val="24"/>
        </w:rPr>
      </w:pPr>
    </w:p>
    <w:p w14:paraId="773A629B" w14:textId="77777777" w:rsidR="005D0736" w:rsidRDefault="005D0736" w:rsidP="005D0736">
      <w:pPr>
        <w:spacing w:after="0" w:line="240" w:lineRule="auto"/>
        <w:jc w:val="right"/>
        <w:rPr>
          <w:rFonts w:ascii="Times New Roman" w:hAnsi="Times New Roman" w:cs="Times New Roman"/>
          <w:b/>
          <w:sz w:val="24"/>
          <w:szCs w:val="24"/>
        </w:rPr>
      </w:pPr>
    </w:p>
    <w:p w14:paraId="15E5D56A" w14:textId="048248F1" w:rsidR="005D0736" w:rsidRDefault="005D0736" w:rsidP="005D0736">
      <w:pPr>
        <w:spacing w:after="0" w:line="240" w:lineRule="auto"/>
        <w:jc w:val="right"/>
        <w:rPr>
          <w:rFonts w:ascii="Times New Roman" w:hAnsi="Times New Roman" w:cs="Times New Roman"/>
          <w:b/>
          <w:sz w:val="24"/>
          <w:szCs w:val="24"/>
        </w:rPr>
      </w:pPr>
      <w:r w:rsidRPr="00434D69">
        <w:rPr>
          <w:rFonts w:ascii="Times New Roman" w:hAnsi="Times New Roman" w:cs="Times New Roman"/>
          <w:b/>
          <w:sz w:val="24"/>
          <w:szCs w:val="24"/>
        </w:rPr>
        <w:t>Court of Appeal Record No</w:t>
      </w:r>
      <w:r>
        <w:rPr>
          <w:rFonts w:ascii="Times New Roman" w:hAnsi="Times New Roman" w:cs="Times New Roman"/>
          <w:b/>
          <w:sz w:val="24"/>
          <w:szCs w:val="24"/>
        </w:rPr>
        <w:t>s</w:t>
      </w:r>
      <w:r w:rsidRPr="00434D69">
        <w:rPr>
          <w:rFonts w:ascii="Times New Roman" w:hAnsi="Times New Roman" w:cs="Times New Roman"/>
          <w:b/>
          <w:sz w:val="24"/>
          <w:szCs w:val="24"/>
        </w:rPr>
        <w:t>. 20</w:t>
      </w:r>
      <w:r>
        <w:rPr>
          <w:rFonts w:ascii="Times New Roman" w:hAnsi="Times New Roman" w:cs="Times New Roman"/>
          <w:b/>
          <w:sz w:val="24"/>
          <w:szCs w:val="24"/>
        </w:rPr>
        <w:t>19</w:t>
      </w:r>
      <w:r w:rsidRPr="00FF3E83">
        <w:rPr>
          <w:rFonts w:ascii="Times New Roman" w:hAnsi="Times New Roman" w:cs="Times New Roman"/>
          <w:b/>
          <w:sz w:val="24"/>
          <w:szCs w:val="24"/>
        </w:rPr>
        <w:t>/</w:t>
      </w:r>
      <w:r>
        <w:rPr>
          <w:rFonts w:ascii="Times New Roman" w:hAnsi="Times New Roman" w:cs="Times New Roman"/>
          <w:b/>
          <w:sz w:val="24"/>
          <w:szCs w:val="24"/>
        </w:rPr>
        <w:t>49</w:t>
      </w:r>
      <w:r w:rsidR="00A70236">
        <w:rPr>
          <w:rFonts w:ascii="Times New Roman" w:hAnsi="Times New Roman" w:cs="Times New Roman"/>
          <w:b/>
          <w:sz w:val="24"/>
          <w:szCs w:val="24"/>
        </w:rPr>
        <w:t>1</w:t>
      </w:r>
      <w:r>
        <w:rPr>
          <w:rFonts w:ascii="Times New Roman" w:hAnsi="Times New Roman" w:cs="Times New Roman"/>
          <w:b/>
          <w:sz w:val="24"/>
          <w:szCs w:val="24"/>
        </w:rPr>
        <w:t>, 2020/174 &amp; 2020/175</w:t>
      </w:r>
    </w:p>
    <w:p w14:paraId="2D38F5C9" w14:textId="2EAF3748" w:rsidR="005D0736" w:rsidRDefault="00366AEC" w:rsidP="005D0736">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 xml:space="preserve">Neutral Citation No. [2022] IECA </w:t>
      </w:r>
      <w:r w:rsidR="00A70236">
        <w:rPr>
          <w:rFonts w:ascii="Times New Roman" w:hAnsi="Times New Roman" w:cs="Times New Roman"/>
          <w:b/>
          <w:sz w:val="24"/>
          <w:szCs w:val="24"/>
        </w:rPr>
        <w:t>87</w:t>
      </w:r>
    </w:p>
    <w:p w14:paraId="7D39F549" w14:textId="77777777" w:rsidR="005D0736" w:rsidRDefault="005D0736" w:rsidP="005D0736">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 xml:space="preserve"> </w:t>
      </w:r>
      <w:r w:rsidRPr="00434D69">
        <w:rPr>
          <w:rFonts w:ascii="Times New Roman" w:hAnsi="Times New Roman" w:cs="Times New Roman"/>
          <w:b/>
          <w:sz w:val="24"/>
          <w:szCs w:val="24"/>
        </w:rPr>
        <w:t xml:space="preserve"> </w:t>
      </w:r>
    </w:p>
    <w:p w14:paraId="3383E67C" w14:textId="77777777" w:rsidR="005D0736" w:rsidRDefault="005D0736" w:rsidP="005D0736">
      <w:pPr>
        <w:spacing w:after="0" w:line="240" w:lineRule="auto"/>
        <w:rPr>
          <w:rFonts w:ascii="Times New Roman" w:hAnsi="Times New Roman" w:cs="Times New Roman"/>
          <w:b/>
          <w:sz w:val="24"/>
          <w:szCs w:val="24"/>
          <w:u w:val="single"/>
        </w:rPr>
      </w:pPr>
    </w:p>
    <w:p w14:paraId="662DEB5A" w14:textId="77777777" w:rsidR="005D0736" w:rsidRDefault="005D0736" w:rsidP="005D0736">
      <w:pPr>
        <w:spacing w:after="0" w:line="240" w:lineRule="auto"/>
        <w:rPr>
          <w:rFonts w:ascii="Times New Roman" w:hAnsi="Times New Roman" w:cs="Times New Roman"/>
          <w:b/>
          <w:sz w:val="24"/>
          <w:szCs w:val="24"/>
        </w:rPr>
      </w:pPr>
    </w:p>
    <w:p w14:paraId="0AAAC067" w14:textId="77777777" w:rsidR="005D0736" w:rsidRDefault="005D0736" w:rsidP="005D0736">
      <w:pPr>
        <w:spacing w:after="0" w:line="240" w:lineRule="auto"/>
        <w:rPr>
          <w:rFonts w:ascii="Times New Roman" w:hAnsi="Times New Roman" w:cs="Times New Roman"/>
          <w:b/>
          <w:sz w:val="24"/>
          <w:szCs w:val="24"/>
        </w:rPr>
      </w:pPr>
    </w:p>
    <w:p w14:paraId="53A3E7B0" w14:textId="77777777" w:rsidR="005D0736" w:rsidRDefault="005D0736" w:rsidP="005D0736">
      <w:pPr>
        <w:spacing w:after="0" w:line="240" w:lineRule="auto"/>
        <w:rPr>
          <w:rFonts w:ascii="Times New Roman" w:hAnsi="Times New Roman" w:cs="Times New Roman"/>
          <w:b/>
          <w:sz w:val="24"/>
          <w:szCs w:val="24"/>
        </w:rPr>
      </w:pPr>
      <w:r w:rsidRPr="00FF3E83">
        <w:rPr>
          <w:rFonts w:ascii="Times New Roman" w:hAnsi="Times New Roman" w:cs="Times New Roman"/>
          <w:b/>
          <w:sz w:val="24"/>
          <w:szCs w:val="24"/>
        </w:rPr>
        <w:t>Murray J.</w:t>
      </w:r>
    </w:p>
    <w:p w14:paraId="51FC3496" w14:textId="77777777" w:rsidR="005D0736" w:rsidRDefault="005D0736" w:rsidP="005D073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Collins J. </w:t>
      </w:r>
    </w:p>
    <w:p w14:paraId="537A3CAD" w14:textId="77777777" w:rsidR="005D0736" w:rsidRDefault="005D0736" w:rsidP="005D073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Pilkington J. </w:t>
      </w:r>
    </w:p>
    <w:p w14:paraId="13769F0E" w14:textId="77777777" w:rsidR="005D0736" w:rsidRDefault="005D0736" w:rsidP="005D0736">
      <w:pPr>
        <w:spacing w:after="0" w:line="240" w:lineRule="auto"/>
        <w:rPr>
          <w:rFonts w:ascii="Times New Roman" w:hAnsi="Times New Roman" w:cs="Times New Roman"/>
          <w:b/>
          <w:sz w:val="24"/>
          <w:szCs w:val="24"/>
        </w:rPr>
      </w:pPr>
    </w:p>
    <w:p w14:paraId="48C08645" w14:textId="77777777" w:rsidR="005D0736" w:rsidRDefault="005D0736" w:rsidP="005D0736">
      <w:pPr>
        <w:spacing w:after="0" w:line="240" w:lineRule="auto"/>
        <w:rPr>
          <w:rFonts w:ascii="Times New Roman" w:hAnsi="Times New Roman" w:cs="Times New Roman"/>
          <w:b/>
          <w:sz w:val="24"/>
          <w:szCs w:val="24"/>
        </w:rPr>
      </w:pPr>
    </w:p>
    <w:p w14:paraId="1CEBE906" w14:textId="77777777" w:rsidR="005D0736" w:rsidRDefault="005D0736" w:rsidP="005D0736">
      <w:pPr>
        <w:spacing w:after="0" w:line="240" w:lineRule="auto"/>
        <w:rPr>
          <w:rFonts w:ascii="Times New Roman" w:hAnsi="Times New Roman" w:cs="Times New Roman"/>
          <w:b/>
          <w:sz w:val="24"/>
          <w:szCs w:val="24"/>
        </w:rPr>
      </w:pPr>
    </w:p>
    <w:p w14:paraId="21574A7F" w14:textId="77777777" w:rsidR="005D0736" w:rsidRDefault="005D0736" w:rsidP="005D073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BETWEEN </w:t>
      </w:r>
    </w:p>
    <w:p w14:paraId="2CD1B045" w14:textId="77777777" w:rsidR="005D0736" w:rsidRDefault="005D0736" w:rsidP="005D0736">
      <w:pPr>
        <w:spacing w:after="0" w:line="240" w:lineRule="auto"/>
        <w:rPr>
          <w:rFonts w:ascii="Times New Roman" w:hAnsi="Times New Roman" w:cs="Times New Roman"/>
          <w:b/>
          <w:sz w:val="24"/>
          <w:szCs w:val="24"/>
        </w:rPr>
      </w:pPr>
    </w:p>
    <w:p w14:paraId="03642182" w14:textId="77777777" w:rsidR="005D0736" w:rsidRDefault="005D0736" w:rsidP="005D0736">
      <w:pPr>
        <w:spacing w:after="0" w:line="240" w:lineRule="auto"/>
        <w:jc w:val="center"/>
        <w:rPr>
          <w:rFonts w:ascii="Times New Roman" w:hAnsi="Times New Roman" w:cs="Times New Roman"/>
          <w:b/>
          <w:sz w:val="24"/>
          <w:szCs w:val="24"/>
        </w:rPr>
      </w:pPr>
    </w:p>
    <w:p w14:paraId="336634EB" w14:textId="77777777" w:rsidR="005D0736" w:rsidRDefault="005D0736" w:rsidP="005D0736">
      <w:pPr>
        <w:spacing w:after="0" w:line="240" w:lineRule="auto"/>
        <w:jc w:val="center"/>
        <w:rPr>
          <w:rFonts w:ascii="Times New Roman" w:hAnsi="Times New Roman" w:cs="Times New Roman"/>
          <w:b/>
          <w:sz w:val="24"/>
          <w:szCs w:val="24"/>
        </w:rPr>
      </w:pPr>
    </w:p>
    <w:p w14:paraId="7308FA27" w14:textId="77777777" w:rsidR="005D0736" w:rsidRDefault="005D0736" w:rsidP="005D0736">
      <w:pPr>
        <w:spacing w:after="0" w:line="480" w:lineRule="auto"/>
        <w:jc w:val="center"/>
        <w:rPr>
          <w:rFonts w:ascii="Times New Roman" w:hAnsi="Times New Roman" w:cs="Times New Roman"/>
          <w:b/>
          <w:sz w:val="24"/>
          <w:szCs w:val="24"/>
        </w:rPr>
      </w:pPr>
      <w:r w:rsidRPr="00FA33E6">
        <w:rPr>
          <w:rFonts w:ascii="Times New Roman" w:hAnsi="Times New Roman" w:cs="Times New Roman"/>
          <w:b/>
          <w:sz w:val="24"/>
          <w:szCs w:val="24"/>
        </w:rPr>
        <w:t>ULSTER BANK IRELAND LIMITED, PAUL MCCANN</w:t>
      </w:r>
    </w:p>
    <w:p w14:paraId="3A71A1C1" w14:textId="77777777" w:rsidR="005D0736" w:rsidRDefault="005D0736" w:rsidP="005D0736">
      <w:pPr>
        <w:spacing w:after="0" w:line="480" w:lineRule="auto"/>
        <w:jc w:val="center"/>
        <w:rPr>
          <w:rFonts w:ascii="Times New Roman" w:hAnsi="Times New Roman" w:cs="Times New Roman"/>
          <w:b/>
          <w:sz w:val="24"/>
          <w:szCs w:val="24"/>
        </w:rPr>
      </w:pPr>
      <w:r w:rsidRPr="00FA33E6">
        <w:rPr>
          <w:rFonts w:ascii="Times New Roman" w:hAnsi="Times New Roman" w:cs="Times New Roman"/>
          <w:b/>
          <w:sz w:val="24"/>
          <w:szCs w:val="24"/>
        </w:rPr>
        <w:t xml:space="preserve"> AND PATRICK DILLON </w:t>
      </w:r>
    </w:p>
    <w:p w14:paraId="34573F0F" w14:textId="1C541FCA" w:rsidR="005D0736" w:rsidRPr="008172A8" w:rsidRDefault="007E2783" w:rsidP="005D0736">
      <w:pPr>
        <w:spacing w:after="0" w:line="480" w:lineRule="auto"/>
        <w:jc w:val="right"/>
        <w:rPr>
          <w:rFonts w:ascii="Times New Roman" w:hAnsi="Times New Roman" w:cs="Times New Roman"/>
          <w:i/>
          <w:sz w:val="24"/>
          <w:szCs w:val="24"/>
        </w:rPr>
      </w:pPr>
      <w:r>
        <w:rPr>
          <w:rFonts w:ascii="Times New Roman" w:hAnsi="Times New Roman" w:cs="Times New Roman"/>
          <w:i/>
          <w:sz w:val="24"/>
          <w:szCs w:val="24"/>
        </w:rPr>
        <w:t>Plaintiffs</w:t>
      </w:r>
      <w:r w:rsidR="005D0736" w:rsidRPr="008172A8">
        <w:rPr>
          <w:rFonts w:ascii="Times New Roman" w:hAnsi="Times New Roman" w:cs="Times New Roman"/>
          <w:i/>
          <w:sz w:val="24"/>
          <w:szCs w:val="24"/>
        </w:rPr>
        <w:t>/Respondents</w:t>
      </w:r>
    </w:p>
    <w:p w14:paraId="121AE30A" w14:textId="77777777" w:rsidR="005D0736" w:rsidRPr="00FA33E6" w:rsidRDefault="005D0736" w:rsidP="005D0736">
      <w:pPr>
        <w:spacing w:after="0" w:line="240" w:lineRule="auto"/>
        <w:jc w:val="right"/>
        <w:rPr>
          <w:rFonts w:ascii="Times New Roman" w:hAnsi="Times New Roman" w:cs="Times New Roman"/>
          <w:b/>
          <w:sz w:val="24"/>
          <w:szCs w:val="24"/>
        </w:rPr>
      </w:pPr>
    </w:p>
    <w:p w14:paraId="2C84C024" w14:textId="77777777" w:rsidR="005D0736" w:rsidRPr="00FA33E6" w:rsidRDefault="005D0736" w:rsidP="005D0736">
      <w:pPr>
        <w:spacing w:after="0" w:line="240" w:lineRule="auto"/>
        <w:rPr>
          <w:rFonts w:ascii="Times New Roman" w:hAnsi="Times New Roman" w:cs="Times New Roman"/>
          <w:b/>
          <w:sz w:val="24"/>
          <w:szCs w:val="24"/>
        </w:rPr>
      </w:pPr>
    </w:p>
    <w:p w14:paraId="7BCBDFD2" w14:textId="77777777" w:rsidR="005D0736" w:rsidRPr="00FA33E6" w:rsidRDefault="005D0736" w:rsidP="005D0736">
      <w:pPr>
        <w:spacing w:after="0" w:line="240" w:lineRule="auto"/>
        <w:rPr>
          <w:rFonts w:ascii="Times New Roman" w:hAnsi="Times New Roman" w:cs="Times New Roman"/>
          <w:b/>
          <w:sz w:val="24"/>
          <w:szCs w:val="24"/>
        </w:rPr>
      </w:pPr>
      <w:r w:rsidRPr="00FA33E6">
        <w:rPr>
          <w:rFonts w:ascii="Times New Roman" w:hAnsi="Times New Roman" w:cs="Times New Roman"/>
          <w:b/>
          <w:sz w:val="24"/>
          <w:szCs w:val="24"/>
        </w:rPr>
        <w:t xml:space="preserve">AND </w:t>
      </w:r>
    </w:p>
    <w:p w14:paraId="575664B6" w14:textId="77777777" w:rsidR="005D0736" w:rsidRPr="00FA33E6" w:rsidRDefault="005D0736" w:rsidP="005D0736">
      <w:pPr>
        <w:spacing w:after="0" w:line="240" w:lineRule="auto"/>
        <w:jc w:val="center"/>
        <w:rPr>
          <w:rFonts w:ascii="Times New Roman" w:hAnsi="Times New Roman" w:cs="Times New Roman"/>
          <w:b/>
          <w:sz w:val="24"/>
          <w:szCs w:val="24"/>
        </w:rPr>
      </w:pPr>
    </w:p>
    <w:p w14:paraId="286289D6" w14:textId="77777777" w:rsidR="005D0736" w:rsidRDefault="005D0736" w:rsidP="005D0736">
      <w:pPr>
        <w:spacing w:after="0" w:line="240" w:lineRule="auto"/>
        <w:jc w:val="center"/>
        <w:rPr>
          <w:rFonts w:ascii="Times New Roman" w:hAnsi="Times New Roman" w:cs="Times New Roman"/>
          <w:b/>
          <w:sz w:val="24"/>
          <w:szCs w:val="24"/>
        </w:rPr>
      </w:pPr>
    </w:p>
    <w:p w14:paraId="674EA9E9" w14:textId="77777777" w:rsidR="005D0736" w:rsidRDefault="005D0736" w:rsidP="005D0736">
      <w:pPr>
        <w:spacing w:after="0" w:line="480" w:lineRule="auto"/>
        <w:jc w:val="center"/>
        <w:rPr>
          <w:rFonts w:ascii="Times New Roman" w:hAnsi="Times New Roman" w:cs="Times New Roman"/>
          <w:b/>
          <w:sz w:val="24"/>
          <w:szCs w:val="24"/>
        </w:rPr>
      </w:pPr>
      <w:r w:rsidRPr="00FA33E6">
        <w:rPr>
          <w:rFonts w:ascii="Times New Roman" w:hAnsi="Times New Roman" w:cs="Times New Roman"/>
          <w:b/>
          <w:sz w:val="24"/>
          <w:szCs w:val="24"/>
        </w:rPr>
        <w:t xml:space="preserve">BRIAN MCDONAGH, KENNETH MCDONAGH </w:t>
      </w:r>
    </w:p>
    <w:p w14:paraId="4FD9414F" w14:textId="77777777" w:rsidR="005D0736" w:rsidRDefault="005D0736" w:rsidP="005D0736">
      <w:pPr>
        <w:spacing w:after="0" w:line="480" w:lineRule="auto"/>
        <w:jc w:val="center"/>
        <w:rPr>
          <w:rFonts w:ascii="Times New Roman" w:hAnsi="Times New Roman" w:cs="Times New Roman"/>
          <w:b/>
          <w:sz w:val="24"/>
          <w:szCs w:val="24"/>
        </w:rPr>
      </w:pPr>
      <w:r w:rsidRPr="00FA33E6">
        <w:rPr>
          <w:rFonts w:ascii="Times New Roman" w:hAnsi="Times New Roman" w:cs="Times New Roman"/>
          <w:b/>
          <w:sz w:val="24"/>
          <w:szCs w:val="24"/>
        </w:rPr>
        <w:t>AND MAURICE MCDONAGH</w:t>
      </w:r>
    </w:p>
    <w:p w14:paraId="5CAB6297" w14:textId="77777777" w:rsidR="005D0736" w:rsidRDefault="005D0736" w:rsidP="005D0736">
      <w:pPr>
        <w:spacing w:after="0" w:line="480" w:lineRule="auto"/>
        <w:jc w:val="right"/>
        <w:rPr>
          <w:rFonts w:ascii="Times New Roman" w:hAnsi="Times New Roman" w:cs="Times New Roman"/>
          <w:i/>
          <w:sz w:val="24"/>
          <w:szCs w:val="24"/>
        </w:rPr>
      </w:pPr>
      <w:r w:rsidRPr="008172A8">
        <w:rPr>
          <w:rFonts w:ascii="Times New Roman" w:hAnsi="Times New Roman" w:cs="Times New Roman"/>
          <w:i/>
          <w:sz w:val="24"/>
          <w:szCs w:val="24"/>
        </w:rPr>
        <w:t>Defendants/Appellants</w:t>
      </w:r>
    </w:p>
    <w:p w14:paraId="35F23477" w14:textId="77777777" w:rsidR="005D0736" w:rsidRPr="008172A8" w:rsidRDefault="005D0736" w:rsidP="005D0736">
      <w:pPr>
        <w:spacing w:after="0" w:line="480" w:lineRule="auto"/>
        <w:jc w:val="right"/>
        <w:rPr>
          <w:rFonts w:ascii="Times New Roman" w:hAnsi="Times New Roman" w:cs="Times New Roman"/>
          <w:i/>
          <w:sz w:val="24"/>
          <w:szCs w:val="24"/>
        </w:rPr>
      </w:pPr>
    </w:p>
    <w:p w14:paraId="27D38B81" w14:textId="77777777" w:rsidR="005D0736" w:rsidRDefault="005D0736" w:rsidP="005D0736">
      <w:pPr>
        <w:spacing w:after="0" w:line="480" w:lineRule="auto"/>
        <w:rPr>
          <w:rFonts w:ascii="Times New Roman" w:hAnsi="Times New Roman" w:cs="Times New Roman"/>
          <w:b/>
          <w:sz w:val="24"/>
          <w:szCs w:val="24"/>
        </w:rPr>
      </w:pPr>
    </w:p>
    <w:p w14:paraId="2AEF8679" w14:textId="55EDA88E" w:rsidR="005D0736" w:rsidRPr="00BE660C" w:rsidRDefault="005D0736" w:rsidP="00BE660C">
      <w:pPr>
        <w:spacing w:after="0"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JOINT </w:t>
      </w:r>
      <w:r w:rsidRPr="00FF3E83">
        <w:rPr>
          <w:rFonts w:ascii="Times New Roman" w:hAnsi="Times New Roman" w:cs="Times New Roman"/>
          <w:b/>
          <w:sz w:val="24"/>
          <w:szCs w:val="24"/>
          <w:u w:val="single"/>
        </w:rPr>
        <w:t xml:space="preserve">JUDGMENT of </w:t>
      </w:r>
      <w:r>
        <w:rPr>
          <w:rFonts w:ascii="Times New Roman" w:hAnsi="Times New Roman" w:cs="Times New Roman"/>
          <w:b/>
          <w:sz w:val="24"/>
          <w:szCs w:val="24"/>
          <w:u w:val="single"/>
        </w:rPr>
        <w:t xml:space="preserve">Murray J. and Collins J. </w:t>
      </w:r>
      <w:r w:rsidRPr="00FF3E83">
        <w:rPr>
          <w:rFonts w:ascii="Times New Roman" w:hAnsi="Times New Roman" w:cs="Times New Roman"/>
          <w:b/>
          <w:sz w:val="24"/>
          <w:szCs w:val="24"/>
          <w:u w:val="single"/>
        </w:rPr>
        <w:t>delivered on</w:t>
      </w:r>
      <w:r>
        <w:rPr>
          <w:rFonts w:ascii="Times New Roman" w:hAnsi="Times New Roman" w:cs="Times New Roman"/>
          <w:b/>
          <w:sz w:val="24"/>
          <w:szCs w:val="24"/>
          <w:u w:val="single"/>
        </w:rPr>
        <w:t xml:space="preserve"> </w:t>
      </w:r>
      <w:r w:rsidR="00BE7108">
        <w:rPr>
          <w:rFonts w:ascii="Times New Roman" w:hAnsi="Times New Roman" w:cs="Times New Roman"/>
          <w:b/>
          <w:sz w:val="24"/>
          <w:szCs w:val="24"/>
          <w:u w:val="single"/>
        </w:rPr>
        <w:t>6</w:t>
      </w:r>
      <w:r w:rsidR="0083795B" w:rsidRPr="00BE660C">
        <w:rPr>
          <w:rFonts w:ascii="Times New Roman" w:hAnsi="Times New Roman" w:cs="Times New Roman"/>
          <w:b/>
          <w:sz w:val="24"/>
          <w:szCs w:val="24"/>
          <w:u w:val="single"/>
          <w:vertAlign w:val="superscript"/>
        </w:rPr>
        <w:t>th</w:t>
      </w:r>
      <w:r w:rsidR="0083795B">
        <w:rPr>
          <w:rFonts w:ascii="Times New Roman" w:hAnsi="Times New Roman" w:cs="Times New Roman"/>
          <w:b/>
          <w:sz w:val="24"/>
          <w:szCs w:val="24"/>
          <w:u w:val="single"/>
        </w:rPr>
        <w:t xml:space="preserve"> April </w:t>
      </w:r>
      <w:r>
        <w:rPr>
          <w:rFonts w:ascii="Times New Roman" w:hAnsi="Times New Roman" w:cs="Times New Roman"/>
          <w:b/>
          <w:sz w:val="24"/>
          <w:szCs w:val="24"/>
          <w:u w:val="single"/>
        </w:rPr>
        <w:t>2</w:t>
      </w:r>
      <w:r w:rsidRPr="00FF3E83">
        <w:rPr>
          <w:rFonts w:ascii="Times New Roman" w:hAnsi="Times New Roman" w:cs="Times New Roman"/>
          <w:b/>
          <w:sz w:val="24"/>
          <w:szCs w:val="24"/>
          <w:u w:val="single"/>
        </w:rPr>
        <w:t>02</w:t>
      </w:r>
      <w:r>
        <w:rPr>
          <w:rFonts w:ascii="Times New Roman" w:hAnsi="Times New Roman" w:cs="Times New Roman"/>
          <w:b/>
          <w:sz w:val="24"/>
          <w:szCs w:val="24"/>
          <w:u w:val="single"/>
        </w:rPr>
        <w:t>2</w:t>
      </w:r>
    </w:p>
    <w:p w14:paraId="4206A620" w14:textId="0727A8F0" w:rsidR="005D0736" w:rsidRPr="0096156B" w:rsidRDefault="005D0736" w:rsidP="0096156B">
      <w:pPr>
        <w:pStyle w:val="Heading1"/>
      </w:pPr>
      <w:r w:rsidRPr="0096156B">
        <w:lastRenderedPageBreak/>
        <w:t>BACKGROUND</w:t>
      </w:r>
    </w:p>
    <w:p w14:paraId="141FEF1F" w14:textId="77777777" w:rsidR="005D0736" w:rsidRPr="00434D69" w:rsidRDefault="005D0736" w:rsidP="005D0736">
      <w:pPr>
        <w:pStyle w:val="ListParagraph"/>
        <w:spacing w:after="0" w:line="480" w:lineRule="auto"/>
        <w:jc w:val="both"/>
        <w:rPr>
          <w:rFonts w:ascii="Times New Roman" w:hAnsi="Times New Roman" w:cs="Times New Roman"/>
          <w:sz w:val="24"/>
          <w:szCs w:val="24"/>
        </w:rPr>
      </w:pPr>
    </w:p>
    <w:p w14:paraId="28253568" w14:textId="4FE1200A" w:rsidR="005D0736" w:rsidRPr="00434D69" w:rsidRDefault="005D0736" w:rsidP="005D0736">
      <w:pPr>
        <w:pStyle w:val="ListParagraph"/>
        <w:numPr>
          <w:ilvl w:val="0"/>
          <w:numId w:val="14"/>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In these proceedings</w:t>
      </w:r>
      <w:r>
        <w:rPr>
          <w:rFonts w:ascii="Times New Roman" w:hAnsi="Times New Roman" w:cs="Times New Roman"/>
          <w:sz w:val="24"/>
          <w:szCs w:val="24"/>
        </w:rPr>
        <w:t>,</w:t>
      </w:r>
      <w:r w:rsidRPr="00434D69">
        <w:rPr>
          <w:rFonts w:ascii="Times New Roman" w:hAnsi="Times New Roman" w:cs="Times New Roman"/>
          <w:sz w:val="24"/>
          <w:szCs w:val="24"/>
        </w:rPr>
        <w:t xml:space="preserve"> the </w:t>
      </w:r>
      <w:r>
        <w:rPr>
          <w:rFonts w:ascii="Times New Roman" w:hAnsi="Times New Roman" w:cs="Times New Roman"/>
          <w:sz w:val="24"/>
          <w:szCs w:val="24"/>
        </w:rPr>
        <w:t xml:space="preserve">First Plaintiff </w:t>
      </w:r>
      <w:r w:rsidRPr="00434D69">
        <w:rPr>
          <w:rFonts w:ascii="Times New Roman" w:hAnsi="Times New Roman" w:cs="Times New Roman"/>
          <w:sz w:val="24"/>
          <w:szCs w:val="24"/>
        </w:rPr>
        <w:t>(‘</w:t>
      </w:r>
      <w:r w:rsidRPr="001A1AB3">
        <w:rPr>
          <w:rFonts w:ascii="Times New Roman" w:hAnsi="Times New Roman" w:cs="Times New Roman"/>
          <w:i/>
          <w:sz w:val="24"/>
          <w:szCs w:val="24"/>
        </w:rPr>
        <w:t>the Bank</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w:t>
      </w:r>
      <w:r>
        <w:rPr>
          <w:rFonts w:ascii="Times New Roman" w:hAnsi="Times New Roman" w:cs="Times New Roman"/>
          <w:sz w:val="24"/>
          <w:szCs w:val="24"/>
        </w:rPr>
        <w:t>seeks</w:t>
      </w:r>
      <w:r w:rsidRPr="00434D69">
        <w:rPr>
          <w:rFonts w:ascii="Times New Roman" w:hAnsi="Times New Roman" w:cs="Times New Roman"/>
          <w:sz w:val="24"/>
          <w:szCs w:val="24"/>
        </w:rPr>
        <w:t xml:space="preserve"> to recover judgment against the </w:t>
      </w:r>
      <w:r>
        <w:rPr>
          <w:rFonts w:ascii="Times New Roman" w:hAnsi="Times New Roman" w:cs="Times New Roman"/>
          <w:sz w:val="24"/>
          <w:szCs w:val="24"/>
        </w:rPr>
        <w:t>D</w:t>
      </w:r>
      <w:r w:rsidRPr="00434D69">
        <w:rPr>
          <w:rFonts w:ascii="Times New Roman" w:hAnsi="Times New Roman" w:cs="Times New Roman"/>
          <w:sz w:val="24"/>
          <w:szCs w:val="24"/>
        </w:rPr>
        <w:t xml:space="preserve">efendants in the sum of €22,090,302.64.  The liability </w:t>
      </w:r>
      <w:r>
        <w:rPr>
          <w:rFonts w:ascii="Times New Roman" w:hAnsi="Times New Roman" w:cs="Times New Roman"/>
          <w:sz w:val="24"/>
          <w:szCs w:val="24"/>
        </w:rPr>
        <w:t>is</w:t>
      </w:r>
      <w:r w:rsidRPr="00434D69">
        <w:rPr>
          <w:rFonts w:ascii="Times New Roman" w:hAnsi="Times New Roman" w:cs="Times New Roman"/>
          <w:sz w:val="24"/>
          <w:szCs w:val="24"/>
        </w:rPr>
        <w:t xml:space="preserve"> said to arise from a loan </w:t>
      </w:r>
      <w:r>
        <w:rPr>
          <w:rFonts w:ascii="Times New Roman" w:hAnsi="Times New Roman" w:cs="Times New Roman"/>
          <w:sz w:val="24"/>
          <w:szCs w:val="24"/>
        </w:rPr>
        <w:t xml:space="preserve">advanced by the Bank to the Defendants </w:t>
      </w:r>
      <w:r w:rsidRPr="00434D69">
        <w:rPr>
          <w:rFonts w:ascii="Times New Roman" w:hAnsi="Times New Roman" w:cs="Times New Roman"/>
          <w:sz w:val="24"/>
          <w:szCs w:val="24"/>
        </w:rPr>
        <w:t xml:space="preserve">in </w:t>
      </w:r>
      <w:r>
        <w:rPr>
          <w:rFonts w:ascii="Times New Roman" w:hAnsi="Times New Roman" w:cs="Times New Roman"/>
          <w:sz w:val="24"/>
          <w:szCs w:val="24"/>
        </w:rPr>
        <w:t>July/</w:t>
      </w:r>
      <w:r w:rsidRPr="00434D69">
        <w:rPr>
          <w:rFonts w:ascii="Times New Roman" w:hAnsi="Times New Roman" w:cs="Times New Roman"/>
          <w:sz w:val="24"/>
          <w:szCs w:val="24"/>
        </w:rPr>
        <w:t>August 2007</w:t>
      </w:r>
      <w:r>
        <w:rPr>
          <w:rFonts w:ascii="Times New Roman" w:hAnsi="Times New Roman" w:cs="Times New Roman"/>
          <w:sz w:val="24"/>
          <w:szCs w:val="24"/>
        </w:rPr>
        <w:t xml:space="preserve"> (“</w:t>
      </w:r>
      <w:r w:rsidR="00EE5DAC">
        <w:rPr>
          <w:rFonts w:ascii="Times New Roman" w:hAnsi="Times New Roman" w:cs="Times New Roman"/>
          <w:i/>
          <w:iCs/>
          <w:sz w:val="24"/>
          <w:szCs w:val="24"/>
        </w:rPr>
        <w:t>t</w:t>
      </w:r>
      <w:r w:rsidRPr="00054A3C">
        <w:rPr>
          <w:rFonts w:ascii="Times New Roman" w:hAnsi="Times New Roman" w:cs="Times New Roman"/>
          <w:i/>
          <w:sz w:val="24"/>
          <w:szCs w:val="24"/>
        </w:rPr>
        <w:t>he Loan</w:t>
      </w:r>
      <w:r>
        <w:rPr>
          <w:rFonts w:ascii="Times New Roman" w:hAnsi="Times New Roman" w:cs="Times New Roman"/>
          <w:sz w:val="24"/>
          <w:szCs w:val="24"/>
        </w:rPr>
        <w:t>”)</w:t>
      </w:r>
      <w:r w:rsidRPr="00434D69">
        <w:rPr>
          <w:rFonts w:ascii="Times New Roman" w:hAnsi="Times New Roman" w:cs="Times New Roman"/>
          <w:sz w:val="24"/>
          <w:szCs w:val="24"/>
        </w:rPr>
        <w:t xml:space="preserve">.  The </w:t>
      </w:r>
      <w:r>
        <w:rPr>
          <w:rFonts w:ascii="Times New Roman" w:hAnsi="Times New Roman" w:cs="Times New Roman"/>
          <w:sz w:val="24"/>
          <w:szCs w:val="24"/>
        </w:rPr>
        <w:t>Se</w:t>
      </w:r>
      <w:r w:rsidRPr="00434D69">
        <w:rPr>
          <w:rFonts w:ascii="Times New Roman" w:hAnsi="Times New Roman" w:cs="Times New Roman"/>
          <w:sz w:val="24"/>
          <w:szCs w:val="24"/>
        </w:rPr>
        <w:t xml:space="preserve">cond and </w:t>
      </w:r>
      <w:r>
        <w:rPr>
          <w:rFonts w:ascii="Times New Roman" w:hAnsi="Times New Roman" w:cs="Times New Roman"/>
          <w:sz w:val="24"/>
          <w:szCs w:val="24"/>
        </w:rPr>
        <w:t>T</w:t>
      </w:r>
      <w:r w:rsidRPr="00434D69">
        <w:rPr>
          <w:rFonts w:ascii="Times New Roman" w:hAnsi="Times New Roman" w:cs="Times New Roman"/>
          <w:sz w:val="24"/>
          <w:szCs w:val="24"/>
        </w:rPr>
        <w:t xml:space="preserve">hird </w:t>
      </w:r>
      <w:r>
        <w:rPr>
          <w:rFonts w:ascii="Times New Roman" w:hAnsi="Times New Roman" w:cs="Times New Roman"/>
          <w:sz w:val="24"/>
          <w:szCs w:val="24"/>
        </w:rPr>
        <w:t>P</w:t>
      </w:r>
      <w:r w:rsidRPr="00434D69">
        <w:rPr>
          <w:rFonts w:ascii="Times New Roman" w:hAnsi="Times New Roman" w:cs="Times New Roman"/>
          <w:sz w:val="24"/>
          <w:szCs w:val="24"/>
        </w:rPr>
        <w:t>laintiffs</w:t>
      </w:r>
      <w:r>
        <w:rPr>
          <w:rFonts w:ascii="Times New Roman" w:hAnsi="Times New Roman" w:cs="Times New Roman"/>
          <w:sz w:val="24"/>
          <w:szCs w:val="24"/>
        </w:rPr>
        <w:t xml:space="preserve"> (“</w:t>
      </w:r>
      <w:r w:rsidRPr="001A1AB3">
        <w:rPr>
          <w:rFonts w:ascii="Times New Roman" w:hAnsi="Times New Roman" w:cs="Times New Roman"/>
          <w:i/>
          <w:sz w:val="24"/>
          <w:szCs w:val="24"/>
        </w:rPr>
        <w:t>the Receivers</w:t>
      </w:r>
      <w:r>
        <w:rPr>
          <w:rFonts w:ascii="Times New Roman" w:hAnsi="Times New Roman" w:cs="Times New Roman"/>
          <w:sz w:val="24"/>
          <w:szCs w:val="24"/>
        </w:rPr>
        <w:t>”)</w:t>
      </w:r>
      <w:r w:rsidRPr="00434D69">
        <w:rPr>
          <w:rFonts w:ascii="Times New Roman" w:hAnsi="Times New Roman" w:cs="Times New Roman"/>
          <w:sz w:val="24"/>
          <w:szCs w:val="24"/>
        </w:rPr>
        <w:t xml:space="preserve"> were appointed</w:t>
      </w:r>
      <w:r>
        <w:rPr>
          <w:rFonts w:ascii="Times New Roman" w:hAnsi="Times New Roman" w:cs="Times New Roman"/>
          <w:sz w:val="24"/>
          <w:szCs w:val="24"/>
        </w:rPr>
        <w:t xml:space="preserve"> as</w:t>
      </w:r>
      <w:r w:rsidRPr="00434D69">
        <w:rPr>
          <w:rFonts w:ascii="Times New Roman" w:hAnsi="Times New Roman" w:cs="Times New Roman"/>
          <w:sz w:val="24"/>
          <w:szCs w:val="24"/>
        </w:rPr>
        <w:t xml:space="preserve"> </w:t>
      </w:r>
      <w:r>
        <w:rPr>
          <w:rFonts w:ascii="Times New Roman" w:hAnsi="Times New Roman" w:cs="Times New Roman"/>
          <w:sz w:val="24"/>
          <w:szCs w:val="24"/>
        </w:rPr>
        <w:t xml:space="preserve">receivers </w:t>
      </w:r>
      <w:r w:rsidRPr="00434D69">
        <w:rPr>
          <w:rFonts w:ascii="Times New Roman" w:hAnsi="Times New Roman" w:cs="Times New Roman"/>
          <w:sz w:val="24"/>
          <w:szCs w:val="24"/>
        </w:rPr>
        <w:t xml:space="preserve">by the Bank </w:t>
      </w:r>
      <w:r>
        <w:rPr>
          <w:rFonts w:ascii="Times New Roman" w:hAnsi="Times New Roman" w:cs="Times New Roman"/>
          <w:sz w:val="24"/>
          <w:szCs w:val="24"/>
        </w:rPr>
        <w:t>on foot of security documents executed as a term of that loan agreement.  The Receivers sought orders that they were validly appointed as joint receivers over the secured assets.</w:t>
      </w:r>
    </w:p>
    <w:p w14:paraId="367E92A6" w14:textId="77777777" w:rsidR="005D0736" w:rsidRPr="00434D69" w:rsidRDefault="005D0736" w:rsidP="005D0736">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30CCC92A" w14:textId="3E08B3E2" w:rsidR="005D0736" w:rsidRPr="00434D69" w:rsidRDefault="005D0736" w:rsidP="005D0736">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As the Facility Letter of 20 July 2007 recites, t</w:t>
      </w:r>
      <w:r w:rsidRPr="00434D69">
        <w:rPr>
          <w:rFonts w:ascii="Times New Roman" w:hAnsi="Times New Roman" w:cs="Times New Roman"/>
          <w:sz w:val="24"/>
          <w:szCs w:val="24"/>
        </w:rPr>
        <w:t>he</w:t>
      </w:r>
      <w:r>
        <w:rPr>
          <w:rFonts w:ascii="Times New Roman" w:hAnsi="Times New Roman" w:cs="Times New Roman"/>
          <w:sz w:val="24"/>
          <w:szCs w:val="24"/>
        </w:rPr>
        <w:t xml:space="preserve"> initial amount of the Loan was €21,500,000, of which €20,000,000 was to part fund the  </w:t>
      </w:r>
      <w:r w:rsidRPr="00434D69">
        <w:rPr>
          <w:rFonts w:ascii="Times New Roman" w:hAnsi="Times New Roman" w:cs="Times New Roman"/>
          <w:sz w:val="24"/>
          <w:szCs w:val="24"/>
        </w:rPr>
        <w:t>acquisition</w:t>
      </w:r>
      <w:r>
        <w:rPr>
          <w:rFonts w:ascii="Times New Roman" w:hAnsi="Times New Roman" w:cs="Times New Roman"/>
          <w:sz w:val="24"/>
          <w:szCs w:val="24"/>
        </w:rPr>
        <w:t xml:space="preserve"> by the Defendants of what was stated to be an </w:t>
      </w:r>
      <w:r w:rsidRPr="00434D69">
        <w:rPr>
          <w:rFonts w:ascii="Times New Roman" w:hAnsi="Times New Roman" w:cs="Times New Roman"/>
          <w:sz w:val="24"/>
          <w:szCs w:val="24"/>
        </w:rPr>
        <w:t>8</w:t>
      </w:r>
      <w:r w:rsidR="00C63BF7">
        <w:rPr>
          <w:rFonts w:ascii="Times New Roman" w:hAnsi="Times New Roman" w:cs="Times New Roman"/>
          <w:sz w:val="24"/>
          <w:szCs w:val="24"/>
        </w:rPr>
        <w:t>0</w:t>
      </w:r>
      <w:r w:rsidRPr="00434D69">
        <w:rPr>
          <w:rFonts w:ascii="Times New Roman" w:hAnsi="Times New Roman" w:cs="Times New Roman"/>
          <w:sz w:val="24"/>
          <w:szCs w:val="24"/>
        </w:rPr>
        <w:t xml:space="preserve"> acre</w:t>
      </w:r>
      <w:r>
        <w:rPr>
          <w:rFonts w:ascii="Times New Roman" w:hAnsi="Times New Roman" w:cs="Times New Roman"/>
          <w:sz w:val="24"/>
          <w:szCs w:val="24"/>
        </w:rPr>
        <w:t xml:space="preserve"> site at </w:t>
      </w:r>
      <w:r w:rsidRPr="00434D69">
        <w:rPr>
          <w:rFonts w:ascii="Times New Roman" w:hAnsi="Times New Roman" w:cs="Times New Roman"/>
          <w:sz w:val="24"/>
          <w:szCs w:val="24"/>
        </w:rPr>
        <w:t>Kilpedd</w:t>
      </w:r>
      <w:r>
        <w:rPr>
          <w:rFonts w:ascii="Times New Roman" w:hAnsi="Times New Roman" w:cs="Times New Roman"/>
          <w:sz w:val="24"/>
          <w:szCs w:val="24"/>
        </w:rPr>
        <w:t>a</w:t>
      </w:r>
      <w:r w:rsidRPr="00434D69">
        <w:rPr>
          <w:rFonts w:ascii="Times New Roman" w:hAnsi="Times New Roman" w:cs="Times New Roman"/>
          <w:sz w:val="24"/>
          <w:szCs w:val="24"/>
        </w:rPr>
        <w:t>r Co. Wicklow (</w:t>
      </w:r>
      <w:r w:rsidR="00B67C7D">
        <w:rPr>
          <w:rFonts w:ascii="Times New Roman" w:hAnsi="Times New Roman" w:cs="Times New Roman"/>
          <w:i/>
          <w:sz w:val="24"/>
          <w:szCs w:val="24"/>
        </w:rPr>
        <w:t>‘</w:t>
      </w:r>
      <w:r w:rsidRPr="005E4AD5">
        <w:rPr>
          <w:rFonts w:ascii="Times New Roman" w:hAnsi="Times New Roman" w:cs="Times New Roman"/>
          <w:i/>
          <w:sz w:val="24"/>
          <w:szCs w:val="24"/>
        </w:rPr>
        <w:t>the Kilpeddar Lan</w:t>
      </w:r>
      <w:r>
        <w:rPr>
          <w:rFonts w:ascii="Times New Roman" w:hAnsi="Times New Roman" w:cs="Times New Roman"/>
          <w:i/>
          <w:sz w:val="24"/>
          <w:szCs w:val="24"/>
        </w:rPr>
        <w:t>ds</w:t>
      </w:r>
      <w:r w:rsidRPr="005E4AD5">
        <w:rPr>
          <w:rFonts w:ascii="Times New Roman" w:hAnsi="Times New Roman" w:cs="Times New Roman"/>
          <w:i/>
          <w:sz w:val="24"/>
          <w:szCs w:val="24"/>
        </w:rPr>
        <w:t>”</w:t>
      </w:r>
      <w:r w:rsidRPr="00434D69">
        <w:rPr>
          <w:rFonts w:ascii="Times New Roman" w:hAnsi="Times New Roman" w:cs="Times New Roman"/>
          <w:sz w:val="24"/>
          <w:szCs w:val="24"/>
        </w:rPr>
        <w:t>’)</w:t>
      </w:r>
      <w:r>
        <w:rPr>
          <w:rFonts w:ascii="Times New Roman" w:hAnsi="Times New Roman" w:cs="Times New Roman"/>
          <w:sz w:val="24"/>
          <w:szCs w:val="24"/>
        </w:rPr>
        <w:t xml:space="preserve">. In fact, the site extended to something more than 80 acres but nothing turns on that. The Loan </w:t>
      </w:r>
      <w:r w:rsidRPr="00434D69">
        <w:rPr>
          <w:rFonts w:ascii="Times New Roman" w:hAnsi="Times New Roman" w:cs="Times New Roman"/>
          <w:sz w:val="24"/>
          <w:szCs w:val="24"/>
        </w:rPr>
        <w:t xml:space="preserve">was secured by </w:t>
      </w:r>
      <w:r>
        <w:rPr>
          <w:rFonts w:ascii="Times New Roman" w:hAnsi="Times New Roman" w:cs="Times New Roman"/>
          <w:sz w:val="24"/>
          <w:szCs w:val="24"/>
        </w:rPr>
        <w:t xml:space="preserve">a mortgage and charge over the Kilpeddar Lands executed </w:t>
      </w:r>
      <w:r w:rsidRPr="00434D69">
        <w:rPr>
          <w:rFonts w:ascii="Times New Roman" w:hAnsi="Times New Roman" w:cs="Times New Roman"/>
          <w:sz w:val="24"/>
          <w:szCs w:val="24"/>
        </w:rPr>
        <w:t>on 3 August 2007</w:t>
      </w:r>
      <w:r w:rsidR="00AA4E7C">
        <w:rPr>
          <w:rFonts w:ascii="Times New Roman" w:hAnsi="Times New Roman" w:cs="Times New Roman"/>
          <w:sz w:val="24"/>
          <w:szCs w:val="24"/>
        </w:rPr>
        <w:t xml:space="preserve"> (“</w:t>
      </w:r>
      <w:r w:rsidR="00AA4E7C" w:rsidRPr="00AA4E7C">
        <w:rPr>
          <w:rFonts w:ascii="Times New Roman" w:hAnsi="Times New Roman" w:cs="Times New Roman"/>
          <w:i/>
          <w:sz w:val="24"/>
          <w:szCs w:val="24"/>
        </w:rPr>
        <w:t>the Mortgage</w:t>
      </w:r>
      <w:r w:rsidR="00AA4E7C">
        <w:rPr>
          <w:rFonts w:ascii="Times New Roman" w:hAnsi="Times New Roman" w:cs="Times New Roman"/>
          <w:sz w:val="24"/>
          <w:szCs w:val="24"/>
        </w:rPr>
        <w:t>”).</w:t>
      </w:r>
      <w:r w:rsidRPr="00434D69">
        <w:rPr>
          <w:rFonts w:ascii="Times New Roman" w:hAnsi="Times New Roman" w:cs="Times New Roman"/>
          <w:sz w:val="24"/>
          <w:szCs w:val="24"/>
        </w:rPr>
        <w:t xml:space="preserve">  </w:t>
      </w:r>
      <w:r>
        <w:rPr>
          <w:rFonts w:ascii="Times New Roman" w:hAnsi="Times New Roman" w:cs="Times New Roman"/>
          <w:sz w:val="24"/>
          <w:szCs w:val="24"/>
        </w:rPr>
        <w:t>It was a condition precedent of the Facility Letter that the Bank would receive an “</w:t>
      </w:r>
      <w:r w:rsidRPr="003B041A">
        <w:rPr>
          <w:rFonts w:ascii="Times New Roman" w:hAnsi="Times New Roman" w:cs="Times New Roman"/>
          <w:i/>
          <w:sz w:val="24"/>
          <w:szCs w:val="24"/>
        </w:rPr>
        <w:t>independent valuation addressed to the Bank confirming a valuation</w:t>
      </w:r>
      <w:r>
        <w:rPr>
          <w:rFonts w:ascii="Times New Roman" w:hAnsi="Times New Roman" w:cs="Times New Roman"/>
          <w:i/>
          <w:sz w:val="24"/>
          <w:szCs w:val="24"/>
        </w:rPr>
        <w:t xml:space="preserve"> </w:t>
      </w:r>
      <w:r w:rsidRPr="003B041A">
        <w:rPr>
          <w:rFonts w:ascii="Times New Roman" w:hAnsi="Times New Roman" w:cs="Times New Roman"/>
          <w:i/>
          <w:sz w:val="24"/>
          <w:szCs w:val="24"/>
        </w:rPr>
        <w:t>of minimum EUR56,000,000</w:t>
      </w:r>
      <w:r>
        <w:rPr>
          <w:rFonts w:ascii="Times New Roman" w:hAnsi="Times New Roman" w:cs="Times New Roman"/>
          <w:sz w:val="24"/>
          <w:szCs w:val="24"/>
        </w:rPr>
        <w:t xml:space="preserve">” and </w:t>
      </w:r>
      <w:r w:rsidRPr="00434D69">
        <w:rPr>
          <w:rFonts w:ascii="Times New Roman" w:hAnsi="Times New Roman" w:cs="Times New Roman"/>
          <w:sz w:val="24"/>
          <w:szCs w:val="24"/>
        </w:rPr>
        <w:t>on 25 July 2007</w:t>
      </w:r>
      <w:r>
        <w:rPr>
          <w:rFonts w:ascii="Times New Roman" w:hAnsi="Times New Roman" w:cs="Times New Roman"/>
          <w:sz w:val="24"/>
          <w:szCs w:val="24"/>
        </w:rPr>
        <w:t xml:space="preserve"> </w:t>
      </w:r>
      <w:r w:rsidRPr="00434D69">
        <w:rPr>
          <w:rFonts w:ascii="Times New Roman" w:hAnsi="Times New Roman" w:cs="Times New Roman"/>
          <w:sz w:val="24"/>
          <w:szCs w:val="24"/>
        </w:rPr>
        <w:t xml:space="preserve">the Bank </w:t>
      </w:r>
      <w:r>
        <w:rPr>
          <w:rFonts w:ascii="Times New Roman" w:hAnsi="Times New Roman" w:cs="Times New Roman"/>
          <w:sz w:val="24"/>
          <w:szCs w:val="24"/>
        </w:rPr>
        <w:t>received a valuation report from CBRE</w:t>
      </w:r>
      <w:r w:rsidR="00C63BF7">
        <w:rPr>
          <w:rFonts w:ascii="Times New Roman" w:hAnsi="Times New Roman" w:cs="Times New Roman"/>
          <w:sz w:val="24"/>
          <w:szCs w:val="24"/>
        </w:rPr>
        <w:t xml:space="preserve"> </w:t>
      </w:r>
      <w:r>
        <w:rPr>
          <w:rFonts w:ascii="Times New Roman" w:hAnsi="Times New Roman" w:cs="Times New Roman"/>
          <w:sz w:val="24"/>
          <w:szCs w:val="24"/>
        </w:rPr>
        <w:t xml:space="preserve">valuing the Kilpeddar Lands </w:t>
      </w:r>
      <w:r w:rsidR="009A0E41">
        <w:rPr>
          <w:rFonts w:ascii="Times New Roman" w:hAnsi="Times New Roman" w:cs="Times New Roman"/>
          <w:sz w:val="24"/>
          <w:szCs w:val="24"/>
        </w:rPr>
        <w:t xml:space="preserve">at </w:t>
      </w:r>
      <w:r w:rsidR="009A0E41" w:rsidRPr="00434D69">
        <w:rPr>
          <w:rFonts w:ascii="Times New Roman" w:hAnsi="Times New Roman" w:cs="Times New Roman"/>
          <w:sz w:val="24"/>
          <w:szCs w:val="24"/>
        </w:rPr>
        <w:t>€</w:t>
      </w:r>
      <w:r w:rsidRPr="00434D69">
        <w:rPr>
          <w:rFonts w:ascii="Times New Roman" w:hAnsi="Times New Roman" w:cs="Times New Roman"/>
          <w:sz w:val="24"/>
          <w:szCs w:val="24"/>
        </w:rPr>
        <w:t>57</w:t>
      </w:r>
      <w:r>
        <w:rPr>
          <w:rFonts w:ascii="Times New Roman" w:hAnsi="Times New Roman" w:cs="Times New Roman"/>
          <w:sz w:val="24"/>
          <w:szCs w:val="24"/>
        </w:rPr>
        <w:t>,000,000</w:t>
      </w:r>
      <w:r w:rsidRPr="00434D69">
        <w:rPr>
          <w:rFonts w:ascii="Times New Roman" w:hAnsi="Times New Roman" w:cs="Times New Roman"/>
          <w:sz w:val="24"/>
          <w:szCs w:val="24"/>
        </w:rPr>
        <w:t>.</w:t>
      </w:r>
    </w:p>
    <w:p w14:paraId="3B4E2873" w14:textId="77777777" w:rsidR="005D0736" w:rsidRPr="00434D69" w:rsidRDefault="005D0736" w:rsidP="005D0736">
      <w:pPr>
        <w:pStyle w:val="ListParagraph"/>
        <w:spacing w:after="0" w:line="480" w:lineRule="auto"/>
        <w:jc w:val="both"/>
        <w:rPr>
          <w:rFonts w:ascii="Times New Roman" w:hAnsi="Times New Roman" w:cs="Times New Roman"/>
          <w:sz w:val="24"/>
          <w:szCs w:val="24"/>
        </w:rPr>
      </w:pPr>
    </w:p>
    <w:p w14:paraId="40729599" w14:textId="5BC857B4" w:rsidR="005D0736" w:rsidRDefault="005D0736" w:rsidP="005D0736">
      <w:pPr>
        <w:pStyle w:val="ListParagraph"/>
        <w:numPr>
          <w:ilvl w:val="0"/>
          <w:numId w:val="14"/>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The borrowing was restructured via a </w:t>
      </w:r>
      <w:r>
        <w:rPr>
          <w:rFonts w:ascii="Times New Roman" w:hAnsi="Times New Roman" w:cs="Times New Roman"/>
          <w:sz w:val="24"/>
          <w:szCs w:val="24"/>
        </w:rPr>
        <w:t xml:space="preserve">further </w:t>
      </w:r>
      <w:r w:rsidRPr="00434D69">
        <w:rPr>
          <w:rFonts w:ascii="Times New Roman" w:hAnsi="Times New Roman" w:cs="Times New Roman"/>
          <w:sz w:val="24"/>
          <w:szCs w:val="24"/>
        </w:rPr>
        <w:t xml:space="preserve">Facility </w:t>
      </w:r>
      <w:r>
        <w:rPr>
          <w:rFonts w:ascii="Times New Roman" w:hAnsi="Times New Roman" w:cs="Times New Roman"/>
          <w:sz w:val="24"/>
          <w:szCs w:val="24"/>
        </w:rPr>
        <w:t>L</w:t>
      </w:r>
      <w:r w:rsidRPr="00434D69">
        <w:rPr>
          <w:rFonts w:ascii="Times New Roman" w:hAnsi="Times New Roman" w:cs="Times New Roman"/>
          <w:sz w:val="24"/>
          <w:szCs w:val="24"/>
        </w:rPr>
        <w:t>etter dated 5 January 2009</w:t>
      </w:r>
      <w:r>
        <w:rPr>
          <w:rFonts w:ascii="Times New Roman" w:hAnsi="Times New Roman" w:cs="Times New Roman"/>
          <w:sz w:val="24"/>
          <w:szCs w:val="24"/>
        </w:rPr>
        <w:t>, for the somewhat higher amount of €21,855,</w:t>
      </w:r>
      <w:r w:rsidR="00DB5E1E">
        <w:rPr>
          <w:rFonts w:ascii="Times New Roman" w:hAnsi="Times New Roman" w:cs="Times New Roman"/>
          <w:sz w:val="24"/>
          <w:szCs w:val="24"/>
        </w:rPr>
        <w:t>0</w:t>
      </w:r>
      <w:r>
        <w:rPr>
          <w:rFonts w:ascii="Times New Roman" w:hAnsi="Times New Roman" w:cs="Times New Roman"/>
          <w:sz w:val="24"/>
          <w:szCs w:val="24"/>
        </w:rPr>
        <w:t xml:space="preserve">00. </w:t>
      </w:r>
      <w:r w:rsidRPr="00434D69">
        <w:rPr>
          <w:rFonts w:ascii="Times New Roman" w:hAnsi="Times New Roman" w:cs="Times New Roman"/>
          <w:sz w:val="24"/>
          <w:szCs w:val="24"/>
        </w:rPr>
        <w:t xml:space="preserve"> It was not repaid.  </w:t>
      </w:r>
    </w:p>
    <w:p w14:paraId="06E1F5E9" w14:textId="77777777" w:rsidR="005D0736" w:rsidRDefault="005D0736" w:rsidP="005D0736">
      <w:pPr>
        <w:pStyle w:val="ListParagraph"/>
        <w:spacing w:after="0" w:line="480" w:lineRule="auto"/>
        <w:jc w:val="both"/>
        <w:rPr>
          <w:rFonts w:ascii="Times New Roman" w:hAnsi="Times New Roman" w:cs="Times New Roman"/>
          <w:sz w:val="24"/>
          <w:szCs w:val="24"/>
        </w:rPr>
      </w:pPr>
    </w:p>
    <w:p w14:paraId="25A3B1A1" w14:textId="06B53A21" w:rsidR="005D0736" w:rsidRPr="00434D69" w:rsidRDefault="005D0736" w:rsidP="005D0736">
      <w:pPr>
        <w:pStyle w:val="ListParagraph"/>
        <w:numPr>
          <w:ilvl w:val="0"/>
          <w:numId w:val="14"/>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lastRenderedPageBreak/>
        <w:t xml:space="preserve">On </w:t>
      </w:r>
      <w:r>
        <w:rPr>
          <w:rFonts w:ascii="Times New Roman" w:hAnsi="Times New Roman" w:cs="Times New Roman"/>
          <w:sz w:val="24"/>
          <w:szCs w:val="24"/>
        </w:rPr>
        <w:t xml:space="preserve">13 </w:t>
      </w:r>
      <w:r w:rsidRPr="00434D69">
        <w:rPr>
          <w:rFonts w:ascii="Times New Roman" w:hAnsi="Times New Roman" w:cs="Times New Roman"/>
          <w:sz w:val="24"/>
          <w:szCs w:val="24"/>
        </w:rPr>
        <w:t xml:space="preserve">March 2013 the Bank and the </w:t>
      </w:r>
      <w:r>
        <w:rPr>
          <w:rFonts w:ascii="Times New Roman" w:hAnsi="Times New Roman" w:cs="Times New Roman"/>
          <w:sz w:val="24"/>
          <w:szCs w:val="24"/>
        </w:rPr>
        <w:t>D</w:t>
      </w:r>
      <w:r w:rsidRPr="00434D69">
        <w:rPr>
          <w:rFonts w:ascii="Times New Roman" w:hAnsi="Times New Roman" w:cs="Times New Roman"/>
          <w:sz w:val="24"/>
          <w:szCs w:val="24"/>
        </w:rPr>
        <w:t>efendants entered into an agreement (</w:t>
      </w:r>
      <w:r w:rsidR="00B67C7D">
        <w:rPr>
          <w:rFonts w:ascii="Times New Roman" w:hAnsi="Times New Roman" w:cs="Times New Roman"/>
          <w:i/>
          <w:sz w:val="24"/>
          <w:szCs w:val="24"/>
        </w:rPr>
        <w:t>‘</w:t>
      </w:r>
      <w:r w:rsidRPr="003B041A">
        <w:rPr>
          <w:rFonts w:ascii="Times New Roman" w:hAnsi="Times New Roman" w:cs="Times New Roman"/>
          <w:i/>
          <w:sz w:val="24"/>
          <w:szCs w:val="24"/>
        </w:rPr>
        <w:t>the Compromise Agreement</w:t>
      </w:r>
      <w:r w:rsidR="00B67C7D">
        <w:rPr>
          <w:rFonts w:ascii="Times New Roman" w:hAnsi="Times New Roman" w:cs="Times New Roman"/>
          <w:i/>
          <w:sz w:val="24"/>
          <w:szCs w:val="24"/>
        </w:rPr>
        <w:t>’</w:t>
      </w:r>
      <w:r w:rsidRPr="00434D69">
        <w:rPr>
          <w:rFonts w:ascii="Times New Roman" w:hAnsi="Times New Roman" w:cs="Times New Roman"/>
          <w:sz w:val="24"/>
          <w:szCs w:val="24"/>
        </w:rPr>
        <w:t>).</w:t>
      </w:r>
      <w:r w:rsidR="006F637A">
        <w:rPr>
          <w:rStyle w:val="FootnoteReference"/>
          <w:rFonts w:ascii="Times New Roman" w:hAnsi="Times New Roman" w:cs="Times New Roman"/>
          <w:sz w:val="24"/>
          <w:szCs w:val="24"/>
        </w:rPr>
        <w:footnoteReference w:id="1"/>
      </w:r>
      <w:r w:rsidRPr="00434D69">
        <w:rPr>
          <w:rFonts w:ascii="Times New Roman" w:hAnsi="Times New Roman" w:cs="Times New Roman"/>
          <w:sz w:val="24"/>
          <w:szCs w:val="24"/>
        </w:rPr>
        <w:t xml:space="preserve">  This agreement arose in the context of the collapse of the property market, delays in obtaining planning permission for</w:t>
      </w:r>
      <w:r>
        <w:rPr>
          <w:rFonts w:ascii="Times New Roman" w:hAnsi="Times New Roman" w:cs="Times New Roman"/>
          <w:sz w:val="24"/>
          <w:szCs w:val="24"/>
        </w:rPr>
        <w:t xml:space="preserve"> the development of a data centre on the Kilpeddar Lands</w:t>
      </w:r>
      <w:r w:rsidRPr="00434D69">
        <w:rPr>
          <w:rFonts w:ascii="Times New Roman" w:hAnsi="Times New Roman" w:cs="Times New Roman"/>
          <w:sz w:val="24"/>
          <w:szCs w:val="24"/>
        </w:rPr>
        <w:t xml:space="preserve"> site and the failure of the </w:t>
      </w:r>
      <w:r>
        <w:rPr>
          <w:rFonts w:ascii="Times New Roman" w:hAnsi="Times New Roman" w:cs="Times New Roman"/>
          <w:sz w:val="24"/>
          <w:szCs w:val="24"/>
        </w:rPr>
        <w:t>D</w:t>
      </w:r>
      <w:r w:rsidRPr="00434D69">
        <w:rPr>
          <w:rFonts w:ascii="Times New Roman" w:hAnsi="Times New Roman" w:cs="Times New Roman"/>
          <w:sz w:val="24"/>
          <w:szCs w:val="24"/>
        </w:rPr>
        <w:t>efendants to comply with their repayment obligations under the Facility Letter</w:t>
      </w:r>
      <w:r>
        <w:rPr>
          <w:rFonts w:ascii="Times New Roman" w:hAnsi="Times New Roman" w:cs="Times New Roman"/>
          <w:sz w:val="24"/>
          <w:szCs w:val="24"/>
        </w:rPr>
        <w:t xml:space="preserve"> of 5 January 2009.</w:t>
      </w:r>
    </w:p>
    <w:p w14:paraId="13E239FE" w14:textId="77777777" w:rsidR="005D0736" w:rsidRPr="00434D69" w:rsidRDefault="005D0736" w:rsidP="005D0736">
      <w:pPr>
        <w:pStyle w:val="ListParagraph"/>
        <w:spacing w:after="0" w:line="480" w:lineRule="auto"/>
        <w:rPr>
          <w:rFonts w:ascii="Times New Roman" w:hAnsi="Times New Roman" w:cs="Times New Roman"/>
          <w:sz w:val="24"/>
          <w:szCs w:val="24"/>
        </w:rPr>
      </w:pPr>
    </w:p>
    <w:p w14:paraId="68D78A35" w14:textId="728EA60C" w:rsidR="005D0736" w:rsidRPr="00434D69" w:rsidRDefault="005D0736" w:rsidP="005D0736">
      <w:pPr>
        <w:pStyle w:val="ListParagraph"/>
        <w:numPr>
          <w:ilvl w:val="0"/>
          <w:numId w:val="14"/>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The Compromise Agreement </w:t>
      </w:r>
      <w:r>
        <w:rPr>
          <w:rFonts w:ascii="Times New Roman" w:hAnsi="Times New Roman" w:cs="Times New Roman"/>
          <w:sz w:val="24"/>
          <w:szCs w:val="24"/>
        </w:rPr>
        <w:t>acknowledged that “</w:t>
      </w:r>
      <w:r w:rsidRPr="00A52C06">
        <w:rPr>
          <w:rFonts w:ascii="Times New Roman" w:hAnsi="Times New Roman" w:cs="Times New Roman"/>
          <w:i/>
          <w:sz w:val="24"/>
          <w:szCs w:val="24"/>
        </w:rPr>
        <w:t>the Debt</w:t>
      </w:r>
      <w:r>
        <w:rPr>
          <w:rFonts w:ascii="Times New Roman" w:hAnsi="Times New Roman" w:cs="Times New Roman"/>
          <w:sz w:val="24"/>
          <w:szCs w:val="24"/>
        </w:rPr>
        <w:t>” – all of the sums due pursuant to the Facility Letters and the Accounts specified in the Agreement – was lawfully due and owing to the Bank (clause 1) and the Defendants also confirmed the contents of the “</w:t>
      </w:r>
      <w:r w:rsidRPr="00A52C06">
        <w:rPr>
          <w:rFonts w:ascii="Times New Roman" w:hAnsi="Times New Roman" w:cs="Times New Roman"/>
          <w:i/>
          <w:sz w:val="24"/>
          <w:szCs w:val="24"/>
        </w:rPr>
        <w:t>Finance Documents</w:t>
      </w:r>
      <w:r>
        <w:rPr>
          <w:rFonts w:ascii="Times New Roman" w:hAnsi="Times New Roman" w:cs="Times New Roman"/>
          <w:sz w:val="24"/>
          <w:szCs w:val="24"/>
        </w:rPr>
        <w:t xml:space="preserve">” (the Facility Letters and associated security documents) (clause 2). It then provided that, subject </w:t>
      </w:r>
      <w:r w:rsidRPr="00434D69">
        <w:rPr>
          <w:rFonts w:ascii="Times New Roman" w:hAnsi="Times New Roman" w:cs="Times New Roman"/>
          <w:sz w:val="24"/>
          <w:szCs w:val="24"/>
        </w:rPr>
        <w:t xml:space="preserve">to compliance by the </w:t>
      </w:r>
      <w:r>
        <w:rPr>
          <w:rFonts w:ascii="Times New Roman" w:hAnsi="Times New Roman" w:cs="Times New Roman"/>
          <w:sz w:val="24"/>
          <w:szCs w:val="24"/>
        </w:rPr>
        <w:t>D</w:t>
      </w:r>
      <w:r w:rsidRPr="00434D69">
        <w:rPr>
          <w:rFonts w:ascii="Times New Roman" w:hAnsi="Times New Roman" w:cs="Times New Roman"/>
          <w:sz w:val="24"/>
          <w:szCs w:val="24"/>
        </w:rPr>
        <w:t>efendants with certain conditions</w:t>
      </w:r>
      <w:r>
        <w:rPr>
          <w:rFonts w:ascii="Times New Roman" w:hAnsi="Times New Roman" w:cs="Times New Roman"/>
          <w:sz w:val="24"/>
          <w:szCs w:val="24"/>
        </w:rPr>
        <w:t xml:space="preserve">, the Debt due by them would be written-off. </w:t>
      </w:r>
      <w:r w:rsidRPr="00434D69">
        <w:rPr>
          <w:rFonts w:ascii="Times New Roman" w:hAnsi="Times New Roman" w:cs="Times New Roman"/>
          <w:sz w:val="24"/>
          <w:szCs w:val="24"/>
        </w:rPr>
        <w:t>The</w:t>
      </w:r>
      <w:r>
        <w:rPr>
          <w:rFonts w:ascii="Times New Roman" w:hAnsi="Times New Roman" w:cs="Times New Roman"/>
          <w:sz w:val="24"/>
          <w:szCs w:val="24"/>
        </w:rPr>
        <w:t>se conditions</w:t>
      </w:r>
      <w:r w:rsidRPr="00434D69">
        <w:rPr>
          <w:rFonts w:ascii="Times New Roman" w:hAnsi="Times New Roman" w:cs="Times New Roman"/>
          <w:sz w:val="24"/>
          <w:szCs w:val="24"/>
        </w:rPr>
        <w:t xml:space="preserve"> were that the </w:t>
      </w:r>
      <w:r>
        <w:rPr>
          <w:rFonts w:ascii="Times New Roman" w:hAnsi="Times New Roman" w:cs="Times New Roman"/>
          <w:sz w:val="24"/>
          <w:szCs w:val="24"/>
        </w:rPr>
        <w:t>D</w:t>
      </w:r>
      <w:r w:rsidRPr="00434D69">
        <w:rPr>
          <w:rFonts w:ascii="Times New Roman" w:hAnsi="Times New Roman" w:cs="Times New Roman"/>
          <w:sz w:val="24"/>
          <w:szCs w:val="24"/>
        </w:rPr>
        <w:t xml:space="preserve">efendants would make a payment of €250,000 in reduction of the </w:t>
      </w:r>
      <w:r>
        <w:rPr>
          <w:rFonts w:ascii="Times New Roman" w:hAnsi="Times New Roman" w:cs="Times New Roman"/>
          <w:sz w:val="24"/>
          <w:szCs w:val="24"/>
        </w:rPr>
        <w:t>D</w:t>
      </w:r>
      <w:r w:rsidRPr="00434D69">
        <w:rPr>
          <w:rFonts w:ascii="Times New Roman" w:hAnsi="Times New Roman" w:cs="Times New Roman"/>
          <w:sz w:val="24"/>
          <w:szCs w:val="24"/>
        </w:rPr>
        <w:t>ebt, that certain artwork would be transferred to the Bank with a view to its sale</w:t>
      </w:r>
      <w:r w:rsidR="00304D8A">
        <w:rPr>
          <w:rFonts w:ascii="Times New Roman" w:hAnsi="Times New Roman" w:cs="Times New Roman"/>
          <w:sz w:val="24"/>
          <w:szCs w:val="24"/>
        </w:rPr>
        <w:t xml:space="preserve">, with the proceeds to be applied </w:t>
      </w:r>
      <w:r>
        <w:rPr>
          <w:rFonts w:ascii="Times New Roman" w:hAnsi="Times New Roman" w:cs="Times New Roman"/>
          <w:sz w:val="24"/>
          <w:szCs w:val="24"/>
        </w:rPr>
        <w:t xml:space="preserve">in reduction of the Debt </w:t>
      </w:r>
      <w:r w:rsidRPr="00434D69">
        <w:rPr>
          <w:rFonts w:ascii="Times New Roman" w:hAnsi="Times New Roman" w:cs="Times New Roman"/>
          <w:sz w:val="24"/>
          <w:szCs w:val="24"/>
        </w:rPr>
        <w:t xml:space="preserve">and that a number of properties (including the </w:t>
      </w:r>
      <w:r>
        <w:rPr>
          <w:rFonts w:ascii="Times New Roman" w:hAnsi="Times New Roman" w:cs="Times New Roman"/>
          <w:sz w:val="24"/>
          <w:szCs w:val="24"/>
        </w:rPr>
        <w:t>Kilpeddar Lands themselves</w:t>
      </w:r>
      <w:r w:rsidRPr="00434D69">
        <w:rPr>
          <w:rFonts w:ascii="Times New Roman" w:hAnsi="Times New Roman" w:cs="Times New Roman"/>
          <w:sz w:val="24"/>
          <w:szCs w:val="24"/>
        </w:rPr>
        <w:t xml:space="preserve">) would be disposed of </w:t>
      </w:r>
      <w:r w:rsidR="00304D8A">
        <w:rPr>
          <w:rFonts w:ascii="Times New Roman" w:hAnsi="Times New Roman" w:cs="Times New Roman"/>
          <w:sz w:val="24"/>
          <w:szCs w:val="24"/>
        </w:rPr>
        <w:t>“</w:t>
      </w:r>
      <w:r w:rsidRPr="00434D69">
        <w:rPr>
          <w:rFonts w:ascii="Times New Roman" w:hAnsi="Times New Roman" w:cs="Times New Roman"/>
          <w:i/>
          <w:sz w:val="24"/>
          <w:szCs w:val="24"/>
        </w:rPr>
        <w:t>for the best price reasonably obtainable</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by </w:t>
      </w:r>
      <w:r>
        <w:rPr>
          <w:rFonts w:ascii="Times New Roman" w:hAnsi="Times New Roman" w:cs="Times New Roman"/>
          <w:sz w:val="24"/>
          <w:szCs w:val="24"/>
        </w:rPr>
        <w:t xml:space="preserve">31 </w:t>
      </w:r>
      <w:r w:rsidRPr="00434D69">
        <w:rPr>
          <w:rFonts w:ascii="Times New Roman" w:hAnsi="Times New Roman" w:cs="Times New Roman"/>
          <w:sz w:val="24"/>
          <w:szCs w:val="24"/>
        </w:rPr>
        <w:t xml:space="preserve">July 2015 </w:t>
      </w:r>
      <w:r w:rsidR="00304D8A">
        <w:rPr>
          <w:rFonts w:ascii="Times New Roman" w:hAnsi="Times New Roman" w:cs="Times New Roman"/>
          <w:sz w:val="24"/>
          <w:szCs w:val="24"/>
        </w:rPr>
        <w:t>“</w:t>
      </w:r>
      <w:r w:rsidRPr="00434D69">
        <w:rPr>
          <w:rFonts w:ascii="Times New Roman" w:hAnsi="Times New Roman" w:cs="Times New Roman"/>
          <w:i/>
          <w:sz w:val="24"/>
          <w:szCs w:val="24"/>
        </w:rPr>
        <w:t>or such later date as the Bank in its absolute discretion may agree</w:t>
      </w:r>
      <w:r w:rsidR="00304D8A">
        <w:rPr>
          <w:rFonts w:ascii="Times New Roman" w:hAnsi="Times New Roman" w:cs="Times New Roman"/>
          <w:i/>
          <w:sz w:val="24"/>
          <w:szCs w:val="24"/>
        </w:rPr>
        <w:t>.”</w:t>
      </w:r>
      <w:r w:rsidR="00304D8A">
        <w:rPr>
          <w:rFonts w:ascii="Times New Roman" w:hAnsi="Times New Roman" w:cs="Times New Roman"/>
          <w:sz w:val="24"/>
          <w:szCs w:val="24"/>
        </w:rPr>
        <w:t xml:space="preserve"> </w:t>
      </w:r>
      <w:r w:rsidRPr="00434D69">
        <w:rPr>
          <w:rFonts w:ascii="Times New Roman" w:hAnsi="Times New Roman" w:cs="Times New Roman"/>
          <w:sz w:val="24"/>
          <w:szCs w:val="24"/>
        </w:rPr>
        <w:t xml:space="preserve">It was at the same time agreed that agents would be appointed by the </w:t>
      </w:r>
      <w:r>
        <w:rPr>
          <w:rFonts w:ascii="Times New Roman" w:hAnsi="Times New Roman" w:cs="Times New Roman"/>
          <w:sz w:val="24"/>
          <w:szCs w:val="24"/>
        </w:rPr>
        <w:t>D</w:t>
      </w:r>
      <w:r w:rsidRPr="00434D69">
        <w:rPr>
          <w:rFonts w:ascii="Times New Roman" w:hAnsi="Times New Roman" w:cs="Times New Roman"/>
          <w:sz w:val="24"/>
          <w:szCs w:val="24"/>
        </w:rPr>
        <w:t xml:space="preserve">efendants to </w:t>
      </w:r>
      <w:r w:rsidR="009A0E41" w:rsidRPr="00434D69">
        <w:rPr>
          <w:rFonts w:ascii="Times New Roman" w:hAnsi="Times New Roman" w:cs="Times New Roman"/>
          <w:sz w:val="24"/>
          <w:szCs w:val="24"/>
        </w:rPr>
        <w:t>sell the</w:t>
      </w:r>
      <w:r w:rsidRPr="00434D69">
        <w:rPr>
          <w:rFonts w:ascii="Times New Roman" w:hAnsi="Times New Roman" w:cs="Times New Roman"/>
          <w:sz w:val="24"/>
          <w:szCs w:val="24"/>
        </w:rPr>
        <w:t xml:space="preserve"> site ‘</w:t>
      </w:r>
      <w:r w:rsidRPr="00434D69">
        <w:rPr>
          <w:rFonts w:ascii="Times New Roman" w:hAnsi="Times New Roman" w:cs="Times New Roman"/>
          <w:i/>
          <w:sz w:val="24"/>
          <w:szCs w:val="24"/>
        </w:rPr>
        <w:t>with the intent of having the sale of same concluded no later than</w:t>
      </w:r>
      <w:r w:rsidR="00B67C7D">
        <w:rPr>
          <w:rFonts w:ascii="Times New Roman" w:hAnsi="Times New Roman" w:cs="Times New Roman"/>
          <w:i/>
          <w:sz w:val="24"/>
          <w:szCs w:val="24"/>
        </w:rPr>
        <w:t>’</w:t>
      </w:r>
      <w:r w:rsidRPr="00434D69">
        <w:rPr>
          <w:rFonts w:ascii="Times New Roman" w:hAnsi="Times New Roman" w:cs="Times New Roman"/>
          <w:i/>
          <w:sz w:val="24"/>
          <w:szCs w:val="24"/>
        </w:rPr>
        <w:t xml:space="preserve"> </w:t>
      </w:r>
      <w:r>
        <w:rPr>
          <w:rFonts w:ascii="Times New Roman" w:hAnsi="Times New Roman" w:cs="Times New Roman"/>
          <w:sz w:val="24"/>
          <w:szCs w:val="24"/>
        </w:rPr>
        <w:t xml:space="preserve">31 </w:t>
      </w:r>
      <w:r w:rsidRPr="00434D69">
        <w:rPr>
          <w:rFonts w:ascii="Times New Roman" w:hAnsi="Times New Roman" w:cs="Times New Roman"/>
          <w:sz w:val="24"/>
          <w:szCs w:val="24"/>
        </w:rPr>
        <w:t xml:space="preserve">July 2014.  The </w:t>
      </w:r>
      <w:r>
        <w:rPr>
          <w:rFonts w:ascii="Times New Roman" w:hAnsi="Times New Roman" w:cs="Times New Roman"/>
          <w:sz w:val="24"/>
          <w:szCs w:val="24"/>
        </w:rPr>
        <w:t>D</w:t>
      </w:r>
      <w:r w:rsidRPr="00434D69">
        <w:rPr>
          <w:rFonts w:ascii="Times New Roman" w:hAnsi="Times New Roman" w:cs="Times New Roman"/>
          <w:sz w:val="24"/>
          <w:szCs w:val="24"/>
        </w:rPr>
        <w:t xml:space="preserve">efendants were to ensure that the Bank was at all </w:t>
      </w:r>
      <w:r w:rsidRPr="00434D69">
        <w:rPr>
          <w:rFonts w:ascii="Times New Roman" w:hAnsi="Times New Roman" w:cs="Times New Roman"/>
          <w:sz w:val="24"/>
          <w:szCs w:val="24"/>
        </w:rPr>
        <w:lastRenderedPageBreak/>
        <w:t>times kept fully appraised as to all enquiries and interest shown in the site and were to direct and instruct the Agents to provide such information to the Bank as and when required by it.  The Compromise Agreement identified a ‘</w:t>
      </w:r>
      <w:r w:rsidRPr="00434D69">
        <w:rPr>
          <w:rFonts w:ascii="Times New Roman" w:hAnsi="Times New Roman" w:cs="Times New Roman"/>
          <w:i/>
          <w:sz w:val="24"/>
          <w:szCs w:val="24"/>
        </w:rPr>
        <w:t>Long Stop Date</w:t>
      </w:r>
      <w:r w:rsidR="00B67C7D">
        <w:rPr>
          <w:rFonts w:ascii="Times New Roman" w:hAnsi="Times New Roman" w:cs="Times New Roman"/>
          <w:i/>
          <w:sz w:val="24"/>
          <w:szCs w:val="24"/>
        </w:rPr>
        <w:t>’</w:t>
      </w:r>
      <w:r w:rsidRPr="00434D69">
        <w:rPr>
          <w:rFonts w:ascii="Times New Roman" w:hAnsi="Times New Roman" w:cs="Times New Roman"/>
          <w:i/>
          <w:sz w:val="24"/>
          <w:szCs w:val="24"/>
        </w:rPr>
        <w:t xml:space="preserve"> </w:t>
      </w:r>
      <w:r w:rsidRPr="00434D69">
        <w:rPr>
          <w:rFonts w:ascii="Times New Roman" w:hAnsi="Times New Roman" w:cs="Times New Roman"/>
          <w:sz w:val="24"/>
          <w:szCs w:val="24"/>
        </w:rPr>
        <w:t xml:space="preserve">of 30 September 2015.  </w:t>
      </w:r>
      <w:r>
        <w:rPr>
          <w:rFonts w:ascii="Times New Roman" w:hAnsi="Times New Roman" w:cs="Times New Roman"/>
          <w:sz w:val="24"/>
          <w:szCs w:val="24"/>
        </w:rPr>
        <w:t>Time was stated to be of the essence (clause 5.9).</w:t>
      </w:r>
    </w:p>
    <w:p w14:paraId="2FDDF14A" w14:textId="77777777" w:rsidR="005D0736" w:rsidRPr="00434D69" w:rsidRDefault="005D0736" w:rsidP="005D0736">
      <w:pPr>
        <w:pStyle w:val="ListParagraph"/>
        <w:spacing w:after="0" w:line="480" w:lineRule="auto"/>
        <w:rPr>
          <w:rFonts w:ascii="Times New Roman" w:hAnsi="Times New Roman" w:cs="Times New Roman"/>
          <w:sz w:val="24"/>
          <w:szCs w:val="24"/>
        </w:rPr>
      </w:pPr>
    </w:p>
    <w:p w14:paraId="707E7C25" w14:textId="0DF9057F" w:rsidR="005D0736" w:rsidRPr="00434D69" w:rsidRDefault="005D0736" w:rsidP="005D0736">
      <w:pPr>
        <w:pStyle w:val="ListParagraph"/>
        <w:numPr>
          <w:ilvl w:val="0"/>
          <w:numId w:val="14"/>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The net effect of the Compromise Agreement was that the liabilities of the </w:t>
      </w:r>
      <w:r>
        <w:rPr>
          <w:rFonts w:ascii="Times New Roman" w:hAnsi="Times New Roman" w:cs="Times New Roman"/>
          <w:sz w:val="24"/>
          <w:szCs w:val="24"/>
        </w:rPr>
        <w:t>D</w:t>
      </w:r>
      <w:r w:rsidRPr="00434D69">
        <w:rPr>
          <w:rFonts w:ascii="Times New Roman" w:hAnsi="Times New Roman" w:cs="Times New Roman"/>
          <w:sz w:val="24"/>
          <w:szCs w:val="24"/>
        </w:rPr>
        <w:t>efendants to the Bank – standing at the time in the region of €25</w:t>
      </w:r>
      <w:r>
        <w:rPr>
          <w:rFonts w:ascii="Times New Roman" w:hAnsi="Times New Roman" w:cs="Times New Roman"/>
          <w:sz w:val="24"/>
          <w:szCs w:val="24"/>
        </w:rPr>
        <w:t xml:space="preserve">,000,000 </w:t>
      </w:r>
      <w:r w:rsidR="00805079">
        <w:rPr>
          <w:rFonts w:ascii="Times New Roman" w:hAnsi="Times New Roman" w:cs="Times New Roman"/>
          <w:sz w:val="24"/>
          <w:szCs w:val="24"/>
        </w:rPr>
        <w:t>-</w:t>
      </w:r>
      <w:r w:rsidRPr="00434D69">
        <w:rPr>
          <w:rFonts w:ascii="Times New Roman" w:hAnsi="Times New Roman" w:cs="Times New Roman"/>
          <w:sz w:val="24"/>
          <w:szCs w:val="24"/>
        </w:rPr>
        <w:t xml:space="preserve"> were to be written off in return for a payment by the defendants of approximately €5</w:t>
      </w:r>
      <w:r>
        <w:rPr>
          <w:rFonts w:ascii="Times New Roman" w:hAnsi="Times New Roman" w:cs="Times New Roman"/>
          <w:sz w:val="24"/>
          <w:szCs w:val="24"/>
        </w:rPr>
        <w:t>,000,000</w:t>
      </w:r>
      <w:r w:rsidRPr="00434D69">
        <w:rPr>
          <w:rFonts w:ascii="Times New Roman" w:hAnsi="Times New Roman" w:cs="Times New Roman"/>
          <w:sz w:val="24"/>
          <w:szCs w:val="24"/>
        </w:rPr>
        <w:t xml:space="preserve">.  It was an express term of the Compromise Agreement that the </w:t>
      </w:r>
      <w:r>
        <w:rPr>
          <w:rFonts w:ascii="Times New Roman" w:hAnsi="Times New Roman" w:cs="Times New Roman"/>
          <w:sz w:val="24"/>
          <w:szCs w:val="24"/>
        </w:rPr>
        <w:t>D</w:t>
      </w:r>
      <w:r w:rsidRPr="00434D69">
        <w:rPr>
          <w:rFonts w:ascii="Times New Roman" w:hAnsi="Times New Roman" w:cs="Times New Roman"/>
          <w:sz w:val="24"/>
          <w:szCs w:val="24"/>
        </w:rPr>
        <w:t>efendants would disclose to the Bank all of their assets in a Statement of Affairs scheduled thereto.  Clause 3.1.3 provided</w:t>
      </w:r>
      <w:r w:rsidR="00304D8A">
        <w:rPr>
          <w:rFonts w:ascii="Times New Roman" w:hAnsi="Times New Roman" w:cs="Times New Roman"/>
          <w:sz w:val="24"/>
          <w:szCs w:val="24"/>
        </w:rPr>
        <w:t xml:space="preserve"> as follows</w:t>
      </w:r>
      <w:r w:rsidRPr="00434D69">
        <w:rPr>
          <w:rFonts w:ascii="Times New Roman" w:hAnsi="Times New Roman" w:cs="Times New Roman"/>
          <w:sz w:val="24"/>
          <w:szCs w:val="24"/>
        </w:rPr>
        <w:t>:</w:t>
      </w:r>
    </w:p>
    <w:p w14:paraId="3F6D9698" w14:textId="77777777" w:rsidR="005D0736" w:rsidRPr="00434D69" w:rsidRDefault="005D0736" w:rsidP="005D0736">
      <w:pPr>
        <w:pStyle w:val="ListParagraph"/>
        <w:spacing w:after="0" w:line="480" w:lineRule="auto"/>
        <w:jc w:val="both"/>
        <w:rPr>
          <w:rFonts w:ascii="Times New Roman" w:hAnsi="Times New Roman" w:cs="Times New Roman"/>
          <w:sz w:val="24"/>
          <w:szCs w:val="24"/>
        </w:rPr>
      </w:pPr>
    </w:p>
    <w:p w14:paraId="6A37287F" w14:textId="7C75713B" w:rsidR="005D0736" w:rsidRPr="00434D69" w:rsidRDefault="00304D8A" w:rsidP="005D0736">
      <w:pPr>
        <w:pStyle w:val="ListParagraph"/>
        <w:spacing w:after="0" w:line="480" w:lineRule="auto"/>
        <w:ind w:left="1440"/>
        <w:jc w:val="both"/>
        <w:rPr>
          <w:rFonts w:ascii="Times New Roman" w:hAnsi="Times New Roman" w:cs="Times New Roman"/>
          <w:i/>
          <w:sz w:val="24"/>
          <w:szCs w:val="24"/>
        </w:rPr>
      </w:pPr>
      <w:r>
        <w:rPr>
          <w:rFonts w:ascii="Times New Roman" w:hAnsi="Times New Roman" w:cs="Times New Roman"/>
          <w:sz w:val="24"/>
          <w:szCs w:val="24"/>
        </w:rPr>
        <w:t>“</w:t>
      </w:r>
      <w:r w:rsidR="005D0736" w:rsidRPr="00434D69">
        <w:rPr>
          <w:rFonts w:ascii="Times New Roman" w:hAnsi="Times New Roman" w:cs="Times New Roman"/>
          <w:i/>
          <w:sz w:val="24"/>
          <w:szCs w:val="24"/>
        </w:rPr>
        <w:t>If it transpires that there is any inaccuracy in the Updated Statements of Affairs (other than unintentional typographical error that is subsequently rectified) this Agreement shall be at an end.</w:t>
      </w:r>
      <w:r>
        <w:rPr>
          <w:rFonts w:ascii="Times New Roman" w:hAnsi="Times New Roman" w:cs="Times New Roman"/>
          <w:i/>
          <w:sz w:val="24"/>
          <w:szCs w:val="24"/>
        </w:rPr>
        <w:t>”</w:t>
      </w:r>
    </w:p>
    <w:p w14:paraId="611983D3" w14:textId="77777777" w:rsidR="005D0736" w:rsidRPr="00434D69" w:rsidRDefault="005D0736" w:rsidP="005D0736">
      <w:pPr>
        <w:pStyle w:val="ListParagraph"/>
        <w:spacing w:after="0" w:line="480" w:lineRule="auto"/>
        <w:rPr>
          <w:rFonts w:ascii="Times New Roman" w:hAnsi="Times New Roman" w:cs="Times New Roman"/>
          <w:sz w:val="24"/>
          <w:szCs w:val="24"/>
        </w:rPr>
      </w:pPr>
    </w:p>
    <w:p w14:paraId="2AE320E0" w14:textId="1CE658C5" w:rsidR="005D0736" w:rsidRPr="00434D69" w:rsidRDefault="005D0736" w:rsidP="005D0736">
      <w:pPr>
        <w:pStyle w:val="ListParagraph"/>
        <w:numPr>
          <w:ilvl w:val="0"/>
          <w:numId w:val="14"/>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Clause 4 of the </w:t>
      </w:r>
      <w:r>
        <w:rPr>
          <w:rFonts w:ascii="Times New Roman" w:hAnsi="Times New Roman" w:cs="Times New Roman"/>
          <w:sz w:val="24"/>
          <w:szCs w:val="24"/>
        </w:rPr>
        <w:t>A</w:t>
      </w:r>
      <w:r w:rsidRPr="00434D69">
        <w:rPr>
          <w:rFonts w:ascii="Times New Roman" w:hAnsi="Times New Roman" w:cs="Times New Roman"/>
          <w:sz w:val="24"/>
          <w:szCs w:val="24"/>
        </w:rPr>
        <w:t>greement was as follows:</w:t>
      </w:r>
    </w:p>
    <w:p w14:paraId="66710871" w14:textId="77777777" w:rsidR="005D0736" w:rsidRPr="00434D69" w:rsidRDefault="005D0736" w:rsidP="005D0736">
      <w:pPr>
        <w:pStyle w:val="ListParagraph"/>
        <w:spacing w:after="0" w:line="480" w:lineRule="auto"/>
        <w:rPr>
          <w:rFonts w:ascii="Times New Roman" w:hAnsi="Times New Roman" w:cs="Times New Roman"/>
          <w:sz w:val="24"/>
          <w:szCs w:val="24"/>
        </w:rPr>
      </w:pPr>
    </w:p>
    <w:p w14:paraId="3AB9A81B" w14:textId="7786D36B" w:rsidR="005D0736" w:rsidRPr="0093356E" w:rsidRDefault="00304D8A" w:rsidP="0093356E">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5D0736" w:rsidRPr="00434D69">
        <w:rPr>
          <w:rFonts w:ascii="Times New Roman" w:hAnsi="Times New Roman" w:cs="Times New Roman"/>
          <w:i/>
          <w:sz w:val="24"/>
          <w:szCs w:val="24"/>
        </w:rPr>
        <w:t>PROVIDED ALWAYS that in the event of a failure by or on behalf of the Borrowers to comply with the terms of the Agreement or in the event of a breach of any of the covenants herein contained or, in the event that the Properties have not been disposed of by the Long Stop Date, the Bank shall be at liberty, without notice to the Borrowers, to take whatever steps it shall, in its absolute discretion, deem f</w:t>
      </w:r>
      <w:r w:rsidR="005D0736">
        <w:rPr>
          <w:rFonts w:ascii="Times New Roman" w:hAnsi="Times New Roman" w:cs="Times New Roman"/>
          <w:i/>
          <w:sz w:val="24"/>
          <w:szCs w:val="24"/>
        </w:rPr>
        <w:t>it</w:t>
      </w:r>
      <w:r w:rsidR="005D0736" w:rsidRPr="00434D69">
        <w:rPr>
          <w:rFonts w:ascii="Times New Roman" w:hAnsi="Times New Roman" w:cs="Times New Roman"/>
          <w:i/>
          <w:sz w:val="24"/>
          <w:szCs w:val="24"/>
        </w:rPr>
        <w:t xml:space="preserve"> on foot of the Finance Documents, at law or otherwise.</w:t>
      </w:r>
      <w:r>
        <w:rPr>
          <w:rFonts w:ascii="Times New Roman" w:hAnsi="Times New Roman" w:cs="Times New Roman"/>
          <w:i/>
          <w:sz w:val="24"/>
          <w:szCs w:val="24"/>
        </w:rPr>
        <w:t>”</w:t>
      </w:r>
    </w:p>
    <w:p w14:paraId="23606B53" w14:textId="248E11A5" w:rsidR="00C34E8D" w:rsidRDefault="005D0736" w:rsidP="005D0736">
      <w:pPr>
        <w:pStyle w:val="ListParagraph"/>
        <w:numPr>
          <w:ilvl w:val="0"/>
          <w:numId w:val="14"/>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lastRenderedPageBreak/>
        <w:t xml:space="preserve">On 26 June 2013, the Bank instituted proceedings against CBRE alleging negligence </w:t>
      </w:r>
      <w:r w:rsidR="009A0E41">
        <w:rPr>
          <w:rFonts w:ascii="Times New Roman" w:hAnsi="Times New Roman" w:cs="Times New Roman"/>
          <w:sz w:val="24"/>
          <w:szCs w:val="24"/>
        </w:rPr>
        <w:t xml:space="preserve">in </w:t>
      </w:r>
      <w:r w:rsidR="009A0E41" w:rsidRPr="00434D69">
        <w:rPr>
          <w:rFonts w:ascii="Times New Roman" w:hAnsi="Times New Roman" w:cs="Times New Roman"/>
          <w:sz w:val="24"/>
          <w:szCs w:val="24"/>
        </w:rPr>
        <w:t>the</w:t>
      </w:r>
      <w:r w:rsidRPr="00434D69">
        <w:rPr>
          <w:rFonts w:ascii="Times New Roman" w:hAnsi="Times New Roman" w:cs="Times New Roman"/>
          <w:sz w:val="24"/>
          <w:szCs w:val="24"/>
        </w:rPr>
        <w:t xml:space="preserve"> preparation of the valuation of the </w:t>
      </w:r>
      <w:r>
        <w:rPr>
          <w:rFonts w:ascii="Times New Roman" w:hAnsi="Times New Roman" w:cs="Times New Roman"/>
          <w:sz w:val="24"/>
          <w:szCs w:val="24"/>
        </w:rPr>
        <w:t>Kilpeddar Lands</w:t>
      </w:r>
      <w:r w:rsidRPr="00434D69">
        <w:rPr>
          <w:rFonts w:ascii="Times New Roman" w:hAnsi="Times New Roman" w:cs="Times New Roman"/>
          <w:sz w:val="24"/>
          <w:szCs w:val="24"/>
        </w:rPr>
        <w:t xml:space="preserve">.  On 13 June 2014, the </w:t>
      </w:r>
      <w:r>
        <w:rPr>
          <w:rFonts w:ascii="Times New Roman" w:hAnsi="Times New Roman" w:cs="Times New Roman"/>
          <w:sz w:val="24"/>
          <w:szCs w:val="24"/>
        </w:rPr>
        <w:t>Lands were</w:t>
      </w:r>
      <w:r w:rsidR="00C34E8D">
        <w:rPr>
          <w:rFonts w:ascii="Times New Roman" w:hAnsi="Times New Roman" w:cs="Times New Roman"/>
          <w:sz w:val="24"/>
          <w:szCs w:val="24"/>
        </w:rPr>
        <w:t xml:space="preserve"> - </w:t>
      </w:r>
      <w:r>
        <w:rPr>
          <w:rFonts w:ascii="Times New Roman" w:hAnsi="Times New Roman" w:cs="Times New Roman"/>
          <w:sz w:val="24"/>
          <w:szCs w:val="24"/>
        </w:rPr>
        <w:t>according to the Defendants</w:t>
      </w:r>
      <w:r w:rsidR="00C34E8D">
        <w:rPr>
          <w:rFonts w:ascii="Times New Roman" w:hAnsi="Times New Roman" w:cs="Times New Roman"/>
          <w:sz w:val="24"/>
          <w:szCs w:val="24"/>
        </w:rPr>
        <w:t xml:space="preserve"> </w:t>
      </w:r>
      <w:r w:rsidR="009A0E41">
        <w:rPr>
          <w:rFonts w:ascii="Times New Roman" w:hAnsi="Times New Roman" w:cs="Times New Roman"/>
          <w:sz w:val="24"/>
          <w:szCs w:val="24"/>
        </w:rPr>
        <w:t>- sold</w:t>
      </w:r>
      <w:r w:rsidRPr="00434D69">
        <w:rPr>
          <w:rFonts w:ascii="Times New Roman" w:hAnsi="Times New Roman" w:cs="Times New Roman"/>
          <w:sz w:val="24"/>
          <w:szCs w:val="24"/>
        </w:rPr>
        <w:t xml:space="preserve"> by them to a company called Granja Limited</w:t>
      </w:r>
      <w:r>
        <w:rPr>
          <w:rFonts w:ascii="Times New Roman" w:hAnsi="Times New Roman" w:cs="Times New Roman"/>
          <w:sz w:val="24"/>
          <w:szCs w:val="24"/>
        </w:rPr>
        <w:t xml:space="preserve"> (“</w:t>
      </w:r>
      <w:r w:rsidRPr="00C27199">
        <w:rPr>
          <w:rFonts w:ascii="Times New Roman" w:hAnsi="Times New Roman" w:cs="Times New Roman"/>
          <w:i/>
          <w:sz w:val="24"/>
          <w:szCs w:val="24"/>
        </w:rPr>
        <w:t>Granja</w:t>
      </w:r>
      <w:r>
        <w:rPr>
          <w:rFonts w:ascii="Times New Roman" w:hAnsi="Times New Roman" w:cs="Times New Roman"/>
          <w:sz w:val="24"/>
          <w:szCs w:val="24"/>
        </w:rPr>
        <w:t xml:space="preserve">”) </w:t>
      </w:r>
      <w:r w:rsidRPr="00434D69">
        <w:rPr>
          <w:rFonts w:ascii="Times New Roman" w:hAnsi="Times New Roman" w:cs="Times New Roman"/>
          <w:sz w:val="24"/>
          <w:szCs w:val="24"/>
        </w:rPr>
        <w:t>for €1,50</w:t>
      </w:r>
      <w:r w:rsidR="002B7CE7">
        <w:rPr>
          <w:rFonts w:ascii="Times New Roman" w:hAnsi="Times New Roman" w:cs="Times New Roman"/>
          <w:sz w:val="24"/>
          <w:szCs w:val="24"/>
        </w:rPr>
        <w:t>1</w:t>
      </w:r>
      <w:r w:rsidRPr="00434D69">
        <w:rPr>
          <w:rFonts w:ascii="Times New Roman" w:hAnsi="Times New Roman" w:cs="Times New Roman"/>
          <w:sz w:val="24"/>
          <w:szCs w:val="24"/>
        </w:rPr>
        <w:t>,</w:t>
      </w:r>
      <w:r w:rsidR="002B7CE7">
        <w:rPr>
          <w:rFonts w:ascii="Times New Roman" w:hAnsi="Times New Roman" w:cs="Times New Roman"/>
          <w:sz w:val="24"/>
          <w:szCs w:val="24"/>
        </w:rPr>
        <w:t>0</w:t>
      </w:r>
      <w:r w:rsidRPr="00434D69">
        <w:rPr>
          <w:rFonts w:ascii="Times New Roman" w:hAnsi="Times New Roman" w:cs="Times New Roman"/>
          <w:sz w:val="24"/>
          <w:szCs w:val="24"/>
        </w:rPr>
        <w:t xml:space="preserve">00. The document alleged to comprise the contract of sale </w:t>
      </w:r>
      <w:r w:rsidR="009A0E41">
        <w:rPr>
          <w:rFonts w:ascii="Times New Roman" w:hAnsi="Times New Roman" w:cs="Times New Roman"/>
          <w:sz w:val="24"/>
          <w:szCs w:val="24"/>
        </w:rPr>
        <w:t xml:space="preserve">comprised </w:t>
      </w:r>
      <w:r w:rsidR="009A0E41" w:rsidRPr="00434D69">
        <w:rPr>
          <w:rFonts w:ascii="Times New Roman" w:hAnsi="Times New Roman" w:cs="Times New Roman"/>
          <w:sz w:val="24"/>
          <w:szCs w:val="24"/>
        </w:rPr>
        <w:t>a</w:t>
      </w:r>
      <w:r w:rsidRPr="00434D69">
        <w:rPr>
          <w:rFonts w:ascii="Times New Roman" w:hAnsi="Times New Roman" w:cs="Times New Roman"/>
          <w:sz w:val="24"/>
          <w:szCs w:val="24"/>
        </w:rPr>
        <w:t xml:space="preserve"> single page which described itself as </w:t>
      </w:r>
      <w:r w:rsidR="00C34E8D">
        <w:rPr>
          <w:rFonts w:ascii="Times New Roman" w:hAnsi="Times New Roman" w:cs="Times New Roman"/>
          <w:sz w:val="24"/>
          <w:szCs w:val="24"/>
        </w:rPr>
        <w:t>“</w:t>
      </w:r>
      <w:r w:rsidRPr="00434D69">
        <w:rPr>
          <w:rFonts w:ascii="Times New Roman" w:hAnsi="Times New Roman" w:cs="Times New Roman"/>
          <w:i/>
          <w:sz w:val="24"/>
          <w:szCs w:val="24"/>
        </w:rPr>
        <w:t>Heads of Agreement</w:t>
      </w:r>
      <w:r w:rsidR="00C34E8D">
        <w:rPr>
          <w:rFonts w:ascii="Times New Roman" w:hAnsi="Times New Roman" w:cs="Times New Roman"/>
          <w:i/>
          <w:sz w:val="24"/>
          <w:szCs w:val="24"/>
        </w:rPr>
        <w:t>”.</w:t>
      </w:r>
      <w:r w:rsidRPr="00434D69">
        <w:rPr>
          <w:rFonts w:ascii="Times New Roman" w:hAnsi="Times New Roman" w:cs="Times New Roman"/>
          <w:i/>
          <w:sz w:val="24"/>
          <w:szCs w:val="24"/>
        </w:rPr>
        <w:t xml:space="preserve"> </w:t>
      </w:r>
      <w:r w:rsidRPr="00434D69">
        <w:rPr>
          <w:rFonts w:ascii="Times New Roman" w:hAnsi="Times New Roman" w:cs="Times New Roman"/>
          <w:sz w:val="24"/>
          <w:szCs w:val="24"/>
        </w:rPr>
        <w:t xml:space="preserve"> Seven days later,</w:t>
      </w:r>
      <w:r>
        <w:rPr>
          <w:rFonts w:ascii="Times New Roman" w:hAnsi="Times New Roman" w:cs="Times New Roman"/>
          <w:sz w:val="24"/>
          <w:szCs w:val="24"/>
        </w:rPr>
        <w:t xml:space="preserve"> in ignorance of the purported sale to Granja,</w:t>
      </w:r>
      <w:r w:rsidRPr="00434D69">
        <w:rPr>
          <w:rFonts w:ascii="Times New Roman" w:hAnsi="Times New Roman" w:cs="Times New Roman"/>
          <w:sz w:val="24"/>
          <w:szCs w:val="24"/>
        </w:rPr>
        <w:t xml:space="preserve"> the Bank withdrew its consent to the sale and ongoing marketing of the </w:t>
      </w:r>
      <w:r>
        <w:rPr>
          <w:rFonts w:ascii="Times New Roman" w:hAnsi="Times New Roman" w:cs="Times New Roman"/>
          <w:sz w:val="24"/>
          <w:szCs w:val="24"/>
        </w:rPr>
        <w:t>Kilpeddar Lands</w:t>
      </w:r>
      <w:r w:rsidRPr="00434D69">
        <w:rPr>
          <w:rFonts w:ascii="Times New Roman" w:hAnsi="Times New Roman" w:cs="Times New Roman"/>
          <w:sz w:val="24"/>
          <w:szCs w:val="24"/>
        </w:rPr>
        <w:t xml:space="preserve">. </w:t>
      </w:r>
    </w:p>
    <w:p w14:paraId="7E1F5320" w14:textId="77777777" w:rsidR="00C34E8D" w:rsidRDefault="00C34E8D" w:rsidP="00C34E8D">
      <w:pPr>
        <w:pStyle w:val="ListParagraph"/>
        <w:spacing w:after="0" w:line="480" w:lineRule="auto"/>
        <w:jc w:val="both"/>
        <w:rPr>
          <w:rFonts w:ascii="Times New Roman" w:hAnsi="Times New Roman" w:cs="Times New Roman"/>
          <w:sz w:val="24"/>
          <w:szCs w:val="24"/>
        </w:rPr>
      </w:pPr>
    </w:p>
    <w:p w14:paraId="7F72D42B" w14:textId="73145DE6" w:rsidR="005D0736" w:rsidRDefault="005D0736" w:rsidP="005D0736">
      <w:pPr>
        <w:pStyle w:val="ListParagraph"/>
        <w:numPr>
          <w:ilvl w:val="0"/>
          <w:numId w:val="14"/>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On </w:t>
      </w:r>
      <w:r>
        <w:rPr>
          <w:rFonts w:ascii="Times New Roman" w:hAnsi="Times New Roman" w:cs="Times New Roman"/>
          <w:sz w:val="24"/>
          <w:szCs w:val="24"/>
        </w:rPr>
        <w:t xml:space="preserve">1 </w:t>
      </w:r>
      <w:r w:rsidRPr="00434D69">
        <w:rPr>
          <w:rFonts w:ascii="Times New Roman" w:hAnsi="Times New Roman" w:cs="Times New Roman"/>
          <w:sz w:val="24"/>
          <w:szCs w:val="24"/>
        </w:rPr>
        <w:t>October 2014</w:t>
      </w:r>
      <w:r w:rsidR="00BE7108">
        <w:rPr>
          <w:rFonts w:ascii="Times New Roman" w:hAnsi="Times New Roman" w:cs="Times New Roman"/>
          <w:sz w:val="24"/>
          <w:szCs w:val="24"/>
        </w:rPr>
        <w:t>,</w:t>
      </w:r>
      <w:r w:rsidRPr="00434D69">
        <w:rPr>
          <w:rFonts w:ascii="Times New Roman" w:hAnsi="Times New Roman" w:cs="Times New Roman"/>
          <w:sz w:val="24"/>
          <w:szCs w:val="24"/>
        </w:rPr>
        <w:t xml:space="preserve"> the Bank appointed the </w:t>
      </w:r>
      <w:r>
        <w:rPr>
          <w:rFonts w:ascii="Times New Roman" w:hAnsi="Times New Roman" w:cs="Times New Roman"/>
          <w:sz w:val="24"/>
          <w:szCs w:val="24"/>
        </w:rPr>
        <w:t>Receivers</w:t>
      </w:r>
      <w:r w:rsidRPr="00434D69">
        <w:rPr>
          <w:rFonts w:ascii="Times New Roman" w:hAnsi="Times New Roman" w:cs="Times New Roman"/>
          <w:sz w:val="24"/>
          <w:szCs w:val="24"/>
        </w:rPr>
        <w:t xml:space="preserve"> as joint receivers over the </w:t>
      </w:r>
      <w:r>
        <w:rPr>
          <w:rFonts w:ascii="Times New Roman" w:hAnsi="Times New Roman" w:cs="Times New Roman"/>
          <w:sz w:val="24"/>
          <w:szCs w:val="24"/>
        </w:rPr>
        <w:t>Lands</w:t>
      </w:r>
      <w:r w:rsidRPr="00434D69">
        <w:rPr>
          <w:rFonts w:ascii="Times New Roman" w:hAnsi="Times New Roman" w:cs="Times New Roman"/>
          <w:sz w:val="24"/>
          <w:szCs w:val="24"/>
        </w:rPr>
        <w:t xml:space="preserve">.  On 22 January </w:t>
      </w:r>
      <w:r w:rsidR="009A0E41" w:rsidRPr="00434D69">
        <w:rPr>
          <w:rFonts w:ascii="Times New Roman" w:hAnsi="Times New Roman" w:cs="Times New Roman"/>
          <w:sz w:val="24"/>
          <w:szCs w:val="24"/>
        </w:rPr>
        <w:t>2016 the</w:t>
      </w:r>
      <w:r w:rsidRPr="00434D69">
        <w:rPr>
          <w:rFonts w:ascii="Times New Roman" w:hAnsi="Times New Roman" w:cs="Times New Roman"/>
          <w:sz w:val="24"/>
          <w:szCs w:val="24"/>
        </w:rPr>
        <w:t xml:space="preserve"> Bank settled its action against CBRE for a sum of €5,350,000.  This sum was subsequently credited to the </w:t>
      </w:r>
      <w:r w:rsidR="00A11002">
        <w:rPr>
          <w:rFonts w:ascii="Times New Roman" w:hAnsi="Times New Roman" w:cs="Times New Roman"/>
          <w:sz w:val="24"/>
          <w:szCs w:val="24"/>
        </w:rPr>
        <w:t>D</w:t>
      </w:r>
      <w:r w:rsidRPr="00434D69">
        <w:rPr>
          <w:rFonts w:ascii="Times New Roman" w:hAnsi="Times New Roman" w:cs="Times New Roman"/>
          <w:sz w:val="24"/>
          <w:szCs w:val="24"/>
        </w:rPr>
        <w:t xml:space="preserve">efendants’ loan account. </w:t>
      </w:r>
    </w:p>
    <w:p w14:paraId="734276F2" w14:textId="77777777" w:rsidR="005D0736" w:rsidRDefault="005D0736" w:rsidP="005D0736">
      <w:pPr>
        <w:pStyle w:val="ListParagraph"/>
        <w:spacing w:after="0" w:line="480" w:lineRule="auto"/>
        <w:jc w:val="both"/>
        <w:rPr>
          <w:rFonts w:ascii="Times New Roman" w:hAnsi="Times New Roman" w:cs="Times New Roman"/>
          <w:sz w:val="24"/>
          <w:szCs w:val="24"/>
        </w:rPr>
      </w:pPr>
    </w:p>
    <w:p w14:paraId="57DA0F88" w14:textId="4B6DBE9B" w:rsidR="005D0736" w:rsidRPr="00434D69" w:rsidRDefault="005D0736" w:rsidP="005D0736">
      <w:pPr>
        <w:pStyle w:val="ListParagraph"/>
        <w:numPr>
          <w:ilvl w:val="0"/>
          <w:numId w:val="14"/>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These proceedings were instituted </w:t>
      </w:r>
      <w:r>
        <w:rPr>
          <w:rFonts w:ascii="Times New Roman" w:hAnsi="Times New Roman" w:cs="Times New Roman"/>
          <w:sz w:val="24"/>
          <w:szCs w:val="24"/>
        </w:rPr>
        <w:t>by the Bank i</w:t>
      </w:r>
      <w:r w:rsidRPr="00434D69">
        <w:rPr>
          <w:rFonts w:ascii="Times New Roman" w:hAnsi="Times New Roman" w:cs="Times New Roman"/>
          <w:sz w:val="24"/>
          <w:szCs w:val="24"/>
        </w:rPr>
        <w:t xml:space="preserve">n </w:t>
      </w:r>
      <w:r w:rsidR="009A0E41">
        <w:rPr>
          <w:rFonts w:ascii="Times New Roman" w:hAnsi="Times New Roman" w:cs="Times New Roman"/>
          <w:sz w:val="24"/>
          <w:szCs w:val="24"/>
        </w:rPr>
        <w:t xml:space="preserve">July </w:t>
      </w:r>
      <w:r w:rsidR="009A0E41" w:rsidRPr="00434D69">
        <w:rPr>
          <w:rFonts w:ascii="Times New Roman" w:hAnsi="Times New Roman" w:cs="Times New Roman"/>
          <w:sz w:val="24"/>
          <w:szCs w:val="24"/>
        </w:rPr>
        <w:t>2018 and</w:t>
      </w:r>
      <w:r w:rsidRPr="00434D69">
        <w:rPr>
          <w:rFonts w:ascii="Times New Roman" w:hAnsi="Times New Roman" w:cs="Times New Roman"/>
          <w:sz w:val="24"/>
          <w:szCs w:val="24"/>
        </w:rPr>
        <w:t xml:space="preserve"> came on for trial before Twomey J. on </w:t>
      </w:r>
      <w:r>
        <w:rPr>
          <w:rFonts w:ascii="Times New Roman" w:hAnsi="Times New Roman" w:cs="Times New Roman"/>
          <w:sz w:val="24"/>
          <w:szCs w:val="24"/>
        </w:rPr>
        <w:t xml:space="preserve">3 December 2019 and following days. Including </w:t>
      </w:r>
      <w:r w:rsidR="002A3EB6">
        <w:rPr>
          <w:rFonts w:ascii="Times New Roman" w:hAnsi="Times New Roman" w:cs="Times New Roman"/>
          <w:sz w:val="24"/>
          <w:szCs w:val="24"/>
        </w:rPr>
        <w:t>a</w:t>
      </w:r>
      <w:r w:rsidR="00C34E8D">
        <w:rPr>
          <w:rFonts w:ascii="Times New Roman" w:hAnsi="Times New Roman" w:cs="Times New Roman"/>
          <w:sz w:val="24"/>
          <w:szCs w:val="24"/>
        </w:rPr>
        <w:t xml:space="preserve"> </w:t>
      </w:r>
      <w:r>
        <w:rPr>
          <w:rFonts w:ascii="Times New Roman" w:hAnsi="Times New Roman" w:cs="Times New Roman"/>
          <w:sz w:val="24"/>
          <w:szCs w:val="24"/>
        </w:rPr>
        <w:t xml:space="preserve">further hearing on </w:t>
      </w:r>
      <w:r w:rsidR="002A3EB6">
        <w:rPr>
          <w:rFonts w:ascii="Times New Roman" w:hAnsi="Times New Roman" w:cs="Times New Roman"/>
          <w:sz w:val="24"/>
          <w:szCs w:val="24"/>
        </w:rPr>
        <w:t xml:space="preserve">certain issues said to arise from the provisions of </w:t>
      </w:r>
      <w:r>
        <w:rPr>
          <w:rFonts w:ascii="Times New Roman" w:hAnsi="Times New Roman" w:cs="Times New Roman"/>
          <w:sz w:val="24"/>
          <w:szCs w:val="24"/>
        </w:rPr>
        <w:t>the Civil Liability Act, the case was at hearing for a total of 21 days in the High Court</w:t>
      </w:r>
      <w:r w:rsidRPr="00434D69">
        <w:rPr>
          <w:rFonts w:ascii="Times New Roman" w:hAnsi="Times New Roman" w:cs="Times New Roman"/>
          <w:sz w:val="24"/>
          <w:szCs w:val="24"/>
        </w:rPr>
        <w:t>.</w:t>
      </w:r>
    </w:p>
    <w:p w14:paraId="6392CAB7" w14:textId="77777777" w:rsidR="005D0736" w:rsidRPr="00434D69" w:rsidRDefault="005D0736" w:rsidP="005D0736">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1177C76B" w14:textId="7E193743" w:rsidR="005D0736" w:rsidRDefault="005D0736" w:rsidP="005D0736">
      <w:pPr>
        <w:pStyle w:val="ListParagraph"/>
        <w:numPr>
          <w:ilvl w:val="0"/>
          <w:numId w:val="14"/>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As explained by Twomey J. in his firs</w:t>
      </w:r>
      <w:r>
        <w:rPr>
          <w:rFonts w:ascii="Times New Roman" w:hAnsi="Times New Roman" w:cs="Times New Roman"/>
          <w:sz w:val="24"/>
          <w:szCs w:val="24"/>
        </w:rPr>
        <w:t xml:space="preserve">t and principal judgment, given on 6 April 2020 </w:t>
      </w:r>
      <w:r w:rsidRPr="00434D69">
        <w:rPr>
          <w:rFonts w:ascii="Times New Roman" w:hAnsi="Times New Roman" w:cs="Times New Roman"/>
          <w:sz w:val="24"/>
          <w:szCs w:val="24"/>
        </w:rPr>
        <w:t xml:space="preserve">([2020] IEHC </w:t>
      </w:r>
      <w:r>
        <w:rPr>
          <w:rFonts w:ascii="Times New Roman" w:hAnsi="Times New Roman" w:cs="Times New Roman"/>
          <w:sz w:val="24"/>
          <w:szCs w:val="24"/>
        </w:rPr>
        <w:t>1</w:t>
      </w:r>
      <w:r w:rsidRPr="00434D69">
        <w:rPr>
          <w:rFonts w:ascii="Times New Roman" w:hAnsi="Times New Roman" w:cs="Times New Roman"/>
          <w:sz w:val="24"/>
          <w:szCs w:val="24"/>
        </w:rPr>
        <w:t>85</w:t>
      </w:r>
      <w:r w:rsidR="00C34E8D">
        <w:rPr>
          <w:rFonts w:ascii="Times New Roman" w:hAnsi="Times New Roman" w:cs="Times New Roman"/>
          <w:sz w:val="24"/>
          <w:szCs w:val="24"/>
        </w:rPr>
        <w:t xml:space="preserve"> </w:t>
      </w:r>
      <w:r w:rsidR="009A0E41">
        <w:rPr>
          <w:rFonts w:ascii="Times New Roman" w:hAnsi="Times New Roman" w:cs="Times New Roman"/>
          <w:sz w:val="24"/>
          <w:szCs w:val="24"/>
        </w:rPr>
        <w:t>(</w:t>
      </w:r>
      <w:r w:rsidR="009A0E41">
        <w:rPr>
          <w:rFonts w:ascii="Times New Roman" w:hAnsi="Times New Roman" w:cs="Times New Roman"/>
          <w:iCs/>
          <w:sz w:val="24"/>
          <w:szCs w:val="24"/>
        </w:rPr>
        <w:t>“</w:t>
      </w:r>
      <w:r w:rsidR="009A0E41" w:rsidRPr="00C34E8D">
        <w:rPr>
          <w:rFonts w:ascii="Times New Roman" w:hAnsi="Times New Roman" w:cs="Times New Roman"/>
          <w:i/>
          <w:sz w:val="24"/>
          <w:szCs w:val="24"/>
        </w:rPr>
        <w:t>the</w:t>
      </w:r>
      <w:r w:rsidR="00C34E8D" w:rsidRPr="00C34E8D">
        <w:rPr>
          <w:rFonts w:ascii="Times New Roman" w:hAnsi="Times New Roman" w:cs="Times New Roman"/>
          <w:i/>
          <w:sz w:val="24"/>
          <w:szCs w:val="24"/>
        </w:rPr>
        <w:t xml:space="preserve"> Judgment</w:t>
      </w:r>
      <w:r w:rsidR="009A0E41">
        <w:rPr>
          <w:rFonts w:ascii="Times New Roman" w:hAnsi="Times New Roman" w:cs="Times New Roman"/>
          <w:sz w:val="24"/>
          <w:szCs w:val="24"/>
        </w:rPr>
        <w:t xml:space="preserve">”) </w:t>
      </w:r>
      <w:r w:rsidR="009A0E41" w:rsidRPr="00434D69">
        <w:rPr>
          <w:rFonts w:ascii="Times New Roman" w:hAnsi="Times New Roman" w:cs="Times New Roman"/>
          <w:sz w:val="24"/>
          <w:szCs w:val="24"/>
        </w:rPr>
        <w:t>there</w:t>
      </w:r>
      <w:r w:rsidRPr="00434D69">
        <w:rPr>
          <w:rFonts w:ascii="Times New Roman" w:hAnsi="Times New Roman" w:cs="Times New Roman"/>
          <w:sz w:val="24"/>
          <w:szCs w:val="24"/>
        </w:rPr>
        <w:t xml:space="preserve"> were two broad issues in the case.  The first was whether the </w:t>
      </w:r>
      <w:r>
        <w:rPr>
          <w:rFonts w:ascii="Times New Roman" w:hAnsi="Times New Roman" w:cs="Times New Roman"/>
          <w:sz w:val="24"/>
          <w:szCs w:val="24"/>
        </w:rPr>
        <w:t>D</w:t>
      </w:r>
      <w:r w:rsidRPr="00434D69">
        <w:rPr>
          <w:rFonts w:ascii="Times New Roman" w:hAnsi="Times New Roman" w:cs="Times New Roman"/>
          <w:sz w:val="24"/>
          <w:szCs w:val="24"/>
        </w:rPr>
        <w:t xml:space="preserve">efendants had been in breach of the Compromise Agreement thereby entitling the Bank to </w:t>
      </w:r>
      <w:r>
        <w:rPr>
          <w:rFonts w:ascii="Times New Roman" w:hAnsi="Times New Roman" w:cs="Times New Roman"/>
          <w:sz w:val="24"/>
          <w:szCs w:val="24"/>
        </w:rPr>
        <w:t xml:space="preserve">treat the Agreement as at an end and/or to </w:t>
      </w:r>
      <w:r w:rsidRPr="00434D69">
        <w:rPr>
          <w:rFonts w:ascii="Times New Roman" w:hAnsi="Times New Roman" w:cs="Times New Roman"/>
          <w:sz w:val="24"/>
          <w:szCs w:val="24"/>
        </w:rPr>
        <w:t>pursue the</w:t>
      </w:r>
      <w:r>
        <w:rPr>
          <w:rFonts w:ascii="Times New Roman" w:hAnsi="Times New Roman" w:cs="Times New Roman"/>
          <w:sz w:val="24"/>
          <w:szCs w:val="24"/>
        </w:rPr>
        <w:t xml:space="preserve"> Defendants</w:t>
      </w:r>
      <w:r w:rsidRPr="00434D69">
        <w:rPr>
          <w:rFonts w:ascii="Times New Roman" w:hAnsi="Times New Roman" w:cs="Times New Roman"/>
          <w:sz w:val="24"/>
          <w:szCs w:val="24"/>
        </w:rPr>
        <w:t xml:space="preserve"> for the </w:t>
      </w:r>
      <w:r>
        <w:rPr>
          <w:rFonts w:ascii="Times New Roman" w:hAnsi="Times New Roman" w:cs="Times New Roman"/>
          <w:sz w:val="24"/>
          <w:szCs w:val="24"/>
        </w:rPr>
        <w:t>debt</w:t>
      </w:r>
      <w:r w:rsidRPr="00434D69">
        <w:rPr>
          <w:rFonts w:ascii="Times New Roman" w:hAnsi="Times New Roman" w:cs="Times New Roman"/>
          <w:sz w:val="24"/>
          <w:szCs w:val="24"/>
        </w:rPr>
        <w:t xml:space="preserve"> alleged to be </w:t>
      </w:r>
      <w:r>
        <w:rPr>
          <w:rFonts w:ascii="Times New Roman" w:hAnsi="Times New Roman" w:cs="Times New Roman"/>
          <w:sz w:val="24"/>
          <w:szCs w:val="24"/>
        </w:rPr>
        <w:t>due on foot of the “</w:t>
      </w:r>
      <w:r w:rsidRPr="0066734C">
        <w:rPr>
          <w:rFonts w:ascii="Times New Roman" w:hAnsi="Times New Roman" w:cs="Times New Roman"/>
          <w:i/>
          <w:sz w:val="24"/>
          <w:szCs w:val="24"/>
        </w:rPr>
        <w:t>Finance Documents</w:t>
      </w:r>
      <w:r>
        <w:rPr>
          <w:rFonts w:ascii="Times New Roman" w:hAnsi="Times New Roman" w:cs="Times New Roman"/>
          <w:sz w:val="24"/>
          <w:szCs w:val="24"/>
        </w:rPr>
        <w:t>”</w:t>
      </w:r>
      <w:r w:rsidRPr="00434D69">
        <w:rPr>
          <w:rFonts w:ascii="Times New Roman" w:hAnsi="Times New Roman" w:cs="Times New Roman"/>
          <w:sz w:val="24"/>
          <w:szCs w:val="24"/>
        </w:rPr>
        <w:t xml:space="preserve">.  The second arose from the settlement entered into between the Bank and CBRE and the </w:t>
      </w:r>
      <w:r>
        <w:rPr>
          <w:rFonts w:ascii="Times New Roman" w:hAnsi="Times New Roman" w:cs="Times New Roman"/>
          <w:sz w:val="24"/>
          <w:szCs w:val="24"/>
        </w:rPr>
        <w:t xml:space="preserve">Defendants’ </w:t>
      </w:r>
      <w:r w:rsidRPr="00434D69">
        <w:rPr>
          <w:rFonts w:ascii="Times New Roman" w:hAnsi="Times New Roman" w:cs="Times New Roman"/>
          <w:sz w:val="24"/>
          <w:szCs w:val="24"/>
        </w:rPr>
        <w:t>contention that the effect of the provisions of s</w:t>
      </w:r>
      <w:r>
        <w:rPr>
          <w:rFonts w:ascii="Times New Roman" w:hAnsi="Times New Roman" w:cs="Times New Roman"/>
          <w:sz w:val="24"/>
          <w:szCs w:val="24"/>
        </w:rPr>
        <w:t xml:space="preserve">ection </w:t>
      </w:r>
      <w:r w:rsidRPr="00434D69">
        <w:rPr>
          <w:rFonts w:ascii="Times New Roman" w:hAnsi="Times New Roman" w:cs="Times New Roman"/>
          <w:sz w:val="24"/>
          <w:szCs w:val="24"/>
        </w:rPr>
        <w:t xml:space="preserve">17(2) of the Civil Liability Act </w:t>
      </w:r>
      <w:r w:rsidRPr="00434D69">
        <w:rPr>
          <w:rFonts w:ascii="Times New Roman" w:hAnsi="Times New Roman" w:cs="Times New Roman"/>
          <w:sz w:val="24"/>
          <w:szCs w:val="24"/>
        </w:rPr>
        <w:lastRenderedPageBreak/>
        <w:t xml:space="preserve">1961 </w:t>
      </w:r>
      <w:r>
        <w:rPr>
          <w:rFonts w:ascii="Times New Roman" w:hAnsi="Times New Roman" w:cs="Times New Roman"/>
          <w:sz w:val="24"/>
          <w:szCs w:val="24"/>
        </w:rPr>
        <w:t>(</w:t>
      </w:r>
      <w:r w:rsidRPr="0066734C">
        <w:rPr>
          <w:rFonts w:ascii="Times New Roman" w:hAnsi="Times New Roman" w:cs="Times New Roman"/>
          <w:i/>
          <w:sz w:val="24"/>
          <w:szCs w:val="24"/>
        </w:rPr>
        <w:t>“the CLA</w:t>
      </w:r>
      <w:r>
        <w:rPr>
          <w:rFonts w:ascii="Times New Roman" w:hAnsi="Times New Roman" w:cs="Times New Roman"/>
          <w:sz w:val="24"/>
          <w:szCs w:val="24"/>
        </w:rPr>
        <w:t xml:space="preserve">”) </w:t>
      </w:r>
      <w:r w:rsidRPr="00434D69">
        <w:rPr>
          <w:rFonts w:ascii="Times New Roman" w:hAnsi="Times New Roman" w:cs="Times New Roman"/>
          <w:sz w:val="24"/>
          <w:szCs w:val="24"/>
        </w:rPr>
        <w:t xml:space="preserve">was that the Bank was - by reason of what was </w:t>
      </w:r>
      <w:r>
        <w:rPr>
          <w:rFonts w:ascii="Times New Roman" w:hAnsi="Times New Roman" w:cs="Times New Roman"/>
          <w:sz w:val="24"/>
          <w:szCs w:val="24"/>
        </w:rPr>
        <w:t>characterised</w:t>
      </w:r>
      <w:r w:rsidRPr="00434D69">
        <w:rPr>
          <w:rFonts w:ascii="Times New Roman" w:hAnsi="Times New Roman" w:cs="Times New Roman"/>
          <w:sz w:val="24"/>
          <w:szCs w:val="24"/>
        </w:rPr>
        <w:t xml:space="preserve"> as a compromise with a concurrent wrongdoer</w:t>
      </w:r>
      <w:r>
        <w:rPr>
          <w:rFonts w:ascii="Times New Roman" w:hAnsi="Times New Roman" w:cs="Times New Roman"/>
          <w:sz w:val="24"/>
          <w:szCs w:val="24"/>
        </w:rPr>
        <w:t xml:space="preserve"> (CBRE) </w:t>
      </w:r>
      <w:r w:rsidRPr="00434D69">
        <w:rPr>
          <w:rFonts w:ascii="Times New Roman" w:hAnsi="Times New Roman" w:cs="Times New Roman"/>
          <w:sz w:val="24"/>
          <w:szCs w:val="24"/>
        </w:rPr>
        <w:t xml:space="preserve"> - precluded from claiming from the </w:t>
      </w:r>
      <w:r>
        <w:rPr>
          <w:rFonts w:ascii="Times New Roman" w:hAnsi="Times New Roman" w:cs="Times New Roman"/>
          <w:sz w:val="24"/>
          <w:szCs w:val="24"/>
        </w:rPr>
        <w:t>D</w:t>
      </w:r>
      <w:r w:rsidRPr="00434D69">
        <w:rPr>
          <w:rFonts w:ascii="Times New Roman" w:hAnsi="Times New Roman" w:cs="Times New Roman"/>
          <w:sz w:val="24"/>
          <w:szCs w:val="24"/>
        </w:rPr>
        <w:t xml:space="preserve">efendants some or all of the debt. </w:t>
      </w:r>
    </w:p>
    <w:p w14:paraId="3B2A0DCB" w14:textId="77777777" w:rsidR="005D0736" w:rsidRDefault="005D0736" w:rsidP="005D0736">
      <w:pPr>
        <w:pStyle w:val="ListParagraph"/>
        <w:spacing w:after="0" w:line="480" w:lineRule="auto"/>
        <w:jc w:val="both"/>
        <w:rPr>
          <w:rFonts w:ascii="Times New Roman" w:hAnsi="Times New Roman" w:cs="Times New Roman"/>
          <w:sz w:val="24"/>
          <w:szCs w:val="24"/>
        </w:rPr>
      </w:pPr>
    </w:p>
    <w:p w14:paraId="575FE7E1" w14:textId="4AA6C42E" w:rsidR="005D0736" w:rsidRPr="00434D69" w:rsidRDefault="005D0736" w:rsidP="005D0736">
      <w:pPr>
        <w:pStyle w:val="ListParagraph"/>
        <w:numPr>
          <w:ilvl w:val="0"/>
          <w:numId w:val="14"/>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Both of these issues having been determined against the </w:t>
      </w:r>
      <w:r>
        <w:rPr>
          <w:rFonts w:ascii="Times New Roman" w:hAnsi="Times New Roman" w:cs="Times New Roman"/>
          <w:sz w:val="24"/>
          <w:szCs w:val="24"/>
        </w:rPr>
        <w:t>D</w:t>
      </w:r>
      <w:r w:rsidRPr="00434D69">
        <w:rPr>
          <w:rFonts w:ascii="Times New Roman" w:hAnsi="Times New Roman" w:cs="Times New Roman"/>
          <w:sz w:val="24"/>
          <w:szCs w:val="24"/>
        </w:rPr>
        <w:t>efendants</w:t>
      </w:r>
      <w:r>
        <w:rPr>
          <w:rFonts w:ascii="Times New Roman" w:hAnsi="Times New Roman" w:cs="Times New Roman"/>
          <w:sz w:val="24"/>
          <w:szCs w:val="24"/>
        </w:rPr>
        <w:t>,</w:t>
      </w:r>
      <w:r w:rsidRPr="00434D69">
        <w:rPr>
          <w:rFonts w:ascii="Times New Roman" w:hAnsi="Times New Roman" w:cs="Times New Roman"/>
          <w:sz w:val="24"/>
          <w:szCs w:val="24"/>
        </w:rPr>
        <w:t xml:space="preserve"> the </w:t>
      </w:r>
      <w:r>
        <w:rPr>
          <w:rFonts w:ascii="Times New Roman" w:hAnsi="Times New Roman" w:cs="Times New Roman"/>
          <w:sz w:val="24"/>
          <w:szCs w:val="24"/>
        </w:rPr>
        <w:t xml:space="preserve">High </w:t>
      </w:r>
      <w:r w:rsidRPr="00434D69">
        <w:rPr>
          <w:rFonts w:ascii="Times New Roman" w:hAnsi="Times New Roman" w:cs="Times New Roman"/>
          <w:sz w:val="24"/>
          <w:szCs w:val="24"/>
        </w:rPr>
        <w:t xml:space="preserve">Court (by Order dated 23 July 2020) granted judgment against the </w:t>
      </w:r>
      <w:r>
        <w:rPr>
          <w:rFonts w:ascii="Times New Roman" w:hAnsi="Times New Roman" w:cs="Times New Roman"/>
          <w:sz w:val="24"/>
          <w:szCs w:val="24"/>
        </w:rPr>
        <w:t>D</w:t>
      </w:r>
      <w:r w:rsidRPr="00434D69">
        <w:rPr>
          <w:rFonts w:ascii="Times New Roman" w:hAnsi="Times New Roman" w:cs="Times New Roman"/>
          <w:sz w:val="24"/>
          <w:szCs w:val="24"/>
        </w:rPr>
        <w:t>efendants jointly and severally in the sum of €22,947,202.85</w:t>
      </w:r>
      <w:r>
        <w:rPr>
          <w:rFonts w:ascii="Times New Roman" w:hAnsi="Times New Roman" w:cs="Times New Roman"/>
          <w:sz w:val="24"/>
          <w:szCs w:val="24"/>
        </w:rPr>
        <w:t xml:space="preserve">. The High Court also made </w:t>
      </w:r>
      <w:r w:rsidRPr="00434D69">
        <w:rPr>
          <w:rFonts w:ascii="Times New Roman" w:hAnsi="Times New Roman" w:cs="Times New Roman"/>
          <w:sz w:val="24"/>
          <w:szCs w:val="24"/>
        </w:rPr>
        <w:t xml:space="preserve">two declarations.  The first of these was to the effect that the </w:t>
      </w:r>
      <w:r>
        <w:rPr>
          <w:rFonts w:ascii="Times New Roman" w:hAnsi="Times New Roman" w:cs="Times New Roman"/>
          <w:sz w:val="24"/>
          <w:szCs w:val="24"/>
        </w:rPr>
        <w:t>D</w:t>
      </w:r>
      <w:r w:rsidRPr="00434D69">
        <w:rPr>
          <w:rFonts w:ascii="Times New Roman" w:hAnsi="Times New Roman" w:cs="Times New Roman"/>
          <w:sz w:val="24"/>
          <w:szCs w:val="24"/>
        </w:rPr>
        <w:t>efendants were</w:t>
      </w:r>
      <w:r w:rsidR="00C34E8D">
        <w:rPr>
          <w:rFonts w:ascii="Times New Roman" w:hAnsi="Times New Roman" w:cs="Times New Roman"/>
          <w:sz w:val="24"/>
          <w:szCs w:val="24"/>
        </w:rPr>
        <w:t xml:space="preserve"> </w:t>
      </w:r>
      <w:r w:rsidRPr="00434D69">
        <w:rPr>
          <w:rFonts w:ascii="Times New Roman" w:hAnsi="Times New Roman" w:cs="Times New Roman"/>
          <w:sz w:val="24"/>
          <w:szCs w:val="24"/>
        </w:rPr>
        <w:t>as of October 2014</w:t>
      </w:r>
      <w:r>
        <w:rPr>
          <w:rFonts w:ascii="Times New Roman" w:hAnsi="Times New Roman" w:cs="Times New Roman"/>
          <w:sz w:val="24"/>
          <w:szCs w:val="24"/>
        </w:rPr>
        <w:t>,</w:t>
      </w:r>
      <w:r w:rsidRPr="00434D69">
        <w:rPr>
          <w:rFonts w:ascii="Times New Roman" w:hAnsi="Times New Roman" w:cs="Times New Roman"/>
          <w:sz w:val="24"/>
          <w:szCs w:val="24"/>
        </w:rPr>
        <w:t xml:space="preserve"> and continue</w:t>
      </w:r>
      <w:r>
        <w:rPr>
          <w:rFonts w:ascii="Times New Roman" w:hAnsi="Times New Roman" w:cs="Times New Roman"/>
          <w:sz w:val="24"/>
          <w:szCs w:val="24"/>
        </w:rPr>
        <w:t>d</w:t>
      </w:r>
      <w:r w:rsidRPr="00434D69">
        <w:rPr>
          <w:rFonts w:ascii="Times New Roman" w:hAnsi="Times New Roman" w:cs="Times New Roman"/>
          <w:sz w:val="24"/>
          <w:szCs w:val="24"/>
        </w:rPr>
        <w:t xml:space="preserve"> to be</w:t>
      </w:r>
      <w:r>
        <w:rPr>
          <w:rFonts w:ascii="Times New Roman" w:hAnsi="Times New Roman" w:cs="Times New Roman"/>
          <w:sz w:val="24"/>
          <w:szCs w:val="24"/>
        </w:rPr>
        <w:t>,</w:t>
      </w:r>
      <w:r w:rsidRPr="00434D69">
        <w:rPr>
          <w:rFonts w:ascii="Times New Roman" w:hAnsi="Times New Roman" w:cs="Times New Roman"/>
          <w:sz w:val="24"/>
          <w:szCs w:val="24"/>
        </w:rPr>
        <w:t xml:space="preserve"> in breach of the Compromise Agreement.  The second was that the </w:t>
      </w:r>
      <w:r>
        <w:rPr>
          <w:rFonts w:ascii="Times New Roman" w:hAnsi="Times New Roman" w:cs="Times New Roman"/>
          <w:sz w:val="24"/>
          <w:szCs w:val="24"/>
        </w:rPr>
        <w:t>Receivers</w:t>
      </w:r>
      <w:r w:rsidRPr="00434D69">
        <w:rPr>
          <w:rFonts w:ascii="Times New Roman" w:hAnsi="Times New Roman" w:cs="Times New Roman"/>
          <w:sz w:val="24"/>
          <w:szCs w:val="24"/>
        </w:rPr>
        <w:t xml:space="preserve"> were</w:t>
      </w:r>
      <w:r>
        <w:rPr>
          <w:rFonts w:ascii="Times New Roman" w:hAnsi="Times New Roman" w:cs="Times New Roman"/>
          <w:sz w:val="24"/>
          <w:szCs w:val="24"/>
        </w:rPr>
        <w:t>,</w:t>
      </w:r>
      <w:r w:rsidRPr="00434D69">
        <w:rPr>
          <w:rFonts w:ascii="Times New Roman" w:hAnsi="Times New Roman" w:cs="Times New Roman"/>
          <w:sz w:val="24"/>
          <w:szCs w:val="24"/>
        </w:rPr>
        <w:t xml:space="preserve"> and continued to be</w:t>
      </w:r>
      <w:r>
        <w:rPr>
          <w:rFonts w:ascii="Times New Roman" w:hAnsi="Times New Roman" w:cs="Times New Roman"/>
          <w:sz w:val="24"/>
          <w:szCs w:val="24"/>
        </w:rPr>
        <w:t>,</w:t>
      </w:r>
      <w:r w:rsidRPr="00434D69">
        <w:rPr>
          <w:rFonts w:ascii="Times New Roman" w:hAnsi="Times New Roman" w:cs="Times New Roman"/>
          <w:sz w:val="24"/>
          <w:szCs w:val="24"/>
        </w:rPr>
        <w:t xml:space="preserve"> validly appointed as joint receivers over the </w:t>
      </w:r>
      <w:r>
        <w:rPr>
          <w:rFonts w:ascii="Times New Roman" w:hAnsi="Times New Roman" w:cs="Times New Roman"/>
          <w:sz w:val="24"/>
          <w:szCs w:val="24"/>
        </w:rPr>
        <w:t>Kilpeddar Lands.</w:t>
      </w:r>
    </w:p>
    <w:p w14:paraId="154F995A" w14:textId="77777777" w:rsidR="005D0736" w:rsidRPr="00434D69" w:rsidRDefault="005D0736" w:rsidP="005D0736">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29BAD9C7" w14:textId="77777777" w:rsidR="005D0736" w:rsidRPr="00434D69" w:rsidRDefault="005D0736" w:rsidP="005D0736">
      <w:pPr>
        <w:pStyle w:val="ListParagraph"/>
        <w:numPr>
          <w:ilvl w:val="0"/>
          <w:numId w:val="14"/>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The </w:t>
      </w:r>
      <w:r>
        <w:rPr>
          <w:rFonts w:ascii="Times New Roman" w:hAnsi="Times New Roman" w:cs="Times New Roman"/>
          <w:sz w:val="24"/>
          <w:szCs w:val="24"/>
        </w:rPr>
        <w:t xml:space="preserve">First Defendant </w:t>
      </w:r>
      <w:r w:rsidRPr="00434D69">
        <w:rPr>
          <w:rFonts w:ascii="Times New Roman" w:hAnsi="Times New Roman" w:cs="Times New Roman"/>
          <w:sz w:val="24"/>
          <w:szCs w:val="24"/>
        </w:rPr>
        <w:t xml:space="preserve">represented himself at the hearing in the High Court but appeared by solicitors and counsel </w:t>
      </w:r>
      <w:r>
        <w:rPr>
          <w:rFonts w:ascii="Times New Roman" w:hAnsi="Times New Roman" w:cs="Times New Roman"/>
          <w:sz w:val="24"/>
          <w:szCs w:val="24"/>
        </w:rPr>
        <w:t xml:space="preserve">before this Court on </w:t>
      </w:r>
      <w:r w:rsidRPr="00434D69">
        <w:rPr>
          <w:rFonts w:ascii="Times New Roman" w:hAnsi="Times New Roman" w:cs="Times New Roman"/>
          <w:sz w:val="24"/>
          <w:szCs w:val="24"/>
        </w:rPr>
        <w:t xml:space="preserve">appeal.  The </w:t>
      </w:r>
      <w:r>
        <w:rPr>
          <w:rFonts w:ascii="Times New Roman" w:hAnsi="Times New Roman" w:cs="Times New Roman"/>
          <w:sz w:val="24"/>
          <w:szCs w:val="24"/>
        </w:rPr>
        <w:t>Second and Third Def</w:t>
      </w:r>
      <w:r w:rsidRPr="00434D69">
        <w:rPr>
          <w:rFonts w:ascii="Times New Roman" w:hAnsi="Times New Roman" w:cs="Times New Roman"/>
          <w:sz w:val="24"/>
          <w:szCs w:val="24"/>
        </w:rPr>
        <w:t>endants were represented by solicitors and counsel throughout.</w:t>
      </w:r>
    </w:p>
    <w:p w14:paraId="00417719" w14:textId="77777777" w:rsidR="005D0736" w:rsidRPr="00434D69" w:rsidRDefault="005D0736" w:rsidP="005D0736">
      <w:pPr>
        <w:pStyle w:val="ListParagraph"/>
        <w:spacing w:after="0" w:line="480" w:lineRule="auto"/>
        <w:rPr>
          <w:rFonts w:ascii="Times New Roman" w:hAnsi="Times New Roman" w:cs="Times New Roman"/>
          <w:sz w:val="24"/>
          <w:szCs w:val="24"/>
        </w:rPr>
      </w:pPr>
    </w:p>
    <w:p w14:paraId="6A82985A" w14:textId="77777777" w:rsidR="005D0736" w:rsidRPr="00434D69" w:rsidRDefault="005D0736" w:rsidP="00272396">
      <w:pPr>
        <w:pStyle w:val="Heading2"/>
      </w:pPr>
      <w:r w:rsidRPr="00434D69">
        <w:t xml:space="preserve">The High Court </w:t>
      </w:r>
      <w:r>
        <w:t>Judgments</w:t>
      </w:r>
    </w:p>
    <w:p w14:paraId="2F1B9D39" w14:textId="77777777" w:rsidR="005D0736" w:rsidRPr="00434D69" w:rsidRDefault="005D0736" w:rsidP="005D0736">
      <w:pPr>
        <w:spacing w:after="0" w:line="480" w:lineRule="auto"/>
        <w:rPr>
          <w:rFonts w:ascii="Times New Roman" w:hAnsi="Times New Roman" w:cs="Times New Roman"/>
          <w:sz w:val="24"/>
          <w:szCs w:val="24"/>
        </w:rPr>
      </w:pPr>
    </w:p>
    <w:p w14:paraId="1FFA952F" w14:textId="4A6A2F08" w:rsidR="005D0736" w:rsidRPr="00996ADD" w:rsidRDefault="005D0736" w:rsidP="00996ADD">
      <w:pPr>
        <w:pStyle w:val="ListParagraph"/>
        <w:numPr>
          <w:ilvl w:val="0"/>
          <w:numId w:val="14"/>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In a </w:t>
      </w:r>
      <w:r>
        <w:rPr>
          <w:rFonts w:ascii="Times New Roman" w:hAnsi="Times New Roman" w:cs="Times New Roman"/>
          <w:sz w:val="24"/>
          <w:szCs w:val="24"/>
        </w:rPr>
        <w:t xml:space="preserve">careful and comprehensive </w:t>
      </w:r>
      <w:r w:rsidR="00C34E8D">
        <w:rPr>
          <w:rFonts w:ascii="Times New Roman" w:hAnsi="Times New Roman" w:cs="Times New Roman"/>
          <w:sz w:val="24"/>
          <w:szCs w:val="24"/>
        </w:rPr>
        <w:t>J</w:t>
      </w:r>
      <w:r w:rsidRPr="00434D69">
        <w:rPr>
          <w:rFonts w:ascii="Times New Roman" w:hAnsi="Times New Roman" w:cs="Times New Roman"/>
          <w:sz w:val="24"/>
          <w:szCs w:val="24"/>
        </w:rPr>
        <w:t>udgment</w:t>
      </w:r>
      <w:r>
        <w:rPr>
          <w:rFonts w:ascii="Times New Roman" w:hAnsi="Times New Roman" w:cs="Times New Roman"/>
          <w:sz w:val="24"/>
          <w:szCs w:val="24"/>
        </w:rPr>
        <w:t xml:space="preserve"> (</w:t>
      </w:r>
      <w:r w:rsidRPr="00434D69">
        <w:rPr>
          <w:rFonts w:ascii="Times New Roman" w:hAnsi="Times New Roman" w:cs="Times New Roman"/>
          <w:sz w:val="24"/>
          <w:szCs w:val="24"/>
        </w:rPr>
        <w:t xml:space="preserve">which he followed with a second judgment dealing with the implications of s.17(2) </w:t>
      </w:r>
      <w:r w:rsidR="00A11002">
        <w:rPr>
          <w:rFonts w:ascii="Times New Roman" w:hAnsi="Times New Roman" w:cs="Times New Roman"/>
          <w:sz w:val="24"/>
          <w:szCs w:val="24"/>
        </w:rPr>
        <w:t>CLA</w:t>
      </w:r>
      <w:r w:rsidRPr="00434D69">
        <w:rPr>
          <w:rFonts w:ascii="Times New Roman" w:hAnsi="Times New Roman" w:cs="Times New Roman"/>
          <w:sz w:val="24"/>
          <w:szCs w:val="24"/>
        </w:rPr>
        <w:t xml:space="preserve">), </w:t>
      </w:r>
      <w:r w:rsidR="00C34E8D">
        <w:rPr>
          <w:rFonts w:ascii="Times New Roman" w:hAnsi="Times New Roman" w:cs="Times New Roman"/>
          <w:sz w:val="24"/>
          <w:szCs w:val="24"/>
        </w:rPr>
        <w:t xml:space="preserve">the </w:t>
      </w:r>
      <w:r w:rsidR="009A0E41">
        <w:rPr>
          <w:rFonts w:ascii="Times New Roman" w:hAnsi="Times New Roman" w:cs="Times New Roman"/>
          <w:sz w:val="24"/>
          <w:szCs w:val="24"/>
        </w:rPr>
        <w:t xml:space="preserve">Judge </w:t>
      </w:r>
      <w:r w:rsidR="009A0E41" w:rsidRPr="00434D69">
        <w:rPr>
          <w:rFonts w:ascii="Times New Roman" w:hAnsi="Times New Roman" w:cs="Times New Roman"/>
          <w:sz w:val="24"/>
          <w:szCs w:val="24"/>
        </w:rPr>
        <w:t>rejected</w:t>
      </w:r>
      <w:r w:rsidRPr="00434D69">
        <w:rPr>
          <w:rFonts w:ascii="Times New Roman" w:hAnsi="Times New Roman" w:cs="Times New Roman"/>
          <w:sz w:val="24"/>
          <w:szCs w:val="24"/>
        </w:rPr>
        <w:t xml:space="preserve"> the case advanced by the </w:t>
      </w:r>
      <w:r>
        <w:rPr>
          <w:rFonts w:ascii="Times New Roman" w:hAnsi="Times New Roman" w:cs="Times New Roman"/>
          <w:sz w:val="24"/>
          <w:szCs w:val="24"/>
        </w:rPr>
        <w:t>D</w:t>
      </w:r>
      <w:r w:rsidRPr="00434D69">
        <w:rPr>
          <w:rFonts w:ascii="Times New Roman" w:hAnsi="Times New Roman" w:cs="Times New Roman"/>
          <w:sz w:val="24"/>
          <w:szCs w:val="24"/>
        </w:rPr>
        <w:t>efendants under these two heading</w:t>
      </w:r>
      <w:r>
        <w:rPr>
          <w:rFonts w:ascii="Times New Roman" w:hAnsi="Times New Roman" w:cs="Times New Roman"/>
          <w:sz w:val="24"/>
          <w:szCs w:val="24"/>
        </w:rPr>
        <w:t xml:space="preserve">s.  </w:t>
      </w:r>
      <w:r w:rsidRPr="00434D69">
        <w:rPr>
          <w:rFonts w:ascii="Times New Roman" w:hAnsi="Times New Roman" w:cs="Times New Roman"/>
          <w:sz w:val="24"/>
          <w:szCs w:val="24"/>
        </w:rPr>
        <w:t xml:space="preserve">It is not necessary here to repeat the </w:t>
      </w:r>
      <w:r>
        <w:rPr>
          <w:rFonts w:ascii="Times New Roman" w:hAnsi="Times New Roman" w:cs="Times New Roman"/>
          <w:sz w:val="24"/>
          <w:szCs w:val="24"/>
        </w:rPr>
        <w:t xml:space="preserve">detailed </w:t>
      </w:r>
      <w:r w:rsidRPr="00434D69">
        <w:rPr>
          <w:rFonts w:ascii="Times New Roman" w:hAnsi="Times New Roman" w:cs="Times New Roman"/>
          <w:sz w:val="24"/>
          <w:szCs w:val="24"/>
        </w:rPr>
        <w:t xml:space="preserve">analysis of fact undertaken by the </w:t>
      </w:r>
      <w:r>
        <w:rPr>
          <w:rFonts w:ascii="Times New Roman" w:hAnsi="Times New Roman" w:cs="Times New Roman"/>
          <w:sz w:val="24"/>
          <w:szCs w:val="24"/>
        </w:rPr>
        <w:t>J</w:t>
      </w:r>
      <w:r w:rsidRPr="00434D69">
        <w:rPr>
          <w:rFonts w:ascii="Times New Roman" w:hAnsi="Times New Roman" w:cs="Times New Roman"/>
          <w:sz w:val="24"/>
          <w:szCs w:val="24"/>
        </w:rPr>
        <w:t>udge.  His conclusions can be summarised as follows.</w:t>
      </w:r>
    </w:p>
    <w:p w14:paraId="6B39DF06" w14:textId="77777777" w:rsidR="005D0736" w:rsidRPr="00434D69" w:rsidRDefault="005D0736" w:rsidP="005D0736">
      <w:pPr>
        <w:pStyle w:val="ListParagraph"/>
        <w:numPr>
          <w:ilvl w:val="0"/>
          <w:numId w:val="14"/>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lastRenderedPageBreak/>
        <w:t xml:space="preserve">First, he held that as a matter of construction of the Compromise Agreement (and in particular Clauses 3.1.1 and 4), a breach of the provisions of that </w:t>
      </w:r>
      <w:r>
        <w:rPr>
          <w:rFonts w:ascii="Times New Roman" w:hAnsi="Times New Roman" w:cs="Times New Roman"/>
          <w:sz w:val="24"/>
          <w:szCs w:val="24"/>
        </w:rPr>
        <w:t>A</w:t>
      </w:r>
      <w:r w:rsidRPr="00434D69">
        <w:rPr>
          <w:rFonts w:ascii="Times New Roman" w:hAnsi="Times New Roman" w:cs="Times New Roman"/>
          <w:sz w:val="24"/>
          <w:szCs w:val="24"/>
        </w:rPr>
        <w:t xml:space="preserve">greement brought it to an end </w:t>
      </w:r>
      <w:r>
        <w:rPr>
          <w:rFonts w:ascii="Times New Roman" w:hAnsi="Times New Roman" w:cs="Times New Roman"/>
          <w:sz w:val="24"/>
          <w:szCs w:val="24"/>
        </w:rPr>
        <w:t xml:space="preserve">and/or meant that </w:t>
      </w:r>
      <w:r w:rsidRPr="00434D69">
        <w:rPr>
          <w:rFonts w:ascii="Times New Roman" w:hAnsi="Times New Roman" w:cs="Times New Roman"/>
          <w:sz w:val="24"/>
          <w:szCs w:val="24"/>
        </w:rPr>
        <w:t xml:space="preserve">the debts of the </w:t>
      </w:r>
      <w:r>
        <w:rPr>
          <w:rFonts w:ascii="Times New Roman" w:hAnsi="Times New Roman" w:cs="Times New Roman"/>
          <w:sz w:val="24"/>
          <w:szCs w:val="24"/>
        </w:rPr>
        <w:t>D</w:t>
      </w:r>
      <w:r w:rsidRPr="00434D69">
        <w:rPr>
          <w:rFonts w:ascii="Times New Roman" w:hAnsi="Times New Roman" w:cs="Times New Roman"/>
          <w:sz w:val="24"/>
          <w:szCs w:val="24"/>
        </w:rPr>
        <w:t xml:space="preserve">efendants were not compromised or written off.  In consequence, he </w:t>
      </w:r>
      <w:r>
        <w:rPr>
          <w:rFonts w:ascii="Times New Roman" w:hAnsi="Times New Roman" w:cs="Times New Roman"/>
          <w:sz w:val="24"/>
          <w:szCs w:val="24"/>
        </w:rPr>
        <w:t>held</w:t>
      </w:r>
      <w:r w:rsidRPr="00434D69">
        <w:rPr>
          <w:rFonts w:ascii="Times New Roman" w:hAnsi="Times New Roman" w:cs="Times New Roman"/>
          <w:sz w:val="24"/>
          <w:szCs w:val="24"/>
        </w:rPr>
        <w:t xml:space="preserve">, the Bank would thereafter be entitled to pursue the </w:t>
      </w:r>
      <w:r>
        <w:rPr>
          <w:rFonts w:ascii="Times New Roman" w:hAnsi="Times New Roman" w:cs="Times New Roman"/>
          <w:sz w:val="24"/>
          <w:szCs w:val="24"/>
        </w:rPr>
        <w:t>De</w:t>
      </w:r>
      <w:r w:rsidRPr="00434D69">
        <w:rPr>
          <w:rFonts w:ascii="Times New Roman" w:hAnsi="Times New Roman" w:cs="Times New Roman"/>
          <w:sz w:val="24"/>
          <w:szCs w:val="24"/>
        </w:rPr>
        <w:t>fendants for th</w:t>
      </w:r>
      <w:r>
        <w:rPr>
          <w:rFonts w:ascii="Times New Roman" w:hAnsi="Times New Roman" w:cs="Times New Roman"/>
          <w:sz w:val="24"/>
          <w:szCs w:val="24"/>
        </w:rPr>
        <w:t xml:space="preserve">ose debts </w:t>
      </w:r>
      <w:r w:rsidRPr="00434D69">
        <w:rPr>
          <w:rFonts w:ascii="Times New Roman" w:hAnsi="Times New Roman" w:cs="Times New Roman"/>
          <w:sz w:val="24"/>
          <w:szCs w:val="24"/>
        </w:rPr>
        <w:t>(</w:t>
      </w:r>
      <w:r>
        <w:rPr>
          <w:rFonts w:ascii="Times New Roman" w:hAnsi="Times New Roman" w:cs="Times New Roman"/>
          <w:sz w:val="24"/>
          <w:szCs w:val="24"/>
        </w:rPr>
        <w:t xml:space="preserve">Judgment, </w:t>
      </w:r>
      <w:r w:rsidRPr="00434D69">
        <w:rPr>
          <w:rFonts w:ascii="Times New Roman" w:hAnsi="Times New Roman" w:cs="Times New Roman"/>
          <w:sz w:val="24"/>
          <w:szCs w:val="24"/>
        </w:rPr>
        <w:t>para. 270).</w:t>
      </w:r>
    </w:p>
    <w:p w14:paraId="262DD6CD" w14:textId="77777777" w:rsidR="005D0736" w:rsidRPr="00434D69" w:rsidRDefault="005D0736" w:rsidP="005D0736">
      <w:pPr>
        <w:pStyle w:val="ListParagraph"/>
        <w:spacing w:after="0" w:line="480" w:lineRule="auto"/>
        <w:rPr>
          <w:rFonts w:ascii="Times New Roman" w:hAnsi="Times New Roman" w:cs="Times New Roman"/>
          <w:sz w:val="24"/>
          <w:szCs w:val="24"/>
        </w:rPr>
      </w:pPr>
    </w:p>
    <w:p w14:paraId="4796466C" w14:textId="669B15A1" w:rsidR="005D0736" w:rsidRPr="00434D69" w:rsidRDefault="005D0736" w:rsidP="005D0736">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From there</w:t>
      </w:r>
      <w:r w:rsidRPr="00434D69">
        <w:rPr>
          <w:rFonts w:ascii="Times New Roman" w:hAnsi="Times New Roman" w:cs="Times New Roman"/>
          <w:sz w:val="24"/>
          <w:szCs w:val="24"/>
        </w:rPr>
        <w:t xml:space="preserve">, he found that the </w:t>
      </w:r>
      <w:r>
        <w:rPr>
          <w:rFonts w:ascii="Times New Roman" w:hAnsi="Times New Roman" w:cs="Times New Roman"/>
          <w:sz w:val="24"/>
          <w:szCs w:val="24"/>
        </w:rPr>
        <w:t>D</w:t>
      </w:r>
      <w:r w:rsidRPr="00434D69">
        <w:rPr>
          <w:rFonts w:ascii="Times New Roman" w:hAnsi="Times New Roman" w:cs="Times New Roman"/>
          <w:sz w:val="24"/>
          <w:szCs w:val="24"/>
        </w:rPr>
        <w:t>efendants did breach the Compromise Agreement.  While observing that he did not propose to ‘</w:t>
      </w:r>
      <w:r w:rsidRPr="00434D69">
        <w:rPr>
          <w:rFonts w:ascii="Times New Roman" w:hAnsi="Times New Roman" w:cs="Times New Roman"/>
          <w:i/>
          <w:sz w:val="24"/>
          <w:szCs w:val="24"/>
        </w:rPr>
        <w:t>go through every single breach</w:t>
      </w:r>
      <w:r w:rsidR="00B67C7D">
        <w:rPr>
          <w:rFonts w:ascii="Times New Roman" w:hAnsi="Times New Roman" w:cs="Times New Roman"/>
          <w:i/>
          <w:sz w:val="24"/>
          <w:szCs w:val="24"/>
        </w:rPr>
        <w:t>’</w:t>
      </w:r>
      <w:r w:rsidRPr="00434D69">
        <w:rPr>
          <w:rFonts w:ascii="Times New Roman" w:hAnsi="Times New Roman" w:cs="Times New Roman"/>
          <w:sz w:val="24"/>
          <w:szCs w:val="24"/>
        </w:rPr>
        <w:t>, he instanced the following (as found by him on the evidence):</w:t>
      </w:r>
    </w:p>
    <w:p w14:paraId="6B186FCE" w14:textId="77777777" w:rsidR="005D0736" w:rsidRPr="00434D69" w:rsidRDefault="005D0736" w:rsidP="005D0736">
      <w:pPr>
        <w:pStyle w:val="ListParagraph"/>
        <w:spacing w:after="0" w:line="480" w:lineRule="auto"/>
        <w:rPr>
          <w:rFonts w:ascii="Times New Roman" w:hAnsi="Times New Roman" w:cs="Times New Roman"/>
          <w:sz w:val="24"/>
          <w:szCs w:val="24"/>
        </w:rPr>
      </w:pPr>
    </w:p>
    <w:p w14:paraId="2386121F" w14:textId="5B9BF3C3" w:rsidR="005D0736" w:rsidRPr="00434D69" w:rsidRDefault="005D0736" w:rsidP="005D0736">
      <w:pPr>
        <w:pStyle w:val="ListParagraph"/>
        <w:numPr>
          <w:ilvl w:val="0"/>
          <w:numId w:val="2"/>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The </w:t>
      </w:r>
      <w:r>
        <w:rPr>
          <w:rFonts w:ascii="Times New Roman" w:hAnsi="Times New Roman" w:cs="Times New Roman"/>
          <w:sz w:val="24"/>
          <w:szCs w:val="24"/>
        </w:rPr>
        <w:t>T</w:t>
      </w:r>
      <w:r w:rsidRPr="00434D69">
        <w:rPr>
          <w:rFonts w:ascii="Times New Roman" w:hAnsi="Times New Roman" w:cs="Times New Roman"/>
          <w:sz w:val="24"/>
          <w:szCs w:val="24"/>
        </w:rPr>
        <w:t xml:space="preserve">hird </w:t>
      </w:r>
      <w:r>
        <w:rPr>
          <w:rFonts w:ascii="Times New Roman" w:hAnsi="Times New Roman" w:cs="Times New Roman"/>
          <w:sz w:val="24"/>
          <w:szCs w:val="24"/>
        </w:rPr>
        <w:t>D</w:t>
      </w:r>
      <w:r w:rsidRPr="00434D69">
        <w:rPr>
          <w:rFonts w:ascii="Times New Roman" w:hAnsi="Times New Roman" w:cs="Times New Roman"/>
          <w:sz w:val="24"/>
          <w:szCs w:val="24"/>
        </w:rPr>
        <w:t>efendant had failed to disclose his interest in a property at Coill Bhruach</w:t>
      </w:r>
      <w:r>
        <w:rPr>
          <w:rFonts w:ascii="Times New Roman" w:hAnsi="Times New Roman" w:cs="Times New Roman"/>
          <w:sz w:val="24"/>
          <w:szCs w:val="24"/>
        </w:rPr>
        <w:t>á</w:t>
      </w:r>
      <w:r w:rsidRPr="00434D69">
        <w:rPr>
          <w:rFonts w:ascii="Times New Roman" w:hAnsi="Times New Roman" w:cs="Times New Roman"/>
          <w:sz w:val="24"/>
          <w:szCs w:val="24"/>
        </w:rPr>
        <w:t>in County Galway</w:t>
      </w:r>
      <w:r>
        <w:rPr>
          <w:rFonts w:ascii="Times New Roman" w:hAnsi="Times New Roman" w:cs="Times New Roman"/>
          <w:sz w:val="24"/>
          <w:szCs w:val="24"/>
        </w:rPr>
        <w:t>. (Judgment, paras 272-274)</w:t>
      </w:r>
    </w:p>
    <w:p w14:paraId="6971F278" w14:textId="77777777" w:rsidR="005D0736" w:rsidRPr="00434D69" w:rsidRDefault="005D0736" w:rsidP="005D0736">
      <w:pPr>
        <w:pStyle w:val="ListParagraph"/>
        <w:spacing w:after="0" w:line="480" w:lineRule="auto"/>
        <w:ind w:left="2160"/>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536FE32C" w14:textId="77777777" w:rsidR="005D0736" w:rsidRPr="00434D69" w:rsidRDefault="005D0736" w:rsidP="005D0736">
      <w:pPr>
        <w:pStyle w:val="ListParagraph"/>
        <w:numPr>
          <w:ilvl w:val="0"/>
          <w:numId w:val="2"/>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The </w:t>
      </w:r>
      <w:r>
        <w:rPr>
          <w:rFonts w:ascii="Times New Roman" w:hAnsi="Times New Roman" w:cs="Times New Roman"/>
          <w:sz w:val="24"/>
          <w:szCs w:val="24"/>
        </w:rPr>
        <w:t>D</w:t>
      </w:r>
      <w:r w:rsidRPr="00434D69">
        <w:rPr>
          <w:rFonts w:ascii="Times New Roman" w:hAnsi="Times New Roman" w:cs="Times New Roman"/>
          <w:sz w:val="24"/>
          <w:szCs w:val="24"/>
        </w:rPr>
        <w:t>efendants had, collectively, failed to comply with their obligation under clause 3.6.1(c) of the Compromise Agreement to instruct the selling agent to liaise fully with and report and disclose fully and frankly to the Bank all details of the sales process and any negotiations relating to that process</w:t>
      </w:r>
      <w:r>
        <w:rPr>
          <w:rFonts w:ascii="Times New Roman" w:hAnsi="Times New Roman" w:cs="Times New Roman"/>
          <w:sz w:val="24"/>
          <w:szCs w:val="24"/>
        </w:rPr>
        <w:t>.</w:t>
      </w:r>
      <w:r w:rsidRPr="00401051">
        <w:rPr>
          <w:rFonts w:ascii="Times New Roman" w:hAnsi="Times New Roman" w:cs="Times New Roman"/>
          <w:sz w:val="24"/>
          <w:szCs w:val="24"/>
        </w:rPr>
        <w:t xml:space="preserve"> </w:t>
      </w:r>
      <w:r>
        <w:rPr>
          <w:rFonts w:ascii="Times New Roman" w:hAnsi="Times New Roman" w:cs="Times New Roman"/>
          <w:sz w:val="24"/>
          <w:szCs w:val="24"/>
        </w:rPr>
        <w:t>(Judgment, paras 275-279)</w:t>
      </w:r>
    </w:p>
    <w:p w14:paraId="066AF950" w14:textId="77777777" w:rsidR="005D0736" w:rsidRPr="00434D69" w:rsidRDefault="005D0736" w:rsidP="005D0736">
      <w:pPr>
        <w:pStyle w:val="ListParagraph"/>
        <w:spacing w:after="0" w:line="480" w:lineRule="auto"/>
        <w:rPr>
          <w:rFonts w:ascii="Times New Roman" w:hAnsi="Times New Roman" w:cs="Times New Roman"/>
          <w:sz w:val="24"/>
          <w:szCs w:val="24"/>
        </w:rPr>
      </w:pPr>
    </w:p>
    <w:p w14:paraId="6699217C" w14:textId="166E2CE5" w:rsidR="005D0736" w:rsidRPr="0093356E" w:rsidRDefault="005D0736" w:rsidP="0093356E">
      <w:pPr>
        <w:pStyle w:val="ListParagraph"/>
        <w:numPr>
          <w:ilvl w:val="0"/>
          <w:numId w:val="2"/>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If heads of agreement with Granja existed, the </w:t>
      </w:r>
      <w:r>
        <w:rPr>
          <w:rFonts w:ascii="Times New Roman" w:hAnsi="Times New Roman" w:cs="Times New Roman"/>
          <w:sz w:val="24"/>
          <w:szCs w:val="24"/>
        </w:rPr>
        <w:t>De</w:t>
      </w:r>
      <w:r w:rsidRPr="00434D69">
        <w:rPr>
          <w:rFonts w:ascii="Times New Roman" w:hAnsi="Times New Roman" w:cs="Times New Roman"/>
          <w:sz w:val="24"/>
          <w:szCs w:val="24"/>
        </w:rPr>
        <w:t>fendants were in breach of their resulting obligation to disclose them to the Bank</w:t>
      </w:r>
      <w:r>
        <w:rPr>
          <w:rFonts w:ascii="Times New Roman" w:hAnsi="Times New Roman" w:cs="Times New Roman"/>
          <w:sz w:val="24"/>
          <w:szCs w:val="24"/>
        </w:rPr>
        <w:t xml:space="preserve"> (Judgment, para 278)</w:t>
      </w:r>
      <w:r w:rsidR="007C06CF">
        <w:rPr>
          <w:rFonts w:ascii="Times New Roman" w:hAnsi="Times New Roman" w:cs="Times New Roman"/>
          <w:sz w:val="24"/>
          <w:szCs w:val="24"/>
        </w:rPr>
        <w:t xml:space="preserve">. In reaching that conclusion, the Judge specifically rejected </w:t>
      </w:r>
      <w:r w:rsidR="007C06CF" w:rsidRPr="007C06CF">
        <w:rPr>
          <w:rFonts w:ascii="Times New Roman" w:hAnsi="Times New Roman" w:cs="Times New Roman"/>
          <w:sz w:val="24"/>
          <w:szCs w:val="24"/>
        </w:rPr>
        <w:t xml:space="preserve">the evidence of the Second and Third </w:t>
      </w:r>
      <w:r w:rsidR="007C06CF">
        <w:rPr>
          <w:rFonts w:ascii="Times New Roman" w:hAnsi="Times New Roman" w:cs="Times New Roman"/>
          <w:sz w:val="24"/>
          <w:szCs w:val="24"/>
        </w:rPr>
        <w:t>Defendants to the contrary.</w:t>
      </w:r>
    </w:p>
    <w:p w14:paraId="1BA68C55" w14:textId="6699A584" w:rsidR="005D0736" w:rsidRPr="00434D69" w:rsidRDefault="005D0736" w:rsidP="005D0736">
      <w:pPr>
        <w:pStyle w:val="ListParagraph"/>
        <w:numPr>
          <w:ilvl w:val="0"/>
          <w:numId w:val="2"/>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lastRenderedPageBreak/>
        <w:t xml:space="preserve">The </w:t>
      </w:r>
      <w:r>
        <w:rPr>
          <w:rFonts w:ascii="Times New Roman" w:hAnsi="Times New Roman" w:cs="Times New Roman"/>
          <w:sz w:val="24"/>
          <w:szCs w:val="24"/>
        </w:rPr>
        <w:t>T</w:t>
      </w:r>
      <w:r w:rsidRPr="00434D69">
        <w:rPr>
          <w:rFonts w:ascii="Times New Roman" w:hAnsi="Times New Roman" w:cs="Times New Roman"/>
          <w:sz w:val="24"/>
          <w:szCs w:val="24"/>
        </w:rPr>
        <w:t>hird</w:t>
      </w:r>
      <w:r>
        <w:rPr>
          <w:rFonts w:ascii="Times New Roman" w:hAnsi="Times New Roman" w:cs="Times New Roman"/>
          <w:sz w:val="24"/>
          <w:szCs w:val="24"/>
        </w:rPr>
        <w:t xml:space="preserve"> D</w:t>
      </w:r>
      <w:r w:rsidRPr="00434D69">
        <w:rPr>
          <w:rFonts w:ascii="Times New Roman" w:hAnsi="Times New Roman" w:cs="Times New Roman"/>
          <w:sz w:val="24"/>
          <w:szCs w:val="24"/>
        </w:rPr>
        <w:t>efendant had breached the confidentiality provision in the Compromise Agreement (clause 5.1) by disclosing the provisions of the Agreement to a Mr. Feehily, a director of Granja</w:t>
      </w:r>
      <w:r>
        <w:rPr>
          <w:rFonts w:ascii="Times New Roman" w:hAnsi="Times New Roman" w:cs="Times New Roman"/>
          <w:sz w:val="24"/>
          <w:szCs w:val="24"/>
        </w:rPr>
        <w:t>. (Judgment, paras 280-282)</w:t>
      </w:r>
      <w:r w:rsidR="00805079">
        <w:rPr>
          <w:rFonts w:ascii="Times New Roman" w:hAnsi="Times New Roman" w:cs="Times New Roman"/>
          <w:sz w:val="24"/>
          <w:szCs w:val="24"/>
        </w:rPr>
        <w:t>.</w:t>
      </w:r>
    </w:p>
    <w:p w14:paraId="3EEB6560" w14:textId="77777777" w:rsidR="00FF2743" w:rsidRPr="00434D69" w:rsidRDefault="00FF2743" w:rsidP="00434D69">
      <w:pPr>
        <w:pStyle w:val="ListParagraph"/>
        <w:spacing w:after="0" w:line="480" w:lineRule="auto"/>
        <w:rPr>
          <w:rFonts w:ascii="Times New Roman" w:hAnsi="Times New Roman" w:cs="Times New Roman"/>
          <w:sz w:val="24"/>
          <w:szCs w:val="24"/>
        </w:rPr>
      </w:pPr>
    </w:p>
    <w:p w14:paraId="679CE818" w14:textId="0F9BEE94" w:rsidR="00FF2743" w:rsidRPr="00434D69" w:rsidRDefault="00FF2743" w:rsidP="00434D69">
      <w:pPr>
        <w:pStyle w:val="ListParagraph"/>
        <w:numPr>
          <w:ilvl w:val="0"/>
          <w:numId w:val="2"/>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The </w:t>
      </w:r>
      <w:r w:rsidR="005D0736">
        <w:rPr>
          <w:rFonts w:ascii="Times New Roman" w:hAnsi="Times New Roman" w:cs="Times New Roman"/>
          <w:sz w:val="24"/>
          <w:szCs w:val="24"/>
        </w:rPr>
        <w:t>F</w:t>
      </w:r>
      <w:r w:rsidRPr="00434D69">
        <w:rPr>
          <w:rFonts w:ascii="Times New Roman" w:hAnsi="Times New Roman" w:cs="Times New Roman"/>
          <w:sz w:val="24"/>
          <w:szCs w:val="24"/>
        </w:rPr>
        <w:t xml:space="preserve">irst </w:t>
      </w:r>
      <w:r w:rsidR="005D0736">
        <w:rPr>
          <w:rFonts w:ascii="Times New Roman" w:hAnsi="Times New Roman" w:cs="Times New Roman"/>
          <w:sz w:val="24"/>
          <w:szCs w:val="24"/>
        </w:rPr>
        <w:t>D</w:t>
      </w:r>
      <w:r w:rsidRPr="00434D69">
        <w:rPr>
          <w:rFonts w:ascii="Times New Roman" w:hAnsi="Times New Roman" w:cs="Times New Roman"/>
          <w:sz w:val="24"/>
          <w:szCs w:val="24"/>
        </w:rPr>
        <w:t xml:space="preserve">efendant breached the provisions of clause 3.6.4 of the Compromise Agreement by failing to provide confirmation of insurance on the properties specified in </w:t>
      </w:r>
      <w:r w:rsidR="005D0736">
        <w:rPr>
          <w:rFonts w:ascii="Times New Roman" w:hAnsi="Times New Roman" w:cs="Times New Roman"/>
          <w:sz w:val="24"/>
          <w:szCs w:val="24"/>
        </w:rPr>
        <w:t>the</w:t>
      </w:r>
      <w:r w:rsidRPr="00434D69">
        <w:rPr>
          <w:rFonts w:ascii="Times New Roman" w:hAnsi="Times New Roman" w:cs="Times New Roman"/>
          <w:sz w:val="24"/>
          <w:szCs w:val="24"/>
        </w:rPr>
        <w:t xml:space="preserve"> agreement</w:t>
      </w:r>
      <w:r w:rsidR="00BA3DFA">
        <w:rPr>
          <w:rFonts w:ascii="Times New Roman" w:hAnsi="Times New Roman" w:cs="Times New Roman"/>
          <w:sz w:val="24"/>
          <w:szCs w:val="24"/>
        </w:rPr>
        <w:t xml:space="preserve"> (</w:t>
      </w:r>
      <w:r w:rsidR="005D0736">
        <w:rPr>
          <w:rFonts w:ascii="Times New Roman" w:hAnsi="Times New Roman" w:cs="Times New Roman"/>
          <w:sz w:val="24"/>
          <w:szCs w:val="24"/>
        </w:rPr>
        <w:t xml:space="preserve">Judgment, </w:t>
      </w:r>
      <w:r w:rsidR="00BA3DFA">
        <w:rPr>
          <w:rFonts w:ascii="Times New Roman" w:hAnsi="Times New Roman" w:cs="Times New Roman"/>
          <w:sz w:val="24"/>
          <w:szCs w:val="24"/>
        </w:rPr>
        <w:t>para. 283)</w:t>
      </w:r>
      <w:r w:rsidR="002772B3">
        <w:rPr>
          <w:rFonts w:ascii="Times New Roman" w:hAnsi="Times New Roman" w:cs="Times New Roman"/>
          <w:sz w:val="24"/>
          <w:szCs w:val="24"/>
        </w:rPr>
        <w:t>.</w:t>
      </w:r>
    </w:p>
    <w:p w14:paraId="0980C0DB" w14:textId="77777777" w:rsidR="00FF2743" w:rsidRPr="00434D69" w:rsidRDefault="00FF2743" w:rsidP="00434D69">
      <w:pPr>
        <w:pStyle w:val="ListParagraph"/>
        <w:spacing w:after="0" w:line="480" w:lineRule="auto"/>
        <w:rPr>
          <w:rFonts w:ascii="Times New Roman" w:hAnsi="Times New Roman" w:cs="Times New Roman"/>
          <w:sz w:val="24"/>
          <w:szCs w:val="24"/>
        </w:rPr>
      </w:pPr>
    </w:p>
    <w:p w14:paraId="2B7346C2" w14:textId="50B4962D" w:rsidR="00FF2743" w:rsidRPr="00434D69" w:rsidRDefault="00FF2743" w:rsidP="00434D69">
      <w:pPr>
        <w:pStyle w:val="ListParagraph"/>
        <w:numPr>
          <w:ilvl w:val="0"/>
          <w:numId w:val="2"/>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The </w:t>
      </w:r>
      <w:r w:rsidR="005D0736">
        <w:rPr>
          <w:rFonts w:ascii="Times New Roman" w:hAnsi="Times New Roman" w:cs="Times New Roman"/>
          <w:sz w:val="24"/>
          <w:szCs w:val="24"/>
        </w:rPr>
        <w:t>F</w:t>
      </w:r>
      <w:r w:rsidRPr="00434D69">
        <w:rPr>
          <w:rFonts w:ascii="Times New Roman" w:hAnsi="Times New Roman" w:cs="Times New Roman"/>
          <w:sz w:val="24"/>
          <w:szCs w:val="24"/>
        </w:rPr>
        <w:t xml:space="preserve">irst </w:t>
      </w:r>
      <w:r w:rsidR="005D0736">
        <w:rPr>
          <w:rFonts w:ascii="Times New Roman" w:hAnsi="Times New Roman" w:cs="Times New Roman"/>
          <w:sz w:val="24"/>
          <w:szCs w:val="24"/>
        </w:rPr>
        <w:t>D</w:t>
      </w:r>
      <w:r w:rsidRPr="00434D69">
        <w:rPr>
          <w:rFonts w:ascii="Times New Roman" w:hAnsi="Times New Roman" w:cs="Times New Roman"/>
          <w:sz w:val="24"/>
          <w:szCs w:val="24"/>
        </w:rPr>
        <w:t>efendant breached the provisions of clauses 3.8.1 and 3.8.2 of the Compromise Agreement by failing to charge an apartment in Portugal owned by himself and his wife in favour of the Bank</w:t>
      </w:r>
      <w:r w:rsidR="00BA3DFA">
        <w:rPr>
          <w:rFonts w:ascii="Times New Roman" w:hAnsi="Times New Roman" w:cs="Times New Roman"/>
          <w:sz w:val="24"/>
          <w:szCs w:val="24"/>
        </w:rPr>
        <w:t xml:space="preserve"> (</w:t>
      </w:r>
      <w:r w:rsidR="005D0736">
        <w:rPr>
          <w:rFonts w:ascii="Times New Roman" w:hAnsi="Times New Roman" w:cs="Times New Roman"/>
          <w:sz w:val="24"/>
          <w:szCs w:val="24"/>
        </w:rPr>
        <w:t xml:space="preserve">Judgment, </w:t>
      </w:r>
      <w:r w:rsidR="00BA3DFA">
        <w:rPr>
          <w:rFonts w:ascii="Times New Roman" w:hAnsi="Times New Roman" w:cs="Times New Roman"/>
          <w:sz w:val="24"/>
          <w:szCs w:val="24"/>
        </w:rPr>
        <w:t>para. 284)</w:t>
      </w:r>
      <w:r w:rsidR="000A54EA" w:rsidRPr="00434D69">
        <w:rPr>
          <w:rFonts w:ascii="Times New Roman" w:hAnsi="Times New Roman" w:cs="Times New Roman"/>
          <w:sz w:val="24"/>
          <w:szCs w:val="24"/>
        </w:rPr>
        <w:t>.</w:t>
      </w:r>
    </w:p>
    <w:p w14:paraId="006E58F9" w14:textId="77777777" w:rsidR="00FF2743" w:rsidRPr="00434D69" w:rsidRDefault="00FF2743" w:rsidP="00434D69">
      <w:pPr>
        <w:pStyle w:val="ListParagraph"/>
        <w:spacing w:after="0" w:line="480" w:lineRule="auto"/>
        <w:rPr>
          <w:rFonts w:ascii="Times New Roman" w:hAnsi="Times New Roman" w:cs="Times New Roman"/>
          <w:sz w:val="24"/>
          <w:szCs w:val="24"/>
        </w:rPr>
      </w:pPr>
    </w:p>
    <w:p w14:paraId="2457E96D" w14:textId="2F6FA59A" w:rsidR="00FF2743" w:rsidRPr="00434D69" w:rsidRDefault="00FF2743" w:rsidP="00434D69">
      <w:pPr>
        <w:pStyle w:val="ListParagraph"/>
        <w:numPr>
          <w:ilvl w:val="0"/>
          <w:numId w:val="2"/>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The </w:t>
      </w:r>
      <w:r w:rsidR="005D0736">
        <w:rPr>
          <w:rFonts w:ascii="Times New Roman" w:hAnsi="Times New Roman" w:cs="Times New Roman"/>
          <w:sz w:val="24"/>
          <w:szCs w:val="24"/>
        </w:rPr>
        <w:t>F</w:t>
      </w:r>
      <w:r w:rsidRPr="00434D69">
        <w:rPr>
          <w:rFonts w:ascii="Times New Roman" w:hAnsi="Times New Roman" w:cs="Times New Roman"/>
          <w:sz w:val="24"/>
          <w:szCs w:val="24"/>
        </w:rPr>
        <w:t xml:space="preserve">irst </w:t>
      </w:r>
      <w:r w:rsidR="005D0736">
        <w:rPr>
          <w:rFonts w:ascii="Times New Roman" w:hAnsi="Times New Roman" w:cs="Times New Roman"/>
          <w:sz w:val="24"/>
          <w:szCs w:val="24"/>
        </w:rPr>
        <w:t>D</w:t>
      </w:r>
      <w:r w:rsidRPr="00434D69">
        <w:rPr>
          <w:rFonts w:ascii="Times New Roman" w:hAnsi="Times New Roman" w:cs="Times New Roman"/>
          <w:sz w:val="24"/>
          <w:szCs w:val="24"/>
        </w:rPr>
        <w:t>efendant breached clause 3.8.5 of the Compromise Agreement by failing to sell a property called Dromin House in Delgany by 31 July 2014</w:t>
      </w:r>
      <w:r w:rsidR="00BA3DFA">
        <w:rPr>
          <w:rFonts w:ascii="Times New Roman" w:hAnsi="Times New Roman" w:cs="Times New Roman"/>
          <w:sz w:val="24"/>
          <w:szCs w:val="24"/>
        </w:rPr>
        <w:t xml:space="preserve"> (</w:t>
      </w:r>
      <w:r w:rsidR="005D0736">
        <w:rPr>
          <w:rFonts w:ascii="Times New Roman" w:hAnsi="Times New Roman" w:cs="Times New Roman"/>
          <w:sz w:val="24"/>
          <w:szCs w:val="24"/>
        </w:rPr>
        <w:t>Judgment</w:t>
      </w:r>
      <w:r w:rsidR="00BE7108">
        <w:rPr>
          <w:rFonts w:ascii="Times New Roman" w:hAnsi="Times New Roman" w:cs="Times New Roman"/>
          <w:sz w:val="24"/>
          <w:szCs w:val="24"/>
        </w:rPr>
        <w:t>,</w:t>
      </w:r>
      <w:r w:rsidR="005D0736">
        <w:rPr>
          <w:rFonts w:ascii="Times New Roman" w:hAnsi="Times New Roman" w:cs="Times New Roman"/>
          <w:sz w:val="24"/>
          <w:szCs w:val="24"/>
        </w:rPr>
        <w:t xml:space="preserve"> </w:t>
      </w:r>
      <w:r w:rsidR="00BA3DFA">
        <w:rPr>
          <w:rFonts w:ascii="Times New Roman" w:hAnsi="Times New Roman" w:cs="Times New Roman"/>
          <w:sz w:val="24"/>
          <w:szCs w:val="24"/>
        </w:rPr>
        <w:t>para. 285)</w:t>
      </w:r>
      <w:r w:rsidRPr="00434D69">
        <w:rPr>
          <w:rFonts w:ascii="Times New Roman" w:hAnsi="Times New Roman" w:cs="Times New Roman"/>
          <w:sz w:val="24"/>
          <w:szCs w:val="24"/>
        </w:rPr>
        <w:t>.</w:t>
      </w:r>
    </w:p>
    <w:p w14:paraId="5BA2D170" w14:textId="77777777" w:rsidR="00FF2743" w:rsidRPr="00434D69" w:rsidRDefault="00FF2743" w:rsidP="00434D69">
      <w:pPr>
        <w:pStyle w:val="ListParagraph"/>
        <w:spacing w:after="0" w:line="480" w:lineRule="auto"/>
        <w:rPr>
          <w:rFonts w:ascii="Times New Roman" w:hAnsi="Times New Roman" w:cs="Times New Roman"/>
          <w:sz w:val="24"/>
          <w:szCs w:val="24"/>
        </w:rPr>
      </w:pPr>
    </w:p>
    <w:p w14:paraId="1049AF09" w14:textId="02667E23" w:rsidR="00FF2743" w:rsidRPr="00434D69" w:rsidRDefault="00FF2743" w:rsidP="00434D69">
      <w:pPr>
        <w:pStyle w:val="ListParagraph"/>
        <w:numPr>
          <w:ilvl w:val="0"/>
          <w:numId w:val="2"/>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Each of the </w:t>
      </w:r>
      <w:r w:rsidR="005D0736">
        <w:rPr>
          <w:rFonts w:ascii="Times New Roman" w:hAnsi="Times New Roman" w:cs="Times New Roman"/>
          <w:sz w:val="24"/>
          <w:szCs w:val="24"/>
        </w:rPr>
        <w:t>D</w:t>
      </w:r>
      <w:r w:rsidRPr="00434D69">
        <w:rPr>
          <w:rFonts w:ascii="Times New Roman" w:hAnsi="Times New Roman" w:cs="Times New Roman"/>
          <w:sz w:val="24"/>
          <w:szCs w:val="24"/>
        </w:rPr>
        <w:t xml:space="preserve">efendants breached clause 3.6.1(a) of the Compromise Agreement by failing to re-appoint </w:t>
      </w:r>
      <w:proofErr w:type="spellStart"/>
      <w:r w:rsidRPr="00434D69">
        <w:rPr>
          <w:rFonts w:ascii="Times New Roman" w:hAnsi="Times New Roman" w:cs="Times New Roman"/>
          <w:sz w:val="24"/>
          <w:szCs w:val="24"/>
        </w:rPr>
        <w:t>Ganly</w:t>
      </w:r>
      <w:proofErr w:type="spellEnd"/>
      <w:r w:rsidRPr="00434D69">
        <w:rPr>
          <w:rFonts w:ascii="Times New Roman" w:hAnsi="Times New Roman" w:cs="Times New Roman"/>
          <w:sz w:val="24"/>
          <w:szCs w:val="24"/>
        </w:rPr>
        <w:t xml:space="preserve"> Wa</w:t>
      </w:r>
      <w:r w:rsidR="00422030">
        <w:rPr>
          <w:rFonts w:ascii="Times New Roman" w:hAnsi="Times New Roman" w:cs="Times New Roman"/>
          <w:sz w:val="24"/>
          <w:szCs w:val="24"/>
        </w:rPr>
        <w:t>l</w:t>
      </w:r>
      <w:r w:rsidRPr="00434D69">
        <w:rPr>
          <w:rFonts w:ascii="Times New Roman" w:hAnsi="Times New Roman" w:cs="Times New Roman"/>
          <w:sz w:val="24"/>
          <w:szCs w:val="24"/>
        </w:rPr>
        <w:t xml:space="preserve">ters as joint selling agent following the </w:t>
      </w:r>
      <w:r w:rsidR="005D0736">
        <w:rPr>
          <w:rFonts w:ascii="Times New Roman" w:hAnsi="Times New Roman" w:cs="Times New Roman"/>
          <w:sz w:val="24"/>
          <w:szCs w:val="24"/>
        </w:rPr>
        <w:t>lapse</w:t>
      </w:r>
      <w:r w:rsidRPr="00434D69">
        <w:rPr>
          <w:rFonts w:ascii="Times New Roman" w:hAnsi="Times New Roman" w:cs="Times New Roman"/>
          <w:sz w:val="24"/>
          <w:szCs w:val="24"/>
        </w:rPr>
        <w:t xml:space="preserve"> of their initial appointment on 31 May 2014, and despite being requested by the Bank to do so</w:t>
      </w:r>
      <w:r w:rsidR="00BA3DFA">
        <w:rPr>
          <w:rFonts w:ascii="Times New Roman" w:hAnsi="Times New Roman" w:cs="Times New Roman"/>
          <w:sz w:val="24"/>
          <w:szCs w:val="24"/>
        </w:rPr>
        <w:t xml:space="preserve"> (</w:t>
      </w:r>
      <w:r w:rsidR="005D0736">
        <w:rPr>
          <w:rFonts w:ascii="Times New Roman" w:hAnsi="Times New Roman" w:cs="Times New Roman"/>
          <w:sz w:val="24"/>
          <w:szCs w:val="24"/>
        </w:rPr>
        <w:t>Judgment, paras</w:t>
      </w:r>
      <w:r w:rsidR="00BA3DFA">
        <w:rPr>
          <w:rFonts w:ascii="Times New Roman" w:hAnsi="Times New Roman" w:cs="Times New Roman"/>
          <w:sz w:val="24"/>
          <w:szCs w:val="24"/>
        </w:rPr>
        <w:t xml:space="preserve"> 286 </w:t>
      </w:r>
      <w:r w:rsidR="005D0736">
        <w:rPr>
          <w:rFonts w:ascii="Times New Roman" w:hAnsi="Times New Roman" w:cs="Times New Roman"/>
          <w:sz w:val="24"/>
          <w:szCs w:val="24"/>
        </w:rPr>
        <w:t>-</w:t>
      </w:r>
      <w:r w:rsidR="00BA3DFA">
        <w:rPr>
          <w:rFonts w:ascii="Times New Roman" w:hAnsi="Times New Roman" w:cs="Times New Roman"/>
          <w:sz w:val="24"/>
          <w:szCs w:val="24"/>
        </w:rPr>
        <w:t xml:space="preserve"> 293)</w:t>
      </w:r>
      <w:r w:rsidRPr="00434D69">
        <w:rPr>
          <w:rFonts w:ascii="Times New Roman" w:hAnsi="Times New Roman" w:cs="Times New Roman"/>
          <w:sz w:val="24"/>
          <w:szCs w:val="24"/>
        </w:rPr>
        <w:t>.</w:t>
      </w:r>
    </w:p>
    <w:p w14:paraId="75CCB94B" w14:textId="77777777" w:rsidR="00FF2743" w:rsidRPr="00434D69" w:rsidRDefault="00FF2743" w:rsidP="00434D69">
      <w:pPr>
        <w:pStyle w:val="ListParagraph"/>
        <w:spacing w:after="0" w:line="480" w:lineRule="auto"/>
        <w:rPr>
          <w:rFonts w:ascii="Times New Roman" w:hAnsi="Times New Roman" w:cs="Times New Roman"/>
          <w:sz w:val="24"/>
          <w:szCs w:val="24"/>
        </w:rPr>
      </w:pPr>
    </w:p>
    <w:p w14:paraId="49ED67F5" w14:textId="6930C6F4" w:rsidR="00016C4F" w:rsidRPr="00434D69" w:rsidRDefault="00FF2743" w:rsidP="00434D69">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lastRenderedPageBreak/>
        <w:t>I</w:t>
      </w:r>
      <w:r w:rsidR="005D0736">
        <w:rPr>
          <w:rFonts w:ascii="Times New Roman" w:hAnsi="Times New Roman" w:cs="Times New Roman"/>
          <w:sz w:val="24"/>
          <w:szCs w:val="24"/>
        </w:rPr>
        <w:t>n addition, it is manifest</w:t>
      </w:r>
      <w:r w:rsidRPr="00434D69">
        <w:rPr>
          <w:rFonts w:ascii="Times New Roman" w:hAnsi="Times New Roman" w:cs="Times New Roman"/>
          <w:sz w:val="24"/>
          <w:szCs w:val="24"/>
        </w:rPr>
        <w:t xml:space="preserve"> from the findings of the </w:t>
      </w:r>
      <w:r w:rsidR="005D0736">
        <w:rPr>
          <w:rFonts w:ascii="Times New Roman" w:hAnsi="Times New Roman" w:cs="Times New Roman"/>
          <w:sz w:val="24"/>
          <w:szCs w:val="24"/>
        </w:rPr>
        <w:t xml:space="preserve">High </w:t>
      </w:r>
      <w:r w:rsidRPr="00434D69">
        <w:rPr>
          <w:rFonts w:ascii="Times New Roman" w:hAnsi="Times New Roman" w:cs="Times New Roman"/>
          <w:sz w:val="24"/>
          <w:szCs w:val="24"/>
        </w:rPr>
        <w:t xml:space="preserve">Court in relation to the purported sale of the </w:t>
      </w:r>
      <w:r w:rsidR="005D0736">
        <w:rPr>
          <w:rFonts w:ascii="Times New Roman" w:hAnsi="Times New Roman" w:cs="Times New Roman"/>
          <w:sz w:val="24"/>
          <w:szCs w:val="24"/>
        </w:rPr>
        <w:t>Kilpeddar Lands</w:t>
      </w:r>
      <w:r w:rsidRPr="00434D69">
        <w:rPr>
          <w:rFonts w:ascii="Times New Roman" w:hAnsi="Times New Roman" w:cs="Times New Roman"/>
          <w:sz w:val="24"/>
          <w:szCs w:val="24"/>
        </w:rPr>
        <w:t xml:space="preserve"> to Granja that there had been other significant breaches of the Compromise Agreement. In particular, the </w:t>
      </w:r>
      <w:r w:rsidR="005D0736">
        <w:rPr>
          <w:rFonts w:ascii="Times New Roman" w:hAnsi="Times New Roman" w:cs="Times New Roman"/>
          <w:sz w:val="24"/>
          <w:szCs w:val="24"/>
        </w:rPr>
        <w:t>Judge</w:t>
      </w:r>
      <w:r w:rsidRPr="00434D69">
        <w:rPr>
          <w:rFonts w:ascii="Times New Roman" w:hAnsi="Times New Roman" w:cs="Times New Roman"/>
          <w:sz w:val="24"/>
          <w:szCs w:val="24"/>
        </w:rPr>
        <w:t xml:space="preserve"> held that Granja was a ‘</w:t>
      </w:r>
      <w:r w:rsidRPr="00434D69">
        <w:rPr>
          <w:rFonts w:ascii="Times New Roman" w:hAnsi="Times New Roman" w:cs="Times New Roman"/>
          <w:i/>
          <w:sz w:val="24"/>
          <w:szCs w:val="24"/>
        </w:rPr>
        <w:t>front</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for the </w:t>
      </w:r>
      <w:r w:rsidR="005D0736">
        <w:rPr>
          <w:rFonts w:ascii="Times New Roman" w:hAnsi="Times New Roman" w:cs="Times New Roman"/>
          <w:sz w:val="24"/>
          <w:szCs w:val="24"/>
        </w:rPr>
        <w:t>First Defendant</w:t>
      </w:r>
      <w:r w:rsidRPr="00434D69">
        <w:rPr>
          <w:rFonts w:ascii="Times New Roman" w:hAnsi="Times New Roman" w:cs="Times New Roman"/>
          <w:sz w:val="24"/>
          <w:szCs w:val="24"/>
        </w:rPr>
        <w:t xml:space="preserve"> and that the monies proposed to be used by it for the purported acquisition of the site actually came from the </w:t>
      </w:r>
      <w:r w:rsidR="005D0736">
        <w:rPr>
          <w:rFonts w:ascii="Times New Roman" w:hAnsi="Times New Roman" w:cs="Times New Roman"/>
          <w:sz w:val="24"/>
          <w:szCs w:val="24"/>
        </w:rPr>
        <w:t>First</w:t>
      </w:r>
      <w:r w:rsidRPr="00434D69">
        <w:rPr>
          <w:rFonts w:ascii="Times New Roman" w:hAnsi="Times New Roman" w:cs="Times New Roman"/>
          <w:sz w:val="24"/>
          <w:szCs w:val="24"/>
        </w:rPr>
        <w:t xml:space="preserve"> </w:t>
      </w:r>
      <w:r w:rsidR="005D0736">
        <w:rPr>
          <w:rFonts w:ascii="Times New Roman" w:hAnsi="Times New Roman" w:cs="Times New Roman"/>
          <w:sz w:val="24"/>
          <w:szCs w:val="24"/>
        </w:rPr>
        <w:t>D</w:t>
      </w:r>
      <w:r w:rsidRPr="00434D69">
        <w:rPr>
          <w:rFonts w:ascii="Times New Roman" w:hAnsi="Times New Roman" w:cs="Times New Roman"/>
          <w:sz w:val="24"/>
          <w:szCs w:val="24"/>
        </w:rPr>
        <w:t>efendant</w:t>
      </w:r>
      <w:r w:rsidR="00700F97">
        <w:rPr>
          <w:rFonts w:ascii="Times New Roman" w:hAnsi="Times New Roman" w:cs="Times New Roman"/>
          <w:sz w:val="24"/>
          <w:szCs w:val="24"/>
        </w:rPr>
        <w:t xml:space="preserve"> (</w:t>
      </w:r>
      <w:r w:rsidR="005D0736">
        <w:rPr>
          <w:rFonts w:ascii="Times New Roman" w:hAnsi="Times New Roman" w:cs="Times New Roman"/>
          <w:sz w:val="24"/>
          <w:szCs w:val="24"/>
        </w:rPr>
        <w:t xml:space="preserve">Judgment, </w:t>
      </w:r>
      <w:r w:rsidR="00700F97">
        <w:rPr>
          <w:rFonts w:ascii="Times New Roman" w:hAnsi="Times New Roman" w:cs="Times New Roman"/>
          <w:sz w:val="24"/>
          <w:szCs w:val="24"/>
        </w:rPr>
        <w:t>para. 152)</w:t>
      </w:r>
      <w:r w:rsidRPr="00434D69">
        <w:rPr>
          <w:rFonts w:ascii="Times New Roman" w:hAnsi="Times New Roman" w:cs="Times New Roman"/>
          <w:sz w:val="24"/>
          <w:szCs w:val="24"/>
        </w:rPr>
        <w:t xml:space="preserve">.  That being so, </w:t>
      </w:r>
      <w:r w:rsidR="005D0736">
        <w:rPr>
          <w:rFonts w:ascii="Times New Roman" w:hAnsi="Times New Roman" w:cs="Times New Roman"/>
          <w:sz w:val="24"/>
          <w:szCs w:val="24"/>
        </w:rPr>
        <w:t>the First Defendant</w:t>
      </w:r>
      <w:r w:rsidRPr="00434D69">
        <w:rPr>
          <w:rFonts w:ascii="Times New Roman" w:hAnsi="Times New Roman" w:cs="Times New Roman"/>
          <w:sz w:val="24"/>
          <w:szCs w:val="24"/>
        </w:rPr>
        <w:t xml:space="preserve"> was in breach of the Compromise Agreement by failing to disclose these funds in his Statement of Affairs.  </w:t>
      </w:r>
    </w:p>
    <w:p w14:paraId="33BA09A1" w14:textId="77777777" w:rsidR="00016C4F" w:rsidRPr="00434D69" w:rsidRDefault="00016C4F"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03104759" w14:textId="48301365" w:rsidR="00DD0C65" w:rsidRPr="00434D69" w:rsidRDefault="00FF2743" w:rsidP="00434D69">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The effect of these breaches of the Compromise Agreement </w:t>
      </w:r>
      <w:r w:rsidR="0018451F" w:rsidRPr="00434D69">
        <w:rPr>
          <w:rFonts w:ascii="Times New Roman" w:hAnsi="Times New Roman" w:cs="Times New Roman"/>
          <w:sz w:val="24"/>
          <w:szCs w:val="24"/>
        </w:rPr>
        <w:t xml:space="preserve">as found by </w:t>
      </w:r>
      <w:r w:rsidR="005D0736">
        <w:rPr>
          <w:rFonts w:ascii="Times New Roman" w:hAnsi="Times New Roman" w:cs="Times New Roman"/>
          <w:sz w:val="24"/>
          <w:szCs w:val="24"/>
        </w:rPr>
        <w:t>the Judge</w:t>
      </w:r>
      <w:r w:rsidRPr="00434D69">
        <w:rPr>
          <w:rFonts w:ascii="Times New Roman" w:hAnsi="Times New Roman" w:cs="Times New Roman"/>
          <w:sz w:val="24"/>
          <w:szCs w:val="24"/>
        </w:rPr>
        <w:t xml:space="preserve">  was to </w:t>
      </w:r>
      <w:r w:rsidR="005D0736">
        <w:rPr>
          <w:rFonts w:ascii="Times New Roman" w:hAnsi="Times New Roman" w:cs="Times New Roman"/>
          <w:sz w:val="24"/>
          <w:szCs w:val="24"/>
        </w:rPr>
        <w:t>entitle</w:t>
      </w:r>
      <w:r w:rsidRPr="00434D69">
        <w:rPr>
          <w:rFonts w:ascii="Times New Roman" w:hAnsi="Times New Roman" w:cs="Times New Roman"/>
          <w:sz w:val="24"/>
          <w:szCs w:val="24"/>
        </w:rPr>
        <w:t xml:space="preserve"> the Bank to proceed with its claim for monies due on foot of the </w:t>
      </w:r>
      <w:r w:rsidR="005D0736">
        <w:rPr>
          <w:rFonts w:ascii="Times New Roman" w:hAnsi="Times New Roman" w:cs="Times New Roman"/>
          <w:sz w:val="24"/>
          <w:szCs w:val="24"/>
        </w:rPr>
        <w:t>F</w:t>
      </w:r>
      <w:r w:rsidRPr="00434D69">
        <w:rPr>
          <w:rFonts w:ascii="Times New Roman" w:hAnsi="Times New Roman" w:cs="Times New Roman"/>
          <w:sz w:val="24"/>
          <w:szCs w:val="24"/>
        </w:rPr>
        <w:t xml:space="preserve">acility </w:t>
      </w:r>
      <w:r w:rsidR="005D0736">
        <w:rPr>
          <w:rFonts w:ascii="Times New Roman" w:hAnsi="Times New Roman" w:cs="Times New Roman"/>
          <w:sz w:val="24"/>
          <w:szCs w:val="24"/>
        </w:rPr>
        <w:t>L</w:t>
      </w:r>
      <w:r w:rsidRPr="00434D69">
        <w:rPr>
          <w:rFonts w:ascii="Times New Roman" w:hAnsi="Times New Roman" w:cs="Times New Roman"/>
          <w:sz w:val="24"/>
          <w:szCs w:val="24"/>
        </w:rPr>
        <w:t>etter</w:t>
      </w:r>
      <w:r w:rsidR="005D0736">
        <w:rPr>
          <w:rFonts w:ascii="Times New Roman" w:hAnsi="Times New Roman" w:cs="Times New Roman"/>
          <w:sz w:val="24"/>
          <w:szCs w:val="24"/>
        </w:rPr>
        <w:t xml:space="preserve"> of 5 January 2009</w:t>
      </w:r>
      <w:r w:rsidRPr="00434D69">
        <w:rPr>
          <w:rFonts w:ascii="Times New Roman" w:hAnsi="Times New Roman" w:cs="Times New Roman"/>
          <w:sz w:val="24"/>
          <w:szCs w:val="24"/>
        </w:rPr>
        <w:t xml:space="preserve"> with appropriate credits for a sum of €325,000 set off from an account of the </w:t>
      </w:r>
      <w:r w:rsidR="005D0736">
        <w:rPr>
          <w:rFonts w:ascii="Times New Roman" w:hAnsi="Times New Roman" w:cs="Times New Roman"/>
          <w:sz w:val="24"/>
          <w:szCs w:val="24"/>
        </w:rPr>
        <w:t>F</w:t>
      </w:r>
      <w:r w:rsidRPr="00434D69">
        <w:rPr>
          <w:rFonts w:ascii="Times New Roman" w:hAnsi="Times New Roman" w:cs="Times New Roman"/>
          <w:sz w:val="24"/>
          <w:szCs w:val="24"/>
        </w:rPr>
        <w:t xml:space="preserve">irst </w:t>
      </w:r>
      <w:r w:rsidR="005D0736">
        <w:rPr>
          <w:rFonts w:ascii="Times New Roman" w:hAnsi="Times New Roman" w:cs="Times New Roman"/>
          <w:sz w:val="24"/>
          <w:szCs w:val="24"/>
        </w:rPr>
        <w:t>D</w:t>
      </w:r>
      <w:r w:rsidRPr="00434D69">
        <w:rPr>
          <w:rFonts w:ascii="Times New Roman" w:hAnsi="Times New Roman" w:cs="Times New Roman"/>
          <w:sz w:val="24"/>
          <w:szCs w:val="24"/>
        </w:rPr>
        <w:t>efendant</w:t>
      </w:r>
      <w:r w:rsidR="00C34E8D">
        <w:rPr>
          <w:rFonts w:ascii="Times New Roman" w:hAnsi="Times New Roman" w:cs="Times New Roman"/>
          <w:sz w:val="24"/>
          <w:szCs w:val="24"/>
        </w:rPr>
        <w:t xml:space="preserve"> </w:t>
      </w:r>
      <w:r w:rsidRPr="00434D69">
        <w:rPr>
          <w:rFonts w:ascii="Times New Roman" w:hAnsi="Times New Roman" w:cs="Times New Roman"/>
          <w:sz w:val="24"/>
          <w:szCs w:val="24"/>
        </w:rPr>
        <w:t>and the sum of €5,000,000 received from CBRE on foot of the settlement of these proceedings.</w:t>
      </w:r>
      <w:r w:rsidR="003A1491">
        <w:rPr>
          <w:rStyle w:val="FootnoteReference"/>
          <w:rFonts w:ascii="Times New Roman" w:hAnsi="Times New Roman" w:cs="Times New Roman"/>
          <w:sz w:val="24"/>
          <w:szCs w:val="24"/>
        </w:rPr>
        <w:footnoteReference w:id="2"/>
      </w:r>
    </w:p>
    <w:p w14:paraId="228DDD5A" w14:textId="77777777" w:rsidR="00DD0C65" w:rsidRPr="00434D69" w:rsidRDefault="00DD0C65" w:rsidP="00434D69">
      <w:pPr>
        <w:pStyle w:val="ListParagraph"/>
        <w:spacing w:after="0" w:line="480" w:lineRule="auto"/>
        <w:rPr>
          <w:rFonts w:ascii="Times New Roman" w:hAnsi="Times New Roman" w:cs="Times New Roman"/>
          <w:sz w:val="24"/>
          <w:szCs w:val="24"/>
        </w:rPr>
      </w:pPr>
    </w:p>
    <w:p w14:paraId="1A19B4F1" w14:textId="0F4D7FD2" w:rsidR="00E045F2" w:rsidRPr="0093356E" w:rsidRDefault="00FF2743" w:rsidP="0093356E">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It was that payment from CBRE which gave rise to the second issue which, in turn, depended on the </w:t>
      </w:r>
      <w:r w:rsidR="00616339" w:rsidRPr="00434D69">
        <w:rPr>
          <w:rFonts w:ascii="Times New Roman" w:hAnsi="Times New Roman" w:cs="Times New Roman"/>
          <w:sz w:val="24"/>
          <w:szCs w:val="24"/>
        </w:rPr>
        <w:t xml:space="preserve">effect of the </w:t>
      </w:r>
      <w:r w:rsidRPr="00434D69">
        <w:rPr>
          <w:rFonts w:ascii="Times New Roman" w:hAnsi="Times New Roman" w:cs="Times New Roman"/>
          <w:sz w:val="24"/>
          <w:szCs w:val="24"/>
        </w:rPr>
        <w:t xml:space="preserve">provisions of </w:t>
      </w:r>
      <w:r w:rsidR="00A32531">
        <w:rPr>
          <w:rFonts w:ascii="Times New Roman" w:hAnsi="Times New Roman" w:cs="Times New Roman"/>
          <w:sz w:val="24"/>
          <w:szCs w:val="24"/>
        </w:rPr>
        <w:t>the CLA</w:t>
      </w:r>
      <w:r w:rsidR="00C34E8D">
        <w:rPr>
          <w:rFonts w:ascii="Times New Roman" w:hAnsi="Times New Roman" w:cs="Times New Roman"/>
          <w:sz w:val="24"/>
          <w:szCs w:val="24"/>
        </w:rPr>
        <w:t xml:space="preserve"> </w:t>
      </w:r>
      <w:r w:rsidRPr="00434D69">
        <w:rPr>
          <w:rFonts w:ascii="Times New Roman" w:hAnsi="Times New Roman" w:cs="Times New Roman"/>
          <w:sz w:val="24"/>
          <w:szCs w:val="24"/>
        </w:rPr>
        <w:t xml:space="preserve">on </w:t>
      </w:r>
      <w:r w:rsidR="0018451F" w:rsidRPr="00434D69">
        <w:rPr>
          <w:rFonts w:ascii="Times New Roman" w:hAnsi="Times New Roman" w:cs="Times New Roman"/>
          <w:sz w:val="24"/>
          <w:szCs w:val="24"/>
        </w:rPr>
        <w:t>the</w:t>
      </w:r>
      <w:r w:rsidRPr="00434D69">
        <w:rPr>
          <w:rFonts w:ascii="Times New Roman" w:hAnsi="Times New Roman" w:cs="Times New Roman"/>
          <w:sz w:val="24"/>
          <w:szCs w:val="24"/>
        </w:rPr>
        <w:t xml:space="preserve"> Bank’s claim having regard to this settlement.  </w:t>
      </w:r>
      <w:r w:rsidR="00E045F2" w:rsidRPr="00434D69">
        <w:rPr>
          <w:rFonts w:ascii="Times New Roman" w:hAnsi="Times New Roman" w:cs="Times New Roman"/>
          <w:sz w:val="24"/>
          <w:szCs w:val="24"/>
        </w:rPr>
        <w:t xml:space="preserve">The </w:t>
      </w:r>
      <w:r w:rsidR="009A29B9">
        <w:rPr>
          <w:rFonts w:ascii="Times New Roman" w:hAnsi="Times New Roman" w:cs="Times New Roman"/>
          <w:sz w:val="24"/>
          <w:szCs w:val="24"/>
        </w:rPr>
        <w:t>D</w:t>
      </w:r>
      <w:r w:rsidR="00E045F2" w:rsidRPr="00434D69">
        <w:rPr>
          <w:rFonts w:ascii="Times New Roman" w:hAnsi="Times New Roman" w:cs="Times New Roman"/>
          <w:sz w:val="24"/>
          <w:szCs w:val="24"/>
        </w:rPr>
        <w:t xml:space="preserve">efendants </w:t>
      </w:r>
      <w:r w:rsidR="009A29B9">
        <w:rPr>
          <w:rFonts w:ascii="Times New Roman" w:hAnsi="Times New Roman" w:cs="Times New Roman"/>
          <w:sz w:val="24"/>
          <w:szCs w:val="24"/>
        </w:rPr>
        <w:t>contended th</w:t>
      </w:r>
      <w:r w:rsidR="00E045F2" w:rsidRPr="00434D69">
        <w:rPr>
          <w:rFonts w:ascii="Times New Roman" w:hAnsi="Times New Roman" w:cs="Times New Roman"/>
          <w:sz w:val="24"/>
          <w:szCs w:val="24"/>
        </w:rPr>
        <w:t>at they and CBRE were ‘</w:t>
      </w:r>
      <w:r w:rsidR="00E045F2" w:rsidRPr="00434D69">
        <w:rPr>
          <w:rFonts w:ascii="Times New Roman" w:hAnsi="Times New Roman" w:cs="Times New Roman"/>
          <w:i/>
          <w:sz w:val="24"/>
          <w:szCs w:val="24"/>
        </w:rPr>
        <w:t>concurrent wrongdoers</w:t>
      </w:r>
      <w:r w:rsidR="00E045F2" w:rsidRPr="00434D69">
        <w:rPr>
          <w:rFonts w:ascii="Times New Roman" w:hAnsi="Times New Roman" w:cs="Times New Roman"/>
          <w:sz w:val="24"/>
          <w:szCs w:val="24"/>
        </w:rPr>
        <w:t>’</w:t>
      </w:r>
      <w:r w:rsidR="009A29B9">
        <w:rPr>
          <w:rFonts w:ascii="Times New Roman" w:hAnsi="Times New Roman" w:cs="Times New Roman"/>
          <w:sz w:val="24"/>
          <w:szCs w:val="24"/>
        </w:rPr>
        <w:t xml:space="preserve"> for the purposes of Part III CLA. </w:t>
      </w:r>
      <w:r w:rsidR="00E045F2" w:rsidRPr="00434D69">
        <w:rPr>
          <w:rFonts w:ascii="Times New Roman" w:hAnsi="Times New Roman" w:cs="Times New Roman"/>
          <w:sz w:val="24"/>
          <w:szCs w:val="24"/>
        </w:rPr>
        <w:t xml:space="preserve">They </w:t>
      </w:r>
      <w:r w:rsidR="009A29B9">
        <w:rPr>
          <w:rFonts w:ascii="Times New Roman" w:hAnsi="Times New Roman" w:cs="Times New Roman"/>
          <w:sz w:val="24"/>
          <w:szCs w:val="24"/>
        </w:rPr>
        <w:t xml:space="preserve">then </w:t>
      </w:r>
      <w:r w:rsidR="00E045F2" w:rsidRPr="00434D69">
        <w:rPr>
          <w:rFonts w:ascii="Times New Roman" w:hAnsi="Times New Roman" w:cs="Times New Roman"/>
          <w:sz w:val="24"/>
          <w:szCs w:val="24"/>
        </w:rPr>
        <w:t>argued that had the claim against CBRE been pursued to its full extent their indebtedness</w:t>
      </w:r>
      <w:r w:rsidR="009A29B9">
        <w:rPr>
          <w:rFonts w:ascii="Times New Roman" w:hAnsi="Times New Roman" w:cs="Times New Roman"/>
          <w:sz w:val="24"/>
          <w:szCs w:val="24"/>
        </w:rPr>
        <w:t xml:space="preserve"> to the Bank</w:t>
      </w:r>
      <w:r w:rsidR="00E045F2" w:rsidRPr="00434D69">
        <w:rPr>
          <w:rFonts w:ascii="Times New Roman" w:hAnsi="Times New Roman" w:cs="Times New Roman"/>
          <w:sz w:val="24"/>
          <w:szCs w:val="24"/>
        </w:rPr>
        <w:t xml:space="preserve"> would have been expunged</w:t>
      </w:r>
      <w:r w:rsidR="009A29B9">
        <w:rPr>
          <w:rFonts w:ascii="Times New Roman" w:hAnsi="Times New Roman" w:cs="Times New Roman"/>
          <w:sz w:val="24"/>
          <w:szCs w:val="24"/>
        </w:rPr>
        <w:t xml:space="preserve"> and argued </w:t>
      </w:r>
      <w:r w:rsidR="00E045F2" w:rsidRPr="00434D69">
        <w:rPr>
          <w:rFonts w:ascii="Times New Roman" w:hAnsi="Times New Roman" w:cs="Times New Roman"/>
          <w:sz w:val="24"/>
          <w:szCs w:val="24"/>
        </w:rPr>
        <w:t>that it followed from the combined effect of s</w:t>
      </w:r>
      <w:r w:rsidR="009A29B9">
        <w:rPr>
          <w:rFonts w:ascii="Times New Roman" w:hAnsi="Times New Roman" w:cs="Times New Roman"/>
          <w:sz w:val="24"/>
          <w:szCs w:val="24"/>
        </w:rPr>
        <w:t>ection</w:t>
      </w:r>
      <w:r w:rsidR="00E045F2" w:rsidRPr="00434D69">
        <w:rPr>
          <w:rFonts w:ascii="Times New Roman" w:hAnsi="Times New Roman" w:cs="Times New Roman"/>
          <w:sz w:val="24"/>
          <w:szCs w:val="24"/>
        </w:rPr>
        <w:t xml:space="preserve">s 17, 21(2) and 35(1) CLA that the Bank should be identified with CBRE so that it could not now </w:t>
      </w:r>
      <w:r w:rsidR="009A29B9">
        <w:rPr>
          <w:rFonts w:ascii="Times New Roman" w:hAnsi="Times New Roman" w:cs="Times New Roman"/>
          <w:sz w:val="24"/>
          <w:szCs w:val="24"/>
        </w:rPr>
        <w:t>pursue the D</w:t>
      </w:r>
      <w:r w:rsidR="009A29B9" w:rsidRPr="00434D69">
        <w:rPr>
          <w:rFonts w:ascii="Times New Roman" w:hAnsi="Times New Roman" w:cs="Times New Roman"/>
          <w:sz w:val="24"/>
          <w:szCs w:val="24"/>
        </w:rPr>
        <w:t>efendants</w:t>
      </w:r>
      <w:r w:rsidR="009A29B9">
        <w:rPr>
          <w:rFonts w:ascii="Times New Roman" w:hAnsi="Times New Roman" w:cs="Times New Roman"/>
          <w:sz w:val="24"/>
          <w:szCs w:val="24"/>
        </w:rPr>
        <w:t xml:space="preserve"> for the shortfall arising from the settlement with </w:t>
      </w:r>
      <w:r w:rsidR="00BE7108">
        <w:rPr>
          <w:rFonts w:ascii="Times New Roman" w:hAnsi="Times New Roman" w:cs="Times New Roman"/>
          <w:sz w:val="24"/>
          <w:szCs w:val="24"/>
        </w:rPr>
        <w:t>CBRE</w:t>
      </w:r>
      <w:r w:rsidR="009A29B9">
        <w:rPr>
          <w:rFonts w:ascii="Times New Roman" w:hAnsi="Times New Roman" w:cs="Times New Roman"/>
          <w:sz w:val="24"/>
          <w:szCs w:val="24"/>
        </w:rPr>
        <w:t>.</w:t>
      </w:r>
    </w:p>
    <w:p w14:paraId="673F4B0E" w14:textId="106BAD81" w:rsidR="00FF2743" w:rsidRPr="009A29B9" w:rsidRDefault="00FF2743" w:rsidP="009A29B9">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lastRenderedPageBreak/>
        <w:t xml:space="preserve">In that regard, it fell to the </w:t>
      </w:r>
      <w:r w:rsidR="009A29B9">
        <w:rPr>
          <w:rFonts w:ascii="Times New Roman" w:hAnsi="Times New Roman" w:cs="Times New Roman"/>
          <w:sz w:val="24"/>
          <w:szCs w:val="24"/>
        </w:rPr>
        <w:t xml:space="preserve">Judge </w:t>
      </w:r>
      <w:r w:rsidRPr="009A29B9">
        <w:rPr>
          <w:rFonts w:ascii="Times New Roman" w:hAnsi="Times New Roman" w:cs="Times New Roman"/>
          <w:sz w:val="24"/>
          <w:szCs w:val="24"/>
        </w:rPr>
        <w:t xml:space="preserve">to construe a number of provisions of </w:t>
      </w:r>
      <w:r w:rsidR="009A29B9">
        <w:rPr>
          <w:rFonts w:ascii="Times New Roman" w:hAnsi="Times New Roman" w:cs="Times New Roman"/>
          <w:sz w:val="24"/>
          <w:szCs w:val="24"/>
        </w:rPr>
        <w:t>the CLA</w:t>
      </w:r>
      <w:r w:rsidRPr="009A29B9">
        <w:rPr>
          <w:rFonts w:ascii="Times New Roman" w:hAnsi="Times New Roman" w:cs="Times New Roman"/>
          <w:sz w:val="24"/>
          <w:szCs w:val="24"/>
        </w:rPr>
        <w:t>.</w:t>
      </w:r>
      <w:r w:rsidR="009155A4" w:rsidRPr="009A29B9">
        <w:rPr>
          <w:rFonts w:ascii="Times New Roman" w:hAnsi="Times New Roman" w:cs="Times New Roman"/>
          <w:sz w:val="24"/>
          <w:szCs w:val="24"/>
        </w:rPr>
        <w:t xml:space="preserve">  </w:t>
      </w:r>
      <w:r w:rsidR="00D704DE" w:rsidRPr="009A29B9">
        <w:rPr>
          <w:rFonts w:ascii="Times New Roman" w:hAnsi="Times New Roman" w:cs="Times New Roman"/>
          <w:sz w:val="24"/>
          <w:szCs w:val="24"/>
        </w:rPr>
        <w:t>We</w:t>
      </w:r>
      <w:r w:rsidR="009155A4" w:rsidRPr="009A29B9">
        <w:rPr>
          <w:rFonts w:ascii="Times New Roman" w:hAnsi="Times New Roman" w:cs="Times New Roman"/>
          <w:sz w:val="24"/>
          <w:szCs w:val="24"/>
        </w:rPr>
        <w:t xml:space="preserve"> will return to the detail of these provisions and the precise construction placed upon them by the Judge later in this judgment.</w:t>
      </w:r>
      <w:r w:rsidR="00E045F2" w:rsidRPr="009A29B9">
        <w:rPr>
          <w:rFonts w:ascii="Times New Roman" w:hAnsi="Times New Roman" w:cs="Times New Roman"/>
          <w:sz w:val="24"/>
          <w:szCs w:val="24"/>
        </w:rPr>
        <w:t xml:space="preserve">  </w:t>
      </w:r>
      <w:r w:rsidR="004656B7" w:rsidRPr="009A29B9">
        <w:rPr>
          <w:rFonts w:ascii="Times New Roman" w:hAnsi="Times New Roman" w:cs="Times New Roman"/>
          <w:sz w:val="24"/>
          <w:szCs w:val="24"/>
        </w:rPr>
        <w:t>H</w:t>
      </w:r>
      <w:r w:rsidR="0018451F" w:rsidRPr="009A29B9">
        <w:rPr>
          <w:rFonts w:ascii="Times New Roman" w:hAnsi="Times New Roman" w:cs="Times New Roman"/>
          <w:sz w:val="24"/>
          <w:szCs w:val="24"/>
        </w:rPr>
        <w:t>owever, at a general level h</w:t>
      </w:r>
      <w:r w:rsidR="004656B7" w:rsidRPr="009A29B9">
        <w:rPr>
          <w:rFonts w:ascii="Times New Roman" w:hAnsi="Times New Roman" w:cs="Times New Roman"/>
          <w:sz w:val="24"/>
          <w:szCs w:val="24"/>
        </w:rPr>
        <w:t xml:space="preserve">is conclusion depended on three propositions.  First, that if some </w:t>
      </w:r>
      <w:r w:rsidR="00E045F2" w:rsidRPr="009A29B9">
        <w:rPr>
          <w:rFonts w:ascii="Times New Roman" w:hAnsi="Times New Roman" w:cs="Times New Roman"/>
          <w:sz w:val="24"/>
          <w:szCs w:val="24"/>
        </w:rPr>
        <w:t xml:space="preserve">defendants </w:t>
      </w:r>
      <w:r w:rsidR="004656B7" w:rsidRPr="009A29B9">
        <w:rPr>
          <w:rFonts w:ascii="Times New Roman" w:hAnsi="Times New Roman" w:cs="Times New Roman"/>
          <w:sz w:val="24"/>
          <w:szCs w:val="24"/>
        </w:rPr>
        <w:t xml:space="preserve">in a suit </w:t>
      </w:r>
      <w:r w:rsidR="00E045F2" w:rsidRPr="009A29B9">
        <w:rPr>
          <w:rFonts w:ascii="Times New Roman" w:hAnsi="Times New Roman" w:cs="Times New Roman"/>
          <w:sz w:val="24"/>
          <w:szCs w:val="24"/>
        </w:rPr>
        <w:t>were alleged to be in breach of contract for failing to pay a debt, and others were responsible for that same loss</w:t>
      </w:r>
      <w:r w:rsidR="009A29B9">
        <w:rPr>
          <w:rFonts w:ascii="Times New Roman" w:hAnsi="Times New Roman" w:cs="Times New Roman"/>
          <w:sz w:val="24"/>
          <w:szCs w:val="24"/>
        </w:rPr>
        <w:t xml:space="preserve"> on the basis of other wrongful conduct</w:t>
      </w:r>
      <w:r w:rsidR="00E045F2" w:rsidRPr="009A29B9">
        <w:rPr>
          <w:rFonts w:ascii="Times New Roman" w:hAnsi="Times New Roman" w:cs="Times New Roman"/>
          <w:sz w:val="24"/>
          <w:szCs w:val="24"/>
        </w:rPr>
        <w:t xml:space="preserve">, then they were concurrent wrongdoers and the relevant provisions of the </w:t>
      </w:r>
      <w:r w:rsidR="009A29B9">
        <w:rPr>
          <w:rFonts w:ascii="Times New Roman" w:hAnsi="Times New Roman" w:cs="Times New Roman"/>
          <w:sz w:val="24"/>
          <w:szCs w:val="24"/>
        </w:rPr>
        <w:t>CLA</w:t>
      </w:r>
      <w:r w:rsidR="00E045F2" w:rsidRPr="009A29B9">
        <w:rPr>
          <w:rFonts w:ascii="Times New Roman" w:hAnsi="Times New Roman" w:cs="Times New Roman"/>
          <w:sz w:val="24"/>
          <w:szCs w:val="24"/>
        </w:rPr>
        <w:t xml:space="preserve"> applied.</w:t>
      </w:r>
      <w:r w:rsidR="004656B7" w:rsidRPr="009A29B9">
        <w:rPr>
          <w:rFonts w:ascii="Times New Roman" w:hAnsi="Times New Roman" w:cs="Times New Roman"/>
          <w:sz w:val="24"/>
          <w:szCs w:val="24"/>
        </w:rPr>
        <w:t xml:space="preserve">  Second, that t</w:t>
      </w:r>
      <w:r w:rsidR="00E045F2" w:rsidRPr="009A29B9">
        <w:rPr>
          <w:rFonts w:ascii="Times New Roman" w:hAnsi="Times New Roman" w:cs="Times New Roman"/>
          <w:sz w:val="24"/>
          <w:szCs w:val="24"/>
        </w:rPr>
        <w:t>he Bank and CBRE were</w:t>
      </w:r>
      <w:r w:rsidR="00657514" w:rsidRPr="009A29B9">
        <w:rPr>
          <w:rFonts w:ascii="Times New Roman" w:hAnsi="Times New Roman" w:cs="Times New Roman"/>
          <w:sz w:val="24"/>
          <w:szCs w:val="24"/>
        </w:rPr>
        <w:t xml:space="preserve"> </w:t>
      </w:r>
      <w:r w:rsidR="00E045F2" w:rsidRPr="009A29B9">
        <w:rPr>
          <w:rFonts w:ascii="Times New Roman" w:hAnsi="Times New Roman" w:cs="Times New Roman"/>
          <w:sz w:val="24"/>
          <w:szCs w:val="24"/>
        </w:rPr>
        <w:t>capabl</w:t>
      </w:r>
      <w:r w:rsidR="004656B7" w:rsidRPr="009A29B9">
        <w:rPr>
          <w:rFonts w:ascii="Times New Roman" w:hAnsi="Times New Roman" w:cs="Times New Roman"/>
          <w:sz w:val="24"/>
          <w:szCs w:val="24"/>
        </w:rPr>
        <w:t xml:space="preserve">e on this basis </w:t>
      </w:r>
      <w:r w:rsidR="00E045F2" w:rsidRPr="009A29B9">
        <w:rPr>
          <w:rFonts w:ascii="Times New Roman" w:hAnsi="Times New Roman" w:cs="Times New Roman"/>
          <w:sz w:val="24"/>
          <w:szCs w:val="24"/>
        </w:rPr>
        <w:t>of being concurrent wrongdoers</w:t>
      </w:r>
      <w:r w:rsidR="004656B7" w:rsidRPr="009A29B9">
        <w:rPr>
          <w:rFonts w:ascii="Times New Roman" w:hAnsi="Times New Roman" w:cs="Times New Roman"/>
          <w:sz w:val="24"/>
          <w:szCs w:val="24"/>
        </w:rPr>
        <w:t xml:space="preserve">, </w:t>
      </w:r>
      <w:r w:rsidR="002772B3" w:rsidRPr="009A29B9">
        <w:rPr>
          <w:rFonts w:ascii="Times New Roman" w:hAnsi="Times New Roman" w:cs="Times New Roman"/>
          <w:sz w:val="24"/>
          <w:szCs w:val="24"/>
        </w:rPr>
        <w:t xml:space="preserve">the Court </w:t>
      </w:r>
      <w:r w:rsidR="00E045F2" w:rsidRPr="009A29B9">
        <w:rPr>
          <w:rFonts w:ascii="Times New Roman" w:hAnsi="Times New Roman" w:cs="Times New Roman"/>
          <w:sz w:val="24"/>
          <w:szCs w:val="24"/>
        </w:rPr>
        <w:t xml:space="preserve">stressing that the Statement of Claim in the action against CBRE proceeded on the basis that it was liable for the same damage as the </w:t>
      </w:r>
      <w:r w:rsidR="009A29B9">
        <w:rPr>
          <w:rFonts w:ascii="Times New Roman" w:hAnsi="Times New Roman" w:cs="Times New Roman"/>
          <w:sz w:val="24"/>
          <w:szCs w:val="24"/>
        </w:rPr>
        <w:t>D</w:t>
      </w:r>
      <w:r w:rsidR="002772B3" w:rsidRPr="009A29B9">
        <w:rPr>
          <w:rFonts w:ascii="Times New Roman" w:hAnsi="Times New Roman" w:cs="Times New Roman"/>
          <w:sz w:val="24"/>
          <w:szCs w:val="24"/>
        </w:rPr>
        <w:t xml:space="preserve">efendants, </w:t>
      </w:r>
      <w:r w:rsidR="00E045F2" w:rsidRPr="009A29B9">
        <w:rPr>
          <w:rFonts w:ascii="Times New Roman" w:hAnsi="Times New Roman" w:cs="Times New Roman"/>
          <w:sz w:val="24"/>
          <w:szCs w:val="24"/>
        </w:rPr>
        <w:t>that is the non-repayment of the loan.</w:t>
      </w:r>
      <w:r w:rsidR="004B1F6B" w:rsidRPr="009A29B9">
        <w:rPr>
          <w:rFonts w:ascii="Times New Roman" w:hAnsi="Times New Roman" w:cs="Times New Roman"/>
          <w:sz w:val="24"/>
          <w:szCs w:val="24"/>
        </w:rPr>
        <w:t xml:space="preserve">  Third, it followed t</w:t>
      </w:r>
      <w:r w:rsidRPr="009A29B9">
        <w:rPr>
          <w:rFonts w:ascii="Times New Roman" w:hAnsi="Times New Roman" w:cs="Times New Roman"/>
          <w:sz w:val="24"/>
          <w:szCs w:val="24"/>
        </w:rPr>
        <w:t>hat (</w:t>
      </w:r>
      <w:r w:rsidR="009A29B9">
        <w:rPr>
          <w:rFonts w:ascii="Times New Roman" w:hAnsi="Times New Roman" w:cs="Times New Roman"/>
          <w:sz w:val="24"/>
          <w:szCs w:val="24"/>
        </w:rPr>
        <w:t>Judgment, paras</w:t>
      </w:r>
      <w:r w:rsidRPr="009A29B9">
        <w:rPr>
          <w:rFonts w:ascii="Times New Roman" w:hAnsi="Times New Roman" w:cs="Times New Roman"/>
          <w:sz w:val="24"/>
          <w:szCs w:val="24"/>
        </w:rPr>
        <w:t>. 353</w:t>
      </w:r>
      <w:r w:rsidR="00D1302C" w:rsidRPr="009A29B9">
        <w:rPr>
          <w:rFonts w:ascii="Times New Roman" w:hAnsi="Times New Roman" w:cs="Times New Roman"/>
          <w:sz w:val="24"/>
          <w:szCs w:val="24"/>
        </w:rPr>
        <w:t xml:space="preserve"> </w:t>
      </w:r>
      <w:r w:rsidR="009A29B9">
        <w:rPr>
          <w:rFonts w:ascii="Times New Roman" w:hAnsi="Times New Roman" w:cs="Times New Roman"/>
          <w:sz w:val="24"/>
          <w:szCs w:val="24"/>
        </w:rPr>
        <w:t>-</w:t>
      </w:r>
      <w:r w:rsidR="00D1302C" w:rsidRPr="009A29B9">
        <w:rPr>
          <w:rFonts w:ascii="Times New Roman" w:hAnsi="Times New Roman" w:cs="Times New Roman"/>
          <w:sz w:val="24"/>
          <w:szCs w:val="24"/>
        </w:rPr>
        <w:t xml:space="preserve"> </w:t>
      </w:r>
      <w:r w:rsidRPr="009A29B9">
        <w:rPr>
          <w:rFonts w:ascii="Times New Roman" w:hAnsi="Times New Roman" w:cs="Times New Roman"/>
          <w:sz w:val="24"/>
          <w:szCs w:val="24"/>
        </w:rPr>
        <w:t>355):</w:t>
      </w:r>
    </w:p>
    <w:p w14:paraId="022F3932" w14:textId="77777777" w:rsidR="00FF2743" w:rsidRPr="00434D69" w:rsidRDefault="00FF2743" w:rsidP="00434D69">
      <w:pPr>
        <w:pStyle w:val="ListParagraph"/>
        <w:spacing w:after="0" w:line="480" w:lineRule="auto"/>
        <w:rPr>
          <w:rFonts w:ascii="Times New Roman" w:hAnsi="Times New Roman" w:cs="Times New Roman"/>
          <w:sz w:val="24"/>
          <w:szCs w:val="24"/>
        </w:rPr>
      </w:pPr>
    </w:p>
    <w:p w14:paraId="68B1F639" w14:textId="32D4A194" w:rsidR="00FF2743" w:rsidRPr="00434D69" w:rsidRDefault="008F432B" w:rsidP="00434D69">
      <w:pPr>
        <w:pStyle w:val="ListParagraph"/>
        <w:spacing w:after="0" w:line="480" w:lineRule="auto"/>
        <w:ind w:left="1440"/>
        <w:jc w:val="both"/>
        <w:rPr>
          <w:rFonts w:ascii="Times New Roman" w:hAnsi="Times New Roman" w:cs="Times New Roman"/>
          <w:i/>
          <w:sz w:val="24"/>
          <w:szCs w:val="24"/>
        </w:rPr>
      </w:pPr>
      <w:r>
        <w:rPr>
          <w:rFonts w:ascii="Times New Roman" w:hAnsi="Times New Roman" w:cs="Times New Roman"/>
          <w:i/>
          <w:sz w:val="24"/>
          <w:szCs w:val="24"/>
        </w:rPr>
        <w:t>‘</w:t>
      </w:r>
      <w:r w:rsidR="00FF2743" w:rsidRPr="00434D69">
        <w:rPr>
          <w:rFonts w:ascii="Times New Roman" w:hAnsi="Times New Roman" w:cs="Times New Roman"/>
          <w:i/>
          <w:sz w:val="24"/>
          <w:szCs w:val="24"/>
        </w:rPr>
        <w:t>This Court</w:t>
      </w:r>
      <w:r w:rsidR="00B67C7D">
        <w:rPr>
          <w:rFonts w:ascii="Times New Roman" w:hAnsi="Times New Roman" w:cs="Times New Roman"/>
          <w:i/>
          <w:sz w:val="24"/>
          <w:szCs w:val="24"/>
        </w:rPr>
        <w:t>’</w:t>
      </w:r>
      <w:r w:rsidR="00FF2743" w:rsidRPr="00434D69">
        <w:rPr>
          <w:rFonts w:ascii="Times New Roman" w:hAnsi="Times New Roman" w:cs="Times New Roman"/>
          <w:i/>
          <w:sz w:val="24"/>
          <w:szCs w:val="24"/>
        </w:rPr>
        <w:t>s interpretation of s. 17(2) is that the Bank</w:t>
      </w:r>
      <w:r w:rsidR="00B67C7D">
        <w:rPr>
          <w:rFonts w:ascii="Times New Roman" w:hAnsi="Times New Roman" w:cs="Times New Roman"/>
          <w:i/>
          <w:sz w:val="24"/>
          <w:szCs w:val="24"/>
        </w:rPr>
        <w:t>’</w:t>
      </w:r>
      <w:r w:rsidR="00FF2743" w:rsidRPr="00434D69">
        <w:rPr>
          <w:rFonts w:ascii="Times New Roman" w:hAnsi="Times New Roman" w:cs="Times New Roman"/>
          <w:i/>
          <w:sz w:val="24"/>
          <w:szCs w:val="24"/>
        </w:rPr>
        <w:t xml:space="preserve">s claim against the McDonaghs is to be reduced by the amount by which CBRE </w:t>
      </w:r>
      <w:r w:rsidR="00FF2743" w:rsidRPr="009A29B9">
        <w:rPr>
          <w:rFonts w:ascii="Times New Roman" w:hAnsi="Times New Roman" w:cs="Times New Roman"/>
          <w:bCs/>
          <w:i/>
          <w:sz w:val="24"/>
          <w:szCs w:val="24"/>
          <w:u w:val="single"/>
        </w:rPr>
        <w:t>would</w:t>
      </w:r>
      <w:r w:rsidR="00FF2743" w:rsidRPr="00434D69">
        <w:rPr>
          <w:rFonts w:ascii="Times New Roman" w:hAnsi="Times New Roman" w:cs="Times New Roman"/>
          <w:i/>
          <w:sz w:val="24"/>
          <w:szCs w:val="24"/>
        </w:rPr>
        <w:t xml:space="preserve"> have been liable to contribute to the damage suffered by the Bank, </w:t>
      </w:r>
      <w:r w:rsidR="00FF2743" w:rsidRPr="009A29B9">
        <w:rPr>
          <w:rFonts w:ascii="Times New Roman" w:hAnsi="Times New Roman" w:cs="Times New Roman"/>
          <w:bCs/>
          <w:i/>
          <w:sz w:val="24"/>
          <w:szCs w:val="24"/>
          <w:u w:val="single"/>
        </w:rPr>
        <w:t>if</w:t>
      </w:r>
      <w:r w:rsidR="00FF2743" w:rsidRPr="005D0736">
        <w:rPr>
          <w:rFonts w:ascii="Times New Roman" w:hAnsi="Times New Roman" w:cs="Times New Roman"/>
          <w:b/>
          <w:bCs/>
          <w:i/>
          <w:sz w:val="24"/>
          <w:szCs w:val="24"/>
        </w:rPr>
        <w:t xml:space="preserve"> </w:t>
      </w:r>
      <w:r w:rsidR="00FF2743" w:rsidRPr="00434D69">
        <w:rPr>
          <w:rFonts w:ascii="Times New Roman" w:hAnsi="Times New Roman" w:cs="Times New Roman"/>
          <w:i/>
          <w:sz w:val="24"/>
          <w:szCs w:val="24"/>
        </w:rPr>
        <w:t>there had been a contribution between CBRE and the McDonaghs</w:t>
      </w:r>
      <w:r w:rsidR="009A29B9">
        <w:rPr>
          <w:rFonts w:ascii="Times New Roman" w:hAnsi="Times New Roman" w:cs="Times New Roman"/>
          <w:i/>
          <w:sz w:val="24"/>
          <w:szCs w:val="24"/>
        </w:rPr>
        <w:t>.</w:t>
      </w:r>
      <w:r w:rsidR="00FF2743" w:rsidRPr="00434D69">
        <w:rPr>
          <w:rFonts w:ascii="Times New Roman" w:hAnsi="Times New Roman" w:cs="Times New Roman"/>
          <w:i/>
          <w:sz w:val="24"/>
          <w:szCs w:val="24"/>
        </w:rPr>
        <w:t xml:space="preserve"> </w:t>
      </w:r>
    </w:p>
    <w:p w14:paraId="0E3FD85B" w14:textId="77777777" w:rsidR="00FF2743" w:rsidRPr="00434D69" w:rsidRDefault="00FF2743" w:rsidP="00434D69">
      <w:pPr>
        <w:pStyle w:val="ListParagraph"/>
        <w:spacing w:after="0" w:line="480" w:lineRule="auto"/>
        <w:jc w:val="both"/>
        <w:rPr>
          <w:rFonts w:ascii="Times New Roman" w:hAnsi="Times New Roman" w:cs="Times New Roman"/>
          <w:i/>
          <w:sz w:val="24"/>
          <w:szCs w:val="24"/>
        </w:rPr>
      </w:pPr>
    </w:p>
    <w:p w14:paraId="425BD7E7" w14:textId="04B18875" w:rsidR="00FF2743" w:rsidRPr="00434D69" w:rsidRDefault="00FF2743" w:rsidP="00434D69">
      <w:pPr>
        <w:pStyle w:val="ListParagraph"/>
        <w:spacing w:after="0" w:line="480" w:lineRule="auto"/>
        <w:ind w:left="1440"/>
        <w:jc w:val="both"/>
        <w:rPr>
          <w:rFonts w:ascii="Times New Roman" w:hAnsi="Times New Roman" w:cs="Times New Roman"/>
          <w:i/>
          <w:sz w:val="24"/>
          <w:szCs w:val="24"/>
        </w:rPr>
      </w:pPr>
      <w:r w:rsidRPr="00434D69">
        <w:rPr>
          <w:rFonts w:ascii="Times New Roman" w:hAnsi="Times New Roman" w:cs="Times New Roman"/>
          <w:i/>
          <w:sz w:val="24"/>
          <w:szCs w:val="24"/>
        </w:rPr>
        <w:t>If this percentage liability of CBRE under the third leg of s. 17(2) is greater, in monetary terms, than the €5 million reduction already made to the Bank</w:t>
      </w:r>
      <w:r w:rsidR="00B67C7D">
        <w:rPr>
          <w:rFonts w:ascii="Times New Roman" w:hAnsi="Times New Roman" w:cs="Times New Roman"/>
          <w:i/>
          <w:sz w:val="24"/>
          <w:szCs w:val="24"/>
        </w:rPr>
        <w:t>’</w:t>
      </w:r>
      <w:r w:rsidRPr="00434D69">
        <w:rPr>
          <w:rFonts w:ascii="Times New Roman" w:hAnsi="Times New Roman" w:cs="Times New Roman"/>
          <w:i/>
          <w:sz w:val="24"/>
          <w:szCs w:val="24"/>
        </w:rPr>
        <w:t>s damage, then the judgment sum of approximately €22 million sought in these proceedings will have to be reduced accordingly.</w:t>
      </w:r>
    </w:p>
    <w:p w14:paraId="58767F46" w14:textId="77777777" w:rsidR="00FF2743" w:rsidRPr="00434D69" w:rsidRDefault="00FF2743" w:rsidP="00434D69">
      <w:pPr>
        <w:pStyle w:val="ListParagraph"/>
        <w:spacing w:after="0" w:line="480" w:lineRule="auto"/>
        <w:ind w:left="1440"/>
        <w:jc w:val="both"/>
        <w:rPr>
          <w:rFonts w:ascii="Times New Roman" w:hAnsi="Times New Roman" w:cs="Times New Roman"/>
          <w:sz w:val="24"/>
          <w:szCs w:val="24"/>
        </w:rPr>
      </w:pPr>
    </w:p>
    <w:p w14:paraId="54FD8FC6" w14:textId="70910111" w:rsidR="00FF2743" w:rsidRPr="009A29B9" w:rsidRDefault="00FF2743" w:rsidP="00434D69">
      <w:pPr>
        <w:pStyle w:val="ListParagraph"/>
        <w:spacing w:after="0" w:line="480" w:lineRule="auto"/>
        <w:ind w:left="1440"/>
        <w:jc w:val="both"/>
        <w:rPr>
          <w:rFonts w:ascii="Times New Roman" w:hAnsi="Times New Roman" w:cs="Times New Roman"/>
          <w:sz w:val="24"/>
          <w:szCs w:val="24"/>
        </w:rPr>
      </w:pPr>
      <w:r w:rsidRPr="00434D69">
        <w:rPr>
          <w:rFonts w:ascii="Times New Roman" w:hAnsi="Times New Roman" w:cs="Times New Roman"/>
          <w:i/>
          <w:sz w:val="24"/>
          <w:szCs w:val="24"/>
        </w:rPr>
        <w:lastRenderedPageBreak/>
        <w:t xml:space="preserve"> If however, the percentage liability is less, in monetary terms, than €5 million, then there will be no reduction in the judgment sum sought by the Bank.</w:t>
      </w:r>
      <w:r w:rsidR="008F432B">
        <w:rPr>
          <w:rFonts w:ascii="Times New Roman" w:hAnsi="Times New Roman" w:cs="Times New Roman"/>
          <w:i/>
          <w:sz w:val="24"/>
          <w:szCs w:val="24"/>
        </w:rPr>
        <w:t>’</w:t>
      </w:r>
      <w:r w:rsidR="009A29B9">
        <w:rPr>
          <w:rFonts w:ascii="Times New Roman" w:hAnsi="Times New Roman" w:cs="Times New Roman"/>
          <w:i/>
          <w:sz w:val="24"/>
          <w:szCs w:val="24"/>
        </w:rPr>
        <w:t xml:space="preserve"> </w:t>
      </w:r>
      <w:r w:rsidR="00A11002">
        <w:rPr>
          <w:rFonts w:ascii="Times New Roman" w:hAnsi="Times New Roman" w:cs="Times New Roman"/>
          <w:sz w:val="24"/>
          <w:szCs w:val="24"/>
        </w:rPr>
        <w:t>(original emphasis)</w:t>
      </w:r>
    </w:p>
    <w:p w14:paraId="1E8175A0" w14:textId="77777777" w:rsidR="00FF2743" w:rsidRPr="00434D69" w:rsidRDefault="00FF2743" w:rsidP="00434D69">
      <w:pPr>
        <w:spacing w:after="0" w:line="480" w:lineRule="auto"/>
        <w:jc w:val="both"/>
        <w:rPr>
          <w:rFonts w:ascii="Times New Roman" w:hAnsi="Times New Roman" w:cs="Times New Roman"/>
          <w:i/>
          <w:sz w:val="24"/>
          <w:szCs w:val="24"/>
        </w:rPr>
      </w:pPr>
    </w:p>
    <w:p w14:paraId="678A34AB" w14:textId="332FDCD6" w:rsidR="00FF2743" w:rsidRPr="00434D69" w:rsidRDefault="00FF2743" w:rsidP="00434D69">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The Judge explained how this would operate as follows (</w:t>
      </w:r>
      <w:r w:rsidR="00A11002">
        <w:rPr>
          <w:rFonts w:ascii="Times New Roman" w:hAnsi="Times New Roman" w:cs="Times New Roman"/>
          <w:sz w:val="24"/>
          <w:szCs w:val="24"/>
        </w:rPr>
        <w:t xml:space="preserve">Judgment, </w:t>
      </w:r>
      <w:r w:rsidRPr="00434D69">
        <w:rPr>
          <w:rFonts w:ascii="Times New Roman" w:hAnsi="Times New Roman" w:cs="Times New Roman"/>
          <w:sz w:val="24"/>
          <w:szCs w:val="24"/>
        </w:rPr>
        <w:t>para</w:t>
      </w:r>
      <w:r w:rsidR="005D12E8">
        <w:rPr>
          <w:rFonts w:ascii="Times New Roman" w:hAnsi="Times New Roman" w:cs="Times New Roman"/>
          <w:sz w:val="24"/>
          <w:szCs w:val="24"/>
        </w:rPr>
        <w:t>s</w:t>
      </w:r>
      <w:r w:rsidR="00A11002">
        <w:rPr>
          <w:rFonts w:ascii="Times New Roman" w:hAnsi="Times New Roman" w:cs="Times New Roman"/>
          <w:sz w:val="24"/>
          <w:szCs w:val="24"/>
        </w:rPr>
        <w:t xml:space="preserve"> </w:t>
      </w:r>
      <w:r w:rsidRPr="00434D69">
        <w:rPr>
          <w:rFonts w:ascii="Times New Roman" w:hAnsi="Times New Roman" w:cs="Times New Roman"/>
          <w:sz w:val="24"/>
          <w:szCs w:val="24"/>
        </w:rPr>
        <w:t xml:space="preserve">356 </w:t>
      </w:r>
      <w:r w:rsidR="00A11002">
        <w:rPr>
          <w:rFonts w:ascii="Times New Roman" w:hAnsi="Times New Roman" w:cs="Times New Roman"/>
          <w:sz w:val="24"/>
          <w:szCs w:val="24"/>
        </w:rPr>
        <w:t>-</w:t>
      </w:r>
      <w:r w:rsidRPr="00434D69">
        <w:rPr>
          <w:rFonts w:ascii="Times New Roman" w:hAnsi="Times New Roman" w:cs="Times New Roman"/>
          <w:sz w:val="24"/>
          <w:szCs w:val="24"/>
        </w:rPr>
        <w:t xml:space="preserve"> 357):</w:t>
      </w:r>
    </w:p>
    <w:p w14:paraId="3C137124" w14:textId="77777777" w:rsidR="00FF2743" w:rsidRPr="00434D69" w:rsidRDefault="00FF2743" w:rsidP="00434D69">
      <w:pPr>
        <w:pStyle w:val="ListParagraph"/>
        <w:spacing w:after="0" w:line="480" w:lineRule="auto"/>
        <w:jc w:val="both"/>
        <w:rPr>
          <w:rFonts w:ascii="Times New Roman" w:hAnsi="Times New Roman" w:cs="Times New Roman"/>
          <w:sz w:val="24"/>
          <w:szCs w:val="24"/>
        </w:rPr>
      </w:pPr>
    </w:p>
    <w:p w14:paraId="50E856EE" w14:textId="29CCB4D7" w:rsidR="00FF2743" w:rsidRPr="00434D69" w:rsidRDefault="00B67C7D" w:rsidP="00434D69">
      <w:pPr>
        <w:pStyle w:val="ListParagraph"/>
        <w:spacing w:after="0" w:line="480" w:lineRule="auto"/>
        <w:ind w:left="1440"/>
        <w:jc w:val="both"/>
        <w:rPr>
          <w:rFonts w:ascii="Times New Roman" w:hAnsi="Times New Roman" w:cs="Times New Roman"/>
          <w:i/>
          <w:sz w:val="24"/>
          <w:szCs w:val="24"/>
        </w:rPr>
      </w:pPr>
      <w:r>
        <w:rPr>
          <w:rFonts w:ascii="Times New Roman" w:hAnsi="Times New Roman" w:cs="Times New Roman"/>
          <w:i/>
          <w:sz w:val="24"/>
          <w:szCs w:val="24"/>
        </w:rPr>
        <w:t>‘</w:t>
      </w:r>
      <w:r w:rsidR="00A11002">
        <w:rPr>
          <w:rFonts w:ascii="Times New Roman" w:hAnsi="Times New Roman" w:cs="Times New Roman"/>
          <w:i/>
          <w:sz w:val="24"/>
          <w:szCs w:val="24"/>
        </w:rPr>
        <w:t xml:space="preserve">356. </w:t>
      </w:r>
      <w:r w:rsidR="00FF2743" w:rsidRPr="00434D69">
        <w:rPr>
          <w:rFonts w:ascii="Times New Roman" w:hAnsi="Times New Roman" w:cs="Times New Roman"/>
          <w:i/>
          <w:sz w:val="24"/>
          <w:szCs w:val="24"/>
        </w:rPr>
        <w:t xml:space="preserve">Thus, without wishing to prejudge this issue and to take just an example, if CBRE were held by a court to be say 10% liable for the non-repayment of the loan because of its allegedly negligent valuation (and the McDonaghs were held to be 90% liable for that non-repayment), then under the 1961 Act, the Bank is deemed to be guilty of 10% contributory negligence (arising from its settlement with CBRE). On this basis, the Bank would only be entitled to recover 90% of the outstanding loan from the McDonaghs.  </w:t>
      </w:r>
    </w:p>
    <w:p w14:paraId="7C5BD507" w14:textId="77777777" w:rsidR="00FF2743" w:rsidRPr="00434D69" w:rsidRDefault="00FF2743" w:rsidP="00434D69">
      <w:pPr>
        <w:pStyle w:val="ListParagraph"/>
        <w:spacing w:after="0" w:line="480" w:lineRule="auto"/>
        <w:ind w:left="1440"/>
        <w:jc w:val="both"/>
        <w:rPr>
          <w:rFonts w:ascii="Times New Roman" w:hAnsi="Times New Roman" w:cs="Times New Roman"/>
          <w:sz w:val="24"/>
          <w:szCs w:val="24"/>
        </w:rPr>
      </w:pPr>
    </w:p>
    <w:p w14:paraId="6A087550" w14:textId="4E116F42" w:rsidR="00FF2743" w:rsidRPr="00434D69" w:rsidRDefault="00A11002" w:rsidP="00434D69">
      <w:pPr>
        <w:pStyle w:val="ListParagraph"/>
        <w:spacing w:after="0" w:line="480" w:lineRule="auto"/>
        <w:ind w:left="1440"/>
        <w:jc w:val="both"/>
        <w:rPr>
          <w:rFonts w:ascii="Times New Roman" w:hAnsi="Times New Roman" w:cs="Times New Roman"/>
          <w:i/>
          <w:sz w:val="24"/>
          <w:szCs w:val="24"/>
        </w:rPr>
      </w:pPr>
      <w:r>
        <w:rPr>
          <w:rFonts w:ascii="Times New Roman" w:hAnsi="Times New Roman" w:cs="Times New Roman"/>
          <w:i/>
          <w:sz w:val="24"/>
          <w:szCs w:val="24"/>
        </w:rPr>
        <w:t xml:space="preserve">357. </w:t>
      </w:r>
      <w:r w:rsidR="00FF2743" w:rsidRPr="00434D69">
        <w:rPr>
          <w:rFonts w:ascii="Times New Roman" w:hAnsi="Times New Roman" w:cs="Times New Roman"/>
          <w:i/>
          <w:sz w:val="24"/>
          <w:szCs w:val="24"/>
        </w:rPr>
        <w:t>A finding of say 10% liability for CBRE might, for example, result from a court finding firstly that the valuation of the site was negligently high and secondly that a lower valuation of the site might have led to the Bank still lending to the McDonaghs but simply seeking greater equity from the McDonaghs, which was suggested by Mr. Moore but nonetheless a finding by a court that CBRE was partly responsible for the non-payment of the loan by the McDonaghs.</w:t>
      </w:r>
      <w:r>
        <w:rPr>
          <w:rFonts w:ascii="Times New Roman" w:hAnsi="Times New Roman" w:cs="Times New Roman"/>
          <w:i/>
          <w:sz w:val="24"/>
          <w:szCs w:val="24"/>
        </w:rPr>
        <w:t>”</w:t>
      </w:r>
    </w:p>
    <w:p w14:paraId="61895CFF" w14:textId="77777777" w:rsidR="00FF2743" w:rsidRPr="00434D69" w:rsidRDefault="00FF2743"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112D0C5A" w14:textId="22A78282" w:rsidR="0052065A" w:rsidRDefault="00FF2743" w:rsidP="008B2EBD">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The matter was then </w:t>
      </w:r>
      <w:r w:rsidR="00A11002">
        <w:rPr>
          <w:rFonts w:ascii="Times New Roman" w:hAnsi="Times New Roman" w:cs="Times New Roman"/>
          <w:sz w:val="24"/>
          <w:szCs w:val="24"/>
        </w:rPr>
        <w:t xml:space="preserve">listed </w:t>
      </w:r>
      <w:r w:rsidRPr="00434D69">
        <w:rPr>
          <w:rFonts w:ascii="Times New Roman" w:hAnsi="Times New Roman" w:cs="Times New Roman"/>
          <w:sz w:val="24"/>
          <w:szCs w:val="24"/>
        </w:rPr>
        <w:t xml:space="preserve">for further argument, following which Twomey J. delivered his second judgment </w:t>
      </w:r>
      <w:r w:rsidR="00700D7E">
        <w:rPr>
          <w:rFonts w:ascii="Times New Roman" w:hAnsi="Times New Roman" w:cs="Times New Roman"/>
          <w:sz w:val="24"/>
          <w:szCs w:val="24"/>
        </w:rPr>
        <w:t xml:space="preserve">on 23 June 2020 </w:t>
      </w:r>
      <w:r w:rsidRPr="00434D69">
        <w:rPr>
          <w:rFonts w:ascii="Times New Roman" w:hAnsi="Times New Roman" w:cs="Times New Roman"/>
          <w:sz w:val="24"/>
          <w:szCs w:val="24"/>
        </w:rPr>
        <w:t>([2020] IEHC 311)</w:t>
      </w:r>
      <w:r w:rsidR="00700D7E" w:rsidRPr="00700D7E">
        <w:rPr>
          <w:rFonts w:ascii="Times New Roman" w:hAnsi="Times New Roman" w:cs="Times New Roman"/>
          <w:sz w:val="24"/>
          <w:szCs w:val="24"/>
        </w:rPr>
        <w:t xml:space="preserve"> </w:t>
      </w:r>
      <w:r w:rsidR="00700D7E">
        <w:rPr>
          <w:rFonts w:ascii="Times New Roman" w:hAnsi="Times New Roman" w:cs="Times New Roman"/>
          <w:sz w:val="24"/>
          <w:szCs w:val="24"/>
        </w:rPr>
        <w:t>(the “</w:t>
      </w:r>
      <w:r w:rsidR="00700D7E" w:rsidRPr="00A11002">
        <w:rPr>
          <w:rFonts w:ascii="Times New Roman" w:hAnsi="Times New Roman" w:cs="Times New Roman"/>
          <w:i/>
          <w:sz w:val="24"/>
          <w:szCs w:val="24"/>
        </w:rPr>
        <w:t xml:space="preserve">Supplemental </w:t>
      </w:r>
      <w:r w:rsidR="00700D7E" w:rsidRPr="00A11002">
        <w:rPr>
          <w:rFonts w:ascii="Times New Roman" w:hAnsi="Times New Roman" w:cs="Times New Roman"/>
          <w:i/>
          <w:sz w:val="24"/>
          <w:szCs w:val="24"/>
        </w:rPr>
        <w:lastRenderedPageBreak/>
        <w:t>Judgment”)</w:t>
      </w:r>
      <w:r w:rsidRPr="00434D69">
        <w:rPr>
          <w:rFonts w:ascii="Times New Roman" w:hAnsi="Times New Roman" w:cs="Times New Roman"/>
          <w:sz w:val="24"/>
          <w:szCs w:val="24"/>
        </w:rPr>
        <w:t xml:space="preserve">.  </w:t>
      </w:r>
      <w:r w:rsidR="002E191D">
        <w:rPr>
          <w:rFonts w:ascii="Times New Roman" w:hAnsi="Times New Roman" w:cs="Times New Roman"/>
          <w:sz w:val="24"/>
          <w:szCs w:val="24"/>
        </w:rPr>
        <w:t>For the reasons set out in it</w:t>
      </w:r>
      <w:r w:rsidRPr="00434D69">
        <w:rPr>
          <w:rFonts w:ascii="Times New Roman" w:hAnsi="Times New Roman" w:cs="Times New Roman"/>
          <w:sz w:val="24"/>
          <w:szCs w:val="24"/>
        </w:rPr>
        <w:t xml:space="preserve">, </w:t>
      </w:r>
      <w:r w:rsidR="002E191D">
        <w:rPr>
          <w:rFonts w:ascii="Times New Roman" w:hAnsi="Times New Roman" w:cs="Times New Roman"/>
          <w:sz w:val="24"/>
          <w:szCs w:val="24"/>
        </w:rPr>
        <w:t>the Judge</w:t>
      </w:r>
      <w:r w:rsidRPr="00434D69">
        <w:rPr>
          <w:rFonts w:ascii="Times New Roman" w:hAnsi="Times New Roman" w:cs="Times New Roman"/>
          <w:sz w:val="24"/>
          <w:szCs w:val="24"/>
        </w:rPr>
        <w:t xml:space="preserve"> found that</w:t>
      </w:r>
      <w:r w:rsidR="00A11002">
        <w:rPr>
          <w:rFonts w:ascii="Times New Roman" w:hAnsi="Times New Roman" w:cs="Times New Roman"/>
          <w:sz w:val="24"/>
          <w:szCs w:val="24"/>
        </w:rPr>
        <w:t>, if</w:t>
      </w:r>
      <w:r w:rsidRPr="00434D69">
        <w:rPr>
          <w:rFonts w:ascii="Times New Roman" w:hAnsi="Times New Roman" w:cs="Times New Roman"/>
          <w:sz w:val="24"/>
          <w:szCs w:val="24"/>
        </w:rPr>
        <w:t xml:space="preserve"> </w:t>
      </w:r>
      <w:r w:rsidR="00A11002" w:rsidRPr="00434D69">
        <w:rPr>
          <w:rFonts w:ascii="Times New Roman" w:hAnsi="Times New Roman" w:cs="Times New Roman"/>
          <w:sz w:val="24"/>
          <w:szCs w:val="24"/>
        </w:rPr>
        <w:t xml:space="preserve">the </w:t>
      </w:r>
      <w:r w:rsidR="00A11002">
        <w:rPr>
          <w:rFonts w:ascii="Times New Roman" w:hAnsi="Times New Roman" w:cs="Times New Roman"/>
          <w:sz w:val="24"/>
          <w:szCs w:val="24"/>
        </w:rPr>
        <w:t>D</w:t>
      </w:r>
      <w:r w:rsidR="00A11002" w:rsidRPr="00434D69">
        <w:rPr>
          <w:rFonts w:ascii="Times New Roman" w:hAnsi="Times New Roman" w:cs="Times New Roman"/>
          <w:sz w:val="24"/>
          <w:szCs w:val="24"/>
        </w:rPr>
        <w:t xml:space="preserve">efendants </w:t>
      </w:r>
      <w:r w:rsidR="00A11002">
        <w:rPr>
          <w:rFonts w:ascii="Times New Roman" w:hAnsi="Times New Roman" w:cs="Times New Roman"/>
          <w:sz w:val="24"/>
          <w:szCs w:val="24"/>
        </w:rPr>
        <w:t>sought</w:t>
      </w:r>
      <w:r w:rsidR="00A11002" w:rsidRPr="00434D69">
        <w:rPr>
          <w:rFonts w:ascii="Times New Roman" w:hAnsi="Times New Roman" w:cs="Times New Roman"/>
          <w:sz w:val="24"/>
          <w:szCs w:val="24"/>
        </w:rPr>
        <w:t xml:space="preserve"> to contend that the Bank was precluded from recovering the loan or any part thereof</w:t>
      </w:r>
      <w:r w:rsidR="00A11002">
        <w:rPr>
          <w:rFonts w:ascii="Times New Roman" w:hAnsi="Times New Roman" w:cs="Times New Roman"/>
          <w:sz w:val="24"/>
          <w:szCs w:val="24"/>
        </w:rPr>
        <w:t>,</w:t>
      </w:r>
      <w:r w:rsidR="00A11002" w:rsidRPr="00434D69">
        <w:rPr>
          <w:rFonts w:ascii="Times New Roman" w:hAnsi="Times New Roman" w:cs="Times New Roman"/>
          <w:sz w:val="24"/>
          <w:szCs w:val="24"/>
        </w:rPr>
        <w:t xml:space="preserve"> </w:t>
      </w:r>
      <w:r w:rsidRPr="00434D69">
        <w:rPr>
          <w:rFonts w:ascii="Times New Roman" w:hAnsi="Times New Roman" w:cs="Times New Roman"/>
          <w:sz w:val="24"/>
          <w:szCs w:val="24"/>
        </w:rPr>
        <w:t>the onus of proof was on the</w:t>
      </w:r>
      <w:r w:rsidR="00A11002">
        <w:rPr>
          <w:rFonts w:ascii="Times New Roman" w:hAnsi="Times New Roman" w:cs="Times New Roman"/>
          <w:sz w:val="24"/>
          <w:szCs w:val="24"/>
        </w:rPr>
        <w:t>m</w:t>
      </w:r>
      <w:r w:rsidRPr="00434D69">
        <w:rPr>
          <w:rFonts w:ascii="Times New Roman" w:hAnsi="Times New Roman" w:cs="Times New Roman"/>
          <w:sz w:val="24"/>
          <w:szCs w:val="24"/>
        </w:rPr>
        <w:t xml:space="preserve"> to establish that CBRE was negligent in relation to the issue of its valuation report, that the report was the cause of the non-repayment of the loan by the McDonaghs or the cause of more than 18% of the damage/loss suffered by </w:t>
      </w:r>
      <w:r w:rsidR="00A11002">
        <w:rPr>
          <w:rFonts w:ascii="Times New Roman" w:hAnsi="Times New Roman" w:cs="Times New Roman"/>
          <w:sz w:val="24"/>
          <w:szCs w:val="24"/>
        </w:rPr>
        <w:t>the</w:t>
      </w:r>
      <w:r w:rsidRPr="00434D69">
        <w:rPr>
          <w:rFonts w:ascii="Times New Roman" w:hAnsi="Times New Roman" w:cs="Times New Roman"/>
          <w:sz w:val="24"/>
          <w:szCs w:val="24"/>
        </w:rPr>
        <w:t xml:space="preserve"> Bank as a result of the non-repayment of the loan</w:t>
      </w:r>
      <w:r w:rsidR="00700D7E">
        <w:rPr>
          <w:rFonts w:ascii="Times New Roman" w:hAnsi="Times New Roman" w:cs="Times New Roman"/>
          <w:sz w:val="24"/>
          <w:szCs w:val="24"/>
        </w:rPr>
        <w:t xml:space="preserve"> (18% being the proportion of the overall indebtedness of the Defendants represented by the €5,000,000 paid by CBRE in settlement of the Bank’s claim against it)</w:t>
      </w:r>
      <w:r w:rsidR="005D12E8">
        <w:rPr>
          <w:rFonts w:ascii="Times New Roman" w:hAnsi="Times New Roman" w:cs="Times New Roman"/>
          <w:sz w:val="24"/>
          <w:szCs w:val="24"/>
        </w:rPr>
        <w:t>,</w:t>
      </w:r>
      <w:r w:rsidRPr="00434D69">
        <w:rPr>
          <w:rFonts w:ascii="Times New Roman" w:hAnsi="Times New Roman" w:cs="Times New Roman"/>
          <w:sz w:val="24"/>
          <w:szCs w:val="24"/>
        </w:rPr>
        <w:t xml:space="preserve"> and that CBRE was sufficient</w:t>
      </w:r>
      <w:r w:rsidR="005D12E8">
        <w:rPr>
          <w:rFonts w:ascii="Times New Roman" w:hAnsi="Times New Roman" w:cs="Times New Roman"/>
          <w:sz w:val="24"/>
          <w:szCs w:val="24"/>
        </w:rPr>
        <w:t>ly</w:t>
      </w:r>
      <w:r w:rsidRPr="00434D69">
        <w:rPr>
          <w:rFonts w:ascii="Times New Roman" w:hAnsi="Times New Roman" w:cs="Times New Roman"/>
          <w:sz w:val="24"/>
          <w:szCs w:val="24"/>
        </w:rPr>
        <w:t xml:space="preserve"> blameworthy relative to the </w:t>
      </w:r>
      <w:r w:rsidR="00A11002">
        <w:rPr>
          <w:rFonts w:ascii="Times New Roman" w:hAnsi="Times New Roman" w:cs="Times New Roman"/>
          <w:sz w:val="24"/>
          <w:szCs w:val="24"/>
        </w:rPr>
        <w:t>D</w:t>
      </w:r>
      <w:r w:rsidRPr="00434D69">
        <w:rPr>
          <w:rFonts w:ascii="Times New Roman" w:hAnsi="Times New Roman" w:cs="Times New Roman"/>
          <w:sz w:val="24"/>
          <w:szCs w:val="24"/>
        </w:rPr>
        <w:t>efendants for the non-repayment of the loan such as to justify a finding that CBRE should be held liable for more than 18% of the loss or damage (this being the ratio of the settlement amount to the outstanding loan) or indeed that CBRE should be liable for more than 100% of the loss or damage suffered by the Bank</w:t>
      </w:r>
      <w:r w:rsidR="002E191D">
        <w:rPr>
          <w:rFonts w:ascii="Times New Roman" w:hAnsi="Times New Roman" w:cs="Times New Roman"/>
          <w:sz w:val="24"/>
          <w:szCs w:val="24"/>
        </w:rPr>
        <w:t xml:space="preserve"> (Supplemental Judgment, paras 10 – 13)</w:t>
      </w:r>
      <w:r w:rsidRPr="00434D69">
        <w:rPr>
          <w:rFonts w:ascii="Times New Roman" w:hAnsi="Times New Roman" w:cs="Times New Roman"/>
          <w:sz w:val="24"/>
          <w:szCs w:val="24"/>
        </w:rPr>
        <w:t xml:space="preserve">.  However, the </w:t>
      </w:r>
      <w:r w:rsidR="002E191D">
        <w:rPr>
          <w:rFonts w:ascii="Times New Roman" w:hAnsi="Times New Roman" w:cs="Times New Roman"/>
          <w:sz w:val="24"/>
          <w:szCs w:val="24"/>
        </w:rPr>
        <w:t>D</w:t>
      </w:r>
      <w:r w:rsidRPr="00434D69">
        <w:rPr>
          <w:rFonts w:ascii="Times New Roman" w:hAnsi="Times New Roman" w:cs="Times New Roman"/>
          <w:sz w:val="24"/>
          <w:szCs w:val="24"/>
        </w:rPr>
        <w:t>efendants had adduced no evidence on any of these matters</w:t>
      </w:r>
      <w:r w:rsidR="004B1F6B" w:rsidRPr="00434D69">
        <w:rPr>
          <w:rFonts w:ascii="Times New Roman" w:hAnsi="Times New Roman" w:cs="Times New Roman"/>
          <w:sz w:val="24"/>
          <w:szCs w:val="24"/>
        </w:rPr>
        <w:t xml:space="preserve"> </w:t>
      </w:r>
      <w:r w:rsidRPr="00434D69">
        <w:rPr>
          <w:rFonts w:ascii="Times New Roman" w:hAnsi="Times New Roman" w:cs="Times New Roman"/>
          <w:sz w:val="24"/>
          <w:szCs w:val="24"/>
        </w:rPr>
        <w:t>and had accordingly failed to discharge that onus</w:t>
      </w:r>
      <w:r w:rsidR="002E191D">
        <w:rPr>
          <w:rFonts w:ascii="Times New Roman" w:hAnsi="Times New Roman" w:cs="Times New Roman"/>
          <w:sz w:val="24"/>
          <w:szCs w:val="24"/>
        </w:rPr>
        <w:t xml:space="preserve"> (Supplemental Judgment, paras 15-30). The Judge rejected a submission from the First Defendant to the effect that CBRE had a “</w:t>
      </w:r>
      <w:r w:rsidR="002E191D" w:rsidRPr="002E191D">
        <w:rPr>
          <w:rFonts w:ascii="Times New Roman" w:hAnsi="Times New Roman" w:cs="Times New Roman"/>
          <w:i/>
          <w:sz w:val="24"/>
          <w:szCs w:val="24"/>
        </w:rPr>
        <w:t>contractual liability</w:t>
      </w:r>
      <w:r w:rsidR="002E191D">
        <w:rPr>
          <w:rFonts w:ascii="Times New Roman" w:hAnsi="Times New Roman" w:cs="Times New Roman"/>
          <w:sz w:val="24"/>
          <w:szCs w:val="24"/>
        </w:rPr>
        <w:t>” for the debt due by the Defendants (Supplemental Judgment, paras 31-32). The Judge also rejected the First Defendant’s contention that CBRE should, “</w:t>
      </w:r>
      <w:r w:rsidR="002E191D" w:rsidRPr="002E191D">
        <w:rPr>
          <w:rFonts w:ascii="Times New Roman" w:hAnsi="Times New Roman" w:cs="Times New Roman"/>
          <w:i/>
          <w:sz w:val="24"/>
          <w:szCs w:val="24"/>
        </w:rPr>
        <w:t>because of its greater blameworthiness relative to the blameworthiness of the McDonaghs”</w:t>
      </w:r>
      <w:r w:rsidR="002E191D">
        <w:rPr>
          <w:rFonts w:ascii="Times New Roman" w:hAnsi="Times New Roman" w:cs="Times New Roman"/>
          <w:sz w:val="24"/>
          <w:szCs w:val="24"/>
        </w:rPr>
        <w:t xml:space="preserve">, be 100% liable for the non-repayment of the loan. Absent evidence that CBRE was a concurrent wrongdoer, that issue did not arise for consideration. In any event, </w:t>
      </w:r>
      <w:r w:rsidR="00F151BA">
        <w:rPr>
          <w:rFonts w:ascii="Times New Roman" w:hAnsi="Times New Roman" w:cs="Times New Roman"/>
          <w:sz w:val="24"/>
          <w:szCs w:val="24"/>
        </w:rPr>
        <w:t>the grounds relied on by the First Defendant all related to the conduct of the Bank rather than the conduct of CBR</w:t>
      </w:r>
      <w:r w:rsidR="00805079">
        <w:rPr>
          <w:rFonts w:ascii="Times New Roman" w:hAnsi="Times New Roman" w:cs="Times New Roman"/>
          <w:sz w:val="24"/>
          <w:szCs w:val="24"/>
        </w:rPr>
        <w:t>E</w:t>
      </w:r>
      <w:r w:rsidR="00F151BA">
        <w:rPr>
          <w:rFonts w:ascii="Times New Roman" w:hAnsi="Times New Roman" w:cs="Times New Roman"/>
          <w:sz w:val="24"/>
          <w:szCs w:val="24"/>
        </w:rPr>
        <w:t xml:space="preserve"> (Supplemental Judgment, paras 33-42).</w:t>
      </w:r>
    </w:p>
    <w:p w14:paraId="00E6492C" w14:textId="77777777" w:rsidR="00C63AB6" w:rsidRDefault="00C63AB6" w:rsidP="00C63AB6">
      <w:pPr>
        <w:pStyle w:val="ListParagraph"/>
        <w:spacing w:after="0" w:line="480" w:lineRule="auto"/>
        <w:jc w:val="both"/>
        <w:rPr>
          <w:rFonts w:ascii="Times New Roman" w:hAnsi="Times New Roman" w:cs="Times New Roman"/>
          <w:sz w:val="24"/>
          <w:szCs w:val="24"/>
        </w:rPr>
      </w:pPr>
    </w:p>
    <w:p w14:paraId="0E9567E2" w14:textId="0BE7C0C5" w:rsidR="00C63AB6" w:rsidRDefault="00C63AB6" w:rsidP="008B2EBD">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Subsequently, the First Defendant </w:t>
      </w:r>
      <w:r w:rsidR="001F26B8">
        <w:rPr>
          <w:rFonts w:ascii="Times New Roman" w:hAnsi="Times New Roman" w:cs="Times New Roman"/>
          <w:sz w:val="24"/>
          <w:szCs w:val="24"/>
        </w:rPr>
        <w:t>sought liberty to issue</w:t>
      </w:r>
      <w:r>
        <w:rPr>
          <w:rFonts w:ascii="Times New Roman" w:hAnsi="Times New Roman" w:cs="Times New Roman"/>
          <w:sz w:val="24"/>
          <w:szCs w:val="24"/>
        </w:rPr>
        <w:t xml:space="preserve"> a motion in which he sought (</w:t>
      </w:r>
      <w:r w:rsidRPr="00C63AB6">
        <w:rPr>
          <w:rFonts w:ascii="Times New Roman" w:hAnsi="Times New Roman" w:cs="Times New Roman"/>
          <w:i/>
          <w:sz w:val="24"/>
          <w:szCs w:val="24"/>
        </w:rPr>
        <w:t>inter alia</w:t>
      </w:r>
      <w:r>
        <w:rPr>
          <w:rFonts w:ascii="Times New Roman" w:hAnsi="Times New Roman" w:cs="Times New Roman"/>
          <w:sz w:val="24"/>
          <w:szCs w:val="24"/>
        </w:rPr>
        <w:t>) an order setting aside the declaration that he had breached the Compromise Agreement, an order “</w:t>
      </w:r>
      <w:r w:rsidRPr="00C63AB6">
        <w:rPr>
          <w:rFonts w:ascii="Times New Roman" w:hAnsi="Times New Roman" w:cs="Times New Roman"/>
          <w:i/>
          <w:sz w:val="24"/>
          <w:szCs w:val="24"/>
        </w:rPr>
        <w:t>voiding the entire effects of the Compromise Agreement</w:t>
      </w:r>
      <w:r>
        <w:rPr>
          <w:rFonts w:ascii="Times New Roman" w:hAnsi="Times New Roman" w:cs="Times New Roman"/>
          <w:sz w:val="24"/>
          <w:szCs w:val="24"/>
        </w:rPr>
        <w:t>”, an order setting aside the judgment granted to the Bank “</w:t>
      </w:r>
      <w:r w:rsidRPr="00C63AB6">
        <w:rPr>
          <w:rFonts w:ascii="Times New Roman" w:hAnsi="Times New Roman" w:cs="Times New Roman"/>
          <w:i/>
          <w:sz w:val="24"/>
          <w:szCs w:val="24"/>
        </w:rPr>
        <w:t>for want of particulars</w:t>
      </w:r>
      <w:r>
        <w:rPr>
          <w:rFonts w:ascii="Times New Roman" w:hAnsi="Times New Roman" w:cs="Times New Roman"/>
          <w:sz w:val="24"/>
          <w:szCs w:val="24"/>
        </w:rPr>
        <w:t>” and an order “</w:t>
      </w:r>
      <w:r w:rsidRPr="00C63AB6">
        <w:rPr>
          <w:rFonts w:ascii="Times New Roman" w:hAnsi="Times New Roman" w:cs="Times New Roman"/>
          <w:i/>
          <w:sz w:val="24"/>
          <w:szCs w:val="24"/>
        </w:rPr>
        <w:t>permitting a review of the Judgment</w:t>
      </w:r>
      <w:r>
        <w:rPr>
          <w:rFonts w:ascii="Times New Roman" w:hAnsi="Times New Roman" w:cs="Times New Roman"/>
          <w:sz w:val="24"/>
          <w:szCs w:val="24"/>
        </w:rPr>
        <w:t>” of 24 April 2020.</w:t>
      </w:r>
      <w:r w:rsidR="0050719E">
        <w:rPr>
          <w:rFonts w:ascii="Times New Roman" w:hAnsi="Times New Roman" w:cs="Times New Roman"/>
          <w:sz w:val="24"/>
          <w:szCs w:val="24"/>
        </w:rPr>
        <w:t xml:space="preserve"> The basis for that motion was set out in a lengthy affidavit sworn by the First Defendant. In essence, he contended that he had been induced to enter into the Compromise Agreeme</w:t>
      </w:r>
      <w:r w:rsidR="00F75594">
        <w:rPr>
          <w:rFonts w:ascii="Times New Roman" w:hAnsi="Times New Roman" w:cs="Times New Roman"/>
          <w:sz w:val="24"/>
          <w:szCs w:val="24"/>
        </w:rPr>
        <w:t xml:space="preserve">nt by reason of misrepresentation/concealment of material facts, namely that, as of </w:t>
      </w:r>
      <w:r w:rsidR="00F2474E">
        <w:rPr>
          <w:rFonts w:ascii="Times New Roman" w:hAnsi="Times New Roman" w:cs="Times New Roman"/>
          <w:sz w:val="24"/>
          <w:szCs w:val="24"/>
        </w:rPr>
        <w:t>13 March 2013</w:t>
      </w:r>
      <w:r w:rsidR="008B0792">
        <w:rPr>
          <w:rFonts w:ascii="Times New Roman" w:hAnsi="Times New Roman" w:cs="Times New Roman"/>
          <w:sz w:val="24"/>
          <w:szCs w:val="24"/>
        </w:rPr>
        <w:t xml:space="preserve"> (when the Compromise Agreement was executed) the Bank had not </w:t>
      </w:r>
      <w:r w:rsidR="00B35D75">
        <w:rPr>
          <w:rFonts w:ascii="Times New Roman" w:hAnsi="Times New Roman" w:cs="Times New Roman"/>
          <w:sz w:val="24"/>
          <w:szCs w:val="24"/>
        </w:rPr>
        <w:t>succeeded in having i</w:t>
      </w:r>
      <w:r w:rsidR="008B0792">
        <w:rPr>
          <w:rFonts w:ascii="Times New Roman" w:hAnsi="Times New Roman" w:cs="Times New Roman"/>
          <w:sz w:val="24"/>
          <w:szCs w:val="24"/>
        </w:rPr>
        <w:t>ts charge over the Kilpeddar Lands</w:t>
      </w:r>
      <w:r w:rsidR="00B35D75">
        <w:rPr>
          <w:rFonts w:ascii="Times New Roman" w:hAnsi="Times New Roman" w:cs="Times New Roman"/>
          <w:sz w:val="24"/>
          <w:szCs w:val="24"/>
        </w:rPr>
        <w:t xml:space="preserve"> registered</w:t>
      </w:r>
      <w:r w:rsidR="008B0792">
        <w:rPr>
          <w:rFonts w:ascii="Times New Roman" w:hAnsi="Times New Roman" w:cs="Times New Roman"/>
          <w:sz w:val="24"/>
          <w:szCs w:val="24"/>
        </w:rPr>
        <w:t xml:space="preserve"> in the Land Registry</w:t>
      </w:r>
      <w:r w:rsidR="00B35D75">
        <w:rPr>
          <w:rFonts w:ascii="Times New Roman" w:hAnsi="Times New Roman" w:cs="Times New Roman"/>
          <w:sz w:val="24"/>
          <w:szCs w:val="24"/>
        </w:rPr>
        <w:t xml:space="preserve"> (according to the First Defendant the charge was only registered in December 2013)</w:t>
      </w:r>
      <w:r w:rsidR="008B0792">
        <w:rPr>
          <w:rFonts w:ascii="Times New Roman" w:hAnsi="Times New Roman" w:cs="Times New Roman"/>
          <w:sz w:val="24"/>
          <w:szCs w:val="24"/>
        </w:rPr>
        <w:t xml:space="preserve">. On that basis, and having regard </w:t>
      </w:r>
      <w:r w:rsidR="00BE7108">
        <w:rPr>
          <w:rFonts w:ascii="Times New Roman" w:hAnsi="Times New Roman" w:cs="Times New Roman"/>
          <w:sz w:val="24"/>
          <w:szCs w:val="24"/>
        </w:rPr>
        <w:t xml:space="preserve">to </w:t>
      </w:r>
      <w:r w:rsidR="008B0792">
        <w:rPr>
          <w:rFonts w:ascii="Times New Roman" w:hAnsi="Times New Roman" w:cs="Times New Roman"/>
          <w:sz w:val="24"/>
          <w:szCs w:val="24"/>
        </w:rPr>
        <w:t xml:space="preserve">the provisions of section 62(2) of the Registration of Title Act 1964, it was said by the First Defendant that the Bank had no interest in the Lands and were in breach of section 62(2) in </w:t>
      </w:r>
      <w:r w:rsidR="00B35D75">
        <w:rPr>
          <w:rFonts w:ascii="Times New Roman" w:hAnsi="Times New Roman" w:cs="Times New Roman"/>
          <w:sz w:val="24"/>
          <w:szCs w:val="24"/>
        </w:rPr>
        <w:t>demanding and procuring the consent of the Defendants to their sale.</w:t>
      </w:r>
    </w:p>
    <w:p w14:paraId="2E2293A3" w14:textId="77777777" w:rsidR="001F26B8" w:rsidRDefault="001F26B8" w:rsidP="001F26B8">
      <w:pPr>
        <w:pStyle w:val="ListParagraph"/>
        <w:spacing w:after="0" w:line="480" w:lineRule="auto"/>
        <w:jc w:val="both"/>
        <w:rPr>
          <w:rFonts w:ascii="Times New Roman" w:hAnsi="Times New Roman" w:cs="Times New Roman"/>
          <w:sz w:val="24"/>
          <w:szCs w:val="24"/>
        </w:rPr>
      </w:pPr>
    </w:p>
    <w:p w14:paraId="01160C0D" w14:textId="2D4268C2" w:rsidR="001F26B8" w:rsidRDefault="001F26B8" w:rsidP="008B2EBD">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motion was debated before the High Court on 16 July 2020. The Bank objected to the attempt to re-open the Judgment</w:t>
      </w:r>
      <w:r w:rsidR="00B04289">
        <w:rPr>
          <w:rFonts w:ascii="Times New Roman" w:hAnsi="Times New Roman" w:cs="Times New Roman"/>
          <w:sz w:val="24"/>
          <w:szCs w:val="24"/>
        </w:rPr>
        <w:t xml:space="preserve">. It relied </w:t>
      </w:r>
      <w:r>
        <w:rPr>
          <w:rFonts w:ascii="Times New Roman" w:hAnsi="Times New Roman" w:cs="Times New Roman"/>
          <w:sz w:val="24"/>
          <w:szCs w:val="24"/>
        </w:rPr>
        <w:t xml:space="preserve">on the </w:t>
      </w:r>
      <w:r w:rsidR="00B04289">
        <w:rPr>
          <w:rFonts w:ascii="Times New Roman" w:hAnsi="Times New Roman" w:cs="Times New Roman"/>
          <w:sz w:val="24"/>
          <w:szCs w:val="24"/>
        </w:rPr>
        <w:t xml:space="preserve">decision of the High Court (Clarke J) in </w:t>
      </w:r>
      <w:r w:rsidR="00B04289" w:rsidRPr="00B04289">
        <w:rPr>
          <w:rFonts w:ascii="Times New Roman" w:hAnsi="Times New Roman" w:cs="Times New Roman"/>
          <w:i/>
          <w:sz w:val="24"/>
          <w:szCs w:val="24"/>
        </w:rPr>
        <w:t>In re McInerney Homes Limited</w:t>
      </w:r>
      <w:r w:rsidR="00B04289">
        <w:rPr>
          <w:rFonts w:ascii="Times New Roman" w:hAnsi="Times New Roman" w:cs="Times New Roman"/>
          <w:sz w:val="24"/>
          <w:szCs w:val="24"/>
        </w:rPr>
        <w:t xml:space="preserve"> [2011] IEHC 25 as authority for the proposition that, where a party asked a court to revisit its judgment based on the presentation of additional evidence or materials</w:t>
      </w:r>
      <w:r w:rsidR="00792FE3">
        <w:rPr>
          <w:rFonts w:ascii="Times New Roman" w:hAnsi="Times New Roman" w:cs="Times New Roman"/>
          <w:sz w:val="24"/>
          <w:szCs w:val="24"/>
        </w:rPr>
        <w:t xml:space="preserve">, </w:t>
      </w:r>
      <w:r w:rsidR="00B04289">
        <w:rPr>
          <w:rFonts w:ascii="Times New Roman" w:hAnsi="Times New Roman" w:cs="Times New Roman"/>
          <w:sz w:val="24"/>
          <w:szCs w:val="24"/>
        </w:rPr>
        <w:t>“</w:t>
      </w:r>
      <w:r w:rsidR="00B04289" w:rsidRPr="00B04289">
        <w:rPr>
          <w:rFonts w:ascii="Times New Roman" w:hAnsi="Times New Roman" w:cs="Times New Roman"/>
          <w:i/>
          <w:sz w:val="24"/>
          <w:szCs w:val="24"/>
        </w:rPr>
        <w:t>the new materials must be such that same would probably have an important influence on the result of the case, even if not decisive, and be credible</w:t>
      </w:r>
      <w:r w:rsidR="00B04289">
        <w:rPr>
          <w:rFonts w:ascii="Times New Roman" w:hAnsi="Times New Roman" w:cs="Times New Roman"/>
          <w:sz w:val="24"/>
          <w:szCs w:val="24"/>
        </w:rPr>
        <w:t>” and “</w:t>
      </w:r>
      <w:r w:rsidR="00B04289" w:rsidRPr="00B04289">
        <w:rPr>
          <w:rFonts w:ascii="Times New Roman" w:hAnsi="Times New Roman" w:cs="Times New Roman"/>
          <w:i/>
          <w:sz w:val="24"/>
          <w:szCs w:val="24"/>
        </w:rPr>
        <w:t xml:space="preserve">such new evidence will not ordinarily be permitted to be relied on if the relevant evidence could, with reasonable diligence, have been put before the court </w:t>
      </w:r>
      <w:r w:rsidR="00B04289" w:rsidRPr="00B04289">
        <w:rPr>
          <w:rFonts w:ascii="Times New Roman" w:hAnsi="Times New Roman" w:cs="Times New Roman"/>
          <w:i/>
          <w:sz w:val="24"/>
          <w:szCs w:val="24"/>
        </w:rPr>
        <w:lastRenderedPageBreak/>
        <w:t>at the trial</w:t>
      </w:r>
      <w:r w:rsidR="00B04289">
        <w:rPr>
          <w:rFonts w:ascii="Times New Roman" w:hAnsi="Times New Roman" w:cs="Times New Roman"/>
          <w:sz w:val="24"/>
          <w:szCs w:val="24"/>
        </w:rPr>
        <w:t>” (para 3.12). According to the Bank, the First Defendant’s application did not satisfy either requirement. The Judge clearly accepted that submission, refusing to allow the motion to issue on the basis that the material on which the First Defendant sought to rely was material that was raised in the course of the trial or which could have been raised. In his view, therefore, there was no basis for revising the Court’s Judgment.</w:t>
      </w:r>
      <w:r w:rsidR="00B04289">
        <w:rPr>
          <w:rStyle w:val="FootnoteReference"/>
          <w:rFonts w:ascii="Times New Roman" w:hAnsi="Times New Roman" w:cs="Times New Roman"/>
          <w:sz w:val="24"/>
          <w:szCs w:val="24"/>
        </w:rPr>
        <w:footnoteReference w:id="3"/>
      </w:r>
    </w:p>
    <w:p w14:paraId="49A82BE2" w14:textId="65FED197" w:rsidR="00B35D75" w:rsidRPr="008B2EBD" w:rsidRDefault="00B35D75" w:rsidP="00B35D75">
      <w:pPr>
        <w:pStyle w:val="ListParagraph"/>
        <w:spacing w:after="0" w:line="480" w:lineRule="auto"/>
        <w:jc w:val="both"/>
        <w:rPr>
          <w:rFonts w:ascii="Times New Roman" w:hAnsi="Times New Roman" w:cs="Times New Roman"/>
          <w:sz w:val="24"/>
          <w:szCs w:val="24"/>
        </w:rPr>
      </w:pPr>
    </w:p>
    <w:p w14:paraId="339D3CD0" w14:textId="49F23C1B" w:rsidR="008B2EBD" w:rsidRDefault="008B2EBD">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232B8FA" w14:textId="109794A0" w:rsidR="00281D7C" w:rsidRPr="0096156B" w:rsidRDefault="0096156B" w:rsidP="0096156B">
      <w:pPr>
        <w:pStyle w:val="Heading1"/>
      </w:pPr>
      <w:r w:rsidRPr="0096156B">
        <w:lastRenderedPageBreak/>
        <w:t>ISSSUES ON APPEAL</w:t>
      </w:r>
    </w:p>
    <w:p w14:paraId="5EEF1840" w14:textId="77777777" w:rsidR="00281D7C" w:rsidRPr="00434D69" w:rsidRDefault="00281D7C"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15822964" w14:textId="67B9AD58" w:rsidR="00281D7C" w:rsidRPr="00434D69" w:rsidRDefault="00281D7C" w:rsidP="00434D69">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T</w:t>
      </w:r>
      <w:r w:rsidR="009D2758" w:rsidRPr="00434D69">
        <w:rPr>
          <w:rFonts w:ascii="Times New Roman" w:hAnsi="Times New Roman" w:cs="Times New Roman"/>
          <w:sz w:val="24"/>
          <w:szCs w:val="24"/>
        </w:rPr>
        <w:t xml:space="preserve">he </w:t>
      </w:r>
      <w:r w:rsidR="002C33AD">
        <w:rPr>
          <w:rFonts w:ascii="Times New Roman" w:hAnsi="Times New Roman" w:cs="Times New Roman"/>
          <w:sz w:val="24"/>
          <w:szCs w:val="24"/>
        </w:rPr>
        <w:t>S</w:t>
      </w:r>
      <w:r w:rsidR="009D2758" w:rsidRPr="00434D69">
        <w:rPr>
          <w:rFonts w:ascii="Times New Roman" w:hAnsi="Times New Roman" w:cs="Times New Roman"/>
          <w:sz w:val="24"/>
          <w:szCs w:val="24"/>
        </w:rPr>
        <w:t xml:space="preserve">econd and </w:t>
      </w:r>
      <w:r w:rsidR="002C33AD">
        <w:rPr>
          <w:rFonts w:ascii="Times New Roman" w:hAnsi="Times New Roman" w:cs="Times New Roman"/>
          <w:sz w:val="24"/>
          <w:szCs w:val="24"/>
        </w:rPr>
        <w:t>T</w:t>
      </w:r>
      <w:r w:rsidR="009D2758" w:rsidRPr="00434D69">
        <w:rPr>
          <w:rFonts w:ascii="Times New Roman" w:hAnsi="Times New Roman" w:cs="Times New Roman"/>
          <w:sz w:val="24"/>
          <w:szCs w:val="24"/>
        </w:rPr>
        <w:t xml:space="preserve">hird </w:t>
      </w:r>
      <w:r w:rsidR="002C33AD">
        <w:rPr>
          <w:rFonts w:ascii="Times New Roman" w:hAnsi="Times New Roman" w:cs="Times New Roman"/>
          <w:sz w:val="24"/>
          <w:szCs w:val="24"/>
        </w:rPr>
        <w:t>D</w:t>
      </w:r>
      <w:r w:rsidR="009D2758" w:rsidRPr="00434D69">
        <w:rPr>
          <w:rFonts w:ascii="Times New Roman" w:hAnsi="Times New Roman" w:cs="Times New Roman"/>
          <w:sz w:val="24"/>
          <w:szCs w:val="24"/>
        </w:rPr>
        <w:t>efendants helpfully reduce</w:t>
      </w:r>
      <w:r w:rsidR="00C34E8D">
        <w:rPr>
          <w:rFonts w:ascii="Times New Roman" w:hAnsi="Times New Roman" w:cs="Times New Roman"/>
          <w:sz w:val="24"/>
          <w:szCs w:val="24"/>
        </w:rPr>
        <w:t>d</w:t>
      </w:r>
      <w:r w:rsidR="009D2758" w:rsidRPr="00434D69">
        <w:rPr>
          <w:rFonts w:ascii="Times New Roman" w:hAnsi="Times New Roman" w:cs="Times New Roman"/>
          <w:sz w:val="24"/>
          <w:szCs w:val="24"/>
        </w:rPr>
        <w:t xml:space="preserve"> their grounds of appeal to five headings – (i)  the application of the CLA to the Bank’s claim having regard to its </w:t>
      </w:r>
      <w:r w:rsidR="002C33AD">
        <w:rPr>
          <w:rFonts w:ascii="Times New Roman" w:hAnsi="Times New Roman" w:cs="Times New Roman"/>
          <w:sz w:val="24"/>
          <w:szCs w:val="24"/>
        </w:rPr>
        <w:t>settlement</w:t>
      </w:r>
      <w:r w:rsidR="009D2758" w:rsidRPr="00434D69">
        <w:rPr>
          <w:rFonts w:ascii="Times New Roman" w:hAnsi="Times New Roman" w:cs="Times New Roman"/>
          <w:sz w:val="24"/>
          <w:szCs w:val="24"/>
        </w:rPr>
        <w:t xml:space="preserve"> with CBRE, (ii)  various issues of construction regarding the </w:t>
      </w:r>
      <w:r w:rsidR="00AA4E7C">
        <w:rPr>
          <w:rFonts w:ascii="Times New Roman" w:hAnsi="Times New Roman" w:cs="Times New Roman"/>
          <w:sz w:val="24"/>
          <w:szCs w:val="24"/>
        </w:rPr>
        <w:t>Mortgage</w:t>
      </w:r>
      <w:r w:rsidR="009D2758" w:rsidRPr="00434D69">
        <w:rPr>
          <w:rFonts w:ascii="Times New Roman" w:hAnsi="Times New Roman" w:cs="Times New Roman"/>
          <w:sz w:val="24"/>
          <w:szCs w:val="24"/>
        </w:rPr>
        <w:t xml:space="preserve">, the </w:t>
      </w:r>
      <w:r w:rsidR="005D12E8">
        <w:rPr>
          <w:rFonts w:ascii="Times New Roman" w:hAnsi="Times New Roman" w:cs="Times New Roman"/>
          <w:sz w:val="24"/>
          <w:szCs w:val="24"/>
        </w:rPr>
        <w:t>C</w:t>
      </w:r>
      <w:r w:rsidR="009D2758" w:rsidRPr="00434D69">
        <w:rPr>
          <w:rFonts w:ascii="Times New Roman" w:hAnsi="Times New Roman" w:cs="Times New Roman"/>
          <w:sz w:val="24"/>
          <w:szCs w:val="24"/>
        </w:rPr>
        <w:t xml:space="preserve">ompromise </w:t>
      </w:r>
      <w:r w:rsidR="005D12E8">
        <w:rPr>
          <w:rFonts w:ascii="Times New Roman" w:hAnsi="Times New Roman" w:cs="Times New Roman"/>
          <w:sz w:val="24"/>
          <w:szCs w:val="24"/>
        </w:rPr>
        <w:t>A</w:t>
      </w:r>
      <w:r w:rsidR="009D2758" w:rsidRPr="00434D69">
        <w:rPr>
          <w:rFonts w:ascii="Times New Roman" w:hAnsi="Times New Roman" w:cs="Times New Roman"/>
          <w:sz w:val="24"/>
          <w:szCs w:val="24"/>
        </w:rPr>
        <w:t xml:space="preserve">greement and the </w:t>
      </w:r>
      <w:r w:rsidR="002C33AD">
        <w:rPr>
          <w:rFonts w:ascii="Times New Roman" w:hAnsi="Times New Roman" w:cs="Times New Roman"/>
          <w:sz w:val="24"/>
          <w:szCs w:val="24"/>
        </w:rPr>
        <w:t>Head</w:t>
      </w:r>
      <w:r w:rsidR="009D2758" w:rsidRPr="00434D69">
        <w:rPr>
          <w:rFonts w:ascii="Times New Roman" w:hAnsi="Times New Roman" w:cs="Times New Roman"/>
          <w:sz w:val="24"/>
          <w:szCs w:val="24"/>
        </w:rPr>
        <w:t xml:space="preserve">s of </w:t>
      </w:r>
      <w:r w:rsidR="002C33AD">
        <w:rPr>
          <w:rFonts w:ascii="Times New Roman" w:hAnsi="Times New Roman" w:cs="Times New Roman"/>
          <w:sz w:val="24"/>
          <w:szCs w:val="24"/>
        </w:rPr>
        <w:t>A</w:t>
      </w:r>
      <w:r w:rsidR="009D2758" w:rsidRPr="00434D69">
        <w:rPr>
          <w:rFonts w:ascii="Times New Roman" w:hAnsi="Times New Roman" w:cs="Times New Roman"/>
          <w:sz w:val="24"/>
          <w:szCs w:val="24"/>
        </w:rPr>
        <w:t>greement</w:t>
      </w:r>
      <w:r w:rsidR="002C33AD">
        <w:rPr>
          <w:rFonts w:ascii="Times New Roman" w:hAnsi="Times New Roman" w:cs="Times New Roman"/>
          <w:sz w:val="24"/>
          <w:szCs w:val="24"/>
        </w:rPr>
        <w:t xml:space="preserve"> with </w:t>
      </w:r>
      <w:r w:rsidR="0005607C">
        <w:rPr>
          <w:rFonts w:ascii="Times New Roman" w:hAnsi="Times New Roman" w:cs="Times New Roman"/>
          <w:sz w:val="24"/>
          <w:szCs w:val="24"/>
        </w:rPr>
        <w:t xml:space="preserve">Granja </w:t>
      </w:r>
      <w:r w:rsidR="009D2758" w:rsidRPr="00434D69">
        <w:rPr>
          <w:rFonts w:ascii="Times New Roman" w:hAnsi="Times New Roman" w:cs="Times New Roman"/>
          <w:sz w:val="24"/>
          <w:szCs w:val="24"/>
        </w:rPr>
        <w:t xml:space="preserve"> (iii)  the claim that there had been what is termed a ‘</w:t>
      </w:r>
      <w:r w:rsidR="009D2758" w:rsidRPr="00434D69">
        <w:rPr>
          <w:rFonts w:ascii="Times New Roman" w:hAnsi="Times New Roman" w:cs="Times New Roman"/>
          <w:i/>
          <w:sz w:val="24"/>
          <w:szCs w:val="24"/>
        </w:rPr>
        <w:t>prior breach</w:t>
      </w:r>
      <w:r w:rsidR="00B67C7D">
        <w:rPr>
          <w:rFonts w:ascii="Times New Roman" w:hAnsi="Times New Roman" w:cs="Times New Roman"/>
          <w:i/>
          <w:sz w:val="24"/>
          <w:szCs w:val="24"/>
        </w:rPr>
        <w:t>’</w:t>
      </w:r>
      <w:r w:rsidR="009D2758" w:rsidRPr="00434D69">
        <w:rPr>
          <w:rFonts w:ascii="Times New Roman" w:hAnsi="Times New Roman" w:cs="Times New Roman"/>
          <w:i/>
          <w:sz w:val="24"/>
          <w:szCs w:val="24"/>
        </w:rPr>
        <w:t xml:space="preserve"> </w:t>
      </w:r>
      <w:r w:rsidR="009D2758" w:rsidRPr="00434D69">
        <w:rPr>
          <w:rFonts w:ascii="Times New Roman" w:hAnsi="Times New Roman" w:cs="Times New Roman"/>
          <w:sz w:val="24"/>
          <w:szCs w:val="24"/>
        </w:rPr>
        <w:t xml:space="preserve">by the Bank of the </w:t>
      </w:r>
      <w:r w:rsidR="0005607C">
        <w:rPr>
          <w:rFonts w:ascii="Times New Roman" w:hAnsi="Times New Roman" w:cs="Times New Roman"/>
          <w:sz w:val="24"/>
          <w:szCs w:val="24"/>
        </w:rPr>
        <w:t>Compromise A</w:t>
      </w:r>
      <w:r w:rsidR="009D2758" w:rsidRPr="00434D69">
        <w:rPr>
          <w:rFonts w:ascii="Times New Roman" w:hAnsi="Times New Roman" w:cs="Times New Roman"/>
          <w:sz w:val="24"/>
          <w:szCs w:val="24"/>
        </w:rPr>
        <w:t xml:space="preserve">greement, (iv) issues arising from the alleged breach of the </w:t>
      </w:r>
      <w:r w:rsidR="0005607C">
        <w:rPr>
          <w:rFonts w:ascii="Times New Roman" w:hAnsi="Times New Roman" w:cs="Times New Roman"/>
          <w:sz w:val="24"/>
          <w:szCs w:val="24"/>
        </w:rPr>
        <w:t>Compromise Agreement b</w:t>
      </w:r>
      <w:r w:rsidR="009D2758" w:rsidRPr="00434D69">
        <w:rPr>
          <w:rFonts w:ascii="Times New Roman" w:hAnsi="Times New Roman" w:cs="Times New Roman"/>
          <w:sz w:val="24"/>
          <w:szCs w:val="24"/>
        </w:rPr>
        <w:t xml:space="preserve">y the </w:t>
      </w:r>
      <w:r w:rsidR="0005607C">
        <w:rPr>
          <w:rFonts w:ascii="Times New Roman" w:hAnsi="Times New Roman" w:cs="Times New Roman"/>
          <w:sz w:val="24"/>
          <w:szCs w:val="24"/>
        </w:rPr>
        <w:t>D</w:t>
      </w:r>
      <w:r w:rsidR="009D2758" w:rsidRPr="00434D69">
        <w:rPr>
          <w:rFonts w:ascii="Times New Roman" w:hAnsi="Times New Roman" w:cs="Times New Roman"/>
          <w:sz w:val="24"/>
          <w:szCs w:val="24"/>
        </w:rPr>
        <w:t xml:space="preserve">efendants and (v) </w:t>
      </w:r>
      <w:r w:rsidR="0005607C">
        <w:rPr>
          <w:rFonts w:ascii="Times New Roman" w:hAnsi="Times New Roman" w:cs="Times New Roman"/>
          <w:sz w:val="24"/>
          <w:szCs w:val="24"/>
        </w:rPr>
        <w:t>whether</w:t>
      </w:r>
      <w:r w:rsidR="009D2758" w:rsidRPr="00434D69">
        <w:rPr>
          <w:rFonts w:ascii="Times New Roman" w:hAnsi="Times New Roman" w:cs="Times New Roman"/>
          <w:sz w:val="24"/>
          <w:szCs w:val="24"/>
        </w:rPr>
        <w:t xml:space="preserve"> </w:t>
      </w:r>
      <w:r w:rsidR="0005607C">
        <w:rPr>
          <w:rFonts w:ascii="Times New Roman" w:hAnsi="Times New Roman" w:cs="Times New Roman"/>
          <w:sz w:val="24"/>
          <w:szCs w:val="24"/>
        </w:rPr>
        <w:t xml:space="preserve">it was permissible for </w:t>
      </w:r>
      <w:r w:rsidR="009D2758" w:rsidRPr="00434D69">
        <w:rPr>
          <w:rFonts w:ascii="Times New Roman" w:hAnsi="Times New Roman" w:cs="Times New Roman"/>
          <w:sz w:val="24"/>
          <w:szCs w:val="24"/>
        </w:rPr>
        <w:t xml:space="preserve">the </w:t>
      </w:r>
      <w:r w:rsidR="0005607C">
        <w:rPr>
          <w:rFonts w:ascii="Times New Roman" w:hAnsi="Times New Roman" w:cs="Times New Roman"/>
          <w:sz w:val="24"/>
          <w:szCs w:val="24"/>
        </w:rPr>
        <w:t>High Court</w:t>
      </w:r>
      <w:r w:rsidR="009D2758" w:rsidRPr="00434D69">
        <w:rPr>
          <w:rFonts w:ascii="Times New Roman" w:hAnsi="Times New Roman" w:cs="Times New Roman"/>
          <w:sz w:val="24"/>
          <w:szCs w:val="24"/>
        </w:rPr>
        <w:t xml:space="preserve"> </w:t>
      </w:r>
      <w:r w:rsidR="0005607C">
        <w:rPr>
          <w:rFonts w:ascii="Times New Roman" w:hAnsi="Times New Roman" w:cs="Times New Roman"/>
          <w:sz w:val="24"/>
          <w:szCs w:val="24"/>
        </w:rPr>
        <w:t xml:space="preserve">to </w:t>
      </w:r>
      <w:r w:rsidR="009D2758" w:rsidRPr="00434D69">
        <w:rPr>
          <w:rFonts w:ascii="Times New Roman" w:hAnsi="Times New Roman" w:cs="Times New Roman"/>
          <w:sz w:val="24"/>
          <w:szCs w:val="24"/>
        </w:rPr>
        <w:t xml:space="preserve">deploy certain </w:t>
      </w:r>
      <w:r w:rsidR="0005607C">
        <w:rPr>
          <w:rFonts w:ascii="Times New Roman" w:hAnsi="Times New Roman" w:cs="Times New Roman"/>
          <w:sz w:val="24"/>
          <w:szCs w:val="24"/>
        </w:rPr>
        <w:t xml:space="preserve">adverse </w:t>
      </w:r>
      <w:r w:rsidR="009D2758" w:rsidRPr="00434D69">
        <w:rPr>
          <w:rFonts w:ascii="Times New Roman" w:hAnsi="Times New Roman" w:cs="Times New Roman"/>
          <w:sz w:val="24"/>
          <w:szCs w:val="24"/>
        </w:rPr>
        <w:t xml:space="preserve">findings </w:t>
      </w:r>
      <w:r w:rsidR="0005607C">
        <w:rPr>
          <w:rFonts w:ascii="Times New Roman" w:hAnsi="Times New Roman" w:cs="Times New Roman"/>
          <w:sz w:val="24"/>
          <w:szCs w:val="24"/>
        </w:rPr>
        <w:t>made in respect of the F</w:t>
      </w:r>
      <w:r w:rsidR="009D2758" w:rsidRPr="00434D69">
        <w:rPr>
          <w:rFonts w:ascii="Times New Roman" w:hAnsi="Times New Roman" w:cs="Times New Roman"/>
          <w:sz w:val="24"/>
          <w:szCs w:val="24"/>
        </w:rPr>
        <w:t xml:space="preserve">irst </w:t>
      </w:r>
      <w:r w:rsidR="0005607C">
        <w:rPr>
          <w:rFonts w:ascii="Times New Roman" w:hAnsi="Times New Roman" w:cs="Times New Roman"/>
          <w:sz w:val="24"/>
          <w:szCs w:val="24"/>
        </w:rPr>
        <w:t>De</w:t>
      </w:r>
      <w:r w:rsidR="009D2758" w:rsidRPr="00434D69">
        <w:rPr>
          <w:rFonts w:ascii="Times New Roman" w:hAnsi="Times New Roman" w:cs="Times New Roman"/>
          <w:sz w:val="24"/>
          <w:szCs w:val="24"/>
        </w:rPr>
        <w:t>fendant</w:t>
      </w:r>
      <w:r w:rsidR="005D12E8">
        <w:rPr>
          <w:rFonts w:ascii="Times New Roman" w:hAnsi="Times New Roman" w:cs="Times New Roman"/>
          <w:sz w:val="24"/>
          <w:szCs w:val="24"/>
        </w:rPr>
        <w:t xml:space="preserve"> </w:t>
      </w:r>
      <w:r w:rsidR="009D2758" w:rsidRPr="00434D69">
        <w:rPr>
          <w:rFonts w:ascii="Times New Roman" w:hAnsi="Times New Roman" w:cs="Times New Roman"/>
          <w:sz w:val="24"/>
          <w:szCs w:val="24"/>
        </w:rPr>
        <w:t xml:space="preserve">against the </w:t>
      </w:r>
      <w:r w:rsidR="0005607C">
        <w:rPr>
          <w:rFonts w:ascii="Times New Roman" w:hAnsi="Times New Roman" w:cs="Times New Roman"/>
          <w:sz w:val="24"/>
          <w:szCs w:val="24"/>
        </w:rPr>
        <w:t>Second and Third D</w:t>
      </w:r>
      <w:r w:rsidR="009D2758" w:rsidRPr="00434D69">
        <w:rPr>
          <w:rFonts w:ascii="Times New Roman" w:hAnsi="Times New Roman" w:cs="Times New Roman"/>
          <w:sz w:val="24"/>
          <w:szCs w:val="24"/>
        </w:rPr>
        <w:t>efendants.</w:t>
      </w:r>
    </w:p>
    <w:p w14:paraId="3D7AA883" w14:textId="77777777" w:rsidR="002B6D0D" w:rsidRPr="00434D69" w:rsidRDefault="002B6D0D"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259F727F" w14:textId="1EB7386E" w:rsidR="002B6D0D" w:rsidRPr="00434D69" w:rsidRDefault="00C34E8D" w:rsidP="00434D69">
      <w:pPr>
        <w:pStyle w:val="ListParagraph"/>
        <w:numPr>
          <w:ilvl w:val="0"/>
          <w:numId w:val="1"/>
        </w:numPr>
        <w:spacing w:after="0" w:line="480" w:lineRule="auto"/>
        <w:jc w:val="both"/>
        <w:rPr>
          <w:rFonts w:ascii="Times New Roman" w:hAnsi="Times New Roman" w:cs="Times New Roman"/>
          <w:sz w:val="24"/>
          <w:szCs w:val="24"/>
        </w:rPr>
      </w:pPr>
      <w:r w:rsidRPr="00C34E8D">
        <w:rPr>
          <w:rFonts w:ascii="Times New Roman" w:hAnsi="Times New Roman" w:cs="Times New Roman"/>
          <w:sz w:val="24"/>
          <w:szCs w:val="24"/>
        </w:rPr>
        <w:t>The First Defendant also challenged the Judge’s findings relating to the CLA. In addition, he relied on a number of other grounds all of which are addressed below.</w:t>
      </w:r>
    </w:p>
    <w:p w14:paraId="70F841DC" w14:textId="77777777" w:rsidR="00AA001C" w:rsidRPr="00434D69" w:rsidRDefault="00AA001C" w:rsidP="00434D69">
      <w:pPr>
        <w:pStyle w:val="ListParagraph"/>
        <w:spacing w:after="0" w:line="480" w:lineRule="auto"/>
        <w:rPr>
          <w:rFonts w:ascii="Times New Roman" w:hAnsi="Times New Roman" w:cs="Times New Roman"/>
          <w:sz w:val="24"/>
          <w:szCs w:val="24"/>
        </w:rPr>
      </w:pPr>
    </w:p>
    <w:p w14:paraId="7F0378F3" w14:textId="593C0520" w:rsidR="00AA001C" w:rsidRPr="00434D69" w:rsidRDefault="00AA001C" w:rsidP="00272396">
      <w:pPr>
        <w:pStyle w:val="Heading2"/>
      </w:pPr>
      <w:r w:rsidRPr="00434D69">
        <w:t>The</w:t>
      </w:r>
      <w:r w:rsidR="0005607C">
        <w:t xml:space="preserve"> First Defendant</w:t>
      </w:r>
      <w:r w:rsidR="00B67C7D">
        <w:t>’</w:t>
      </w:r>
      <w:r w:rsidR="0005607C">
        <w:t>s Motion to Admit Further Evidence</w:t>
      </w:r>
      <w:r w:rsidR="00B94296">
        <w:t xml:space="preserve"> </w:t>
      </w:r>
    </w:p>
    <w:p w14:paraId="4343EF00" w14:textId="77777777" w:rsidR="00AA001C" w:rsidRPr="00434D69" w:rsidRDefault="00AA001C" w:rsidP="00434D69">
      <w:pPr>
        <w:pStyle w:val="ListParagraph"/>
        <w:spacing w:after="0" w:line="480" w:lineRule="auto"/>
        <w:rPr>
          <w:rFonts w:ascii="Times New Roman" w:hAnsi="Times New Roman" w:cs="Times New Roman"/>
          <w:sz w:val="24"/>
          <w:szCs w:val="24"/>
        </w:rPr>
      </w:pPr>
    </w:p>
    <w:p w14:paraId="20349C0F" w14:textId="21490FAF" w:rsidR="00284213" w:rsidRDefault="00F75AB0" w:rsidP="00434D69">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This appeal was listed for hearing on</w:t>
      </w:r>
      <w:r w:rsidR="00E0772D" w:rsidRPr="00434D69">
        <w:rPr>
          <w:rFonts w:ascii="Times New Roman" w:hAnsi="Times New Roman" w:cs="Times New Roman"/>
          <w:sz w:val="24"/>
          <w:szCs w:val="24"/>
        </w:rPr>
        <w:t xml:space="preserve"> 16 </w:t>
      </w:r>
      <w:r w:rsidR="00A107D8">
        <w:rPr>
          <w:rFonts w:ascii="Times New Roman" w:hAnsi="Times New Roman" w:cs="Times New Roman"/>
          <w:sz w:val="24"/>
          <w:szCs w:val="24"/>
        </w:rPr>
        <w:t xml:space="preserve">and </w:t>
      </w:r>
      <w:r w:rsidR="00E0772D" w:rsidRPr="00434D69">
        <w:rPr>
          <w:rFonts w:ascii="Times New Roman" w:hAnsi="Times New Roman" w:cs="Times New Roman"/>
          <w:sz w:val="24"/>
          <w:szCs w:val="24"/>
        </w:rPr>
        <w:t xml:space="preserve">17 February </w:t>
      </w:r>
      <w:r w:rsidR="00A107D8">
        <w:rPr>
          <w:rFonts w:ascii="Times New Roman" w:hAnsi="Times New Roman" w:cs="Times New Roman"/>
          <w:sz w:val="24"/>
          <w:szCs w:val="24"/>
        </w:rPr>
        <w:t>2</w:t>
      </w:r>
      <w:r w:rsidR="00E0772D" w:rsidRPr="00434D69">
        <w:rPr>
          <w:rFonts w:ascii="Times New Roman" w:hAnsi="Times New Roman" w:cs="Times New Roman"/>
          <w:sz w:val="24"/>
          <w:szCs w:val="24"/>
        </w:rPr>
        <w:t>021.  Th</w:t>
      </w:r>
      <w:r w:rsidR="00A107D8">
        <w:rPr>
          <w:rFonts w:ascii="Times New Roman" w:hAnsi="Times New Roman" w:cs="Times New Roman"/>
          <w:sz w:val="24"/>
          <w:szCs w:val="24"/>
        </w:rPr>
        <w:t>ose dates were allocated in October 2020.</w:t>
      </w:r>
      <w:r w:rsidR="00E0772D" w:rsidRPr="00434D69">
        <w:rPr>
          <w:rFonts w:ascii="Times New Roman" w:hAnsi="Times New Roman" w:cs="Times New Roman"/>
          <w:sz w:val="24"/>
          <w:szCs w:val="24"/>
        </w:rPr>
        <w:t xml:space="preserve">  On the evening of </w:t>
      </w:r>
      <w:r w:rsidR="009A0E41">
        <w:rPr>
          <w:rFonts w:ascii="Times New Roman" w:hAnsi="Times New Roman" w:cs="Times New Roman"/>
          <w:sz w:val="24"/>
          <w:szCs w:val="24"/>
        </w:rPr>
        <w:t xml:space="preserve">11 </w:t>
      </w:r>
      <w:r w:rsidR="009A0E41" w:rsidRPr="00434D69">
        <w:rPr>
          <w:rFonts w:ascii="Times New Roman" w:hAnsi="Times New Roman" w:cs="Times New Roman"/>
          <w:sz w:val="24"/>
          <w:szCs w:val="24"/>
        </w:rPr>
        <w:t>February</w:t>
      </w:r>
      <w:r w:rsidR="009A0E41">
        <w:rPr>
          <w:rFonts w:ascii="Times New Roman" w:hAnsi="Times New Roman" w:cs="Times New Roman"/>
          <w:sz w:val="24"/>
          <w:szCs w:val="24"/>
        </w:rPr>
        <w:t xml:space="preserve"> 2021,</w:t>
      </w:r>
      <w:r w:rsidR="00E0772D" w:rsidRPr="00434D69">
        <w:rPr>
          <w:rFonts w:ascii="Times New Roman" w:hAnsi="Times New Roman" w:cs="Times New Roman"/>
          <w:sz w:val="24"/>
          <w:szCs w:val="24"/>
        </w:rPr>
        <w:t xml:space="preserve"> </w:t>
      </w:r>
      <w:r w:rsidR="008F383C" w:rsidRPr="00434D69">
        <w:rPr>
          <w:rFonts w:ascii="Times New Roman" w:hAnsi="Times New Roman" w:cs="Times New Roman"/>
          <w:sz w:val="24"/>
          <w:szCs w:val="24"/>
        </w:rPr>
        <w:t xml:space="preserve">a </w:t>
      </w:r>
      <w:r w:rsidR="00E0772D" w:rsidRPr="00434D69">
        <w:rPr>
          <w:rFonts w:ascii="Times New Roman" w:hAnsi="Times New Roman" w:cs="Times New Roman"/>
          <w:sz w:val="24"/>
          <w:szCs w:val="24"/>
        </w:rPr>
        <w:t xml:space="preserve">Mr. William Murphy sought to lodge with the Court of Appeal </w:t>
      </w:r>
      <w:r w:rsidR="00CA0469">
        <w:rPr>
          <w:rFonts w:ascii="Times New Roman" w:hAnsi="Times New Roman" w:cs="Times New Roman"/>
          <w:sz w:val="24"/>
          <w:szCs w:val="24"/>
        </w:rPr>
        <w:t>O</w:t>
      </w:r>
      <w:r w:rsidR="00E0772D" w:rsidRPr="00434D69">
        <w:rPr>
          <w:rFonts w:ascii="Times New Roman" w:hAnsi="Times New Roman" w:cs="Times New Roman"/>
          <w:sz w:val="24"/>
          <w:szCs w:val="24"/>
        </w:rPr>
        <w:t xml:space="preserve">ffice a motion on behalf of the </w:t>
      </w:r>
      <w:r w:rsidR="00CA0469">
        <w:rPr>
          <w:rFonts w:ascii="Times New Roman" w:hAnsi="Times New Roman" w:cs="Times New Roman"/>
          <w:sz w:val="24"/>
          <w:szCs w:val="24"/>
        </w:rPr>
        <w:t>First</w:t>
      </w:r>
      <w:r w:rsidR="00E0772D" w:rsidRPr="00434D69">
        <w:rPr>
          <w:rFonts w:ascii="Times New Roman" w:hAnsi="Times New Roman" w:cs="Times New Roman"/>
          <w:sz w:val="24"/>
          <w:szCs w:val="24"/>
        </w:rPr>
        <w:t xml:space="preserve"> Defendant to adduce new evidence and amend the reliefs sought in </w:t>
      </w:r>
      <w:r w:rsidR="00CA0469">
        <w:rPr>
          <w:rFonts w:ascii="Times New Roman" w:hAnsi="Times New Roman" w:cs="Times New Roman"/>
          <w:sz w:val="24"/>
          <w:szCs w:val="24"/>
        </w:rPr>
        <w:t>his Notice of App</w:t>
      </w:r>
      <w:r w:rsidR="00E0772D" w:rsidRPr="00434D69">
        <w:rPr>
          <w:rFonts w:ascii="Times New Roman" w:hAnsi="Times New Roman" w:cs="Times New Roman"/>
          <w:sz w:val="24"/>
          <w:szCs w:val="24"/>
        </w:rPr>
        <w:t xml:space="preserve">eal.  </w:t>
      </w:r>
      <w:r w:rsidR="00CA0469">
        <w:rPr>
          <w:rFonts w:ascii="Times New Roman" w:hAnsi="Times New Roman" w:cs="Times New Roman"/>
          <w:sz w:val="24"/>
          <w:szCs w:val="24"/>
        </w:rPr>
        <w:t xml:space="preserve">Ordinarily, </w:t>
      </w:r>
      <w:r w:rsidR="00284213">
        <w:rPr>
          <w:rFonts w:ascii="Times New Roman" w:hAnsi="Times New Roman" w:cs="Times New Roman"/>
          <w:sz w:val="24"/>
          <w:szCs w:val="24"/>
        </w:rPr>
        <w:t>appeals in this Court are called on at least ten days before the allocated hearing date. Th</w:t>
      </w:r>
      <w:r w:rsidR="00CA0469">
        <w:rPr>
          <w:rFonts w:ascii="Times New Roman" w:hAnsi="Times New Roman" w:cs="Times New Roman"/>
          <w:sz w:val="24"/>
          <w:szCs w:val="24"/>
        </w:rPr>
        <w:t>at</w:t>
      </w:r>
      <w:r w:rsidR="00284213">
        <w:rPr>
          <w:rFonts w:ascii="Times New Roman" w:hAnsi="Times New Roman" w:cs="Times New Roman"/>
          <w:sz w:val="24"/>
          <w:szCs w:val="24"/>
        </w:rPr>
        <w:t xml:space="preserve"> allows the Court to ensure that everything is in order for the appeal to proceed and for the Judge in charge of that list to determine </w:t>
      </w:r>
      <w:r w:rsidR="00D80379">
        <w:rPr>
          <w:rFonts w:ascii="Times New Roman" w:hAnsi="Times New Roman" w:cs="Times New Roman"/>
          <w:sz w:val="24"/>
          <w:szCs w:val="24"/>
        </w:rPr>
        <w:t xml:space="preserve">any </w:t>
      </w:r>
      <w:r w:rsidR="00284213">
        <w:rPr>
          <w:rFonts w:ascii="Times New Roman" w:hAnsi="Times New Roman" w:cs="Times New Roman"/>
          <w:sz w:val="24"/>
          <w:szCs w:val="24"/>
        </w:rPr>
        <w:lastRenderedPageBreak/>
        <w:t>applications</w:t>
      </w:r>
      <w:r w:rsidR="00D80379">
        <w:rPr>
          <w:rFonts w:ascii="Times New Roman" w:hAnsi="Times New Roman" w:cs="Times New Roman"/>
          <w:sz w:val="24"/>
          <w:szCs w:val="24"/>
        </w:rPr>
        <w:t xml:space="preserve"> relating to the appeal</w:t>
      </w:r>
      <w:r w:rsidR="00284213">
        <w:rPr>
          <w:rFonts w:ascii="Times New Roman" w:hAnsi="Times New Roman" w:cs="Times New Roman"/>
          <w:sz w:val="24"/>
          <w:szCs w:val="24"/>
        </w:rPr>
        <w:t xml:space="preserve"> in advance of the hearing.  The timing of th</w:t>
      </w:r>
      <w:r w:rsidR="00CA0469">
        <w:rPr>
          <w:rFonts w:ascii="Times New Roman" w:hAnsi="Times New Roman" w:cs="Times New Roman"/>
          <w:sz w:val="24"/>
          <w:szCs w:val="24"/>
        </w:rPr>
        <w:t xml:space="preserve">e First Defendant’s </w:t>
      </w:r>
      <w:r w:rsidR="00284213">
        <w:rPr>
          <w:rFonts w:ascii="Times New Roman" w:hAnsi="Times New Roman" w:cs="Times New Roman"/>
          <w:sz w:val="24"/>
          <w:szCs w:val="24"/>
        </w:rPr>
        <w:t xml:space="preserve">motion </w:t>
      </w:r>
      <w:r w:rsidR="00CA0469">
        <w:rPr>
          <w:rFonts w:ascii="Times New Roman" w:hAnsi="Times New Roman" w:cs="Times New Roman"/>
          <w:sz w:val="24"/>
          <w:szCs w:val="24"/>
        </w:rPr>
        <w:t xml:space="preserve">meant that </w:t>
      </w:r>
      <w:r w:rsidR="00284213">
        <w:rPr>
          <w:rFonts w:ascii="Times New Roman" w:hAnsi="Times New Roman" w:cs="Times New Roman"/>
          <w:sz w:val="24"/>
          <w:szCs w:val="24"/>
        </w:rPr>
        <w:t xml:space="preserve">it </w:t>
      </w:r>
      <w:r w:rsidR="00F36346">
        <w:rPr>
          <w:rFonts w:ascii="Times New Roman" w:hAnsi="Times New Roman" w:cs="Times New Roman"/>
          <w:sz w:val="24"/>
          <w:szCs w:val="24"/>
        </w:rPr>
        <w:t>post-dated</w:t>
      </w:r>
      <w:r w:rsidR="00284213">
        <w:rPr>
          <w:rFonts w:ascii="Times New Roman" w:hAnsi="Times New Roman" w:cs="Times New Roman"/>
          <w:sz w:val="24"/>
          <w:szCs w:val="24"/>
        </w:rPr>
        <w:t xml:space="preserve"> that list.  </w:t>
      </w:r>
    </w:p>
    <w:p w14:paraId="1D53A2C0" w14:textId="77777777" w:rsidR="00284213" w:rsidRDefault="00284213" w:rsidP="00284213">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C97552D" w14:textId="0603DF8A" w:rsidR="00E0772D" w:rsidRPr="00434D69" w:rsidRDefault="00E0772D" w:rsidP="00434D69">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The </w:t>
      </w:r>
      <w:r w:rsidR="00CA0469">
        <w:rPr>
          <w:rFonts w:ascii="Times New Roman" w:hAnsi="Times New Roman" w:cs="Times New Roman"/>
          <w:sz w:val="24"/>
          <w:szCs w:val="24"/>
        </w:rPr>
        <w:t>Fi</w:t>
      </w:r>
      <w:r w:rsidRPr="00434D69">
        <w:rPr>
          <w:rFonts w:ascii="Times New Roman" w:hAnsi="Times New Roman" w:cs="Times New Roman"/>
          <w:sz w:val="24"/>
          <w:szCs w:val="24"/>
        </w:rPr>
        <w:t xml:space="preserve">rst </w:t>
      </w:r>
      <w:r w:rsidR="00CA0469">
        <w:rPr>
          <w:rFonts w:ascii="Times New Roman" w:hAnsi="Times New Roman" w:cs="Times New Roman"/>
          <w:sz w:val="24"/>
          <w:szCs w:val="24"/>
        </w:rPr>
        <w:t>D</w:t>
      </w:r>
      <w:r w:rsidRPr="00434D69">
        <w:rPr>
          <w:rFonts w:ascii="Times New Roman" w:hAnsi="Times New Roman" w:cs="Times New Roman"/>
          <w:sz w:val="24"/>
          <w:szCs w:val="24"/>
        </w:rPr>
        <w:t xml:space="preserve">efendant’s solicitor (in an e-mail to the Court of Appeal Office of Friday February 12) advised the office that Mr. Murphy was a </w:t>
      </w:r>
      <w:r w:rsidR="008F383C" w:rsidRPr="00434D69">
        <w:rPr>
          <w:rFonts w:ascii="Times New Roman" w:hAnsi="Times New Roman" w:cs="Times New Roman"/>
          <w:sz w:val="24"/>
          <w:szCs w:val="24"/>
        </w:rPr>
        <w:t>‘</w:t>
      </w:r>
      <w:r w:rsidR="008F383C" w:rsidRPr="00434D69">
        <w:rPr>
          <w:rFonts w:ascii="Times New Roman" w:hAnsi="Times New Roman" w:cs="Times New Roman"/>
          <w:i/>
          <w:sz w:val="24"/>
          <w:szCs w:val="24"/>
        </w:rPr>
        <w:t>L</w:t>
      </w:r>
      <w:r w:rsidRPr="00434D69">
        <w:rPr>
          <w:rFonts w:ascii="Times New Roman" w:hAnsi="Times New Roman" w:cs="Times New Roman"/>
          <w:i/>
          <w:sz w:val="24"/>
          <w:szCs w:val="24"/>
        </w:rPr>
        <w:t xml:space="preserve">egal </w:t>
      </w:r>
      <w:r w:rsidR="008F383C" w:rsidRPr="00434D69">
        <w:rPr>
          <w:rFonts w:ascii="Times New Roman" w:hAnsi="Times New Roman" w:cs="Times New Roman"/>
          <w:i/>
          <w:sz w:val="24"/>
          <w:szCs w:val="24"/>
        </w:rPr>
        <w:t>E</w:t>
      </w:r>
      <w:r w:rsidRPr="00434D69">
        <w:rPr>
          <w:rFonts w:ascii="Times New Roman" w:hAnsi="Times New Roman" w:cs="Times New Roman"/>
          <w:i/>
          <w:sz w:val="24"/>
          <w:szCs w:val="24"/>
        </w:rPr>
        <w:t>xecutive</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who ‘</w:t>
      </w:r>
      <w:r w:rsidRPr="00434D69">
        <w:rPr>
          <w:rFonts w:ascii="Times New Roman" w:hAnsi="Times New Roman" w:cs="Times New Roman"/>
          <w:i/>
          <w:sz w:val="24"/>
          <w:szCs w:val="24"/>
        </w:rPr>
        <w:t>works in my office</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No leave had been </w:t>
      </w:r>
      <w:r w:rsidR="008F383C" w:rsidRPr="00434D69">
        <w:rPr>
          <w:rFonts w:ascii="Times New Roman" w:hAnsi="Times New Roman" w:cs="Times New Roman"/>
          <w:sz w:val="24"/>
          <w:szCs w:val="24"/>
        </w:rPr>
        <w:t xml:space="preserve">given for the issue of </w:t>
      </w:r>
      <w:r w:rsidR="00CA0469">
        <w:rPr>
          <w:rFonts w:ascii="Times New Roman" w:hAnsi="Times New Roman" w:cs="Times New Roman"/>
          <w:sz w:val="24"/>
          <w:szCs w:val="24"/>
        </w:rPr>
        <w:t>any motion by or on behalf of the First Defendant</w:t>
      </w:r>
      <w:r w:rsidR="00D80379">
        <w:rPr>
          <w:rFonts w:ascii="Times New Roman" w:hAnsi="Times New Roman" w:cs="Times New Roman"/>
          <w:sz w:val="24"/>
          <w:szCs w:val="24"/>
        </w:rPr>
        <w:t>. T</w:t>
      </w:r>
      <w:r w:rsidR="008F383C" w:rsidRPr="00434D69">
        <w:rPr>
          <w:rFonts w:ascii="Times New Roman" w:hAnsi="Times New Roman" w:cs="Times New Roman"/>
          <w:sz w:val="24"/>
          <w:szCs w:val="24"/>
        </w:rPr>
        <w:t>he Court was thus placed in the position of having t</w:t>
      </w:r>
      <w:r w:rsidR="00CA0469">
        <w:rPr>
          <w:rFonts w:ascii="Times New Roman" w:hAnsi="Times New Roman" w:cs="Times New Roman"/>
          <w:sz w:val="24"/>
          <w:szCs w:val="24"/>
        </w:rPr>
        <w:t>o deal with</w:t>
      </w:r>
      <w:r w:rsidR="008F383C" w:rsidRPr="00434D69">
        <w:rPr>
          <w:rFonts w:ascii="Times New Roman" w:hAnsi="Times New Roman" w:cs="Times New Roman"/>
          <w:sz w:val="24"/>
          <w:szCs w:val="24"/>
        </w:rPr>
        <w:t xml:space="preserve"> the </w:t>
      </w:r>
      <w:r w:rsidR="00CA0469">
        <w:rPr>
          <w:rFonts w:ascii="Times New Roman" w:hAnsi="Times New Roman" w:cs="Times New Roman"/>
          <w:sz w:val="24"/>
          <w:szCs w:val="24"/>
        </w:rPr>
        <w:t>motion</w:t>
      </w:r>
      <w:r w:rsidR="00650335">
        <w:rPr>
          <w:rFonts w:ascii="Times New Roman" w:hAnsi="Times New Roman" w:cs="Times New Roman"/>
          <w:sz w:val="24"/>
          <w:szCs w:val="24"/>
        </w:rPr>
        <w:t xml:space="preserve"> </w:t>
      </w:r>
      <w:r w:rsidR="008F383C" w:rsidRPr="00434D69">
        <w:rPr>
          <w:rFonts w:ascii="Times New Roman" w:hAnsi="Times New Roman" w:cs="Times New Roman"/>
          <w:sz w:val="24"/>
          <w:szCs w:val="24"/>
        </w:rPr>
        <w:t xml:space="preserve">on the first day of the hearing (two business days after its delivery) in circumstances in which the </w:t>
      </w:r>
      <w:r w:rsidR="00CA0469">
        <w:rPr>
          <w:rFonts w:ascii="Times New Roman" w:hAnsi="Times New Roman" w:cs="Times New Roman"/>
          <w:sz w:val="24"/>
          <w:szCs w:val="24"/>
        </w:rPr>
        <w:t>Bank</w:t>
      </w:r>
      <w:r w:rsidR="008F383C" w:rsidRPr="00434D69">
        <w:rPr>
          <w:rFonts w:ascii="Times New Roman" w:hAnsi="Times New Roman" w:cs="Times New Roman"/>
          <w:sz w:val="24"/>
          <w:szCs w:val="24"/>
        </w:rPr>
        <w:t xml:space="preserve"> had no opportunity to respond to the motion and affidavit </w:t>
      </w:r>
      <w:r w:rsidR="00CA0469">
        <w:rPr>
          <w:rFonts w:ascii="Times New Roman" w:hAnsi="Times New Roman" w:cs="Times New Roman"/>
          <w:sz w:val="24"/>
          <w:szCs w:val="24"/>
        </w:rPr>
        <w:t>(neither of which had been formally filed)</w:t>
      </w:r>
      <w:r w:rsidR="008F383C" w:rsidRPr="00434D69">
        <w:rPr>
          <w:rFonts w:ascii="Times New Roman" w:hAnsi="Times New Roman" w:cs="Times New Roman"/>
          <w:sz w:val="24"/>
          <w:szCs w:val="24"/>
        </w:rPr>
        <w:t>.</w:t>
      </w:r>
    </w:p>
    <w:p w14:paraId="44AB6661" w14:textId="77777777" w:rsidR="00B53D0E" w:rsidRPr="00434D69" w:rsidRDefault="00B53D0E"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7E837891" w14:textId="43B4E589" w:rsidR="00B53D0E" w:rsidRPr="00434D69" w:rsidRDefault="00B53D0E"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The motion </w:t>
      </w:r>
      <w:r w:rsidR="00CA0469">
        <w:rPr>
          <w:rFonts w:ascii="Times New Roman" w:hAnsi="Times New Roman" w:cs="Times New Roman"/>
          <w:sz w:val="24"/>
          <w:szCs w:val="24"/>
        </w:rPr>
        <w:t>was</w:t>
      </w:r>
      <w:r w:rsidRPr="00434D69">
        <w:rPr>
          <w:rFonts w:ascii="Times New Roman" w:hAnsi="Times New Roman" w:cs="Times New Roman"/>
          <w:sz w:val="24"/>
          <w:szCs w:val="24"/>
        </w:rPr>
        <w:t xml:space="preserve"> grounded on an </w:t>
      </w:r>
      <w:r w:rsidR="00CA0469">
        <w:rPr>
          <w:rFonts w:ascii="Times New Roman" w:hAnsi="Times New Roman" w:cs="Times New Roman"/>
          <w:sz w:val="24"/>
          <w:szCs w:val="24"/>
        </w:rPr>
        <w:t>A</w:t>
      </w:r>
      <w:r w:rsidRPr="00434D69">
        <w:rPr>
          <w:rFonts w:ascii="Times New Roman" w:hAnsi="Times New Roman" w:cs="Times New Roman"/>
          <w:sz w:val="24"/>
          <w:szCs w:val="24"/>
        </w:rPr>
        <w:t xml:space="preserve">ffidavit </w:t>
      </w:r>
      <w:r w:rsidR="00CA0469">
        <w:rPr>
          <w:rFonts w:ascii="Times New Roman" w:hAnsi="Times New Roman" w:cs="Times New Roman"/>
          <w:sz w:val="24"/>
          <w:szCs w:val="24"/>
        </w:rPr>
        <w:t>sworn by</w:t>
      </w:r>
      <w:r w:rsidRPr="00434D69">
        <w:rPr>
          <w:rFonts w:ascii="Times New Roman" w:hAnsi="Times New Roman" w:cs="Times New Roman"/>
          <w:sz w:val="24"/>
          <w:szCs w:val="24"/>
        </w:rPr>
        <w:t xml:space="preserve"> the </w:t>
      </w:r>
      <w:r w:rsidR="00CA0469">
        <w:rPr>
          <w:rFonts w:ascii="Times New Roman" w:hAnsi="Times New Roman" w:cs="Times New Roman"/>
          <w:sz w:val="24"/>
          <w:szCs w:val="24"/>
        </w:rPr>
        <w:t>First D</w:t>
      </w:r>
      <w:r w:rsidRPr="00434D69">
        <w:rPr>
          <w:rFonts w:ascii="Times New Roman" w:hAnsi="Times New Roman" w:cs="Times New Roman"/>
          <w:sz w:val="24"/>
          <w:szCs w:val="24"/>
        </w:rPr>
        <w:t>efendant’s solicitor</w:t>
      </w:r>
      <w:r w:rsidR="00CA0469">
        <w:rPr>
          <w:rFonts w:ascii="Times New Roman" w:hAnsi="Times New Roman" w:cs="Times New Roman"/>
          <w:sz w:val="24"/>
          <w:szCs w:val="24"/>
        </w:rPr>
        <w:t>, Geoffrey Nwadike</w:t>
      </w:r>
      <w:r w:rsidRPr="00434D69">
        <w:rPr>
          <w:rFonts w:ascii="Times New Roman" w:hAnsi="Times New Roman" w:cs="Times New Roman"/>
          <w:sz w:val="24"/>
          <w:szCs w:val="24"/>
        </w:rPr>
        <w:t xml:space="preserve">.  He </w:t>
      </w:r>
      <w:r w:rsidR="00CA0469">
        <w:rPr>
          <w:rFonts w:ascii="Times New Roman" w:hAnsi="Times New Roman" w:cs="Times New Roman"/>
          <w:sz w:val="24"/>
          <w:szCs w:val="24"/>
        </w:rPr>
        <w:t>averred</w:t>
      </w:r>
      <w:r w:rsidRPr="00434D69">
        <w:rPr>
          <w:rFonts w:ascii="Times New Roman" w:hAnsi="Times New Roman" w:cs="Times New Roman"/>
          <w:sz w:val="24"/>
          <w:szCs w:val="24"/>
        </w:rPr>
        <w:t xml:space="preserve"> that he was instructed in the matter on </w:t>
      </w:r>
      <w:r w:rsidR="00CA0469">
        <w:rPr>
          <w:rFonts w:ascii="Times New Roman" w:hAnsi="Times New Roman" w:cs="Times New Roman"/>
          <w:sz w:val="24"/>
          <w:szCs w:val="24"/>
        </w:rPr>
        <w:t xml:space="preserve">the evening of </w:t>
      </w:r>
      <w:r w:rsidRPr="00434D69">
        <w:rPr>
          <w:rFonts w:ascii="Times New Roman" w:hAnsi="Times New Roman" w:cs="Times New Roman"/>
          <w:sz w:val="24"/>
          <w:szCs w:val="24"/>
        </w:rPr>
        <w:t xml:space="preserve">Friday </w:t>
      </w:r>
      <w:r w:rsidR="00CA0469">
        <w:rPr>
          <w:rFonts w:ascii="Times New Roman" w:hAnsi="Times New Roman" w:cs="Times New Roman"/>
          <w:sz w:val="24"/>
          <w:szCs w:val="24"/>
        </w:rPr>
        <w:t xml:space="preserve">3 </w:t>
      </w:r>
      <w:r w:rsidRPr="00434D69">
        <w:rPr>
          <w:rFonts w:ascii="Times New Roman" w:hAnsi="Times New Roman" w:cs="Times New Roman"/>
          <w:sz w:val="24"/>
          <w:szCs w:val="24"/>
        </w:rPr>
        <w:t>February 2021</w:t>
      </w:r>
      <w:r w:rsidR="00CA0469">
        <w:rPr>
          <w:rFonts w:ascii="Times New Roman" w:hAnsi="Times New Roman" w:cs="Times New Roman"/>
          <w:sz w:val="24"/>
          <w:szCs w:val="24"/>
        </w:rPr>
        <w:t xml:space="preserve"> and </w:t>
      </w:r>
      <w:r w:rsidRPr="00434D69">
        <w:rPr>
          <w:rFonts w:ascii="Times New Roman" w:hAnsi="Times New Roman" w:cs="Times New Roman"/>
          <w:sz w:val="24"/>
          <w:szCs w:val="24"/>
        </w:rPr>
        <w:t xml:space="preserve">that following his acceptance of those instructions he conducted </w:t>
      </w:r>
      <w:r w:rsidR="00D80379">
        <w:rPr>
          <w:rFonts w:ascii="Times New Roman" w:hAnsi="Times New Roman" w:cs="Times New Roman"/>
          <w:sz w:val="24"/>
          <w:szCs w:val="24"/>
        </w:rPr>
        <w:t>“</w:t>
      </w:r>
      <w:r w:rsidRPr="00D80379">
        <w:rPr>
          <w:rFonts w:ascii="Times New Roman" w:hAnsi="Times New Roman" w:cs="Times New Roman"/>
          <w:i/>
          <w:sz w:val="24"/>
          <w:szCs w:val="24"/>
        </w:rPr>
        <w:t>research</w:t>
      </w:r>
      <w:r w:rsidR="00D80379">
        <w:rPr>
          <w:rFonts w:ascii="Times New Roman" w:hAnsi="Times New Roman" w:cs="Times New Roman"/>
          <w:sz w:val="24"/>
          <w:szCs w:val="24"/>
        </w:rPr>
        <w:t>”</w:t>
      </w:r>
      <w:r w:rsidRPr="00434D69">
        <w:rPr>
          <w:rFonts w:ascii="Times New Roman" w:hAnsi="Times New Roman" w:cs="Times New Roman"/>
          <w:sz w:val="24"/>
          <w:szCs w:val="24"/>
        </w:rPr>
        <w:t xml:space="preserve"> and ascertained that the </w:t>
      </w:r>
      <w:r w:rsidR="00CA0469">
        <w:rPr>
          <w:rFonts w:ascii="Times New Roman" w:hAnsi="Times New Roman" w:cs="Times New Roman"/>
          <w:sz w:val="24"/>
          <w:szCs w:val="24"/>
        </w:rPr>
        <w:t>S</w:t>
      </w:r>
      <w:r w:rsidRPr="00434D69">
        <w:rPr>
          <w:rFonts w:ascii="Times New Roman" w:hAnsi="Times New Roman" w:cs="Times New Roman"/>
          <w:sz w:val="24"/>
          <w:szCs w:val="24"/>
        </w:rPr>
        <w:t xml:space="preserve">econd </w:t>
      </w:r>
      <w:r w:rsidR="00CA0469">
        <w:rPr>
          <w:rFonts w:ascii="Times New Roman" w:hAnsi="Times New Roman" w:cs="Times New Roman"/>
          <w:sz w:val="24"/>
          <w:szCs w:val="24"/>
        </w:rPr>
        <w:t>P</w:t>
      </w:r>
      <w:r w:rsidRPr="00434D69">
        <w:rPr>
          <w:rFonts w:ascii="Times New Roman" w:hAnsi="Times New Roman" w:cs="Times New Roman"/>
          <w:sz w:val="24"/>
          <w:szCs w:val="24"/>
        </w:rPr>
        <w:t>laintiff</w:t>
      </w:r>
      <w:r w:rsidR="00CA0469">
        <w:rPr>
          <w:rFonts w:ascii="Times New Roman" w:hAnsi="Times New Roman" w:cs="Times New Roman"/>
          <w:sz w:val="24"/>
          <w:szCs w:val="24"/>
        </w:rPr>
        <w:t>, Mr McCann,</w:t>
      </w:r>
      <w:r w:rsidRPr="00434D69">
        <w:rPr>
          <w:rFonts w:ascii="Times New Roman" w:hAnsi="Times New Roman" w:cs="Times New Roman"/>
          <w:sz w:val="24"/>
          <w:szCs w:val="24"/>
        </w:rPr>
        <w:t xml:space="preserve"> had </w:t>
      </w:r>
      <w:r w:rsidR="00805079">
        <w:rPr>
          <w:rFonts w:ascii="Times New Roman" w:hAnsi="Times New Roman" w:cs="Times New Roman"/>
          <w:sz w:val="24"/>
          <w:szCs w:val="24"/>
        </w:rPr>
        <w:t xml:space="preserve">had </w:t>
      </w:r>
      <w:r w:rsidRPr="00434D69">
        <w:rPr>
          <w:rFonts w:ascii="Times New Roman" w:hAnsi="Times New Roman" w:cs="Times New Roman"/>
          <w:sz w:val="24"/>
          <w:szCs w:val="24"/>
        </w:rPr>
        <w:t xml:space="preserve">past </w:t>
      </w:r>
      <w:r w:rsidR="00FC60A6">
        <w:rPr>
          <w:rFonts w:ascii="Times New Roman" w:hAnsi="Times New Roman" w:cs="Times New Roman"/>
          <w:sz w:val="24"/>
          <w:szCs w:val="24"/>
        </w:rPr>
        <w:t>commercial</w:t>
      </w:r>
      <w:r w:rsidRPr="00434D69">
        <w:rPr>
          <w:rFonts w:ascii="Times New Roman" w:hAnsi="Times New Roman" w:cs="Times New Roman"/>
          <w:sz w:val="24"/>
          <w:szCs w:val="24"/>
        </w:rPr>
        <w:t xml:space="preserve"> relations with CBRE.  Therefore, it </w:t>
      </w:r>
      <w:r w:rsidR="00CA0469">
        <w:rPr>
          <w:rFonts w:ascii="Times New Roman" w:hAnsi="Times New Roman" w:cs="Times New Roman"/>
          <w:sz w:val="24"/>
          <w:szCs w:val="24"/>
        </w:rPr>
        <w:t>was</w:t>
      </w:r>
      <w:r w:rsidRPr="00434D69">
        <w:rPr>
          <w:rFonts w:ascii="Times New Roman" w:hAnsi="Times New Roman" w:cs="Times New Roman"/>
          <w:sz w:val="24"/>
          <w:szCs w:val="24"/>
        </w:rPr>
        <w:t xml:space="preserve"> said, the </w:t>
      </w:r>
      <w:r w:rsidR="00CA0469">
        <w:rPr>
          <w:rFonts w:ascii="Times New Roman" w:hAnsi="Times New Roman" w:cs="Times New Roman"/>
          <w:sz w:val="24"/>
          <w:szCs w:val="24"/>
        </w:rPr>
        <w:t>S</w:t>
      </w:r>
      <w:r w:rsidRPr="00434D69">
        <w:rPr>
          <w:rFonts w:ascii="Times New Roman" w:hAnsi="Times New Roman" w:cs="Times New Roman"/>
          <w:sz w:val="24"/>
          <w:szCs w:val="24"/>
        </w:rPr>
        <w:t xml:space="preserve">econd </w:t>
      </w:r>
      <w:r w:rsidR="00CA0469">
        <w:rPr>
          <w:rFonts w:ascii="Times New Roman" w:hAnsi="Times New Roman" w:cs="Times New Roman"/>
          <w:sz w:val="24"/>
          <w:szCs w:val="24"/>
        </w:rPr>
        <w:t>P</w:t>
      </w:r>
      <w:r w:rsidRPr="00434D69">
        <w:rPr>
          <w:rFonts w:ascii="Times New Roman" w:hAnsi="Times New Roman" w:cs="Times New Roman"/>
          <w:sz w:val="24"/>
          <w:szCs w:val="24"/>
        </w:rPr>
        <w:t xml:space="preserve">laintiff was </w:t>
      </w:r>
      <w:r w:rsidR="003C6587">
        <w:rPr>
          <w:rFonts w:ascii="Times New Roman" w:hAnsi="Times New Roman" w:cs="Times New Roman"/>
          <w:sz w:val="24"/>
          <w:szCs w:val="24"/>
        </w:rPr>
        <w:t>“</w:t>
      </w:r>
      <w:r w:rsidRPr="003C6587">
        <w:rPr>
          <w:rFonts w:ascii="Times New Roman" w:hAnsi="Times New Roman" w:cs="Times New Roman"/>
          <w:i/>
          <w:sz w:val="24"/>
          <w:szCs w:val="24"/>
        </w:rPr>
        <w:t>compromised</w:t>
      </w:r>
      <w:r w:rsidR="003C6587">
        <w:rPr>
          <w:rFonts w:ascii="Times New Roman" w:hAnsi="Times New Roman" w:cs="Times New Roman"/>
          <w:sz w:val="24"/>
          <w:szCs w:val="24"/>
        </w:rPr>
        <w:t>”</w:t>
      </w:r>
      <w:r w:rsidRPr="00434D69">
        <w:rPr>
          <w:rFonts w:ascii="Times New Roman" w:hAnsi="Times New Roman" w:cs="Times New Roman"/>
          <w:sz w:val="24"/>
          <w:szCs w:val="24"/>
        </w:rPr>
        <w:t xml:space="preserve"> in the receivership.  </w:t>
      </w:r>
      <w:r w:rsidR="003C6587">
        <w:rPr>
          <w:rFonts w:ascii="Times New Roman" w:hAnsi="Times New Roman" w:cs="Times New Roman"/>
          <w:sz w:val="24"/>
          <w:szCs w:val="24"/>
        </w:rPr>
        <w:t>Mr Nwadike exhibited – and the First Defendant sought to have admitted – “</w:t>
      </w:r>
      <w:r w:rsidR="00650335" w:rsidRPr="003C6587">
        <w:rPr>
          <w:rFonts w:ascii="Times New Roman" w:hAnsi="Times New Roman" w:cs="Times New Roman"/>
          <w:i/>
          <w:sz w:val="24"/>
          <w:szCs w:val="24"/>
        </w:rPr>
        <w:t>evidence</w:t>
      </w:r>
      <w:r w:rsidR="003C6587">
        <w:rPr>
          <w:rFonts w:ascii="Times New Roman" w:hAnsi="Times New Roman" w:cs="Times New Roman"/>
          <w:sz w:val="24"/>
          <w:szCs w:val="24"/>
        </w:rPr>
        <w:t>”</w:t>
      </w:r>
      <w:r w:rsidR="00650335">
        <w:rPr>
          <w:rFonts w:ascii="Times New Roman" w:hAnsi="Times New Roman" w:cs="Times New Roman"/>
          <w:sz w:val="24"/>
          <w:szCs w:val="24"/>
        </w:rPr>
        <w:t xml:space="preserve"> </w:t>
      </w:r>
      <w:r w:rsidR="003C6587">
        <w:rPr>
          <w:rFonts w:ascii="Times New Roman" w:hAnsi="Times New Roman" w:cs="Times New Roman"/>
          <w:sz w:val="24"/>
          <w:szCs w:val="24"/>
        </w:rPr>
        <w:t xml:space="preserve">disclosing Mr </w:t>
      </w:r>
      <w:r w:rsidR="00B35D75">
        <w:rPr>
          <w:rFonts w:ascii="Times New Roman" w:hAnsi="Times New Roman" w:cs="Times New Roman"/>
          <w:sz w:val="24"/>
          <w:szCs w:val="24"/>
        </w:rPr>
        <w:t>M</w:t>
      </w:r>
      <w:r w:rsidR="003C6587">
        <w:rPr>
          <w:rFonts w:ascii="Times New Roman" w:hAnsi="Times New Roman" w:cs="Times New Roman"/>
          <w:sz w:val="24"/>
          <w:szCs w:val="24"/>
        </w:rPr>
        <w:t>cCann’s alleged relationship with CBRE. This material</w:t>
      </w:r>
      <w:r w:rsidR="00650335">
        <w:rPr>
          <w:rFonts w:ascii="Times New Roman" w:hAnsi="Times New Roman" w:cs="Times New Roman"/>
          <w:sz w:val="24"/>
          <w:szCs w:val="24"/>
        </w:rPr>
        <w:t xml:space="preserve"> appears to have been obtained through internet searches</w:t>
      </w:r>
      <w:r w:rsidR="003C6587">
        <w:rPr>
          <w:rFonts w:ascii="Times New Roman" w:hAnsi="Times New Roman" w:cs="Times New Roman"/>
          <w:sz w:val="24"/>
          <w:szCs w:val="24"/>
        </w:rPr>
        <w:t xml:space="preserve">, conducted presumably by Mr Nwadike.  </w:t>
      </w:r>
      <w:r w:rsidR="00C15A14" w:rsidRPr="00434D69">
        <w:rPr>
          <w:rFonts w:ascii="Times New Roman" w:hAnsi="Times New Roman" w:cs="Times New Roman"/>
          <w:sz w:val="24"/>
          <w:szCs w:val="24"/>
        </w:rPr>
        <w:t xml:space="preserve">While </w:t>
      </w:r>
      <w:r w:rsidR="003C6587">
        <w:rPr>
          <w:rFonts w:ascii="Times New Roman" w:hAnsi="Times New Roman" w:cs="Times New Roman"/>
          <w:sz w:val="24"/>
          <w:szCs w:val="24"/>
        </w:rPr>
        <w:t xml:space="preserve">the First Defendant did not </w:t>
      </w:r>
      <w:r w:rsidR="00C15A14" w:rsidRPr="00434D69">
        <w:rPr>
          <w:rFonts w:ascii="Times New Roman" w:hAnsi="Times New Roman" w:cs="Times New Roman"/>
          <w:sz w:val="24"/>
          <w:szCs w:val="24"/>
        </w:rPr>
        <w:t xml:space="preserve">seek the amendment of </w:t>
      </w:r>
      <w:r w:rsidR="003C6587">
        <w:rPr>
          <w:rFonts w:ascii="Times New Roman" w:hAnsi="Times New Roman" w:cs="Times New Roman"/>
          <w:sz w:val="24"/>
          <w:szCs w:val="24"/>
        </w:rPr>
        <w:t>his</w:t>
      </w:r>
      <w:r w:rsidR="00C15A14" w:rsidRPr="00434D69">
        <w:rPr>
          <w:rFonts w:ascii="Times New Roman" w:hAnsi="Times New Roman" w:cs="Times New Roman"/>
          <w:sz w:val="24"/>
          <w:szCs w:val="24"/>
        </w:rPr>
        <w:t xml:space="preserve"> grounds of appeal, he </w:t>
      </w:r>
      <w:r w:rsidR="003C6587">
        <w:rPr>
          <w:rFonts w:ascii="Times New Roman" w:hAnsi="Times New Roman" w:cs="Times New Roman"/>
          <w:sz w:val="24"/>
          <w:szCs w:val="24"/>
        </w:rPr>
        <w:t>did</w:t>
      </w:r>
      <w:r w:rsidR="00C15A14" w:rsidRPr="00434D69">
        <w:rPr>
          <w:rFonts w:ascii="Times New Roman" w:hAnsi="Times New Roman" w:cs="Times New Roman"/>
          <w:sz w:val="24"/>
          <w:szCs w:val="24"/>
        </w:rPr>
        <w:t xml:space="preserve"> seek to amend the reliefs</w:t>
      </w:r>
      <w:r w:rsidR="00D80379">
        <w:rPr>
          <w:rFonts w:ascii="Times New Roman" w:hAnsi="Times New Roman" w:cs="Times New Roman"/>
          <w:sz w:val="24"/>
          <w:szCs w:val="24"/>
        </w:rPr>
        <w:t xml:space="preserve"> being sought by him</w:t>
      </w:r>
      <w:r w:rsidR="00C15A14" w:rsidRPr="00434D69">
        <w:rPr>
          <w:rFonts w:ascii="Times New Roman" w:hAnsi="Times New Roman" w:cs="Times New Roman"/>
          <w:sz w:val="24"/>
          <w:szCs w:val="24"/>
        </w:rPr>
        <w:t xml:space="preserve">, </w:t>
      </w:r>
      <w:r w:rsidR="00D80379">
        <w:rPr>
          <w:rFonts w:ascii="Times New Roman" w:hAnsi="Times New Roman" w:cs="Times New Roman"/>
          <w:sz w:val="24"/>
          <w:szCs w:val="24"/>
        </w:rPr>
        <w:t xml:space="preserve">to include a number of </w:t>
      </w:r>
      <w:r w:rsidR="00C15A14" w:rsidRPr="00434D69">
        <w:rPr>
          <w:rFonts w:ascii="Times New Roman" w:hAnsi="Times New Roman" w:cs="Times New Roman"/>
          <w:sz w:val="24"/>
          <w:szCs w:val="24"/>
        </w:rPr>
        <w:t xml:space="preserve">declarations </w:t>
      </w:r>
      <w:r w:rsidR="00D80379">
        <w:rPr>
          <w:rFonts w:ascii="Times New Roman" w:hAnsi="Times New Roman" w:cs="Times New Roman"/>
          <w:sz w:val="24"/>
          <w:szCs w:val="24"/>
        </w:rPr>
        <w:t>said to</w:t>
      </w:r>
      <w:r w:rsidR="00C15A14" w:rsidRPr="00434D69">
        <w:rPr>
          <w:rFonts w:ascii="Times New Roman" w:hAnsi="Times New Roman" w:cs="Times New Roman"/>
          <w:sz w:val="24"/>
          <w:szCs w:val="24"/>
        </w:rPr>
        <w:t xml:space="preserve"> arise from the alleged conflict of interest. </w:t>
      </w:r>
      <w:r w:rsidR="00D80379">
        <w:rPr>
          <w:rFonts w:ascii="Times New Roman" w:hAnsi="Times New Roman" w:cs="Times New Roman"/>
          <w:sz w:val="24"/>
          <w:szCs w:val="24"/>
        </w:rPr>
        <w:t xml:space="preserve">One of those </w:t>
      </w:r>
      <w:r w:rsidR="003C6587">
        <w:rPr>
          <w:rFonts w:ascii="Times New Roman" w:hAnsi="Times New Roman" w:cs="Times New Roman"/>
          <w:sz w:val="24"/>
          <w:szCs w:val="24"/>
        </w:rPr>
        <w:t>declaration</w:t>
      </w:r>
      <w:r w:rsidR="00D80379">
        <w:rPr>
          <w:rFonts w:ascii="Times New Roman" w:hAnsi="Times New Roman" w:cs="Times New Roman"/>
          <w:sz w:val="24"/>
          <w:szCs w:val="24"/>
        </w:rPr>
        <w:t xml:space="preserve">s was </w:t>
      </w:r>
      <w:r w:rsidR="003C6587">
        <w:rPr>
          <w:rFonts w:ascii="Times New Roman" w:hAnsi="Times New Roman" w:cs="Times New Roman"/>
          <w:sz w:val="24"/>
          <w:szCs w:val="24"/>
        </w:rPr>
        <w:t>in the following terms:</w:t>
      </w:r>
    </w:p>
    <w:p w14:paraId="14B55102" w14:textId="77777777" w:rsidR="00C15A14" w:rsidRPr="00434D69" w:rsidRDefault="00C15A14" w:rsidP="00434D69">
      <w:pPr>
        <w:pStyle w:val="ListParagraph"/>
        <w:spacing w:after="0" w:line="480" w:lineRule="auto"/>
        <w:rPr>
          <w:rFonts w:ascii="Times New Roman" w:hAnsi="Times New Roman" w:cs="Times New Roman"/>
          <w:sz w:val="24"/>
          <w:szCs w:val="24"/>
        </w:rPr>
      </w:pPr>
    </w:p>
    <w:p w14:paraId="0AF176CC" w14:textId="4C831B17" w:rsidR="00C15A14" w:rsidRPr="00434D69" w:rsidRDefault="00C15A14" w:rsidP="00434D69">
      <w:pPr>
        <w:pStyle w:val="ListParagraph"/>
        <w:spacing w:after="0" w:line="480" w:lineRule="auto"/>
        <w:ind w:left="1440"/>
        <w:jc w:val="both"/>
        <w:rPr>
          <w:rFonts w:ascii="Times New Roman" w:hAnsi="Times New Roman" w:cs="Times New Roman"/>
          <w:i/>
          <w:sz w:val="24"/>
          <w:szCs w:val="24"/>
        </w:rPr>
      </w:pPr>
      <w:r w:rsidRPr="00434D69">
        <w:rPr>
          <w:rFonts w:ascii="Times New Roman" w:hAnsi="Times New Roman" w:cs="Times New Roman"/>
          <w:sz w:val="24"/>
          <w:szCs w:val="24"/>
        </w:rPr>
        <w:lastRenderedPageBreak/>
        <w:t>‘</w:t>
      </w:r>
      <w:r w:rsidR="00344246" w:rsidRPr="008F432B">
        <w:rPr>
          <w:rFonts w:ascii="Times New Roman" w:hAnsi="Times New Roman" w:cs="Times New Roman"/>
          <w:i/>
          <w:iCs/>
          <w:sz w:val="24"/>
          <w:szCs w:val="24"/>
        </w:rPr>
        <w:t>3</w:t>
      </w:r>
      <w:r w:rsidR="003C6587">
        <w:rPr>
          <w:rFonts w:ascii="Times New Roman" w:hAnsi="Times New Roman" w:cs="Times New Roman"/>
          <w:sz w:val="24"/>
          <w:szCs w:val="24"/>
        </w:rPr>
        <w:t>.</w:t>
      </w:r>
      <w:r w:rsidR="00BB57A9">
        <w:rPr>
          <w:rFonts w:ascii="Times New Roman" w:hAnsi="Times New Roman" w:cs="Times New Roman"/>
          <w:sz w:val="24"/>
          <w:szCs w:val="24"/>
        </w:rPr>
        <w:t>.</w:t>
      </w:r>
      <w:r w:rsidR="003C6587">
        <w:rPr>
          <w:rFonts w:ascii="Times New Roman" w:hAnsi="Times New Roman" w:cs="Times New Roman"/>
          <w:sz w:val="24"/>
          <w:szCs w:val="24"/>
        </w:rPr>
        <w:t xml:space="preserve">. </w:t>
      </w:r>
      <w:r w:rsidRPr="00434D69">
        <w:rPr>
          <w:rFonts w:ascii="Times New Roman" w:hAnsi="Times New Roman" w:cs="Times New Roman"/>
          <w:i/>
          <w:sz w:val="24"/>
          <w:szCs w:val="24"/>
        </w:rPr>
        <w:t xml:space="preserve">A Declaration that </w:t>
      </w:r>
      <w:r w:rsidR="003C6587">
        <w:rPr>
          <w:rFonts w:ascii="Times New Roman" w:hAnsi="Times New Roman" w:cs="Times New Roman"/>
          <w:i/>
          <w:sz w:val="24"/>
          <w:szCs w:val="24"/>
        </w:rPr>
        <w:t>[the Second Plaintiff] was not in a position to carry out his receivership duties in circumstances whereby his right and duty to pursue remedy in the realisation of the security under the terms of the CBRE report including the expressly stated valuations was compromised through his commercial relationships with the said CBRE.</w:t>
      </w:r>
      <w:r w:rsidR="008F432B">
        <w:rPr>
          <w:rFonts w:ascii="Times New Roman" w:hAnsi="Times New Roman" w:cs="Times New Roman"/>
          <w:i/>
          <w:sz w:val="24"/>
          <w:szCs w:val="24"/>
        </w:rPr>
        <w:t>’</w:t>
      </w:r>
      <w:r w:rsidR="003C6587">
        <w:rPr>
          <w:rFonts w:ascii="Times New Roman" w:hAnsi="Times New Roman" w:cs="Times New Roman"/>
          <w:i/>
          <w:sz w:val="24"/>
          <w:szCs w:val="24"/>
        </w:rPr>
        <w:t xml:space="preserve"> </w:t>
      </w:r>
      <w:r w:rsidR="00B94296">
        <w:rPr>
          <w:rFonts w:ascii="Times New Roman" w:hAnsi="Times New Roman" w:cs="Times New Roman"/>
          <w:i/>
          <w:sz w:val="24"/>
          <w:szCs w:val="24"/>
        </w:rPr>
        <w:t>(sic)</w:t>
      </w:r>
    </w:p>
    <w:p w14:paraId="6C672502" w14:textId="77777777" w:rsidR="00E0772D" w:rsidRPr="00434D69" w:rsidRDefault="00E0772D"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4C03A0B5" w14:textId="67599371" w:rsidR="00C15A14" w:rsidRPr="00B94296" w:rsidRDefault="00C15A14" w:rsidP="00B94296">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While </w:t>
      </w:r>
      <w:r w:rsidR="003C6587">
        <w:rPr>
          <w:rFonts w:ascii="Times New Roman" w:hAnsi="Times New Roman" w:cs="Times New Roman"/>
          <w:sz w:val="24"/>
          <w:szCs w:val="24"/>
        </w:rPr>
        <w:t xml:space="preserve">Mr </w:t>
      </w:r>
      <w:bookmarkStart w:id="1" w:name="_Hlk98171121"/>
      <w:r w:rsidR="00B94296">
        <w:rPr>
          <w:rFonts w:ascii="Times New Roman" w:hAnsi="Times New Roman" w:cs="Times New Roman"/>
          <w:sz w:val="24"/>
          <w:szCs w:val="24"/>
        </w:rPr>
        <w:t xml:space="preserve">Nwadike </w:t>
      </w:r>
      <w:bookmarkEnd w:id="1"/>
      <w:r w:rsidR="00B94296">
        <w:rPr>
          <w:rFonts w:ascii="Times New Roman" w:hAnsi="Times New Roman" w:cs="Times New Roman"/>
          <w:sz w:val="24"/>
          <w:szCs w:val="24"/>
        </w:rPr>
        <w:t>stated</w:t>
      </w:r>
      <w:r w:rsidRPr="00B94296">
        <w:rPr>
          <w:rFonts w:ascii="Times New Roman" w:hAnsi="Times New Roman" w:cs="Times New Roman"/>
          <w:sz w:val="24"/>
          <w:szCs w:val="24"/>
        </w:rPr>
        <w:t xml:space="preserve"> that over the days preceding the issue of the notice of motion</w:t>
      </w:r>
      <w:r w:rsidR="009A0E41">
        <w:rPr>
          <w:rFonts w:ascii="Times New Roman" w:hAnsi="Times New Roman" w:cs="Times New Roman"/>
          <w:sz w:val="24"/>
          <w:szCs w:val="24"/>
        </w:rPr>
        <w:t>,</w:t>
      </w:r>
      <w:r w:rsidRPr="00B94296">
        <w:rPr>
          <w:rFonts w:ascii="Times New Roman" w:hAnsi="Times New Roman" w:cs="Times New Roman"/>
          <w:sz w:val="24"/>
          <w:szCs w:val="24"/>
        </w:rPr>
        <w:t xml:space="preserve"> he had researched the receivers and their contractual dealings</w:t>
      </w:r>
      <w:r w:rsidR="00ED4529" w:rsidRPr="00B94296">
        <w:rPr>
          <w:rFonts w:ascii="Times New Roman" w:hAnsi="Times New Roman" w:cs="Times New Roman"/>
          <w:sz w:val="24"/>
          <w:szCs w:val="24"/>
        </w:rPr>
        <w:t>, h</w:t>
      </w:r>
      <w:r w:rsidR="00B94296">
        <w:rPr>
          <w:rFonts w:ascii="Times New Roman" w:hAnsi="Times New Roman" w:cs="Times New Roman"/>
          <w:sz w:val="24"/>
          <w:szCs w:val="24"/>
        </w:rPr>
        <w:t xml:space="preserve">is affidavit was </w:t>
      </w:r>
      <w:r w:rsidR="00B35D75">
        <w:rPr>
          <w:rFonts w:ascii="Times New Roman" w:hAnsi="Times New Roman" w:cs="Times New Roman"/>
          <w:sz w:val="24"/>
          <w:szCs w:val="24"/>
        </w:rPr>
        <w:t xml:space="preserve">entirely </w:t>
      </w:r>
      <w:r w:rsidR="00B94296">
        <w:rPr>
          <w:rFonts w:ascii="Times New Roman" w:hAnsi="Times New Roman" w:cs="Times New Roman"/>
          <w:sz w:val="24"/>
          <w:szCs w:val="24"/>
        </w:rPr>
        <w:t xml:space="preserve">silent on </w:t>
      </w:r>
      <w:r w:rsidR="00ED4529" w:rsidRPr="00B94296">
        <w:rPr>
          <w:rFonts w:ascii="Times New Roman" w:hAnsi="Times New Roman" w:cs="Times New Roman"/>
          <w:sz w:val="24"/>
          <w:szCs w:val="24"/>
        </w:rPr>
        <w:t>what</w:t>
      </w:r>
      <w:r w:rsidR="00B94296">
        <w:rPr>
          <w:rFonts w:ascii="Times New Roman" w:hAnsi="Times New Roman" w:cs="Times New Roman"/>
          <w:sz w:val="24"/>
          <w:szCs w:val="24"/>
        </w:rPr>
        <w:t xml:space="preserve"> had</w:t>
      </w:r>
      <w:r w:rsidR="00ED4529" w:rsidRPr="00B94296">
        <w:rPr>
          <w:rFonts w:ascii="Times New Roman" w:hAnsi="Times New Roman" w:cs="Times New Roman"/>
          <w:sz w:val="24"/>
          <w:szCs w:val="24"/>
        </w:rPr>
        <w:t xml:space="preserve"> prompted him to undertake that </w:t>
      </w:r>
      <w:r w:rsidR="00B94296">
        <w:rPr>
          <w:rFonts w:ascii="Times New Roman" w:hAnsi="Times New Roman" w:cs="Times New Roman"/>
          <w:sz w:val="24"/>
          <w:szCs w:val="24"/>
        </w:rPr>
        <w:t>exercise</w:t>
      </w:r>
      <w:r w:rsidR="00ED4529" w:rsidRPr="00B94296">
        <w:rPr>
          <w:rFonts w:ascii="Times New Roman" w:hAnsi="Times New Roman" w:cs="Times New Roman"/>
          <w:sz w:val="24"/>
          <w:szCs w:val="24"/>
        </w:rPr>
        <w:t xml:space="preserve">. </w:t>
      </w:r>
      <w:r w:rsidR="00B94296">
        <w:rPr>
          <w:rFonts w:ascii="Times New Roman" w:hAnsi="Times New Roman" w:cs="Times New Roman"/>
          <w:sz w:val="24"/>
          <w:szCs w:val="24"/>
        </w:rPr>
        <w:t>Furthermore, w</w:t>
      </w:r>
      <w:r w:rsidR="00650335" w:rsidRPr="00B94296">
        <w:rPr>
          <w:rFonts w:ascii="Times New Roman" w:hAnsi="Times New Roman" w:cs="Times New Roman"/>
          <w:sz w:val="24"/>
          <w:szCs w:val="24"/>
        </w:rPr>
        <w:t xml:space="preserve">hile he </w:t>
      </w:r>
      <w:r w:rsidR="00D704DE" w:rsidRPr="00B94296">
        <w:rPr>
          <w:rFonts w:ascii="Times New Roman" w:hAnsi="Times New Roman" w:cs="Times New Roman"/>
          <w:sz w:val="24"/>
          <w:szCs w:val="24"/>
        </w:rPr>
        <w:t>s</w:t>
      </w:r>
      <w:r w:rsidR="00650335" w:rsidRPr="00B94296">
        <w:rPr>
          <w:rFonts w:ascii="Times New Roman" w:hAnsi="Times New Roman" w:cs="Times New Roman"/>
          <w:sz w:val="24"/>
          <w:szCs w:val="24"/>
        </w:rPr>
        <w:t>a</w:t>
      </w:r>
      <w:r w:rsidR="00B94296">
        <w:rPr>
          <w:rFonts w:ascii="Times New Roman" w:hAnsi="Times New Roman" w:cs="Times New Roman"/>
          <w:sz w:val="24"/>
          <w:szCs w:val="24"/>
        </w:rPr>
        <w:t>id</w:t>
      </w:r>
      <w:r w:rsidR="00650335" w:rsidRPr="00B94296">
        <w:rPr>
          <w:rFonts w:ascii="Times New Roman" w:hAnsi="Times New Roman" w:cs="Times New Roman"/>
          <w:sz w:val="24"/>
          <w:szCs w:val="24"/>
        </w:rPr>
        <w:t xml:space="preserve"> that he first accepted instructions on </w:t>
      </w:r>
      <w:r w:rsidR="00B94296">
        <w:rPr>
          <w:rFonts w:ascii="Times New Roman" w:hAnsi="Times New Roman" w:cs="Times New Roman"/>
          <w:sz w:val="24"/>
          <w:szCs w:val="24"/>
        </w:rPr>
        <w:t xml:space="preserve">3 </w:t>
      </w:r>
      <w:r w:rsidR="00650335" w:rsidRPr="00B94296">
        <w:rPr>
          <w:rFonts w:ascii="Times New Roman" w:hAnsi="Times New Roman" w:cs="Times New Roman"/>
          <w:sz w:val="24"/>
          <w:szCs w:val="24"/>
        </w:rPr>
        <w:t xml:space="preserve">February </w:t>
      </w:r>
      <w:r w:rsidR="00B35D75">
        <w:rPr>
          <w:rFonts w:ascii="Times New Roman" w:hAnsi="Times New Roman" w:cs="Times New Roman"/>
          <w:sz w:val="24"/>
          <w:szCs w:val="24"/>
        </w:rPr>
        <w:t>2021</w:t>
      </w:r>
      <w:r w:rsidR="00650335" w:rsidRPr="00B94296">
        <w:rPr>
          <w:rFonts w:ascii="Times New Roman" w:hAnsi="Times New Roman" w:cs="Times New Roman"/>
          <w:sz w:val="24"/>
          <w:szCs w:val="24"/>
        </w:rPr>
        <w:t xml:space="preserve">, he </w:t>
      </w:r>
      <w:r w:rsidR="00B94296">
        <w:rPr>
          <w:rFonts w:ascii="Times New Roman" w:hAnsi="Times New Roman" w:cs="Times New Roman"/>
          <w:sz w:val="24"/>
          <w:szCs w:val="24"/>
        </w:rPr>
        <w:t xml:space="preserve">did not explain </w:t>
      </w:r>
      <w:r w:rsidR="00650335" w:rsidRPr="00B94296">
        <w:rPr>
          <w:rFonts w:ascii="Times New Roman" w:hAnsi="Times New Roman" w:cs="Times New Roman"/>
          <w:sz w:val="24"/>
          <w:szCs w:val="24"/>
        </w:rPr>
        <w:t xml:space="preserve">when or by whom he was first approached to accept instructions in the matter.  </w:t>
      </w:r>
      <w:r w:rsidR="00ED4529" w:rsidRPr="00B94296">
        <w:rPr>
          <w:rFonts w:ascii="Times New Roman" w:hAnsi="Times New Roman" w:cs="Times New Roman"/>
          <w:sz w:val="24"/>
          <w:szCs w:val="24"/>
        </w:rPr>
        <w:t xml:space="preserve">There </w:t>
      </w:r>
      <w:r w:rsidR="00B94296">
        <w:rPr>
          <w:rFonts w:ascii="Times New Roman" w:hAnsi="Times New Roman" w:cs="Times New Roman"/>
          <w:sz w:val="24"/>
          <w:szCs w:val="24"/>
        </w:rPr>
        <w:t>was</w:t>
      </w:r>
      <w:r w:rsidR="00ED4529" w:rsidRPr="00B94296">
        <w:rPr>
          <w:rFonts w:ascii="Times New Roman" w:hAnsi="Times New Roman" w:cs="Times New Roman"/>
          <w:sz w:val="24"/>
          <w:szCs w:val="24"/>
        </w:rPr>
        <w:t xml:space="preserve"> no affidavit from the </w:t>
      </w:r>
      <w:r w:rsidR="00B94296">
        <w:rPr>
          <w:rFonts w:ascii="Times New Roman" w:hAnsi="Times New Roman" w:cs="Times New Roman"/>
          <w:sz w:val="24"/>
          <w:szCs w:val="24"/>
        </w:rPr>
        <w:t>F</w:t>
      </w:r>
      <w:r w:rsidR="00ED4529" w:rsidRPr="00B94296">
        <w:rPr>
          <w:rFonts w:ascii="Times New Roman" w:hAnsi="Times New Roman" w:cs="Times New Roman"/>
          <w:sz w:val="24"/>
          <w:szCs w:val="24"/>
        </w:rPr>
        <w:t xml:space="preserve">irst </w:t>
      </w:r>
      <w:r w:rsidR="00B94296">
        <w:rPr>
          <w:rFonts w:ascii="Times New Roman" w:hAnsi="Times New Roman" w:cs="Times New Roman"/>
          <w:sz w:val="24"/>
          <w:szCs w:val="24"/>
        </w:rPr>
        <w:t>D</w:t>
      </w:r>
      <w:r w:rsidR="00ED4529" w:rsidRPr="00B94296">
        <w:rPr>
          <w:rFonts w:ascii="Times New Roman" w:hAnsi="Times New Roman" w:cs="Times New Roman"/>
          <w:sz w:val="24"/>
          <w:szCs w:val="24"/>
        </w:rPr>
        <w:t xml:space="preserve">efendant </w:t>
      </w:r>
      <w:r w:rsidR="00B94296">
        <w:rPr>
          <w:rFonts w:ascii="Times New Roman" w:hAnsi="Times New Roman" w:cs="Times New Roman"/>
          <w:sz w:val="24"/>
          <w:szCs w:val="24"/>
        </w:rPr>
        <w:t>explaining</w:t>
      </w:r>
      <w:r w:rsidR="00ED4529" w:rsidRPr="00B94296">
        <w:rPr>
          <w:rFonts w:ascii="Times New Roman" w:hAnsi="Times New Roman" w:cs="Times New Roman"/>
          <w:sz w:val="24"/>
          <w:szCs w:val="24"/>
        </w:rPr>
        <w:t xml:space="preserve"> when</w:t>
      </w:r>
      <w:r w:rsidR="00650335" w:rsidRPr="00B94296">
        <w:rPr>
          <w:rFonts w:ascii="Times New Roman" w:hAnsi="Times New Roman" w:cs="Times New Roman"/>
          <w:sz w:val="24"/>
          <w:szCs w:val="24"/>
        </w:rPr>
        <w:t>, or through whom</w:t>
      </w:r>
      <w:r w:rsidR="00D80379">
        <w:rPr>
          <w:rFonts w:ascii="Times New Roman" w:hAnsi="Times New Roman" w:cs="Times New Roman"/>
          <w:sz w:val="24"/>
          <w:szCs w:val="24"/>
        </w:rPr>
        <w:t>,</w:t>
      </w:r>
      <w:r w:rsidR="00650335" w:rsidRPr="00B94296">
        <w:rPr>
          <w:rFonts w:ascii="Times New Roman" w:hAnsi="Times New Roman" w:cs="Times New Roman"/>
          <w:sz w:val="24"/>
          <w:szCs w:val="24"/>
        </w:rPr>
        <w:t xml:space="preserve"> he first decided to seek to instruct solicitors to represent him in the appeal</w:t>
      </w:r>
      <w:r w:rsidR="005B561F" w:rsidRPr="00B94296">
        <w:rPr>
          <w:rFonts w:ascii="Times New Roman" w:hAnsi="Times New Roman" w:cs="Times New Roman"/>
          <w:sz w:val="24"/>
          <w:szCs w:val="24"/>
        </w:rPr>
        <w:t>, why the instruction of solicitors in the manner was left to such a late stage</w:t>
      </w:r>
      <w:r w:rsidR="00650335" w:rsidRPr="00B94296">
        <w:rPr>
          <w:rFonts w:ascii="Times New Roman" w:hAnsi="Times New Roman" w:cs="Times New Roman"/>
          <w:sz w:val="24"/>
          <w:szCs w:val="24"/>
        </w:rPr>
        <w:t xml:space="preserve"> or when </w:t>
      </w:r>
      <w:r w:rsidR="00ED4529" w:rsidRPr="00B94296">
        <w:rPr>
          <w:rFonts w:ascii="Times New Roman" w:hAnsi="Times New Roman" w:cs="Times New Roman"/>
          <w:sz w:val="24"/>
          <w:szCs w:val="24"/>
        </w:rPr>
        <w:t>the prospect of such an alleged conflict of interest first came to his attentio</w:t>
      </w:r>
      <w:r w:rsidR="007C2A12" w:rsidRPr="00B94296">
        <w:rPr>
          <w:rFonts w:ascii="Times New Roman" w:hAnsi="Times New Roman" w:cs="Times New Roman"/>
          <w:sz w:val="24"/>
          <w:szCs w:val="24"/>
        </w:rPr>
        <w:t>n or to that of anyone else who may have been assisting him with the litigation.</w:t>
      </w:r>
    </w:p>
    <w:p w14:paraId="423917A5" w14:textId="77777777" w:rsidR="00C15A14" w:rsidRPr="00434D69" w:rsidRDefault="00C15A14"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234CF141" w14:textId="7C0DF8FA" w:rsidR="008F383C" w:rsidRPr="00650335" w:rsidRDefault="00AA001C" w:rsidP="003C6587">
      <w:pPr>
        <w:pStyle w:val="ListParagraph"/>
        <w:numPr>
          <w:ilvl w:val="0"/>
          <w:numId w:val="1"/>
        </w:numPr>
        <w:spacing w:after="0" w:line="480" w:lineRule="auto"/>
        <w:jc w:val="both"/>
        <w:rPr>
          <w:rFonts w:ascii="Times New Roman" w:hAnsi="Times New Roman" w:cs="Times New Roman"/>
          <w:sz w:val="24"/>
          <w:szCs w:val="24"/>
        </w:rPr>
      </w:pPr>
      <w:r w:rsidRPr="00650335">
        <w:rPr>
          <w:rFonts w:ascii="Times New Roman" w:hAnsi="Times New Roman" w:cs="Times New Roman"/>
          <w:sz w:val="24"/>
          <w:szCs w:val="24"/>
        </w:rPr>
        <w:t xml:space="preserve">For present purposes </w:t>
      </w:r>
      <w:r w:rsidR="00056A56" w:rsidRPr="00650335">
        <w:rPr>
          <w:rFonts w:ascii="Times New Roman" w:hAnsi="Times New Roman" w:cs="Times New Roman"/>
          <w:sz w:val="24"/>
          <w:szCs w:val="24"/>
        </w:rPr>
        <w:t xml:space="preserve">in this case </w:t>
      </w:r>
      <w:r w:rsidRPr="00650335">
        <w:rPr>
          <w:rFonts w:ascii="Times New Roman" w:hAnsi="Times New Roman" w:cs="Times New Roman"/>
          <w:sz w:val="24"/>
          <w:szCs w:val="24"/>
        </w:rPr>
        <w:t xml:space="preserve">we will </w:t>
      </w:r>
      <w:r w:rsidR="00B94296">
        <w:rPr>
          <w:rFonts w:ascii="Times New Roman" w:hAnsi="Times New Roman" w:cs="Times New Roman"/>
          <w:sz w:val="24"/>
          <w:szCs w:val="24"/>
        </w:rPr>
        <w:t>limit ourselves to observing</w:t>
      </w:r>
      <w:r w:rsidRPr="00650335">
        <w:rPr>
          <w:rFonts w:ascii="Times New Roman" w:hAnsi="Times New Roman" w:cs="Times New Roman"/>
          <w:sz w:val="24"/>
          <w:szCs w:val="24"/>
        </w:rPr>
        <w:t xml:space="preserve"> that the issuing of a motion to admit further evidence or to amend a notice of appeal is a step that should n</w:t>
      </w:r>
      <w:r w:rsidR="00056A56" w:rsidRPr="00650335">
        <w:rPr>
          <w:rFonts w:ascii="Times New Roman" w:hAnsi="Times New Roman" w:cs="Times New Roman"/>
          <w:sz w:val="24"/>
          <w:szCs w:val="24"/>
        </w:rPr>
        <w:t>ever</w:t>
      </w:r>
      <w:r w:rsidRPr="00650335">
        <w:rPr>
          <w:rFonts w:ascii="Times New Roman" w:hAnsi="Times New Roman" w:cs="Times New Roman"/>
          <w:sz w:val="24"/>
          <w:szCs w:val="24"/>
        </w:rPr>
        <w:t xml:space="preserve"> be taken lightly </w:t>
      </w:r>
      <w:r w:rsidR="00B94296">
        <w:rPr>
          <w:rFonts w:ascii="Times New Roman" w:hAnsi="Times New Roman" w:cs="Times New Roman"/>
          <w:sz w:val="24"/>
          <w:szCs w:val="24"/>
        </w:rPr>
        <w:t xml:space="preserve">or regarded as routine. </w:t>
      </w:r>
      <w:r w:rsidR="003B5C6E">
        <w:rPr>
          <w:rFonts w:ascii="Times New Roman" w:hAnsi="Times New Roman" w:cs="Times New Roman"/>
          <w:sz w:val="24"/>
          <w:szCs w:val="24"/>
        </w:rPr>
        <w:t>W</w:t>
      </w:r>
      <w:r w:rsidR="003B5C6E" w:rsidRPr="00650335">
        <w:rPr>
          <w:rFonts w:ascii="Times New Roman" w:hAnsi="Times New Roman" w:cs="Times New Roman"/>
          <w:sz w:val="24"/>
          <w:szCs w:val="24"/>
        </w:rPr>
        <w:t>hen the hearing date for an appeal is proximate</w:t>
      </w:r>
      <w:r w:rsidR="006877FB">
        <w:rPr>
          <w:rFonts w:ascii="Times New Roman" w:hAnsi="Times New Roman" w:cs="Times New Roman"/>
          <w:sz w:val="24"/>
          <w:szCs w:val="24"/>
        </w:rPr>
        <w:t xml:space="preserve"> – in particular a hearing date in a very substantial appeal of the kind presented by these proceedings</w:t>
      </w:r>
      <w:r w:rsidR="00792FE3">
        <w:rPr>
          <w:rFonts w:ascii="Times New Roman" w:hAnsi="Times New Roman" w:cs="Times New Roman"/>
          <w:sz w:val="24"/>
          <w:szCs w:val="24"/>
        </w:rPr>
        <w:t xml:space="preserve"> - </w:t>
      </w:r>
      <w:r w:rsidR="003B5C6E">
        <w:rPr>
          <w:rFonts w:ascii="Times New Roman" w:hAnsi="Times New Roman" w:cs="Times New Roman"/>
          <w:sz w:val="24"/>
          <w:szCs w:val="24"/>
        </w:rPr>
        <w:t xml:space="preserve">such a motion should issue only </w:t>
      </w:r>
      <w:r w:rsidR="00056A56" w:rsidRPr="00650335">
        <w:rPr>
          <w:rFonts w:ascii="Times New Roman" w:hAnsi="Times New Roman" w:cs="Times New Roman"/>
          <w:sz w:val="24"/>
          <w:szCs w:val="24"/>
        </w:rPr>
        <w:t>in exceptional</w:t>
      </w:r>
      <w:r w:rsidR="003B5C6E">
        <w:rPr>
          <w:rFonts w:ascii="Times New Roman" w:hAnsi="Times New Roman" w:cs="Times New Roman"/>
          <w:sz w:val="24"/>
          <w:szCs w:val="24"/>
        </w:rPr>
        <w:t xml:space="preserve"> and compelling</w:t>
      </w:r>
      <w:r w:rsidR="00056A56" w:rsidRPr="00650335">
        <w:rPr>
          <w:rFonts w:ascii="Times New Roman" w:hAnsi="Times New Roman" w:cs="Times New Roman"/>
          <w:sz w:val="24"/>
          <w:szCs w:val="24"/>
        </w:rPr>
        <w:t xml:space="preserve"> circumstances.  S</w:t>
      </w:r>
      <w:r w:rsidRPr="00650335">
        <w:rPr>
          <w:rFonts w:ascii="Times New Roman" w:hAnsi="Times New Roman" w:cs="Times New Roman"/>
          <w:sz w:val="24"/>
          <w:szCs w:val="24"/>
        </w:rPr>
        <w:t xml:space="preserve">olicitors and counsel owe a duty to the Court not to engage in such a course of action unless they have satisfied themselves that it is </w:t>
      </w:r>
      <w:r w:rsidR="00056A56" w:rsidRPr="00650335">
        <w:rPr>
          <w:rFonts w:ascii="Times New Roman" w:hAnsi="Times New Roman" w:cs="Times New Roman"/>
          <w:sz w:val="24"/>
          <w:szCs w:val="24"/>
        </w:rPr>
        <w:t xml:space="preserve">necessary, </w:t>
      </w:r>
      <w:r w:rsidRPr="00650335">
        <w:rPr>
          <w:rFonts w:ascii="Times New Roman" w:hAnsi="Times New Roman" w:cs="Times New Roman"/>
          <w:sz w:val="24"/>
          <w:szCs w:val="24"/>
        </w:rPr>
        <w:lastRenderedPageBreak/>
        <w:t xml:space="preserve">proper and appropriate so to do.  </w:t>
      </w:r>
      <w:r w:rsidR="00B35D75">
        <w:rPr>
          <w:rFonts w:ascii="Times New Roman" w:hAnsi="Times New Roman" w:cs="Times New Roman"/>
          <w:sz w:val="24"/>
          <w:szCs w:val="24"/>
        </w:rPr>
        <w:t>If</w:t>
      </w:r>
      <w:r w:rsidR="00EB1CD0" w:rsidRPr="00650335">
        <w:rPr>
          <w:rFonts w:ascii="Times New Roman" w:hAnsi="Times New Roman" w:cs="Times New Roman"/>
          <w:sz w:val="24"/>
          <w:szCs w:val="24"/>
        </w:rPr>
        <w:t xml:space="preserve"> they determine that </w:t>
      </w:r>
      <w:r w:rsidR="008F383C" w:rsidRPr="00650335">
        <w:rPr>
          <w:rFonts w:ascii="Times New Roman" w:hAnsi="Times New Roman" w:cs="Times New Roman"/>
          <w:sz w:val="24"/>
          <w:szCs w:val="24"/>
        </w:rPr>
        <w:t xml:space="preserve">it is appropriate </w:t>
      </w:r>
      <w:r w:rsidR="00EB1CD0" w:rsidRPr="00650335">
        <w:rPr>
          <w:rFonts w:ascii="Times New Roman" w:hAnsi="Times New Roman" w:cs="Times New Roman"/>
          <w:sz w:val="24"/>
          <w:szCs w:val="24"/>
        </w:rPr>
        <w:t xml:space="preserve">to proceed with such an application it is incumbent upon them to ensure that </w:t>
      </w:r>
      <w:r w:rsidR="008F383C" w:rsidRPr="00650335">
        <w:rPr>
          <w:rFonts w:ascii="Times New Roman" w:hAnsi="Times New Roman" w:cs="Times New Roman"/>
          <w:sz w:val="24"/>
          <w:szCs w:val="24"/>
        </w:rPr>
        <w:t xml:space="preserve">the Court </w:t>
      </w:r>
      <w:r w:rsidR="00EB1CD0" w:rsidRPr="00650335">
        <w:rPr>
          <w:rFonts w:ascii="Times New Roman" w:hAnsi="Times New Roman" w:cs="Times New Roman"/>
          <w:sz w:val="24"/>
          <w:szCs w:val="24"/>
        </w:rPr>
        <w:t xml:space="preserve">is </w:t>
      </w:r>
      <w:r w:rsidR="008F383C" w:rsidRPr="00650335">
        <w:rPr>
          <w:rFonts w:ascii="Times New Roman" w:hAnsi="Times New Roman" w:cs="Times New Roman"/>
          <w:sz w:val="24"/>
          <w:szCs w:val="24"/>
        </w:rPr>
        <w:t xml:space="preserve">given full details of why the motion is being brought at such a late stage.  </w:t>
      </w:r>
      <w:r w:rsidR="005C1F58" w:rsidRPr="00650335">
        <w:rPr>
          <w:rFonts w:ascii="Times New Roman" w:hAnsi="Times New Roman" w:cs="Times New Roman"/>
          <w:sz w:val="24"/>
          <w:szCs w:val="24"/>
        </w:rPr>
        <w:t xml:space="preserve">That does not mean </w:t>
      </w:r>
      <w:r w:rsidR="005B561F">
        <w:rPr>
          <w:rFonts w:ascii="Times New Roman" w:hAnsi="Times New Roman" w:cs="Times New Roman"/>
          <w:sz w:val="24"/>
          <w:szCs w:val="24"/>
        </w:rPr>
        <w:t xml:space="preserve">just baldly </w:t>
      </w:r>
      <w:r w:rsidR="005C1F58" w:rsidRPr="00650335">
        <w:rPr>
          <w:rFonts w:ascii="Times New Roman" w:hAnsi="Times New Roman" w:cs="Times New Roman"/>
          <w:sz w:val="24"/>
          <w:szCs w:val="24"/>
        </w:rPr>
        <w:t xml:space="preserve">stating when the solicitor </w:t>
      </w:r>
      <w:r w:rsidR="00B94296">
        <w:rPr>
          <w:rFonts w:ascii="Times New Roman" w:hAnsi="Times New Roman" w:cs="Times New Roman"/>
          <w:sz w:val="24"/>
          <w:szCs w:val="24"/>
        </w:rPr>
        <w:t>accepted</w:t>
      </w:r>
      <w:r w:rsidR="005C1F58" w:rsidRPr="00650335">
        <w:rPr>
          <w:rFonts w:ascii="Times New Roman" w:hAnsi="Times New Roman" w:cs="Times New Roman"/>
          <w:sz w:val="24"/>
          <w:szCs w:val="24"/>
        </w:rPr>
        <w:t xml:space="preserve"> instruct</w:t>
      </w:r>
      <w:r w:rsidR="00B94296">
        <w:rPr>
          <w:rFonts w:ascii="Times New Roman" w:hAnsi="Times New Roman" w:cs="Times New Roman"/>
          <w:sz w:val="24"/>
          <w:szCs w:val="24"/>
        </w:rPr>
        <w:t>ions</w:t>
      </w:r>
      <w:r w:rsidR="005C1F58" w:rsidRPr="00650335">
        <w:rPr>
          <w:rFonts w:ascii="Times New Roman" w:hAnsi="Times New Roman" w:cs="Times New Roman"/>
          <w:sz w:val="24"/>
          <w:szCs w:val="24"/>
        </w:rPr>
        <w:t xml:space="preserve"> and asserting that upon such late instruction he proceeded to research an issue which has produced the information which it is sought to introduce.  </w:t>
      </w:r>
      <w:r w:rsidR="00D80379">
        <w:rPr>
          <w:rFonts w:ascii="Times New Roman" w:hAnsi="Times New Roman" w:cs="Times New Roman"/>
          <w:sz w:val="24"/>
          <w:szCs w:val="24"/>
        </w:rPr>
        <w:t>Rather, i</w:t>
      </w:r>
      <w:r w:rsidR="005C1F58" w:rsidRPr="00650335">
        <w:rPr>
          <w:rFonts w:ascii="Times New Roman" w:hAnsi="Times New Roman" w:cs="Times New Roman"/>
          <w:sz w:val="24"/>
          <w:szCs w:val="24"/>
        </w:rPr>
        <w:t xml:space="preserve">t means providing the Court with a complete picture of when the solicitor was first approached, why he </w:t>
      </w:r>
      <w:r w:rsidR="00401583" w:rsidRPr="00650335">
        <w:rPr>
          <w:rFonts w:ascii="Times New Roman" w:hAnsi="Times New Roman" w:cs="Times New Roman"/>
          <w:sz w:val="24"/>
          <w:szCs w:val="24"/>
        </w:rPr>
        <w:t xml:space="preserve">or she </w:t>
      </w:r>
      <w:r w:rsidR="005C1F58" w:rsidRPr="00650335">
        <w:rPr>
          <w:rFonts w:ascii="Times New Roman" w:hAnsi="Times New Roman" w:cs="Times New Roman"/>
          <w:sz w:val="24"/>
          <w:szCs w:val="24"/>
        </w:rPr>
        <w:t>was approached (as in this case) at such a late stage and when and to whom the idea leading to the ‘</w:t>
      </w:r>
      <w:r w:rsidR="005C1F58" w:rsidRPr="00B94296">
        <w:rPr>
          <w:rFonts w:ascii="Times New Roman" w:hAnsi="Times New Roman" w:cs="Times New Roman"/>
          <w:i/>
          <w:sz w:val="24"/>
          <w:szCs w:val="24"/>
        </w:rPr>
        <w:t>discovery</w:t>
      </w:r>
      <w:r w:rsidR="00B67C7D">
        <w:rPr>
          <w:rFonts w:ascii="Times New Roman" w:hAnsi="Times New Roman" w:cs="Times New Roman"/>
          <w:i/>
          <w:sz w:val="24"/>
          <w:szCs w:val="24"/>
        </w:rPr>
        <w:t>’</w:t>
      </w:r>
      <w:r w:rsidR="005C1F58" w:rsidRPr="00650335">
        <w:rPr>
          <w:rFonts w:ascii="Times New Roman" w:hAnsi="Times New Roman" w:cs="Times New Roman"/>
          <w:sz w:val="24"/>
          <w:szCs w:val="24"/>
        </w:rPr>
        <w:t xml:space="preserve"> of the fresh </w:t>
      </w:r>
      <w:r w:rsidR="00B94296">
        <w:rPr>
          <w:rFonts w:ascii="Times New Roman" w:hAnsi="Times New Roman" w:cs="Times New Roman"/>
          <w:sz w:val="24"/>
          <w:szCs w:val="24"/>
        </w:rPr>
        <w:t>“</w:t>
      </w:r>
      <w:r w:rsidR="005C1F58" w:rsidRPr="00B94296">
        <w:rPr>
          <w:rFonts w:ascii="Times New Roman" w:hAnsi="Times New Roman" w:cs="Times New Roman"/>
          <w:i/>
          <w:sz w:val="24"/>
          <w:szCs w:val="24"/>
        </w:rPr>
        <w:t>evidence</w:t>
      </w:r>
      <w:r w:rsidR="00B94296">
        <w:rPr>
          <w:rFonts w:ascii="Times New Roman" w:hAnsi="Times New Roman" w:cs="Times New Roman"/>
          <w:sz w:val="24"/>
          <w:szCs w:val="24"/>
        </w:rPr>
        <w:t>”</w:t>
      </w:r>
      <w:r w:rsidR="005C1F58" w:rsidRPr="00650335">
        <w:rPr>
          <w:rFonts w:ascii="Times New Roman" w:hAnsi="Times New Roman" w:cs="Times New Roman"/>
          <w:sz w:val="24"/>
          <w:szCs w:val="24"/>
        </w:rPr>
        <w:t xml:space="preserve"> first occurred.  It is difficult to see how that comprehensive picture can be painted by an affidavit from the solicitor alone.</w:t>
      </w:r>
      <w:r w:rsidR="00B94296">
        <w:rPr>
          <w:rFonts w:ascii="Times New Roman" w:hAnsi="Times New Roman" w:cs="Times New Roman"/>
          <w:sz w:val="24"/>
          <w:szCs w:val="24"/>
        </w:rPr>
        <w:t xml:space="preserve"> Certainly, Mr Nwadike’s affidavit did not present such a picture here.</w:t>
      </w:r>
    </w:p>
    <w:p w14:paraId="59D01C0F" w14:textId="77777777" w:rsidR="008F383C" w:rsidRPr="00434D69" w:rsidRDefault="008F383C" w:rsidP="00434D69">
      <w:pPr>
        <w:pStyle w:val="ListParagraph"/>
        <w:spacing w:after="0" w:line="480" w:lineRule="auto"/>
        <w:rPr>
          <w:rFonts w:ascii="Times New Roman" w:hAnsi="Times New Roman" w:cs="Times New Roman"/>
          <w:sz w:val="24"/>
          <w:szCs w:val="24"/>
        </w:rPr>
      </w:pPr>
    </w:p>
    <w:p w14:paraId="1FD1564D" w14:textId="5DBFE8C5" w:rsidR="00AA001C" w:rsidRPr="00A5005C" w:rsidRDefault="00056A56" w:rsidP="00D80379">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In </w:t>
      </w:r>
      <w:r w:rsidR="00B94296">
        <w:rPr>
          <w:rFonts w:ascii="Times New Roman" w:hAnsi="Times New Roman" w:cs="Times New Roman"/>
          <w:sz w:val="24"/>
          <w:szCs w:val="24"/>
        </w:rPr>
        <w:t>these appeals, i</w:t>
      </w:r>
      <w:r w:rsidRPr="00434D69">
        <w:rPr>
          <w:rFonts w:ascii="Times New Roman" w:hAnsi="Times New Roman" w:cs="Times New Roman"/>
          <w:sz w:val="24"/>
          <w:szCs w:val="24"/>
        </w:rPr>
        <w:t>n order to avoid the disruption that would otherwise have followed from the</w:t>
      </w:r>
      <w:r w:rsidR="00D80379">
        <w:rPr>
          <w:rFonts w:ascii="Times New Roman" w:hAnsi="Times New Roman" w:cs="Times New Roman"/>
          <w:sz w:val="24"/>
          <w:szCs w:val="24"/>
        </w:rPr>
        <w:t xml:space="preserve"> First Defendant’s </w:t>
      </w:r>
      <w:r w:rsidRPr="00434D69">
        <w:rPr>
          <w:rFonts w:ascii="Times New Roman" w:hAnsi="Times New Roman" w:cs="Times New Roman"/>
          <w:sz w:val="24"/>
          <w:szCs w:val="24"/>
        </w:rPr>
        <w:t xml:space="preserve"> motion</w:t>
      </w:r>
      <w:r w:rsidRPr="00D80379">
        <w:rPr>
          <w:rFonts w:ascii="Times New Roman" w:hAnsi="Times New Roman" w:cs="Times New Roman"/>
          <w:sz w:val="24"/>
          <w:szCs w:val="24"/>
        </w:rPr>
        <w:t xml:space="preserve">, the Court received the evidence </w:t>
      </w:r>
      <w:r w:rsidRPr="00495078">
        <w:rPr>
          <w:rFonts w:ascii="Times New Roman" w:hAnsi="Times New Roman" w:cs="Times New Roman"/>
          <w:i/>
          <w:sz w:val="24"/>
          <w:szCs w:val="24"/>
        </w:rPr>
        <w:t xml:space="preserve">de </w:t>
      </w:r>
      <w:r w:rsidR="00F36346" w:rsidRPr="00495078">
        <w:rPr>
          <w:rFonts w:ascii="Times New Roman" w:hAnsi="Times New Roman" w:cs="Times New Roman"/>
          <w:i/>
          <w:sz w:val="24"/>
          <w:szCs w:val="24"/>
        </w:rPr>
        <w:t>bene</w:t>
      </w:r>
      <w:r w:rsidRPr="00495078">
        <w:rPr>
          <w:rFonts w:ascii="Times New Roman" w:hAnsi="Times New Roman" w:cs="Times New Roman"/>
          <w:i/>
          <w:sz w:val="24"/>
          <w:szCs w:val="24"/>
        </w:rPr>
        <w:t xml:space="preserve"> esse</w:t>
      </w:r>
      <w:r w:rsidR="00ED4529" w:rsidRPr="00495078">
        <w:rPr>
          <w:rFonts w:ascii="Times New Roman" w:hAnsi="Times New Roman" w:cs="Times New Roman"/>
          <w:sz w:val="24"/>
          <w:szCs w:val="24"/>
        </w:rPr>
        <w:t xml:space="preserve"> on the basis that it would rule subsequently on the application to admit the evidence and to amend the  notice of appeal.  </w:t>
      </w:r>
      <w:r w:rsidRPr="009439DB">
        <w:rPr>
          <w:rFonts w:ascii="Times New Roman" w:hAnsi="Times New Roman" w:cs="Times New Roman"/>
          <w:sz w:val="24"/>
          <w:szCs w:val="24"/>
        </w:rPr>
        <w:t xml:space="preserve">This was </w:t>
      </w:r>
      <w:r w:rsidR="00792FE3">
        <w:rPr>
          <w:rFonts w:ascii="Times New Roman" w:hAnsi="Times New Roman" w:cs="Times New Roman"/>
          <w:sz w:val="24"/>
          <w:szCs w:val="24"/>
        </w:rPr>
        <w:t xml:space="preserve">done in order to ensure </w:t>
      </w:r>
      <w:r w:rsidRPr="009439DB">
        <w:rPr>
          <w:rFonts w:ascii="Times New Roman" w:hAnsi="Times New Roman" w:cs="Times New Roman"/>
          <w:sz w:val="24"/>
          <w:szCs w:val="24"/>
        </w:rPr>
        <w:t xml:space="preserve">that the appeal could be heard and determined within the time </w:t>
      </w:r>
      <w:r w:rsidRPr="009A7F08">
        <w:rPr>
          <w:rFonts w:ascii="Times New Roman" w:hAnsi="Times New Roman" w:cs="Times New Roman"/>
          <w:sz w:val="24"/>
          <w:szCs w:val="24"/>
        </w:rPr>
        <w:t xml:space="preserve">allocated to it.  This was less than satisfactory, and </w:t>
      </w:r>
      <w:r w:rsidR="00B94296" w:rsidRPr="00FD56C4">
        <w:rPr>
          <w:rFonts w:ascii="Times New Roman" w:hAnsi="Times New Roman" w:cs="Times New Roman"/>
          <w:sz w:val="24"/>
          <w:szCs w:val="24"/>
        </w:rPr>
        <w:t>created</w:t>
      </w:r>
      <w:r w:rsidRPr="00840CEC">
        <w:rPr>
          <w:rFonts w:ascii="Times New Roman" w:hAnsi="Times New Roman" w:cs="Times New Roman"/>
          <w:sz w:val="24"/>
          <w:szCs w:val="24"/>
        </w:rPr>
        <w:t xml:space="preserve"> the prospect of prejudice to the </w:t>
      </w:r>
      <w:r w:rsidR="00B94296" w:rsidRPr="00472BD9">
        <w:rPr>
          <w:rFonts w:ascii="Times New Roman" w:hAnsi="Times New Roman" w:cs="Times New Roman"/>
          <w:sz w:val="24"/>
          <w:szCs w:val="24"/>
        </w:rPr>
        <w:t>Bank</w:t>
      </w:r>
      <w:r w:rsidRPr="00472BD9">
        <w:rPr>
          <w:rFonts w:ascii="Times New Roman" w:hAnsi="Times New Roman" w:cs="Times New Roman"/>
          <w:sz w:val="24"/>
          <w:szCs w:val="24"/>
        </w:rPr>
        <w:t xml:space="preserve">.  </w:t>
      </w:r>
      <w:r w:rsidR="00650335" w:rsidRPr="001570A9">
        <w:rPr>
          <w:rFonts w:ascii="Times New Roman" w:hAnsi="Times New Roman" w:cs="Times New Roman"/>
          <w:sz w:val="24"/>
          <w:szCs w:val="24"/>
        </w:rPr>
        <w:t>Neither the Court nor the</w:t>
      </w:r>
      <w:r w:rsidR="00805079" w:rsidRPr="001570A9">
        <w:rPr>
          <w:rFonts w:ascii="Times New Roman" w:hAnsi="Times New Roman" w:cs="Times New Roman"/>
          <w:sz w:val="24"/>
          <w:szCs w:val="24"/>
        </w:rPr>
        <w:t xml:space="preserve"> other parties</w:t>
      </w:r>
      <w:r w:rsidR="00650335" w:rsidRPr="004D2898">
        <w:rPr>
          <w:rFonts w:ascii="Times New Roman" w:hAnsi="Times New Roman" w:cs="Times New Roman"/>
          <w:sz w:val="24"/>
          <w:szCs w:val="24"/>
        </w:rPr>
        <w:t xml:space="preserve"> </w:t>
      </w:r>
      <w:r w:rsidRPr="00A5005C">
        <w:rPr>
          <w:rFonts w:ascii="Times New Roman" w:hAnsi="Times New Roman" w:cs="Times New Roman"/>
          <w:sz w:val="24"/>
          <w:szCs w:val="24"/>
        </w:rPr>
        <w:t>should have been put in this position.</w:t>
      </w:r>
    </w:p>
    <w:p w14:paraId="2B32DA39" w14:textId="77777777" w:rsidR="003B5C6E" w:rsidRDefault="003B5C6E" w:rsidP="003B5C6E">
      <w:pPr>
        <w:pStyle w:val="ListParagraph"/>
        <w:spacing w:after="0" w:line="480" w:lineRule="auto"/>
        <w:jc w:val="both"/>
        <w:rPr>
          <w:rFonts w:ascii="Times New Roman" w:hAnsi="Times New Roman" w:cs="Times New Roman"/>
          <w:sz w:val="24"/>
          <w:szCs w:val="24"/>
        </w:rPr>
      </w:pPr>
    </w:p>
    <w:p w14:paraId="515EAD61" w14:textId="28AD85F5" w:rsidR="003B5C6E" w:rsidRPr="00996ADD" w:rsidRDefault="003B5C6E" w:rsidP="00996ADD">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Having considered the motion and affidavit further and having heard the submissions of counsel for the First Defendant, as well as those of counsel for the Bank, we have concluded that the motion should be refused. Accordingly, the new “</w:t>
      </w:r>
      <w:r w:rsidRPr="003B5C6E">
        <w:rPr>
          <w:rFonts w:ascii="Times New Roman" w:hAnsi="Times New Roman" w:cs="Times New Roman"/>
          <w:i/>
          <w:sz w:val="24"/>
          <w:szCs w:val="24"/>
        </w:rPr>
        <w:t>evidence</w:t>
      </w:r>
      <w:r>
        <w:rPr>
          <w:rFonts w:ascii="Times New Roman" w:hAnsi="Times New Roman" w:cs="Times New Roman"/>
          <w:sz w:val="24"/>
          <w:szCs w:val="24"/>
        </w:rPr>
        <w:t>” is not admitted and the First Defendant is not permitted to amend his Notice of Appeal.</w:t>
      </w:r>
    </w:p>
    <w:p w14:paraId="0F3C5E0F" w14:textId="5BDA5D6F" w:rsidR="003B5C6E" w:rsidRPr="00FA4259" w:rsidRDefault="003B5C6E" w:rsidP="003C658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The admission of further evidence in an appeal from a final order or judgment of the High Court (as was the position here) </w:t>
      </w:r>
      <w:r w:rsidR="00FA4259">
        <w:rPr>
          <w:rFonts w:ascii="Times New Roman" w:hAnsi="Times New Roman" w:cs="Times New Roman"/>
          <w:sz w:val="24"/>
          <w:szCs w:val="24"/>
        </w:rPr>
        <w:t xml:space="preserve">is governed by Order 86A, Rule 4(c) RSC. It provides that, save as to matters which have occurred since the date of the decision the subject of the appeal (and the evidence sought to be introduced here did not </w:t>
      </w:r>
      <w:r w:rsidR="008A6C5D">
        <w:rPr>
          <w:rFonts w:ascii="Times New Roman" w:hAnsi="Times New Roman" w:cs="Times New Roman"/>
          <w:sz w:val="24"/>
          <w:szCs w:val="24"/>
        </w:rPr>
        <w:t>r</w:t>
      </w:r>
      <w:r w:rsidR="00FA4259">
        <w:rPr>
          <w:rFonts w:ascii="Times New Roman" w:hAnsi="Times New Roman" w:cs="Times New Roman"/>
          <w:sz w:val="24"/>
          <w:szCs w:val="24"/>
        </w:rPr>
        <w:t>elate to such matters), further evidence “</w:t>
      </w:r>
      <w:r w:rsidR="00FA4259" w:rsidRPr="00FA4259">
        <w:rPr>
          <w:rFonts w:ascii="Times New Roman" w:hAnsi="Times New Roman" w:cs="Times New Roman"/>
          <w:i/>
          <w:sz w:val="24"/>
          <w:szCs w:val="24"/>
        </w:rPr>
        <w:t>may be admitted on special grounds only, and only with the special leave of the Court of Appeal (obtained by application by notice of motion setting out the special grounds).”</w:t>
      </w:r>
    </w:p>
    <w:p w14:paraId="620FEDD7" w14:textId="77777777" w:rsidR="00FA4259" w:rsidRPr="00FA4259" w:rsidRDefault="00FA4259" w:rsidP="00FA4259">
      <w:pPr>
        <w:pStyle w:val="ListParagraph"/>
        <w:spacing w:after="0" w:line="480" w:lineRule="auto"/>
        <w:jc w:val="both"/>
        <w:rPr>
          <w:rFonts w:ascii="Times New Roman" w:hAnsi="Times New Roman" w:cs="Times New Roman"/>
          <w:sz w:val="24"/>
          <w:szCs w:val="24"/>
        </w:rPr>
      </w:pPr>
    </w:p>
    <w:p w14:paraId="0C97DCC5" w14:textId="1A531CE2" w:rsidR="00FA4259" w:rsidRDefault="00FA4259" w:rsidP="0067064F">
      <w:pPr>
        <w:pStyle w:val="ListParagraph"/>
        <w:numPr>
          <w:ilvl w:val="0"/>
          <w:numId w:val="1"/>
        </w:numPr>
        <w:spacing w:after="0" w:line="480" w:lineRule="auto"/>
        <w:ind w:left="714" w:hanging="357"/>
        <w:jc w:val="both"/>
        <w:rPr>
          <w:rFonts w:ascii="Times New Roman" w:hAnsi="Times New Roman" w:cs="Times New Roman"/>
          <w:sz w:val="24"/>
          <w:szCs w:val="24"/>
        </w:rPr>
      </w:pPr>
      <w:r>
        <w:rPr>
          <w:rFonts w:ascii="Times New Roman" w:hAnsi="Times New Roman" w:cs="Times New Roman"/>
          <w:sz w:val="24"/>
          <w:szCs w:val="24"/>
        </w:rPr>
        <w:t>The notice of motion here wrongly refers to Order 58 RSC (which relates to appeals to the Supreme Court) and does not set out any “</w:t>
      </w:r>
      <w:r w:rsidRPr="00FA4259">
        <w:rPr>
          <w:rFonts w:ascii="Times New Roman" w:hAnsi="Times New Roman" w:cs="Times New Roman"/>
          <w:i/>
          <w:sz w:val="24"/>
          <w:szCs w:val="24"/>
        </w:rPr>
        <w:t>special grounds</w:t>
      </w:r>
      <w:r>
        <w:rPr>
          <w:rFonts w:ascii="Times New Roman" w:hAnsi="Times New Roman" w:cs="Times New Roman"/>
          <w:sz w:val="24"/>
          <w:szCs w:val="24"/>
        </w:rPr>
        <w:t xml:space="preserve">” for the admission of the further evidence obtained by Mr Nwadike’s researches. There is a considerable body of authority on the application of Order 86A, Rule 4(c) and the equivalent provision in Order 58. For the purposes of this judgment, it does not appear necessary to look beyond the oft-cited decision of the Supreme Court in </w:t>
      </w:r>
      <w:r w:rsidRPr="00FA4259">
        <w:rPr>
          <w:rFonts w:ascii="Times New Roman" w:hAnsi="Times New Roman" w:cs="Times New Roman"/>
          <w:i/>
          <w:sz w:val="24"/>
          <w:szCs w:val="24"/>
        </w:rPr>
        <w:t>Murphy v Minister for Defence</w:t>
      </w:r>
      <w:r>
        <w:rPr>
          <w:rFonts w:ascii="Times New Roman" w:hAnsi="Times New Roman" w:cs="Times New Roman"/>
          <w:sz w:val="24"/>
          <w:szCs w:val="24"/>
        </w:rPr>
        <w:t xml:space="preserve"> [1991] 2 IR 161</w:t>
      </w:r>
      <w:r w:rsidR="0067064F">
        <w:rPr>
          <w:rFonts w:ascii="Times New Roman" w:hAnsi="Times New Roman" w:cs="Times New Roman"/>
          <w:sz w:val="24"/>
          <w:szCs w:val="24"/>
        </w:rPr>
        <w:t>, in which (at 164)</w:t>
      </w:r>
      <w:r>
        <w:rPr>
          <w:rFonts w:ascii="Times New Roman" w:hAnsi="Times New Roman" w:cs="Times New Roman"/>
          <w:sz w:val="24"/>
          <w:szCs w:val="24"/>
        </w:rPr>
        <w:t xml:space="preserve">. Finlay CJ </w:t>
      </w:r>
      <w:r w:rsidR="0067064F">
        <w:rPr>
          <w:rFonts w:ascii="Times New Roman" w:hAnsi="Times New Roman" w:cs="Times New Roman"/>
          <w:sz w:val="24"/>
          <w:szCs w:val="24"/>
        </w:rPr>
        <w:t>set out the relevant principles as follows:</w:t>
      </w:r>
    </w:p>
    <w:p w14:paraId="52F73AC1" w14:textId="7195ECDB" w:rsidR="0067064F" w:rsidRDefault="0067064F" w:rsidP="0067064F">
      <w:pPr>
        <w:pStyle w:val="ListParagraph"/>
        <w:spacing w:after="0" w:line="480" w:lineRule="auto"/>
        <w:jc w:val="both"/>
        <w:rPr>
          <w:rFonts w:ascii="Times New Roman" w:hAnsi="Times New Roman" w:cs="Times New Roman"/>
          <w:sz w:val="24"/>
          <w:szCs w:val="24"/>
        </w:rPr>
      </w:pPr>
    </w:p>
    <w:p w14:paraId="59766840" w14:textId="54823C88" w:rsidR="0067064F" w:rsidRPr="003633A4" w:rsidRDefault="0067064F" w:rsidP="00BE660C">
      <w:pPr>
        <w:pStyle w:val="NormalWeb"/>
        <w:shd w:val="clear" w:color="auto" w:fill="FFFFFF"/>
        <w:spacing w:before="0" w:beforeAutospacing="0" w:after="150" w:afterAutospacing="0" w:line="480" w:lineRule="auto"/>
        <w:ind w:left="1418"/>
        <w:jc w:val="both"/>
        <w:rPr>
          <w:i/>
        </w:rPr>
      </w:pPr>
      <w:r w:rsidRPr="003633A4">
        <w:rPr>
          <w:i/>
        </w:rPr>
        <w:t xml:space="preserve"> “1. The evidence sought to be adduced must have been in existence at the time of the trial and must have been such that it could not have been obtained with reasonable diligence for use at the trial;</w:t>
      </w:r>
    </w:p>
    <w:p w14:paraId="2E8A37BE" w14:textId="77777777" w:rsidR="0067064F" w:rsidRPr="003633A4" w:rsidRDefault="0067064F" w:rsidP="00BE660C">
      <w:pPr>
        <w:pStyle w:val="NormalWeb"/>
        <w:shd w:val="clear" w:color="auto" w:fill="FFFFFF"/>
        <w:spacing w:before="0" w:beforeAutospacing="0" w:after="150" w:afterAutospacing="0" w:line="480" w:lineRule="auto"/>
        <w:ind w:left="1418"/>
        <w:jc w:val="both"/>
        <w:rPr>
          <w:i/>
        </w:rPr>
      </w:pPr>
      <w:r w:rsidRPr="003633A4">
        <w:rPr>
          <w:i/>
        </w:rPr>
        <w:t>2. The evidence must be such that if given it would probably have an important influence on the result of the case, though it need not be decisive;</w:t>
      </w:r>
    </w:p>
    <w:p w14:paraId="1FAC793C" w14:textId="70CFC510" w:rsidR="0067064F" w:rsidRPr="00996ADD" w:rsidRDefault="0067064F" w:rsidP="00996ADD">
      <w:pPr>
        <w:pStyle w:val="NormalWeb"/>
        <w:shd w:val="clear" w:color="auto" w:fill="FFFFFF"/>
        <w:spacing w:before="0" w:beforeAutospacing="0" w:after="150" w:afterAutospacing="0" w:line="480" w:lineRule="auto"/>
        <w:ind w:left="1418"/>
        <w:jc w:val="both"/>
        <w:rPr>
          <w:i/>
          <w:color w:val="333333"/>
        </w:rPr>
      </w:pPr>
      <w:r w:rsidRPr="003633A4">
        <w:rPr>
          <w:i/>
        </w:rPr>
        <w:t>3. The evidence must be such as is presumably to be believed or, in other words, it must be apparently credible, though it need not be incontrovertible</w:t>
      </w:r>
      <w:r w:rsidRPr="0067064F">
        <w:rPr>
          <w:i/>
          <w:color w:val="333333"/>
        </w:rPr>
        <w:t>.”</w:t>
      </w:r>
    </w:p>
    <w:p w14:paraId="364F528A" w14:textId="26B298C6" w:rsidR="00FA4259" w:rsidRPr="008A6C5D" w:rsidRDefault="0067064F" w:rsidP="00213F6C">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further evidence sought to be introduced here consists of a newspaper article dating back to 2014 which refers to the sale of an office block by CBRE, on the instructions of Mr McCann as receiver of Glasbay Limited (in receivership). The other document appears to be a CBRE press release, dated 28 November 2012, referring to the sale of the Burlington Hotel by CBRE, again on the instructions of Mr McCann, this time in his capacity as receiver of Burhotel Trading Company Limited. This material is hearsay evidence but, presumably, the Second Plaintiff </w:t>
      </w:r>
      <w:r w:rsidR="008A6C5D">
        <w:rPr>
          <w:rFonts w:ascii="Times New Roman" w:hAnsi="Times New Roman" w:cs="Times New Roman"/>
          <w:sz w:val="24"/>
          <w:szCs w:val="24"/>
        </w:rPr>
        <w:t>would</w:t>
      </w:r>
      <w:r w:rsidR="00213F6C">
        <w:rPr>
          <w:rFonts w:ascii="Times New Roman" w:hAnsi="Times New Roman" w:cs="Times New Roman"/>
          <w:sz w:val="24"/>
          <w:szCs w:val="24"/>
        </w:rPr>
        <w:t xml:space="preserve"> not dispute his role in the sale of the two properties, nor CBRE’s role </w:t>
      </w:r>
      <w:r w:rsidR="008A6C5D">
        <w:rPr>
          <w:rFonts w:ascii="Times New Roman" w:hAnsi="Times New Roman" w:cs="Times New Roman"/>
          <w:sz w:val="24"/>
          <w:szCs w:val="24"/>
        </w:rPr>
        <w:t xml:space="preserve">as agents </w:t>
      </w:r>
      <w:r w:rsidR="00213F6C">
        <w:rPr>
          <w:rFonts w:ascii="Times New Roman" w:hAnsi="Times New Roman" w:cs="Times New Roman"/>
          <w:sz w:val="24"/>
          <w:szCs w:val="24"/>
        </w:rPr>
        <w:t xml:space="preserve">in the transactions. However, there is not the slightest reason to suppose that the material </w:t>
      </w:r>
      <w:r w:rsidR="00213F6C" w:rsidRPr="00213F6C">
        <w:rPr>
          <w:rFonts w:ascii="Times New Roman" w:hAnsi="Times New Roman" w:cs="Times New Roman"/>
          <w:i/>
          <w:sz w:val="24"/>
          <w:szCs w:val="24"/>
        </w:rPr>
        <w:t>“could not have been obtained with reasonable diligence for use at the trial</w:t>
      </w:r>
      <w:r w:rsidR="00213F6C">
        <w:rPr>
          <w:rFonts w:ascii="Times New Roman" w:hAnsi="Times New Roman" w:cs="Times New Roman"/>
          <w:sz w:val="24"/>
          <w:szCs w:val="24"/>
        </w:rPr>
        <w:t xml:space="preserve">” before Twomey J in the High Court. On the contrary, Mr Nwadike’s affidavit suggests that he was able to discover the material readily following his instruction. As regards the second requirement set out in </w:t>
      </w:r>
      <w:r w:rsidR="00213F6C" w:rsidRPr="00213F6C">
        <w:rPr>
          <w:rFonts w:ascii="Times New Roman" w:hAnsi="Times New Roman" w:cs="Times New Roman"/>
          <w:i/>
          <w:sz w:val="24"/>
          <w:szCs w:val="24"/>
        </w:rPr>
        <w:t>Murphy</w:t>
      </w:r>
      <w:r w:rsidR="00213F6C">
        <w:rPr>
          <w:rFonts w:ascii="Times New Roman" w:hAnsi="Times New Roman" w:cs="Times New Roman"/>
          <w:sz w:val="24"/>
          <w:szCs w:val="24"/>
        </w:rPr>
        <w:t xml:space="preserve">, again the affidavit of Mr Nwadike does not advance Mr McDonagh’s position. As he himself notes </w:t>
      </w:r>
      <w:r w:rsidR="00213F6C" w:rsidRPr="00213F6C">
        <w:rPr>
          <w:rFonts w:ascii="Times New Roman" w:hAnsi="Times New Roman" w:cs="Times New Roman"/>
          <w:sz w:val="24"/>
          <w:szCs w:val="24"/>
        </w:rPr>
        <w:t>at para 9 of his affidavi</w:t>
      </w:r>
      <w:r w:rsidR="00213F6C">
        <w:rPr>
          <w:rFonts w:ascii="Times New Roman" w:hAnsi="Times New Roman" w:cs="Times New Roman"/>
          <w:sz w:val="24"/>
          <w:szCs w:val="24"/>
        </w:rPr>
        <w:t xml:space="preserve">t, the Receivers had no involvement in the Bank’s settlement with CBRE. They were not parties to the Bank’s action against CBRE and had </w:t>
      </w:r>
      <w:r w:rsidR="00D80379">
        <w:rPr>
          <w:rFonts w:ascii="Times New Roman" w:hAnsi="Times New Roman" w:cs="Times New Roman"/>
          <w:sz w:val="24"/>
          <w:szCs w:val="24"/>
        </w:rPr>
        <w:t xml:space="preserve">no </w:t>
      </w:r>
      <w:r w:rsidR="00213F6C">
        <w:rPr>
          <w:rFonts w:ascii="Times New Roman" w:hAnsi="Times New Roman" w:cs="Times New Roman"/>
          <w:sz w:val="24"/>
          <w:szCs w:val="24"/>
        </w:rPr>
        <w:t xml:space="preserve">role in the Bank’s decision to settle on the terms it did. Indeed, that is the subject of complaint by the Defendants. Whether there is a basis for that complaint will be addressed in due course but, in the present context, the key fact is that Mr McCann had no role in the proceedings or settlement. That being so, there is nothing that would allow the Court to conclude that the new material </w:t>
      </w:r>
      <w:r w:rsidR="00213F6C" w:rsidRPr="00996ADD">
        <w:rPr>
          <w:rFonts w:ascii="Times New Roman" w:hAnsi="Times New Roman" w:cs="Times New Roman"/>
          <w:i/>
          <w:sz w:val="24"/>
          <w:szCs w:val="24"/>
        </w:rPr>
        <w:t>“would probably have an important influence on the result of the case, though it need not be decisive”</w:t>
      </w:r>
      <w:r w:rsidR="00213F6C" w:rsidRPr="00996ADD">
        <w:rPr>
          <w:rFonts w:ascii="Times New Roman" w:hAnsi="Times New Roman" w:cs="Times New Roman"/>
          <w:sz w:val="24"/>
          <w:szCs w:val="24"/>
        </w:rPr>
        <w:t xml:space="preserve">. Indeed, it is impossible </w:t>
      </w:r>
      <w:r w:rsidR="00344246" w:rsidRPr="00996ADD">
        <w:rPr>
          <w:rFonts w:ascii="Times New Roman" w:hAnsi="Times New Roman" w:cs="Times New Roman"/>
          <w:sz w:val="24"/>
          <w:szCs w:val="24"/>
        </w:rPr>
        <w:t xml:space="preserve">in our view to identify how the material could have </w:t>
      </w:r>
      <w:r w:rsidR="00344246" w:rsidRPr="00996ADD">
        <w:rPr>
          <w:rFonts w:ascii="Times New Roman" w:hAnsi="Times New Roman" w:cs="Times New Roman"/>
          <w:i/>
          <w:sz w:val="24"/>
          <w:szCs w:val="24"/>
        </w:rPr>
        <w:t>any</w:t>
      </w:r>
      <w:r w:rsidR="00344246" w:rsidRPr="00996ADD">
        <w:rPr>
          <w:rFonts w:ascii="Times New Roman" w:hAnsi="Times New Roman" w:cs="Times New Roman"/>
          <w:sz w:val="24"/>
          <w:szCs w:val="24"/>
        </w:rPr>
        <w:t xml:space="preserve"> influence on the First Defendant’s appeal.</w:t>
      </w:r>
      <w:r w:rsidR="00996ADD">
        <w:rPr>
          <w:rFonts w:ascii="Times New Roman" w:hAnsi="Times New Roman" w:cs="Times New Roman"/>
          <w:sz w:val="24"/>
          <w:szCs w:val="24"/>
        </w:rPr>
        <w:t>’</w:t>
      </w:r>
      <w:r w:rsidR="00344246" w:rsidRPr="00996ADD">
        <w:rPr>
          <w:rFonts w:ascii="Times New Roman" w:hAnsi="Times New Roman" w:cs="Times New Roman"/>
          <w:sz w:val="24"/>
          <w:szCs w:val="24"/>
        </w:rPr>
        <w:t xml:space="preserve"> </w:t>
      </w:r>
    </w:p>
    <w:p w14:paraId="4767EE1E" w14:textId="77777777" w:rsidR="008A6C5D" w:rsidRPr="008A6C5D" w:rsidRDefault="008A6C5D" w:rsidP="008A6C5D">
      <w:pPr>
        <w:pStyle w:val="ListParagraph"/>
        <w:spacing w:after="0" w:line="480" w:lineRule="auto"/>
        <w:jc w:val="both"/>
        <w:rPr>
          <w:rFonts w:ascii="Times New Roman" w:hAnsi="Times New Roman" w:cs="Times New Roman"/>
          <w:sz w:val="24"/>
          <w:szCs w:val="24"/>
        </w:rPr>
      </w:pPr>
    </w:p>
    <w:p w14:paraId="0EF0BB00" w14:textId="3F159684" w:rsidR="003423C1" w:rsidRPr="00996ADD" w:rsidRDefault="008A6C5D" w:rsidP="003423C1">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oral argument reference was made </w:t>
      </w:r>
      <w:r w:rsidR="00F959CE">
        <w:rPr>
          <w:rFonts w:ascii="Times New Roman" w:hAnsi="Times New Roman" w:cs="Times New Roman"/>
          <w:sz w:val="24"/>
          <w:szCs w:val="24"/>
        </w:rPr>
        <w:t xml:space="preserve">by counsel for the First Defendant </w:t>
      </w:r>
      <w:r>
        <w:rPr>
          <w:rFonts w:ascii="Times New Roman" w:hAnsi="Times New Roman" w:cs="Times New Roman"/>
          <w:sz w:val="24"/>
          <w:szCs w:val="24"/>
        </w:rPr>
        <w:t xml:space="preserve">to the well-known decision of the House of Lords in </w:t>
      </w:r>
      <w:r w:rsidRPr="008A6C5D">
        <w:rPr>
          <w:rFonts w:ascii="Times New Roman" w:hAnsi="Times New Roman" w:cs="Times New Roman"/>
          <w:i/>
          <w:sz w:val="24"/>
          <w:szCs w:val="24"/>
        </w:rPr>
        <w:t>Bolkiah v KPMG</w:t>
      </w:r>
      <w:r>
        <w:rPr>
          <w:rFonts w:ascii="Times New Roman" w:hAnsi="Times New Roman" w:cs="Times New Roman"/>
          <w:sz w:val="24"/>
          <w:szCs w:val="24"/>
        </w:rPr>
        <w:t xml:space="preserve"> [1998] UKHL 52, [1999] 2 AC 222. </w:t>
      </w:r>
      <w:r w:rsidRPr="008A6C5D">
        <w:rPr>
          <w:rFonts w:ascii="Times New Roman" w:hAnsi="Times New Roman" w:cs="Times New Roman"/>
          <w:i/>
          <w:sz w:val="24"/>
          <w:szCs w:val="24"/>
        </w:rPr>
        <w:t>Bolkiah</w:t>
      </w:r>
      <w:r>
        <w:rPr>
          <w:rFonts w:ascii="Times New Roman" w:hAnsi="Times New Roman" w:cs="Times New Roman"/>
          <w:sz w:val="24"/>
          <w:szCs w:val="24"/>
        </w:rPr>
        <w:t xml:space="preserve"> was considered by this Court and by the Supreme Court on further appeal in </w:t>
      </w:r>
      <w:r w:rsidRPr="00996ADD">
        <w:rPr>
          <w:rFonts w:ascii="Times New Roman" w:hAnsi="Times New Roman" w:cs="Times New Roman"/>
          <w:i/>
          <w:sz w:val="24"/>
          <w:szCs w:val="24"/>
        </w:rPr>
        <w:t>Sweeney v Voluntary Health Insurance</w:t>
      </w:r>
      <w:r w:rsidRPr="00996ADD">
        <w:rPr>
          <w:rFonts w:ascii="Arial" w:hAnsi="Arial" w:cs="Arial"/>
          <w:sz w:val="21"/>
          <w:szCs w:val="21"/>
          <w:shd w:val="clear" w:color="auto" w:fill="FFFFFF"/>
        </w:rPr>
        <w:t xml:space="preserve"> </w:t>
      </w:r>
      <w:r w:rsidRPr="00996ADD">
        <w:rPr>
          <w:rFonts w:ascii="Times New Roman" w:hAnsi="Times New Roman" w:cs="Times New Roman"/>
          <w:sz w:val="24"/>
          <w:szCs w:val="24"/>
          <w:shd w:val="clear" w:color="auto" w:fill="FFFFFF"/>
        </w:rPr>
        <w:t xml:space="preserve">[2020] IECA 150, </w:t>
      </w:r>
      <w:r w:rsidRPr="00996ADD">
        <w:rPr>
          <w:rFonts w:ascii="Times New Roman" w:eastAsia="Times New Roman" w:hAnsi="Times New Roman" w:cs="Times New Roman"/>
          <w:sz w:val="24"/>
          <w:szCs w:val="24"/>
          <w:lang w:eastAsia="en-IE"/>
        </w:rPr>
        <w:t xml:space="preserve">[2021] IESC 58. In </w:t>
      </w:r>
      <w:r w:rsidRPr="00996ADD">
        <w:rPr>
          <w:rFonts w:ascii="Times New Roman" w:eastAsia="Times New Roman" w:hAnsi="Times New Roman" w:cs="Times New Roman"/>
          <w:i/>
          <w:sz w:val="24"/>
          <w:szCs w:val="24"/>
          <w:lang w:eastAsia="en-IE"/>
        </w:rPr>
        <w:t>Bolkiah</w:t>
      </w:r>
      <w:r w:rsidRPr="00996ADD">
        <w:rPr>
          <w:rFonts w:ascii="Times New Roman" w:eastAsia="Times New Roman" w:hAnsi="Times New Roman" w:cs="Times New Roman"/>
          <w:sz w:val="24"/>
          <w:szCs w:val="24"/>
          <w:lang w:eastAsia="en-IE"/>
        </w:rPr>
        <w:t xml:space="preserve">, the House of Lords held that KPMG could not act for the </w:t>
      </w:r>
      <w:r w:rsidR="00E542A6" w:rsidRPr="00996ADD">
        <w:rPr>
          <w:rFonts w:ascii="Times New Roman" w:eastAsia="Times New Roman" w:hAnsi="Times New Roman" w:cs="Times New Roman"/>
          <w:sz w:val="24"/>
          <w:szCs w:val="24"/>
          <w:lang w:eastAsia="en-IE"/>
        </w:rPr>
        <w:t>Brunei Investment Agency in connection with an investigation that implicated a former client, a brother of the Sultan of Brunei. KPMG had learned a great deal of confidential information about the affairs of their former client and the House was not satisfied that the arrangements that had been made by KPMG to avoid disclosure of that information to the personnel assisting the Agency were adequate to ensure that there was no risk of disclosure.</w:t>
      </w:r>
      <w:r w:rsidR="00F959CE" w:rsidRPr="00996ADD">
        <w:rPr>
          <w:rFonts w:ascii="Times New Roman" w:eastAsia="Times New Roman" w:hAnsi="Times New Roman" w:cs="Times New Roman"/>
          <w:sz w:val="24"/>
          <w:szCs w:val="24"/>
          <w:lang w:eastAsia="en-IE"/>
        </w:rPr>
        <w:t xml:space="preserve"> However, we </w:t>
      </w:r>
      <w:r w:rsidR="00C4220C" w:rsidRPr="00996ADD">
        <w:rPr>
          <w:rFonts w:ascii="Times New Roman" w:eastAsia="Times New Roman" w:hAnsi="Times New Roman" w:cs="Times New Roman"/>
          <w:sz w:val="24"/>
          <w:szCs w:val="24"/>
          <w:lang w:eastAsia="en-IE"/>
        </w:rPr>
        <w:t xml:space="preserve">can see no parallel or analogy with </w:t>
      </w:r>
      <w:r w:rsidR="00C4220C" w:rsidRPr="00996ADD">
        <w:rPr>
          <w:rFonts w:ascii="Times New Roman" w:eastAsia="Times New Roman" w:hAnsi="Times New Roman" w:cs="Times New Roman"/>
          <w:i/>
          <w:sz w:val="24"/>
          <w:szCs w:val="24"/>
          <w:lang w:eastAsia="en-IE"/>
        </w:rPr>
        <w:t>Bolkiah</w:t>
      </w:r>
      <w:r w:rsidR="00C4220C" w:rsidRPr="00996ADD">
        <w:rPr>
          <w:rFonts w:ascii="Times New Roman" w:eastAsia="Times New Roman" w:hAnsi="Times New Roman" w:cs="Times New Roman"/>
          <w:sz w:val="24"/>
          <w:szCs w:val="24"/>
          <w:lang w:eastAsia="en-IE"/>
        </w:rPr>
        <w:t xml:space="preserve"> here</w:t>
      </w:r>
      <w:r w:rsidR="00E37E31">
        <w:rPr>
          <w:rFonts w:ascii="Times New Roman" w:eastAsia="Times New Roman" w:hAnsi="Times New Roman" w:cs="Times New Roman"/>
          <w:sz w:val="24"/>
          <w:szCs w:val="24"/>
          <w:lang w:eastAsia="en-IE"/>
        </w:rPr>
        <w:t>,</w:t>
      </w:r>
      <w:r w:rsidR="00C4220C" w:rsidRPr="00996ADD">
        <w:rPr>
          <w:rFonts w:ascii="Times New Roman" w:eastAsia="Times New Roman" w:hAnsi="Times New Roman" w:cs="Times New Roman"/>
          <w:sz w:val="24"/>
          <w:szCs w:val="24"/>
          <w:lang w:eastAsia="en-IE"/>
        </w:rPr>
        <w:t xml:space="preserve"> or any basis on which it could be suggested that Mr McCann’s capacity to discharge his functions as receiver over the Kilpeddar Lands was compromised. As already noted, he had no involvement in the proceedings against CBRE. His engagement of CBRE as agents in his capacity as receiver of </w:t>
      </w:r>
      <w:r w:rsidR="009A0E41" w:rsidRPr="00996ADD">
        <w:rPr>
          <w:rFonts w:ascii="Times New Roman" w:eastAsia="Times New Roman" w:hAnsi="Times New Roman" w:cs="Times New Roman"/>
          <w:sz w:val="24"/>
          <w:szCs w:val="24"/>
          <w:lang w:eastAsia="en-IE"/>
        </w:rPr>
        <w:t>third-party</w:t>
      </w:r>
      <w:r w:rsidR="00C4220C" w:rsidRPr="00996ADD">
        <w:rPr>
          <w:rFonts w:ascii="Times New Roman" w:eastAsia="Times New Roman" w:hAnsi="Times New Roman" w:cs="Times New Roman"/>
          <w:sz w:val="24"/>
          <w:szCs w:val="24"/>
          <w:lang w:eastAsia="en-IE"/>
        </w:rPr>
        <w:t xml:space="preserve"> companies unconnected with the Defendants did not involve him acting for CRBE or putting himself in any position of </w:t>
      </w:r>
      <w:r w:rsidR="003423C1" w:rsidRPr="00996ADD">
        <w:rPr>
          <w:rFonts w:ascii="Times New Roman" w:eastAsia="Times New Roman" w:hAnsi="Times New Roman" w:cs="Times New Roman"/>
          <w:sz w:val="24"/>
          <w:szCs w:val="24"/>
          <w:lang w:eastAsia="en-IE"/>
        </w:rPr>
        <w:t xml:space="preserve">potential </w:t>
      </w:r>
      <w:r w:rsidR="00C4220C" w:rsidRPr="00996ADD">
        <w:rPr>
          <w:rFonts w:ascii="Times New Roman" w:eastAsia="Times New Roman" w:hAnsi="Times New Roman" w:cs="Times New Roman"/>
          <w:sz w:val="24"/>
          <w:szCs w:val="24"/>
          <w:lang w:eastAsia="en-IE"/>
        </w:rPr>
        <w:t>conflict of interest. Indeed, no attempt was made by counsel for the First Defendant to identify any such conflict</w:t>
      </w:r>
      <w:r w:rsidR="003423C1" w:rsidRPr="00996ADD">
        <w:rPr>
          <w:rFonts w:ascii="Times New Roman" w:eastAsia="Times New Roman" w:hAnsi="Times New Roman" w:cs="Times New Roman"/>
          <w:sz w:val="24"/>
          <w:szCs w:val="24"/>
          <w:lang w:eastAsia="en-IE"/>
        </w:rPr>
        <w:t>.</w:t>
      </w:r>
      <w:r w:rsidR="00AE69E1" w:rsidRPr="00996ADD">
        <w:rPr>
          <w:rFonts w:ascii="Times New Roman" w:eastAsia="Times New Roman" w:hAnsi="Times New Roman" w:cs="Times New Roman"/>
          <w:sz w:val="24"/>
          <w:szCs w:val="24"/>
          <w:lang w:eastAsia="en-IE"/>
        </w:rPr>
        <w:t xml:space="preserve"> What was suggested was there was a “</w:t>
      </w:r>
      <w:r w:rsidR="00AE69E1" w:rsidRPr="00996ADD">
        <w:rPr>
          <w:rFonts w:ascii="Times New Roman" w:eastAsia="Times New Roman" w:hAnsi="Times New Roman" w:cs="Times New Roman"/>
          <w:i/>
          <w:sz w:val="24"/>
          <w:szCs w:val="24"/>
          <w:lang w:eastAsia="en-IE"/>
        </w:rPr>
        <w:t>commercial nexus”</w:t>
      </w:r>
      <w:r w:rsidR="00AE69E1" w:rsidRPr="00996ADD">
        <w:rPr>
          <w:rFonts w:ascii="Times New Roman" w:eastAsia="Times New Roman" w:hAnsi="Times New Roman" w:cs="Times New Roman"/>
          <w:sz w:val="24"/>
          <w:szCs w:val="24"/>
          <w:lang w:eastAsia="en-IE"/>
        </w:rPr>
        <w:t xml:space="preserve"> between CBRE and Mr McCann but, even if that is so, there is no basis in our view for any suggestion that this affected, or could reasonably be apprehended to have affected, Mr McCann’s discharge of his duties as receiver.</w:t>
      </w:r>
    </w:p>
    <w:p w14:paraId="4CF323E8" w14:textId="77777777" w:rsidR="00344246" w:rsidRPr="00344246" w:rsidRDefault="00344246" w:rsidP="00344246">
      <w:pPr>
        <w:pStyle w:val="ListParagraph"/>
        <w:spacing w:after="0" w:line="480" w:lineRule="auto"/>
        <w:jc w:val="both"/>
        <w:rPr>
          <w:rFonts w:ascii="Times New Roman" w:hAnsi="Times New Roman" w:cs="Times New Roman"/>
          <w:sz w:val="24"/>
          <w:szCs w:val="24"/>
        </w:rPr>
      </w:pPr>
    </w:p>
    <w:p w14:paraId="52B1CF7F" w14:textId="2F578386" w:rsidR="00344246" w:rsidRDefault="00344246" w:rsidP="00213F6C">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application to amend the First Defendant’s Notice of Appeal is consequential to, and </w:t>
      </w:r>
      <w:r w:rsidR="00E37E31">
        <w:rPr>
          <w:rFonts w:ascii="Times New Roman" w:hAnsi="Times New Roman" w:cs="Times New Roman"/>
          <w:sz w:val="24"/>
          <w:szCs w:val="24"/>
        </w:rPr>
        <w:t xml:space="preserve">dependent </w:t>
      </w:r>
      <w:r>
        <w:rPr>
          <w:rFonts w:ascii="Times New Roman" w:hAnsi="Times New Roman" w:cs="Times New Roman"/>
          <w:sz w:val="24"/>
          <w:szCs w:val="24"/>
        </w:rPr>
        <w:t xml:space="preserve">on, the application to admit further evidence and the refusal of the latter </w:t>
      </w:r>
      <w:r>
        <w:rPr>
          <w:rFonts w:ascii="Times New Roman" w:hAnsi="Times New Roman" w:cs="Times New Roman"/>
          <w:sz w:val="24"/>
          <w:szCs w:val="24"/>
        </w:rPr>
        <w:lastRenderedPageBreak/>
        <w:t xml:space="preserve">is fatal to the former. The declaration sought at 3 certainly falls away. </w:t>
      </w:r>
      <w:r w:rsidR="00D80379">
        <w:rPr>
          <w:rFonts w:ascii="Times New Roman" w:hAnsi="Times New Roman" w:cs="Times New Roman"/>
          <w:sz w:val="24"/>
          <w:szCs w:val="24"/>
        </w:rPr>
        <w:t xml:space="preserve">In any event, it is difficult to see how the granting of such a declaration could avail the First Defendant. </w:t>
      </w:r>
      <w:r>
        <w:rPr>
          <w:rFonts w:ascii="Times New Roman" w:hAnsi="Times New Roman" w:cs="Times New Roman"/>
          <w:sz w:val="24"/>
          <w:szCs w:val="24"/>
        </w:rPr>
        <w:t xml:space="preserve">The declaration at 1 is very difficult to follow but it appears to be premised on the contention that the Bank was under an obligation to advise the Receivers that they had a right of action against CBRE. That </w:t>
      </w:r>
      <w:r w:rsidR="00D80379">
        <w:rPr>
          <w:rFonts w:ascii="Times New Roman" w:hAnsi="Times New Roman" w:cs="Times New Roman"/>
          <w:sz w:val="24"/>
          <w:szCs w:val="24"/>
        </w:rPr>
        <w:t xml:space="preserve">issue </w:t>
      </w:r>
      <w:r>
        <w:rPr>
          <w:rFonts w:ascii="Times New Roman" w:hAnsi="Times New Roman" w:cs="Times New Roman"/>
          <w:sz w:val="24"/>
          <w:szCs w:val="24"/>
        </w:rPr>
        <w:t>is addressed further below, as is the argument reflected in the declaration sought at 2</w:t>
      </w:r>
      <w:r w:rsidR="003633A4">
        <w:rPr>
          <w:rFonts w:ascii="Times New Roman" w:hAnsi="Times New Roman" w:cs="Times New Roman"/>
          <w:sz w:val="24"/>
          <w:szCs w:val="24"/>
        </w:rPr>
        <w:t>, the effect that the Bank has “</w:t>
      </w:r>
      <w:r w:rsidR="003633A4" w:rsidRPr="003633A4">
        <w:rPr>
          <w:rFonts w:ascii="Times New Roman" w:hAnsi="Times New Roman" w:cs="Times New Roman"/>
          <w:i/>
          <w:sz w:val="24"/>
          <w:szCs w:val="24"/>
        </w:rPr>
        <w:t>full liability”</w:t>
      </w:r>
      <w:r w:rsidR="003633A4">
        <w:rPr>
          <w:rFonts w:ascii="Times New Roman" w:hAnsi="Times New Roman" w:cs="Times New Roman"/>
          <w:sz w:val="24"/>
          <w:szCs w:val="24"/>
        </w:rPr>
        <w:t xml:space="preserve"> for the outstanding debt by reason of the settlement with CBRE and having regard to the effect of section 35(1)(h) CLA. These declarations are unnecessary and, given the lateness of the application to amend, and the absence of any explanation for the delay, those amendments should not be permitted.</w:t>
      </w:r>
    </w:p>
    <w:p w14:paraId="23A1FF6E" w14:textId="77777777" w:rsidR="003633A4" w:rsidRDefault="003633A4" w:rsidP="003633A4">
      <w:pPr>
        <w:pStyle w:val="ListParagraph"/>
        <w:spacing w:after="0" w:line="480" w:lineRule="auto"/>
        <w:jc w:val="both"/>
        <w:rPr>
          <w:rFonts w:ascii="Times New Roman" w:hAnsi="Times New Roman" w:cs="Times New Roman"/>
          <w:sz w:val="24"/>
          <w:szCs w:val="24"/>
        </w:rPr>
      </w:pPr>
    </w:p>
    <w:p w14:paraId="115B0D92" w14:textId="3D2D12DB" w:rsidR="003633A4" w:rsidRPr="00213F6C" w:rsidRDefault="003633A4" w:rsidP="00213F6C">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Accordingly, the First Defendant’s motion is refused. </w:t>
      </w:r>
    </w:p>
    <w:p w14:paraId="3CE87C33" w14:textId="77777777" w:rsidR="00056A56" w:rsidRPr="00434D69" w:rsidRDefault="00056A56" w:rsidP="00434D69">
      <w:pPr>
        <w:spacing w:after="0" w:line="480" w:lineRule="auto"/>
        <w:ind w:left="720"/>
        <w:jc w:val="both"/>
        <w:rPr>
          <w:rFonts w:ascii="Times New Roman" w:hAnsi="Times New Roman" w:cs="Times New Roman"/>
          <w:sz w:val="24"/>
          <w:szCs w:val="24"/>
        </w:rPr>
      </w:pPr>
    </w:p>
    <w:p w14:paraId="63959387" w14:textId="2C9BBC7F" w:rsidR="00281D7C" w:rsidRPr="00434D69" w:rsidRDefault="003B5C6E" w:rsidP="00996ADD">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414B62D" w14:textId="68AEADF9" w:rsidR="007C42B8" w:rsidRDefault="00281D7C" w:rsidP="00351B94">
      <w:pPr>
        <w:pStyle w:val="Heading1"/>
      </w:pPr>
      <w:r w:rsidRPr="003423C1">
        <w:lastRenderedPageBreak/>
        <w:t xml:space="preserve">THE CIVIL LIABILITY ACT AND </w:t>
      </w:r>
    </w:p>
    <w:p w14:paraId="70CCF765" w14:textId="55A6657E" w:rsidR="007C42B8" w:rsidRDefault="00281D7C" w:rsidP="00351B94">
      <w:pPr>
        <w:pStyle w:val="Heading1"/>
      </w:pPr>
      <w:r w:rsidRPr="003423C1">
        <w:t>THE RECOVERY OF SIMPLE CONTRACT DEBTS</w:t>
      </w:r>
    </w:p>
    <w:p w14:paraId="6B90639F" w14:textId="77777777" w:rsidR="007C42B8" w:rsidRPr="003423C1" w:rsidRDefault="007C42B8" w:rsidP="00434D69">
      <w:pPr>
        <w:spacing w:after="0" w:line="480" w:lineRule="auto"/>
        <w:ind w:left="360"/>
        <w:jc w:val="center"/>
        <w:rPr>
          <w:rFonts w:ascii="Times New Roman" w:hAnsi="Times New Roman" w:cs="Times New Roman"/>
          <w:b/>
          <w:sz w:val="24"/>
          <w:szCs w:val="24"/>
        </w:rPr>
      </w:pPr>
    </w:p>
    <w:p w14:paraId="74F2BBAB" w14:textId="0A1F3909" w:rsidR="0017303A" w:rsidRDefault="007C42B8" w:rsidP="007C42B8">
      <w:pPr>
        <w:pStyle w:val="ListParagraph"/>
        <w:numPr>
          <w:ilvl w:val="0"/>
          <w:numId w:val="1"/>
        </w:numPr>
        <w:spacing w:after="0" w:line="480" w:lineRule="auto"/>
        <w:ind w:left="709"/>
        <w:jc w:val="both"/>
        <w:rPr>
          <w:rFonts w:ascii="Times New Roman" w:hAnsi="Times New Roman" w:cs="Times New Roman"/>
          <w:sz w:val="24"/>
          <w:szCs w:val="24"/>
        </w:rPr>
      </w:pPr>
      <w:r w:rsidRPr="007C42B8">
        <w:rPr>
          <w:rFonts w:ascii="Times New Roman" w:hAnsi="Times New Roman" w:cs="Times New Roman"/>
          <w:sz w:val="24"/>
          <w:szCs w:val="24"/>
        </w:rPr>
        <w:t>The principal issues on the appeals relate to the CLA</w:t>
      </w:r>
      <w:r>
        <w:rPr>
          <w:rFonts w:ascii="Times New Roman" w:hAnsi="Times New Roman" w:cs="Times New Roman"/>
          <w:sz w:val="24"/>
          <w:szCs w:val="24"/>
        </w:rPr>
        <w:t xml:space="preserve"> and we will address them at this stage and then go on to address the remaining issues raised by the Defendants.</w:t>
      </w:r>
    </w:p>
    <w:p w14:paraId="452B0288" w14:textId="77777777" w:rsidR="007C42B8" w:rsidRPr="007C42B8" w:rsidRDefault="007C42B8" w:rsidP="007C42B8">
      <w:pPr>
        <w:pStyle w:val="ListParagraph"/>
        <w:spacing w:after="0" w:line="480" w:lineRule="auto"/>
        <w:ind w:left="1440"/>
        <w:jc w:val="both"/>
        <w:rPr>
          <w:rFonts w:ascii="Times New Roman" w:hAnsi="Times New Roman" w:cs="Times New Roman"/>
          <w:sz w:val="24"/>
          <w:szCs w:val="24"/>
        </w:rPr>
      </w:pPr>
    </w:p>
    <w:p w14:paraId="1F16965E" w14:textId="1BB26C6E" w:rsidR="0017303A" w:rsidRPr="00434D69" w:rsidRDefault="00281D7C" w:rsidP="00272396">
      <w:pPr>
        <w:pStyle w:val="Heading2"/>
      </w:pPr>
      <w:r w:rsidRPr="00434D69">
        <w:t>The issue around the C</w:t>
      </w:r>
      <w:r w:rsidR="00D80379">
        <w:t>LA</w:t>
      </w:r>
      <w:r w:rsidR="0017303A" w:rsidRPr="00434D69">
        <w:t xml:space="preserve">  </w:t>
      </w:r>
    </w:p>
    <w:p w14:paraId="409368BE" w14:textId="77777777" w:rsidR="0017303A" w:rsidRPr="00434D69" w:rsidRDefault="0017303A"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72261DA2" w14:textId="3F4CE884" w:rsidR="00156F21" w:rsidRPr="00434D69" w:rsidRDefault="00156F21" w:rsidP="003C6587">
      <w:pPr>
        <w:pStyle w:val="ListParagraph"/>
        <w:numPr>
          <w:ilvl w:val="0"/>
          <w:numId w:val="1"/>
        </w:numPr>
        <w:spacing w:after="0" w:line="480" w:lineRule="auto"/>
        <w:jc w:val="both"/>
        <w:rPr>
          <w:rFonts w:ascii="Times New Roman" w:hAnsi="Times New Roman" w:cs="Times New Roman"/>
          <w:sz w:val="24"/>
          <w:szCs w:val="24"/>
        </w:rPr>
      </w:pPr>
      <w:bookmarkStart w:id="2" w:name="_Hlk98240764"/>
      <w:r w:rsidRPr="00434D69">
        <w:rPr>
          <w:rFonts w:ascii="Times New Roman" w:hAnsi="Times New Roman" w:cs="Times New Roman"/>
          <w:sz w:val="24"/>
          <w:szCs w:val="24"/>
        </w:rPr>
        <w:t xml:space="preserve">To recap, the basic point made by the </w:t>
      </w:r>
      <w:r w:rsidR="00D80379">
        <w:rPr>
          <w:rFonts w:ascii="Times New Roman" w:hAnsi="Times New Roman" w:cs="Times New Roman"/>
          <w:sz w:val="24"/>
          <w:szCs w:val="24"/>
        </w:rPr>
        <w:t>D</w:t>
      </w:r>
      <w:r w:rsidRPr="00434D69">
        <w:rPr>
          <w:rFonts w:ascii="Times New Roman" w:hAnsi="Times New Roman" w:cs="Times New Roman"/>
          <w:sz w:val="24"/>
          <w:szCs w:val="24"/>
        </w:rPr>
        <w:t>efendants as regards the C</w:t>
      </w:r>
      <w:r w:rsidR="00D80379">
        <w:rPr>
          <w:rFonts w:ascii="Times New Roman" w:hAnsi="Times New Roman" w:cs="Times New Roman"/>
          <w:sz w:val="24"/>
          <w:szCs w:val="24"/>
        </w:rPr>
        <w:t>LA</w:t>
      </w:r>
      <w:r w:rsidRPr="00434D69">
        <w:rPr>
          <w:rFonts w:ascii="Times New Roman" w:hAnsi="Times New Roman" w:cs="Times New Roman"/>
          <w:sz w:val="24"/>
          <w:szCs w:val="24"/>
        </w:rPr>
        <w:t xml:space="preserve"> was that the </w:t>
      </w:r>
      <w:r w:rsidR="00D80379">
        <w:rPr>
          <w:rFonts w:ascii="Times New Roman" w:hAnsi="Times New Roman" w:cs="Times New Roman"/>
          <w:sz w:val="24"/>
          <w:szCs w:val="24"/>
        </w:rPr>
        <w:t>Defendants</w:t>
      </w:r>
      <w:r w:rsidR="00D80379" w:rsidRPr="00434D69">
        <w:rPr>
          <w:rFonts w:ascii="Times New Roman" w:hAnsi="Times New Roman" w:cs="Times New Roman"/>
          <w:sz w:val="24"/>
          <w:szCs w:val="24"/>
        </w:rPr>
        <w:t xml:space="preserve"> </w:t>
      </w:r>
      <w:r w:rsidRPr="00434D69">
        <w:rPr>
          <w:rFonts w:ascii="Times New Roman" w:hAnsi="Times New Roman" w:cs="Times New Roman"/>
          <w:sz w:val="24"/>
          <w:szCs w:val="24"/>
        </w:rPr>
        <w:t xml:space="preserve">(in respect of </w:t>
      </w:r>
      <w:r w:rsidR="00D80379">
        <w:rPr>
          <w:rFonts w:ascii="Times New Roman" w:hAnsi="Times New Roman" w:cs="Times New Roman"/>
          <w:sz w:val="24"/>
          <w:szCs w:val="24"/>
        </w:rPr>
        <w:t>their</w:t>
      </w:r>
      <w:r w:rsidR="00D80379" w:rsidRPr="00434D69">
        <w:rPr>
          <w:rFonts w:ascii="Times New Roman" w:hAnsi="Times New Roman" w:cs="Times New Roman"/>
          <w:sz w:val="24"/>
          <w:szCs w:val="24"/>
        </w:rPr>
        <w:t xml:space="preserve"> </w:t>
      </w:r>
      <w:r w:rsidRPr="00434D69">
        <w:rPr>
          <w:rFonts w:ascii="Times New Roman" w:hAnsi="Times New Roman" w:cs="Times New Roman"/>
          <w:sz w:val="24"/>
          <w:szCs w:val="24"/>
        </w:rPr>
        <w:t>debt</w:t>
      </w:r>
      <w:r w:rsidR="00D80379">
        <w:rPr>
          <w:rFonts w:ascii="Times New Roman" w:hAnsi="Times New Roman" w:cs="Times New Roman"/>
          <w:sz w:val="24"/>
          <w:szCs w:val="24"/>
        </w:rPr>
        <w:t xml:space="preserve"> to the Bank</w:t>
      </w:r>
      <w:r w:rsidRPr="00434D69">
        <w:rPr>
          <w:rFonts w:ascii="Times New Roman" w:hAnsi="Times New Roman" w:cs="Times New Roman"/>
          <w:sz w:val="24"/>
          <w:szCs w:val="24"/>
        </w:rPr>
        <w:t>) and CBRE (in relation to its negligence in the valuation of the site) were concurrent wrongdoers.  Therefore, the effect of CLA (</w:t>
      </w:r>
      <w:r w:rsidR="00D80379">
        <w:rPr>
          <w:rFonts w:ascii="Times New Roman" w:hAnsi="Times New Roman" w:cs="Times New Roman"/>
          <w:sz w:val="24"/>
          <w:szCs w:val="24"/>
        </w:rPr>
        <w:t xml:space="preserve">so </w:t>
      </w:r>
      <w:r w:rsidRPr="00434D69">
        <w:rPr>
          <w:rFonts w:ascii="Times New Roman" w:hAnsi="Times New Roman" w:cs="Times New Roman"/>
          <w:sz w:val="24"/>
          <w:szCs w:val="24"/>
        </w:rPr>
        <w:t xml:space="preserve">it was said) was that by compromising the claim against CBRE the Bank precluded itself from recovering the debt from the </w:t>
      </w:r>
      <w:r w:rsidR="00D80379">
        <w:rPr>
          <w:rFonts w:ascii="Times New Roman" w:hAnsi="Times New Roman" w:cs="Times New Roman"/>
          <w:sz w:val="24"/>
          <w:szCs w:val="24"/>
        </w:rPr>
        <w:t>D</w:t>
      </w:r>
      <w:r w:rsidRPr="00434D69">
        <w:rPr>
          <w:rFonts w:ascii="Times New Roman" w:hAnsi="Times New Roman" w:cs="Times New Roman"/>
          <w:sz w:val="24"/>
          <w:szCs w:val="24"/>
        </w:rPr>
        <w:t>efendants</w:t>
      </w:r>
      <w:r w:rsidR="00AA2A6E" w:rsidRPr="00434D69">
        <w:rPr>
          <w:rFonts w:ascii="Times New Roman" w:hAnsi="Times New Roman" w:cs="Times New Roman"/>
          <w:sz w:val="24"/>
          <w:szCs w:val="24"/>
        </w:rPr>
        <w:t>, in whole or in part</w:t>
      </w:r>
      <w:r w:rsidRPr="00434D69">
        <w:rPr>
          <w:rFonts w:ascii="Times New Roman" w:hAnsi="Times New Roman" w:cs="Times New Roman"/>
          <w:sz w:val="24"/>
          <w:szCs w:val="24"/>
        </w:rPr>
        <w:t>.</w:t>
      </w:r>
    </w:p>
    <w:bookmarkEnd w:id="2"/>
    <w:p w14:paraId="3B4BBD2C" w14:textId="77777777" w:rsidR="00156F21" w:rsidRPr="00434D69" w:rsidRDefault="00156F21"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63A51B6C" w14:textId="4B5D74E2" w:rsidR="0017303A" w:rsidRPr="00434D69" w:rsidRDefault="00281D7C"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In the High Court, the Bank adopted the position that </w:t>
      </w:r>
      <w:r w:rsidR="00C6269F" w:rsidRPr="00434D69">
        <w:rPr>
          <w:rFonts w:ascii="Times New Roman" w:hAnsi="Times New Roman" w:cs="Times New Roman"/>
          <w:sz w:val="24"/>
          <w:szCs w:val="24"/>
        </w:rPr>
        <w:t xml:space="preserve">insofar as it sued in these proceedings for the recovery of monies due to it on foot of a debt, </w:t>
      </w:r>
      <w:r w:rsidRPr="00434D69">
        <w:rPr>
          <w:rFonts w:ascii="Times New Roman" w:hAnsi="Times New Roman" w:cs="Times New Roman"/>
          <w:sz w:val="24"/>
          <w:szCs w:val="24"/>
        </w:rPr>
        <w:t xml:space="preserve">it was not </w:t>
      </w:r>
      <w:r w:rsidR="00C6269F" w:rsidRPr="00434D69">
        <w:rPr>
          <w:rFonts w:ascii="Times New Roman" w:hAnsi="Times New Roman" w:cs="Times New Roman"/>
          <w:sz w:val="24"/>
          <w:szCs w:val="24"/>
        </w:rPr>
        <w:t xml:space="preserve">capable of being </w:t>
      </w:r>
      <w:r w:rsidRPr="00434D69">
        <w:rPr>
          <w:rFonts w:ascii="Times New Roman" w:hAnsi="Times New Roman" w:cs="Times New Roman"/>
          <w:sz w:val="24"/>
          <w:szCs w:val="24"/>
        </w:rPr>
        <w:t>a ‘</w:t>
      </w:r>
      <w:r w:rsidRPr="00434D69">
        <w:rPr>
          <w:rFonts w:ascii="Times New Roman" w:hAnsi="Times New Roman" w:cs="Times New Roman"/>
          <w:i/>
          <w:sz w:val="24"/>
          <w:szCs w:val="24"/>
        </w:rPr>
        <w:t>concurrent wrongdoer</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with CBRE for the purposes of the C</w:t>
      </w:r>
      <w:r w:rsidR="00D80379">
        <w:rPr>
          <w:rFonts w:ascii="Times New Roman" w:hAnsi="Times New Roman" w:cs="Times New Roman"/>
          <w:sz w:val="24"/>
          <w:szCs w:val="24"/>
        </w:rPr>
        <w:t>LA</w:t>
      </w:r>
      <w:r w:rsidRPr="00434D69">
        <w:rPr>
          <w:rFonts w:ascii="Times New Roman" w:hAnsi="Times New Roman" w:cs="Times New Roman"/>
          <w:sz w:val="24"/>
          <w:szCs w:val="24"/>
        </w:rPr>
        <w:t xml:space="preserve">.  If that was correct, it was entitled to recover the monies due and owing to it without regard to the </w:t>
      </w:r>
      <w:r w:rsidR="00495078">
        <w:rPr>
          <w:rFonts w:ascii="Times New Roman" w:hAnsi="Times New Roman" w:cs="Times New Roman"/>
          <w:sz w:val="24"/>
          <w:szCs w:val="24"/>
        </w:rPr>
        <w:t>role</w:t>
      </w:r>
      <w:r w:rsidR="00495078" w:rsidRPr="00434D69">
        <w:rPr>
          <w:rFonts w:ascii="Times New Roman" w:hAnsi="Times New Roman" w:cs="Times New Roman"/>
          <w:sz w:val="24"/>
          <w:szCs w:val="24"/>
        </w:rPr>
        <w:t xml:space="preserve"> </w:t>
      </w:r>
      <w:r w:rsidRPr="00434D69">
        <w:rPr>
          <w:rFonts w:ascii="Times New Roman" w:hAnsi="Times New Roman" w:cs="Times New Roman"/>
          <w:sz w:val="24"/>
          <w:szCs w:val="24"/>
        </w:rPr>
        <w:t>of CBRE</w:t>
      </w:r>
      <w:r w:rsidR="00495078">
        <w:rPr>
          <w:rFonts w:ascii="Times New Roman" w:hAnsi="Times New Roman" w:cs="Times New Roman"/>
          <w:sz w:val="24"/>
          <w:szCs w:val="24"/>
        </w:rPr>
        <w:t xml:space="preserve"> or its relative blameworthiness</w:t>
      </w:r>
      <w:r w:rsidRPr="00434D69">
        <w:rPr>
          <w:rFonts w:ascii="Times New Roman" w:hAnsi="Times New Roman" w:cs="Times New Roman"/>
          <w:sz w:val="24"/>
          <w:szCs w:val="24"/>
        </w:rPr>
        <w:t xml:space="preserve">.  That contention was, as evident from the foregoing, rejected by the Judge.  In the written and oral submissions made to this Court the </w:t>
      </w:r>
      <w:r w:rsidR="00495078">
        <w:rPr>
          <w:rFonts w:ascii="Times New Roman" w:hAnsi="Times New Roman" w:cs="Times New Roman"/>
          <w:sz w:val="24"/>
          <w:szCs w:val="24"/>
        </w:rPr>
        <w:t>D</w:t>
      </w:r>
      <w:r w:rsidRPr="00434D69">
        <w:rPr>
          <w:rFonts w:ascii="Times New Roman" w:hAnsi="Times New Roman" w:cs="Times New Roman"/>
          <w:sz w:val="24"/>
          <w:szCs w:val="24"/>
        </w:rPr>
        <w:t>efendants assumed the correctness of the Judge’s conclusion on that issue, instead</w:t>
      </w:r>
      <w:r w:rsidR="00C6269F" w:rsidRPr="00434D69">
        <w:rPr>
          <w:rFonts w:ascii="Times New Roman" w:hAnsi="Times New Roman" w:cs="Times New Roman"/>
          <w:sz w:val="24"/>
          <w:szCs w:val="24"/>
        </w:rPr>
        <w:t xml:space="preserve"> asserting that the Court erred in finding that the </w:t>
      </w:r>
      <w:r w:rsidR="00495078">
        <w:rPr>
          <w:rFonts w:ascii="Times New Roman" w:hAnsi="Times New Roman" w:cs="Times New Roman"/>
          <w:sz w:val="24"/>
          <w:szCs w:val="24"/>
        </w:rPr>
        <w:t>D</w:t>
      </w:r>
      <w:r w:rsidR="00C6269F" w:rsidRPr="00434D69">
        <w:rPr>
          <w:rFonts w:ascii="Times New Roman" w:hAnsi="Times New Roman" w:cs="Times New Roman"/>
          <w:sz w:val="24"/>
          <w:szCs w:val="24"/>
        </w:rPr>
        <w:t xml:space="preserve">efendants were obliged to adduce expert evidence establishing that CBRE was in fact negligent and </w:t>
      </w:r>
      <w:r w:rsidR="00472194" w:rsidRPr="00434D69">
        <w:rPr>
          <w:rFonts w:ascii="Times New Roman" w:hAnsi="Times New Roman" w:cs="Times New Roman"/>
          <w:sz w:val="24"/>
          <w:szCs w:val="24"/>
        </w:rPr>
        <w:t>in finding that in the absence of that evidence</w:t>
      </w:r>
      <w:r w:rsidR="00F36346">
        <w:rPr>
          <w:rFonts w:ascii="Times New Roman" w:hAnsi="Times New Roman" w:cs="Times New Roman"/>
          <w:sz w:val="24"/>
          <w:szCs w:val="24"/>
        </w:rPr>
        <w:t>,</w:t>
      </w:r>
      <w:r w:rsidR="00472194" w:rsidRPr="00434D69">
        <w:rPr>
          <w:rFonts w:ascii="Times New Roman" w:hAnsi="Times New Roman" w:cs="Times New Roman"/>
          <w:sz w:val="24"/>
          <w:szCs w:val="24"/>
        </w:rPr>
        <w:t xml:space="preserve"> the </w:t>
      </w:r>
      <w:r w:rsidR="00495078">
        <w:rPr>
          <w:rFonts w:ascii="Times New Roman" w:hAnsi="Times New Roman" w:cs="Times New Roman"/>
          <w:sz w:val="24"/>
          <w:szCs w:val="24"/>
        </w:rPr>
        <w:t>D</w:t>
      </w:r>
      <w:r w:rsidR="00472194" w:rsidRPr="00434D69">
        <w:rPr>
          <w:rFonts w:ascii="Times New Roman" w:hAnsi="Times New Roman" w:cs="Times New Roman"/>
          <w:sz w:val="24"/>
          <w:szCs w:val="24"/>
        </w:rPr>
        <w:t xml:space="preserve">efendants had not established that the Bank and CBRE </w:t>
      </w:r>
      <w:r w:rsidR="00472194" w:rsidRPr="00434D69">
        <w:rPr>
          <w:rFonts w:ascii="Times New Roman" w:hAnsi="Times New Roman" w:cs="Times New Roman"/>
          <w:sz w:val="24"/>
          <w:szCs w:val="24"/>
        </w:rPr>
        <w:lastRenderedPageBreak/>
        <w:t xml:space="preserve">were concurrent wrongdoers at all.  In that regard </w:t>
      </w:r>
      <w:r w:rsidR="00DB0817" w:rsidRPr="00434D69">
        <w:rPr>
          <w:rFonts w:ascii="Times New Roman" w:hAnsi="Times New Roman" w:cs="Times New Roman"/>
          <w:sz w:val="24"/>
          <w:szCs w:val="24"/>
        </w:rPr>
        <w:t>t</w:t>
      </w:r>
      <w:r w:rsidR="00472194" w:rsidRPr="00434D69">
        <w:rPr>
          <w:rFonts w:ascii="Times New Roman" w:hAnsi="Times New Roman" w:cs="Times New Roman"/>
          <w:sz w:val="24"/>
          <w:szCs w:val="24"/>
        </w:rPr>
        <w:t>he</w:t>
      </w:r>
      <w:r w:rsidR="00DB0817" w:rsidRPr="00434D69">
        <w:rPr>
          <w:rFonts w:ascii="Times New Roman" w:hAnsi="Times New Roman" w:cs="Times New Roman"/>
          <w:sz w:val="24"/>
          <w:szCs w:val="24"/>
        </w:rPr>
        <w:t>y</w:t>
      </w:r>
      <w:r w:rsidR="00472194" w:rsidRPr="00434D69">
        <w:rPr>
          <w:rFonts w:ascii="Times New Roman" w:hAnsi="Times New Roman" w:cs="Times New Roman"/>
          <w:sz w:val="24"/>
          <w:szCs w:val="24"/>
        </w:rPr>
        <w:t xml:space="preserve"> placed very considerable emphasis upon the fact that in the statement of claim delivered in its action against CBRE, the Bank had pleaded a duty of care owed to it</w:t>
      </w:r>
      <w:r w:rsidR="00792FE3">
        <w:rPr>
          <w:rFonts w:ascii="Times New Roman" w:hAnsi="Times New Roman" w:cs="Times New Roman"/>
          <w:sz w:val="24"/>
          <w:szCs w:val="24"/>
        </w:rPr>
        <w:t>,</w:t>
      </w:r>
      <w:r w:rsidR="00472194" w:rsidRPr="00434D69">
        <w:rPr>
          <w:rFonts w:ascii="Times New Roman" w:hAnsi="Times New Roman" w:cs="Times New Roman"/>
          <w:sz w:val="24"/>
          <w:szCs w:val="24"/>
        </w:rPr>
        <w:t xml:space="preserve"> </w:t>
      </w:r>
      <w:r w:rsidR="0026161D" w:rsidRPr="00434D69">
        <w:rPr>
          <w:rFonts w:ascii="Times New Roman" w:hAnsi="Times New Roman" w:cs="Times New Roman"/>
          <w:sz w:val="24"/>
          <w:szCs w:val="24"/>
        </w:rPr>
        <w:t>had asserted that CBRE had been negligent</w:t>
      </w:r>
      <w:r w:rsidR="00495078">
        <w:rPr>
          <w:rFonts w:ascii="Times New Roman" w:hAnsi="Times New Roman" w:cs="Times New Roman"/>
          <w:sz w:val="24"/>
          <w:szCs w:val="24"/>
        </w:rPr>
        <w:t xml:space="preserve"> and had advanced a claim for damages based on an assertion that, if the Bank had been advised of the true value of the Kilpeddar Lands, it would not have advanced the loan facilities to the Defendants</w:t>
      </w:r>
      <w:r w:rsidR="0026161D" w:rsidRPr="00434D69">
        <w:rPr>
          <w:rFonts w:ascii="Times New Roman" w:hAnsi="Times New Roman" w:cs="Times New Roman"/>
          <w:sz w:val="24"/>
          <w:szCs w:val="24"/>
        </w:rPr>
        <w:t>.</w:t>
      </w:r>
      <w:r w:rsidR="000A0858">
        <w:rPr>
          <w:rFonts w:ascii="Times New Roman" w:hAnsi="Times New Roman" w:cs="Times New Roman"/>
          <w:sz w:val="24"/>
          <w:szCs w:val="24"/>
        </w:rPr>
        <w:t xml:space="preserve">  They also attached significance to the fact that the monies obtained from CBRE had been credited to the </w:t>
      </w:r>
      <w:r w:rsidR="00495078">
        <w:rPr>
          <w:rFonts w:ascii="Times New Roman" w:hAnsi="Times New Roman" w:cs="Times New Roman"/>
          <w:sz w:val="24"/>
          <w:szCs w:val="24"/>
        </w:rPr>
        <w:t>D</w:t>
      </w:r>
      <w:r w:rsidR="000A0858">
        <w:rPr>
          <w:rFonts w:ascii="Times New Roman" w:hAnsi="Times New Roman" w:cs="Times New Roman"/>
          <w:sz w:val="24"/>
          <w:szCs w:val="24"/>
        </w:rPr>
        <w:t>efendants’ loan account.</w:t>
      </w:r>
      <w:r w:rsidR="00213C4A" w:rsidRPr="00434D69">
        <w:rPr>
          <w:rFonts w:ascii="Times New Roman" w:hAnsi="Times New Roman" w:cs="Times New Roman"/>
          <w:sz w:val="24"/>
          <w:szCs w:val="24"/>
        </w:rPr>
        <w:t xml:space="preserve">  </w:t>
      </w:r>
      <w:r w:rsidR="009D2758" w:rsidRPr="00434D69">
        <w:rPr>
          <w:rFonts w:ascii="Times New Roman" w:hAnsi="Times New Roman" w:cs="Times New Roman"/>
          <w:sz w:val="24"/>
          <w:szCs w:val="24"/>
        </w:rPr>
        <w:t xml:space="preserve">The Bank in its submissions – essentially – joined issue with these contentions, but did not dispute the application in </w:t>
      </w:r>
      <w:r w:rsidR="00495078">
        <w:rPr>
          <w:rFonts w:ascii="Times New Roman" w:hAnsi="Times New Roman" w:cs="Times New Roman"/>
          <w:sz w:val="24"/>
          <w:szCs w:val="24"/>
        </w:rPr>
        <w:t>principle</w:t>
      </w:r>
      <w:r w:rsidR="00495078" w:rsidRPr="00434D69">
        <w:rPr>
          <w:rFonts w:ascii="Times New Roman" w:hAnsi="Times New Roman" w:cs="Times New Roman"/>
          <w:sz w:val="24"/>
          <w:szCs w:val="24"/>
        </w:rPr>
        <w:t xml:space="preserve"> </w:t>
      </w:r>
      <w:r w:rsidR="009D2758" w:rsidRPr="00434D69">
        <w:rPr>
          <w:rFonts w:ascii="Times New Roman" w:hAnsi="Times New Roman" w:cs="Times New Roman"/>
          <w:sz w:val="24"/>
          <w:szCs w:val="24"/>
        </w:rPr>
        <w:t>of the</w:t>
      </w:r>
      <w:r w:rsidR="00495078">
        <w:rPr>
          <w:rFonts w:ascii="Times New Roman" w:hAnsi="Times New Roman" w:cs="Times New Roman"/>
          <w:sz w:val="24"/>
          <w:szCs w:val="24"/>
        </w:rPr>
        <w:t xml:space="preserve"> CLA’s</w:t>
      </w:r>
      <w:r w:rsidR="009D2758" w:rsidRPr="00434D69">
        <w:rPr>
          <w:rFonts w:ascii="Times New Roman" w:hAnsi="Times New Roman" w:cs="Times New Roman"/>
          <w:sz w:val="24"/>
          <w:szCs w:val="24"/>
        </w:rPr>
        <w:t xml:space="preserve"> provisions governing concurrent wrongdoers to </w:t>
      </w:r>
      <w:r w:rsidR="0001669C" w:rsidRPr="00434D69">
        <w:rPr>
          <w:rFonts w:ascii="Times New Roman" w:hAnsi="Times New Roman" w:cs="Times New Roman"/>
          <w:sz w:val="24"/>
          <w:szCs w:val="24"/>
        </w:rPr>
        <w:t>it claim.</w:t>
      </w:r>
    </w:p>
    <w:p w14:paraId="5019E14A" w14:textId="77777777" w:rsidR="0001669C" w:rsidRPr="00434D69" w:rsidRDefault="0001669C" w:rsidP="00434D69">
      <w:pPr>
        <w:pStyle w:val="ListParagraph"/>
        <w:spacing w:after="0" w:line="480" w:lineRule="auto"/>
        <w:jc w:val="both"/>
        <w:rPr>
          <w:rFonts w:ascii="Times New Roman" w:hAnsi="Times New Roman" w:cs="Times New Roman"/>
          <w:sz w:val="24"/>
          <w:szCs w:val="24"/>
        </w:rPr>
      </w:pPr>
    </w:p>
    <w:p w14:paraId="0BE4B2AC" w14:textId="77777777" w:rsidR="0001669C" w:rsidRPr="00434D69" w:rsidRDefault="0001669C" w:rsidP="00272396">
      <w:pPr>
        <w:pStyle w:val="Heading2"/>
      </w:pPr>
      <w:r w:rsidRPr="00434D69">
        <w:t>Preliminary issue</w:t>
      </w:r>
    </w:p>
    <w:p w14:paraId="5FA71B57" w14:textId="77777777" w:rsidR="00DB0817" w:rsidRPr="00434D69" w:rsidRDefault="00DB0817"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28D0D4EA" w14:textId="5B59EDB2" w:rsidR="00DB0817" w:rsidRPr="00434D69" w:rsidRDefault="007C6944"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r w:rsidR="00762E4B">
        <w:rPr>
          <w:rFonts w:ascii="Times New Roman" w:hAnsi="Times New Roman" w:cs="Times New Roman"/>
          <w:sz w:val="24"/>
          <w:szCs w:val="24"/>
        </w:rPr>
        <w:t>Specifically, i</w:t>
      </w:r>
      <w:r w:rsidR="006A3DE0" w:rsidRPr="00434D69">
        <w:rPr>
          <w:rFonts w:ascii="Times New Roman" w:hAnsi="Times New Roman" w:cs="Times New Roman"/>
          <w:sz w:val="24"/>
          <w:szCs w:val="24"/>
        </w:rPr>
        <w:t xml:space="preserve">n </w:t>
      </w:r>
      <w:r w:rsidR="000A0858">
        <w:rPr>
          <w:rFonts w:ascii="Times New Roman" w:hAnsi="Times New Roman" w:cs="Times New Roman"/>
          <w:sz w:val="24"/>
          <w:szCs w:val="24"/>
        </w:rPr>
        <w:t>its sub</w:t>
      </w:r>
      <w:r w:rsidR="006A3DE0" w:rsidRPr="00434D69">
        <w:rPr>
          <w:rFonts w:ascii="Times New Roman" w:hAnsi="Times New Roman" w:cs="Times New Roman"/>
          <w:sz w:val="24"/>
          <w:szCs w:val="24"/>
        </w:rPr>
        <w:t xml:space="preserve">missions </w:t>
      </w:r>
      <w:r w:rsidR="000A0858">
        <w:rPr>
          <w:rFonts w:ascii="Times New Roman" w:hAnsi="Times New Roman" w:cs="Times New Roman"/>
          <w:sz w:val="24"/>
          <w:szCs w:val="24"/>
        </w:rPr>
        <w:t xml:space="preserve">the Bank </w:t>
      </w:r>
      <w:r w:rsidR="006A3DE0" w:rsidRPr="00434D69">
        <w:rPr>
          <w:rFonts w:ascii="Times New Roman" w:hAnsi="Times New Roman" w:cs="Times New Roman"/>
          <w:sz w:val="24"/>
          <w:szCs w:val="24"/>
        </w:rPr>
        <w:t xml:space="preserve">focussed upon the question of whether the </w:t>
      </w:r>
      <w:r w:rsidR="00495078">
        <w:rPr>
          <w:rFonts w:ascii="Times New Roman" w:hAnsi="Times New Roman" w:cs="Times New Roman"/>
          <w:sz w:val="24"/>
          <w:szCs w:val="24"/>
        </w:rPr>
        <w:t>D</w:t>
      </w:r>
      <w:r w:rsidR="006A3DE0" w:rsidRPr="00434D69">
        <w:rPr>
          <w:rFonts w:ascii="Times New Roman" w:hAnsi="Times New Roman" w:cs="Times New Roman"/>
          <w:sz w:val="24"/>
          <w:szCs w:val="24"/>
        </w:rPr>
        <w:t xml:space="preserve">efendants were obliged to tender evidence to establish that CBRE was negligent in its valuation of the lands, that that negligence caused or contributed to the damage suffered by the bank, and that CBRE was liable to contribute </w:t>
      </w:r>
      <w:r w:rsidR="007C2A12">
        <w:rPr>
          <w:rFonts w:ascii="Times New Roman" w:hAnsi="Times New Roman" w:cs="Times New Roman"/>
          <w:sz w:val="24"/>
          <w:szCs w:val="24"/>
        </w:rPr>
        <w:t>more than the</w:t>
      </w:r>
      <w:r w:rsidR="006A3DE0" w:rsidRPr="00434D69">
        <w:rPr>
          <w:rFonts w:ascii="Times New Roman" w:hAnsi="Times New Roman" w:cs="Times New Roman"/>
          <w:sz w:val="24"/>
          <w:szCs w:val="24"/>
        </w:rPr>
        <w:t xml:space="preserve"> sum of €5,000,000</w:t>
      </w:r>
      <w:r w:rsidR="007C2A12">
        <w:rPr>
          <w:rFonts w:ascii="Times New Roman" w:hAnsi="Times New Roman" w:cs="Times New Roman"/>
          <w:sz w:val="24"/>
          <w:szCs w:val="24"/>
        </w:rPr>
        <w:t xml:space="preserve"> to the Bank’s loss</w:t>
      </w:r>
      <w:r w:rsidR="006A3DE0" w:rsidRPr="00434D69">
        <w:rPr>
          <w:rFonts w:ascii="Times New Roman" w:hAnsi="Times New Roman" w:cs="Times New Roman"/>
          <w:sz w:val="24"/>
          <w:szCs w:val="24"/>
        </w:rPr>
        <w:t xml:space="preserve">.  They also addressed the related contention seemingly advanced by the </w:t>
      </w:r>
      <w:r w:rsidR="00495078">
        <w:rPr>
          <w:rFonts w:ascii="Times New Roman" w:hAnsi="Times New Roman" w:cs="Times New Roman"/>
          <w:sz w:val="24"/>
          <w:szCs w:val="24"/>
        </w:rPr>
        <w:t>First</w:t>
      </w:r>
      <w:r w:rsidR="006A3DE0" w:rsidRPr="00434D69">
        <w:rPr>
          <w:rFonts w:ascii="Times New Roman" w:hAnsi="Times New Roman" w:cs="Times New Roman"/>
          <w:sz w:val="24"/>
          <w:szCs w:val="24"/>
        </w:rPr>
        <w:t xml:space="preserve"> defendant that the failure of the</w:t>
      </w:r>
      <w:r w:rsidR="00495078">
        <w:rPr>
          <w:rFonts w:ascii="Times New Roman" w:hAnsi="Times New Roman" w:cs="Times New Roman"/>
          <w:sz w:val="24"/>
          <w:szCs w:val="24"/>
        </w:rPr>
        <w:t xml:space="preserve"> Receivers </w:t>
      </w:r>
      <w:r w:rsidR="006A3DE0" w:rsidRPr="00434D69">
        <w:rPr>
          <w:rFonts w:ascii="Times New Roman" w:hAnsi="Times New Roman" w:cs="Times New Roman"/>
          <w:sz w:val="24"/>
          <w:szCs w:val="24"/>
        </w:rPr>
        <w:t>to join in the action against CBRE gave him a cause of action or ground of complaint.</w:t>
      </w:r>
    </w:p>
    <w:p w14:paraId="6E84D598" w14:textId="77777777" w:rsidR="00D77A32" w:rsidRPr="00434D69" w:rsidRDefault="00D77A32"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79031815" w14:textId="2400BF93" w:rsidR="00590EE0" w:rsidRPr="00434D69" w:rsidRDefault="00D77A32"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In the course of the hearing of this appeal, the Court expressed concern at the prospect that it was being asked to determine an important part of this appeal based upon the </w:t>
      </w:r>
      <w:r w:rsidR="00495078">
        <w:rPr>
          <w:rFonts w:ascii="Times New Roman" w:hAnsi="Times New Roman" w:cs="Times New Roman"/>
          <w:sz w:val="24"/>
          <w:szCs w:val="24"/>
        </w:rPr>
        <w:t>premise</w:t>
      </w:r>
      <w:r w:rsidR="00495078" w:rsidRPr="00434D69">
        <w:rPr>
          <w:rFonts w:ascii="Times New Roman" w:hAnsi="Times New Roman" w:cs="Times New Roman"/>
          <w:sz w:val="24"/>
          <w:szCs w:val="24"/>
        </w:rPr>
        <w:t xml:space="preserve"> </w:t>
      </w:r>
      <w:r w:rsidRPr="00434D69">
        <w:rPr>
          <w:rFonts w:ascii="Times New Roman" w:hAnsi="Times New Roman" w:cs="Times New Roman"/>
          <w:sz w:val="24"/>
          <w:szCs w:val="24"/>
        </w:rPr>
        <w:t xml:space="preserve">that the CLA applied to claims brought to recover debts and/or that a party </w:t>
      </w:r>
      <w:r w:rsidRPr="00434D69">
        <w:rPr>
          <w:rFonts w:ascii="Times New Roman" w:hAnsi="Times New Roman" w:cs="Times New Roman"/>
          <w:sz w:val="24"/>
          <w:szCs w:val="24"/>
        </w:rPr>
        <w:lastRenderedPageBreak/>
        <w:t xml:space="preserve">alleged to be negligent in </w:t>
      </w:r>
      <w:r w:rsidR="00C5355A" w:rsidRPr="00434D69">
        <w:rPr>
          <w:rFonts w:ascii="Times New Roman" w:hAnsi="Times New Roman" w:cs="Times New Roman"/>
          <w:sz w:val="24"/>
          <w:szCs w:val="24"/>
        </w:rPr>
        <w:t>a</w:t>
      </w:r>
      <w:r w:rsidRPr="00434D69">
        <w:rPr>
          <w:rFonts w:ascii="Times New Roman" w:hAnsi="Times New Roman" w:cs="Times New Roman"/>
          <w:sz w:val="24"/>
          <w:szCs w:val="24"/>
        </w:rPr>
        <w:t xml:space="preserve"> valuation </w:t>
      </w:r>
      <w:r w:rsidR="00C5355A" w:rsidRPr="00434D69">
        <w:rPr>
          <w:rFonts w:ascii="Times New Roman" w:hAnsi="Times New Roman" w:cs="Times New Roman"/>
          <w:sz w:val="24"/>
          <w:szCs w:val="24"/>
        </w:rPr>
        <w:t>of property consequent upon which a loan agreement is entered into by a plaintiff is a concurrent wrongdoer</w:t>
      </w:r>
      <w:r w:rsidR="00AA2A6E" w:rsidRPr="00434D69">
        <w:rPr>
          <w:rFonts w:ascii="Times New Roman" w:hAnsi="Times New Roman" w:cs="Times New Roman"/>
          <w:sz w:val="24"/>
          <w:szCs w:val="24"/>
        </w:rPr>
        <w:t xml:space="preserve"> with the lender </w:t>
      </w:r>
      <w:r w:rsidR="003A5AB1">
        <w:rPr>
          <w:rFonts w:ascii="Times New Roman" w:hAnsi="Times New Roman" w:cs="Times New Roman"/>
          <w:i/>
          <w:iCs/>
          <w:sz w:val="24"/>
          <w:szCs w:val="24"/>
        </w:rPr>
        <w:t>vis-á-vis</w:t>
      </w:r>
      <w:r w:rsidR="00E60AAF">
        <w:rPr>
          <w:rFonts w:ascii="Times New Roman" w:hAnsi="Times New Roman" w:cs="Times New Roman"/>
          <w:i/>
          <w:iCs/>
          <w:sz w:val="24"/>
          <w:szCs w:val="24"/>
        </w:rPr>
        <w:t xml:space="preserve"> </w:t>
      </w:r>
      <w:r w:rsidR="00AA2A6E" w:rsidRPr="00434D69">
        <w:rPr>
          <w:rFonts w:ascii="Times New Roman" w:hAnsi="Times New Roman" w:cs="Times New Roman"/>
          <w:sz w:val="24"/>
          <w:szCs w:val="24"/>
        </w:rPr>
        <w:t>the borrower</w:t>
      </w:r>
      <w:r w:rsidR="00006738">
        <w:rPr>
          <w:rFonts w:ascii="Times New Roman" w:hAnsi="Times New Roman" w:cs="Times New Roman"/>
          <w:sz w:val="24"/>
          <w:szCs w:val="24"/>
        </w:rPr>
        <w:t>,</w:t>
      </w:r>
      <w:r w:rsidR="006F61FC" w:rsidRPr="00434D69">
        <w:rPr>
          <w:rFonts w:ascii="Times New Roman" w:hAnsi="Times New Roman" w:cs="Times New Roman"/>
          <w:sz w:val="24"/>
          <w:szCs w:val="24"/>
        </w:rPr>
        <w:t xml:space="preserve"> </w:t>
      </w:r>
      <w:r w:rsidR="00495078">
        <w:rPr>
          <w:rFonts w:ascii="Times New Roman" w:hAnsi="Times New Roman" w:cs="Times New Roman"/>
          <w:sz w:val="24"/>
          <w:szCs w:val="24"/>
        </w:rPr>
        <w:t>in the absence of any argument addressing that issue</w:t>
      </w:r>
      <w:r w:rsidR="006F61FC" w:rsidRPr="00434D69">
        <w:rPr>
          <w:rFonts w:ascii="Times New Roman" w:hAnsi="Times New Roman" w:cs="Times New Roman"/>
          <w:sz w:val="24"/>
          <w:szCs w:val="24"/>
        </w:rPr>
        <w:t>.</w:t>
      </w:r>
      <w:r w:rsidR="00762E4B">
        <w:rPr>
          <w:rFonts w:ascii="Times New Roman" w:hAnsi="Times New Roman" w:cs="Times New Roman"/>
          <w:sz w:val="24"/>
          <w:szCs w:val="24"/>
        </w:rPr>
        <w:t xml:space="preserve">  The issue of whether </w:t>
      </w:r>
      <w:r w:rsidR="007C6C84">
        <w:rPr>
          <w:rFonts w:ascii="Times New Roman" w:hAnsi="Times New Roman" w:cs="Times New Roman"/>
          <w:sz w:val="24"/>
          <w:szCs w:val="24"/>
        </w:rPr>
        <w:t xml:space="preserve">the provisions of </w:t>
      </w:r>
      <w:r w:rsidR="00B3422B">
        <w:rPr>
          <w:rFonts w:ascii="Times New Roman" w:hAnsi="Times New Roman" w:cs="Times New Roman"/>
          <w:sz w:val="24"/>
          <w:szCs w:val="24"/>
        </w:rPr>
        <w:t xml:space="preserve">the </w:t>
      </w:r>
      <w:r w:rsidR="00762E4B">
        <w:rPr>
          <w:rFonts w:ascii="Times New Roman" w:hAnsi="Times New Roman" w:cs="Times New Roman"/>
          <w:sz w:val="24"/>
          <w:szCs w:val="24"/>
        </w:rPr>
        <w:t xml:space="preserve">CLA </w:t>
      </w:r>
      <w:r w:rsidR="007C6C84">
        <w:rPr>
          <w:rFonts w:ascii="Times New Roman" w:hAnsi="Times New Roman" w:cs="Times New Roman"/>
          <w:sz w:val="24"/>
          <w:szCs w:val="24"/>
        </w:rPr>
        <w:t xml:space="preserve">addressing contribution between concurrent wrongdoers </w:t>
      </w:r>
      <w:r w:rsidR="00762E4B">
        <w:rPr>
          <w:rFonts w:ascii="Times New Roman" w:hAnsi="Times New Roman" w:cs="Times New Roman"/>
          <w:sz w:val="24"/>
          <w:szCs w:val="24"/>
        </w:rPr>
        <w:t>appl</w:t>
      </w:r>
      <w:r w:rsidR="007C6C84">
        <w:rPr>
          <w:rFonts w:ascii="Times New Roman" w:hAnsi="Times New Roman" w:cs="Times New Roman"/>
          <w:sz w:val="24"/>
          <w:szCs w:val="24"/>
        </w:rPr>
        <w:t>y</w:t>
      </w:r>
      <w:r w:rsidR="00762E4B">
        <w:rPr>
          <w:rFonts w:ascii="Times New Roman" w:hAnsi="Times New Roman" w:cs="Times New Roman"/>
          <w:sz w:val="24"/>
          <w:szCs w:val="24"/>
        </w:rPr>
        <w:t xml:space="preserve"> to </w:t>
      </w:r>
      <w:r w:rsidR="007C6C84">
        <w:rPr>
          <w:rFonts w:ascii="Times New Roman" w:hAnsi="Times New Roman" w:cs="Times New Roman"/>
          <w:sz w:val="24"/>
          <w:szCs w:val="24"/>
        </w:rPr>
        <w:t xml:space="preserve">claims for the recovery </w:t>
      </w:r>
      <w:r w:rsidR="00762E4B">
        <w:rPr>
          <w:rFonts w:ascii="Times New Roman" w:hAnsi="Times New Roman" w:cs="Times New Roman"/>
          <w:sz w:val="24"/>
          <w:szCs w:val="24"/>
        </w:rPr>
        <w:t>debts at all is foundational</w:t>
      </w:r>
      <w:r w:rsidR="007C6C84">
        <w:rPr>
          <w:rFonts w:ascii="Times New Roman" w:hAnsi="Times New Roman" w:cs="Times New Roman"/>
          <w:sz w:val="24"/>
          <w:szCs w:val="24"/>
        </w:rPr>
        <w:t xml:space="preserve">.  If it does, the reason it has this effect is of critical importance in determining whether the negligence alleged in the proceedings against CBRE negates the liability of the </w:t>
      </w:r>
      <w:r w:rsidR="00495078">
        <w:rPr>
          <w:rFonts w:ascii="Times New Roman" w:hAnsi="Times New Roman" w:cs="Times New Roman"/>
          <w:sz w:val="24"/>
          <w:szCs w:val="24"/>
        </w:rPr>
        <w:t>D</w:t>
      </w:r>
      <w:r w:rsidR="007C6C84">
        <w:rPr>
          <w:rFonts w:ascii="Times New Roman" w:hAnsi="Times New Roman" w:cs="Times New Roman"/>
          <w:sz w:val="24"/>
          <w:szCs w:val="24"/>
        </w:rPr>
        <w:t xml:space="preserve">efendants altogether.  In our view, it is hard to see how one of these questions </w:t>
      </w:r>
      <w:r w:rsidR="00495078">
        <w:rPr>
          <w:rFonts w:ascii="Times New Roman" w:hAnsi="Times New Roman" w:cs="Times New Roman"/>
          <w:sz w:val="24"/>
          <w:szCs w:val="24"/>
        </w:rPr>
        <w:t xml:space="preserve">could </w:t>
      </w:r>
      <w:r w:rsidR="007C6C84">
        <w:rPr>
          <w:rFonts w:ascii="Times New Roman" w:hAnsi="Times New Roman" w:cs="Times New Roman"/>
          <w:sz w:val="24"/>
          <w:szCs w:val="24"/>
        </w:rPr>
        <w:t>be addressed without examining the other.</w:t>
      </w:r>
    </w:p>
    <w:p w14:paraId="06BFE52E" w14:textId="77777777" w:rsidR="00590EE0" w:rsidRPr="00434D69" w:rsidRDefault="00590EE0" w:rsidP="00434D69">
      <w:pPr>
        <w:pStyle w:val="ListParagraph"/>
        <w:spacing w:after="0" w:line="480" w:lineRule="auto"/>
        <w:rPr>
          <w:rFonts w:ascii="Times New Roman" w:hAnsi="Times New Roman" w:cs="Times New Roman"/>
          <w:sz w:val="24"/>
          <w:szCs w:val="24"/>
        </w:rPr>
      </w:pPr>
    </w:p>
    <w:p w14:paraId="7F37DEF4" w14:textId="4BC2322F" w:rsidR="00590EE0" w:rsidRPr="00996ADD" w:rsidRDefault="00495078" w:rsidP="00996ADD">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Court </w:t>
      </w:r>
      <w:r w:rsidR="00590EE0" w:rsidRPr="00434D69">
        <w:rPr>
          <w:rFonts w:ascii="Times New Roman" w:hAnsi="Times New Roman" w:cs="Times New Roman"/>
          <w:sz w:val="24"/>
          <w:szCs w:val="24"/>
        </w:rPr>
        <w:t xml:space="preserve">invited further submissions from the parties on the </w:t>
      </w:r>
      <w:r w:rsidR="006F61FC" w:rsidRPr="00434D69">
        <w:rPr>
          <w:rFonts w:ascii="Times New Roman" w:hAnsi="Times New Roman" w:cs="Times New Roman"/>
          <w:sz w:val="24"/>
          <w:szCs w:val="24"/>
        </w:rPr>
        <w:t>question</w:t>
      </w:r>
      <w:r w:rsidR="00590EE0" w:rsidRPr="00434D69">
        <w:rPr>
          <w:rFonts w:ascii="Times New Roman" w:hAnsi="Times New Roman" w:cs="Times New Roman"/>
          <w:sz w:val="24"/>
          <w:szCs w:val="24"/>
        </w:rPr>
        <w:t xml:space="preserve">.  In its submissions, the </w:t>
      </w:r>
      <w:r w:rsidR="003A5AB1">
        <w:rPr>
          <w:rFonts w:ascii="Times New Roman" w:hAnsi="Times New Roman" w:cs="Times New Roman"/>
          <w:sz w:val="24"/>
          <w:szCs w:val="24"/>
        </w:rPr>
        <w:t>Bank</w:t>
      </w:r>
      <w:r w:rsidR="00590EE0" w:rsidRPr="00434D69">
        <w:rPr>
          <w:rFonts w:ascii="Times New Roman" w:hAnsi="Times New Roman" w:cs="Times New Roman"/>
          <w:sz w:val="24"/>
          <w:szCs w:val="24"/>
        </w:rPr>
        <w:t xml:space="preserve"> explained that it did not raise the issue of whether the Act applied because it believed it did not need to, because its client wished for an expeditious resolution of the matter and because it did not wish to add to the grounds of appeal.  In any event, the Bank says that the Court is free to proceed to decide this issue if it ‘</w:t>
      </w:r>
      <w:r w:rsidR="00590EE0" w:rsidRPr="00434D69">
        <w:rPr>
          <w:rFonts w:ascii="Times New Roman" w:hAnsi="Times New Roman" w:cs="Times New Roman"/>
          <w:i/>
          <w:sz w:val="24"/>
          <w:szCs w:val="24"/>
        </w:rPr>
        <w:t>believes that it is necessary or appropriate for it so to do</w:t>
      </w:r>
      <w:r w:rsidR="00B67C7D">
        <w:rPr>
          <w:rFonts w:ascii="Times New Roman" w:hAnsi="Times New Roman" w:cs="Times New Roman"/>
          <w:i/>
          <w:sz w:val="24"/>
          <w:szCs w:val="24"/>
        </w:rPr>
        <w:t>’</w:t>
      </w:r>
      <w:r w:rsidR="00590EE0" w:rsidRPr="00434D69">
        <w:rPr>
          <w:rFonts w:ascii="Times New Roman" w:hAnsi="Times New Roman" w:cs="Times New Roman"/>
          <w:sz w:val="24"/>
          <w:szCs w:val="24"/>
        </w:rPr>
        <w:t>.  It points to the provisions of Order 86A Rule 2(2)</w:t>
      </w:r>
      <w:r>
        <w:rPr>
          <w:rFonts w:ascii="Times New Roman" w:hAnsi="Times New Roman" w:cs="Times New Roman"/>
          <w:sz w:val="24"/>
          <w:szCs w:val="24"/>
        </w:rPr>
        <w:t xml:space="preserve"> RSC</w:t>
      </w:r>
      <w:r>
        <w:rPr>
          <w:rStyle w:val="FootnoteReference"/>
          <w:rFonts w:ascii="Times New Roman" w:hAnsi="Times New Roman" w:cs="Times New Roman"/>
          <w:sz w:val="24"/>
          <w:szCs w:val="24"/>
        </w:rPr>
        <w:footnoteReference w:id="4"/>
      </w:r>
      <w:r w:rsidR="006F61FC" w:rsidRPr="00434D69">
        <w:rPr>
          <w:rFonts w:ascii="Times New Roman" w:hAnsi="Times New Roman" w:cs="Times New Roman"/>
          <w:sz w:val="24"/>
          <w:szCs w:val="24"/>
        </w:rPr>
        <w:t xml:space="preserve"> and emphasises that the question of whether </w:t>
      </w:r>
      <w:r w:rsidR="00B3422B">
        <w:rPr>
          <w:rFonts w:ascii="Times New Roman" w:hAnsi="Times New Roman" w:cs="Times New Roman"/>
          <w:sz w:val="24"/>
          <w:szCs w:val="24"/>
        </w:rPr>
        <w:t xml:space="preserve">the </w:t>
      </w:r>
      <w:r w:rsidR="006F61FC" w:rsidRPr="00434D69">
        <w:rPr>
          <w:rFonts w:ascii="Times New Roman" w:hAnsi="Times New Roman" w:cs="Times New Roman"/>
          <w:sz w:val="24"/>
          <w:szCs w:val="24"/>
        </w:rPr>
        <w:t xml:space="preserve">CLA applied to claims for the recovery of debt at all was fully argued in the High Court and indeed </w:t>
      </w:r>
      <w:r>
        <w:rPr>
          <w:rFonts w:ascii="Times New Roman" w:hAnsi="Times New Roman" w:cs="Times New Roman"/>
          <w:sz w:val="24"/>
          <w:szCs w:val="24"/>
        </w:rPr>
        <w:t>determined</w:t>
      </w:r>
      <w:r w:rsidRPr="00434D69">
        <w:rPr>
          <w:rFonts w:ascii="Times New Roman" w:hAnsi="Times New Roman" w:cs="Times New Roman"/>
          <w:sz w:val="24"/>
          <w:szCs w:val="24"/>
        </w:rPr>
        <w:t xml:space="preserve"> </w:t>
      </w:r>
      <w:r w:rsidR="006F61FC" w:rsidRPr="00434D69">
        <w:rPr>
          <w:rFonts w:ascii="Times New Roman" w:hAnsi="Times New Roman" w:cs="Times New Roman"/>
          <w:sz w:val="24"/>
          <w:szCs w:val="24"/>
        </w:rPr>
        <w:t>by the Judge</w:t>
      </w:r>
      <w:r>
        <w:rPr>
          <w:rFonts w:ascii="Times New Roman" w:hAnsi="Times New Roman" w:cs="Times New Roman"/>
          <w:sz w:val="24"/>
          <w:szCs w:val="24"/>
        </w:rPr>
        <w:t xml:space="preserve"> in the Judgment.</w:t>
      </w:r>
    </w:p>
    <w:p w14:paraId="1D713366" w14:textId="0DB637E8" w:rsidR="00590EE0" w:rsidRPr="00434D69" w:rsidRDefault="00590EE0"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lastRenderedPageBreak/>
        <w:t xml:space="preserve">The </w:t>
      </w:r>
      <w:r w:rsidR="00495078">
        <w:rPr>
          <w:rFonts w:ascii="Times New Roman" w:hAnsi="Times New Roman" w:cs="Times New Roman"/>
          <w:sz w:val="24"/>
          <w:szCs w:val="24"/>
        </w:rPr>
        <w:t>D</w:t>
      </w:r>
      <w:r w:rsidRPr="00434D69">
        <w:rPr>
          <w:rFonts w:ascii="Times New Roman" w:hAnsi="Times New Roman" w:cs="Times New Roman"/>
          <w:sz w:val="24"/>
          <w:szCs w:val="24"/>
        </w:rPr>
        <w:t>efendants object</w:t>
      </w:r>
      <w:r w:rsidR="00495078">
        <w:rPr>
          <w:rFonts w:ascii="Times New Roman" w:hAnsi="Times New Roman" w:cs="Times New Roman"/>
          <w:sz w:val="24"/>
          <w:szCs w:val="24"/>
        </w:rPr>
        <w:t>ed</w:t>
      </w:r>
      <w:r w:rsidRPr="00434D69">
        <w:rPr>
          <w:rFonts w:ascii="Times New Roman" w:hAnsi="Times New Roman" w:cs="Times New Roman"/>
          <w:sz w:val="24"/>
          <w:szCs w:val="24"/>
        </w:rPr>
        <w:t xml:space="preserve"> to the Court </w:t>
      </w:r>
      <w:r w:rsidR="007C2A12">
        <w:rPr>
          <w:rFonts w:ascii="Times New Roman" w:hAnsi="Times New Roman" w:cs="Times New Roman"/>
          <w:sz w:val="24"/>
          <w:szCs w:val="24"/>
        </w:rPr>
        <w:t>addressing the issue of whether a claim for debt falls within the provisions of</w:t>
      </w:r>
      <w:r w:rsidR="001653F0">
        <w:rPr>
          <w:rFonts w:ascii="Times New Roman" w:hAnsi="Times New Roman" w:cs="Times New Roman"/>
          <w:sz w:val="24"/>
          <w:szCs w:val="24"/>
        </w:rPr>
        <w:t xml:space="preserve"> Part III</w:t>
      </w:r>
      <w:r w:rsidR="007C2A12">
        <w:rPr>
          <w:rFonts w:ascii="Times New Roman" w:hAnsi="Times New Roman" w:cs="Times New Roman"/>
          <w:sz w:val="24"/>
          <w:szCs w:val="24"/>
        </w:rPr>
        <w:t xml:space="preserve"> CLA</w:t>
      </w:r>
      <w:r w:rsidR="001653F0">
        <w:rPr>
          <w:rFonts w:ascii="Times New Roman" w:hAnsi="Times New Roman" w:cs="Times New Roman"/>
          <w:sz w:val="24"/>
          <w:szCs w:val="24"/>
        </w:rPr>
        <w:t xml:space="preserve"> </w:t>
      </w:r>
      <w:r w:rsidR="007C2A12">
        <w:rPr>
          <w:rFonts w:ascii="Times New Roman" w:hAnsi="Times New Roman" w:cs="Times New Roman"/>
          <w:sz w:val="24"/>
          <w:szCs w:val="24"/>
        </w:rPr>
        <w:t>at all</w:t>
      </w:r>
      <w:r w:rsidRPr="00434D69">
        <w:rPr>
          <w:rFonts w:ascii="Times New Roman" w:hAnsi="Times New Roman" w:cs="Times New Roman"/>
          <w:sz w:val="24"/>
          <w:szCs w:val="24"/>
        </w:rPr>
        <w:t xml:space="preserve">.  In </w:t>
      </w:r>
      <w:r w:rsidR="001653F0">
        <w:rPr>
          <w:rFonts w:ascii="Times New Roman" w:hAnsi="Times New Roman" w:cs="Times New Roman"/>
          <w:sz w:val="24"/>
          <w:szCs w:val="24"/>
        </w:rPr>
        <w:t xml:space="preserve">the Second and Third Defendants’ </w:t>
      </w:r>
      <w:r w:rsidRPr="00434D69">
        <w:rPr>
          <w:rFonts w:ascii="Times New Roman" w:hAnsi="Times New Roman" w:cs="Times New Roman"/>
          <w:sz w:val="24"/>
          <w:szCs w:val="24"/>
        </w:rPr>
        <w:t>written submissions delivered</w:t>
      </w:r>
      <w:r w:rsidR="001653F0">
        <w:rPr>
          <w:rFonts w:ascii="Times New Roman" w:hAnsi="Times New Roman" w:cs="Times New Roman"/>
          <w:sz w:val="24"/>
          <w:szCs w:val="24"/>
        </w:rPr>
        <w:t xml:space="preserve"> following the hearing</w:t>
      </w:r>
      <w:r w:rsidRPr="00434D69">
        <w:rPr>
          <w:rFonts w:ascii="Times New Roman" w:hAnsi="Times New Roman" w:cs="Times New Roman"/>
          <w:sz w:val="24"/>
          <w:szCs w:val="24"/>
        </w:rPr>
        <w:t xml:space="preserve"> they stressed that the court is not acting in an advisory capacity, urging that the adversarial nature of the proceedings requires that it should address only the case as fixed by the parties and determined by the </w:t>
      </w:r>
      <w:r w:rsidR="001653F0">
        <w:rPr>
          <w:rFonts w:ascii="Times New Roman" w:hAnsi="Times New Roman" w:cs="Times New Roman"/>
          <w:sz w:val="24"/>
          <w:szCs w:val="24"/>
        </w:rPr>
        <w:t xml:space="preserve">respective </w:t>
      </w:r>
      <w:r w:rsidRPr="00434D69">
        <w:rPr>
          <w:rFonts w:ascii="Times New Roman" w:hAnsi="Times New Roman" w:cs="Times New Roman"/>
          <w:sz w:val="24"/>
          <w:szCs w:val="24"/>
        </w:rPr>
        <w:t>notice</w:t>
      </w:r>
      <w:r w:rsidR="001653F0">
        <w:rPr>
          <w:rFonts w:ascii="Times New Roman" w:hAnsi="Times New Roman" w:cs="Times New Roman"/>
          <w:sz w:val="24"/>
          <w:szCs w:val="24"/>
        </w:rPr>
        <w:t>s</w:t>
      </w:r>
      <w:r w:rsidRPr="00434D69">
        <w:rPr>
          <w:rFonts w:ascii="Times New Roman" w:hAnsi="Times New Roman" w:cs="Times New Roman"/>
          <w:sz w:val="24"/>
          <w:szCs w:val="24"/>
        </w:rPr>
        <w:t xml:space="preserve"> of appeal and </w:t>
      </w:r>
      <w:r w:rsidR="001653F0">
        <w:rPr>
          <w:rFonts w:ascii="Times New Roman" w:hAnsi="Times New Roman" w:cs="Times New Roman"/>
          <w:sz w:val="24"/>
          <w:szCs w:val="24"/>
        </w:rPr>
        <w:t>respondent’s notices</w:t>
      </w:r>
      <w:r w:rsidRPr="00434D69">
        <w:rPr>
          <w:rFonts w:ascii="Times New Roman" w:hAnsi="Times New Roman" w:cs="Times New Roman"/>
          <w:sz w:val="24"/>
          <w:szCs w:val="24"/>
        </w:rPr>
        <w:t xml:space="preserve">.  The argument around the application of the </w:t>
      </w:r>
      <w:r w:rsidR="001653F0">
        <w:rPr>
          <w:rFonts w:ascii="Times New Roman" w:hAnsi="Times New Roman" w:cs="Times New Roman"/>
          <w:sz w:val="24"/>
          <w:szCs w:val="24"/>
        </w:rPr>
        <w:t>CLA</w:t>
      </w:r>
      <w:r w:rsidRPr="00434D69">
        <w:rPr>
          <w:rFonts w:ascii="Times New Roman" w:hAnsi="Times New Roman" w:cs="Times New Roman"/>
          <w:sz w:val="24"/>
          <w:szCs w:val="24"/>
        </w:rPr>
        <w:t xml:space="preserve"> to the claim </w:t>
      </w:r>
      <w:r w:rsidR="001653F0">
        <w:rPr>
          <w:rFonts w:ascii="Times New Roman" w:hAnsi="Times New Roman" w:cs="Times New Roman"/>
          <w:sz w:val="24"/>
          <w:szCs w:val="24"/>
        </w:rPr>
        <w:t>had</w:t>
      </w:r>
      <w:r w:rsidRPr="00434D69">
        <w:rPr>
          <w:rFonts w:ascii="Times New Roman" w:hAnsi="Times New Roman" w:cs="Times New Roman"/>
          <w:sz w:val="24"/>
          <w:szCs w:val="24"/>
        </w:rPr>
        <w:t xml:space="preserve">, it was said, </w:t>
      </w:r>
      <w:r w:rsidR="001653F0">
        <w:rPr>
          <w:rFonts w:ascii="Times New Roman" w:hAnsi="Times New Roman" w:cs="Times New Roman"/>
          <w:sz w:val="24"/>
          <w:szCs w:val="24"/>
        </w:rPr>
        <w:t xml:space="preserve">been </w:t>
      </w:r>
      <w:r w:rsidRPr="00434D69">
        <w:rPr>
          <w:rFonts w:ascii="Times New Roman" w:hAnsi="Times New Roman" w:cs="Times New Roman"/>
          <w:sz w:val="24"/>
          <w:szCs w:val="24"/>
        </w:rPr>
        <w:t>abandoned</w:t>
      </w:r>
      <w:r w:rsidR="001653F0">
        <w:rPr>
          <w:rFonts w:ascii="Times New Roman" w:hAnsi="Times New Roman" w:cs="Times New Roman"/>
          <w:sz w:val="24"/>
          <w:szCs w:val="24"/>
        </w:rPr>
        <w:t xml:space="preserve"> by the Bank given that it had not sought to cross-appeal the Judgment or vary it in any way</w:t>
      </w:r>
      <w:r w:rsidRPr="00434D69">
        <w:rPr>
          <w:rFonts w:ascii="Times New Roman" w:hAnsi="Times New Roman" w:cs="Times New Roman"/>
          <w:sz w:val="24"/>
          <w:szCs w:val="24"/>
        </w:rPr>
        <w:t xml:space="preserve">.  Moreover, they said that the </w:t>
      </w:r>
      <w:r w:rsidR="001653F0">
        <w:rPr>
          <w:rFonts w:ascii="Times New Roman" w:hAnsi="Times New Roman" w:cs="Times New Roman"/>
          <w:sz w:val="24"/>
          <w:szCs w:val="24"/>
        </w:rPr>
        <w:t>Bank</w:t>
      </w:r>
      <w:r w:rsidR="001653F0" w:rsidRPr="00434D69">
        <w:rPr>
          <w:rFonts w:ascii="Times New Roman" w:hAnsi="Times New Roman" w:cs="Times New Roman"/>
          <w:sz w:val="24"/>
          <w:szCs w:val="24"/>
        </w:rPr>
        <w:t xml:space="preserve"> </w:t>
      </w:r>
      <w:r w:rsidRPr="00434D69">
        <w:rPr>
          <w:rFonts w:ascii="Times New Roman" w:hAnsi="Times New Roman" w:cs="Times New Roman"/>
          <w:sz w:val="24"/>
          <w:szCs w:val="24"/>
        </w:rPr>
        <w:t xml:space="preserve">should not be permitted to raise the issue of whether the Act applied without explaining why the monies obtained from CBRE were credited to the </w:t>
      </w:r>
      <w:r w:rsidR="001653F0">
        <w:rPr>
          <w:rFonts w:ascii="Times New Roman" w:hAnsi="Times New Roman" w:cs="Times New Roman"/>
          <w:sz w:val="24"/>
          <w:szCs w:val="24"/>
        </w:rPr>
        <w:t>D</w:t>
      </w:r>
      <w:r w:rsidRPr="00434D69">
        <w:rPr>
          <w:rFonts w:ascii="Times New Roman" w:hAnsi="Times New Roman" w:cs="Times New Roman"/>
          <w:sz w:val="24"/>
          <w:szCs w:val="24"/>
        </w:rPr>
        <w:t>efendants’ account</w:t>
      </w:r>
      <w:r w:rsidR="001653F0">
        <w:rPr>
          <w:rFonts w:ascii="Times New Roman" w:hAnsi="Times New Roman" w:cs="Times New Roman"/>
          <w:sz w:val="24"/>
          <w:szCs w:val="24"/>
        </w:rPr>
        <w:t>.</w:t>
      </w:r>
    </w:p>
    <w:p w14:paraId="1ACD942B" w14:textId="77777777" w:rsidR="006F61FC" w:rsidRPr="00434D69" w:rsidRDefault="006F61FC" w:rsidP="00434D69">
      <w:pPr>
        <w:pStyle w:val="ListParagraph"/>
        <w:spacing w:after="0" w:line="480" w:lineRule="auto"/>
        <w:jc w:val="both"/>
        <w:rPr>
          <w:rFonts w:ascii="Times New Roman" w:hAnsi="Times New Roman" w:cs="Times New Roman"/>
          <w:sz w:val="24"/>
          <w:szCs w:val="24"/>
        </w:rPr>
      </w:pPr>
    </w:p>
    <w:p w14:paraId="5BB9ED5E" w14:textId="01C9FCC0" w:rsidR="00590EE0" w:rsidRPr="00434D69" w:rsidRDefault="00006738" w:rsidP="003C658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w:t>
      </w:r>
      <w:r w:rsidR="0004461C" w:rsidRPr="00434D69">
        <w:rPr>
          <w:rFonts w:ascii="Times New Roman" w:hAnsi="Times New Roman" w:cs="Times New Roman"/>
          <w:sz w:val="24"/>
          <w:szCs w:val="24"/>
        </w:rPr>
        <w:t xml:space="preserve">oth sets of written submissions </w:t>
      </w:r>
      <w:r w:rsidR="006F61FC" w:rsidRPr="00434D69">
        <w:rPr>
          <w:rFonts w:ascii="Times New Roman" w:hAnsi="Times New Roman" w:cs="Times New Roman"/>
          <w:sz w:val="24"/>
          <w:szCs w:val="24"/>
        </w:rPr>
        <w:t xml:space="preserve">(as the Court had suggested) </w:t>
      </w:r>
      <w:r w:rsidR="0004461C" w:rsidRPr="00434D69">
        <w:rPr>
          <w:rFonts w:ascii="Times New Roman" w:hAnsi="Times New Roman" w:cs="Times New Roman"/>
          <w:sz w:val="24"/>
          <w:szCs w:val="24"/>
        </w:rPr>
        <w:t xml:space="preserve">addressed the substantive question of whether the CLA applied to claims for the recovery of a debt.  </w:t>
      </w:r>
      <w:r w:rsidR="001653F0">
        <w:rPr>
          <w:rFonts w:ascii="Times New Roman" w:hAnsi="Times New Roman" w:cs="Times New Roman"/>
          <w:sz w:val="24"/>
          <w:szCs w:val="24"/>
        </w:rPr>
        <w:t>The First Defendant elected not to make written submissions on this issue, despite being given an opportunity to do so</w:t>
      </w:r>
      <w:r w:rsidR="00B3422B">
        <w:rPr>
          <w:rFonts w:ascii="Times New Roman" w:hAnsi="Times New Roman" w:cs="Times New Roman"/>
          <w:sz w:val="24"/>
          <w:szCs w:val="24"/>
        </w:rPr>
        <w:t>.</w:t>
      </w:r>
      <w:r w:rsidR="001653F0">
        <w:rPr>
          <w:rFonts w:ascii="Times New Roman" w:hAnsi="Times New Roman" w:cs="Times New Roman"/>
          <w:sz w:val="24"/>
          <w:szCs w:val="24"/>
        </w:rPr>
        <w:t xml:space="preserve"> </w:t>
      </w:r>
      <w:r w:rsidR="00B3422B">
        <w:rPr>
          <w:rFonts w:ascii="Times New Roman" w:hAnsi="Times New Roman" w:cs="Times New Roman"/>
          <w:sz w:val="24"/>
          <w:szCs w:val="24"/>
        </w:rPr>
        <w:t xml:space="preserve"> </w:t>
      </w:r>
      <w:r w:rsidR="0004461C" w:rsidRPr="00434D69">
        <w:rPr>
          <w:rFonts w:ascii="Times New Roman" w:hAnsi="Times New Roman" w:cs="Times New Roman"/>
          <w:sz w:val="24"/>
          <w:szCs w:val="24"/>
        </w:rPr>
        <w:t xml:space="preserve">All parties had the opportunity to make oral submissions on the question </w:t>
      </w:r>
      <w:r w:rsidR="001653F0">
        <w:rPr>
          <w:rFonts w:ascii="Times New Roman" w:hAnsi="Times New Roman" w:cs="Times New Roman"/>
          <w:sz w:val="24"/>
          <w:szCs w:val="24"/>
        </w:rPr>
        <w:t xml:space="preserve">(because the Court raised the issue in the course of the hearing) </w:t>
      </w:r>
      <w:r w:rsidR="0004461C" w:rsidRPr="00434D69">
        <w:rPr>
          <w:rFonts w:ascii="Times New Roman" w:hAnsi="Times New Roman" w:cs="Times New Roman"/>
          <w:sz w:val="24"/>
          <w:szCs w:val="24"/>
        </w:rPr>
        <w:t xml:space="preserve">and, of course, all did so before the High Court.  The Court moreover had the benefit of the Judge’s careful consideration of this issue, together with the conflicting perspectives of three other High Court Judges </w:t>
      </w:r>
      <w:r w:rsidR="007C2A12">
        <w:rPr>
          <w:rFonts w:ascii="Times New Roman" w:hAnsi="Times New Roman" w:cs="Times New Roman"/>
          <w:sz w:val="24"/>
          <w:szCs w:val="24"/>
        </w:rPr>
        <w:t>(</w:t>
      </w:r>
      <w:r w:rsidR="007C2A12" w:rsidRPr="00434D69">
        <w:rPr>
          <w:rFonts w:ascii="Times New Roman" w:hAnsi="Times New Roman" w:cs="Times New Roman"/>
          <w:sz w:val="24"/>
          <w:szCs w:val="24"/>
        </w:rPr>
        <w:t>Laffoy J., Finlay Geoghegan J. and Barniville J</w:t>
      </w:r>
      <w:r w:rsidR="007C2A12">
        <w:rPr>
          <w:rFonts w:ascii="Times New Roman" w:hAnsi="Times New Roman" w:cs="Times New Roman"/>
          <w:sz w:val="24"/>
          <w:szCs w:val="24"/>
        </w:rPr>
        <w:t xml:space="preserve">.) </w:t>
      </w:r>
      <w:r w:rsidR="0004461C" w:rsidRPr="00434D69">
        <w:rPr>
          <w:rFonts w:ascii="Times New Roman" w:hAnsi="Times New Roman" w:cs="Times New Roman"/>
          <w:sz w:val="24"/>
          <w:szCs w:val="24"/>
        </w:rPr>
        <w:t xml:space="preserve">in decisions to which </w:t>
      </w:r>
      <w:r w:rsidR="00E60AAF">
        <w:rPr>
          <w:rFonts w:ascii="Times New Roman" w:hAnsi="Times New Roman" w:cs="Times New Roman"/>
          <w:sz w:val="24"/>
          <w:szCs w:val="24"/>
        </w:rPr>
        <w:t>we</w:t>
      </w:r>
      <w:r>
        <w:rPr>
          <w:rFonts w:ascii="Times New Roman" w:hAnsi="Times New Roman" w:cs="Times New Roman"/>
          <w:sz w:val="24"/>
          <w:szCs w:val="24"/>
        </w:rPr>
        <w:t xml:space="preserve"> </w:t>
      </w:r>
      <w:r w:rsidR="0004461C" w:rsidRPr="00434D69">
        <w:rPr>
          <w:rFonts w:ascii="Times New Roman" w:hAnsi="Times New Roman" w:cs="Times New Roman"/>
          <w:sz w:val="24"/>
          <w:szCs w:val="24"/>
        </w:rPr>
        <w:t>will return later</w:t>
      </w:r>
      <w:r w:rsidR="007C2A12">
        <w:rPr>
          <w:rFonts w:ascii="Times New Roman" w:hAnsi="Times New Roman" w:cs="Times New Roman"/>
          <w:sz w:val="24"/>
          <w:szCs w:val="24"/>
        </w:rPr>
        <w:t>.</w:t>
      </w:r>
    </w:p>
    <w:p w14:paraId="06D40E63" w14:textId="77777777" w:rsidR="00590EE0" w:rsidRPr="00434D69" w:rsidRDefault="00590EE0" w:rsidP="00434D69">
      <w:pPr>
        <w:pStyle w:val="ListParagraph"/>
        <w:spacing w:after="0" w:line="480" w:lineRule="auto"/>
        <w:rPr>
          <w:rFonts w:ascii="Times New Roman" w:hAnsi="Times New Roman" w:cs="Times New Roman"/>
          <w:sz w:val="24"/>
          <w:szCs w:val="24"/>
        </w:rPr>
      </w:pPr>
    </w:p>
    <w:p w14:paraId="10389A46" w14:textId="672D1E06" w:rsidR="00131361" w:rsidRDefault="0004461C"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In these circumstances </w:t>
      </w:r>
      <w:r w:rsidR="001653F0">
        <w:rPr>
          <w:rFonts w:ascii="Times New Roman" w:hAnsi="Times New Roman" w:cs="Times New Roman"/>
          <w:sz w:val="24"/>
          <w:szCs w:val="24"/>
        </w:rPr>
        <w:t xml:space="preserve">we are of the view </w:t>
      </w:r>
      <w:r w:rsidRPr="00434D69">
        <w:rPr>
          <w:rFonts w:ascii="Times New Roman" w:hAnsi="Times New Roman" w:cs="Times New Roman"/>
          <w:sz w:val="24"/>
          <w:szCs w:val="24"/>
        </w:rPr>
        <w:t xml:space="preserve">that it is both appropriate and necessary that </w:t>
      </w:r>
      <w:r w:rsidR="001653F0">
        <w:rPr>
          <w:rFonts w:ascii="Times New Roman" w:hAnsi="Times New Roman" w:cs="Times New Roman"/>
          <w:sz w:val="24"/>
          <w:szCs w:val="24"/>
        </w:rPr>
        <w:t>we should</w:t>
      </w:r>
      <w:r w:rsidR="001653F0" w:rsidRPr="00434D69">
        <w:rPr>
          <w:rFonts w:ascii="Times New Roman" w:hAnsi="Times New Roman" w:cs="Times New Roman"/>
          <w:sz w:val="24"/>
          <w:szCs w:val="24"/>
        </w:rPr>
        <w:t xml:space="preserve"> </w:t>
      </w:r>
      <w:r w:rsidRPr="00434D69">
        <w:rPr>
          <w:rFonts w:ascii="Times New Roman" w:hAnsi="Times New Roman" w:cs="Times New Roman"/>
          <w:sz w:val="24"/>
          <w:szCs w:val="24"/>
        </w:rPr>
        <w:t>address the fundamental question presented by the</w:t>
      </w:r>
      <w:r w:rsidR="001653F0">
        <w:rPr>
          <w:rFonts w:ascii="Times New Roman" w:hAnsi="Times New Roman" w:cs="Times New Roman"/>
          <w:sz w:val="24"/>
          <w:szCs w:val="24"/>
        </w:rPr>
        <w:t>se</w:t>
      </w:r>
      <w:r w:rsidRPr="00434D69">
        <w:rPr>
          <w:rFonts w:ascii="Times New Roman" w:hAnsi="Times New Roman" w:cs="Times New Roman"/>
          <w:sz w:val="24"/>
          <w:szCs w:val="24"/>
        </w:rPr>
        <w:t xml:space="preserve"> </w:t>
      </w:r>
      <w:r w:rsidR="001653F0">
        <w:rPr>
          <w:rFonts w:ascii="Times New Roman" w:hAnsi="Times New Roman" w:cs="Times New Roman"/>
          <w:sz w:val="24"/>
          <w:szCs w:val="24"/>
        </w:rPr>
        <w:t>proceedings as to</w:t>
      </w:r>
      <w:r w:rsidRPr="00434D69">
        <w:rPr>
          <w:rFonts w:ascii="Times New Roman" w:hAnsi="Times New Roman" w:cs="Times New Roman"/>
          <w:sz w:val="24"/>
          <w:szCs w:val="24"/>
        </w:rPr>
        <w:t xml:space="preserve"> </w:t>
      </w:r>
      <w:r w:rsidRPr="00434D69">
        <w:rPr>
          <w:rFonts w:ascii="Times New Roman" w:hAnsi="Times New Roman" w:cs="Times New Roman"/>
          <w:sz w:val="24"/>
          <w:szCs w:val="24"/>
        </w:rPr>
        <w:lastRenderedPageBreak/>
        <w:t xml:space="preserve">whether the provisions of </w:t>
      </w:r>
      <w:r w:rsidR="001653F0">
        <w:rPr>
          <w:rFonts w:ascii="Times New Roman" w:hAnsi="Times New Roman" w:cs="Times New Roman"/>
          <w:sz w:val="24"/>
          <w:szCs w:val="24"/>
        </w:rPr>
        <w:t>Part III</w:t>
      </w:r>
      <w:r w:rsidR="00B3422B">
        <w:rPr>
          <w:rFonts w:ascii="Times New Roman" w:hAnsi="Times New Roman" w:cs="Times New Roman"/>
          <w:sz w:val="24"/>
          <w:szCs w:val="24"/>
        </w:rPr>
        <w:t xml:space="preserve"> </w:t>
      </w:r>
      <w:r w:rsidRPr="00434D69">
        <w:rPr>
          <w:rFonts w:ascii="Times New Roman" w:hAnsi="Times New Roman" w:cs="Times New Roman"/>
          <w:sz w:val="24"/>
          <w:szCs w:val="24"/>
        </w:rPr>
        <w:t xml:space="preserve">CLA making provision for concurrent wrongdoers have any application to an action for the recovery of a debt.  </w:t>
      </w:r>
      <w:r w:rsidR="001653F0">
        <w:rPr>
          <w:rFonts w:ascii="Times New Roman" w:hAnsi="Times New Roman" w:cs="Times New Roman"/>
          <w:sz w:val="24"/>
          <w:szCs w:val="24"/>
        </w:rPr>
        <w:t xml:space="preserve">We have reached that view, </w:t>
      </w:r>
      <w:r w:rsidRPr="00434D69">
        <w:rPr>
          <w:rFonts w:ascii="Times New Roman" w:hAnsi="Times New Roman" w:cs="Times New Roman"/>
          <w:sz w:val="24"/>
          <w:szCs w:val="24"/>
        </w:rPr>
        <w:t xml:space="preserve">in particular, because one of the questions which is squarely before </w:t>
      </w:r>
      <w:r w:rsidR="001653F0">
        <w:rPr>
          <w:rFonts w:ascii="Times New Roman" w:hAnsi="Times New Roman" w:cs="Times New Roman"/>
          <w:sz w:val="24"/>
          <w:szCs w:val="24"/>
        </w:rPr>
        <w:t>the Court</w:t>
      </w:r>
      <w:r w:rsidR="001653F0" w:rsidRPr="00434D69">
        <w:rPr>
          <w:rFonts w:ascii="Times New Roman" w:hAnsi="Times New Roman" w:cs="Times New Roman"/>
          <w:sz w:val="24"/>
          <w:szCs w:val="24"/>
        </w:rPr>
        <w:t xml:space="preserve"> </w:t>
      </w:r>
      <w:r w:rsidRPr="00434D69">
        <w:rPr>
          <w:rFonts w:ascii="Times New Roman" w:hAnsi="Times New Roman" w:cs="Times New Roman"/>
          <w:sz w:val="24"/>
          <w:szCs w:val="24"/>
        </w:rPr>
        <w:t xml:space="preserve">is whether in the circumstances </w:t>
      </w:r>
      <w:r w:rsidR="001653F0">
        <w:rPr>
          <w:rFonts w:ascii="Times New Roman" w:hAnsi="Times New Roman" w:cs="Times New Roman"/>
          <w:sz w:val="24"/>
          <w:szCs w:val="24"/>
        </w:rPr>
        <w:t>here</w:t>
      </w:r>
      <w:r w:rsidRPr="00434D69">
        <w:rPr>
          <w:rFonts w:ascii="Times New Roman" w:hAnsi="Times New Roman" w:cs="Times New Roman"/>
          <w:sz w:val="24"/>
          <w:szCs w:val="24"/>
        </w:rPr>
        <w:t xml:space="preserve"> the settlement by the </w:t>
      </w:r>
      <w:r w:rsidR="001653F0">
        <w:rPr>
          <w:rFonts w:ascii="Times New Roman" w:hAnsi="Times New Roman" w:cs="Times New Roman"/>
          <w:sz w:val="24"/>
          <w:szCs w:val="24"/>
        </w:rPr>
        <w:t>B</w:t>
      </w:r>
      <w:r w:rsidRPr="00434D69">
        <w:rPr>
          <w:rFonts w:ascii="Times New Roman" w:hAnsi="Times New Roman" w:cs="Times New Roman"/>
          <w:sz w:val="24"/>
          <w:szCs w:val="24"/>
        </w:rPr>
        <w:t xml:space="preserve">ank of its claim against CBRE operated </w:t>
      </w:r>
      <w:r w:rsidR="001653F0" w:rsidRPr="00434D69">
        <w:rPr>
          <w:rFonts w:ascii="Times New Roman" w:hAnsi="Times New Roman" w:cs="Times New Roman"/>
          <w:sz w:val="24"/>
          <w:szCs w:val="24"/>
        </w:rPr>
        <w:t xml:space="preserve">to preclude </w:t>
      </w:r>
      <w:r w:rsidR="00893B98">
        <w:rPr>
          <w:rFonts w:ascii="Times New Roman" w:hAnsi="Times New Roman" w:cs="Times New Roman"/>
          <w:sz w:val="24"/>
          <w:szCs w:val="24"/>
        </w:rPr>
        <w:t>it from seeking</w:t>
      </w:r>
      <w:r w:rsidR="001653F0" w:rsidRPr="00434D69">
        <w:rPr>
          <w:rFonts w:ascii="Times New Roman" w:hAnsi="Times New Roman" w:cs="Times New Roman"/>
          <w:sz w:val="24"/>
          <w:szCs w:val="24"/>
        </w:rPr>
        <w:t xml:space="preserve"> </w:t>
      </w:r>
      <w:r w:rsidR="001653F0">
        <w:rPr>
          <w:rFonts w:ascii="Times New Roman" w:hAnsi="Times New Roman" w:cs="Times New Roman"/>
          <w:sz w:val="24"/>
          <w:szCs w:val="24"/>
        </w:rPr>
        <w:t xml:space="preserve">further recovery </w:t>
      </w:r>
      <w:r w:rsidR="00893B98">
        <w:rPr>
          <w:rFonts w:ascii="Times New Roman" w:hAnsi="Times New Roman" w:cs="Times New Roman"/>
          <w:sz w:val="24"/>
          <w:szCs w:val="24"/>
        </w:rPr>
        <w:t xml:space="preserve">from the Defendants, </w:t>
      </w:r>
      <w:r w:rsidRPr="00434D69">
        <w:rPr>
          <w:rFonts w:ascii="Times New Roman" w:hAnsi="Times New Roman" w:cs="Times New Roman"/>
          <w:sz w:val="24"/>
          <w:szCs w:val="24"/>
        </w:rPr>
        <w:t>having regard to the provisions of s</w:t>
      </w:r>
      <w:r w:rsidR="001653F0">
        <w:rPr>
          <w:rFonts w:ascii="Times New Roman" w:hAnsi="Times New Roman" w:cs="Times New Roman"/>
          <w:sz w:val="24"/>
          <w:szCs w:val="24"/>
        </w:rPr>
        <w:t xml:space="preserve">ection </w:t>
      </w:r>
      <w:r w:rsidRPr="00434D69">
        <w:rPr>
          <w:rFonts w:ascii="Times New Roman" w:hAnsi="Times New Roman" w:cs="Times New Roman"/>
          <w:sz w:val="24"/>
          <w:szCs w:val="24"/>
        </w:rPr>
        <w:t xml:space="preserve">35(1)(h) CLA.  </w:t>
      </w:r>
      <w:r w:rsidR="000A0858">
        <w:rPr>
          <w:rFonts w:ascii="Times New Roman" w:hAnsi="Times New Roman" w:cs="Times New Roman"/>
          <w:sz w:val="24"/>
          <w:szCs w:val="24"/>
        </w:rPr>
        <w:t xml:space="preserve">The </w:t>
      </w:r>
      <w:r w:rsidRPr="00434D69">
        <w:rPr>
          <w:rFonts w:ascii="Times New Roman" w:hAnsi="Times New Roman" w:cs="Times New Roman"/>
          <w:sz w:val="24"/>
          <w:szCs w:val="24"/>
        </w:rPr>
        <w:t xml:space="preserve">issue of whether </w:t>
      </w:r>
      <w:r w:rsidR="000A0858">
        <w:rPr>
          <w:rFonts w:ascii="Times New Roman" w:hAnsi="Times New Roman" w:cs="Times New Roman"/>
          <w:sz w:val="24"/>
          <w:szCs w:val="24"/>
        </w:rPr>
        <w:t xml:space="preserve">a </w:t>
      </w:r>
      <w:r w:rsidR="00893B98">
        <w:rPr>
          <w:rFonts w:ascii="Times New Roman" w:hAnsi="Times New Roman" w:cs="Times New Roman"/>
          <w:sz w:val="24"/>
          <w:szCs w:val="24"/>
        </w:rPr>
        <w:t>settlement</w:t>
      </w:r>
      <w:r w:rsidR="00893B98" w:rsidRPr="00434D69">
        <w:rPr>
          <w:rFonts w:ascii="Times New Roman" w:hAnsi="Times New Roman" w:cs="Times New Roman"/>
          <w:sz w:val="24"/>
          <w:szCs w:val="24"/>
        </w:rPr>
        <w:t xml:space="preserve"> </w:t>
      </w:r>
      <w:r w:rsidRPr="00434D69">
        <w:rPr>
          <w:rFonts w:ascii="Times New Roman" w:hAnsi="Times New Roman" w:cs="Times New Roman"/>
          <w:sz w:val="24"/>
          <w:szCs w:val="24"/>
        </w:rPr>
        <w:t xml:space="preserve">eliminates </w:t>
      </w:r>
      <w:r w:rsidR="0075119A" w:rsidRPr="00434D69">
        <w:rPr>
          <w:rFonts w:ascii="Times New Roman" w:hAnsi="Times New Roman" w:cs="Times New Roman"/>
          <w:sz w:val="24"/>
          <w:szCs w:val="24"/>
        </w:rPr>
        <w:t>a liability or, if not, the extent to which it reduces it</w:t>
      </w:r>
      <w:r w:rsidR="007C2A12">
        <w:rPr>
          <w:rFonts w:ascii="Times New Roman" w:hAnsi="Times New Roman" w:cs="Times New Roman"/>
          <w:sz w:val="24"/>
          <w:szCs w:val="24"/>
        </w:rPr>
        <w:t>,</w:t>
      </w:r>
      <w:r w:rsidR="0075119A" w:rsidRPr="00434D69">
        <w:rPr>
          <w:rFonts w:ascii="Times New Roman" w:hAnsi="Times New Roman" w:cs="Times New Roman"/>
          <w:sz w:val="24"/>
          <w:szCs w:val="24"/>
        </w:rPr>
        <w:t xml:space="preserve"> </w:t>
      </w:r>
      <w:r w:rsidRPr="00434D69">
        <w:rPr>
          <w:rFonts w:ascii="Times New Roman" w:hAnsi="Times New Roman" w:cs="Times New Roman"/>
          <w:sz w:val="24"/>
          <w:szCs w:val="24"/>
        </w:rPr>
        <w:t xml:space="preserve">depends on the relationship between the </w:t>
      </w:r>
      <w:r w:rsidR="0075119A" w:rsidRPr="00434D69">
        <w:rPr>
          <w:rFonts w:ascii="Times New Roman" w:hAnsi="Times New Roman" w:cs="Times New Roman"/>
          <w:sz w:val="24"/>
          <w:szCs w:val="24"/>
        </w:rPr>
        <w:t xml:space="preserve">liability </w:t>
      </w:r>
      <w:r w:rsidRPr="00434D69">
        <w:rPr>
          <w:rFonts w:ascii="Times New Roman" w:hAnsi="Times New Roman" w:cs="Times New Roman"/>
          <w:sz w:val="24"/>
          <w:szCs w:val="24"/>
        </w:rPr>
        <w:t>and the alleged negligence</w:t>
      </w:r>
      <w:r w:rsidR="0075119A" w:rsidRPr="00434D69">
        <w:rPr>
          <w:rFonts w:ascii="Times New Roman" w:hAnsi="Times New Roman" w:cs="Times New Roman"/>
          <w:sz w:val="24"/>
          <w:szCs w:val="24"/>
        </w:rPr>
        <w:t xml:space="preserve">, the method of calculating damages in respect of the wrongs alleged against the wrongdoers </w:t>
      </w:r>
      <w:r w:rsidRPr="00434D69">
        <w:rPr>
          <w:rFonts w:ascii="Times New Roman" w:hAnsi="Times New Roman" w:cs="Times New Roman"/>
          <w:sz w:val="24"/>
          <w:szCs w:val="24"/>
        </w:rPr>
        <w:t xml:space="preserve">and, in particular, the </w:t>
      </w:r>
      <w:r w:rsidR="00556D89">
        <w:rPr>
          <w:rFonts w:ascii="Times New Roman" w:hAnsi="Times New Roman" w:cs="Times New Roman"/>
          <w:sz w:val="24"/>
          <w:szCs w:val="24"/>
        </w:rPr>
        <w:t>manner in</w:t>
      </w:r>
      <w:r w:rsidRPr="00434D69">
        <w:rPr>
          <w:rFonts w:ascii="Times New Roman" w:hAnsi="Times New Roman" w:cs="Times New Roman"/>
          <w:sz w:val="24"/>
          <w:szCs w:val="24"/>
        </w:rPr>
        <w:t xml:space="preserve"> which these engage ‘</w:t>
      </w:r>
      <w:r w:rsidRPr="00434D69">
        <w:rPr>
          <w:rFonts w:ascii="Times New Roman" w:hAnsi="Times New Roman" w:cs="Times New Roman"/>
          <w:i/>
          <w:sz w:val="24"/>
          <w:szCs w:val="24"/>
        </w:rPr>
        <w:t>the same damage</w:t>
      </w:r>
      <w:r w:rsidR="00B67C7D">
        <w:rPr>
          <w:rFonts w:ascii="Times New Roman" w:hAnsi="Times New Roman" w:cs="Times New Roman"/>
          <w:i/>
          <w:sz w:val="24"/>
          <w:szCs w:val="24"/>
        </w:rPr>
        <w:t>’</w:t>
      </w:r>
      <w:r w:rsidRPr="00434D69">
        <w:rPr>
          <w:rFonts w:ascii="Times New Roman" w:hAnsi="Times New Roman" w:cs="Times New Roman"/>
          <w:i/>
          <w:sz w:val="24"/>
          <w:szCs w:val="24"/>
        </w:rPr>
        <w:t xml:space="preserve">. </w:t>
      </w:r>
      <w:r w:rsidR="006B6701" w:rsidRPr="00434D69">
        <w:rPr>
          <w:rFonts w:ascii="Times New Roman" w:hAnsi="Times New Roman" w:cs="Times New Roman"/>
          <w:i/>
          <w:sz w:val="24"/>
          <w:szCs w:val="24"/>
        </w:rPr>
        <w:t xml:space="preserve"> </w:t>
      </w:r>
      <w:r w:rsidR="006B6701" w:rsidRPr="00434D69">
        <w:rPr>
          <w:rFonts w:ascii="Times New Roman" w:hAnsi="Times New Roman" w:cs="Times New Roman"/>
          <w:sz w:val="24"/>
          <w:szCs w:val="24"/>
        </w:rPr>
        <w:t>It also depends, having regard to the express terms of s</w:t>
      </w:r>
      <w:r w:rsidR="00893B98">
        <w:rPr>
          <w:rFonts w:ascii="Times New Roman" w:hAnsi="Times New Roman" w:cs="Times New Roman"/>
          <w:sz w:val="24"/>
          <w:szCs w:val="24"/>
        </w:rPr>
        <w:t>ection</w:t>
      </w:r>
      <w:r w:rsidR="00471848">
        <w:rPr>
          <w:rFonts w:ascii="Times New Roman" w:hAnsi="Times New Roman" w:cs="Times New Roman"/>
          <w:sz w:val="24"/>
          <w:szCs w:val="24"/>
        </w:rPr>
        <w:t xml:space="preserve"> </w:t>
      </w:r>
      <w:r w:rsidR="006B6701" w:rsidRPr="00434D69">
        <w:rPr>
          <w:rFonts w:ascii="Times New Roman" w:hAnsi="Times New Roman" w:cs="Times New Roman"/>
          <w:sz w:val="24"/>
          <w:szCs w:val="24"/>
        </w:rPr>
        <w:t>34(1) CLA, upon whether it is ‘</w:t>
      </w:r>
      <w:r w:rsidR="006B6701" w:rsidRPr="00434D69">
        <w:rPr>
          <w:rFonts w:ascii="Times New Roman" w:hAnsi="Times New Roman" w:cs="Times New Roman"/>
          <w:i/>
          <w:sz w:val="24"/>
          <w:szCs w:val="24"/>
        </w:rPr>
        <w:t>just and equitable having regard to the degrees of fault of the plaintiff and defendant</w:t>
      </w:r>
      <w:r w:rsidR="00B67C7D">
        <w:rPr>
          <w:rFonts w:ascii="Times New Roman" w:hAnsi="Times New Roman" w:cs="Times New Roman"/>
          <w:i/>
          <w:sz w:val="24"/>
          <w:szCs w:val="24"/>
        </w:rPr>
        <w:t>’</w:t>
      </w:r>
      <w:r w:rsidR="006B6701" w:rsidRPr="00434D69">
        <w:rPr>
          <w:rFonts w:ascii="Times New Roman" w:hAnsi="Times New Roman" w:cs="Times New Roman"/>
          <w:i/>
          <w:sz w:val="24"/>
          <w:szCs w:val="24"/>
        </w:rPr>
        <w:t xml:space="preserve"> </w:t>
      </w:r>
      <w:r w:rsidR="006B6701" w:rsidRPr="00434D69">
        <w:rPr>
          <w:rFonts w:ascii="Times New Roman" w:hAnsi="Times New Roman" w:cs="Times New Roman"/>
          <w:sz w:val="24"/>
          <w:szCs w:val="24"/>
        </w:rPr>
        <w:t xml:space="preserve">to </w:t>
      </w:r>
      <w:r w:rsidR="00461FFB" w:rsidRPr="00434D69">
        <w:rPr>
          <w:rFonts w:ascii="Times New Roman" w:hAnsi="Times New Roman" w:cs="Times New Roman"/>
          <w:sz w:val="24"/>
          <w:szCs w:val="24"/>
        </w:rPr>
        <w:t>allocate responsibility for the wrongs of the parties in this way.</w:t>
      </w:r>
      <w:r w:rsidRPr="00434D69">
        <w:rPr>
          <w:rFonts w:ascii="Times New Roman" w:hAnsi="Times New Roman" w:cs="Times New Roman"/>
          <w:i/>
          <w:sz w:val="24"/>
          <w:szCs w:val="24"/>
        </w:rPr>
        <w:t xml:space="preserve"> </w:t>
      </w:r>
      <w:r w:rsidR="00131361">
        <w:rPr>
          <w:rFonts w:ascii="Times New Roman" w:hAnsi="Times New Roman" w:cs="Times New Roman"/>
          <w:sz w:val="24"/>
          <w:szCs w:val="24"/>
        </w:rPr>
        <w:t>This, in turn, requires that the Court have regard not merely to causative factors, but to ‘</w:t>
      </w:r>
      <w:r w:rsidR="00131361">
        <w:rPr>
          <w:rFonts w:ascii="Times New Roman" w:hAnsi="Times New Roman" w:cs="Times New Roman"/>
          <w:i/>
          <w:sz w:val="24"/>
          <w:szCs w:val="24"/>
        </w:rPr>
        <w:t>blameworthiness</w:t>
      </w:r>
      <w:r w:rsidR="00B67C7D">
        <w:rPr>
          <w:rFonts w:ascii="Times New Roman" w:hAnsi="Times New Roman" w:cs="Times New Roman"/>
          <w:i/>
          <w:sz w:val="24"/>
          <w:szCs w:val="24"/>
        </w:rPr>
        <w:t>’</w:t>
      </w:r>
      <w:r w:rsidR="00131361">
        <w:rPr>
          <w:rFonts w:ascii="Times New Roman" w:hAnsi="Times New Roman" w:cs="Times New Roman"/>
          <w:sz w:val="24"/>
          <w:szCs w:val="24"/>
        </w:rPr>
        <w:t xml:space="preserve"> (see </w:t>
      </w:r>
      <w:r w:rsidR="00131361">
        <w:rPr>
          <w:rFonts w:ascii="Times New Roman" w:hAnsi="Times New Roman" w:cs="Times New Roman"/>
          <w:i/>
          <w:sz w:val="24"/>
          <w:szCs w:val="24"/>
        </w:rPr>
        <w:t>O</w:t>
      </w:r>
      <w:r w:rsidR="00B67C7D">
        <w:rPr>
          <w:rFonts w:ascii="Times New Roman" w:hAnsi="Times New Roman" w:cs="Times New Roman"/>
          <w:i/>
          <w:sz w:val="24"/>
          <w:szCs w:val="24"/>
        </w:rPr>
        <w:t>’</w:t>
      </w:r>
      <w:r w:rsidR="00131361">
        <w:rPr>
          <w:rFonts w:ascii="Times New Roman" w:hAnsi="Times New Roman" w:cs="Times New Roman"/>
          <w:i/>
          <w:sz w:val="24"/>
          <w:szCs w:val="24"/>
        </w:rPr>
        <w:t>Sullivan v. Dwyer</w:t>
      </w:r>
      <w:r w:rsidR="00131361">
        <w:rPr>
          <w:rFonts w:ascii="Times New Roman" w:hAnsi="Times New Roman" w:cs="Times New Roman"/>
          <w:sz w:val="24"/>
          <w:szCs w:val="24"/>
        </w:rPr>
        <w:t xml:space="preserve"> [1971] IR 275 as explained by O’Donnell J.</w:t>
      </w:r>
      <w:r w:rsidR="003D5574">
        <w:rPr>
          <w:rFonts w:ascii="Times New Roman" w:hAnsi="Times New Roman" w:cs="Times New Roman"/>
          <w:sz w:val="24"/>
          <w:szCs w:val="24"/>
        </w:rPr>
        <w:t xml:space="preserve"> (as he then was)</w:t>
      </w:r>
      <w:r w:rsidR="00131361">
        <w:rPr>
          <w:rFonts w:ascii="Times New Roman" w:hAnsi="Times New Roman" w:cs="Times New Roman"/>
          <w:sz w:val="24"/>
          <w:szCs w:val="24"/>
        </w:rPr>
        <w:t xml:space="preserve"> in </w:t>
      </w:r>
      <w:r w:rsidR="00131361" w:rsidRPr="00434D69">
        <w:rPr>
          <w:rFonts w:ascii="Times New Roman" w:hAnsi="Times New Roman" w:cs="Times New Roman"/>
          <w:i/>
          <w:sz w:val="24"/>
          <w:szCs w:val="24"/>
        </w:rPr>
        <w:t xml:space="preserve">Defender Ltd. v. HSBC France  </w:t>
      </w:r>
      <w:r w:rsidR="00131361" w:rsidRPr="00434D69">
        <w:rPr>
          <w:rFonts w:ascii="Times New Roman" w:hAnsi="Times New Roman" w:cs="Times New Roman"/>
          <w:sz w:val="24"/>
          <w:szCs w:val="24"/>
        </w:rPr>
        <w:t>[2020] IESC</w:t>
      </w:r>
      <w:r w:rsidR="00471848">
        <w:rPr>
          <w:rFonts w:ascii="Times New Roman" w:hAnsi="Times New Roman" w:cs="Times New Roman"/>
          <w:sz w:val="24"/>
          <w:szCs w:val="24"/>
        </w:rPr>
        <w:t xml:space="preserve"> 37</w:t>
      </w:r>
      <w:r w:rsidR="00893B98">
        <w:rPr>
          <w:rFonts w:ascii="Times New Roman" w:hAnsi="Times New Roman" w:cs="Times New Roman"/>
          <w:sz w:val="24"/>
          <w:szCs w:val="24"/>
        </w:rPr>
        <w:t>, [2021] 1 ILRM 1</w:t>
      </w:r>
      <w:r w:rsidR="00131361" w:rsidRPr="00434D69">
        <w:rPr>
          <w:rFonts w:ascii="Times New Roman" w:hAnsi="Times New Roman" w:cs="Times New Roman"/>
          <w:sz w:val="24"/>
          <w:szCs w:val="24"/>
        </w:rPr>
        <w:t xml:space="preserve">  (</w:t>
      </w:r>
      <w:r w:rsidR="00893B98">
        <w:rPr>
          <w:rFonts w:ascii="Times New Roman" w:hAnsi="Times New Roman" w:cs="Times New Roman"/>
          <w:sz w:val="24"/>
          <w:szCs w:val="24"/>
        </w:rPr>
        <w:t>“</w:t>
      </w:r>
      <w:r w:rsidR="00131361" w:rsidRPr="00434D69">
        <w:rPr>
          <w:rFonts w:ascii="Times New Roman" w:hAnsi="Times New Roman" w:cs="Times New Roman"/>
          <w:i/>
          <w:sz w:val="24"/>
          <w:szCs w:val="24"/>
        </w:rPr>
        <w:t>Defender</w:t>
      </w:r>
      <w:r w:rsidR="00893B98">
        <w:rPr>
          <w:rFonts w:ascii="Times New Roman" w:hAnsi="Times New Roman" w:cs="Times New Roman"/>
          <w:i/>
          <w:sz w:val="24"/>
          <w:szCs w:val="24"/>
        </w:rPr>
        <w:t>”</w:t>
      </w:r>
      <w:r w:rsidR="00131361" w:rsidRPr="00434D69">
        <w:rPr>
          <w:rFonts w:ascii="Times New Roman" w:hAnsi="Times New Roman" w:cs="Times New Roman"/>
          <w:sz w:val="24"/>
          <w:szCs w:val="24"/>
        </w:rPr>
        <w:t>) at para</w:t>
      </w:r>
      <w:r w:rsidR="00131361">
        <w:rPr>
          <w:rFonts w:ascii="Times New Roman" w:hAnsi="Times New Roman" w:cs="Times New Roman"/>
          <w:sz w:val="24"/>
          <w:szCs w:val="24"/>
        </w:rPr>
        <w:t>s. 48</w:t>
      </w:r>
      <w:r w:rsidR="00471848">
        <w:rPr>
          <w:rFonts w:ascii="Times New Roman" w:hAnsi="Times New Roman" w:cs="Times New Roman"/>
          <w:sz w:val="24"/>
          <w:szCs w:val="24"/>
        </w:rPr>
        <w:t xml:space="preserve"> to </w:t>
      </w:r>
      <w:r w:rsidR="00131361">
        <w:rPr>
          <w:rFonts w:ascii="Times New Roman" w:hAnsi="Times New Roman" w:cs="Times New Roman"/>
          <w:sz w:val="24"/>
          <w:szCs w:val="24"/>
        </w:rPr>
        <w:t>51</w:t>
      </w:r>
      <w:r w:rsidR="00131361" w:rsidRPr="00434D69">
        <w:rPr>
          <w:rFonts w:ascii="Times New Roman" w:hAnsi="Times New Roman" w:cs="Times New Roman"/>
          <w:sz w:val="24"/>
          <w:szCs w:val="24"/>
        </w:rPr>
        <w:t>)</w:t>
      </w:r>
      <w:r w:rsidR="00131361">
        <w:rPr>
          <w:rFonts w:ascii="Times New Roman" w:hAnsi="Times New Roman" w:cs="Times New Roman"/>
          <w:sz w:val="24"/>
          <w:szCs w:val="24"/>
        </w:rPr>
        <w:t xml:space="preserve">.  </w:t>
      </w:r>
    </w:p>
    <w:p w14:paraId="66832CA5" w14:textId="77777777" w:rsidR="00131361" w:rsidRDefault="00131361" w:rsidP="00131361">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1549F24" w14:textId="2A40B3A4" w:rsidR="00590EE0" w:rsidRPr="009439DB" w:rsidRDefault="0004461C" w:rsidP="009439DB">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It is </w:t>
      </w:r>
      <w:r w:rsidR="00461FFB" w:rsidRPr="00434D69">
        <w:rPr>
          <w:rFonts w:ascii="Times New Roman" w:hAnsi="Times New Roman" w:cs="Times New Roman"/>
          <w:sz w:val="24"/>
          <w:szCs w:val="24"/>
        </w:rPr>
        <w:t xml:space="preserve">in </w:t>
      </w:r>
      <w:r w:rsidR="000A0858">
        <w:rPr>
          <w:rFonts w:ascii="Times New Roman" w:hAnsi="Times New Roman" w:cs="Times New Roman"/>
          <w:sz w:val="24"/>
          <w:szCs w:val="24"/>
        </w:rPr>
        <w:t>our</w:t>
      </w:r>
      <w:r w:rsidR="00461FFB" w:rsidRPr="00434D69">
        <w:rPr>
          <w:rFonts w:ascii="Times New Roman" w:hAnsi="Times New Roman" w:cs="Times New Roman"/>
          <w:sz w:val="24"/>
          <w:szCs w:val="24"/>
        </w:rPr>
        <w:t xml:space="preserve"> view </w:t>
      </w:r>
      <w:r w:rsidRPr="00434D69">
        <w:rPr>
          <w:rFonts w:ascii="Times New Roman" w:hAnsi="Times New Roman" w:cs="Times New Roman"/>
          <w:sz w:val="24"/>
          <w:szCs w:val="24"/>
        </w:rPr>
        <w:t>impossible to resolve th</w:t>
      </w:r>
      <w:r w:rsidR="00131361">
        <w:rPr>
          <w:rFonts w:ascii="Times New Roman" w:hAnsi="Times New Roman" w:cs="Times New Roman"/>
          <w:sz w:val="24"/>
          <w:szCs w:val="24"/>
        </w:rPr>
        <w:t>ese</w:t>
      </w:r>
      <w:r w:rsidRPr="00434D69">
        <w:rPr>
          <w:rFonts w:ascii="Times New Roman" w:hAnsi="Times New Roman" w:cs="Times New Roman"/>
          <w:sz w:val="24"/>
          <w:szCs w:val="24"/>
        </w:rPr>
        <w:t xml:space="preserve"> issue</w:t>
      </w:r>
      <w:r w:rsidR="00131361">
        <w:rPr>
          <w:rFonts w:ascii="Times New Roman" w:hAnsi="Times New Roman" w:cs="Times New Roman"/>
          <w:sz w:val="24"/>
          <w:szCs w:val="24"/>
        </w:rPr>
        <w:t>s</w:t>
      </w:r>
      <w:r w:rsidRPr="00434D69">
        <w:rPr>
          <w:rFonts w:ascii="Times New Roman" w:hAnsi="Times New Roman" w:cs="Times New Roman"/>
          <w:sz w:val="24"/>
          <w:szCs w:val="24"/>
        </w:rPr>
        <w:t xml:space="preserve"> </w:t>
      </w:r>
      <w:r w:rsidR="00AD4109">
        <w:rPr>
          <w:rFonts w:ascii="Times New Roman" w:hAnsi="Times New Roman" w:cs="Times New Roman"/>
          <w:sz w:val="24"/>
          <w:szCs w:val="24"/>
        </w:rPr>
        <w:t xml:space="preserve">satisfactorily </w:t>
      </w:r>
      <w:r w:rsidRPr="00434D69">
        <w:rPr>
          <w:rFonts w:ascii="Times New Roman" w:hAnsi="Times New Roman" w:cs="Times New Roman"/>
          <w:sz w:val="24"/>
          <w:szCs w:val="24"/>
        </w:rPr>
        <w:t xml:space="preserve">without understanding what </w:t>
      </w:r>
      <w:r w:rsidR="009439DB">
        <w:rPr>
          <w:rFonts w:ascii="Times New Roman" w:hAnsi="Times New Roman" w:cs="Times New Roman"/>
          <w:sz w:val="24"/>
          <w:szCs w:val="24"/>
        </w:rPr>
        <w:t>“</w:t>
      </w:r>
      <w:r w:rsidRPr="00434D69">
        <w:rPr>
          <w:rFonts w:ascii="Times New Roman" w:hAnsi="Times New Roman" w:cs="Times New Roman"/>
          <w:i/>
          <w:sz w:val="24"/>
          <w:szCs w:val="24"/>
        </w:rPr>
        <w:t>damage</w:t>
      </w:r>
      <w:r w:rsidR="009439DB">
        <w:rPr>
          <w:rFonts w:ascii="Times New Roman" w:hAnsi="Times New Roman" w:cs="Times New Roman"/>
          <w:i/>
          <w:sz w:val="24"/>
          <w:szCs w:val="24"/>
        </w:rPr>
        <w:t>”</w:t>
      </w:r>
      <w:r w:rsidRPr="00434D69">
        <w:rPr>
          <w:rFonts w:ascii="Times New Roman" w:hAnsi="Times New Roman" w:cs="Times New Roman"/>
          <w:i/>
          <w:sz w:val="24"/>
          <w:szCs w:val="24"/>
        </w:rPr>
        <w:t xml:space="preserve"> </w:t>
      </w:r>
      <w:r w:rsidR="009439DB">
        <w:rPr>
          <w:rFonts w:ascii="Times New Roman" w:hAnsi="Times New Roman" w:cs="Times New Roman"/>
          <w:sz w:val="24"/>
          <w:szCs w:val="24"/>
        </w:rPr>
        <w:t xml:space="preserve">(as </w:t>
      </w:r>
      <w:r w:rsidRPr="009439DB">
        <w:rPr>
          <w:rFonts w:ascii="Times New Roman" w:hAnsi="Times New Roman" w:cs="Times New Roman"/>
          <w:sz w:val="24"/>
          <w:szCs w:val="24"/>
        </w:rPr>
        <w:t xml:space="preserve">that term is used in </w:t>
      </w:r>
      <w:r w:rsidR="009439DB">
        <w:rPr>
          <w:rFonts w:ascii="Times New Roman" w:hAnsi="Times New Roman" w:cs="Times New Roman"/>
          <w:sz w:val="24"/>
          <w:szCs w:val="24"/>
        </w:rPr>
        <w:t xml:space="preserve">Part III CLA) </w:t>
      </w:r>
      <w:r w:rsidRPr="009439DB">
        <w:rPr>
          <w:rFonts w:ascii="Times New Roman" w:hAnsi="Times New Roman" w:cs="Times New Roman"/>
          <w:sz w:val="24"/>
          <w:szCs w:val="24"/>
        </w:rPr>
        <w:t>is actually incurred by non-payment of a debt, what ‘</w:t>
      </w:r>
      <w:r w:rsidRPr="009439DB">
        <w:rPr>
          <w:rFonts w:ascii="Times New Roman" w:hAnsi="Times New Roman" w:cs="Times New Roman"/>
          <w:i/>
          <w:sz w:val="24"/>
          <w:szCs w:val="24"/>
        </w:rPr>
        <w:t>damage</w:t>
      </w:r>
      <w:r w:rsidR="00B67C7D">
        <w:rPr>
          <w:rFonts w:ascii="Times New Roman" w:hAnsi="Times New Roman" w:cs="Times New Roman"/>
          <w:i/>
          <w:sz w:val="24"/>
          <w:szCs w:val="24"/>
        </w:rPr>
        <w:t>’</w:t>
      </w:r>
      <w:r w:rsidRPr="009439DB">
        <w:rPr>
          <w:rFonts w:ascii="Times New Roman" w:hAnsi="Times New Roman" w:cs="Times New Roman"/>
          <w:i/>
          <w:sz w:val="24"/>
          <w:szCs w:val="24"/>
        </w:rPr>
        <w:t xml:space="preserve"> </w:t>
      </w:r>
      <w:r w:rsidRPr="009439DB">
        <w:rPr>
          <w:rFonts w:ascii="Times New Roman" w:hAnsi="Times New Roman" w:cs="Times New Roman"/>
          <w:sz w:val="24"/>
          <w:szCs w:val="24"/>
        </w:rPr>
        <w:t>was caused by the alleged negligence of CBRE and the correct relationship between those different types of ‘</w:t>
      </w:r>
      <w:r w:rsidRPr="009439DB">
        <w:rPr>
          <w:rFonts w:ascii="Times New Roman" w:hAnsi="Times New Roman" w:cs="Times New Roman"/>
          <w:i/>
          <w:sz w:val="24"/>
          <w:szCs w:val="24"/>
        </w:rPr>
        <w:t>damage</w:t>
      </w:r>
      <w:r w:rsidR="00B67C7D">
        <w:rPr>
          <w:rFonts w:ascii="Times New Roman" w:hAnsi="Times New Roman" w:cs="Times New Roman"/>
          <w:i/>
          <w:sz w:val="24"/>
          <w:szCs w:val="24"/>
        </w:rPr>
        <w:t>’</w:t>
      </w:r>
      <w:r w:rsidRPr="009439DB">
        <w:rPr>
          <w:rFonts w:ascii="Times New Roman" w:hAnsi="Times New Roman" w:cs="Times New Roman"/>
          <w:i/>
          <w:sz w:val="24"/>
          <w:szCs w:val="24"/>
        </w:rPr>
        <w:t xml:space="preserve"> </w:t>
      </w:r>
      <w:r w:rsidRPr="009439DB">
        <w:rPr>
          <w:rFonts w:ascii="Times New Roman" w:hAnsi="Times New Roman" w:cs="Times New Roman"/>
          <w:sz w:val="24"/>
          <w:szCs w:val="24"/>
        </w:rPr>
        <w:t>as envisaged by the</w:t>
      </w:r>
      <w:r w:rsidR="009439DB">
        <w:rPr>
          <w:rFonts w:ascii="Times New Roman" w:hAnsi="Times New Roman" w:cs="Times New Roman"/>
          <w:sz w:val="24"/>
          <w:szCs w:val="24"/>
        </w:rPr>
        <w:t xml:space="preserve"> CLA</w:t>
      </w:r>
      <w:r w:rsidRPr="009439DB">
        <w:rPr>
          <w:rFonts w:ascii="Times New Roman" w:hAnsi="Times New Roman" w:cs="Times New Roman"/>
          <w:sz w:val="24"/>
          <w:szCs w:val="24"/>
        </w:rPr>
        <w:t xml:space="preserve">.  That exercise </w:t>
      </w:r>
      <w:r w:rsidR="007C2A12" w:rsidRPr="009439DB">
        <w:rPr>
          <w:rFonts w:ascii="Times New Roman" w:hAnsi="Times New Roman" w:cs="Times New Roman"/>
          <w:sz w:val="24"/>
          <w:szCs w:val="24"/>
        </w:rPr>
        <w:t xml:space="preserve">simply </w:t>
      </w:r>
      <w:r w:rsidRPr="009439DB">
        <w:rPr>
          <w:rFonts w:ascii="Times New Roman" w:hAnsi="Times New Roman" w:cs="Times New Roman"/>
          <w:sz w:val="24"/>
          <w:szCs w:val="24"/>
        </w:rPr>
        <w:t>cannot be undertaken without addressing whether non-payment of a debt comprises ‘</w:t>
      </w:r>
      <w:r w:rsidRPr="009439DB">
        <w:rPr>
          <w:rFonts w:ascii="Times New Roman" w:hAnsi="Times New Roman" w:cs="Times New Roman"/>
          <w:i/>
          <w:sz w:val="24"/>
          <w:szCs w:val="24"/>
        </w:rPr>
        <w:t>damage</w:t>
      </w:r>
      <w:r w:rsidR="00B67C7D">
        <w:rPr>
          <w:rFonts w:ascii="Times New Roman" w:hAnsi="Times New Roman" w:cs="Times New Roman"/>
          <w:i/>
          <w:sz w:val="24"/>
          <w:szCs w:val="24"/>
        </w:rPr>
        <w:t>’</w:t>
      </w:r>
      <w:r w:rsidRPr="009439DB">
        <w:rPr>
          <w:rFonts w:ascii="Times New Roman" w:hAnsi="Times New Roman" w:cs="Times New Roman"/>
          <w:i/>
          <w:sz w:val="24"/>
          <w:szCs w:val="24"/>
        </w:rPr>
        <w:t xml:space="preserve"> </w:t>
      </w:r>
      <w:r w:rsidR="009439DB">
        <w:rPr>
          <w:rFonts w:ascii="Times New Roman" w:hAnsi="Times New Roman" w:cs="Times New Roman"/>
          <w:sz w:val="24"/>
          <w:szCs w:val="24"/>
        </w:rPr>
        <w:t>for the purposes of Part III</w:t>
      </w:r>
      <w:r w:rsidRPr="009439DB">
        <w:rPr>
          <w:rFonts w:ascii="Times New Roman" w:hAnsi="Times New Roman" w:cs="Times New Roman"/>
          <w:sz w:val="24"/>
          <w:szCs w:val="24"/>
        </w:rPr>
        <w:t xml:space="preserve"> at all. </w:t>
      </w:r>
      <w:r w:rsidR="005F712A" w:rsidRPr="009439DB">
        <w:rPr>
          <w:rFonts w:ascii="Times New Roman" w:hAnsi="Times New Roman" w:cs="Times New Roman"/>
          <w:sz w:val="24"/>
          <w:szCs w:val="24"/>
        </w:rPr>
        <w:t xml:space="preserve"> The Court cannot embark upon a consideration of whether non-payment of a debt is more </w:t>
      </w:r>
      <w:r w:rsidR="005F712A" w:rsidRPr="009439DB">
        <w:rPr>
          <w:rFonts w:ascii="Times New Roman" w:hAnsi="Times New Roman" w:cs="Times New Roman"/>
          <w:sz w:val="24"/>
          <w:szCs w:val="24"/>
        </w:rPr>
        <w:lastRenderedPageBreak/>
        <w:t>‘</w:t>
      </w:r>
      <w:r w:rsidR="005F712A" w:rsidRPr="009439DB">
        <w:rPr>
          <w:rFonts w:ascii="Times New Roman" w:hAnsi="Times New Roman" w:cs="Times New Roman"/>
          <w:i/>
          <w:sz w:val="24"/>
          <w:szCs w:val="24"/>
        </w:rPr>
        <w:t>blameworthy</w:t>
      </w:r>
      <w:r w:rsidR="00B67C7D">
        <w:rPr>
          <w:rFonts w:ascii="Times New Roman" w:hAnsi="Times New Roman" w:cs="Times New Roman"/>
          <w:i/>
          <w:sz w:val="24"/>
          <w:szCs w:val="24"/>
        </w:rPr>
        <w:t>’</w:t>
      </w:r>
      <w:r w:rsidR="005F712A" w:rsidRPr="009439DB">
        <w:rPr>
          <w:rFonts w:ascii="Times New Roman" w:hAnsi="Times New Roman" w:cs="Times New Roman"/>
          <w:i/>
          <w:sz w:val="24"/>
          <w:szCs w:val="24"/>
        </w:rPr>
        <w:t xml:space="preserve"> </w:t>
      </w:r>
      <w:r w:rsidR="005F712A" w:rsidRPr="009439DB">
        <w:rPr>
          <w:rFonts w:ascii="Times New Roman" w:hAnsi="Times New Roman" w:cs="Times New Roman"/>
          <w:sz w:val="24"/>
          <w:szCs w:val="24"/>
        </w:rPr>
        <w:t xml:space="preserve"> than negligence in the conduct of a valuation without an understanding of why non-payment of a debt is deemed to be a wrong captured by the </w:t>
      </w:r>
      <w:r w:rsidR="00CD16DC">
        <w:rPr>
          <w:rFonts w:ascii="Times New Roman" w:hAnsi="Times New Roman" w:cs="Times New Roman"/>
          <w:sz w:val="24"/>
          <w:szCs w:val="24"/>
        </w:rPr>
        <w:t xml:space="preserve">CLA </w:t>
      </w:r>
      <w:r w:rsidR="009439DB">
        <w:rPr>
          <w:rFonts w:ascii="Times New Roman" w:hAnsi="Times New Roman" w:cs="Times New Roman"/>
          <w:sz w:val="24"/>
          <w:szCs w:val="24"/>
        </w:rPr>
        <w:t>(if indeed it is)</w:t>
      </w:r>
      <w:r w:rsidR="005F712A" w:rsidRPr="009439DB">
        <w:rPr>
          <w:rFonts w:ascii="Times New Roman" w:hAnsi="Times New Roman" w:cs="Times New Roman"/>
          <w:sz w:val="24"/>
          <w:szCs w:val="24"/>
        </w:rPr>
        <w:t>.</w:t>
      </w:r>
      <w:r w:rsidR="00556D89" w:rsidRPr="009439DB">
        <w:rPr>
          <w:rFonts w:ascii="Times New Roman" w:hAnsi="Times New Roman" w:cs="Times New Roman"/>
          <w:sz w:val="24"/>
          <w:szCs w:val="24"/>
        </w:rPr>
        <w:t xml:space="preserve">  This is, </w:t>
      </w:r>
      <w:r w:rsidR="000A0858" w:rsidRPr="009439DB">
        <w:rPr>
          <w:rFonts w:ascii="Times New Roman" w:hAnsi="Times New Roman" w:cs="Times New Roman"/>
          <w:sz w:val="24"/>
          <w:szCs w:val="24"/>
        </w:rPr>
        <w:t>we</w:t>
      </w:r>
      <w:r w:rsidR="00556D89" w:rsidRPr="009439DB">
        <w:rPr>
          <w:rFonts w:ascii="Times New Roman" w:hAnsi="Times New Roman" w:cs="Times New Roman"/>
          <w:sz w:val="24"/>
          <w:szCs w:val="24"/>
        </w:rPr>
        <w:t xml:space="preserve"> think, evident from the consideration of this question that appears later in th</w:t>
      </w:r>
      <w:r w:rsidR="00CD16DC">
        <w:rPr>
          <w:rFonts w:ascii="Times New Roman" w:hAnsi="Times New Roman" w:cs="Times New Roman"/>
          <w:sz w:val="24"/>
          <w:szCs w:val="24"/>
        </w:rPr>
        <w:t>is</w:t>
      </w:r>
      <w:r w:rsidR="00556D89" w:rsidRPr="009439DB">
        <w:rPr>
          <w:rFonts w:ascii="Times New Roman" w:hAnsi="Times New Roman" w:cs="Times New Roman"/>
          <w:sz w:val="24"/>
          <w:szCs w:val="24"/>
        </w:rPr>
        <w:t xml:space="preserve"> judgment.</w:t>
      </w:r>
    </w:p>
    <w:p w14:paraId="366A02D1" w14:textId="77777777" w:rsidR="005F712A" w:rsidRDefault="005F712A" w:rsidP="005F712A">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BFAE47E" w14:textId="419905C9" w:rsidR="005F712A" w:rsidRPr="00434D69" w:rsidRDefault="005F712A" w:rsidP="003C658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this reason, </w:t>
      </w:r>
      <w:r w:rsidR="000A0858">
        <w:rPr>
          <w:rFonts w:ascii="Times New Roman" w:hAnsi="Times New Roman" w:cs="Times New Roman"/>
          <w:sz w:val="24"/>
          <w:szCs w:val="24"/>
        </w:rPr>
        <w:t>we</w:t>
      </w:r>
      <w:r>
        <w:rPr>
          <w:rFonts w:ascii="Times New Roman" w:hAnsi="Times New Roman" w:cs="Times New Roman"/>
          <w:sz w:val="24"/>
          <w:szCs w:val="24"/>
        </w:rPr>
        <w:t xml:space="preserve"> address here </w:t>
      </w:r>
      <w:r w:rsidR="007C6C84">
        <w:rPr>
          <w:rFonts w:ascii="Times New Roman" w:hAnsi="Times New Roman" w:cs="Times New Roman"/>
          <w:sz w:val="24"/>
          <w:szCs w:val="24"/>
        </w:rPr>
        <w:t xml:space="preserve">first </w:t>
      </w:r>
      <w:r>
        <w:rPr>
          <w:rFonts w:ascii="Times New Roman" w:hAnsi="Times New Roman" w:cs="Times New Roman"/>
          <w:sz w:val="24"/>
          <w:szCs w:val="24"/>
        </w:rPr>
        <w:t xml:space="preserve">the fundamental issue of whether an action to recover </w:t>
      </w:r>
      <w:r w:rsidR="00587FBA">
        <w:rPr>
          <w:rFonts w:ascii="Times New Roman" w:hAnsi="Times New Roman" w:cs="Times New Roman"/>
          <w:sz w:val="24"/>
          <w:szCs w:val="24"/>
        </w:rPr>
        <w:t xml:space="preserve">a debt </w:t>
      </w:r>
      <w:r>
        <w:rPr>
          <w:rFonts w:ascii="Times New Roman" w:hAnsi="Times New Roman" w:cs="Times New Roman"/>
          <w:sz w:val="24"/>
          <w:szCs w:val="24"/>
        </w:rPr>
        <w:t xml:space="preserve">is of such a nature as to render the defendant a concurrent wrongdoer with a valuer but for whose negligence it is alleged the debt would never have been contracted.  In doing so </w:t>
      </w:r>
      <w:r w:rsidR="000A0858">
        <w:rPr>
          <w:rFonts w:ascii="Times New Roman" w:hAnsi="Times New Roman" w:cs="Times New Roman"/>
          <w:sz w:val="24"/>
          <w:szCs w:val="24"/>
        </w:rPr>
        <w:t>we</w:t>
      </w:r>
      <w:r>
        <w:rPr>
          <w:rFonts w:ascii="Times New Roman" w:hAnsi="Times New Roman" w:cs="Times New Roman"/>
          <w:sz w:val="24"/>
          <w:szCs w:val="24"/>
        </w:rPr>
        <w:t xml:space="preserve"> do not believe it necessary that the notice of appeal be amended, as the issue is inherent in, and necessary to, the grounds of appeal that are before the Court.  Nor, </w:t>
      </w:r>
      <w:r w:rsidR="000A0858">
        <w:rPr>
          <w:rFonts w:ascii="Times New Roman" w:hAnsi="Times New Roman" w:cs="Times New Roman"/>
          <w:sz w:val="24"/>
          <w:szCs w:val="24"/>
        </w:rPr>
        <w:t>we</w:t>
      </w:r>
      <w:r>
        <w:rPr>
          <w:rFonts w:ascii="Times New Roman" w:hAnsi="Times New Roman" w:cs="Times New Roman"/>
          <w:sz w:val="24"/>
          <w:szCs w:val="24"/>
        </w:rPr>
        <w:t xml:space="preserve"> should repeat, is any prejudice of any kind suffered by any of the parties in consequence.  The issue was argued in the High Court and ruled upon by the Judge.  All parties have had an opportunity to deliver submissions on the question.</w:t>
      </w:r>
      <w:r w:rsidR="00CD16DC">
        <w:rPr>
          <w:rFonts w:ascii="Times New Roman" w:hAnsi="Times New Roman" w:cs="Times New Roman"/>
          <w:sz w:val="24"/>
          <w:szCs w:val="24"/>
        </w:rPr>
        <w:t xml:space="preserve"> </w:t>
      </w:r>
      <w:r w:rsidR="007D66B7">
        <w:rPr>
          <w:rFonts w:ascii="Times New Roman" w:hAnsi="Times New Roman" w:cs="Times New Roman"/>
          <w:sz w:val="24"/>
          <w:szCs w:val="24"/>
        </w:rPr>
        <w:t xml:space="preserve"> </w:t>
      </w:r>
      <w:r w:rsidR="00CD16DC">
        <w:rPr>
          <w:rFonts w:ascii="Times New Roman" w:hAnsi="Times New Roman" w:cs="Times New Roman"/>
          <w:sz w:val="24"/>
          <w:szCs w:val="24"/>
        </w:rPr>
        <w:t>No unfairness arises from the issue being addressed by this Court.</w:t>
      </w:r>
    </w:p>
    <w:p w14:paraId="031C8414" w14:textId="77777777" w:rsidR="00590EE0" w:rsidRPr="00434D69" w:rsidRDefault="00590EE0" w:rsidP="00434D69">
      <w:pPr>
        <w:pStyle w:val="ListParagraph"/>
        <w:spacing w:after="0" w:line="480" w:lineRule="auto"/>
        <w:jc w:val="both"/>
        <w:rPr>
          <w:rFonts w:ascii="Times New Roman" w:hAnsi="Times New Roman" w:cs="Times New Roman"/>
          <w:sz w:val="24"/>
          <w:szCs w:val="24"/>
        </w:rPr>
      </w:pPr>
    </w:p>
    <w:p w14:paraId="78039F9F" w14:textId="77777777" w:rsidR="007C6944" w:rsidRPr="00434D69" w:rsidRDefault="007C6944" w:rsidP="00272396">
      <w:pPr>
        <w:pStyle w:val="Heading2"/>
      </w:pPr>
      <w:r w:rsidRPr="00434D69">
        <w:t>Concurrent wrongdoers</w:t>
      </w:r>
      <w:r w:rsidR="003232A0">
        <w:t xml:space="preserve"> and actions to recover a debt</w:t>
      </w:r>
    </w:p>
    <w:p w14:paraId="3E0F84FC" w14:textId="77777777" w:rsidR="007C6944" w:rsidRPr="00434D69" w:rsidRDefault="007C6944"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293EA259" w14:textId="0F3856F9" w:rsidR="000A0858" w:rsidRPr="00A711B9" w:rsidRDefault="001E3361" w:rsidP="00A711B9">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The application of the provisions of </w:t>
      </w:r>
      <w:r w:rsidR="007D66B7">
        <w:rPr>
          <w:rFonts w:ascii="Times New Roman" w:hAnsi="Times New Roman" w:cs="Times New Roman"/>
          <w:sz w:val="24"/>
          <w:szCs w:val="24"/>
        </w:rPr>
        <w:t xml:space="preserve">the </w:t>
      </w:r>
      <w:r w:rsidRPr="00434D69">
        <w:rPr>
          <w:rFonts w:ascii="Times New Roman" w:hAnsi="Times New Roman" w:cs="Times New Roman"/>
          <w:sz w:val="24"/>
          <w:szCs w:val="24"/>
        </w:rPr>
        <w:t xml:space="preserve">CLA governing concurrent wrongdoers raises two issues.  One is whether a claim to recover a debt can ever fall within those provisions.  The second – which arises only if </w:t>
      </w:r>
      <w:r w:rsidR="001B1A5B">
        <w:rPr>
          <w:rFonts w:ascii="Times New Roman" w:hAnsi="Times New Roman" w:cs="Times New Roman"/>
          <w:sz w:val="24"/>
          <w:szCs w:val="24"/>
        </w:rPr>
        <w:t>such a claim</w:t>
      </w:r>
      <w:r w:rsidRPr="00434D69">
        <w:rPr>
          <w:rFonts w:ascii="Times New Roman" w:hAnsi="Times New Roman" w:cs="Times New Roman"/>
          <w:sz w:val="24"/>
          <w:szCs w:val="24"/>
        </w:rPr>
        <w:t xml:space="preserve"> can come within the relevant sections – </w:t>
      </w:r>
      <w:r w:rsidR="00AA2A6E" w:rsidRPr="00434D69">
        <w:rPr>
          <w:rFonts w:ascii="Times New Roman" w:hAnsi="Times New Roman" w:cs="Times New Roman"/>
          <w:sz w:val="24"/>
          <w:szCs w:val="24"/>
        </w:rPr>
        <w:t xml:space="preserve">is whether </w:t>
      </w:r>
      <w:r w:rsidRPr="00434D69">
        <w:rPr>
          <w:rFonts w:ascii="Times New Roman" w:hAnsi="Times New Roman" w:cs="Times New Roman"/>
          <w:sz w:val="24"/>
          <w:szCs w:val="24"/>
        </w:rPr>
        <w:t xml:space="preserve">a claim </w:t>
      </w:r>
      <w:r w:rsidR="00624914" w:rsidRPr="00434D69">
        <w:rPr>
          <w:rFonts w:ascii="Times New Roman" w:hAnsi="Times New Roman" w:cs="Times New Roman"/>
          <w:sz w:val="24"/>
          <w:szCs w:val="24"/>
        </w:rPr>
        <w:t xml:space="preserve">to recover damages for a negligent valuation and a proceeding to recover a debt which would allegedly never have arisen but for the negligent valuation </w:t>
      </w:r>
      <w:r w:rsidR="005364AC">
        <w:rPr>
          <w:rFonts w:ascii="Times New Roman" w:hAnsi="Times New Roman" w:cs="Times New Roman"/>
          <w:sz w:val="24"/>
          <w:szCs w:val="24"/>
        </w:rPr>
        <w:t xml:space="preserve">have a relationship between each other such as </w:t>
      </w:r>
      <w:r w:rsidR="00624914" w:rsidRPr="00434D69">
        <w:rPr>
          <w:rFonts w:ascii="Times New Roman" w:hAnsi="Times New Roman" w:cs="Times New Roman"/>
          <w:sz w:val="24"/>
          <w:szCs w:val="24"/>
        </w:rPr>
        <w:t>to render the respective wrongdoers ‘</w:t>
      </w:r>
      <w:r w:rsidR="00624914" w:rsidRPr="00434D69">
        <w:rPr>
          <w:rFonts w:ascii="Times New Roman" w:hAnsi="Times New Roman" w:cs="Times New Roman"/>
          <w:i/>
          <w:sz w:val="24"/>
          <w:szCs w:val="24"/>
        </w:rPr>
        <w:t>concurrent</w:t>
      </w:r>
      <w:r w:rsidR="00B67C7D">
        <w:rPr>
          <w:rFonts w:ascii="Times New Roman" w:hAnsi="Times New Roman" w:cs="Times New Roman"/>
          <w:i/>
          <w:sz w:val="24"/>
          <w:szCs w:val="24"/>
        </w:rPr>
        <w:t>’</w:t>
      </w:r>
      <w:r w:rsidR="00624914" w:rsidRPr="00434D69">
        <w:rPr>
          <w:rFonts w:ascii="Times New Roman" w:hAnsi="Times New Roman" w:cs="Times New Roman"/>
          <w:i/>
          <w:sz w:val="24"/>
          <w:szCs w:val="24"/>
        </w:rPr>
        <w:t xml:space="preserve"> </w:t>
      </w:r>
      <w:r w:rsidR="00624914" w:rsidRPr="00434D69">
        <w:rPr>
          <w:rFonts w:ascii="Times New Roman" w:hAnsi="Times New Roman" w:cs="Times New Roman"/>
          <w:sz w:val="24"/>
          <w:szCs w:val="24"/>
        </w:rPr>
        <w:t>for the purposes of</w:t>
      </w:r>
      <w:r w:rsidR="00CD16DC">
        <w:rPr>
          <w:rFonts w:ascii="Times New Roman" w:hAnsi="Times New Roman" w:cs="Times New Roman"/>
          <w:sz w:val="24"/>
          <w:szCs w:val="24"/>
        </w:rPr>
        <w:t xml:space="preserve"> Part III CLA. </w:t>
      </w:r>
    </w:p>
    <w:p w14:paraId="62E6F231" w14:textId="536461D3" w:rsidR="00624914" w:rsidRDefault="000A0858" w:rsidP="003C658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correct resolution of both of these issues depends upon an understanding of </w:t>
      </w:r>
      <w:r w:rsidR="003232A0">
        <w:rPr>
          <w:rFonts w:ascii="Times New Roman" w:hAnsi="Times New Roman" w:cs="Times New Roman"/>
          <w:sz w:val="24"/>
          <w:szCs w:val="24"/>
        </w:rPr>
        <w:t>four</w:t>
      </w:r>
      <w:r>
        <w:rPr>
          <w:rFonts w:ascii="Times New Roman" w:hAnsi="Times New Roman" w:cs="Times New Roman"/>
          <w:sz w:val="24"/>
          <w:szCs w:val="24"/>
        </w:rPr>
        <w:t xml:space="preserve"> key and related propositions.  First, the provisions governing concurrent wrongdoers in </w:t>
      </w:r>
      <w:r w:rsidR="007D66B7">
        <w:rPr>
          <w:rFonts w:ascii="Times New Roman" w:hAnsi="Times New Roman" w:cs="Times New Roman"/>
          <w:sz w:val="24"/>
          <w:szCs w:val="24"/>
        </w:rPr>
        <w:t xml:space="preserve">the </w:t>
      </w:r>
      <w:r>
        <w:rPr>
          <w:rFonts w:ascii="Times New Roman" w:hAnsi="Times New Roman" w:cs="Times New Roman"/>
          <w:sz w:val="24"/>
          <w:szCs w:val="24"/>
        </w:rPr>
        <w:t xml:space="preserve">CLA are concerned exclusively with the allocation of responsibility between wrongdoers </w:t>
      </w:r>
      <w:r w:rsidR="003232A0">
        <w:rPr>
          <w:rFonts w:ascii="Times New Roman" w:hAnsi="Times New Roman" w:cs="Times New Roman"/>
          <w:sz w:val="24"/>
          <w:szCs w:val="24"/>
        </w:rPr>
        <w:t xml:space="preserve">facing legal action for the recovery </w:t>
      </w:r>
      <w:r w:rsidR="003232A0" w:rsidRPr="00CD16DC">
        <w:rPr>
          <w:rFonts w:ascii="Times New Roman" w:hAnsi="Times New Roman" w:cs="Times New Roman"/>
          <w:sz w:val="24"/>
          <w:szCs w:val="24"/>
        </w:rPr>
        <w:t>of</w:t>
      </w:r>
      <w:r w:rsidR="003232A0" w:rsidRPr="005364AC">
        <w:rPr>
          <w:rFonts w:ascii="Times New Roman" w:hAnsi="Times New Roman" w:cs="Times New Roman"/>
          <w:i/>
          <w:sz w:val="24"/>
          <w:szCs w:val="24"/>
        </w:rPr>
        <w:t xml:space="preserve"> damages</w:t>
      </w:r>
      <w:r w:rsidR="003232A0">
        <w:rPr>
          <w:rFonts w:ascii="Times New Roman" w:hAnsi="Times New Roman" w:cs="Times New Roman"/>
          <w:sz w:val="24"/>
          <w:szCs w:val="24"/>
        </w:rPr>
        <w:t>.</w:t>
      </w:r>
      <w:r>
        <w:rPr>
          <w:rFonts w:ascii="Times New Roman" w:hAnsi="Times New Roman" w:cs="Times New Roman"/>
          <w:sz w:val="24"/>
          <w:szCs w:val="24"/>
        </w:rPr>
        <w:t xml:space="preserve"> Second, claims for </w:t>
      </w:r>
      <w:r w:rsidRPr="00CD16DC">
        <w:rPr>
          <w:rFonts w:ascii="Times New Roman" w:hAnsi="Times New Roman" w:cs="Times New Roman"/>
          <w:i/>
          <w:sz w:val="24"/>
          <w:szCs w:val="24"/>
        </w:rPr>
        <w:t>damages</w:t>
      </w:r>
      <w:r>
        <w:rPr>
          <w:rFonts w:ascii="Times New Roman" w:hAnsi="Times New Roman" w:cs="Times New Roman"/>
          <w:sz w:val="24"/>
          <w:szCs w:val="24"/>
        </w:rPr>
        <w:t xml:space="preserve"> for a wrong</w:t>
      </w:r>
      <w:r w:rsidR="00D704DE">
        <w:rPr>
          <w:rFonts w:ascii="Times New Roman" w:hAnsi="Times New Roman" w:cs="Times New Roman"/>
          <w:sz w:val="24"/>
          <w:szCs w:val="24"/>
        </w:rPr>
        <w:t xml:space="preserve"> </w:t>
      </w:r>
      <w:r>
        <w:rPr>
          <w:rFonts w:ascii="Times New Roman" w:hAnsi="Times New Roman" w:cs="Times New Roman"/>
          <w:sz w:val="24"/>
          <w:szCs w:val="24"/>
        </w:rPr>
        <w:t xml:space="preserve">and claims to enforce </w:t>
      </w:r>
      <w:r w:rsidR="003232A0">
        <w:rPr>
          <w:rFonts w:ascii="Times New Roman" w:hAnsi="Times New Roman" w:cs="Times New Roman"/>
          <w:sz w:val="24"/>
          <w:szCs w:val="24"/>
        </w:rPr>
        <w:t xml:space="preserve">a primary legal obligation are conceptually and practically distinct.  Save for one situation in which it makes specific provision to that effect, </w:t>
      </w:r>
      <w:r w:rsidR="00A82AAF">
        <w:rPr>
          <w:rFonts w:ascii="Times New Roman" w:hAnsi="Times New Roman" w:cs="Times New Roman"/>
          <w:sz w:val="24"/>
          <w:szCs w:val="24"/>
        </w:rPr>
        <w:t xml:space="preserve">the provisions of </w:t>
      </w:r>
      <w:r w:rsidR="00CD16DC">
        <w:rPr>
          <w:rFonts w:ascii="Times New Roman" w:hAnsi="Times New Roman" w:cs="Times New Roman"/>
          <w:sz w:val="24"/>
          <w:szCs w:val="24"/>
        </w:rPr>
        <w:t xml:space="preserve">the </w:t>
      </w:r>
      <w:r w:rsidR="003232A0">
        <w:rPr>
          <w:rFonts w:ascii="Times New Roman" w:hAnsi="Times New Roman" w:cs="Times New Roman"/>
          <w:sz w:val="24"/>
          <w:szCs w:val="24"/>
        </w:rPr>
        <w:t xml:space="preserve">CLA </w:t>
      </w:r>
      <w:r w:rsidR="00A82AAF">
        <w:rPr>
          <w:rFonts w:ascii="Times New Roman" w:hAnsi="Times New Roman" w:cs="Times New Roman"/>
          <w:sz w:val="24"/>
          <w:szCs w:val="24"/>
        </w:rPr>
        <w:t>addressing the relationship between concurrent wrongdoers are</w:t>
      </w:r>
      <w:r w:rsidR="003232A0">
        <w:rPr>
          <w:rFonts w:ascii="Times New Roman" w:hAnsi="Times New Roman" w:cs="Times New Roman"/>
          <w:sz w:val="24"/>
          <w:szCs w:val="24"/>
        </w:rPr>
        <w:t xml:space="preserve"> concerned exclusively with the former and not the latter.  Third, a claim for the recovery of a debt seeks to enforce a primary contractual obligation.  It is not a claim for </w:t>
      </w:r>
      <w:r w:rsidR="003232A0" w:rsidRPr="00CD16DC">
        <w:rPr>
          <w:rFonts w:ascii="Times New Roman" w:hAnsi="Times New Roman" w:cs="Times New Roman"/>
          <w:i/>
          <w:sz w:val="24"/>
          <w:szCs w:val="24"/>
        </w:rPr>
        <w:t>damages</w:t>
      </w:r>
      <w:r w:rsidR="003232A0">
        <w:rPr>
          <w:rFonts w:ascii="Times New Roman" w:hAnsi="Times New Roman" w:cs="Times New Roman"/>
          <w:sz w:val="24"/>
          <w:szCs w:val="24"/>
        </w:rPr>
        <w:t xml:space="preserve">.  Fourth, even if </w:t>
      </w:r>
      <w:r w:rsidR="00CD16DC">
        <w:rPr>
          <w:rFonts w:ascii="Times New Roman" w:hAnsi="Times New Roman" w:cs="Times New Roman"/>
          <w:sz w:val="24"/>
          <w:szCs w:val="24"/>
        </w:rPr>
        <w:t xml:space="preserve">the </w:t>
      </w:r>
      <w:r w:rsidR="003232A0">
        <w:rPr>
          <w:rFonts w:ascii="Times New Roman" w:hAnsi="Times New Roman" w:cs="Times New Roman"/>
          <w:sz w:val="24"/>
          <w:szCs w:val="24"/>
        </w:rPr>
        <w:t>CLA is to be interpreted in such a way that an action for the recovery of a debt and an action for damages for breach of contract are to be equated so that debt recovery proceedings come within</w:t>
      </w:r>
      <w:r w:rsidR="00CD16DC">
        <w:rPr>
          <w:rFonts w:ascii="Times New Roman" w:hAnsi="Times New Roman" w:cs="Times New Roman"/>
          <w:sz w:val="24"/>
          <w:szCs w:val="24"/>
        </w:rPr>
        <w:t xml:space="preserve"> Part III CLA</w:t>
      </w:r>
      <w:r w:rsidR="003232A0">
        <w:rPr>
          <w:rFonts w:ascii="Times New Roman" w:hAnsi="Times New Roman" w:cs="Times New Roman"/>
          <w:sz w:val="24"/>
          <w:szCs w:val="24"/>
        </w:rPr>
        <w:t xml:space="preserve">, a claim against a </w:t>
      </w:r>
      <w:r w:rsidR="00CD16DC">
        <w:rPr>
          <w:rFonts w:ascii="Times New Roman" w:hAnsi="Times New Roman" w:cs="Times New Roman"/>
          <w:sz w:val="24"/>
          <w:szCs w:val="24"/>
        </w:rPr>
        <w:t xml:space="preserve">debtor </w:t>
      </w:r>
      <w:r w:rsidR="003232A0">
        <w:rPr>
          <w:rFonts w:ascii="Times New Roman" w:hAnsi="Times New Roman" w:cs="Times New Roman"/>
          <w:sz w:val="24"/>
          <w:szCs w:val="24"/>
        </w:rPr>
        <w:t xml:space="preserve">on foot of a loan instrument and a claim against a valuer whose negligence is alleged to have resulted in the granting of the loan are not actions to recover the same </w:t>
      </w:r>
      <w:r w:rsidR="003232A0" w:rsidRPr="00CD16DC">
        <w:rPr>
          <w:rFonts w:ascii="Times New Roman" w:hAnsi="Times New Roman" w:cs="Times New Roman"/>
          <w:i/>
          <w:sz w:val="24"/>
          <w:szCs w:val="24"/>
        </w:rPr>
        <w:t>damage</w:t>
      </w:r>
      <w:r w:rsidR="003232A0">
        <w:rPr>
          <w:rFonts w:ascii="Times New Roman" w:hAnsi="Times New Roman" w:cs="Times New Roman"/>
          <w:sz w:val="24"/>
          <w:szCs w:val="24"/>
        </w:rPr>
        <w:t xml:space="preserve">.  The </w:t>
      </w:r>
      <w:r w:rsidR="00CD16DC">
        <w:rPr>
          <w:rFonts w:ascii="Times New Roman" w:hAnsi="Times New Roman" w:cs="Times New Roman"/>
          <w:sz w:val="24"/>
          <w:szCs w:val="24"/>
        </w:rPr>
        <w:t xml:space="preserve">debtor’s </w:t>
      </w:r>
      <w:r w:rsidR="00D704DE">
        <w:rPr>
          <w:rFonts w:ascii="Times New Roman" w:hAnsi="Times New Roman" w:cs="Times New Roman"/>
          <w:sz w:val="24"/>
          <w:szCs w:val="24"/>
        </w:rPr>
        <w:t xml:space="preserve">liability is for the whole of the debt while the </w:t>
      </w:r>
      <w:r w:rsidR="003232A0">
        <w:rPr>
          <w:rFonts w:ascii="Times New Roman" w:hAnsi="Times New Roman" w:cs="Times New Roman"/>
          <w:sz w:val="24"/>
          <w:szCs w:val="24"/>
        </w:rPr>
        <w:t xml:space="preserve">valuer’s liability is </w:t>
      </w:r>
      <w:r w:rsidR="00CD16DC">
        <w:rPr>
          <w:rFonts w:ascii="Times New Roman" w:hAnsi="Times New Roman" w:cs="Times New Roman"/>
          <w:sz w:val="24"/>
          <w:szCs w:val="24"/>
        </w:rPr>
        <w:t xml:space="preserve">(at most) </w:t>
      </w:r>
      <w:r w:rsidR="003232A0">
        <w:rPr>
          <w:rFonts w:ascii="Times New Roman" w:hAnsi="Times New Roman" w:cs="Times New Roman"/>
          <w:sz w:val="24"/>
          <w:szCs w:val="24"/>
        </w:rPr>
        <w:t xml:space="preserve">only for the amount of the loan that the </w:t>
      </w:r>
      <w:r w:rsidR="00CD16DC">
        <w:rPr>
          <w:rFonts w:ascii="Times New Roman" w:hAnsi="Times New Roman" w:cs="Times New Roman"/>
          <w:sz w:val="24"/>
          <w:szCs w:val="24"/>
        </w:rPr>
        <w:t xml:space="preserve">lender is </w:t>
      </w:r>
      <w:r w:rsidR="003232A0">
        <w:rPr>
          <w:rFonts w:ascii="Times New Roman" w:hAnsi="Times New Roman" w:cs="Times New Roman"/>
          <w:sz w:val="24"/>
          <w:szCs w:val="24"/>
        </w:rPr>
        <w:t xml:space="preserve">unable to recover from the </w:t>
      </w:r>
      <w:r w:rsidR="00CD16DC">
        <w:rPr>
          <w:rFonts w:ascii="Times New Roman" w:hAnsi="Times New Roman" w:cs="Times New Roman"/>
          <w:sz w:val="24"/>
          <w:szCs w:val="24"/>
        </w:rPr>
        <w:t>debtor</w:t>
      </w:r>
      <w:r w:rsidR="003232A0">
        <w:rPr>
          <w:rFonts w:ascii="Times New Roman" w:hAnsi="Times New Roman" w:cs="Times New Roman"/>
          <w:sz w:val="24"/>
          <w:szCs w:val="24"/>
        </w:rPr>
        <w:t xml:space="preserve">.  The liability of the </w:t>
      </w:r>
      <w:r w:rsidR="00D704DE">
        <w:rPr>
          <w:rFonts w:ascii="Times New Roman" w:hAnsi="Times New Roman" w:cs="Times New Roman"/>
          <w:sz w:val="24"/>
          <w:szCs w:val="24"/>
        </w:rPr>
        <w:t xml:space="preserve">valuer and the </w:t>
      </w:r>
      <w:r w:rsidR="00CD16DC">
        <w:rPr>
          <w:rFonts w:ascii="Times New Roman" w:hAnsi="Times New Roman" w:cs="Times New Roman"/>
          <w:sz w:val="24"/>
          <w:szCs w:val="24"/>
        </w:rPr>
        <w:t xml:space="preserve">debtor </w:t>
      </w:r>
      <w:r w:rsidR="00D704DE">
        <w:rPr>
          <w:rFonts w:ascii="Times New Roman" w:hAnsi="Times New Roman" w:cs="Times New Roman"/>
          <w:sz w:val="24"/>
          <w:szCs w:val="24"/>
        </w:rPr>
        <w:t>are not, therefore, concurrent</w:t>
      </w:r>
      <w:r w:rsidR="00A82AAF">
        <w:rPr>
          <w:rFonts w:ascii="Times New Roman" w:hAnsi="Times New Roman" w:cs="Times New Roman"/>
          <w:sz w:val="24"/>
          <w:szCs w:val="24"/>
        </w:rPr>
        <w:t>.</w:t>
      </w:r>
    </w:p>
    <w:p w14:paraId="50E6350A" w14:textId="77777777" w:rsidR="00A82AAF" w:rsidRDefault="00A82AAF" w:rsidP="00A82AAF">
      <w:pPr>
        <w:pStyle w:val="ListParagraph"/>
        <w:spacing w:after="0" w:line="480" w:lineRule="auto"/>
        <w:jc w:val="both"/>
        <w:rPr>
          <w:rFonts w:ascii="Times New Roman" w:hAnsi="Times New Roman" w:cs="Times New Roman"/>
          <w:sz w:val="24"/>
          <w:szCs w:val="24"/>
        </w:rPr>
      </w:pPr>
    </w:p>
    <w:p w14:paraId="2A8DA869" w14:textId="77777777" w:rsidR="00A82AAF" w:rsidRPr="00A82AAF" w:rsidRDefault="00A82AAF" w:rsidP="00272396">
      <w:pPr>
        <w:pStyle w:val="Heading2"/>
      </w:pPr>
      <w:r>
        <w:t>Concurrent wrongdoers, the CLA and claims for damages</w:t>
      </w:r>
    </w:p>
    <w:p w14:paraId="17828D94" w14:textId="77777777" w:rsidR="00624914" w:rsidRPr="00434D69" w:rsidRDefault="00624914"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067E1A8B" w14:textId="7F6D515D" w:rsidR="008D3D54" w:rsidRPr="00434D69" w:rsidRDefault="008D3D54"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Th</w:t>
      </w:r>
      <w:r w:rsidR="00807B6E">
        <w:rPr>
          <w:rFonts w:ascii="Times New Roman" w:hAnsi="Times New Roman" w:cs="Times New Roman"/>
          <w:sz w:val="24"/>
          <w:szCs w:val="24"/>
        </w:rPr>
        <w:t>e definition of ‘</w:t>
      </w:r>
      <w:r w:rsidR="00807B6E">
        <w:rPr>
          <w:rFonts w:ascii="Times New Roman" w:hAnsi="Times New Roman" w:cs="Times New Roman"/>
          <w:i/>
          <w:sz w:val="24"/>
          <w:szCs w:val="24"/>
        </w:rPr>
        <w:t>concurrent wrongdoers</w:t>
      </w:r>
      <w:r w:rsidR="00B67C7D">
        <w:rPr>
          <w:rFonts w:ascii="Times New Roman" w:hAnsi="Times New Roman" w:cs="Times New Roman"/>
          <w:i/>
          <w:sz w:val="24"/>
          <w:szCs w:val="24"/>
        </w:rPr>
        <w:t>’</w:t>
      </w:r>
      <w:r w:rsidR="00807B6E">
        <w:rPr>
          <w:rFonts w:ascii="Times New Roman" w:hAnsi="Times New Roman" w:cs="Times New Roman"/>
          <w:i/>
          <w:sz w:val="24"/>
          <w:szCs w:val="24"/>
        </w:rPr>
        <w:t xml:space="preserve"> </w:t>
      </w:r>
      <w:r w:rsidR="00807B6E">
        <w:rPr>
          <w:rFonts w:ascii="Times New Roman" w:hAnsi="Times New Roman" w:cs="Times New Roman"/>
          <w:sz w:val="24"/>
          <w:szCs w:val="24"/>
        </w:rPr>
        <w:t xml:space="preserve">appears in </w:t>
      </w:r>
      <w:r w:rsidRPr="00434D69">
        <w:rPr>
          <w:rFonts w:ascii="Times New Roman" w:hAnsi="Times New Roman" w:cs="Times New Roman"/>
          <w:sz w:val="24"/>
          <w:szCs w:val="24"/>
        </w:rPr>
        <w:t>s</w:t>
      </w:r>
      <w:r w:rsidR="00CD16DC">
        <w:rPr>
          <w:rFonts w:ascii="Times New Roman" w:hAnsi="Times New Roman" w:cs="Times New Roman"/>
          <w:sz w:val="24"/>
          <w:szCs w:val="24"/>
        </w:rPr>
        <w:t>ection 1</w:t>
      </w:r>
      <w:r w:rsidRPr="00434D69">
        <w:rPr>
          <w:rFonts w:ascii="Times New Roman" w:hAnsi="Times New Roman" w:cs="Times New Roman"/>
          <w:sz w:val="24"/>
          <w:szCs w:val="24"/>
        </w:rPr>
        <w:t>1(1)</w:t>
      </w:r>
      <w:r w:rsidR="00580C3B">
        <w:rPr>
          <w:rFonts w:ascii="Times New Roman" w:hAnsi="Times New Roman" w:cs="Times New Roman"/>
          <w:sz w:val="24"/>
          <w:szCs w:val="24"/>
        </w:rPr>
        <w:t xml:space="preserve"> and has two elements</w:t>
      </w:r>
      <w:r w:rsidRPr="00434D69">
        <w:rPr>
          <w:rFonts w:ascii="Times New Roman" w:hAnsi="Times New Roman" w:cs="Times New Roman"/>
          <w:sz w:val="24"/>
          <w:szCs w:val="24"/>
        </w:rPr>
        <w:t>:</w:t>
      </w:r>
    </w:p>
    <w:p w14:paraId="2ECD0DAE" w14:textId="77777777" w:rsidR="008D3D54" w:rsidRPr="00434D69" w:rsidRDefault="008D3D54" w:rsidP="008D3D54">
      <w:pPr>
        <w:pStyle w:val="ListParagraph"/>
        <w:spacing w:after="0" w:line="480" w:lineRule="auto"/>
        <w:rPr>
          <w:rFonts w:ascii="Times New Roman" w:hAnsi="Times New Roman" w:cs="Times New Roman"/>
          <w:sz w:val="24"/>
          <w:szCs w:val="24"/>
        </w:rPr>
      </w:pPr>
    </w:p>
    <w:p w14:paraId="0B92951F" w14:textId="6234C062" w:rsidR="00580C3B" w:rsidRDefault="00CD16DC" w:rsidP="008D3D5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w:t>
      </w:r>
      <w:r w:rsidR="008D3D54" w:rsidRPr="00434D69">
        <w:rPr>
          <w:rFonts w:ascii="Times New Roman" w:hAnsi="Times New Roman" w:cs="Times New Roman"/>
          <w:i/>
          <w:sz w:val="24"/>
          <w:szCs w:val="24"/>
        </w:rPr>
        <w:t xml:space="preserve">two or more persons are </w:t>
      </w:r>
      <w:r w:rsidR="008D3D54" w:rsidRPr="00580C3B">
        <w:rPr>
          <w:rFonts w:ascii="Times New Roman" w:hAnsi="Times New Roman" w:cs="Times New Roman"/>
          <w:i/>
          <w:sz w:val="24"/>
          <w:szCs w:val="24"/>
        </w:rPr>
        <w:t>concurrent wrongdoers</w:t>
      </w:r>
      <w:r w:rsidR="008D3D54" w:rsidRPr="00434D69">
        <w:rPr>
          <w:rFonts w:ascii="Times New Roman" w:hAnsi="Times New Roman" w:cs="Times New Roman"/>
          <w:i/>
          <w:sz w:val="24"/>
          <w:szCs w:val="24"/>
        </w:rPr>
        <w:t xml:space="preserve"> when both or all are </w:t>
      </w:r>
      <w:r w:rsidR="008D3D54" w:rsidRPr="00CD16DC">
        <w:rPr>
          <w:rFonts w:ascii="Times New Roman" w:hAnsi="Times New Roman" w:cs="Times New Roman"/>
          <w:i/>
          <w:sz w:val="24"/>
          <w:szCs w:val="24"/>
          <w:u w:val="single"/>
        </w:rPr>
        <w:t>wrongdoers</w:t>
      </w:r>
      <w:r w:rsidR="008D3D54" w:rsidRPr="00434D69">
        <w:rPr>
          <w:rFonts w:ascii="Times New Roman" w:hAnsi="Times New Roman" w:cs="Times New Roman"/>
          <w:i/>
          <w:sz w:val="24"/>
          <w:szCs w:val="24"/>
        </w:rPr>
        <w:t xml:space="preserve"> and are responsible to a third person … for the </w:t>
      </w:r>
      <w:r w:rsidR="008D3D54" w:rsidRPr="00CD16DC">
        <w:rPr>
          <w:rFonts w:ascii="Times New Roman" w:hAnsi="Times New Roman" w:cs="Times New Roman"/>
          <w:i/>
          <w:sz w:val="24"/>
          <w:szCs w:val="24"/>
          <w:u w:val="single"/>
        </w:rPr>
        <w:t>same damage</w:t>
      </w:r>
      <w:r w:rsidR="008D3D54" w:rsidRPr="00434D69">
        <w:rPr>
          <w:rFonts w:ascii="Times New Roman" w:hAnsi="Times New Roman" w:cs="Times New Roman"/>
          <w:i/>
          <w:sz w:val="24"/>
          <w:szCs w:val="24"/>
        </w:rPr>
        <w:t>.</w:t>
      </w:r>
      <w:r>
        <w:rPr>
          <w:rFonts w:ascii="Times New Roman" w:hAnsi="Times New Roman" w:cs="Times New Roman"/>
          <w:i/>
          <w:sz w:val="24"/>
          <w:szCs w:val="24"/>
        </w:rPr>
        <w:t xml:space="preserve">” </w:t>
      </w:r>
      <w:r w:rsidRPr="00CD16DC">
        <w:rPr>
          <w:rFonts w:ascii="Times New Roman" w:hAnsi="Times New Roman" w:cs="Times New Roman"/>
          <w:sz w:val="24"/>
          <w:szCs w:val="24"/>
        </w:rPr>
        <w:t>(our emphasis)</w:t>
      </w:r>
    </w:p>
    <w:p w14:paraId="311CD408" w14:textId="77777777" w:rsidR="008D3D54" w:rsidRPr="00434D69" w:rsidRDefault="008D3D54" w:rsidP="008D3D54">
      <w:pPr>
        <w:pStyle w:val="ListParagraph"/>
        <w:spacing w:after="0" w:line="480" w:lineRule="auto"/>
        <w:rPr>
          <w:rFonts w:ascii="Times New Roman" w:hAnsi="Times New Roman" w:cs="Times New Roman"/>
          <w:sz w:val="24"/>
          <w:szCs w:val="24"/>
        </w:rPr>
      </w:pPr>
    </w:p>
    <w:p w14:paraId="39FEF912" w14:textId="2544FA01" w:rsidR="00580C3B" w:rsidRDefault="00204420" w:rsidP="003C658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 ‘</w:t>
      </w:r>
      <w:r>
        <w:rPr>
          <w:rFonts w:ascii="Times New Roman" w:hAnsi="Times New Roman" w:cs="Times New Roman"/>
          <w:i/>
          <w:sz w:val="24"/>
          <w:szCs w:val="24"/>
        </w:rPr>
        <w:t>wrongdoer</w:t>
      </w:r>
      <w:r w:rsidR="00B67C7D">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is a person who commits or is otherwise responsible for a wrong (s</w:t>
      </w:r>
      <w:r w:rsidR="00CD16DC">
        <w:rPr>
          <w:rFonts w:ascii="Times New Roman" w:hAnsi="Times New Roman" w:cs="Times New Roman"/>
          <w:sz w:val="24"/>
          <w:szCs w:val="24"/>
        </w:rPr>
        <w:t>ection</w:t>
      </w:r>
      <w:r>
        <w:rPr>
          <w:rFonts w:ascii="Times New Roman" w:hAnsi="Times New Roman" w:cs="Times New Roman"/>
          <w:sz w:val="24"/>
          <w:szCs w:val="24"/>
        </w:rPr>
        <w:t xml:space="preserve"> 2(1)).  </w:t>
      </w:r>
      <w:r w:rsidR="00580C3B">
        <w:rPr>
          <w:rFonts w:ascii="Times New Roman" w:hAnsi="Times New Roman" w:cs="Times New Roman"/>
          <w:sz w:val="24"/>
          <w:szCs w:val="24"/>
        </w:rPr>
        <w:t>‘</w:t>
      </w:r>
      <w:r w:rsidR="00580C3B">
        <w:rPr>
          <w:rFonts w:ascii="Times New Roman" w:hAnsi="Times New Roman" w:cs="Times New Roman"/>
          <w:i/>
          <w:sz w:val="24"/>
          <w:szCs w:val="24"/>
        </w:rPr>
        <w:t>Wrong</w:t>
      </w:r>
      <w:r w:rsidR="00B67C7D">
        <w:rPr>
          <w:rFonts w:ascii="Times New Roman" w:hAnsi="Times New Roman" w:cs="Times New Roman"/>
          <w:i/>
          <w:sz w:val="24"/>
          <w:szCs w:val="24"/>
        </w:rPr>
        <w:t>’</w:t>
      </w:r>
      <w:r w:rsidR="00580C3B">
        <w:rPr>
          <w:rFonts w:ascii="Times New Roman" w:hAnsi="Times New Roman" w:cs="Times New Roman"/>
          <w:i/>
          <w:sz w:val="24"/>
          <w:szCs w:val="24"/>
        </w:rPr>
        <w:t xml:space="preserve"> </w:t>
      </w:r>
      <w:r w:rsidR="00580C3B">
        <w:rPr>
          <w:rFonts w:ascii="Times New Roman" w:hAnsi="Times New Roman" w:cs="Times New Roman"/>
          <w:sz w:val="24"/>
          <w:szCs w:val="24"/>
        </w:rPr>
        <w:t xml:space="preserve">is defined </w:t>
      </w:r>
      <w:r w:rsidR="00CD16DC">
        <w:rPr>
          <w:rFonts w:ascii="Times New Roman" w:hAnsi="Times New Roman" w:cs="Times New Roman"/>
          <w:sz w:val="24"/>
          <w:szCs w:val="24"/>
        </w:rPr>
        <w:t>in broad terms</w:t>
      </w:r>
      <w:r w:rsidR="00580C3B">
        <w:rPr>
          <w:rFonts w:ascii="Times New Roman" w:hAnsi="Times New Roman" w:cs="Times New Roman"/>
          <w:sz w:val="24"/>
          <w:szCs w:val="24"/>
        </w:rPr>
        <w:t xml:space="preserve"> </w:t>
      </w:r>
      <w:r w:rsidR="00CD16DC">
        <w:rPr>
          <w:rFonts w:ascii="Times New Roman" w:hAnsi="Times New Roman" w:cs="Times New Roman"/>
          <w:sz w:val="24"/>
          <w:szCs w:val="24"/>
        </w:rPr>
        <w:t xml:space="preserve">in section </w:t>
      </w:r>
      <w:r w:rsidR="00580C3B">
        <w:rPr>
          <w:rFonts w:ascii="Times New Roman" w:hAnsi="Times New Roman" w:cs="Times New Roman"/>
          <w:sz w:val="24"/>
          <w:szCs w:val="24"/>
        </w:rPr>
        <w:t>2(1):</w:t>
      </w:r>
    </w:p>
    <w:p w14:paraId="05A5E9EE" w14:textId="77777777" w:rsidR="00580C3B" w:rsidRDefault="00580C3B" w:rsidP="00580C3B">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90C0064" w14:textId="10DB99D6" w:rsidR="00580C3B" w:rsidRPr="00434D69" w:rsidRDefault="00CD16DC" w:rsidP="00580C3B">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580C3B" w:rsidRPr="00434D69">
        <w:rPr>
          <w:rFonts w:ascii="Times New Roman" w:hAnsi="Times New Roman" w:cs="Times New Roman"/>
          <w:sz w:val="24"/>
          <w:szCs w:val="24"/>
        </w:rPr>
        <w:t>‘</w:t>
      </w:r>
      <w:r w:rsidR="00580C3B" w:rsidRPr="00434D69">
        <w:rPr>
          <w:rFonts w:ascii="Times New Roman" w:hAnsi="Times New Roman" w:cs="Times New Roman"/>
          <w:i/>
          <w:sz w:val="24"/>
          <w:szCs w:val="24"/>
        </w:rPr>
        <w:t>wrong</w:t>
      </w:r>
      <w:r w:rsidR="00B67C7D">
        <w:rPr>
          <w:rFonts w:ascii="Times New Roman" w:hAnsi="Times New Roman" w:cs="Times New Roman"/>
          <w:i/>
          <w:sz w:val="24"/>
          <w:szCs w:val="24"/>
        </w:rPr>
        <w:t>’</w:t>
      </w:r>
      <w:r w:rsidR="00580C3B" w:rsidRPr="00434D69">
        <w:rPr>
          <w:rFonts w:ascii="Times New Roman" w:hAnsi="Times New Roman" w:cs="Times New Roman"/>
          <w:i/>
          <w:sz w:val="24"/>
          <w:szCs w:val="24"/>
        </w:rPr>
        <w:t xml:space="preserve"> means a tort, breach of contract or breach of trust, whether the act is committed by the person </w:t>
      </w:r>
      <w:r w:rsidR="007D66B7">
        <w:rPr>
          <w:rFonts w:ascii="Times New Roman" w:hAnsi="Times New Roman" w:cs="Times New Roman"/>
          <w:i/>
          <w:sz w:val="24"/>
          <w:szCs w:val="24"/>
        </w:rPr>
        <w:t>to</w:t>
      </w:r>
      <w:r w:rsidR="007D66B7" w:rsidRPr="00434D69">
        <w:rPr>
          <w:rFonts w:ascii="Times New Roman" w:hAnsi="Times New Roman" w:cs="Times New Roman"/>
          <w:i/>
          <w:sz w:val="24"/>
          <w:szCs w:val="24"/>
        </w:rPr>
        <w:t xml:space="preserve"> </w:t>
      </w:r>
      <w:r w:rsidR="00580C3B" w:rsidRPr="00434D69">
        <w:rPr>
          <w:rFonts w:ascii="Times New Roman" w:hAnsi="Times New Roman" w:cs="Times New Roman"/>
          <w:i/>
          <w:sz w:val="24"/>
          <w:szCs w:val="24"/>
        </w:rPr>
        <w:t>whom the wrong is attributed or by one for whose acts he is responsible …</w:t>
      </w:r>
      <w:r>
        <w:rPr>
          <w:rFonts w:ascii="Times New Roman" w:hAnsi="Times New Roman" w:cs="Times New Roman"/>
          <w:i/>
          <w:sz w:val="24"/>
          <w:szCs w:val="24"/>
        </w:rPr>
        <w:t>”</w:t>
      </w:r>
    </w:p>
    <w:p w14:paraId="6C77C741" w14:textId="77777777" w:rsidR="00580C3B" w:rsidRDefault="00580C3B" w:rsidP="00580C3B">
      <w:pPr>
        <w:pStyle w:val="ListParagraph"/>
        <w:spacing w:after="0" w:line="480" w:lineRule="auto"/>
        <w:jc w:val="both"/>
        <w:rPr>
          <w:rFonts w:ascii="Times New Roman" w:hAnsi="Times New Roman" w:cs="Times New Roman"/>
          <w:sz w:val="24"/>
          <w:szCs w:val="24"/>
        </w:rPr>
      </w:pPr>
    </w:p>
    <w:p w14:paraId="4A23FB07" w14:textId="22EE4868" w:rsidR="00580C3B" w:rsidRDefault="00CD16DC" w:rsidP="003C658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580C3B" w:rsidRPr="00580C3B">
        <w:rPr>
          <w:rFonts w:ascii="Times New Roman" w:hAnsi="Times New Roman" w:cs="Times New Roman"/>
          <w:i/>
          <w:sz w:val="24"/>
          <w:szCs w:val="24"/>
        </w:rPr>
        <w:t>D</w:t>
      </w:r>
      <w:r w:rsidR="008D3D54" w:rsidRPr="00580C3B">
        <w:rPr>
          <w:rFonts w:ascii="Times New Roman" w:hAnsi="Times New Roman" w:cs="Times New Roman"/>
          <w:i/>
          <w:sz w:val="24"/>
          <w:szCs w:val="24"/>
        </w:rPr>
        <w:t>amage</w:t>
      </w:r>
      <w:r w:rsidR="0090179D">
        <w:rPr>
          <w:rFonts w:ascii="Times New Roman" w:hAnsi="Times New Roman" w:cs="Times New Roman"/>
          <w:i/>
          <w:sz w:val="24"/>
          <w:szCs w:val="24"/>
        </w:rPr>
        <w:t>”</w:t>
      </w:r>
      <w:r w:rsidR="008D3D54" w:rsidRPr="00580C3B">
        <w:rPr>
          <w:rFonts w:ascii="Times New Roman" w:hAnsi="Times New Roman" w:cs="Times New Roman"/>
          <w:i/>
          <w:sz w:val="24"/>
          <w:szCs w:val="24"/>
        </w:rPr>
        <w:t xml:space="preserve"> </w:t>
      </w:r>
      <w:r w:rsidR="008D3D54" w:rsidRPr="00580C3B">
        <w:rPr>
          <w:rFonts w:ascii="Times New Roman" w:hAnsi="Times New Roman" w:cs="Times New Roman"/>
          <w:sz w:val="24"/>
          <w:szCs w:val="24"/>
        </w:rPr>
        <w:t>under s.</w:t>
      </w:r>
      <w:r w:rsidR="00F77DCE">
        <w:rPr>
          <w:rFonts w:ascii="Times New Roman" w:hAnsi="Times New Roman" w:cs="Times New Roman"/>
          <w:sz w:val="24"/>
          <w:szCs w:val="24"/>
        </w:rPr>
        <w:t xml:space="preserve"> </w:t>
      </w:r>
      <w:r w:rsidR="008D3D54" w:rsidRPr="00580C3B">
        <w:rPr>
          <w:rFonts w:ascii="Times New Roman" w:hAnsi="Times New Roman" w:cs="Times New Roman"/>
          <w:sz w:val="24"/>
          <w:szCs w:val="24"/>
        </w:rPr>
        <w:t>2(1) ‘</w:t>
      </w:r>
      <w:r w:rsidR="008D3D54" w:rsidRPr="00580C3B">
        <w:rPr>
          <w:rFonts w:ascii="Times New Roman" w:hAnsi="Times New Roman" w:cs="Times New Roman"/>
          <w:i/>
          <w:sz w:val="24"/>
          <w:szCs w:val="24"/>
        </w:rPr>
        <w:t>includes loss of property, loss of life and personal injury</w:t>
      </w:r>
      <w:r w:rsidR="00B67C7D">
        <w:rPr>
          <w:rFonts w:ascii="Times New Roman" w:hAnsi="Times New Roman" w:cs="Times New Roman"/>
          <w:i/>
          <w:sz w:val="24"/>
          <w:szCs w:val="24"/>
        </w:rPr>
        <w:t>’</w:t>
      </w:r>
      <w:r w:rsidR="008D3D54" w:rsidRPr="00580C3B">
        <w:rPr>
          <w:rFonts w:ascii="Times New Roman" w:hAnsi="Times New Roman" w:cs="Times New Roman"/>
          <w:sz w:val="24"/>
          <w:szCs w:val="24"/>
        </w:rPr>
        <w:t xml:space="preserve">.  </w:t>
      </w:r>
      <w:r w:rsidR="00204420">
        <w:rPr>
          <w:rFonts w:ascii="Times New Roman" w:hAnsi="Times New Roman" w:cs="Times New Roman"/>
          <w:sz w:val="24"/>
          <w:szCs w:val="24"/>
        </w:rPr>
        <w:t>This is to be contrasted with ‘</w:t>
      </w:r>
      <w:r w:rsidR="00204420">
        <w:rPr>
          <w:rFonts w:ascii="Times New Roman" w:hAnsi="Times New Roman" w:cs="Times New Roman"/>
          <w:i/>
          <w:sz w:val="24"/>
          <w:szCs w:val="24"/>
        </w:rPr>
        <w:t>damages</w:t>
      </w:r>
      <w:r w:rsidR="00B67C7D">
        <w:rPr>
          <w:rFonts w:ascii="Times New Roman" w:hAnsi="Times New Roman" w:cs="Times New Roman"/>
          <w:i/>
          <w:sz w:val="24"/>
          <w:szCs w:val="24"/>
        </w:rPr>
        <w:t>’</w:t>
      </w:r>
      <w:r w:rsidR="00204420">
        <w:rPr>
          <w:rFonts w:ascii="Times New Roman" w:hAnsi="Times New Roman" w:cs="Times New Roman"/>
          <w:sz w:val="24"/>
          <w:szCs w:val="24"/>
        </w:rPr>
        <w:t xml:space="preserve"> which is defined separately in the same subsection of the Act as </w:t>
      </w:r>
      <w:r w:rsidR="0090179D" w:rsidRPr="0090179D">
        <w:rPr>
          <w:rFonts w:ascii="Times New Roman" w:hAnsi="Times New Roman" w:cs="Times New Roman"/>
          <w:i/>
          <w:sz w:val="24"/>
          <w:szCs w:val="24"/>
        </w:rPr>
        <w:t>“</w:t>
      </w:r>
      <w:r w:rsidR="00204420" w:rsidRPr="0090179D">
        <w:rPr>
          <w:rFonts w:ascii="Times New Roman" w:hAnsi="Times New Roman" w:cs="Times New Roman"/>
          <w:i/>
          <w:sz w:val="24"/>
          <w:szCs w:val="24"/>
        </w:rPr>
        <w:t xml:space="preserve">except in Part IV of the Act </w:t>
      </w:r>
      <w:r w:rsidR="0090179D" w:rsidRPr="0090179D">
        <w:rPr>
          <w:rFonts w:ascii="Times New Roman" w:hAnsi="Times New Roman" w:cs="Times New Roman"/>
          <w:i/>
          <w:sz w:val="24"/>
          <w:szCs w:val="24"/>
        </w:rPr>
        <w:t>[</w:t>
      </w:r>
      <w:r w:rsidR="00204420" w:rsidRPr="0090179D">
        <w:rPr>
          <w:rFonts w:ascii="Times New Roman" w:hAnsi="Times New Roman" w:cs="Times New Roman"/>
          <w:i/>
          <w:sz w:val="24"/>
          <w:szCs w:val="24"/>
        </w:rPr>
        <w:t>including</w:t>
      </w:r>
      <w:r w:rsidR="0090179D" w:rsidRPr="0090179D">
        <w:rPr>
          <w:rFonts w:ascii="Times New Roman" w:hAnsi="Times New Roman" w:cs="Times New Roman"/>
          <w:i/>
          <w:sz w:val="24"/>
          <w:szCs w:val="24"/>
        </w:rPr>
        <w:t>]</w:t>
      </w:r>
      <w:r w:rsidR="00204420" w:rsidRPr="0090179D">
        <w:rPr>
          <w:rFonts w:ascii="Times New Roman" w:hAnsi="Times New Roman" w:cs="Times New Roman"/>
          <w:i/>
          <w:sz w:val="24"/>
          <w:szCs w:val="24"/>
        </w:rPr>
        <w:t xml:space="preserve"> compensation for breach of trust.</w:t>
      </w:r>
      <w:r w:rsidR="0090179D" w:rsidRPr="0090179D">
        <w:rPr>
          <w:rFonts w:ascii="Times New Roman" w:hAnsi="Times New Roman" w:cs="Times New Roman"/>
          <w:i/>
          <w:sz w:val="24"/>
          <w:szCs w:val="24"/>
        </w:rPr>
        <w:t>”</w:t>
      </w:r>
    </w:p>
    <w:p w14:paraId="61622377" w14:textId="77777777" w:rsidR="008D3D54" w:rsidRPr="00580C3B" w:rsidRDefault="008D3D54" w:rsidP="00580C3B">
      <w:pPr>
        <w:pStyle w:val="ListParagraph"/>
        <w:spacing w:after="0" w:line="480" w:lineRule="auto"/>
        <w:jc w:val="both"/>
        <w:rPr>
          <w:rFonts w:ascii="Times New Roman" w:hAnsi="Times New Roman" w:cs="Times New Roman"/>
          <w:sz w:val="24"/>
          <w:szCs w:val="24"/>
        </w:rPr>
      </w:pPr>
      <w:r w:rsidRPr="00580C3B">
        <w:rPr>
          <w:rFonts w:ascii="Times New Roman" w:hAnsi="Times New Roman" w:cs="Times New Roman"/>
          <w:sz w:val="24"/>
          <w:szCs w:val="24"/>
        </w:rPr>
        <w:t xml:space="preserve">  </w:t>
      </w:r>
    </w:p>
    <w:p w14:paraId="0CF789F7" w14:textId="7FA8D2AD" w:rsidR="00580C3B" w:rsidRDefault="00580C3B" w:rsidP="00A711B9">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It is easy to fall into the trap of thinking that the scope of the rules governing concurrent wrongdoers is defined exclusively by whether the relevant parties are ‘</w:t>
      </w:r>
      <w:r>
        <w:rPr>
          <w:rFonts w:ascii="Times New Roman" w:hAnsi="Times New Roman" w:cs="Times New Roman"/>
          <w:i/>
          <w:sz w:val="24"/>
          <w:szCs w:val="24"/>
        </w:rPr>
        <w:t>wrongdoers</w:t>
      </w:r>
      <w:r w:rsidR="00B67C7D">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who have inflicted ‘</w:t>
      </w:r>
      <w:r w:rsidRPr="00580C3B">
        <w:rPr>
          <w:rFonts w:ascii="Times New Roman" w:hAnsi="Times New Roman" w:cs="Times New Roman"/>
          <w:i/>
          <w:sz w:val="24"/>
          <w:szCs w:val="24"/>
        </w:rPr>
        <w:t>damage</w:t>
      </w:r>
      <w:r w:rsidRPr="00580C3B">
        <w:rPr>
          <w:rFonts w:ascii="Times New Roman" w:hAnsi="Times New Roman" w:cs="Times New Roman"/>
          <w:sz w:val="24"/>
          <w:szCs w:val="24"/>
        </w:rPr>
        <w:t>’</w:t>
      </w:r>
      <w:r>
        <w:rPr>
          <w:rFonts w:ascii="Times New Roman" w:hAnsi="Times New Roman" w:cs="Times New Roman"/>
          <w:sz w:val="24"/>
          <w:szCs w:val="24"/>
        </w:rPr>
        <w:t xml:space="preserve"> on the plaintiff.  That is the </w:t>
      </w:r>
      <w:r w:rsidR="0090179D">
        <w:rPr>
          <w:rFonts w:ascii="Times New Roman" w:hAnsi="Times New Roman" w:cs="Times New Roman"/>
          <w:sz w:val="24"/>
          <w:szCs w:val="24"/>
        </w:rPr>
        <w:t>D</w:t>
      </w:r>
      <w:r>
        <w:rPr>
          <w:rFonts w:ascii="Times New Roman" w:hAnsi="Times New Roman" w:cs="Times New Roman"/>
          <w:sz w:val="24"/>
          <w:szCs w:val="24"/>
        </w:rPr>
        <w:t xml:space="preserve">efendants’ case, and indeed is the essential analysis undertaken by the </w:t>
      </w:r>
      <w:r w:rsidR="0090179D">
        <w:rPr>
          <w:rFonts w:ascii="Times New Roman" w:hAnsi="Times New Roman" w:cs="Times New Roman"/>
          <w:sz w:val="24"/>
          <w:szCs w:val="24"/>
        </w:rPr>
        <w:t>J</w:t>
      </w:r>
      <w:r>
        <w:rPr>
          <w:rFonts w:ascii="Times New Roman" w:hAnsi="Times New Roman" w:cs="Times New Roman"/>
          <w:sz w:val="24"/>
          <w:szCs w:val="24"/>
        </w:rPr>
        <w:t xml:space="preserve">udge.  </w:t>
      </w:r>
      <w:r w:rsidR="009A0E41">
        <w:rPr>
          <w:rFonts w:ascii="Times New Roman" w:hAnsi="Times New Roman" w:cs="Times New Roman"/>
          <w:sz w:val="24"/>
          <w:szCs w:val="24"/>
        </w:rPr>
        <w:t>However,</w:t>
      </w:r>
      <w:r>
        <w:rPr>
          <w:rFonts w:ascii="Times New Roman" w:hAnsi="Times New Roman" w:cs="Times New Roman"/>
          <w:sz w:val="24"/>
          <w:szCs w:val="24"/>
        </w:rPr>
        <w:t xml:space="preserve"> this is wrong.  It is not </w:t>
      </w:r>
      <w:r>
        <w:rPr>
          <w:rFonts w:ascii="Times New Roman" w:hAnsi="Times New Roman" w:cs="Times New Roman"/>
          <w:i/>
          <w:sz w:val="24"/>
          <w:szCs w:val="24"/>
        </w:rPr>
        <w:t xml:space="preserve">any </w:t>
      </w:r>
      <w:r>
        <w:rPr>
          <w:rFonts w:ascii="Times New Roman" w:hAnsi="Times New Roman" w:cs="Times New Roman"/>
          <w:sz w:val="24"/>
          <w:szCs w:val="24"/>
        </w:rPr>
        <w:t>damage caused by a wrongdoer that comes within the definition</w:t>
      </w:r>
      <w:r w:rsidR="00204420">
        <w:rPr>
          <w:rFonts w:ascii="Times New Roman" w:hAnsi="Times New Roman" w:cs="Times New Roman"/>
          <w:sz w:val="24"/>
          <w:szCs w:val="24"/>
        </w:rPr>
        <w:t>.  The definition of ‘</w:t>
      </w:r>
      <w:r w:rsidR="00204420">
        <w:rPr>
          <w:rFonts w:ascii="Times New Roman" w:hAnsi="Times New Roman" w:cs="Times New Roman"/>
          <w:i/>
          <w:sz w:val="24"/>
          <w:szCs w:val="24"/>
        </w:rPr>
        <w:t>damage</w:t>
      </w:r>
      <w:r w:rsidR="00B67C7D">
        <w:rPr>
          <w:rFonts w:ascii="Times New Roman" w:hAnsi="Times New Roman" w:cs="Times New Roman"/>
          <w:i/>
          <w:sz w:val="24"/>
          <w:szCs w:val="24"/>
        </w:rPr>
        <w:t>’</w:t>
      </w:r>
      <w:r w:rsidR="00204420">
        <w:rPr>
          <w:rFonts w:ascii="Times New Roman" w:hAnsi="Times New Roman" w:cs="Times New Roman"/>
          <w:i/>
          <w:sz w:val="24"/>
          <w:szCs w:val="24"/>
        </w:rPr>
        <w:t xml:space="preserve"> </w:t>
      </w:r>
      <w:r w:rsidR="00204420">
        <w:rPr>
          <w:rFonts w:ascii="Times New Roman" w:hAnsi="Times New Roman" w:cs="Times New Roman"/>
          <w:sz w:val="24"/>
          <w:szCs w:val="24"/>
        </w:rPr>
        <w:t xml:space="preserve">is concerned </w:t>
      </w:r>
      <w:r>
        <w:rPr>
          <w:rFonts w:ascii="Times New Roman" w:hAnsi="Times New Roman" w:cs="Times New Roman"/>
          <w:sz w:val="24"/>
          <w:szCs w:val="24"/>
        </w:rPr>
        <w:t xml:space="preserve">only </w:t>
      </w:r>
      <w:r w:rsidR="00204420">
        <w:rPr>
          <w:rFonts w:ascii="Times New Roman" w:hAnsi="Times New Roman" w:cs="Times New Roman"/>
          <w:sz w:val="24"/>
          <w:szCs w:val="24"/>
        </w:rPr>
        <w:t xml:space="preserve">with </w:t>
      </w:r>
      <w:r>
        <w:rPr>
          <w:rFonts w:ascii="Times New Roman" w:hAnsi="Times New Roman" w:cs="Times New Roman"/>
          <w:sz w:val="24"/>
          <w:szCs w:val="24"/>
        </w:rPr>
        <w:t>‘</w:t>
      </w:r>
      <w:r>
        <w:rPr>
          <w:rFonts w:ascii="Times New Roman" w:hAnsi="Times New Roman" w:cs="Times New Roman"/>
          <w:i/>
          <w:sz w:val="24"/>
          <w:szCs w:val="24"/>
        </w:rPr>
        <w:t>damage</w:t>
      </w:r>
      <w:r w:rsidR="00B67C7D">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for which a </w:t>
      </w:r>
      <w:r w:rsidR="007F22A1">
        <w:rPr>
          <w:rFonts w:ascii="Times New Roman" w:hAnsi="Times New Roman" w:cs="Times New Roman"/>
          <w:sz w:val="24"/>
          <w:szCs w:val="24"/>
        </w:rPr>
        <w:t xml:space="preserve">certain type of </w:t>
      </w:r>
      <w:r>
        <w:rPr>
          <w:rFonts w:ascii="Times New Roman" w:hAnsi="Times New Roman" w:cs="Times New Roman"/>
          <w:sz w:val="24"/>
          <w:szCs w:val="24"/>
        </w:rPr>
        <w:t>legal remedy is available.</w:t>
      </w:r>
      <w:r w:rsidR="000C22B0">
        <w:rPr>
          <w:rFonts w:ascii="Times New Roman" w:hAnsi="Times New Roman" w:cs="Times New Roman"/>
          <w:sz w:val="24"/>
          <w:szCs w:val="24"/>
        </w:rPr>
        <w:t xml:space="preserve">  Section </w:t>
      </w:r>
      <w:r w:rsidR="000C22B0" w:rsidRPr="00434D69">
        <w:rPr>
          <w:rFonts w:ascii="Times New Roman" w:hAnsi="Times New Roman" w:cs="Times New Roman"/>
          <w:sz w:val="24"/>
          <w:szCs w:val="24"/>
        </w:rPr>
        <w:t xml:space="preserve">12(1) </w:t>
      </w:r>
      <w:r w:rsidR="0090179D">
        <w:rPr>
          <w:rFonts w:ascii="Times New Roman" w:hAnsi="Times New Roman" w:cs="Times New Roman"/>
          <w:sz w:val="24"/>
          <w:szCs w:val="24"/>
        </w:rPr>
        <w:t>CLA</w:t>
      </w:r>
      <w:r w:rsidR="000C22B0">
        <w:rPr>
          <w:rFonts w:ascii="Times New Roman" w:hAnsi="Times New Roman" w:cs="Times New Roman"/>
          <w:sz w:val="24"/>
          <w:szCs w:val="24"/>
        </w:rPr>
        <w:t xml:space="preserve"> </w:t>
      </w:r>
      <w:r w:rsidR="000C22B0" w:rsidRPr="00434D69">
        <w:rPr>
          <w:rFonts w:ascii="Times New Roman" w:hAnsi="Times New Roman" w:cs="Times New Roman"/>
          <w:sz w:val="24"/>
          <w:szCs w:val="24"/>
        </w:rPr>
        <w:t xml:space="preserve">provides that generally (and with some stated exceptions) concurrent wrongdoers are </w:t>
      </w:r>
      <w:r w:rsidR="000C22B0">
        <w:rPr>
          <w:rFonts w:ascii="Times New Roman" w:hAnsi="Times New Roman" w:cs="Times New Roman"/>
          <w:sz w:val="24"/>
          <w:szCs w:val="24"/>
        </w:rPr>
        <w:t>‘</w:t>
      </w:r>
      <w:r w:rsidR="000C22B0" w:rsidRPr="000C22B0">
        <w:rPr>
          <w:rFonts w:ascii="Times New Roman" w:hAnsi="Times New Roman" w:cs="Times New Roman"/>
          <w:i/>
          <w:sz w:val="24"/>
          <w:szCs w:val="24"/>
        </w:rPr>
        <w:t>each liable</w:t>
      </w:r>
      <w:r w:rsidR="00B67C7D">
        <w:rPr>
          <w:rFonts w:ascii="Times New Roman" w:hAnsi="Times New Roman" w:cs="Times New Roman"/>
          <w:i/>
          <w:sz w:val="24"/>
          <w:szCs w:val="24"/>
        </w:rPr>
        <w:t>’</w:t>
      </w:r>
      <w:r w:rsidR="000C22B0" w:rsidRPr="00434D69">
        <w:rPr>
          <w:rFonts w:ascii="Times New Roman" w:hAnsi="Times New Roman" w:cs="Times New Roman"/>
          <w:sz w:val="24"/>
          <w:szCs w:val="24"/>
        </w:rPr>
        <w:t xml:space="preserve"> for the whole of the damage in respect of which </w:t>
      </w:r>
      <w:r w:rsidR="000C22B0" w:rsidRPr="00434D69">
        <w:rPr>
          <w:rFonts w:ascii="Times New Roman" w:hAnsi="Times New Roman" w:cs="Times New Roman"/>
          <w:sz w:val="24"/>
          <w:szCs w:val="24"/>
        </w:rPr>
        <w:lastRenderedPageBreak/>
        <w:t>they are concurrent wrongdoers</w:t>
      </w:r>
      <w:r w:rsidR="000C22B0">
        <w:rPr>
          <w:rFonts w:ascii="Times New Roman" w:hAnsi="Times New Roman" w:cs="Times New Roman"/>
          <w:sz w:val="24"/>
          <w:szCs w:val="24"/>
        </w:rPr>
        <w:t xml:space="preserve"> and, it follows, it is only with ‘</w:t>
      </w:r>
      <w:r w:rsidR="000C22B0">
        <w:rPr>
          <w:rFonts w:ascii="Times New Roman" w:hAnsi="Times New Roman" w:cs="Times New Roman"/>
          <w:i/>
          <w:sz w:val="24"/>
          <w:szCs w:val="24"/>
        </w:rPr>
        <w:t>damage</w:t>
      </w:r>
      <w:r w:rsidR="00B67C7D">
        <w:rPr>
          <w:rFonts w:ascii="Times New Roman" w:hAnsi="Times New Roman" w:cs="Times New Roman"/>
          <w:i/>
          <w:sz w:val="24"/>
          <w:szCs w:val="24"/>
        </w:rPr>
        <w:t>’</w:t>
      </w:r>
      <w:r w:rsidR="000C22B0">
        <w:rPr>
          <w:rFonts w:ascii="Times New Roman" w:hAnsi="Times New Roman" w:cs="Times New Roman"/>
          <w:i/>
          <w:sz w:val="24"/>
          <w:szCs w:val="24"/>
        </w:rPr>
        <w:t xml:space="preserve"> </w:t>
      </w:r>
      <w:r w:rsidR="000C22B0">
        <w:rPr>
          <w:rFonts w:ascii="Times New Roman" w:hAnsi="Times New Roman" w:cs="Times New Roman"/>
          <w:sz w:val="24"/>
          <w:szCs w:val="24"/>
        </w:rPr>
        <w:t>for which either would at law be ‘</w:t>
      </w:r>
      <w:r w:rsidR="000C22B0">
        <w:rPr>
          <w:rFonts w:ascii="Times New Roman" w:hAnsi="Times New Roman" w:cs="Times New Roman"/>
          <w:i/>
          <w:sz w:val="24"/>
          <w:szCs w:val="24"/>
        </w:rPr>
        <w:t>liable</w:t>
      </w:r>
      <w:r w:rsidR="00B67C7D">
        <w:rPr>
          <w:rFonts w:ascii="Times New Roman" w:hAnsi="Times New Roman" w:cs="Times New Roman"/>
          <w:i/>
          <w:sz w:val="24"/>
          <w:szCs w:val="24"/>
        </w:rPr>
        <w:t>’</w:t>
      </w:r>
      <w:r w:rsidR="000C22B0">
        <w:rPr>
          <w:rFonts w:ascii="Times New Roman" w:hAnsi="Times New Roman" w:cs="Times New Roman"/>
          <w:i/>
          <w:sz w:val="24"/>
          <w:szCs w:val="24"/>
        </w:rPr>
        <w:t xml:space="preserve"> </w:t>
      </w:r>
      <w:r w:rsidR="000C22B0">
        <w:rPr>
          <w:rFonts w:ascii="Times New Roman" w:hAnsi="Times New Roman" w:cs="Times New Roman"/>
          <w:sz w:val="24"/>
          <w:szCs w:val="24"/>
        </w:rPr>
        <w:t>that this part of the Act is concerned</w:t>
      </w:r>
      <w:r w:rsidR="000C22B0" w:rsidRPr="00434D69">
        <w:rPr>
          <w:rFonts w:ascii="Times New Roman" w:hAnsi="Times New Roman" w:cs="Times New Roman"/>
          <w:sz w:val="24"/>
          <w:szCs w:val="24"/>
        </w:rPr>
        <w:t xml:space="preserve">.  </w:t>
      </w:r>
      <w:r w:rsidR="00575EE5">
        <w:rPr>
          <w:rFonts w:ascii="Times New Roman" w:hAnsi="Times New Roman" w:cs="Times New Roman"/>
          <w:sz w:val="24"/>
          <w:szCs w:val="24"/>
        </w:rPr>
        <w:t xml:space="preserve">And </w:t>
      </w:r>
      <w:r>
        <w:rPr>
          <w:rFonts w:ascii="Times New Roman" w:hAnsi="Times New Roman" w:cs="Times New Roman"/>
          <w:sz w:val="24"/>
          <w:szCs w:val="24"/>
        </w:rPr>
        <w:t xml:space="preserve">it is not </w:t>
      </w:r>
      <w:r>
        <w:rPr>
          <w:rFonts w:ascii="Times New Roman" w:hAnsi="Times New Roman" w:cs="Times New Roman"/>
          <w:i/>
          <w:sz w:val="24"/>
          <w:szCs w:val="24"/>
        </w:rPr>
        <w:t xml:space="preserve">any </w:t>
      </w:r>
      <w:r>
        <w:rPr>
          <w:rFonts w:ascii="Times New Roman" w:hAnsi="Times New Roman" w:cs="Times New Roman"/>
          <w:sz w:val="24"/>
          <w:szCs w:val="24"/>
        </w:rPr>
        <w:t>legal remedy that is in play, only the remedy of damages.</w:t>
      </w:r>
      <w:r w:rsidR="007D66B7">
        <w:rPr>
          <w:rFonts w:ascii="Times New Roman" w:hAnsi="Times New Roman" w:cs="Times New Roman"/>
          <w:sz w:val="24"/>
          <w:szCs w:val="24"/>
        </w:rPr>
        <w:t xml:space="preserve">  </w:t>
      </w:r>
      <w:r w:rsidR="0090179D">
        <w:rPr>
          <w:rFonts w:ascii="Times New Roman" w:hAnsi="Times New Roman" w:cs="Times New Roman"/>
          <w:sz w:val="24"/>
          <w:szCs w:val="24"/>
        </w:rPr>
        <w:t>In our view, t</w:t>
      </w:r>
      <w:r w:rsidR="00575EE5">
        <w:rPr>
          <w:rFonts w:ascii="Times New Roman" w:hAnsi="Times New Roman" w:cs="Times New Roman"/>
          <w:sz w:val="24"/>
          <w:szCs w:val="24"/>
        </w:rPr>
        <w:t>he relevant provisions are clear and, as we explain later in this judgment, it would be most surprising were the position otherwise.</w:t>
      </w:r>
    </w:p>
    <w:p w14:paraId="0F747444" w14:textId="77777777" w:rsidR="00575EE5" w:rsidRPr="00575EE5" w:rsidRDefault="00575EE5" w:rsidP="00A711B9">
      <w:pPr>
        <w:pStyle w:val="ListParagraph"/>
        <w:spacing w:line="480" w:lineRule="auto"/>
        <w:rPr>
          <w:rFonts w:ascii="Times New Roman" w:hAnsi="Times New Roman" w:cs="Times New Roman"/>
          <w:sz w:val="24"/>
          <w:szCs w:val="24"/>
        </w:rPr>
      </w:pPr>
    </w:p>
    <w:p w14:paraId="019D1CA3" w14:textId="0AA721B3" w:rsidR="00575EE5" w:rsidRDefault="00575EE5" w:rsidP="00A711B9">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w:t>
      </w:r>
      <w:r w:rsidR="00831BDA">
        <w:rPr>
          <w:rFonts w:ascii="Times New Roman" w:hAnsi="Times New Roman" w:cs="Times New Roman"/>
          <w:sz w:val="24"/>
          <w:szCs w:val="24"/>
        </w:rPr>
        <w:t>n explaining why this is so, i</w:t>
      </w:r>
      <w:r>
        <w:rPr>
          <w:rFonts w:ascii="Times New Roman" w:hAnsi="Times New Roman" w:cs="Times New Roman"/>
          <w:sz w:val="24"/>
          <w:szCs w:val="24"/>
        </w:rPr>
        <w:t xml:space="preserve">t is useful to begin with the specific provision in issue here.  One of the objects of </w:t>
      </w:r>
      <w:r w:rsidR="00164A9D">
        <w:rPr>
          <w:rFonts w:ascii="Times New Roman" w:hAnsi="Times New Roman" w:cs="Times New Roman"/>
          <w:sz w:val="24"/>
          <w:szCs w:val="24"/>
        </w:rPr>
        <w:t xml:space="preserve">Part III </w:t>
      </w:r>
      <w:r>
        <w:rPr>
          <w:rFonts w:ascii="Times New Roman" w:hAnsi="Times New Roman" w:cs="Times New Roman"/>
          <w:sz w:val="24"/>
          <w:szCs w:val="24"/>
        </w:rPr>
        <w:t>CLA is to ensure that</w:t>
      </w:r>
      <w:r w:rsidR="00164A9D">
        <w:rPr>
          <w:rFonts w:ascii="Times New Roman" w:hAnsi="Times New Roman" w:cs="Times New Roman"/>
          <w:sz w:val="24"/>
          <w:szCs w:val="24"/>
        </w:rPr>
        <w:t>,</w:t>
      </w:r>
      <w:r>
        <w:rPr>
          <w:rFonts w:ascii="Times New Roman" w:hAnsi="Times New Roman" w:cs="Times New Roman"/>
          <w:sz w:val="24"/>
          <w:szCs w:val="24"/>
        </w:rPr>
        <w:t xml:space="preserve"> where D1 and D2 are concurrent wrongdoers who</w:t>
      </w:r>
      <w:r w:rsidR="00164A9D">
        <w:rPr>
          <w:rFonts w:ascii="Times New Roman" w:hAnsi="Times New Roman" w:cs="Times New Roman"/>
          <w:sz w:val="24"/>
          <w:szCs w:val="24"/>
        </w:rPr>
        <w:t>se wrongdoing has</w:t>
      </w:r>
      <w:r>
        <w:rPr>
          <w:rFonts w:ascii="Times New Roman" w:hAnsi="Times New Roman" w:cs="Times New Roman"/>
          <w:sz w:val="24"/>
          <w:szCs w:val="24"/>
        </w:rPr>
        <w:t xml:space="preserve"> cause</w:t>
      </w:r>
      <w:r w:rsidR="00164A9D">
        <w:rPr>
          <w:rFonts w:ascii="Times New Roman" w:hAnsi="Times New Roman" w:cs="Times New Roman"/>
          <w:sz w:val="24"/>
          <w:szCs w:val="24"/>
        </w:rPr>
        <w:t>d</w:t>
      </w:r>
      <w:r>
        <w:rPr>
          <w:rFonts w:ascii="Times New Roman" w:hAnsi="Times New Roman" w:cs="Times New Roman"/>
          <w:sz w:val="24"/>
          <w:szCs w:val="24"/>
        </w:rPr>
        <w:t xml:space="preserve"> ‘</w:t>
      </w:r>
      <w:r>
        <w:rPr>
          <w:rFonts w:ascii="Times New Roman" w:hAnsi="Times New Roman" w:cs="Times New Roman"/>
          <w:i/>
          <w:sz w:val="24"/>
          <w:szCs w:val="24"/>
        </w:rPr>
        <w:t>the same damage</w:t>
      </w:r>
      <w:r w:rsidR="00B67C7D">
        <w:rPr>
          <w:rFonts w:ascii="Times New Roman" w:hAnsi="Times New Roman" w:cs="Times New Roman"/>
          <w:i/>
          <w:sz w:val="24"/>
          <w:szCs w:val="24"/>
        </w:rPr>
        <w:t>’</w:t>
      </w:r>
      <w:r>
        <w:rPr>
          <w:rFonts w:ascii="Times New Roman" w:hAnsi="Times New Roman" w:cs="Times New Roman"/>
          <w:sz w:val="24"/>
          <w:szCs w:val="24"/>
        </w:rPr>
        <w:t xml:space="preserve"> to P, </w:t>
      </w:r>
      <w:r w:rsidR="00164A9D">
        <w:rPr>
          <w:rFonts w:ascii="Times New Roman" w:hAnsi="Times New Roman" w:cs="Times New Roman"/>
          <w:sz w:val="24"/>
          <w:szCs w:val="24"/>
        </w:rPr>
        <w:t xml:space="preserve">then </w:t>
      </w:r>
      <w:r>
        <w:rPr>
          <w:rFonts w:ascii="Times New Roman" w:hAnsi="Times New Roman" w:cs="Times New Roman"/>
          <w:sz w:val="24"/>
          <w:szCs w:val="24"/>
        </w:rPr>
        <w:t xml:space="preserve">if P settles its claim against D2, D1 should not have to compensate P for the loss attributable to D2.  This is the facility prayed in aid by the </w:t>
      </w:r>
      <w:r w:rsidR="00164A9D">
        <w:rPr>
          <w:rFonts w:ascii="Times New Roman" w:hAnsi="Times New Roman" w:cs="Times New Roman"/>
          <w:sz w:val="24"/>
          <w:szCs w:val="24"/>
        </w:rPr>
        <w:t>D</w:t>
      </w:r>
      <w:r>
        <w:rPr>
          <w:rFonts w:ascii="Times New Roman" w:hAnsi="Times New Roman" w:cs="Times New Roman"/>
          <w:sz w:val="24"/>
          <w:szCs w:val="24"/>
        </w:rPr>
        <w:t xml:space="preserve">efendants </w:t>
      </w:r>
      <w:r w:rsidR="00164A9D">
        <w:rPr>
          <w:rFonts w:ascii="Times New Roman" w:hAnsi="Times New Roman" w:cs="Times New Roman"/>
          <w:sz w:val="24"/>
          <w:szCs w:val="24"/>
        </w:rPr>
        <w:t>here</w:t>
      </w:r>
      <w:r>
        <w:rPr>
          <w:rFonts w:ascii="Times New Roman" w:hAnsi="Times New Roman" w:cs="Times New Roman"/>
          <w:sz w:val="24"/>
          <w:szCs w:val="24"/>
        </w:rPr>
        <w:t xml:space="preserve">. They say that having settled with CBRE, the Bank should not be able to recover anything from them because CBRE caused all of the </w:t>
      </w:r>
      <w:r w:rsidR="00831BDA">
        <w:rPr>
          <w:rFonts w:ascii="Times New Roman" w:hAnsi="Times New Roman" w:cs="Times New Roman"/>
          <w:sz w:val="24"/>
          <w:szCs w:val="24"/>
        </w:rPr>
        <w:t xml:space="preserve">Bank’s </w:t>
      </w:r>
      <w:r>
        <w:rPr>
          <w:rFonts w:ascii="Times New Roman" w:hAnsi="Times New Roman" w:cs="Times New Roman"/>
          <w:sz w:val="24"/>
          <w:szCs w:val="24"/>
        </w:rPr>
        <w:t>loss.</w:t>
      </w:r>
    </w:p>
    <w:p w14:paraId="03605B15" w14:textId="77777777" w:rsidR="00575EE5" w:rsidRPr="00575EE5" w:rsidRDefault="00575EE5" w:rsidP="00A711B9">
      <w:pPr>
        <w:pStyle w:val="ListParagraph"/>
        <w:spacing w:line="480" w:lineRule="auto"/>
        <w:rPr>
          <w:rFonts w:ascii="Times New Roman" w:hAnsi="Times New Roman" w:cs="Times New Roman"/>
          <w:sz w:val="24"/>
          <w:szCs w:val="24"/>
        </w:rPr>
      </w:pPr>
    </w:p>
    <w:p w14:paraId="2292DB25" w14:textId="26153258" w:rsidR="008D3D54" w:rsidRPr="000C22B0" w:rsidRDefault="00575EE5" w:rsidP="00A711B9">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164A9D">
        <w:rPr>
          <w:rFonts w:ascii="Times New Roman" w:hAnsi="Times New Roman" w:cs="Times New Roman"/>
          <w:sz w:val="24"/>
          <w:szCs w:val="24"/>
        </w:rPr>
        <w:t xml:space="preserve">statutory basis on </w:t>
      </w:r>
      <w:r>
        <w:rPr>
          <w:rFonts w:ascii="Times New Roman" w:hAnsi="Times New Roman" w:cs="Times New Roman"/>
          <w:sz w:val="24"/>
          <w:szCs w:val="24"/>
        </w:rPr>
        <w:t xml:space="preserve">which this argument is advanced </w:t>
      </w:r>
      <w:r w:rsidR="00164A9D">
        <w:rPr>
          <w:rFonts w:ascii="Times New Roman" w:hAnsi="Times New Roman" w:cs="Times New Roman"/>
          <w:sz w:val="24"/>
          <w:szCs w:val="24"/>
        </w:rPr>
        <w:t xml:space="preserve">starts </w:t>
      </w:r>
      <w:r>
        <w:rPr>
          <w:rFonts w:ascii="Times New Roman" w:hAnsi="Times New Roman" w:cs="Times New Roman"/>
          <w:sz w:val="24"/>
          <w:szCs w:val="24"/>
        </w:rPr>
        <w:t>with s</w:t>
      </w:r>
      <w:r w:rsidR="00164A9D">
        <w:rPr>
          <w:rFonts w:ascii="Times New Roman" w:hAnsi="Times New Roman" w:cs="Times New Roman"/>
          <w:sz w:val="24"/>
          <w:szCs w:val="24"/>
        </w:rPr>
        <w:t>ection</w:t>
      </w:r>
      <w:r w:rsidR="00F77DCE">
        <w:rPr>
          <w:rFonts w:ascii="Times New Roman" w:hAnsi="Times New Roman" w:cs="Times New Roman"/>
          <w:sz w:val="24"/>
          <w:szCs w:val="24"/>
        </w:rPr>
        <w:t xml:space="preserve"> </w:t>
      </w:r>
      <w:r>
        <w:rPr>
          <w:rFonts w:ascii="Times New Roman" w:hAnsi="Times New Roman" w:cs="Times New Roman"/>
          <w:sz w:val="24"/>
          <w:szCs w:val="24"/>
        </w:rPr>
        <w:t>17(2)</w:t>
      </w:r>
      <w:r w:rsidR="00164A9D">
        <w:rPr>
          <w:rFonts w:ascii="Times New Roman" w:hAnsi="Times New Roman" w:cs="Times New Roman"/>
          <w:sz w:val="24"/>
          <w:szCs w:val="24"/>
        </w:rPr>
        <w:t xml:space="preserve"> CLA</w:t>
      </w:r>
      <w:r>
        <w:rPr>
          <w:rFonts w:ascii="Times New Roman" w:hAnsi="Times New Roman" w:cs="Times New Roman"/>
          <w:sz w:val="24"/>
          <w:szCs w:val="24"/>
        </w:rPr>
        <w:t xml:space="preserve">. </w:t>
      </w:r>
      <w:r w:rsidR="008D3D54" w:rsidRPr="000C22B0">
        <w:rPr>
          <w:rFonts w:ascii="Times New Roman" w:hAnsi="Times New Roman" w:cs="Times New Roman"/>
          <w:sz w:val="24"/>
          <w:szCs w:val="24"/>
        </w:rPr>
        <w:t xml:space="preserve">Section 17 </w:t>
      </w:r>
      <w:r w:rsidR="000C22B0">
        <w:rPr>
          <w:rFonts w:ascii="Times New Roman" w:hAnsi="Times New Roman" w:cs="Times New Roman"/>
          <w:sz w:val="24"/>
          <w:szCs w:val="24"/>
        </w:rPr>
        <w:t xml:space="preserve">is </w:t>
      </w:r>
      <w:r w:rsidR="008D3D54" w:rsidRPr="000C22B0">
        <w:rPr>
          <w:rFonts w:ascii="Times New Roman" w:hAnsi="Times New Roman" w:cs="Times New Roman"/>
          <w:sz w:val="24"/>
          <w:szCs w:val="24"/>
        </w:rPr>
        <w:t>as follows:</w:t>
      </w:r>
    </w:p>
    <w:p w14:paraId="76EDE759" w14:textId="77777777" w:rsidR="008D3D54" w:rsidRPr="00434D69" w:rsidRDefault="008D3D54" w:rsidP="008D3D54">
      <w:pPr>
        <w:pStyle w:val="ListParagraph"/>
        <w:spacing w:after="0" w:line="480" w:lineRule="auto"/>
        <w:rPr>
          <w:rFonts w:ascii="Times New Roman" w:hAnsi="Times New Roman" w:cs="Times New Roman"/>
          <w:sz w:val="24"/>
          <w:szCs w:val="24"/>
        </w:rPr>
      </w:pPr>
    </w:p>
    <w:p w14:paraId="1FD13822" w14:textId="77777777" w:rsidR="008D3D54" w:rsidRPr="00434D69" w:rsidRDefault="008D3D54" w:rsidP="008D3D54">
      <w:pPr>
        <w:pStyle w:val="ListParagraph"/>
        <w:spacing w:after="0" w:line="480" w:lineRule="auto"/>
        <w:ind w:left="1440"/>
        <w:jc w:val="both"/>
        <w:rPr>
          <w:rFonts w:ascii="Times New Roman" w:hAnsi="Times New Roman" w:cs="Times New Roman"/>
          <w:i/>
          <w:sz w:val="24"/>
          <w:szCs w:val="24"/>
        </w:rPr>
      </w:pPr>
      <w:r w:rsidRPr="00434D69">
        <w:rPr>
          <w:rFonts w:ascii="Times New Roman" w:hAnsi="Times New Roman" w:cs="Times New Roman"/>
          <w:sz w:val="24"/>
          <w:szCs w:val="24"/>
        </w:rPr>
        <w:t xml:space="preserve">  </w:t>
      </w:r>
      <w:r w:rsidRPr="00434D69">
        <w:rPr>
          <w:rFonts w:ascii="Times New Roman" w:hAnsi="Times New Roman" w:cs="Times New Roman"/>
          <w:i/>
          <w:sz w:val="24"/>
          <w:szCs w:val="24"/>
        </w:rPr>
        <w:t>“17. (1) The release of, or accord with, one concurrent wrongdoer shall discharge the others if such release or accord indicates an intention that the others are to be discharged.</w:t>
      </w:r>
    </w:p>
    <w:p w14:paraId="386336B6" w14:textId="77777777" w:rsidR="008D3D54" w:rsidRPr="00434D69" w:rsidRDefault="008D3D54" w:rsidP="008D3D54">
      <w:pPr>
        <w:pStyle w:val="ListParagraph"/>
        <w:spacing w:after="0" w:line="480" w:lineRule="auto"/>
        <w:ind w:left="1440"/>
        <w:jc w:val="both"/>
        <w:rPr>
          <w:rFonts w:ascii="Times New Roman" w:hAnsi="Times New Roman" w:cs="Times New Roman"/>
          <w:i/>
          <w:sz w:val="24"/>
          <w:szCs w:val="24"/>
        </w:rPr>
      </w:pPr>
    </w:p>
    <w:p w14:paraId="5136AD19" w14:textId="48C48467" w:rsidR="008D3D54" w:rsidRPr="00164A9D" w:rsidRDefault="008D3D54" w:rsidP="008D3D54">
      <w:pPr>
        <w:pStyle w:val="ListParagraph"/>
        <w:spacing w:after="0" w:line="480" w:lineRule="auto"/>
        <w:ind w:left="1440"/>
        <w:jc w:val="both"/>
        <w:rPr>
          <w:rFonts w:ascii="Times New Roman" w:hAnsi="Times New Roman" w:cs="Times New Roman"/>
          <w:sz w:val="24"/>
          <w:szCs w:val="24"/>
        </w:rPr>
      </w:pPr>
      <w:r w:rsidRPr="00434D69">
        <w:rPr>
          <w:rFonts w:ascii="Times New Roman" w:hAnsi="Times New Roman" w:cs="Times New Roman"/>
          <w:i/>
          <w:sz w:val="24"/>
          <w:szCs w:val="24"/>
        </w:rPr>
        <w:t xml:space="preserve"> (2) If no such intention is indicated by such release or accord, the other wrongdoers shall not be discharged but the injured person </w:t>
      </w:r>
      <w:r w:rsidRPr="00164A9D">
        <w:rPr>
          <w:rFonts w:ascii="Times New Roman" w:hAnsi="Times New Roman" w:cs="Times New Roman"/>
          <w:i/>
          <w:sz w:val="24"/>
          <w:szCs w:val="24"/>
          <w:u w:val="single"/>
        </w:rPr>
        <w:t xml:space="preserve">shall be identified with the person with whom the release or accord is made in any action against </w:t>
      </w:r>
      <w:r w:rsidRPr="00164A9D">
        <w:rPr>
          <w:rFonts w:ascii="Times New Roman" w:hAnsi="Times New Roman" w:cs="Times New Roman"/>
          <w:i/>
          <w:sz w:val="24"/>
          <w:szCs w:val="24"/>
          <w:u w:val="single"/>
        </w:rPr>
        <w:lastRenderedPageBreak/>
        <w:t>the other wrongdoers in accordance with paragraph (h) of subsection (1) of section 35</w:t>
      </w:r>
      <w:r w:rsidRPr="00434D69">
        <w:rPr>
          <w:rFonts w:ascii="Times New Roman" w:hAnsi="Times New Roman" w:cs="Times New Roman"/>
          <w:i/>
          <w:sz w:val="24"/>
          <w:szCs w:val="24"/>
        </w:rPr>
        <w:t>; and in any such action the claim against the other wrongdoers shall be reduced in the amount of the consideration paid for the release or accord, or in any amount by which the release or accord provides that the total claim shall be reduced, or to the extent that the wrongdoer with whom the release or accord was made would have been liable to contribute if the  plaintiff</w:t>
      </w:r>
      <w:r w:rsidR="00B67C7D">
        <w:rPr>
          <w:rFonts w:ascii="Times New Roman" w:hAnsi="Times New Roman" w:cs="Times New Roman"/>
          <w:i/>
          <w:sz w:val="24"/>
          <w:szCs w:val="24"/>
        </w:rPr>
        <w:t>’</w:t>
      </w:r>
      <w:r w:rsidRPr="00434D69">
        <w:rPr>
          <w:rFonts w:ascii="Times New Roman" w:hAnsi="Times New Roman" w:cs="Times New Roman"/>
          <w:i/>
          <w:sz w:val="24"/>
          <w:szCs w:val="24"/>
        </w:rPr>
        <w:t>s total claim had been paid by the other wrongdoers, whichever of those three amounts is the greatest.</w:t>
      </w:r>
      <w:r w:rsidR="00164A9D">
        <w:rPr>
          <w:rFonts w:ascii="Times New Roman" w:hAnsi="Times New Roman" w:cs="Times New Roman"/>
          <w:i/>
          <w:sz w:val="24"/>
          <w:szCs w:val="24"/>
        </w:rPr>
        <w:t xml:space="preserve">” </w:t>
      </w:r>
      <w:r w:rsidR="00164A9D">
        <w:rPr>
          <w:rFonts w:ascii="Times New Roman" w:hAnsi="Times New Roman" w:cs="Times New Roman"/>
          <w:sz w:val="24"/>
          <w:szCs w:val="24"/>
        </w:rPr>
        <w:t>(our emphasis)</w:t>
      </w:r>
    </w:p>
    <w:p w14:paraId="5782DBC3" w14:textId="77777777" w:rsidR="008D3D54" w:rsidRPr="00434D69" w:rsidRDefault="008D3D54" w:rsidP="008D3D54">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5235ACB1" w14:textId="36183BFC" w:rsidR="008D3D54" w:rsidRPr="00434D69" w:rsidRDefault="008D3D54"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Section 35(1)</w:t>
      </w:r>
      <w:r w:rsidR="00001BD8">
        <w:rPr>
          <w:rFonts w:ascii="Times New Roman" w:hAnsi="Times New Roman" w:cs="Times New Roman"/>
          <w:sz w:val="24"/>
          <w:szCs w:val="24"/>
        </w:rPr>
        <w:t xml:space="preserve"> – </w:t>
      </w:r>
      <w:r w:rsidR="00164A9D">
        <w:rPr>
          <w:rFonts w:ascii="Times New Roman" w:hAnsi="Times New Roman" w:cs="Times New Roman"/>
          <w:sz w:val="24"/>
          <w:szCs w:val="24"/>
        </w:rPr>
        <w:t xml:space="preserve">which </w:t>
      </w:r>
      <w:r w:rsidR="007D66B7">
        <w:rPr>
          <w:rFonts w:ascii="Times New Roman" w:hAnsi="Times New Roman" w:cs="Times New Roman"/>
          <w:sz w:val="24"/>
          <w:szCs w:val="24"/>
        </w:rPr>
        <w:t xml:space="preserve">is </w:t>
      </w:r>
      <w:r w:rsidR="00001BD8">
        <w:rPr>
          <w:rFonts w:ascii="Times New Roman" w:hAnsi="Times New Roman" w:cs="Times New Roman"/>
          <w:sz w:val="24"/>
          <w:szCs w:val="24"/>
        </w:rPr>
        <w:t>referred to in s</w:t>
      </w:r>
      <w:r w:rsidR="00164A9D">
        <w:rPr>
          <w:rFonts w:ascii="Times New Roman" w:hAnsi="Times New Roman" w:cs="Times New Roman"/>
          <w:sz w:val="24"/>
          <w:szCs w:val="24"/>
        </w:rPr>
        <w:t>ection</w:t>
      </w:r>
      <w:r w:rsidR="007D66B7">
        <w:rPr>
          <w:rFonts w:ascii="Times New Roman" w:hAnsi="Times New Roman" w:cs="Times New Roman"/>
          <w:sz w:val="24"/>
          <w:szCs w:val="24"/>
        </w:rPr>
        <w:t xml:space="preserve"> </w:t>
      </w:r>
      <w:r w:rsidR="00001BD8">
        <w:rPr>
          <w:rFonts w:ascii="Times New Roman" w:hAnsi="Times New Roman" w:cs="Times New Roman"/>
          <w:sz w:val="24"/>
          <w:szCs w:val="24"/>
        </w:rPr>
        <w:t>17(2) -</w:t>
      </w:r>
      <w:r w:rsidRPr="00434D69">
        <w:rPr>
          <w:rFonts w:ascii="Times New Roman" w:hAnsi="Times New Roman" w:cs="Times New Roman"/>
          <w:sz w:val="24"/>
          <w:szCs w:val="24"/>
        </w:rPr>
        <w:t xml:space="preserve"> makes provision for the identification of certain persons with the plaintiff for the purposes of</w:t>
      </w:r>
      <w:r w:rsidR="00B86545">
        <w:rPr>
          <w:rFonts w:ascii="Times New Roman" w:hAnsi="Times New Roman" w:cs="Times New Roman"/>
          <w:sz w:val="24"/>
          <w:szCs w:val="24"/>
        </w:rPr>
        <w:t xml:space="preserve"> determining</w:t>
      </w:r>
      <w:r w:rsidRPr="00434D69">
        <w:rPr>
          <w:rFonts w:ascii="Times New Roman" w:hAnsi="Times New Roman" w:cs="Times New Roman"/>
          <w:sz w:val="24"/>
          <w:szCs w:val="24"/>
        </w:rPr>
        <w:t xml:space="preserve"> contributory negligence.   The general conditions under which this occurs are prescribed in s</w:t>
      </w:r>
      <w:r w:rsidR="00B86545">
        <w:rPr>
          <w:rFonts w:ascii="Times New Roman" w:hAnsi="Times New Roman" w:cs="Times New Roman"/>
          <w:sz w:val="24"/>
          <w:szCs w:val="24"/>
        </w:rPr>
        <w:t>ection</w:t>
      </w:r>
      <w:r w:rsidRPr="00434D69">
        <w:rPr>
          <w:rFonts w:ascii="Times New Roman" w:hAnsi="Times New Roman" w:cs="Times New Roman"/>
          <w:sz w:val="24"/>
          <w:szCs w:val="24"/>
        </w:rPr>
        <w:t xml:space="preserve"> 34(1) which, stripped of its provisos, states:</w:t>
      </w:r>
    </w:p>
    <w:p w14:paraId="702EEEDF" w14:textId="77777777" w:rsidR="008D3D54" w:rsidRPr="00434D69" w:rsidRDefault="008D3D54" w:rsidP="008D3D54">
      <w:pPr>
        <w:pStyle w:val="ListParagraph"/>
        <w:spacing w:after="0" w:line="480" w:lineRule="auto"/>
        <w:jc w:val="both"/>
        <w:rPr>
          <w:rFonts w:ascii="Times New Roman" w:hAnsi="Times New Roman" w:cs="Times New Roman"/>
          <w:sz w:val="24"/>
          <w:szCs w:val="24"/>
        </w:rPr>
      </w:pPr>
    </w:p>
    <w:p w14:paraId="00BAD657" w14:textId="15D8CC9C" w:rsidR="008D3D54" w:rsidRDefault="00B86545" w:rsidP="00A711B9">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8D3D54" w:rsidRPr="00434D69">
        <w:rPr>
          <w:rFonts w:ascii="Times New Roman" w:hAnsi="Times New Roman" w:cs="Times New Roman"/>
          <w:i/>
          <w:sz w:val="24"/>
          <w:szCs w:val="24"/>
        </w:rPr>
        <w:t xml:space="preserve">Where, in any action brought by one person in respect of a wrong committed by any other person, it is proved that the damage suffered by the plaintiff was caused partly by the negligence or want of care of the plaintiff or of one for whose acts he </w:t>
      </w:r>
      <w:r w:rsidR="007E5552">
        <w:rPr>
          <w:rFonts w:ascii="Times New Roman" w:hAnsi="Times New Roman" w:cs="Times New Roman"/>
          <w:i/>
          <w:sz w:val="24"/>
          <w:szCs w:val="24"/>
        </w:rPr>
        <w:t>is</w:t>
      </w:r>
      <w:r w:rsidR="008D3D54" w:rsidRPr="00434D69">
        <w:rPr>
          <w:rFonts w:ascii="Times New Roman" w:hAnsi="Times New Roman" w:cs="Times New Roman"/>
          <w:i/>
          <w:sz w:val="24"/>
          <w:szCs w:val="24"/>
        </w:rPr>
        <w:t xml:space="preserve"> responsible (in this Part called contributory negligence) and partly by the wrong of the defendant, </w:t>
      </w:r>
      <w:r w:rsidR="008D3D54" w:rsidRPr="00434D69">
        <w:rPr>
          <w:rFonts w:ascii="Times New Roman" w:hAnsi="Times New Roman" w:cs="Times New Roman"/>
          <w:b/>
          <w:i/>
          <w:sz w:val="24"/>
          <w:szCs w:val="24"/>
        </w:rPr>
        <w:t xml:space="preserve">the damages recoverable </w:t>
      </w:r>
      <w:r w:rsidR="008D3D54" w:rsidRPr="00434D69">
        <w:rPr>
          <w:rFonts w:ascii="Times New Roman" w:hAnsi="Times New Roman" w:cs="Times New Roman"/>
          <w:i/>
          <w:sz w:val="24"/>
          <w:szCs w:val="24"/>
        </w:rPr>
        <w:t xml:space="preserve">in respect of the said wrong </w:t>
      </w:r>
      <w:r w:rsidR="008D3D54" w:rsidRPr="00DA48CE">
        <w:rPr>
          <w:rFonts w:ascii="Times New Roman" w:hAnsi="Times New Roman" w:cs="Times New Roman"/>
          <w:b/>
          <w:i/>
          <w:sz w:val="24"/>
          <w:szCs w:val="24"/>
        </w:rPr>
        <w:t>shall be reduced</w:t>
      </w:r>
      <w:r w:rsidR="008D3D54" w:rsidRPr="00434D69">
        <w:rPr>
          <w:rFonts w:ascii="Times New Roman" w:hAnsi="Times New Roman" w:cs="Times New Roman"/>
          <w:i/>
          <w:sz w:val="24"/>
          <w:szCs w:val="24"/>
        </w:rPr>
        <w:t xml:space="preserve"> by such amount as the court thinks just and equitable having regard to the degrees of fault of the plaintiff and defendant </w:t>
      </w:r>
      <w:r w:rsidR="00946247">
        <w:rPr>
          <w:rFonts w:ascii="Times New Roman" w:hAnsi="Times New Roman" w:cs="Times New Roman"/>
          <w:i/>
          <w:sz w:val="24"/>
          <w:szCs w:val="24"/>
        </w:rPr>
        <w:t>.</w:t>
      </w:r>
      <w:r w:rsidR="008D3D54" w:rsidRPr="00434D69">
        <w:rPr>
          <w:rFonts w:ascii="Times New Roman" w:hAnsi="Times New Roman" w:cs="Times New Roman"/>
          <w:i/>
          <w:sz w:val="24"/>
          <w:szCs w:val="24"/>
        </w:rPr>
        <w:t>..</w:t>
      </w:r>
      <w:r>
        <w:rPr>
          <w:rFonts w:ascii="Times New Roman" w:hAnsi="Times New Roman" w:cs="Times New Roman"/>
          <w:i/>
          <w:sz w:val="24"/>
          <w:szCs w:val="24"/>
        </w:rPr>
        <w:t xml:space="preserve">” </w:t>
      </w:r>
      <w:r w:rsidRPr="00B86545">
        <w:rPr>
          <w:rFonts w:ascii="Times New Roman" w:hAnsi="Times New Roman" w:cs="Times New Roman"/>
          <w:sz w:val="24"/>
          <w:szCs w:val="24"/>
        </w:rPr>
        <w:t>(our emphasis)</w:t>
      </w:r>
      <w:r w:rsidR="008D3D54" w:rsidRPr="00A711B9">
        <w:rPr>
          <w:rFonts w:ascii="Times New Roman" w:hAnsi="Times New Roman" w:cs="Times New Roman"/>
          <w:sz w:val="24"/>
          <w:szCs w:val="24"/>
        </w:rPr>
        <w:t xml:space="preserve">  </w:t>
      </w:r>
    </w:p>
    <w:p w14:paraId="1061A56D" w14:textId="77777777" w:rsidR="00A711B9" w:rsidRPr="00A711B9" w:rsidRDefault="00A711B9" w:rsidP="00A711B9">
      <w:pPr>
        <w:pStyle w:val="ListParagraph"/>
        <w:spacing w:after="0" w:line="480" w:lineRule="auto"/>
        <w:ind w:left="1440"/>
        <w:jc w:val="both"/>
        <w:rPr>
          <w:rFonts w:ascii="Times New Roman" w:hAnsi="Times New Roman" w:cs="Times New Roman"/>
          <w:sz w:val="24"/>
          <w:szCs w:val="24"/>
        </w:rPr>
      </w:pPr>
    </w:p>
    <w:p w14:paraId="1ABD8905" w14:textId="0D140F5B" w:rsidR="008D3D54" w:rsidRPr="00434D69" w:rsidRDefault="008D3D54"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lastRenderedPageBreak/>
        <w:t xml:space="preserve">The effect of there being a concurrent wrongdoer with whom a settlement has been entered into is then inserted into this general scheme of contributory negligence by </w:t>
      </w:r>
      <w:r w:rsidR="00B86545">
        <w:rPr>
          <w:rFonts w:ascii="Times New Roman" w:hAnsi="Times New Roman" w:cs="Times New Roman"/>
          <w:sz w:val="24"/>
          <w:szCs w:val="24"/>
        </w:rPr>
        <w:t xml:space="preserve">section </w:t>
      </w:r>
      <w:r w:rsidRPr="00434D69">
        <w:rPr>
          <w:rFonts w:ascii="Times New Roman" w:hAnsi="Times New Roman" w:cs="Times New Roman"/>
          <w:sz w:val="24"/>
          <w:szCs w:val="24"/>
        </w:rPr>
        <w:t>35(1)(h).  It provides</w:t>
      </w:r>
      <w:r w:rsidR="00B86545">
        <w:rPr>
          <w:rFonts w:ascii="Times New Roman" w:hAnsi="Times New Roman" w:cs="Times New Roman"/>
          <w:sz w:val="24"/>
          <w:szCs w:val="24"/>
        </w:rPr>
        <w:t>:</w:t>
      </w:r>
    </w:p>
    <w:p w14:paraId="743E4E3F" w14:textId="77777777" w:rsidR="008D3D54" w:rsidRPr="00434D69" w:rsidRDefault="008D3D54" w:rsidP="008D3D54">
      <w:pPr>
        <w:pStyle w:val="ListParagraph"/>
        <w:spacing w:after="0" w:line="480" w:lineRule="auto"/>
        <w:jc w:val="both"/>
        <w:rPr>
          <w:rFonts w:ascii="Times New Roman" w:hAnsi="Times New Roman" w:cs="Times New Roman"/>
          <w:sz w:val="24"/>
          <w:szCs w:val="24"/>
        </w:rPr>
      </w:pPr>
    </w:p>
    <w:p w14:paraId="154CAC88" w14:textId="28CCFA45" w:rsidR="008D3D54" w:rsidRPr="00434D69" w:rsidRDefault="00B86545" w:rsidP="008D3D54">
      <w:pPr>
        <w:pStyle w:val="ListParagraph"/>
        <w:spacing w:after="0" w:line="480" w:lineRule="auto"/>
        <w:ind w:left="1440"/>
        <w:jc w:val="both"/>
        <w:rPr>
          <w:rFonts w:ascii="Times New Roman" w:hAnsi="Times New Roman" w:cs="Times New Roman"/>
          <w:i/>
          <w:sz w:val="24"/>
          <w:szCs w:val="24"/>
        </w:rPr>
      </w:pPr>
      <w:r>
        <w:rPr>
          <w:rFonts w:ascii="Times New Roman" w:hAnsi="Times New Roman" w:cs="Times New Roman"/>
          <w:i/>
          <w:sz w:val="24"/>
          <w:szCs w:val="24"/>
        </w:rPr>
        <w:t>“</w:t>
      </w:r>
      <w:r w:rsidR="008D3D54" w:rsidRPr="00434D69">
        <w:rPr>
          <w:rFonts w:ascii="Times New Roman" w:hAnsi="Times New Roman" w:cs="Times New Roman"/>
          <w:i/>
          <w:sz w:val="24"/>
          <w:szCs w:val="24"/>
        </w:rPr>
        <w:t xml:space="preserve">(1) “For the purposes of determining contributory negligence- […] </w:t>
      </w:r>
    </w:p>
    <w:p w14:paraId="39838CFD" w14:textId="77777777" w:rsidR="008D3D54" w:rsidRPr="00434D69" w:rsidRDefault="008D3D54" w:rsidP="008D3D54">
      <w:pPr>
        <w:pStyle w:val="ListParagraph"/>
        <w:spacing w:after="0" w:line="480" w:lineRule="auto"/>
        <w:ind w:left="1440"/>
        <w:jc w:val="both"/>
        <w:rPr>
          <w:rFonts w:ascii="Times New Roman" w:hAnsi="Times New Roman" w:cs="Times New Roman"/>
          <w:i/>
          <w:sz w:val="24"/>
          <w:szCs w:val="24"/>
        </w:rPr>
      </w:pPr>
    </w:p>
    <w:p w14:paraId="06C48681" w14:textId="5AC200D8" w:rsidR="008D3D54" w:rsidRPr="00434D69" w:rsidRDefault="008D3D54" w:rsidP="008D3D54">
      <w:pPr>
        <w:pStyle w:val="ListParagraph"/>
        <w:spacing w:after="0" w:line="480" w:lineRule="auto"/>
        <w:ind w:left="1440"/>
        <w:jc w:val="both"/>
        <w:rPr>
          <w:rFonts w:ascii="Times New Roman" w:hAnsi="Times New Roman" w:cs="Times New Roman"/>
          <w:i/>
          <w:sz w:val="24"/>
          <w:szCs w:val="24"/>
        </w:rPr>
      </w:pPr>
      <w:r w:rsidRPr="00434D69">
        <w:rPr>
          <w:rFonts w:ascii="Times New Roman" w:hAnsi="Times New Roman" w:cs="Times New Roman"/>
          <w:i/>
          <w:sz w:val="24"/>
          <w:szCs w:val="24"/>
        </w:rPr>
        <w:t>(h) where the plaintiff</w:t>
      </w:r>
      <w:r w:rsidR="00B67C7D">
        <w:rPr>
          <w:rFonts w:ascii="Times New Roman" w:hAnsi="Times New Roman" w:cs="Times New Roman"/>
          <w:i/>
          <w:sz w:val="24"/>
          <w:szCs w:val="24"/>
        </w:rPr>
        <w:t>’</w:t>
      </w:r>
      <w:r w:rsidRPr="00434D69">
        <w:rPr>
          <w:rFonts w:ascii="Times New Roman" w:hAnsi="Times New Roman" w:cs="Times New Roman"/>
          <w:i/>
          <w:sz w:val="24"/>
          <w:szCs w:val="24"/>
        </w:rPr>
        <w:t>s damage was caused by concurrent wrongdoers and after the occurrence of the damage the liability of one of such wrongdoers is discharged by release or accord made with him by the plaintiff, while the liability of the other wrongdoers remains, the plaintiff shall be deemed to be responsible for the acts of the wrongdoer whose liability is so discharged.</w:t>
      </w:r>
      <w:r w:rsidR="00B86545">
        <w:rPr>
          <w:rFonts w:ascii="Times New Roman" w:hAnsi="Times New Roman" w:cs="Times New Roman"/>
          <w:i/>
          <w:sz w:val="24"/>
          <w:szCs w:val="24"/>
        </w:rPr>
        <w:t>”</w:t>
      </w:r>
    </w:p>
    <w:p w14:paraId="3C68A601" w14:textId="77777777" w:rsidR="008D3D54" w:rsidRPr="00434D69" w:rsidRDefault="008D3D54" w:rsidP="008D3D54">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15B55579" w14:textId="37094F67" w:rsidR="008D3D54" w:rsidRPr="00434D69" w:rsidRDefault="00001BD8" w:rsidP="003C658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D3D54" w:rsidRPr="00434D69">
        <w:rPr>
          <w:rFonts w:ascii="Times New Roman" w:hAnsi="Times New Roman" w:cs="Times New Roman"/>
          <w:sz w:val="24"/>
          <w:szCs w:val="24"/>
        </w:rPr>
        <w:t xml:space="preserve">position of concurrent wrongdoers </w:t>
      </w:r>
      <w:r w:rsidR="00B86545">
        <w:rPr>
          <w:rFonts w:ascii="Times New Roman" w:hAnsi="Times New Roman" w:cs="Times New Roman"/>
          <w:sz w:val="24"/>
          <w:szCs w:val="24"/>
        </w:rPr>
        <w:t>is the dominant focus of</w:t>
      </w:r>
      <w:r w:rsidR="008D3D54" w:rsidRPr="00434D69">
        <w:rPr>
          <w:rFonts w:ascii="Times New Roman" w:hAnsi="Times New Roman" w:cs="Times New Roman"/>
          <w:sz w:val="24"/>
          <w:szCs w:val="24"/>
        </w:rPr>
        <w:t xml:space="preserve"> the identification provisions, appearing also in s</w:t>
      </w:r>
      <w:r w:rsidR="00B86545">
        <w:rPr>
          <w:rFonts w:ascii="Times New Roman" w:hAnsi="Times New Roman" w:cs="Times New Roman"/>
          <w:sz w:val="24"/>
          <w:szCs w:val="24"/>
        </w:rPr>
        <w:t xml:space="preserve">ub-paragraphs </w:t>
      </w:r>
      <w:r w:rsidR="00946247">
        <w:rPr>
          <w:rFonts w:ascii="Times New Roman" w:hAnsi="Times New Roman" w:cs="Times New Roman"/>
          <w:sz w:val="24"/>
          <w:szCs w:val="24"/>
        </w:rPr>
        <w:t>(</w:t>
      </w:r>
      <w:r w:rsidR="008D3D54" w:rsidRPr="00434D69">
        <w:rPr>
          <w:rFonts w:ascii="Times New Roman" w:hAnsi="Times New Roman" w:cs="Times New Roman"/>
          <w:sz w:val="24"/>
          <w:szCs w:val="24"/>
        </w:rPr>
        <w:t xml:space="preserve">f) and (g) (contracts exempting concurrent wrongdoer from liability or limiting that liability entered into before occurrence of damage), (i) (claim against concurrent wrongdoer barred by the Statute of Limitations) and (j) (plaintiff proceeds against concurrent wrongdoer after failing against another fixed with liability for acts of the latter).  </w:t>
      </w:r>
    </w:p>
    <w:p w14:paraId="689CC604" w14:textId="77777777" w:rsidR="008D3D54" w:rsidRPr="00434D69" w:rsidRDefault="008D3D54" w:rsidP="008D3D54">
      <w:pPr>
        <w:pStyle w:val="ListParagraph"/>
        <w:spacing w:after="0" w:line="480" w:lineRule="auto"/>
        <w:rPr>
          <w:rFonts w:ascii="Times New Roman" w:hAnsi="Times New Roman" w:cs="Times New Roman"/>
          <w:sz w:val="24"/>
          <w:szCs w:val="24"/>
        </w:rPr>
      </w:pPr>
    </w:p>
    <w:p w14:paraId="61657718" w14:textId="54DAB1B2" w:rsidR="000C22B0" w:rsidRDefault="008D3D54"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The</w:t>
      </w:r>
      <w:r w:rsidR="00831BDA">
        <w:rPr>
          <w:rFonts w:ascii="Times New Roman" w:hAnsi="Times New Roman" w:cs="Times New Roman"/>
          <w:sz w:val="24"/>
          <w:szCs w:val="24"/>
        </w:rPr>
        <w:t xml:space="preserve"> </w:t>
      </w:r>
      <w:r w:rsidR="007E5552">
        <w:rPr>
          <w:rFonts w:ascii="Times New Roman" w:hAnsi="Times New Roman" w:cs="Times New Roman"/>
          <w:sz w:val="24"/>
          <w:szCs w:val="24"/>
        </w:rPr>
        <w:t>way</w:t>
      </w:r>
      <w:r w:rsidR="00831BDA">
        <w:rPr>
          <w:rFonts w:ascii="Times New Roman" w:hAnsi="Times New Roman" w:cs="Times New Roman"/>
          <w:sz w:val="24"/>
          <w:szCs w:val="24"/>
        </w:rPr>
        <w:t xml:space="preserve"> the</w:t>
      </w:r>
      <w:r w:rsidR="000C22B0">
        <w:rPr>
          <w:rFonts w:ascii="Times New Roman" w:hAnsi="Times New Roman" w:cs="Times New Roman"/>
          <w:sz w:val="24"/>
          <w:szCs w:val="24"/>
        </w:rPr>
        <w:t>se provisions</w:t>
      </w:r>
      <w:r w:rsidR="00831BDA">
        <w:rPr>
          <w:rFonts w:ascii="Times New Roman" w:hAnsi="Times New Roman" w:cs="Times New Roman"/>
          <w:sz w:val="24"/>
          <w:szCs w:val="24"/>
        </w:rPr>
        <w:t xml:space="preserve"> are said to </w:t>
      </w:r>
      <w:r w:rsidR="000C22B0">
        <w:rPr>
          <w:rFonts w:ascii="Times New Roman" w:hAnsi="Times New Roman" w:cs="Times New Roman"/>
          <w:sz w:val="24"/>
          <w:szCs w:val="24"/>
        </w:rPr>
        <w:t>tie together in this case i</w:t>
      </w:r>
      <w:r w:rsidR="00831BDA">
        <w:rPr>
          <w:rFonts w:ascii="Times New Roman" w:hAnsi="Times New Roman" w:cs="Times New Roman"/>
          <w:sz w:val="24"/>
          <w:szCs w:val="24"/>
        </w:rPr>
        <w:t>s important</w:t>
      </w:r>
      <w:r w:rsidR="000C22B0">
        <w:rPr>
          <w:rFonts w:ascii="Times New Roman" w:hAnsi="Times New Roman" w:cs="Times New Roman"/>
          <w:sz w:val="24"/>
          <w:szCs w:val="24"/>
        </w:rPr>
        <w:t xml:space="preserve">. </w:t>
      </w:r>
      <w:r w:rsidRPr="00434D69">
        <w:rPr>
          <w:rFonts w:ascii="Times New Roman" w:hAnsi="Times New Roman" w:cs="Times New Roman"/>
          <w:sz w:val="24"/>
          <w:szCs w:val="24"/>
        </w:rPr>
        <w:t xml:space="preserve"> </w:t>
      </w:r>
      <w:r w:rsidR="000C22B0">
        <w:rPr>
          <w:rFonts w:ascii="Times New Roman" w:hAnsi="Times New Roman" w:cs="Times New Roman"/>
          <w:sz w:val="24"/>
          <w:szCs w:val="24"/>
        </w:rPr>
        <w:t xml:space="preserve">The </w:t>
      </w:r>
      <w:r w:rsidR="00B86545">
        <w:rPr>
          <w:rFonts w:ascii="Times New Roman" w:hAnsi="Times New Roman" w:cs="Times New Roman"/>
          <w:sz w:val="24"/>
          <w:szCs w:val="24"/>
        </w:rPr>
        <w:t>D</w:t>
      </w:r>
      <w:r w:rsidRPr="00434D69">
        <w:rPr>
          <w:rFonts w:ascii="Times New Roman" w:hAnsi="Times New Roman" w:cs="Times New Roman"/>
          <w:sz w:val="24"/>
          <w:szCs w:val="24"/>
        </w:rPr>
        <w:t xml:space="preserve">efendants’ </w:t>
      </w:r>
      <w:r w:rsidR="00B86545">
        <w:rPr>
          <w:rFonts w:ascii="Times New Roman" w:hAnsi="Times New Roman" w:cs="Times New Roman"/>
          <w:sz w:val="24"/>
          <w:szCs w:val="24"/>
        </w:rPr>
        <w:t>capacity</w:t>
      </w:r>
      <w:r w:rsidR="00B86545" w:rsidRPr="00434D69">
        <w:rPr>
          <w:rFonts w:ascii="Times New Roman" w:hAnsi="Times New Roman" w:cs="Times New Roman"/>
          <w:sz w:val="24"/>
          <w:szCs w:val="24"/>
        </w:rPr>
        <w:t xml:space="preserve"> </w:t>
      </w:r>
      <w:r w:rsidRPr="00434D69">
        <w:rPr>
          <w:rFonts w:ascii="Times New Roman" w:hAnsi="Times New Roman" w:cs="Times New Roman"/>
          <w:sz w:val="24"/>
          <w:szCs w:val="24"/>
        </w:rPr>
        <w:t xml:space="preserve">to contend that the </w:t>
      </w:r>
      <w:r w:rsidR="00B86545">
        <w:rPr>
          <w:rFonts w:ascii="Times New Roman" w:hAnsi="Times New Roman" w:cs="Times New Roman"/>
          <w:sz w:val="24"/>
          <w:szCs w:val="24"/>
        </w:rPr>
        <w:t>Bank’s</w:t>
      </w:r>
      <w:r w:rsidR="00B86545" w:rsidRPr="00434D69">
        <w:rPr>
          <w:rFonts w:ascii="Times New Roman" w:hAnsi="Times New Roman" w:cs="Times New Roman"/>
          <w:sz w:val="24"/>
          <w:szCs w:val="24"/>
        </w:rPr>
        <w:t xml:space="preserve"> </w:t>
      </w:r>
      <w:r w:rsidRPr="00434D69">
        <w:rPr>
          <w:rFonts w:ascii="Times New Roman" w:hAnsi="Times New Roman" w:cs="Times New Roman"/>
          <w:sz w:val="24"/>
          <w:szCs w:val="24"/>
        </w:rPr>
        <w:t>claim</w:t>
      </w:r>
      <w:r w:rsidR="00B86545">
        <w:rPr>
          <w:rFonts w:ascii="Times New Roman" w:hAnsi="Times New Roman" w:cs="Times New Roman"/>
          <w:sz w:val="24"/>
          <w:szCs w:val="24"/>
        </w:rPr>
        <w:t xml:space="preserve"> against them</w:t>
      </w:r>
      <w:r w:rsidRPr="00434D69">
        <w:rPr>
          <w:rFonts w:ascii="Times New Roman" w:hAnsi="Times New Roman" w:cs="Times New Roman"/>
          <w:sz w:val="24"/>
          <w:szCs w:val="24"/>
        </w:rPr>
        <w:t xml:space="preserve"> should be reduced or extinguished to reflect the fault of CBRE is depend</w:t>
      </w:r>
      <w:r>
        <w:rPr>
          <w:rFonts w:ascii="Times New Roman" w:hAnsi="Times New Roman" w:cs="Times New Roman"/>
          <w:sz w:val="24"/>
          <w:szCs w:val="24"/>
        </w:rPr>
        <w:t>e</w:t>
      </w:r>
      <w:r w:rsidRPr="00434D69">
        <w:rPr>
          <w:rFonts w:ascii="Times New Roman" w:hAnsi="Times New Roman" w:cs="Times New Roman"/>
          <w:sz w:val="24"/>
          <w:szCs w:val="24"/>
        </w:rPr>
        <w:t>nt upon s</w:t>
      </w:r>
      <w:r w:rsidR="00B86545">
        <w:rPr>
          <w:rFonts w:ascii="Times New Roman" w:hAnsi="Times New Roman" w:cs="Times New Roman"/>
          <w:sz w:val="24"/>
          <w:szCs w:val="24"/>
        </w:rPr>
        <w:t xml:space="preserve">ection </w:t>
      </w:r>
      <w:r w:rsidRPr="00434D69">
        <w:rPr>
          <w:rFonts w:ascii="Times New Roman" w:hAnsi="Times New Roman" w:cs="Times New Roman"/>
          <w:sz w:val="24"/>
          <w:szCs w:val="24"/>
        </w:rPr>
        <w:t>17(2).  Section 17(2) incorporates by reference s</w:t>
      </w:r>
      <w:r w:rsidR="00B86545">
        <w:rPr>
          <w:rFonts w:ascii="Times New Roman" w:hAnsi="Times New Roman" w:cs="Times New Roman"/>
          <w:sz w:val="24"/>
          <w:szCs w:val="24"/>
        </w:rPr>
        <w:t>ection</w:t>
      </w:r>
      <w:r w:rsidR="00946247">
        <w:rPr>
          <w:rFonts w:ascii="Times New Roman" w:hAnsi="Times New Roman" w:cs="Times New Roman"/>
          <w:sz w:val="24"/>
          <w:szCs w:val="24"/>
        </w:rPr>
        <w:t xml:space="preserve"> </w:t>
      </w:r>
      <w:r w:rsidRPr="00434D69">
        <w:rPr>
          <w:rFonts w:ascii="Times New Roman" w:hAnsi="Times New Roman" w:cs="Times New Roman"/>
          <w:sz w:val="24"/>
          <w:szCs w:val="24"/>
        </w:rPr>
        <w:t>35(1)(h).  Section 35(1) has no life independently of s</w:t>
      </w:r>
      <w:r w:rsidR="00B86545">
        <w:rPr>
          <w:rFonts w:ascii="Times New Roman" w:hAnsi="Times New Roman" w:cs="Times New Roman"/>
          <w:sz w:val="24"/>
          <w:szCs w:val="24"/>
        </w:rPr>
        <w:t>ection</w:t>
      </w:r>
      <w:r w:rsidRPr="00434D69">
        <w:rPr>
          <w:rFonts w:ascii="Times New Roman" w:hAnsi="Times New Roman" w:cs="Times New Roman"/>
          <w:sz w:val="24"/>
          <w:szCs w:val="24"/>
        </w:rPr>
        <w:t xml:space="preserve"> 34(1), as s</w:t>
      </w:r>
      <w:r w:rsidR="00B86545">
        <w:rPr>
          <w:rFonts w:ascii="Times New Roman" w:hAnsi="Times New Roman" w:cs="Times New Roman"/>
          <w:sz w:val="24"/>
          <w:szCs w:val="24"/>
        </w:rPr>
        <w:t xml:space="preserve">ection </w:t>
      </w:r>
      <w:r w:rsidRPr="00434D69">
        <w:rPr>
          <w:rFonts w:ascii="Times New Roman" w:hAnsi="Times New Roman" w:cs="Times New Roman"/>
          <w:sz w:val="24"/>
          <w:szCs w:val="24"/>
        </w:rPr>
        <w:t xml:space="preserve">35(1) merely describes the circumstances in </w:t>
      </w:r>
      <w:r w:rsidRPr="00434D69">
        <w:rPr>
          <w:rFonts w:ascii="Times New Roman" w:hAnsi="Times New Roman" w:cs="Times New Roman"/>
          <w:sz w:val="24"/>
          <w:szCs w:val="24"/>
        </w:rPr>
        <w:lastRenderedPageBreak/>
        <w:t>which a person is to be identified with another for the purposes of a plea of contributory negligence and it is s</w:t>
      </w:r>
      <w:r w:rsidR="00B86545">
        <w:rPr>
          <w:rFonts w:ascii="Times New Roman" w:hAnsi="Times New Roman" w:cs="Times New Roman"/>
          <w:sz w:val="24"/>
          <w:szCs w:val="24"/>
        </w:rPr>
        <w:t>ection</w:t>
      </w:r>
      <w:r w:rsidRPr="00434D69">
        <w:rPr>
          <w:rFonts w:ascii="Times New Roman" w:hAnsi="Times New Roman" w:cs="Times New Roman"/>
          <w:sz w:val="24"/>
          <w:szCs w:val="24"/>
        </w:rPr>
        <w:t xml:space="preserve"> 34(1) that prescribes </w:t>
      </w:r>
      <w:r w:rsidR="00B86545">
        <w:rPr>
          <w:rFonts w:ascii="Times New Roman" w:hAnsi="Times New Roman" w:cs="Times New Roman"/>
          <w:sz w:val="24"/>
          <w:szCs w:val="24"/>
        </w:rPr>
        <w:t xml:space="preserve">the consequences when </w:t>
      </w:r>
      <w:r w:rsidRPr="00434D69">
        <w:rPr>
          <w:rFonts w:ascii="Times New Roman" w:hAnsi="Times New Roman" w:cs="Times New Roman"/>
          <w:sz w:val="24"/>
          <w:szCs w:val="24"/>
        </w:rPr>
        <w:t xml:space="preserve">such a plea is sustained.  </w:t>
      </w:r>
      <w:r w:rsidRPr="000C22B0">
        <w:rPr>
          <w:rFonts w:ascii="Times New Roman" w:hAnsi="Times New Roman" w:cs="Times New Roman"/>
          <w:sz w:val="24"/>
          <w:szCs w:val="24"/>
        </w:rPr>
        <w:t>Section 34(1), however, is operative only to reduce a claim ‘</w:t>
      </w:r>
      <w:r w:rsidRPr="000C22B0">
        <w:rPr>
          <w:rFonts w:ascii="Times New Roman" w:hAnsi="Times New Roman" w:cs="Times New Roman"/>
          <w:i/>
          <w:sz w:val="24"/>
          <w:szCs w:val="24"/>
        </w:rPr>
        <w:t>for damages</w:t>
      </w:r>
      <w:r w:rsidR="00B67C7D">
        <w:rPr>
          <w:rFonts w:ascii="Times New Roman" w:hAnsi="Times New Roman" w:cs="Times New Roman"/>
          <w:i/>
          <w:sz w:val="24"/>
          <w:szCs w:val="24"/>
        </w:rPr>
        <w:t>’</w:t>
      </w:r>
      <w:r w:rsidR="000C22B0">
        <w:rPr>
          <w:rFonts w:ascii="Times New Roman" w:hAnsi="Times New Roman" w:cs="Times New Roman"/>
          <w:sz w:val="24"/>
          <w:szCs w:val="24"/>
        </w:rPr>
        <w:t xml:space="preserve">.  There is no doubt but that the </w:t>
      </w:r>
      <w:r w:rsidR="00B86545">
        <w:rPr>
          <w:rFonts w:ascii="Times New Roman" w:hAnsi="Times New Roman" w:cs="Times New Roman"/>
          <w:sz w:val="24"/>
          <w:szCs w:val="24"/>
        </w:rPr>
        <w:t xml:space="preserve">Bank’s </w:t>
      </w:r>
      <w:r w:rsidR="000C22B0">
        <w:rPr>
          <w:rFonts w:ascii="Times New Roman" w:hAnsi="Times New Roman" w:cs="Times New Roman"/>
          <w:sz w:val="24"/>
          <w:szCs w:val="24"/>
        </w:rPr>
        <w:t>claim against CBRE was a claim ‘</w:t>
      </w:r>
      <w:r w:rsidR="000C22B0">
        <w:rPr>
          <w:rFonts w:ascii="Times New Roman" w:hAnsi="Times New Roman" w:cs="Times New Roman"/>
          <w:i/>
          <w:sz w:val="24"/>
          <w:szCs w:val="24"/>
        </w:rPr>
        <w:t>for damages</w:t>
      </w:r>
      <w:r w:rsidR="00B67C7D">
        <w:rPr>
          <w:rFonts w:ascii="Times New Roman" w:hAnsi="Times New Roman" w:cs="Times New Roman"/>
          <w:i/>
          <w:sz w:val="24"/>
          <w:szCs w:val="24"/>
        </w:rPr>
        <w:t>’</w:t>
      </w:r>
      <w:r w:rsidR="000C22B0">
        <w:rPr>
          <w:rFonts w:ascii="Times New Roman" w:hAnsi="Times New Roman" w:cs="Times New Roman"/>
          <w:sz w:val="24"/>
          <w:szCs w:val="24"/>
        </w:rPr>
        <w:t xml:space="preserve">.  But if the claim to recover the debt from the </w:t>
      </w:r>
      <w:r w:rsidR="00B86545">
        <w:rPr>
          <w:rFonts w:ascii="Times New Roman" w:hAnsi="Times New Roman" w:cs="Times New Roman"/>
          <w:sz w:val="24"/>
          <w:szCs w:val="24"/>
        </w:rPr>
        <w:t>D</w:t>
      </w:r>
      <w:r w:rsidR="000C22B0">
        <w:rPr>
          <w:rFonts w:ascii="Times New Roman" w:hAnsi="Times New Roman" w:cs="Times New Roman"/>
          <w:sz w:val="24"/>
          <w:szCs w:val="24"/>
        </w:rPr>
        <w:t xml:space="preserve">efendants is </w:t>
      </w:r>
      <w:r w:rsidR="000C22B0">
        <w:rPr>
          <w:rFonts w:ascii="Times New Roman" w:hAnsi="Times New Roman" w:cs="Times New Roman"/>
          <w:i/>
          <w:sz w:val="24"/>
          <w:szCs w:val="24"/>
        </w:rPr>
        <w:t xml:space="preserve">not </w:t>
      </w:r>
      <w:r w:rsidR="000C22B0">
        <w:rPr>
          <w:rFonts w:ascii="Times New Roman" w:hAnsi="Times New Roman" w:cs="Times New Roman"/>
          <w:sz w:val="24"/>
          <w:szCs w:val="24"/>
        </w:rPr>
        <w:t xml:space="preserve">a claim for damages (and as we have said and explain </w:t>
      </w:r>
      <w:r w:rsidR="0074024A">
        <w:rPr>
          <w:rFonts w:ascii="Times New Roman" w:hAnsi="Times New Roman" w:cs="Times New Roman"/>
          <w:sz w:val="24"/>
          <w:szCs w:val="24"/>
        </w:rPr>
        <w:t xml:space="preserve">further </w:t>
      </w:r>
      <w:r w:rsidR="000C22B0">
        <w:rPr>
          <w:rFonts w:ascii="Times New Roman" w:hAnsi="Times New Roman" w:cs="Times New Roman"/>
          <w:sz w:val="24"/>
          <w:szCs w:val="24"/>
        </w:rPr>
        <w:t xml:space="preserve">shortly, it is not) then these provisions are of no avail to the </w:t>
      </w:r>
      <w:r w:rsidR="00B86545">
        <w:rPr>
          <w:rFonts w:ascii="Times New Roman" w:hAnsi="Times New Roman" w:cs="Times New Roman"/>
          <w:sz w:val="24"/>
          <w:szCs w:val="24"/>
        </w:rPr>
        <w:t>D</w:t>
      </w:r>
      <w:r w:rsidR="000C22B0">
        <w:rPr>
          <w:rFonts w:ascii="Times New Roman" w:hAnsi="Times New Roman" w:cs="Times New Roman"/>
          <w:sz w:val="24"/>
          <w:szCs w:val="24"/>
        </w:rPr>
        <w:t>efendants.</w:t>
      </w:r>
      <w:r w:rsidR="00DA48CE">
        <w:rPr>
          <w:rFonts w:ascii="Times New Roman" w:hAnsi="Times New Roman" w:cs="Times New Roman"/>
          <w:sz w:val="24"/>
          <w:szCs w:val="24"/>
        </w:rPr>
        <w:t xml:space="preserve">  </w:t>
      </w:r>
      <w:r w:rsidR="00A45B15">
        <w:rPr>
          <w:rFonts w:ascii="Times New Roman" w:hAnsi="Times New Roman" w:cs="Times New Roman"/>
          <w:sz w:val="24"/>
          <w:szCs w:val="24"/>
        </w:rPr>
        <w:t xml:space="preserve">As between the </w:t>
      </w:r>
      <w:r w:rsidR="007E5552">
        <w:rPr>
          <w:rFonts w:ascii="Times New Roman" w:hAnsi="Times New Roman" w:cs="Times New Roman"/>
          <w:sz w:val="24"/>
          <w:szCs w:val="24"/>
        </w:rPr>
        <w:t>Bank</w:t>
      </w:r>
      <w:r w:rsidR="00A45B15">
        <w:rPr>
          <w:rFonts w:ascii="Times New Roman" w:hAnsi="Times New Roman" w:cs="Times New Roman"/>
          <w:sz w:val="24"/>
          <w:szCs w:val="24"/>
        </w:rPr>
        <w:t xml:space="preserve"> and the </w:t>
      </w:r>
      <w:r w:rsidR="00B86545">
        <w:rPr>
          <w:rFonts w:ascii="Times New Roman" w:hAnsi="Times New Roman" w:cs="Times New Roman"/>
          <w:sz w:val="24"/>
          <w:szCs w:val="24"/>
        </w:rPr>
        <w:t>D</w:t>
      </w:r>
      <w:r w:rsidR="00A45B15">
        <w:rPr>
          <w:rFonts w:ascii="Times New Roman" w:hAnsi="Times New Roman" w:cs="Times New Roman"/>
          <w:sz w:val="24"/>
          <w:szCs w:val="24"/>
        </w:rPr>
        <w:t>efendants t</w:t>
      </w:r>
      <w:r w:rsidR="00DA48CE">
        <w:rPr>
          <w:rFonts w:ascii="Times New Roman" w:hAnsi="Times New Roman" w:cs="Times New Roman"/>
          <w:sz w:val="24"/>
          <w:szCs w:val="24"/>
        </w:rPr>
        <w:t>here are, in the language of s</w:t>
      </w:r>
      <w:r w:rsidR="00B86545">
        <w:rPr>
          <w:rFonts w:ascii="Times New Roman" w:hAnsi="Times New Roman" w:cs="Times New Roman"/>
          <w:sz w:val="24"/>
          <w:szCs w:val="24"/>
        </w:rPr>
        <w:t xml:space="preserve">ection </w:t>
      </w:r>
      <w:r w:rsidR="00DA48CE">
        <w:rPr>
          <w:rFonts w:ascii="Times New Roman" w:hAnsi="Times New Roman" w:cs="Times New Roman"/>
          <w:sz w:val="24"/>
          <w:szCs w:val="24"/>
        </w:rPr>
        <w:t>34(1), no ‘</w:t>
      </w:r>
      <w:r w:rsidR="00DA48CE">
        <w:rPr>
          <w:rFonts w:ascii="Times New Roman" w:hAnsi="Times New Roman" w:cs="Times New Roman"/>
          <w:i/>
          <w:sz w:val="24"/>
          <w:szCs w:val="24"/>
        </w:rPr>
        <w:t>damages recoverable</w:t>
      </w:r>
      <w:r w:rsidR="00B67C7D">
        <w:rPr>
          <w:rFonts w:ascii="Times New Roman" w:hAnsi="Times New Roman" w:cs="Times New Roman"/>
          <w:i/>
          <w:sz w:val="24"/>
          <w:szCs w:val="24"/>
        </w:rPr>
        <w:t>’</w:t>
      </w:r>
      <w:r w:rsidR="00DA48CE">
        <w:rPr>
          <w:rFonts w:ascii="Times New Roman" w:hAnsi="Times New Roman" w:cs="Times New Roman"/>
          <w:i/>
          <w:sz w:val="24"/>
          <w:szCs w:val="24"/>
        </w:rPr>
        <w:t xml:space="preserve"> </w:t>
      </w:r>
      <w:r w:rsidR="00B86545">
        <w:rPr>
          <w:rFonts w:ascii="Times New Roman" w:hAnsi="Times New Roman" w:cs="Times New Roman"/>
          <w:sz w:val="24"/>
          <w:szCs w:val="24"/>
        </w:rPr>
        <w:t>liable to be reduced</w:t>
      </w:r>
      <w:r w:rsidR="00DA48CE">
        <w:rPr>
          <w:rFonts w:ascii="Times New Roman" w:hAnsi="Times New Roman" w:cs="Times New Roman"/>
          <w:sz w:val="24"/>
          <w:szCs w:val="24"/>
        </w:rPr>
        <w:t>.</w:t>
      </w:r>
    </w:p>
    <w:p w14:paraId="0C96C64A" w14:textId="77777777" w:rsidR="00DA48CE" w:rsidRPr="00DA48CE" w:rsidRDefault="00DA48CE" w:rsidP="00DA48CE">
      <w:pPr>
        <w:pStyle w:val="ListParagraph"/>
        <w:rPr>
          <w:rFonts w:ascii="Times New Roman" w:hAnsi="Times New Roman" w:cs="Times New Roman"/>
          <w:sz w:val="24"/>
          <w:szCs w:val="24"/>
        </w:rPr>
      </w:pPr>
    </w:p>
    <w:p w14:paraId="0F41ADF2" w14:textId="77777777" w:rsidR="00DA48CE" w:rsidRPr="00DA48CE" w:rsidRDefault="00DA48CE" w:rsidP="00272396">
      <w:pPr>
        <w:pStyle w:val="Heading2"/>
      </w:pPr>
      <w:r>
        <w:t>Part III of the CLA and damages</w:t>
      </w:r>
    </w:p>
    <w:p w14:paraId="65BAE511" w14:textId="77777777" w:rsidR="008D3D54" w:rsidRPr="000C22B0" w:rsidRDefault="008D3D54" w:rsidP="000C22B0">
      <w:pPr>
        <w:pStyle w:val="ListParagraph"/>
        <w:spacing w:after="0" w:line="480" w:lineRule="auto"/>
        <w:jc w:val="both"/>
        <w:rPr>
          <w:rFonts w:ascii="Times New Roman" w:hAnsi="Times New Roman" w:cs="Times New Roman"/>
          <w:sz w:val="24"/>
          <w:szCs w:val="24"/>
        </w:rPr>
      </w:pPr>
      <w:r w:rsidRPr="000C22B0">
        <w:rPr>
          <w:rFonts w:ascii="Times New Roman" w:hAnsi="Times New Roman" w:cs="Times New Roman"/>
          <w:sz w:val="24"/>
          <w:szCs w:val="24"/>
        </w:rPr>
        <w:t xml:space="preserve"> </w:t>
      </w:r>
    </w:p>
    <w:p w14:paraId="73E22936" w14:textId="0186E78C" w:rsidR="00DA48CE" w:rsidRPr="00A711B9" w:rsidRDefault="00DA48CE" w:rsidP="00A711B9">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86545">
        <w:rPr>
          <w:rFonts w:ascii="Times New Roman" w:hAnsi="Times New Roman" w:cs="Times New Roman"/>
          <w:sz w:val="24"/>
          <w:szCs w:val="24"/>
        </w:rPr>
        <w:t>D</w:t>
      </w:r>
      <w:r>
        <w:rPr>
          <w:rFonts w:ascii="Times New Roman" w:hAnsi="Times New Roman" w:cs="Times New Roman"/>
          <w:sz w:val="24"/>
          <w:szCs w:val="24"/>
        </w:rPr>
        <w:t>efendants respond to this proposition by urging a broader (or as they put it ‘</w:t>
      </w:r>
      <w:r>
        <w:rPr>
          <w:rFonts w:ascii="Times New Roman" w:hAnsi="Times New Roman" w:cs="Times New Roman"/>
          <w:i/>
          <w:sz w:val="24"/>
          <w:szCs w:val="24"/>
        </w:rPr>
        <w:t>holistic</w:t>
      </w:r>
      <w:r w:rsidR="00B67C7D">
        <w:rPr>
          <w:rFonts w:ascii="Times New Roman" w:hAnsi="Times New Roman" w:cs="Times New Roman"/>
          <w:i/>
          <w:sz w:val="24"/>
          <w:szCs w:val="24"/>
        </w:rPr>
        <w:t>’</w:t>
      </w:r>
      <w:r w:rsidR="003F7030">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interpretation of s</w:t>
      </w:r>
      <w:r w:rsidR="00B86545">
        <w:rPr>
          <w:rFonts w:ascii="Times New Roman" w:hAnsi="Times New Roman" w:cs="Times New Roman"/>
          <w:sz w:val="24"/>
          <w:szCs w:val="24"/>
        </w:rPr>
        <w:t>ection</w:t>
      </w:r>
      <w:r w:rsidR="004F1E70">
        <w:rPr>
          <w:rFonts w:ascii="Times New Roman" w:hAnsi="Times New Roman" w:cs="Times New Roman"/>
          <w:sz w:val="24"/>
          <w:szCs w:val="24"/>
        </w:rPr>
        <w:t xml:space="preserve"> </w:t>
      </w:r>
      <w:r>
        <w:rPr>
          <w:rFonts w:ascii="Times New Roman" w:hAnsi="Times New Roman" w:cs="Times New Roman"/>
          <w:sz w:val="24"/>
          <w:szCs w:val="24"/>
        </w:rPr>
        <w:t xml:space="preserve">34(1).  They say </w:t>
      </w:r>
      <w:r w:rsidRPr="00434D69">
        <w:rPr>
          <w:rFonts w:ascii="Times New Roman" w:hAnsi="Times New Roman" w:cs="Times New Roman"/>
          <w:sz w:val="24"/>
          <w:szCs w:val="24"/>
        </w:rPr>
        <w:t xml:space="preserve">that the purpose of </w:t>
      </w:r>
      <w:r w:rsidR="00946247">
        <w:rPr>
          <w:rFonts w:ascii="Times New Roman" w:hAnsi="Times New Roman" w:cs="Times New Roman"/>
          <w:sz w:val="24"/>
          <w:szCs w:val="24"/>
        </w:rPr>
        <w:t xml:space="preserve">the </w:t>
      </w:r>
      <w:r w:rsidRPr="00434D69">
        <w:rPr>
          <w:rFonts w:ascii="Times New Roman" w:hAnsi="Times New Roman" w:cs="Times New Roman"/>
          <w:sz w:val="24"/>
          <w:szCs w:val="24"/>
        </w:rPr>
        <w:t>CLA is to prevent what is termed ‘</w:t>
      </w:r>
      <w:r w:rsidRPr="00434D69">
        <w:rPr>
          <w:rFonts w:ascii="Times New Roman" w:hAnsi="Times New Roman" w:cs="Times New Roman"/>
          <w:i/>
          <w:sz w:val="24"/>
          <w:szCs w:val="24"/>
        </w:rPr>
        <w:t>aggregate recovery</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and that ‘</w:t>
      </w:r>
      <w:r w:rsidRPr="00434D69">
        <w:rPr>
          <w:rFonts w:ascii="Times New Roman" w:hAnsi="Times New Roman" w:cs="Times New Roman"/>
          <w:i/>
          <w:sz w:val="24"/>
          <w:szCs w:val="24"/>
        </w:rPr>
        <w:t>the contract only gives rise to one outlay of money (one loan) and thus one loss, whether recovery is characterised as repayment or damages</w:t>
      </w:r>
      <w:r w:rsidRPr="008371B1">
        <w:rPr>
          <w:rFonts w:ascii="Times New Roman" w:hAnsi="Times New Roman" w:cs="Times New Roman"/>
          <w:iCs/>
          <w:sz w:val="24"/>
          <w:szCs w:val="24"/>
        </w:rPr>
        <w:t>’</w:t>
      </w:r>
      <w:r w:rsidRPr="00946247">
        <w:rPr>
          <w:rFonts w:ascii="Times New Roman" w:hAnsi="Times New Roman" w:cs="Times New Roman"/>
          <w:iCs/>
          <w:sz w:val="24"/>
          <w:szCs w:val="24"/>
        </w:rPr>
        <w:t>.</w:t>
      </w:r>
      <w:r w:rsidRPr="00434D69">
        <w:rPr>
          <w:rFonts w:ascii="Times New Roman" w:hAnsi="Times New Roman" w:cs="Times New Roman"/>
          <w:sz w:val="24"/>
          <w:szCs w:val="24"/>
        </w:rPr>
        <w:t xml:space="preserve"> </w:t>
      </w:r>
      <w:r>
        <w:rPr>
          <w:rFonts w:ascii="Times New Roman" w:hAnsi="Times New Roman" w:cs="Times New Roman"/>
          <w:sz w:val="24"/>
          <w:szCs w:val="24"/>
        </w:rPr>
        <w:t>Effectively, they seek to contend that the reference to ‘</w:t>
      </w:r>
      <w:r>
        <w:rPr>
          <w:rFonts w:ascii="Times New Roman" w:hAnsi="Times New Roman" w:cs="Times New Roman"/>
          <w:i/>
          <w:sz w:val="24"/>
          <w:szCs w:val="24"/>
        </w:rPr>
        <w:t>damages</w:t>
      </w:r>
      <w:r w:rsidRPr="008371B1">
        <w:rPr>
          <w:rFonts w:ascii="Times New Roman" w:hAnsi="Times New Roman" w:cs="Times New Roman"/>
          <w:iCs/>
          <w:sz w:val="24"/>
          <w:szCs w:val="24"/>
        </w:rPr>
        <w:t>’</w:t>
      </w:r>
      <w:r w:rsidRPr="00946247">
        <w:rPr>
          <w:rFonts w:ascii="Times New Roman" w:hAnsi="Times New Roman" w:cs="Times New Roman"/>
          <w:iCs/>
          <w:sz w:val="24"/>
          <w:szCs w:val="24"/>
        </w:rPr>
        <w:t xml:space="preserve"> </w:t>
      </w:r>
      <w:r>
        <w:rPr>
          <w:rFonts w:ascii="Times New Roman" w:hAnsi="Times New Roman" w:cs="Times New Roman"/>
          <w:sz w:val="24"/>
          <w:szCs w:val="24"/>
        </w:rPr>
        <w:t>in s</w:t>
      </w:r>
      <w:r w:rsidR="00B86545">
        <w:rPr>
          <w:rFonts w:ascii="Times New Roman" w:hAnsi="Times New Roman" w:cs="Times New Roman"/>
          <w:sz w:val="24"/>
          <w:szCs w:val="24"/>
        </w:rPr>
        <w:t>ection</w:t>
      </w:r>
      <w:r w:rsidR="004F1E70">
        <w:rPr>
          <w:rFonts w:ascii="Times New Roman" w:hAnsi="Times New Roman" w:cs="Times New Roman"/>
          <w:sz w:val="24"/>
          <w:szCs w:val="24"/>
        </w:rPr>
        <w:t xml:space="preserve"> </w:t>
      </w:r>
      <w:r>
        <w:rPr>
          <w:rFonts w:ascii="Times New Roman" w:hAnsi="Times New Roman" w:cs="Times New Roman"/>
          <w:sz w:val="24"/>
          <w:szCs w:val="24"/>
        </w:rPr>
        <w:t xml:space="preserve">34(1) should be </w:t>
      </w:r>
      <w:r w:rsidR="00B86545">
        <w:rPr>
          <w:rFonts w:ascii="Times New Roman" w:hAnsi="Times New Roman" w:cs="Times New Roman"/>
          <w:sz w:val="24"/>
          <w:szCs w:val="24"/>
        </w:rPr>
        <w:t xml:space="preserve">read </w:t>
      </w:r>
      <w:r>
        <w:rPr>
          <w:rFonts w:ascii="Times New Roman" w:hAnsi="Times New Roman" w:cs="Times New Roman"/>
          <w:sz w:val="24"/>
          <w:szCs w:val="24"/>
        </w:rPr>
        <w:t xml:space="preserve">as a reference to </w:t>
      </w:r>
      <w:r w:rsidRPr="00946247">
        <w:rPr>
          <w:rFonts w:ascii="Times New Roman" w:hAnsi="Times New Roman" w:cs="Times New Roman"/>
          <w:sz w:val="24"/>
          <w:szCs w:val="24"/>
        </w:rPr>
        <w:t>‘</w:t>
      </w:r>
      <w:r>
        <w:rPr>
          <w:rFonts w:ascii="Times New Roman" w:hAnsi="Times New Roman" w:cs="Times New Roman"/>
          <w:i/>
          <w:sz w:val="24"/>
          <w:szCs w:val="24"/>
        </w:rPr>
        <w:t>damage</w:t>
      </w:r>
      <w:r w:rsidRPr="008371B1">
        <w:rPr>
          <w:rFonts w:ascii="Times New Roman" w:hAnsi="Times New Roman" w:cs="Times New Roman"/>
          <w:iCs/>
          <w:sz w:val="24"/>
          <w:szCs w:val="24"/>
        </w:rPr>
        <w:t>’</w:t>
      </w:r>
      <w:r w:rsidRPr="00946247">
        <w:rPr>
          <w:rFonts w:ascii="Times New Roman" w:hAnsi="Times New Roman" w:cs="Times New Roman"/>
          <w:iCs/>
          <w:sz w:val="24"/>
          <w:szCs w:val="24"/>
        </w:rPr>
        <w:t>.</w:t>
      </w:r>
      <w:r>
        <w:rPr>
          <w:rFonts w:ascii="Times New Roman" w:hAnsi="Times New Roman" w:cs="Times New Roman"/>
          <w:sz w:val="24"/>
          <w:szCs w:val="24"/>
        </w:rPr>
        <w:t xml:space="preserve">  However, </w:t>
      </w:r>
      <w:r w:rsidR="006A50CF">
        <w:rPr>
          <w:rFonts w:ascii="Times New Roman" w:hAnsi="Times New Roman" w:cs="Times New Roman"/>
          <w:sz w:val="24"/>
          <w:szCs w:val="24"/>
        </w:rPr>
        <w:t xml:space="preserve">such an </w:t>
      </w:r>
      <w:r>
        <w:rPr>
          <w:rFonts w:ascii="Times New Roman" w:hAnsi="Times New Roman" w:cs="Times New Roman"/>
          <w:sz w:val="24"/>
          <w:szCs w:val="24"/>
        </w:rPr>
        <w:t xml:space="preserve">exercise in re-writing the provision is </w:t>
      </w:r>
      <w:r w:rsidR="006A50CF">
        <w:rPr>
          <w:rFonts w:ascii="Times New Roman" w:hAnsi="Times New Roman" w:cs="Times New Roman"/>
          <w:sz w:val="24"/>
          <w:szCs w:val="24"/>
        </w:rPr>
        <w:t>impermissible</w:t>
      </w:r>
      <w:r>
        <w:rPr>
          <w:rFonts w:ascii="Times New Roman" w:hAnsi="Times New Roman" w:cs="Times New Roman"/>
          <w:sz w:val="24"/>
          <w:szCs w:val="24"/>
        </w:rPr>
        <w:t xml:space="preserve">.   </w:t>
      </w:r>
      <w:r w:rsidRPr="00434D69">
        <w:rPr>
          <w:rFonts w:ascii="Times New Roman" w:hAnsi="Times New Roman" w:cs="Times New Roman"/>
          <w:sz w:val="24"/>
          <w:szCs w:val="24"/>
        </w:rPr>
        <w:t>The draftsman was quite clear in differentiating between ‘</w:t>
      </w:r>
      <w:r w:rsidRPr="00434D69">
        <w:rPr>
          <w:rFonts w:ascii="Times New Roman" w:hAnsi="Times New Roman" w:cs="Times New Roman"/>
          <w:i/>
          <w:sz w:val="24"/>
          <w:szCs w:val="24"/>
        </w:rPr>
        <w:t>damage</w:t>
      </w:r>
      <w:r w:rsidRPr="008371B1">
        <w:rPr>
          <w:rFonts w:ascii="Times New Roman" w:hAnsi="Times New Roman" w:cs="Times New Roman"/>
          <w:iCs/>
          <w:sz w:val="24"/>
          <w:szCs w:val="24"/>
        </w:rPr>
        <w:t>’</w:t>
      </w:r>
      <w:r w:rsidRPr="00434D69">
        <w:rPr>
          <w:rFonts w:ascii="Times New Roman" w:hAnsi="Times New Roman" w:cs="Times New Roman"/>
          <w:sz w:val="24"/>
          <w:szCs w:val="24"/>
        </w:rPr>
        <w:t xml:space="preserve"> (the term used </w:t>
      </w:r>
      <w:r w:rsidR="006A50CF">
        <w:rPr>
          <w:rFonts w:ascii="Times New Roman" w:hAnsi="Times New Roman" w:cs="Times New Roman"/>
          <w:sz w:val="24"/>
          <w:szCs w:val="24"/>
        </w:rPr>
        <w:t xml:space="preserve">in the definition of </w:t>
      </w:r>
      <w:r w:rsidRPr="00434D69">
        <w:rPr>
          <w:rFonts w:ascii="Times New Roman" w:hAnsi="Times New Roman" w:cs="Times New Roman"/>
          <w:sz w:val="24"/>
          <w:szCs w:val="24"/>
        </w:rPr>
        <w:t>concurrent wrongdoer) and ‘</w:t>
      </w:r>
      <w:r w:rsidRPr="00434D69">
        <w:rPr>
          <w:rFonts w:ascii="Times New Roman" w:hAnsi="Times New Roman" w:cs="Times New Roman"/>
          <w:i/>
          <w:sz w:val="24"/>
          <w:szCs w:val="24"/>
        </w:rPr>
        <w:t>damages</w:t>
      </w:r>
      <w:r w:rsidRPr="008371B1">
        <w:rPr>
          <w:rFonts w:ascii="Times New Roman" w:hAnsi="Times New Roman" w:cs="Times New Roman"/>
          <w:iCs/>
          <w:sz w:val="24"/>
          <w:szCs w:val="24"/>
        </w:rPr>
        <w:t>’</w:t>
      </w:r>
      <w:r w:rsidRPr="00434D69">
        <w:rPr>
          <w:rFonts w:ascii="Times New Roman" w:hAnsi="Times New Roman" w:cs="Times New Roman"/>
          <w:i/>
          <w:sz w:val="24"/>
          <w:szCs w:val="24"/>
        </w:rPr>
        <w:t xml:space="preserve"> </w:t>
      </w:r>
      <w:r w:rsidRPr="00434D69">
        <w:rPr>
          <w:rFonts w:ascii="Times New Roman" w:hAnsi="Times New Roman" w:cs="Times New Roman"/>
          <w:sz w:val="24"/>
          <w:szCs w:val="24"/>
        </w:rPr>
        <w:t>(the trigger for the intervention of a concurrent wrongdoer in reducing an award in favour of a plaintiff).  They are separately defined in s</w:t>
      </w:r>
      <w:r w:rsidR="006A50CF">
        <w:rPr>
          <w:rFonts w:ascii="Times New Roman" w:hAnsi="Times New Roman" w:cs="Times New Roman"/>
          <w:sz w:val="24"/>
          <w:szCs w:val="24"/>
        </w:rPr>
        <w:t>ection</w:t>
      </w:r>
      <w:r w:rsidR="004F1E70">
        <w:rPr>
          <w:rFonts w:ascii="Times New Roman" w:hAnsi="Times New Roman" w:cs="Times New Roman"/>
          <w:sz w:val="24"/>
          <w:szCs w:val="24"/>
        </w:rPr>
        <w:t xml:space="preserve"> </w:t>
      </w:r>
      <w:r w:rsidRPr="00434D69">
        <w:rPr>
          <w:rFonts w:ascii="Times New Roman" w:hAnsi="Times New Roman" w:cs="Times New Roman"/>
          <w:sz w:val="24"/>
          <w:szCs w:val="24"/>
        </w:rPr>
        <w:t>2(1).  Indeed</w:t>
      </w:r>
      <w:r w:rsidR="009A0E41">
        <w:rPr>
          <w:rFonts w:ascii="Times New Roman" w:hAnsi="Times New Roman" w:cs="Times New Roman"/>
          <w:sz w:val="24"/>
          <w:szCs w:val="24"/>
        </w:rPr>
        <w:t>,</w:t>
      </w:r>
      <w:r w:rsidRPr="00434D69">
        <w:rPr>
          <w:rFonts w:ascii="Times New Roman" w:hAnsi="Times New Roman" w:cs="Times New Roman"/>
          <w:sz w:val="24"/>
          <w:szCs w:val="24"/>
        </w:rPr>
        <w:t xml:space="preserve"> in </w:t>
      </w:r>
      <w:r w:rsidRPr="00434D69">
        <w:rPr>
          <w:rFonts w:ascii="Times New Roman" w:hAnsi="Times New Roman" w:cs="Times New Roman"/>
          <w:i/>
          <w:sz w:val="24"/>
          <w:szCs w:val="24"/>
        </w:rPr>
        <w:t xml:space="preserve">Moloney v. Liddy </w:t>
      </w:r>
      <w:r w:rsidRPr="00434D69">
        <w:rPr>
          <w:rFonts w:ascii="Times New Roman" w:hAnsi="Times New Roman" w:cs="Times New Roman"/>
          <w:sz w:val="24"/>
          <w:szCs w:val="24"/>
        </w:rPr>
        <w:t>[2010] IEHC 218 Clarke J.</w:t>
      </w:r>
      <w:r w:rsidR="008F3AEE">
        <w:rPr>
          <w:rFonts w:ascii="Times New Roman" w:hAnsi="Times New Roman" w:cs="Times New Roman"/>
          <w:sz w:val="24"/>
          <w:szCs w:val="24"/>
        </w:rPr>
        <w:t xml:space="preserve"> (as he then was)</w:t>
      </w:r>
      <w:r w:rsidRPr="00434D69">
        <w:rPr>
          <w:rFonts w:ascii="Times New Roman" w:hAnsi="Times New Roman" w:cs="Times New Roman"/>
          <w:sz w:val="24"/>
          <w:szCs w:val="24"/>
        </w:rPr>
        <w:t xml:space="preserve"> in reviewing the use of both </w:t>
      </w:r>
      <w:r w:rsidR="006A50CF">
        <w:rPr>
          <w:rFonts w:ascii="Times New Roman" w:hAnsi="Times New Roman" w:cs="Times New Roman"/>
          <w:sz w:val="24"/>
          <w:szCs w:val="24"/>
        </w:rPr>
        <w:t>terms</w:t>
      </w:r>
      <w:r w:rsidR="006A50CF" w:rsidRPr="00434D69">
        <w:rPr>
          <w:rFonts w:ascii="Times New Roman" w:hAnsi="Times New Roman" w:cs="Times New Roman"/>
          <w:sz w:val="24"/>
          <w:szCs w:val="24"/>
        </w:rPr>
        <w:t xml:space="preserve"> </w:t>
      </w:r>
      <w:r w:rsidRPr="00434D69">
        <w:rPr>
          <w:rFonts w:ascii="Times New Roman" w:hAnsi="Times New Roman" w:cs="Times New Roman"/>
          <w:sz w:val="24"/>
          <w:szCs w:val="24"/>
        </w:rPr>
        <w:t>in the CLA specifically observed that ‘</w:t>
      </w:r>
      <w:r w:rsidR="00946247">
        <w:rPr>
          <w:rFonts w:ascii="Times New Roman" w:hAnsi="Times New Roman" w:cs="Times New Roman"/>
          <w:sz w:val="24"/>
          <w:szCs w:val="24"/>
        </w:rPr>
        <w:t>“</w:t>
      </w:r>
      <w:r w:rsidRPr="00434D69">
        <w:rPr>
          <w:rFonts w:ascii="Times New Roman" w:hAnsi="Times New Roman" w:cs="Times New Roman"/>
          <w:i/>
          <w:sz w:val="24"/>
          <w:szCs w:val="24"/>
        </w:rPr>
        <w:t>damage</w:t>
      </w:r>
      <w:r w:rsidRPr="008371B1">
        <w:rPr>
          <w:rFonts w:ascii="Times New Roman" w:hAnsi="Times New Roman" w:cs="Times New Roman"/>
          <w:iCs/>
          <w:sz w:val="24"/>
          <w:szCs w:val="24"/>
        </w:rPr>
        <w:t>”</w:t>
      </w:r>
      <w:r w:rsidR="00946247">
        <w:rPr>
          <w:rFonts w:ascii="Times New Roman" w:hAnsi="Times New Roman" w:cs="Times New Roman"/>
          <w:iCs/>
          <w:sz w:val="24"/>
          <w:szCs w:val="24"/>
        </w:rPr>
        <w:t>’</w:t>
      </w:r>
      <w:r w:rsidRPr="00946247">
        <w:rPr>
          <w:rFonts w:ascii="Times New Roman" w:hAnsi="Times New Roman" w:cs="Times New Roman"/>
          <w:i/>
          <w:sz w:val="24"/>
          <w:szCs w:val="24"/>
        </w:rPr>
        <w:t xml:space="preserve"> </w:t>
      </w:r>
      <w:r w:rsidRPr="00434D69">
        <w:rPr>
          <w:rFonts w:ascii="Times New Roman" w:hAnsi="Times New Roman" w:cs="Times New Roman"/>
          <w:i/>
          <w:sz w:val="24"/>
          <w:szCs w:val="24"/>
        </w:rPr>
        <w:t>does not mean</w:t>
      </w:r>
      <w:r w:rsidRPr="008371B1">
        <w:rPr>
          <w:rFonts w:ascii="Times New Roman" w:hAnsi="Times New Roman" w:cs="Times New Roman"/>
          <w:iCs/>
          <w:sz w:val="24"/>
          <w:szCs w:val="24"/>
        </w:rPr>
        <w:t xml:space="preserve"> </w:t>
      </w:r>
      <w:r w:rsidR="00946247" w:rsidRPr="008371B1">
        <w:rPr>
          <w:rFonts w:ascii="Times New Roman" w:hAnsi="Times New Roman" w:cs="Times New Roman"/>
          <w:iCs/>
          <w:sz w:val="24"/>
          <w:szCs w:val="24"/>
        </w:rPr>
        <w:t>‘</w:t>
      </w:r>
      <w:r w:rsidRPr="008371B1">
        <w:rPr>
          <w:rFonts w:ascii="Times New Roman" w:hAnsi="Times New Roman" w:cs="Times New Roman"/>
          <w:iCs/>
          <w:sz w:val="24"/>
          <w:szCs w:val="24"/>
        </w:rPr>
        <w:t>“</w:t>
      </w:r>
      <w:r w:rsidRPr="00434D69">
        <w:rPr>
          <w:rFonts w:ascii="Times New Roman" w:hAnsi="Times New Roman" w:cs="Times New Roman"/>
          <w:i/>
          <w:sz w:val="24"/>
          <w:szCs w:val="24"/>
        </w:rPr>
        <w:t>damages</w:t>
      </w:r>
      <w:r w:rsidRPr="008371B1">
        <w:rPr>
          <w:rFonts w:ascii="Times New Roman" w:hAnsi="Times New Roman" w:cs="Times New Roman"/>
          <w:iCs/>
          <w:sz w:val="24"/>
          <w:szCs w:val="24"/>
        </w:rPr>
        <w:t xml:space="preserve">”’ </w:t>
      </w:r>
      <w:r w:rsidRPr="00434D69">
        <w:rPr>
          <w:rFonts w:ascii="Times New Roman" w:hAnsi="Times New Roman" w:cs="Times New Roman"/>
          <w:sz w:val="24"/>
          <w:szCs w:val="24"/>
        </w:rPr>
        <w:t xml:space="preserve">(para. 5.2).  </w:t>
      </w:r>
    </w:p>
    <w:p w14:paraId="4653E584" w14:textId="1BD0FC36" w:rsidR="00035308" w:rsidRDefault="00DA48CE" w:rsidP="00A711B9">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w:t>
      </w:r>
      <w:r w:rsidR="00F15F4B">
        <w:rPr>
          <w:rFonts w:ascii="Times New Roman" w:hAnsi="Times New Roman" w:cs="Times New Roman"/>
          <w:sz w:val="24"/>
          <w:szCs w:val="24"/>
        </w:rPr>
        <w:t xml:space="preserve">therefore important that it is </w:t>
      </w:r>
      <w:r>
        <w:rPr>
          <w:rFonts w:ascii="Times New Roman" w:hAnsi="Times New Roman" w:cs="Times New Roman"/>
          <w:sz w:val="24"/>
          <w:szCs w:val="24"/>
        </w:rPr>
        <w:t>not merely s</w:t>
      </w:r>
      <w:r w:rsidR="006A50CF">
        <w:rPr>
          <w:rFonts w:ascii="Times New Roman" w:hAnsi="Times New Roman" w:cs="Times New Roman"/>
          <w:sz w:val="24"/>
          <w:szCs w:val="24"/>
        </w:rPr>
        <w:t>ection</w:t>
      </w:r>
      <w:r w:rsidR="004F1E70">
        <w:rPr>
          <w:rFonts w:ascii="Times New Roman" w:hAnsi="Times New Roman" w:cs="Times New Roman"/>
          <w:sz w:val="24"/>
          <w:szCs w:val="24"/>
        </w:rPr>
        <w:t xml:space="preserve"> </w:t>
      </w:r>
      <w:r>
        <w:rPr>
          <w:rFonts w:ascii="Times New Roman" w:hAnsi="Times New Roman" w:cs="Times New Roman"/>
          <w:sz w:val="24"/>
          <w:szCs w:val="24"/>
        </w:rPr>
        <w:t xml:space="preserve">34(1) that defines the operation of the rules governing </w:t>
      </w:r>
      <w:r w:rsidR="00035308">
        <w:rPr>
          <w:rFonts w:ascii="Times New Roman" w:hAnsi="Times New Roman" w:cs="Times New Roman"/>
          <w:sz w:val="24"/>
          <w:szCs w:val="24"/>
        </w:rPr>
        <w:t xml:space="preserve">concurrent wrongdoers </w:t>
      </w:r>
      <w:r w:rsidR="0074024A">
        <w:rPr>
          <w:rFonts w:ascii="Times New Roman" w:hAnsi="Times New Roman" w:cs="Times New Roman"/>
          <w:sz w:val="24"/>
          <w:szCs w:val="24"/>
        </w:rPr>
        <w:t xml:space="preserve">by reference </w:t>
      </w:r>
      <w:r w:rsidR="006A50CF">
        <w:rPr>
          <w:rFonts w:ascii="Times New Roman" w:hAnsi="Times New Roman" w:cs="Times New Roman"/>
          <w:sz w:val="24"/>
          <w:szCs w:val="24"/>
        </w:rPr>
        <w:t xml:space="preserve">to recoverable </w:t>
      </w:r>
      <w:r w:rsidR="00035308" w:rsidRPr="006A50CF">
        <w:rPr>
          <w:rFonts w:ascii="Times New Roman" w:hAnsi="Times New Roman" w:cs="Times New Roman"/>
          <w:i/>
          <w:sz w:val="24"/>
          <w:szCs w:val="24"/>
        </w:rPr>
        <w:t>damages</w:t>
      </w:r>
      <w:r w:rsidR="00035308">
        <w:rPr>
          <w:rFonts w:ascii="Times New Roman" w:hAnsi="Times New Roman" w:cs="Times New Roman"/>
          <w:sz w:val="24"/>
          <w:szCs w:val="24"/>
        </w:rPr>
        <w:t xml:space="preserve">.  It </w:t>
      </w:r>
      <w:r w:rsidR="008D3D54" w:rsidRPr="00DA48CE">
        <w:rPr>
          <w:rFonts w:ascii="Times New Roman" w:hAnsi="Times New Roman" w:cs="Times New Roman"/>
          <w:sz w:val="24"/>
          <w:szCs w:val="24"/>
        </w:rPr>
        <w:t xml:space="preserve">is by reference to the recovery of </w:t>
      </w:r>
      <w:r w:rsidR="008D3D54" w:rsidRPr="00DA48CE">
        <w:rPr>
          <w:rFonts w:ascii="Times New Roman" w:hAnsi="Times New Roman" w:cs="Times New Roman"/>
          <w:i/>
          <w:sz w:val="24"/>
          <w:szCs w:val="24"/>
        </w:rPr>
        <w:t>damages</w:t>
      </w:r>
      <w:r w:rsidR="008D3D54" w:rsidRPr="00DA48CE">
        <w:rPr>
          <w:rFonts w:ascii="Times New Roman" w:hAnsi="Times New Roman" w:cs="Times New Roman"/>
          <w:sz w:val="24"/>
          <w:szCs w:val="24"/>
        </w:rPr>
        <w:t xml:space="preserve"> that the practical operation of </w:t>
      </w:r>
      <w:r w:rsidR="0074024A">
        <w:rPr>
          <w:rFonts w:ascii="Times New Roman" w:hAnsi="Times New Roman" w:cs="Times New Roman"/>
          <w:sz w:val="24"/>
          <w:szCs w:val="24"/>
        </w:rPr>
        <w:t xml:space="preserve">all of </w:t>
      </w:r>
      <w:r w:rsidR="008D3D54" w:rsidRPr="00DA48CE">
        <w:rPr>
          <w:rFonts w:ascii="Times New Roman" w:hAnsi="Times New Roman" w:cs="Times New Roman"/>
          <w:sz w:val="24"/>
          <w:szCs w:val="24"/>
        </w:rPr>
        <w:t>the rules as between concurrent wrongdoers is framed throughout the entire</w:t>
      </w:r>
      <w:r w:rsidR="006A50CF">
        <w:rPr>
          <w:rFonts w:ascii="Times New Roman" w:hAnsi="Times New Roman" w:cs="Times New Roman"/>
          <w:sz w:val="24"/>
          <w:szCs w:val="24"/>
        </w:rPr>
        <w:t>ty of Part III CLA.</w:t>
      </w:r>
      <w:r w:rsidR="008D3D54" w:rsidRPr="00DA48CE">
        <w:rPr>
          <w:rFonts w:ascii="Times New Roman" w:hAnsi="Times New Roman" w:cs="Times New Roman"/>
          <w:sz w:val="24"/>
          <w:szCs w:val="24"/>
        </w:rPr>
        <w:t xml:space="preserve">  Apart from the critical provisions in s</w:t>
      </w:r>
      <w:r w:rsidR="006A50CF">
        <w:rPr>
          <w:rFonts w:ascii="Times New Roman" w:hAnsi="Times New Roman" w:cs="Times New Roman"/>
          <w:sz w:val="24"/>
          <w:szCs w:val="24"/>
        </w:rPr>
        <w:t>ections</w:t>
      </w:r>
      <w:r w:rsidR="008D3D54" w:rsidRPr="00DA48CE">
        <w:rPr>
          <w:rFonts w:ascii="Times New Roman" w:hAnsi="Times New Roman" w:cs="Times New Roman"/>
          <w:sz w:val="24"/>
          <w:szCs w:val="24"/>
        </w:rPr>
        <w:t xml:space="preserve"> 34 and 35, this is evident from s</w:t>
      </w:r>
      <w:r w:rsidR="006A50CF">
        <w:rPr>
          <w:rFonts w:ascii="Times New Roman" w:hAnsi="Times New Roman" w:cs="Times New Roman"/>
          <w:sz w:val="24"/>
          <w:szCs w:val="24"/>
        </w:rPr>
        <w:t>ection</w:t>
      </w:r>
      <w:r w:rsidR="004F1E70">
        <w:rPr>
          <w:rFonts w:ascii="Times New Roman" w:hAnsi="Times New Roman" w:cs="Times New Roman"/>
          <w:sz w:val="24"/>
          <w:szCs w:val="24"/>
        </w:rPr>
        <w:t xml:space="preserve"> </w:t>
      </w:r>
      <w:r w:rsidR="008D3D54" w:rsidRPr="00DA48CE">
        <w:rPr>
          <w:rFonts w:ascii="Times New Roman" w:hAnsi="Times New Roman" w:cs="Times New Roman"/>
          <w:sz w:val="24"/>
          <w:szCs w:val="24"/>
        </w:rPr>
        <w:t>14(2) and (3) (several judgments), s</w:t>
      </w:r>
      <w:r w:rsidR="006A50CF">
        <w:rPr>
          <w:rFonts w:ascii="Times New Roman" w:hAnsi="Times New Roman" w:cs="Times New Roman"/>
          <w:sz w:val="24"/>
          <w:szCs w:val="24"/>
        </w:rPr>
        <w:t>ection</w:t>
      </w:r>
      <w:r w:rsidR="004F1E70">
        <w:rPr>
          <w:rFonts w:ascii="Times New Roman" w:hAnsi="Times New Roman" w:cs="Times New Roman"/>
          <w:sz w:val="24"/>
          <w:szCs w:val="24"/>
        </w:rPr>
        <w:t xml:space="preserve"> </w:t>
      </w:r>
      <w:r w:rsidR="008D3D54" w:rsidRPr="00DA48CE">
        <w:rPr>
          <w:rFonts w:ascii="Times New Roman" w:hAnsi="Times New Roman" w:cs="Times New Roman"/>
          <w:sz w:val="24"/>
          <w:szCs w:val="24"/>
        </w:rPr>
        <w:t>18 (cap on judgments in more than one action against concurrent wrongdoers), and the definition of ‘</w:t>
      </w:r>
      <w:r w:rsidR="008D3D54" w:rsidRPr="00DA48CE">
        <w:rPr>
          <w:rFonts w:ascii="Times New Roman" w:hAnsi="Times New Roman" w:cs="Times New Roman"/>
          <w:i/>
          <w:sz w:val="24"/>
          <w:szCs w:val="24"/>
        </w:rPr>
        <w:t>satisfaction</w:t>
      </w:r>
      <w:r w:rsidR="00B67C7D">
        <w:rPr>
          <w:rFonts w:ascii="Times New Roman" w:hAnsi="Times New Roman" w:cs="Times New Roman"/>
          <w:i/>
          <w:sz w:val="24"/>
          <w:szCs w:val="24"/>
        </w:rPr>
        <w:t>’</w:t>
      </w:r>
      <w:r w:rsidR="008D3D54" w:rsidRPr="00DA48CE">
        <w:rPr>
          <w:rFonts w:ascii="Times New Roman" w:hAnsi="Times New Roman" w:cs="Times New Roman"/>
          <w:i/>
          <w:sz w:val="24"/>
          <w:szCs w:val="24"/>
        </w:rPr>
        <w:t xml:space="preserve"> </w:t>
      </w:r>
      <w:r w:rsidR="008D3D54" w:rsidRPr="00DA48CE">
        <w:rPr>
          <w:rFonts w:ascii="Times New Roman" w:hAnsi="Times New Roman" w:cs="Times New Roman"/>
          <w:sz w:val="24"/>
          <w:szCs w:val="24"/>
        </w:rPr>
        <w:t>in s</w:t>
      </w:r>
      <w:r w:rsidR="006A50CF">
        <w:rPr>
          <w:rFonts w:ascii="Times New Roman" w:hAnsi="Times New Roman" w:cs="Times New Roman"/>
          <w:sz w:val="24"/>
          <w:szCs w:val="24"/>
        </w:rPr>
        <w:t>ection</w:t>
      </w:r>
      <w:r w:rsidR="008D3D54" w:rsidRPr="00DA48CE">
        <w:rPr>
          <w:rFonts w:ascii="Times New Roman" w:hAnsi="Times New Roman" w:cs="Times New Roman"/>
          <w:sz w:val="24"/>
          <w:szCs w:val="24"/>
        </w:rPr>
        <w:t xml:space="preserve"> 16 (‘</w:t>
      </w:r>
      <w:r w:rsidR="008D3D54" w:rsidRPr="00DA48CE">
        <w:rPr>
          <w:rFonts w:ascii="Times New Roman" w:hAnsi="Times New Roman" w:cs="Times New Roman"/>
          <w:i/>
          <w:sz w:val="24"/>
          <w:szCs w:val="24"/>
        </w:rPr>
        <w:t>payment of damages</w:t>
      </w:r>
      <w:r w:rsidR="008D3D54" w:rsidRPr="00DA48CE">
        <w:rPr>
          <w:rFonts w:ascii="Times New Roman" w:hAnsi="Times New Roman" w:cs="Times New Roman"/>
          <w:sz w:val="24"/>
          <w:szCs w:val="24"/>
        </w:rPr>
        <w:t xml:space="preserve">’). </w:t>
      </w:r>
    </w:p>
    <w:p w14:paraId="1B98DE2F" w14:textId="77777777" w:rsidR="00035308" w:rsidRPr="00035308" w:rsidRDefault="00035308" w:rsidP="00A711B9">
      <w:pPr>
        <w:pStyle w:val="ListParagraph"/>
        <w:spacing w:line="480" w:lineRule="auto"/>
        <w:rPr>
          <w:rFonts w:ascii="Times New Roman" w:hAnsi="Times New Roman" w:cs="Times New Roman"/>
          <w:sz w:val="24"/>
          <w:szCs w:val="24"/>
        </w:rPr>
      </w:pPr>
    </w:p>
    <w:p w14:paraId="529073C2" w14:textId="3511C334" w:rsidR="008D3D54" w:rsidRDefault="008D3D54" w:rsidP="00A711B9">
      <w:pPr>
        <w:pStyle w:val="ListParagraph"/>
        <w:numPr>
          <w:ilvl w:val="0"/>
          <w:numId w:val="1"/>
        </w:numPr>
        <w:spacing w:after="0" w:line="480" w:lineRule="auto"/>
        <w:jc w:val="both"/>
        <w:rPr>
          <w:rFonts w:ascii="Times New Roman" w:hAnsi="Times New Roman" w:cs="Times New Roman"/>
          <w:sz w:val="24"/>
          <w:szCs w:val="24"/>
        </w:rPr>
      </w:pPr>
      <w:r w:rsidRPr="00035308">
        <w:rPr>
          <w:rFonts w:ascii="Times New Roman" w:hAnsi="Times New Roman" w:cs="Times New Roman"/>
          <w:sz w:val="24"/>
          <w:szCs w:val="24"/>
        </w:rPr>
        <w:t xml:space="preserve">But perhaps most importantly of all, </w:t>
      </w:r>
      <w:r w:rsidR="00035308">
        <w:rPr>
          <w:rFonts w:ascii="Times New Roman" w:hAnsi="Times New Roman" w:cs="Times New Roman"/>
          <w:sz w:val="24"/>
          <w:szCs w:val="24"/>
        </w:rPr>
        <w:t xml:space="preserve">one of </w:t>
      </w:r>
      <w:r w:rsidRPr="00035308">
        <w:rPr>
          <w:rFonts w:ascii="Times New Roman" w:hAnsi="Times New Roman" w:cs="Times New Roman"/>
          <w:sz w:val="24"/>
          <w:szCs w:val="24"/>
        </w:rPr>
        <w:t>the central innovation</w:t>
      </w:r>
      <w:r w:rsidR="00035308">
        <w:rPr>
          <w:rFonts w:ascii="Times New Roman" w:hAnsi="Times New Roman" w:cs="Times New Roman"/>
          <w:sz w:val="24"/>
          <w:szCs w:val="24"/>
        </w:rPr>
        <w:t>s</w:t>
      </w:r>
      <w:r w:rsidRPr="00035308">
        <w:rPr>
          <w:rFonts w:ascii="Times New Roman" w:hAnsi="Times New Roman" w:cs="Times New Roman"/>
          <w:sz w:val="24"/>
          <w:szCs w:val="24"/>
        </w:rPr>
        <w:t xml:space="preserve"> of the Act – the introduction of a facility for one wrongdoer to bring a claim against another by way of an action for contribution – is defined </w:t>
      </w:r>
      <w:r w:rsidR="00F15F4B">
        <w:rPr>
          <w:rFonts w:ascii="Times New Roman" w:hAnsi="Times New Roman" w:cs="Times New Roman"/>
          <w:sz w:val="24"/>
          <w:szCs w:val="24"/>
        </w:rPr>
        <w:t xml:space="preserve">only </w:t>
      </w:r>
      <w:r w:rsidRPr="00035308">
        <w:rPr>
          <w:rFonts w:ascii="Times New Roman" w:hAnsi="Times New Roman" w:cs="Times New Roman"/>
          <w:sz w:val="24"/>
          <w:szCs w:val="24"/>
        </w:rPr>
        <w:t>by reference to a claim ‘</w:t>
      </w:r>
      <w:r w:rsidRPr="00035308">
        <w:rPr>
          <w:rFonts w:ascii="Times New Roman" w:hAnsi="Times New Roman" w:cs="Times New Roman"/>
          <w:i/>
          <w:sz w:val="24"/>
          <w:szCs w:val="24"/>
        </w:rPr>
        <w:t>for damages</w:t>
      </w:r>
      <w:r w:rsidR="00B67C7D">
        <w:rPr>
          <w:rFonts w:ascii="Times New Roman" w:hAnsi="Times New Roman" w:cs="Times New Roman"/>
          <w:i/>
          <w:sz w:val="24"/>
          <w:szCs w:val="24"/>
        </w:rPr>
        <w:t>’</w:t>
      </w:r>
      <w:r w:rsidRPr="00035308">
        <w:rPr>
          <w:rFonts w:ascii="Times New Roman" w:hAnsi="Times New Roman" w:cs="Times New Roman"/>
          <w:i/>
          <w:sz w:val="24"/>
          <w:szCs w:val="24"/>
        </w:rPr>
        <w:t xml:space="preserve">.  </w:t>
      </w:r>
      <w:r w:rsidRPr="00035308">
        <w:rPr>
          <w:rFonts w:ascii="Times New Roman" w:hAnsi="Times New Roman" w:cs="Times New Roman"/>
          <w:sz w:val="24"/>
          <w:szCs w:val="24"/>
        </w:rPr>
        <w:t>The entitlement to claim contribution is provided for in s</w:t>
      </w:r>
      <w:r w:rsidR="006A50CF">
        <w:rPr>
          <w:rFonts w:ascii="Times New Roman" w:hAnsi="Times New Roman" w:cs="Times New Roman"/>
          <w:sz w:val="24"/>
          <w:szCs w:val="24"/>
        </w:rPr>
        <w:t>ection</w:t>
      </w:r>
      <w:r w:rsidR="007E7D10">
        <w:rPr>
          <w:rFonts w:ascii="Times New Roman" w:hAnsi="Times New Roman" w:cs="Times New Roman"/>
          <w:sz w:val="24"/>
          <w:szCs w:val="24"/>
        </w:rPr>
        <w:t xml:space="preserve"> </w:t>
      </w:r>
      <w:r w:rsidRPr="00035308">
        <w:rPr>
          <w:rFonts w:ascii="Times New Roman" w:hAnsi="Times New Roman" w:cs="Times New Roman"/>
          <w:sz w:val="24"/>
          <w:szCs w:val="24"/>
        </w:rPr>
        <w:t>21.  The marginal note to that provision (‘</w:t>
      </w:r>
      <w:r w:rsidRPr="00035308">
        <w:rPr>
          <w:rFonts w:ascii="Times New Roman" w:hAnsi="Times New Roman" w:cs="Times New Roman"/>
          <w:i/>
          <w:sz w:val="24"/>
          <w:szCs w:val="24"/>
        </w:rPr>
        <w:t>Contribution</w:t>
      </w:r>
      <w:r w:rsidRPr="006A50CF">
        <w:rPr>
          <w:rFonts w:ascii="Times New Roman" w:hAnsi="Times New Roman" w:cs="Times New Roman"/>
          <w:i/>
          <w:sz w:val="24"/>
          <w:szCs w:val="24"/>
        </w:rPr>
        <w:t xml:space="preserve"> in respect of damages</w:t>
      </w:r>
      <w:r w:rsidRPr="008371B1">
        <w:rPr>
          <w:rFonts w:ascii="Times New Roman" w:hAnsi="Times New Roman" w:cs="Times New Roman"/>
          <w:iCs/>
          <w:sz w:val="24"/>
          <w:szCs w:val="24"/>
        </w:rPr>
        <w:t>’</w:t>
      </w:r>
      <w:r w:rsidRPr="00035308">
        <w:rPr>
          <w:rFonts w:ascii="Times New Roman" w:hAnsi="Times New Roman" w:cs="Times New Roman"/>
          <w:sz w:val="24"/>
          <w:szCs w:val="24"/>
        </w:rPr>
        <w:t>) is picked up and repeated throughout Chapter II of Part III.  So, the settling wrongdoer is entitled to recover contribution ‘</w:t>
      </w:r>
      <w:r w:rsidRPr="00035308">
        <w:rPr>
          <w:rFonts w:ascii="Times New Roman" w:hAnsi="Times New Roman" w:cs="Times New Roman"/>
          <w:i/>
          <w:sz w:val="24"/>
          <w:szCs w:val="24"/>
        </w:rPr>
        <w:t>in the same way as if he had suffered judgment for damages</w:t>
      </w:r>
      <w:r w:rsidR="00B67C7D">
        <w:rPr>
          <w:rFonts w:ascii="Times New Roman" w:hAnsi="Times New Roman" w:cs="Times New Roman"/>
          <w:i/>
          <w:sz w:val="24"/>
          <w:szCs w:val="24"/>
        </w:rPr>
        <w:t>’</w:t>
      </w:r>
      <w:r w:rsidRPr="00035308">
        <w:rPr>
          <w:rFonts w:ascii="Times New Roman" w:hAnsi="Times New Roman" w:cs="Times New Roman"/>
          <w:i/>
          <w:sz w:val="24"/>
          <w:szCs w:val="24"/>
        </w:rPr>
        <w:t xml:space="preserve"> </w:t>
      </w:r>
      <w:r w:rsidRPr="00035308">
        <w:rPr>
          <w:rFonts w:ascii="Times New Roman" w:hAnsi="Times New Roman" w:cs="Times New Roman"/>
          <w:sz w:val="24"/>
          <w:szCs w:val="24"/>
        </w:rPr>
        <w:t>(s</w:t>
      </w:r>
      <w:r w:rsidR="006A50CF">
        <w:rPr>
          <w:rFonts w:ascii="Times New Roman" w:hAnsi="Times New Roman" w:cs="Times New Roman"/>
          <w:sz w:val="24"/>
          <w:szCs w:val="24"/>
        </w:rPr>
        <w:t>ection</w:t>
      </w:r>
      <w:r w:rsidR="007E7D10">
        <w:rPr>
          <w:rFonts w:ascii="Times New Roman" w:hAnsi="Times New Roman" w:cs="Times New Roman"/>
          <w:sz w:val="24"/>
          <w:szCs w:val="24"/>
        </w:rPr>
        <w:t xml:space="preserve"> </w:t>
      </w:r>
      <w:r w:rsidRPr="00035308">
        <w:rPr>
          <w:rFonts w:ascii="Times New Roman" w:hAnsi="Times New Roman" w:cs="Times New Roman"/>
          <w:sz w:val="24"/>
          <w:szCs w:val="24"/>
        </w:rPr>
        <w:t xml:space="preserve">22(1)).  Section 23(1) (making provision for the enforcement of a judgment for contribution) defines a successful claimant in a contribution action as obtaining </w:t>
      </w:r>
      <w:r w:rsidR="006A50CF">
        <w:rPr>
          <w:rFonts w:ascii="Times New Roman" w:hAnsi="Times New Roman" w:cs="Times New Roman"/>
          <w:sz w:val="24"/>
          <w:szCs w:val="24"/>
        </w:rPr>
        <w:t>“</w:t>
      </w:r>
      <w:r w:rsidRPr="00035308">
        <w:rPr>
          <w:rFonts w:ascii="Times New Roman" w:hAnsi="Times New Roman" w:cs="Times New Roman"/>
          <w:i/>
          <w:sz w:val="24"/>
          <w:szCs w:val="24"/>
        </w:rPr>
        <w:t xml:space="preserve">judgment … for </w:t>
      </w:r>
      <w:r w:rsidRPr="00035308">
        <w:rPr>
          <w:rFonts w:ascii="Times New Roman" w:hAnsi="Times New Roman" w:cs="Times New Roman"/>
          <w:b/>
          <w:i/>
          <w:sz w:val="24"/>
          <w:szCs w:val="24"/>
        </w:rPr>
        <w:t>contribution in respect of damages</w:t>
      </w:r>
      <w:r w:rsidRPr="00035308">
        <w:rPr>
          <w:rFonts w:ascii="Times New Roman" w:hAnsi="Times New Roman" w:cs="Times New Roman"/>
          <w:i/>
          <w:sz w:val="24"/>
          <w:szCs w:val="24"/>
        </w:rPr>
        <w:t xml:space="preserve"> for which the claimant is or has been liable to the injured person</w:t>
      </w:r>
      <w:r w:rsidR="006A50CF">
        <w:rPr>
          <w:rFonts w:ascii="Times New Roman" w:hAnsi="Times New Roman" w:cs="Times New Roman"/>
          <w:i/>
          <w:sz w:val="24"/>
          <w:szCs w:val="24"/>
        </w:rPr>
        <w:t xml:space="preserve">” </w:t>
      </w:r>
      <w:r w:rsidR="006A50CF" w:rsidRPr="006A50CF">
        <w:rPr>
          <w:rFonts w:ascii="Times New Roman" w:hAnsi="Times New Roman" w:cs="Times New Roman"/>
          <w:sz w:val="24"/>
          <w:szCs w:val="24"/>
        </w:rPr>
        <w:t>(our emphasis)</w:t>
      </w:r>
      <w:r w:rsidRPr="006A50CF">
        <w:rPr>
          <w:rFonts w:ascii="Times New Roman" w:hAnsi="Times New Roman" w:cs="Times New Roman"/>
          <w:sz w:val="24"/>
          <w:szCs w:val="24"/>
        </w:rPr>
        <w:t>.</w:t>
      </w:r>
      <w:r w:rsidRPr="00035308">
        <w:rPr>
          <w:rFonts w:ascii="Times New Roman" w:hAnsi="Times New Roman" w:cs="Times New Roman"/>
          <w:i/>
          <w:sz w:val="24"/>
          <w:szCs w:val="24"/>
        </w:rPr>
        <w:t xml:space="preserve"> </w:t>
      </w:r>
      <w:r w:rsidR="003F7030">
        <w:rPr>
          <w:rFonts w:ascii="Times New Roman" w:hAnsi="Times New Roman" w:cs="Times New Roman"/>
          <w:sz w:val="24"/>
          <w:szCs w:val="24"/>
        </w:rPr>
        <w:t xml:space="preserve">If the wrongdoer </w:t>
      </w:r>
      <w:r w:rsidR="00F15F4B">
        <w:rPr>
          <w:rFonts w:ascii="Times New Roman" w:hAnsi="Times New Roman" w:cs="Times New Roman"/>
          <w:sz w:val="24"/>
          <w:szCs w:val="24"/>
        </w:rPr>
        <w:t>is not liable ‘</w:t>
      </w:r>
      <w:r w:rsidR="00F15F4B">
        <w:rPr>
          <w:rFonts w:ascii="Times New Roman" w:hAnsi="Times New Roman" w:cs="Times New Roman"/>
          <w:i/>
          <w:sz w:val="24"/>
          <w:szCs w:val="24"/>
        </w:rPr>
        <w:t>in respect of damages</w:t>
      </w:r>
      <w:r w:rsidR="00B67C7D">
        <w:rPr>
          <w:rFonts w:ascii="Times New Roman" w:hAnsi="Times New Roman" w:cs="Times New Roman"/>
          <w:i/>
          <w:sz w:val="24"/>
          <w:szCs w:val="24"/>
        </w:rPr>
        <w:t>’</w:t>
      </w:r>
      <w:r w:rsidR="003F7030">
        <w:rPr>
          <w:rFonts w:ascii="Times New Roman" w:hAnsi="Times New Roman" w:cs="Times New Roman"/>
          <w:sz w:val="24"/>
          <w:szCs w:val="24"/>
        </w:rPr>
        <w:t xml:space="preserve">, contribution is </w:t>
      </w:r>
      <w:r w:rsidR="006A50CF">
        <w:rPr>
          <w:rFonts w:ascii="Times New Roman" w:hAnsi="Times New Roman" w:cs="Times New Roman"/>
          <w:sz w:val="24"/>
          <w:szCs w:val="24"/>
        </w:rPr>
        <w:t>unavailable</w:t>
      </w:r>
      <w:r w:rsidR="003F7030">
        <w:rPr>
          <w:rFonts w:ascii="Times New Roman" w:hAnsi="Times New Roman" w:cs="Times New Roman"/>
          <w:sz w:val="24"/>
          <w:szCs w:val="24"/>
        </w:rPr>
        <w:t>.</w:t>
      </w:r>
    </w:p>
    <w:p w14:paraId="0AB5CCA5" w14:textId="77777777" w:rsidR="003F7030" w:rsidRPr="003F7030" w:rsidRDefault="003F7030" w:rsidP="00A711B9">
      <w:pPr>
        <w:pStyle w:val="ListParagraph"/>
        <w:spacing w:line="480" w:lineRule="auto"/>
        <w:rPr>
          <w:rFonts w:ascii="Times New Roman" w:hAnsi="Times New Roman" w:cs="Times New Roman"/>
          <w:sz w:val="24"/>
          <w:szCs w:val="24"/>
        </w:rPr>
      </w:pPr>
    </w:p>
    <w:p w14:paraId="7B789062" w14:textId="44B06036" w:rsidR="00463498" w:rsidRDefault="003F7030" w:rsidP="00A711B9">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rooting of the rules governing contribution, satisfaction and identification as between concurrent wrongdoers in claims for damages is not accidental.  It goes to the </w:t>
      </w:r>
      <w:r>
        <w:rPr>
          <w:rFonts w:ascii="Times New Roman" w:hAnsi="Times New Roman" w:cs="Times New Roman"/>
          <w:sz w:val="24"/>
          <w:szCs w:val="24"/>
        </w:rPr>
        <w:lastRenderedPageBreak/>
        <w:t>very foundation of this Part of the Statute.  While ‘</w:t>
      </w:r>
      <w:r>
        <w:rPr>
          <w:rFonts w:ascii="Times New Roman" w:hAnsi="Times New Roman" w:cs="Times New Roman"/>
          <w:i/>
          <w:sz w:val="24"/>
          <w:szCs w:val="24"/>
        </w:rPr>
        <w:t>damage</w:t>
      </w:r>
      <w:r w:rsidRPr="008371B1">
        <w:rPr>
          <w:rFonts w:ascii="Times New Roman" w:hAnsi="Times New Roman" w:cs="Times New Roman"/>
          <w:iCs/>
          <w:sz w:val="24"/>
          <w:szCs w:val="24"/>
        </w:rPr>
        <w:t>’</w:t>
      </w:r>
      <w:r w:rsidRPr="00920652">
        <w:rPr>
          <w:rFonts w:ascii="Times New Roman" w:hAnsi="Times New Roman" w:cs="Times New Roman"/>
          <w:iCs/>
          <w:sz w:val="24"/>
          <w:szCs w:val="24"/>
        </w:rPr>
        <w:t xml:space="preserve"> </w:t>
      </w:r>
      <w:r>
        <w:rPr>
          <w:rFonts w:ascii="Times New Roman" w:hAnsi="Times New Roman" w:cs="Times New Roman"/>
          <w:sz w:val="24"/>
          <w:szCs w:val="24"/>
        </w:rPr>
        <w:t>and ‘</w:t>
      </w:r>
      <w:r>
        <w:rPr>
          <w:rFonts w:ascii="Times New Roman" w:hAnsi="Times New Roman" w:cs="Times New Roman"/>
          <w:i/>
          <w:sz w:val="24"/>
          <w:szCs w:val="24"/>
        </w:rPr>
        <w:t>damages</w:t>
      </w:r>
      <w:r w:rsidRPr="008371B1">
        <w:rPr>
          <w:rFonts w:ascii="Times New Roman" w:hAnsi="Times New Roman" w:cs="Times New Roman"/>
          <w:iCs/>
          <w:sz w:val="24"/>
          <w:szCs w:val="24"/>
        </w:rPr>
        <w:t xml:space="preserve">’ </w:t>
      </w:r>
      <w:r w:rsidRPr="00920652">
        <w:rPr>
          <w:rFonts w:ascii="Times New Roman" w:hAnsi="Times New Roman" w:cs="Times New Roman"/>
          <w:iCs/>
          <w:sz w:val="24"/>
          <w:szCs w:val="24"/>
        </w:rPr>
        <w:t xml:space="preserve">as </w:t>
      </w:r>
      <w:r>
        <w:rPr>
          <w:rFonts w:ascii="Times New Roman" w:hAnsi="Times New Roman" w:cs="Times New Roman"/>
          <w:sz w:val="24"/>
          <w:szCs w:val="24"/>
        </w:rPr>
        <w:t xml:space="preserve">used in the </w:t>
      </w:r>
      <w:r w:rsidR="006A50CF">
        <w:rPr>
          <w:rFonts w:ascii="Times New Roman" w:hAnsi="Times New Roman" w:cs="Times New Roman"/>
          <w:sz w:val="24"/>
          <w:szCs w:val="24"/>
        </w:rPr>
        <w:t>CLA</w:t>
      </w:r>
      <w:r>
        <w:rPr>
          <w:rFonts w:ascii="Times New Roman" w:hAnsi="Times New Roman" w:cs="Times New Roman"/>
          <w:sz w:val="24"/>
          <w:szCs w:val="24"/>
        </w:rPr>
        <w:t xml:space="preserve"> are not co-extensive, the only ‘</w:t>
      </w:r>
      <w:r>
        <w:rPr>
          <w:rFonts w:ascii="Times New Roman" w:hAnsi="Times New Roman" w:cs="Times New Roman"/>
          <w:i/>
          <w:sz w:val="24"/>
          <w:szCs w:val="24"/>
        </w:rPr>
        <w:t>damage</w:t>
      </w:r>
      <w:r w:rsidRPr="008371B1">
        <w:rPr>
          <w:rFonts w:ascii="Times New Roman" w:hAnsi="Times New Roman" w:cs="Times New Roman"/>
          <w:iCs/>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contemplated by the </w:t>
      </w:r>
      <w:r w:rsidR="006A50CF">
        <w:rPr>
          <w:rFonts w:ascii="Times New Roman" w:hAnsi="Times New Roman" w:cs="Times New Roman"/>
          <w:sz w:val="24"/>
          <w:szCs w:val="24"/>
        </w:rPr>
        <w:t xml:space="preserve">Act </w:t>
      </w:r>
      <w:r>
        <w:rPr>
          <w:rFonts w:ascii="Times New Roman" w:hAnsi="Times New Roman" w:cs="Times New Roman"/>
          <w:sz w:val="24"/>
          <w:szCs w:val="24"/>
        </w:rPr>
        <w:t xml:space="preserve">is loss which is recoverable </w:t>
      </w:r>
      <w:r w:rsidR="00F15F4B">
        <w:rPr>
          <w:rFonts w:ascii="Times New Roman" w:hAnsi="Times New Roman" w:cs="Times New Roman"/>
          <w:sz w:val="24"/>
          <w:szCs w:val="24"/>
        </w:rPr>
        <w:t xml:space="preserve">by way of </w:t>
      </w:r>
      <w:r w:rsidR="00F15F4B" w:rsidRPr="006A50CF">
        <w:rPr>
          <w:rFonts w:ascii="Times New Roman" w:hAnsi="Times New Roman" w:cs="Times New Roman"/>
          <w:i/>
          <w:sz w:val="24"/>
          <w:szCs w:val="24"/>
        </w:rPr>
        <w:t>damage</w:t>
      </w:r>
      <w:r w:rsidR="0074024A" w:rsidRPr="006A50CF">
        <w:rPr>
          <w:rFonts w:ascii="Times New Roman" w:hAnsi="Times New Roman" w:cs="Times New Roman"/>
          <w:i/>
          <w:sz w:val="24"/>
          <w:szCs w:val="24"/>
        </w:rPr>
        <w:t>s</w:t>
      </w:r>
      <w:r>
        <w:rPr>
          <w:rFonts w:ascii="Times New Roman" w:hAnsi="Times New Roman" w:cs="Times New Roman"/>
          <w:sz w:val="24"/>
          <w:szCs w:val="24"/>
        </w:rPr>
        <w:t xml:space="preserve">.  </w:t>
      </w:r>
      <w:r w:rsidR="0074024A">
        <w:rPr>
          <w:rFonts w:ascii="Times New Roman" w:hAnsi="Times New Roman" w:cs="Times New Roman"/>
          <w:sz w:val="24"/>
          <w:szCs w:val="24"/>
        </w:rPr>
        <w:t xml:space="preserve">This is why the draftsman felt it necessary to </w:t>
      </w:r>
      <w:r w:rsidR="0074024A">
        <w:rPr>
          <w:rFonts w:ascii="Times New Roman" w:hAnsi="Times New Roman" w:cs="Times New Roman"/>
          <w:i/>
          <w:sz w:val="24"/>
          <w:szCs w:val="24"/>
        </w:rPr>
        <w:t xml:space="preserve">expand </w:t>
      </w:r>
      <w:r w:rsidR="0074024A">
        <w:rPr>
          <w:rFonts w:ascii="Times New Roman" w:hAnsi="Times New Roman" w:cs="Times New Roman"/>
          <w:sz w:val="24"/>
          <w:szCs w:val="24"/>
        </w:rPr>
        <w:t xml:space="preserve">the definition of damages to include the cognate but theoretically </w:t>
      </w:r>
      <w:r w:rsidR="00741832">
        <w:rPr>
          <w:rFonts w:ascii="Times New Roman" w:hAnsi="Times New Roman" w:cs="Times New Roman"/>
          <w:sz w:val="24"/>
          <w:szCs w:val="24"/>
        </w:rPr>
        <w:t xml:space="preserve">distinct </w:t>
      </w:r>
      <w:r w:rsidR="0074024A">
        <w:rPr>
          <w:rFonts w:ascii="Times New Roman" w:hAnsi="Times New Roman" w:cs="Times New Roman"/>
          <w:sz w:val="24"/>
          <w:szCs w:val="24"/>
        </w:rPr>
        <w:t>concept of ‘</w:t>
      </w:r>
      <w:r w:rsidR="0074024A">
        <w:rPr>
          <w:rFonts w:ascii="Times New Roman" w:hAnsi="Times New Roman" w:cs="Times New Roman"/>
          <w:i/>
          <w:sz w:val="24"/>
          <w:szCs w:val="24"/>
        </w:rPr>
        <w:t>compensation</w:t>
      </w:r>
      <w:r w:rsidR="0074024A" w:rsidRPr="008371B1">
        <w:rPr>
          <w:rFonts w:ascii="Times New Roman" w:hAnsi="Times New Roman" w:cs="Times New Roman"/>
          <w:iCs/>
          <w:sz w:val="24"/>
          <w:szCs w:val="24"/>
        </w:rPr>
        <w:t>’</w:t>
      </w:r>
      <w:r w:rsidR="0074024A">
        <w:rPr>
          <w:rFonts w:ascii="Times New Roman" w:hAnsi="Times New Roman" w:cs="Times New Roman"/>
          <w:i/>
          <w:sz w:val="24"/>
          <w:szCs w:val="24"/>
        </w:rPr>
        <w:t xml:space="preserve"> </w:t>
      </w:r>
      <w:r w:rsidR="0074024A">
        <w:rPr>
          <w:rFonts w:ascii="Times New Roman" w:hAnsi="Times New Roman" w:cs="Times New Roman"/>
          <w:sz w:val="24"/>
          <w:szCs w:val="24"/>
        </w:rPr>
        <w:t>for breach of trust.  Indeed, t</w:t>
      </w:r>
      <w:r w:rsidR="0092108D">
        <w:rPr>
          <w:rFonts w:ascii="Times New Roman" w:hAnsi="Times New Roman" w:cs="Times New Roman"/>
          <w:sz w:val="24"/>
          <w:szCs w:val="24"/>
        </w:rPr>
        <w:t xml:space="preserve">he </w:t>
      </w:r>
      <w:r>
        <w:rPr>
          <w:rFonts w:ascii="Times New Roman" w:hAnsi="Times New Roman" w:cs="Times New Roman"/>
          <w:sz w:val="24"/>
          <w:szCs w:val="24"/>
        </w:rPr>
        <w:t xml:space="preserve">draftsman of the CLA when </w:t>
      </w:r>
      <w:r w:rsidR="00463498">
        <w:rPr>
          <w:rFonts w:ascii="Times New Roman" w:hAnsi="Times New Roman" w:cs="Times New Roman"/>
          <w:sz w:val="24"/>
          <w:szCs w:val="24"/>
        </w:rPr>
        <w:t xml:space="preserve">speaking of </w:t>
      </w:r>
      <w:r w:rsidRPr="00463498">
        <w:rPr>
          <w:rFonts w:ascii="Times New Roman" w:hAnsi="Times New Roman" w:cs="Times New Roman"/>
          <w:sz w:val="24"/>
          <w:szCs w:val="24"/>
        </w:rPr>
        <w:t>a similar distinction between ‘</w:t>
      </w:r>
      <w:r w:rsidRPr="00463498">
        <w:rPr>
          <w:rFonts w:ascii="Times New Roman" w:hAnsi="Times New Roman" w:cs="Times New Roman"/>
          <w:i/>
          <w:sz w:val="24"/>
          <w:szCs w:val="24"/>
        </w:rPr>
        <w:t>damage</w:t>
      </w:r>
      <w:r w:rsidRPr="008371B1">
        <w:rPr>
          <w:rFonts w:ascii="Times New Roman" w:hAnsi="Times New Roman" w:cs="Times New Roman"/>
          <w:iCs/>
          <w:sz w:val="24"/>
          <w:szCs w:val="24"/>
        </w:rPr>
        <w:t>’</w:t>
      </w:r>
      <w:r w:rsidRPr="00463498">
        <w:rPr>
          <w:rFonts w:ascii="Times New Roman" w:hAnsi="Times New Roman" w:cs="Times New Roman"/>
          <w:i/>
          <w:sz w:val="24"/>
          <w:szCs w:val="24"/>
        </w:rPr>
        <w:t xml:space="preserve"> </w:t>
      </w:r>
      <w:r w:rsidRPr="00463498">
        <w:rPr>
          <w:rFonts w:ascii="Times New Roman" w:hAnsi="Times New Roman" w:cs="Times New Roman"/>
          <w:sz w:val="24"/>
          <w:szCs w:val="24"/>
        </w:rPr>
        <w:t>and ‘</w:t>
      </w:r>
      <w:r w:rsidRPr="00463498">
        <w:rPr>
          <w:rFonts w:ascii="Times New Roman" w:hAnsi="Times New Roman" w:cs="Times New Roman"/>
          <w:i/>
          <w:sz w:val="24"/>
          <w:szCs w:val="24"/>
        </w:rPr>
        <w:t>damages</w:t>
      </w:r>
      <w:r w:rsidRPr="008371B1">
        <w:rPr>
          <w:rFonts w:ascii="Times New Roman" w:hAnsi="Times New Roman" w:cs="Times New Roman"/>
          <w:iCs/>
          <w:sz w:val="24"/>
          <w:szCs w:val="24"/>
        </w:rPr>
        <w:t>’</w:t>
      </w:r>
      <w:r w:rsidRPr="00920652">
        <w:rPr>
          <w:rFonts w:ascii="Times New Roman" w:hAnsi="Times New Roman" w:cs="Times New Roman"/>
          <w:iCs/>
          <w:sz w:val="24"/>
          <w:szCs w:val="24"/>
        </w:rPr>
        <w:t xml:space="preserve"> </w:t>
      </w:r>
      <w:r w:rsidRPr="00463498">
        <w:rPr>
          <w:rFonts w:ascii="Times New Roman" w:hAnsi="Times New Roman" w:cs="Times New Roman"/>
          <w:sz w:val="24"/>
          <w:szCs w:val="24"/>
        </w:rPr>
        <w:t>in the United Kingdom’s Law Reform (Contributory Negligence) Act 1945</w:t>
      </w:r>
      <w:r w:rsidR="00463498">
        <w:rPr>
          <w:rFonts w:ascii="Times New Roman" w:hAnsi="Times New Roman" w:cs="Times New Roman"/>
          <w:sz w:val="24"/>
          <w:szCs w:val="24"/>
        </w:rPr>
        <w:t xml:space="preserve"> </w:t>
      </w:r>
      <w:r w:rsidR="0074024A">
        <w:rPr>
          <w:rFonts w:ascii="Times New Roman" w:hAnsi="Times New Roman" w:cs="Times New Roman"/>
          <w:sz w:val="24"/>
          <w:szCs w:val="24"/>
        </w:rPr>
        <w:t>defined ‘</w:t>
      </w:r>
      <w:r w:rsidR="0074024A">
        <w:rPr>
          <w:rFonts w:ascii="Times New Roman" w:hAnsi="Times New Roman" w:cs="Times New Roman"/>
          <w:i/>
          <w:sz w:val="24"/>
          <w:szCs w:val="24"/>
        </w:rPr>
        <w:t>damage</w:t>
      </w:r>
      <w:r w:rsidR="00B67C7D">
        <w:rPr>
          <w:rFonts w:ascii="Times New Roman" w:hAnsi="Times New Roman" w:cs="Times New Roman"/>
          <w:i/>
          <w:sz w:val="24"/>
          <w:szCs w:val="24"/>
        </w:rPr>
        <w:t>’</w:t>
      </w:r>
      <w:r w:rsidR="0074024A">
        <w:rPr>
          <w:rFonts w:ascii="Times New Roman" w:hAnsi="Times New Roman" w:cs="Times New Roman"/>
          <w:i/>
          <w:sz w:val="24"/>
          <w:szCs w:val="24"/>
        </w:rPr>
        <w:t xml:space="preserve"> </w:t>
      </w:r>
      <w:r w:rsidR="0074024A">
        <w:rPr>
          <w:rFonts w:ascii="Times New Roman" w:hAnsi="Times New Roman" w:cs="Times New Roman"/>
          <w:sz w:val="24"/>
          <w:szCs w:val="24"/>
        </w:rPr>
        <w:t>in precisely this way</w:t>
      </w:r>
      <w:r w:rsidR="00463498">
        <w:rPr>
          <w:rFonts w:ascii="Times New Roman" w:hAnsi="Times New Roman" w:cs="Times New Roman"/>
          <w:sz w:val="24"/>
          <w:szCs w:val="24"/>
        </w:rPr>
        <w:t>:</w:t>
      </w:r>
    </w:p>
    <w:p w14:paraId="5B47F384" w14:textId="77777777" w:rsidR="00463498" w:rsidRPr="00463498" w:rsidRDefault="00463498" w:rsidP="00A711B9">
      <w:pPr>
        <w:pStyle w:val="ListParagraph"/>
        <w:spacing w:line="480" w:lineRule="auto"/>
        <w:rPr>
          <w:rFonts w:ascii="Times New Roman" w:hAnsi="Times New Roman" w:cs="Times New Roman"/>
          <w:sz w:val="24"/>
          <w:szCs w:val="24"/>
        </w:rPr>
      </w:pPr>
    </w:p>
    <w:p w14:paraId="7255E8CA" w14:textId="77A015A6" w:rsidR="00463498" w:rsidRDefault="00463498" w:rsidP="00A711B9">
      <w:pPr>
        <w:pStyle w:val="ListParagraph"/>
        <w:spacing w:after="0" w:line="480" w:lineRule="auto"/>
        <w:ind w:left="1440" w:hanging="720"/>
        <w:jc w:val="both"/>
        <w:rPr>
          <w:rFonts w:ascii="Times New Roman" w:hAnsi="Times New Roman" w:cs="Times New Roman"/>
          <w:sz w:val="24"/>
          <w:szCs w:val="24"/>
        </w:rPr>
      </w:pPr>
      <w:r>
        <w:rPr>
          <w:rFonts w:ascii="Times New Roman" w:hAnsi="Times New Roman" w:cs="Times New Roman"/>
          <w:sz w:val="24"/>
          <w:szCs w:val="24"/>
        </w:rPr>
        <w:tab/>
      </w:r>
      <w:r w:rsidR="00920652">
        <w:rPr>
          <w:rFonts w:ascii="Times New Roman" w:hAnsi="Times New Roman" w:cs="Times New Roman"/>
          <w:i/>
          <w:sz w:val="24"/>
          <w:szCs w:val="24"/>
        </w:rPr>
        <w:t>“</w:t>
      </w:r>
      <w:r w:rsidR="00B67C7D">
        <w:rPr>
          <w:rFonts w:ascii="Times New Roman" w:hAnsi="Times New Roman" w:cs="Times New Roman"/>
          <w:i/>
          <w:sz w:val="24"/>
          <w:szCs w:val="24"/>
        </w:rPr>
        <w:t>‘</w:t>
      </w:r>
      <w:r w:rsidR="003F7030" w:rsidRPr="00463498">
        <w:rPr>
          <w:rFonts w:ascii="Times New Roman" w:hAnsi="Times New Roman" w:cs="Times New Roman"/>
          <w:i/>
          <w:sz w:val="24"/>
          <w:szCs w:val="24"/>
        </w:rPr>
        <w:t>damage</w:t>
      </w:r>
      <w:r w:rsidR="00B67C7D">
        <w:rPr>
          <w:rFonts w:ascii="Times New Roman" w:hAnsi="Times New Roman" w:cs="Times New Roman"/>
          <w:i/>
          <w:sz w:val="24"/>
          <w:szCs w:val="24"/>
        </w:rPr>
        <w:t>’</w:t>
      </w:r>
      <w:r w:rsidR="003F7030" w:rsidRPr="00463498">
        <w:rPr>
          <w:rFonts w:ascii="Times New Roman" w:hAnsi="Times New Roman" w:cs="Times New Roman"/>
          <w:i/>
          <w:sz w:val="24"/>
          <w:szCs w:val="24"/>
        </w:rPr>
        <w:t xml:space="preserve"> comprises any item of loss that would have been recoverable as damages at common law apart from the claimant</w:t>
      </w:r>
      <w:r w:rsidR="00B67C7D">
        <w:rPr>
          <w:rFonts w:ascii="Times New Roman" w:hAnsi="Times New Roman" w:cs="Times New Roman"/>
          <w:i/>
          <w:sz w:val="24"/>
          <w:szCs w:val="24"/>
        </w:rPr>
        <w:t>’</w:t>
      </w:r>
      <w:r w:rsidR="003F7030" w:rsidRPr="00463498">
        <w:rPr>
          <w:rFonts w:ascii="Times New Roman" w:hAnsi="Times New Roman" w:cs="Times New Roman"/>
          <w:i/>
          <w:sz w:val="24"/>
          <w:szCs w:val="24"/>
        </w:rPr>
        <w:t>s own fault</w:t>
      </w:r>
      <w:r w:rsidR="00920652">
        <w:rPr>
          <w:rFonts w:ascii="Times New Roman" w:hAnsi="Times New Roman" w:cs="Times New Roman"/>
          <w:i/>
          <w:sz w:val="24"/>
          <w:szCs w:val="24"/>
        </w:rPr>
        <w:t>.”</w:t>
      </w:r>
      <w:r w:rsidR="003F7030" w:rsidRPr="00463498">
        <w:rPr>
          <w:rFonts w:ascii="Times New Roman" w:hAnsi="Times New Roman" w:cs="Times New Roman"/>
          <w:sz w:val="24"/>
          <w:szCs w:val="24"/>
        </w:rPr>
        <w:t xml:space="preserve"> </w:t>
      </w:r>
    </w:p>
    <w:p w14:paraId="64D0856B" w14:textId="77777777" w:rsidR="00463498" w:rsidRDefault="00463498" w:rsidP="00A711B9">
      <w:pPr>
        <w:pStyle w:val="ListParagraph"/>
        <w:spacing w:after="0" w:line="480" w:lineRule="auto"/>
        <w:ind w:left="1440" w:hanging="720"/>
        <w:jc w:val="both"/>
        <w:rPr>
          <w:rFonts w:ascii="Times New Roman" w:hAnsi="Times New Roman" w:cs="Times New Roman"/>
          <w:sz w:val="24"/>
          <w:szCs w:val="24"/>
        </w:rPr>
      </w:pPr>
    </w:p>
    <w:p w14:paraId="2E9B3369" w14:textId="77777777" w:rsidR="003F7030" w:rsidRPr="00463498" w:rsidRDefault="00463498" w:rsidP="00463498">
      <w:pPr>
        <w:pStyle w:val="ListParagraph"/>
        <w:spacing w:after="0" w:line="480" w:lineRule="auto"/>
        <w:ind w:left="1440" w:hanging="720"/>
        <w:jc w:val="both"/>
        <w:rPr>
          <w:rFonts w:ascii="Times New Roman" w:hAnsi="Times New Roman" w:cs="Times New Roman"/>
          <w:sz w:val="24"/>
          <w:szCs w:val="24"/>
        </w:rPr>
      </w:pPr>
      <w:r>
        <w:rPr>
          <w:rFonts w:ascii="Times New Roman" w:hAnsi="Times New Roman" w:cs="Times New Roman"/>
          <w:sz w:val="24"/>
          <w:szCs w:val="24"/>
        </w:rPr>
        <w:tab/>
      </w:r>
      <w:r w:rsidR="003F7030" w:rsidRPr="00463498">
        <w:rPr>
          <w:rFonts w:ascii="Times New Roman" w:hAnsi="Times New Roman" w:cs="Times New Roman"/>
          <w:sz w:val="24"/>
          <w:szCs w:val="24"/>
        </w:rPr>
        <w:t>(</w:t>
      </w:r>
      <w:r w:rsidR="007E7D10">
        <w:rPr>
          <w:rFonts w:ascii="Times New Roman" w:hAnsi="Times New Roman" w:cs="Times New Roman"/>
          <w:sz w:val="24"/>
          <w:szCs w:val="24"/>
        </w:rPr>
        <w:t>Glanville Williams, ‘</w:t>
      </w:r>
      <w:r w:rsidR="003F7030" w:rsidRPr="00463498">
        <w:rPr>
          <w:rFonts w:ascii="Times New Roman" w:hAnsi="Times New Roman" w:cs="Times New Roman"/>
          <w:i/>
          <w:sz w:val="24"/>
          <w:szCs w:val="24"/>
        </w:rPr>
        <w:t>Joint Torts and Contributory Negligence</w:t>
      </w:r>
      <w:r w:rsidR="007E7D10">
        <w:rPr>
          <w:rFonts w:ascii="Times New Roman" w:hAnsi="Times New Roman" w:cs="Times New Roman"/>
          <w:iCs/>
          <w:sz w:val="24"/>
          <w:szCs w:val="24"/>
        </w:rPr>
        <w:t>’</w:t>
      </w:r>
      <w:r w:rsidR="003F7030" w:rsidRPr="00463498">
        <w:rPr>
          <w:rFonts w:ascii="Times New Roman" w:hAnsi="Times New Roman" w:cs="Times New Roman"/>
          <w:i/>
          <w:sz w:val="24"/>
          <w:szCs w:val="24"/>
        </w:rPr>
        <w:t xml:space="preserve"> </w:t>
      </w:r>
      <w:r w:rsidR="003F7030" w:rsidRPr="00463498">
        <w:rPr>
          <w:rFonts w:ascii="Times New Roman" w:hAnsi="Times New Roman" w:cs="Times New Roman"/>
          <w:sz w:val="24"/>
          <w:szCs w:val="24"/>
        </w:rPr>
        <w:t>(1951) at p. 118, repeated at p</w:t>
      </w:r>
      <w:r w:rsidR="007E7D10">
        <w:rPr>
          <w:rFonts w:ascii="Times New Roman" w:hAnsi="Times New Roman" w:cs="Times New Roman"/>
          <w:sz w:val="24"/>
          <w:szCs w:val="24"/>
        </w:rPr>
        <w:t xml:space="preserve"> </w:t>
      </w:r>
      <w:r w:rsidR="003F7030" w:rsidRPr="00463498">
        <w:rPr>
          <w:rFonts w:ascii="Times New Roman" w:hAnsi="Times New Roman" w:cs="Times New Roman"/>
          <w:sz w:val="24"/>
          <w:szCs w:val="24"/>
        </w:rPr>
        <w:t>.317).</w:t>
      </w:r>
      <w:r w:rsidR="008E3201">
        <w:rPr>
          <w:rStyle w:val="FootnoteReference"/>
          <w:rFonts w:ascii="Times New Roman" w:hAnsi="Times New Roman" w:cs="Times New Roman"/>
          <w:sz w:val="24"/>
          <w:szCs w:val="24"/>
        </w:rPr>
        <w:footnoteReference w:id="5"/>
      </w:r>
    </w:p>
    <w:p w14:paraId="13101F4F" w14:textId="77777777" w:rsidR="008D3D54" w:rsidRPr="00F857AA" w:rsidRDefault="008D3D54" w:rsidP="008E3201">
      <w:pPr>
        <w:pStyle w:val="ListParagraph"/>
        <w:spacing w:after="0" w:line="480" w:lineRule="auto"/>
        <w:jc w:val="both"/>
        <w:rPr>
          <w:rFonts w:ascii="Times New Roman" w:hAnsi="Times New Roman" w:cs="Times New Roman"/>
          <w:sz w:val="24"/>
          <w:szCs w:val="24"/>
        </w:rPr>
      </w:pPr>
    </w:p>
    <w:p w14:paraId="6C8DDD35" w14:textId="77777777" w:rsidR="00F15F4B" w:rsidRPr="00F15F4B" w:rsidRDefault="00F15F4B" w:rsidP="00272396">
      <w:pPr>
        <w:pStyle w:val="Heading2"/>
      </w:pPr>
      <w:r>
        <w:t>The difference between claims for damages and other remedies</w:t>
      </w:r>
    </w:p>
    <w:p w14:paraId="196C2D59" w14:textId="77777777" w:rsidR="00F15F4B" w:rsidRDefault="00F15F4B" w:rsidP="00F15F4B">
      <w:pPr>
        <w:pStyle w:val="ListParagraph"/>
        <w:spacing w:after="0" w:line="480" w:lineRule="auto"/>
        <w:jc w:val="both"/>
        <w:rPr>
          <w:rFonts w:ascii="Times New Roman" w:hAnsi="Times New Roman" w:cs="Times New Roman"/>
          <w:sz w:val="24"/>
          <w:szCs w:val="24"/>
        </w:rPr>
      </w:pPr>
    </w:p>
    <w:p w14:paraId="661462CE" w14:textId="5B8B4A0B" w:rsidR="001010CF" w:rsidRDefault="00A45B15" w:rsidP="003C658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As we have earlier observed, it is not surprising that this part of the CLA is directed only to claims for damages.  </w:t>
      </w:r>
      <w:r w:rsidR="0074024A">
        <w:rPr>
          <w:rFonts w:ascii="Times New Roman" w:hAnsi="Times New Roman" w:cs="Times New Roman"/>
          <w:sz w:val="24"/>
          <w:szCs w:val="24"/>
        </w:rPr>
        <w:t xml:space="preserve">This reflects a distinction that is central to the law of private obligations.  </w:t>
      </w:r>
      <w:r w:rsidR="007C6944" w:rsidRPr="00434D69">
        <w:rPr>
          <w:rFonts w:ascii="Times New Roman" w:hAnsi="Times New Roman" w:cs="Times New Roman"/>
          <w:sz w:val="24"/>
          <w:szCs w:val="24"/>
        </w:rPr>
        <w:t xml:space="preserve">Generally, the law distinguishes between two different types of </w:t>
      </w:r>
      <w:r w:rsidR="001010CF" w:rsidRPr="00434D69">
        <w:rPr>
          <w:rFonts w:ascii="Times New Roman" w:hAnsi="Times New Roman" w:cs="Times New Roman"/>
          <w:sz w:val="24"/>
          <w:szCs w:val="24"/>
        </w:rPr>
        <w:t xml:space="preserve">coercive </w:t>
      </w:r>
      <w:r w:rsidR="001010CF" w:rsidRPr="00434D69">
        <w:rPr>
          <w:rFonts w:ascii="Times New Roman" w:hAnsi="Times New Roman" w:cs="Times New Roman"/>
          <w:sz w:val="24"/>
          <w:szCs w:val="24"/>
        </w:rPr>
        <w:lastRenderedPageBreak/>
        <w:t xml:space="preserve">judicial </w:t>
      </w:r>
      <w:r w:rsidR="007C6944" w:rsidRPr="00434D69">
        <w:rPr>
          <w:rFonts w:ascii="Times New Roman" w:hAnsi="Times New Roman" w:cs="Times New Roman"/>
          <w:sz w:val="24"/>
          <w:szCs w:val="24"/>
        </w:rPr>
        <w:t>remedy</w:t>
      </w:r>
      <w:r w:rsidR="00E725F1">
        <w:rPr>
          <w:rFonts w:ascii="Times New Roman" w:hAnsi="Times New Roman" w:cs="Times New Roman"/>
          <w:sz w:val="24"/>
          <w:szCs w:val="24"/>
        </w:rPr>
        <w:t xml:space="preserve"> in private law</w:t>
      </w:r>
      <w:r w:rsidR="007C6944" w:rsidRPr="00434D69">
        <w:rPr>
          <w:rFonts w:ascii="Times New Roman" w:hAnsi="Times New Roman" w:cs="Times New Roman"/>
          <w:sz w:val="24"/>
          <w:szCs w:val="24"/>
        </w:rPr>
        <w:t xml:space="preserve">.  One </w:t>
      </w:r>
      <w:r w:rsidR="006A50CF">
        <w:rPr>
          <w:rFonts w:ascii="Times New Roman" w:hAnsi="Times New Roman" w:cs="Times New Roman"/>
          <w:sz w:val="24"/>
          <w:szCs w:val="24"/>
        </w:rPr>
        <w:t xml:space="preserve">involves the </w:t>
      </w:r>
      <w:r w:rsidR="006A50CF" w:rsidRPr="006A50CF">
        <w:rPr>
          <w:rFonts w:ascii="Times New Roman" w:hAnsi="Times New Roman" w:cs="Times New Roman"/>
          <w:i/>
          <w:sz w:val="24"/>
          <w:szCs w:val="24"/>
        </w:rPr>
        <w:t>enforcement</w:t>
      </w:r>
      <w:r w:rsidR="006A50CF">
        <w:rPr>
          <w:rFonts w:ascii="Times New Roman" w:hAnsi="Times New Roman" w:cs="Times New Roman"/>
          <w:sz w:val="24"/>
          <w:szCs w:val="24"/>
        </w:rPr>
        <w:t xml:space="preserve"> of</w:t>
      </w:r>
      <w:r w:rsidR="009C22F4" w:rsidRPr="00434D69">
        <w:rPr>
          <w:rFonts w:ascii="Times New Roman" w:hAnsi="Times New Roman" w:cs="Times New Roman"/>
          <w:sz w:val="24"/>
          <w:szCs w:val="24"/>
        </w:rPr>
        <w:t xml:space="preserve"> a legal obligation</w:t>
      </w:r>
      <w:r w:rsidR="007C6944" w:rsidRPr="00434D69">
        <w:rPr>
          <w:rFonts w:ascii="Times New Roman" w:hAnsi="Times New Roman" w:cs="Times New Roman"/>
          <w:sz w:val="24"/>
          <w:szCs w:val="24"/>
        </w:rPr>
        <w:t>.  Examples are orders for specific performance</w:t>
      </w:r>
      <w:r>
        <w:rPr>
          <w:rFonts w:ascii="Times New Roman" w:hAnsi="Times New Roman" w:cs="Times New Roman"/>
          <w:sz w:val="24"/>
          <w:szCs w:val="24"/>
        </w:rPr>
        <w:t xml:space="preserve"> of a contract</w:t>
      </w:r>
      <w:r w:rsidR="007C6944" w:rsidRPr="00434D69">
        <w:rPr>
          <w:rFonts w:ascii="Times New Roman" w:hAnsi="Times New Roman" w:cs="Times New Roman"/>
          <w:sz w:val="24"/>
          <w:szCs w:val="24"/>
        </w:rPr>
        <w:t>, or for the return of a chattel.  The other is intended to require the provision of compensation for</w:t>
      </w:r>
      <w:r w:rsidR="009C22F4" w:rsidRPr="00434D69">
        <w:rPr>
          <w:rFonts w:ascii="Times New Roman" w:hAnsi="Times New Roman" w:cs="Times New Roman"/>
          <w:sz w:val="24"/>
          <w:szCs w:val="24"/>
        </w:rPr>
        <w:t xml:space="preserve"> </w:t>
      </w:r>
      <w:r w:rsidR="009C22F4" w:rsidRPr="006A50CF">
        <w:rPr>
          <w:rFonts w:ascii="Times New Roman" w:hAnsi="Times New Roman" w:cs="Times New Roman"/>
          <w:i/>
          <w:sz w:val="24"/>
          <w:szCs w:val="24"/>
        </w:rPr>
        <w:t>breach</w:t>
      </w:r>
      <w:r w:rsidR="009C22F4" w:rsidRPr="00434D69">
        <w:rPr>
          <w:rFonts w:ascii="Times New Roman" w:hAnsi="Times New Roman" w:cs="Times New Roman"/>
          <w:sz w:val="24"/>
          <w:szCs w:val="24"/>
        </w:rPr>
        <w:t xml:space="preserve"> of </w:t>
      </w:r>
      <w:r w:rsidR="00DE6242" w:rsidRPr="00434D69">
        <w:rPr>
          <w:rFonts w:ascii="Times New Roman" w:hAnsi="Times New Roman" w:cs="Times New Roman"/>
          <w:sz w:val="24"/>
          <w:szCs w:val="24"/>
        </w:rPr>
        <w:t xml:space="preserve">such a </w:t>
      </w:r>
      <w:r w:rsidR="009C22F4" w:rsidRPr="00434D69">
        <w:rPr>
          <w:rFonts w:ascii="Times New Roman" w:hAnsi="Times New Roman" w:cs="Times New Roman"/>
          <w:sz w:val="24"/>
          <w:szCs w:val="24"/>
        </w:rPr>
        <w:t>legal obligation</w:t>
      </w:r>
      <w:r w:rsidR="001E21F8">
        <w:rPr>
          <w:rFonts w:ascii="Times New Roman" w:hAnsi="Times New Roman" w:cs="Times New Roman"/>
          <w:sz w:val="24"/>
          <w:szCs w:val="24"/>
        </w:rPr>
        <w:t xml:space="preserve"> when it is not possible to rectify the wrong and/or the plaintiff determines to elect for </w:t>
      </w:r>
      <w:r w:rsidR="0092108D">
        <w:rPr>
          <w:rFonts w:ascii="Times New Roman" w:hAnsi="Times New Roman" w:cs="Times New Roman"/>
          <w:sz w:val="24"/>
          <w:szCs w:val="24"/>
        </w:rPr>
        <w:t>damages</w:t>
      </w:r>
      <w:r w:rsidR="009C22F4" w:rsidRPr="00434D69">
        <w:rPr>
          <w:rFonts w:ascii="Times New Roman" w:hAnsi="Times New Roman" w:cs="Times New Roman"/>
          <w:sz w:val="24"/>
          <w:szCs w:val="24"/>
        </w:rPr>
        <w:t xml:space="preserve">. </w:t>
      </w:r>
      <w:r w:rsidR="0092108D">
        <w:rPr>
          <w:rFonts w:ascii="Times New Roman" w:hAnsi="Times New Roman" w:cs="Times New Roman"/>
          <w:sz w:val="24"/>
          <w:szCs w:val="24"/>
        </w:rPr>
        <w:t xml:space="preserve">Damages </w:t>
      </w:r>
      <w:r w:rsidR="007C6944" w:rsidRPr="00434D69">
        <w:rPr>
          <w:rFonts w:ascii="Times New Roman" w:hAnsi="Times New Roman" w:cs="Times New Roman"/>
          <w:sz w:val="24"/>
          <w:szCs w:val="24"/>
        </w:rPr>
        <w:t xml:space="preserve">thus ordered </w:t>
      </w:r>
      <w:r w:rsidR="0092108D">
        <w:rPr>
          <w:rFonts w:ascii="Times New Roman" w:hAnsi="Times New Roman" w:cs="Times New Roman"/>
          <w:sz w:val="24"/>
          <w:szCs w:val="24"/>
        </w:rPr>
        <w:t>are</w:t>
      </w:r>
      <w:r w:rsidR="007C6944" w:rsidRPr="00434D69">
        <w:rPr>
          <w:rFonts w:ascii="Times New Roman" w:hAnsi="Times New Roman" w:cs="Times New Roman"/>
          <w:sz w:val="24"/>
          <w:szCs w:val="24"/>
        </w:rPr>
        <w:t xml:space="preserve"> intended to</w:t>
      </w:r>
      <w:r w:rsidR="000D5240" w:rsidRPr="00434D69">
        <w:rPr>
          <w:rFonts w:ascii="Times New Roman" w:hAnsi="Times New Roman" w:cs="Times New Roman"/>
          <w:sz w:val="24"/>
          <w:szCs w:val="24"/>
        </w:rPr>
        <w:t xml:space="preserve"> indemnify</w:t>
      </w:r>
      <w:r w:rsidR="007C6944" w:rsidRPr="00434D69">
        <w:rPr>
          <w:rFonts w:ascii="Times New Roman" w:hAnsi="Times New Roman" w:cs="Times New Roman"/>
          <w:sz w:val="24"/>
          <w:szCs w:val="24"/>
        </w:rPr>
        <w:t xml:space="preserve"> the plaintiff </w:t>
      </w:r>
      <w:r w:rsidR="0092108D">
        <w:rPr>
          <w:rFonts w:ascii="Times New Roman" w:hAnsi="Times New Roman" w:cs="Times New Roman"/>
          <w:sz w:val="24"/>
          <w:szCs w:val="24"/>
        </w:rPr>
        <w:t xml:space="preserve">against </w:t>
      </w:r>
      <w:r w:rsidR="007C6944" w:rsidRPr="00434D69">
        <w:rPr>
          <w:rFonts w:ascii="Times New Roman" w:hAnsi="Times New Roman" w:cs="Times New Roman"/>
          <w:sz w:val="24"/>
          <w:szCs w:val="24"/>
        </w:rPr>
        <w:t xml:space="preserve">the </w:t>
      </w:r>
      <w:r w:rsidR="000D5240" w:rsidRPr="00434D69">
        <w:rPr>
          <w:rFonts w:ascii="Times New Roman" w:hAnsi="Times New Roman" w:cs="Times New Roman"/>
          <w:sz w:val="24"/>
          <w:szCs w:val="24"/>
        </w:rPr>
        <w:t xml:space="preserve">consequences of an </w:t>
      </w:r>
      <w:r w:rsidR="007C6944" w:rsidRPr="00434D69">
        <w:rPr>
          <w:rFonts w:ascii="Times New Roman" w:hAnsi="Times New Roman" w:cs="Times New Roman"/>
          <w:sz w:val="24"/>
          <w:szCs w:val="24"/>
        </w:rPr>
        <w:t>injury caused by the defendant, thereby restoring it (in as much as this can be done</w:t>
      </w:r>
      <w:r w:rsidR="003751A6" w:rsidRPr="00434D69">
        <w:rPr>
          <w:rFonts w:ascii="Times New Roman" w:hAnsi="Times New Roman" w:cs="Times New Roman"/>
          <w:sz w:val="24"/>
          <w:szCs w:val="24"/>
        </w:rPr>
        <w:t xml:space="preserve"> by a monetary award</w:t>
      </w:r>
      <w:r w:rsidR="007C6944" w:rsidRPr="00434D69">
        <w:rPr>
          <w:rFonts w:ascii="Times New Roman" w:hAnsi="Times New Roman" w:cs="Times New Roman"/>
          <w:sz w:val="24"/>
          <w:szCs w:val="24"/>
        </w:rPr>
        <w:t xml:space="preserve">) to the position it would have been in had the wrong not occurred. </w:t>
      </w:r>
      <w:r w:rsidR="001010CF" w:rsidRPr="00434D69">
        <w:rPr>
          <w:rFonts w:ascii="Times New Roman" w:hAnsi="Times New Roman" w:cs="Times New Roman"/>
          <w:sz w:val="24"/>
          <w:szCs w:val="24"/>
        </w:rPr>
        <w:t xml:space="preserve"> One way of analysing these different remedies </w:t>
      </w:r>
      <w:r w:rsidR="001E21F8">
        <w:rPr>
          <w:rFonts w:ascii="Times New Roman" w:hAnsi="Times New Roman" w:cs="Times New Roman"/>
          <w:sz w:val="24"/>
          <w:szCs w:val="24"/>
        </w:rPr>
        <w:t xml:space="preserve">(at least in the context of a claim of breach of contract) </w:t>
      </w:r>
      <w:r w:rsidR="001010CF" w:rsidRPr="00434D69">
        <w:rPr>
          <w:rFonts w:ascii="Times New Roman" w:hAnsi="Times New Roman" w:cs="Times New Roman"/>
          <w:sz w:val="24"/>
          <w:szCs w:val="24"/>
        </w:rPr>
        <w:t xml:space="preserve">is to see the remedy </w:t>
      </w:r>
      <w:r w:rsidR="00286B9A" w:rsidRPr="00434D69">
        <w:rPr>
          <w:rFonts w:ascii="Times New Roman" w:hAnsi="Times New Roman" w:cs="Times New Roman"/>
          <w:sz w:val="24"/>
          <w:szCs w:val="24"/>
        </w:rPr>
        <w:t xml:space="preserve">intended to rectify the wrong </w:t>
      </w:r>
      <w:r w:rsidR="001010CF" w:rsidRPr="00434D69">
        <w:rPr>
          <w:rFonts w:ascii="Times New Roman" w:hAnsi="Times New Roman" w:cs="Times New Roman"/>
          <w:sz w:val="24"/>
          <w:szCs w:val="24"/>
        </w:rPr>
        <w:t xml:space="preserve">as </w:t>
      </w:r>
      <w:r w:rsidR="00DE6242" w:rsidRPr="00434D69">
        <w:rPr>
          <w:rFonts w:ascii="Times New Roman" w:hAnsi="Times New Roman" w:cs="Times New Roman"/>
          <w:sz w:val="24"/>
          <w:szCs w:val="24"/>
        </w:rPr>
        <w:t xml:space="preserve">the enforcement of a primary obligation, </w:t>
      </w:r>
      <w:r w:rsidR="001010CF" w:rsidRPr="00434D69">
        <w:rPr>
          <w:rFonts w:ascii="Times New Roman" w:hAnsi="Times New Roman" w:cs="Times New Roman"/>
          <w:sz w:val="24"/>
          <w:szCs w:val="24"/>
        </w:rPr>
        <w:t>and to define damages as a secondary</w:t>
      </w:r>
      <w:r w:rsidR="00DE6242" w:rsidRPr="00434D69">
        <w:rPr>
          <w:rFonts w:ascii="Times New Roman" w:hAnsi="Times New Roman" w:cs="Times New Roman"/>
          <w:sz w:val="24"/>
          <w:szCs w:val="24"/>
        </w:rPr>
        <w:t xml:space="preserve"> obligation</w:t>
      </w:r>
      <w:r w:rsidR="001010CF" w:rsidRPr="00434D69">
        <w:rPr>
          <w:rFonts w:ascii="Times New Roman" w:hAnsi="Times New Roman" w:cs="Times New Roman"/>
          <w:sz w:val="24"/>
          <w:szCs w:val="24"/>
        </w:rPr>
        <w:t>, which effectively substitutes for a past failure in the performance of the legal obligation in question</w:t>
      </w:r>
      <w:r w:rsidR="00DE6242" w:rsidRPr="00434D69">
        <w:rPr>
          <w:rFonts w:ascii="Times New Roman" w:hAnsi="Times New Roman" w:cs="Times New Roman"/>
          <w:sz w:val="24"/>
          <w:szCs w:val="24"/>
        </w:rPr>
        <w:t xml:space="preserve"> (see in particular the speech of Lord Diplock in </w:t>
      </w:r>
      <w:r w:rsidR="00DE6242" w:rsidRPr="00434D69">
        <w:rPr>
          <w:rFonts w:ascii="Times New Roman" w:hAnsi="Times New Roman" w:cs="Times New Roman"/>
          <w:i/>
          <w:sz w:val="24"/>
          <w:szCs w:val="24"/>
        </w:rPr>
        <w:t xml:space="preserve">Lep Air Services v. </w:t>
      </w:r>
      <w:proofErr w:type="spellStart"/>
      <w:r w:rsidR="00DE6242" w:rsidRPr="00434D69">
        <w:rPr>
          <w:rFonts w:ascii="Times New Roman" w:hAnsi="Times New Roman" w:cs="Times New Roman"/>
          <w:i/>
          <w:sz w:val="24"/>
          <w:szCs w:val="24"/>
        </w:rPr>
        <w:t>Rolloswi</w:t>
      </w:r>
      <w:r w:rsidR="00920652">
        <w:rPr>
          <w:rFonts w:ascii="Times New Roman" w:hAnsi="Times New Roman" w:cs="Times New Roman"/>
          <w:i/>
          <w:sz w:val="24"/>
          <w:szCs w:val="24"/>
        </w:rPr>
        <w:t>n</w:t>
      </w:r>
      <w:proofErr w:type="spellEnd"/>
      <w:r w:rsidR="00DE6242" w:rsidRPr="00434D69">
        <w:rPr>
          <w:rFonts w:ascii="Times New Roman" w:hAnsi="Times New Roman" w:cs="Times New Roman"/>
          <w:i/>
          <w:sz w:val="24"/>
          <w:szCs w:val="24"/>
        </w:rPr>
        <w:t xml:space="preserve"> Ltd. </w:t>
      </w:r>
      <w:r w:rsidR="00DE6242" w:rsidRPr="00434D69">
        <w:rPr>
          <w:rFonts w:ascii="Times New Roman" w:hAnsi="Times New Roman" w:cs="Times New Roman"/>
          <w:sz w:val="24"/>
          <w:szCs w:val="24"/>
        </w:rPr>
        <w:t>[1973] AC 331 at p. 350</w:t>
      </w:r>
      <w:r w:rsidR="00101FFB" w:rsidRPr="00434D69">
        <w:rPr>
          <w:rFonts w:ascii="Times New Roman" w:hAnsi="Times New Roman" w:cs="Times New Roman"/>
          <w:sz w:val="24"/>
          <w:szCs w:val="24"/>
        </w:rPr>
        <w:t xml:space="preserve"> and the explanation</w:t>
      </w:r>
      <w:r w:rsidR="00776D62" w:rsidRPr="00434D69">
        <w:rPr>
          <w:rFonts w:ascii="Times New Roman" w:hAnsi="Times New Roman" w:cs="Times New Roman"/>
          <w:sz w:val="24"/>
          <w:szCs w:val="24"/>
        </w:rPr>
        <w:t xml:space="preserve"> by the same judge in </w:t>
      </w:r>
      <w:r w:rsidR="00776D62" w:rsidRPr="00434D69">
        <w:rPr>
          <w:rFonts w:ascii="Times New Roman" w:hAnsi="Times New Roman" w:cs="Times New Roman"/>
          <w:i/>
          <w:sz w:val="24"/>
          <w:szCs w:val="24"/>
        </w:rPr>
        <w:t xml:space="preserve">Photo Production Ltd. v. Securicor Transport Ltd. </w:t>
      </w:r>
      <w:r w:rsidR="00776D62" w:rsidRPr="00434D69">
        <w:rPr>
          <w:rFonts w:ascii="Times New Roman" w:hAnsi="Times New Roman" w:cs="Times New Roman"/>
          <w:sz w:val="24"/>
          <w:szCs w:val="24"/>
        </w:rPr>
        <w:t>[1980] AC 827,</w:t>
      </w:r>
      <w:r w:rsidR="00911386">
        <w:rPr>
          <w:rFonts w:ascii="Times New Roman" w:hAnsi="Times New Roman" w:cs="Times New Roman"/>
          <w:sz w:val="24"/>
          <w:szCs w:val="24"/>
        </w:rPr>
        <w:t xml:space="preserve"> at p.</w:t>
      </w:r>
      <w:r w:rsidR="00776D62" w:rsidRPr="00434D69">
        <w:rPr>
          <w:rFonts w:ascii="Times New Roman" w:hAnsi="Times New Roman" w:cs="Times New Roman"/>
          <w:sz w:val="24"/>
          <w:szCs w:val="24"/>
        </w:rPr>
        <w:t xml:space="preserve"> 849</w:t>
      </w:r>
      <w:r w:rsidR="00DE6242" w:rsidRPr="00434D69">
        <w:rPr>
          <w:rFonts w:ascii="Times New Roman" w:hAnsi="Times New Roman" w:cs="Times New Roman"/>
          <w:sz w:val="24"/>
          <w:szCs w:val="24"/>
        </w:rPr>
        <w:t xml:space="preserve">).  However the distinction is expressed, it is </w:t>
      </w:r>
      <w:r w:rsidR="00580985">
        <w:rPr>
          <w:rFonts w:ascii="Times New Roman" w:hAnsi="Times New Roman" w:cs="Times New Roman"/>
          <w:sz w:val="24"/>
          <w:szCs w:val="24"/>
        </w:rPr>
        <w:t xml:space="preserve">a </w:t>
      </w:r>
      <w:r w:rsidR="00DE6242" w:rsidRPr="00434D69">
        <w:rPr>
          <w:rFonts w:ascii="Times New Roman" w:hAnsi="Times New Roman" w:cs="Times New Roman"/>
          <w:sz w:val="24"/>
          <w:szCs w:val="24"/>
        </w:rPr>
        <w:t>real and significant</w:t>
      </w:r>
      <w:r w:rsidR="00580985">
        <w:rPr>
          <w:rFonts w:ascii="Times New Roman" w:hAnsi="Times New Roman" w:cs="Times New Roman"/>
          <w:sz w:val="24"/>
          <w:szCs w:val="24"/>
        </w:rPr>
        <w:t xml:space="preserve"> one</w:t>
      </w:r>
      <w:r w:rsidR="0078405A" w:rsidRPr="00434D69">
        <w:rPr>
          <w:rFonts w:ascii="Times New Roman" w:hAnsi="Times New Roman" w:cs="Times New Roman"/>
          <w:sz w:val="24"/>
          <w:szCs w:val="24"/>
        </w:rPr>
        <w:t>.</w:t>
      </w:r>
    </w:p>
    <w:p w14:paraId="371F70DF" w14:textId="77777777" w:rsidR="0092108D" w:rsidRDefault="0092108D" w:rsidP="0092108D">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C39F467" w14:textId="09A480EF" w:rsidR="0092108D" w:rsidRPr="00434D69" w:rsidRDefault="0092108D" w:rsidP="003C658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extension of rules governing contributory negligence, contribution or satisfaction as between wrongdoers </w:t>
      </w:r>
      <w:r w:rsidR="00D5460C">
        <w:rPr>
          <w:rFonts w:ascii="Times New Roman" w:hAnsi="Times New Roman" w:cs="Times New Roman"/>
          <w:sz w:val="24"/>
          <w:szCs w:val="24"/>
        </w:rPr>
        <w:t xml:space="preserve">to those </w:t>
      </w:r>
      <w:r>
        <w:rPr>
          <w:rFonts w:ascii="Times New Roman" w:hAnsi="Times New Roman" w:cs="Times New Roman"/>
          <w:sz w:val="24"/>
          <w:szCs w:val="24"/>
        </w:rPr>
        <w:t xml:space="preserve">whose liabilities lie other than in damages would produce </w:t>
      </w:r>
      <w:r w:rsidR="00580985">
        <w:rPr>
          <w:rFonts w:ascii="Times New Roman" w:hAnsi="Times New Roman" w:cs="Times New Roman"/>
          <w:sz w:val="24"/>
          <w:szCs w:val="24"/>
        </w:rPr>
        <w:t xml:space="preserve">strange </w:t>
      </w:r>
      <w:r>
        <w:rPr>
          <w:rFonts w:ascii="Times New Roman" w:hAnsi="Times New Roman" w:cs="Times New Roman"/>
          <w:sz w:val="24"/>
          <w:szCs w:val="24"/>
        </w:rPr>
        <w:t>and unjust results.  Where a</w:t>
      </w:r>
      <w:r w:rsidRPr="00434D69">
        <w:rPr>
          <w:rFonts w:ascii="Times New Roman" w:hAnsi="Times New Roman" w:cs="Times New Roman"/>
          <w:sz w:val="24"/>
          <w:szCs w:val="24"/>
        </w:rPr>
        <w:t xml:space="preserve"> plaintiff’s claim is for a remedy by way of damages</w:t>
      </w:r>
      <w:r w:rsidR="00580985">
        <w:rPr>
          <w:rFonts w:ascii="Times New Roman" w:hAnsi="Times New Roman" w:cs="Times New Roman"/>
          <w:sz w:val="24"/>
          <w:szCs w:val="24"/>
        </w:rPr>
        <w:t>,</w:t>
      </w:r>
      <w:r w:rsidRPr="00434D69">
        <w:rPr>
          <w:rFonts w:ascii="Times New Roman" w:hAnsi="Times New Roman" w:cs="Times New Roman"/>
          <w:sz w:val="24"/>
          <w:szCs w:val="24"/>
        </w:rPr>
        <w:t xml:space="preserve"> there is a logic to ensuring that all persons who have contributed to the loss should share in the responsibility of contributing their share of </w:t>
      </w:r>
      <w:r w:rsidR="00580985">
        <w:rPr>
          <w:rFonts w:ascii="Times New Roman" w:hAnsi="Times New Roman" w:cs="Times New Roman"/>
          <w:sz w:val="24"/>
          <w:szCs w:val="24"/>
        </w:rPr>
        <w:t>the recoverable</w:t>
      </w:r>
      <w:r w:rsidR="00580985" w:rsidRPr="00434D69">
        <w:rPr>
          <w:rFonts w:ascii="Times New Roman" w:hAnsi="Times New Roman" w:cs="Times New Roman"/>
          <w:sz w:val="24"/>
          <w:szCs w:val="24"/>
        </w:rPr>
        <w:t xml:space="preserve"> </w:t>
      </w:r>
      <w:r w:rsidRPr="00434D69">
        <w:rPr>
          <w:rFonts w:ascii="Times New Roman" w:hAnsi="Times New Roman" w:cs="Times New Roman"/>
          <w:sz w:val="24"/>
          <w:szCs w:val="24"/>
        </w:rPr>
        <w:t xml:space="preserve">damages. </w:t>
      </w:r>
      <w:r>
        <w:rPr>
          <w:rFonts w:ascii="Times New Roman" w:hAnsi="Times New Roman" w:cs="Times New Roman"/>
          <w:sz w:val="24"/>
          <w:szCs w:val="24"/>
        </w:rPr>
        <w:t>This allows justice to be done as between the defendants without any consequent prejudice to the plaintiff.</w:t>
      </w:r>
      <w:r w:rsidRPr="00434D69">
        <w:rPr>
          <w:rFonts w:ascii="Times New Roman" w:hAnsi="Times New Roman" w:cs="Times New Roman"/>
          <w:sz w:val="24"/>
          <w:szCs w:val="24"/>
        </w:rPr>
        <w:t xml:space="preserve"> To take a simple example if P is injured in a road traffic </w:t>
      </w:r>
      <w:r w:rsidRPr="00434D69">
        <w:rPr>
          <w:rFonts w:ascii="Times New Roman" w:hAnsi="Times New Roman" w:cs="Times New Roman"/>
          <w:sz w:val="24"/>
          <w:szCs w:val="24"/>
        </w:rPr>
        <w:lastRenderedPageBreak/>
        <w:t>accident caused by the negligence of D1 and D2, D1 and D2 have each contributed to P’s injury, and each should be required to pay damages reflecting their respective contributions to that loss</w:t>
      </w:r>
      <w:r>
        <w:rPr>
          <w:rFonts w:ascii="Times New Roman" w:hAnsi="Times New Roman" w:cs="Times New Roman"/>
          <w:sz w:val="24"/>
          <w:szCs w:val="24"/>
        </w:rPr>
        <w:t>. I</w:t>
      </w:r>
      <w:r w:rsidRPr="00434D69">
        <w:rPr>
          <w:rFonts w:ascii="Times New Roman" w:hAnsi="Times New Roman" w:cs="Times New Roman"/>
          <w:sz w:val="24"/>
          <w:szCs w:val="24"/>
        </w:rPr>
        <w:t>f one is sued</w:t>
      </w:r>
      <w:r w:rsidR="00580985">
        <w:rPr>
          <w:rFonts w:ascii="Times New Roman" w:hAnsi="Times New Roman" w:cs="Times New Roman"/>
          <w:sz w:val="24"/>
          <w:szCs w:val="24"/>
        </w:rPr>
        <w:t>,</w:t>
      </w:r>
      <w:r w:rsidRPr="00434D69">
        <w:rPr>
          <w:rFonts w:ascii="Times New Roman" w:hAnsi="Times New Roman" w:cs="Times New Roman"/>
          <w:sz w:val="24"/>
          <w:szCs w:val="24"/>
        </w:rPr>
        <w:t xml:space="preserve"> it should be possible for it to recover the appropriate share from the other, and if it is not possible to do so, to obtain a deduction reflecting that share from the damages payable to the plaintiff.  Indeed</w:t>
      </w:r>
      <w:r w:rsidR="009A0E41">
        <w:rPr>
          <w:rFonts w:ascii="Times New Roman" w:hAnsi="Times New Roman" w:cs="Times New Roman"/>
          <w:sz w:val="24"/>
          <w:szCs w:val="24"/>
        </w:rPr>
        <w:t>,</w:t>
      </w:r>
      <w:r w:rsidRPr="00434D69">
        <w:rPr>
          <w:rFonts w:ascii="Times New Roman" w:hAnsi="Times New Roman" w:cs="Times New Roman"/>
          <w:sz w:val="24"/>
          <w:szCs w:val="24"/>
        </w:rPr>
        <w:t xml:space="preserve"> the concern that where D1 settles his claim with P it should have available to it a mechanism for recovering from D2</w:t>
      </w:r>
      <w:r w:rsidR="00864BA4">
        <w:rPr>
          <w:rFonts w:ascii="Times New Roman" w:hAnsi="Times New Roman" w:cs="Times New Roman"/>
          <w:sz w:val="24"/>
          <w:szCs w:val="24"/>
        </w:rPr>
        <w:t>,</w:t>
      </w:r>
      <w:r w:rsidRPr="00434D69">
        <w:rPr>
          <w:rFonts w:ascii="Times New Roman" w:hAnsi="Times New Roman" w:cs="Times New Roman"/>
          <w:sz w:val="24"/>
          <w:szCs w:val="24"/>
        </w:rPr>
        <w:t xml:space="preserve"> D2’s share of the liability was an important factor driving the </w:t>
      </w:r>
      <w:r>
        <w:rPr>
          <w:rFonts w:ascii="Times New Roman" w:hAnsi="Times New Roman" w:cs="Times New Roman"/>
          <w:sz w:val="24"/>
          <w:szCs w:val="24"/>
        </w:rPr>
        <w:t>introduction of CLA</w:t>
      </w:r>
      <w:r w:rsidRPr="00434D69">
        <w:rPr>
          <w:rFonts w:ascii="Times New Roman" w:hAnsi="Times New Roman" w:cs="Times New Roman"/>
          <w:sz w:val="24"/>
          <w:szCs w:val="24"/>
        </w:rPr>
        <w:t>.</w:t>
      </w:r>
      <w:r>
        <w:rPr>
          <w:rFonts w:ascii="Times New Roman" w:hAnsi="Times New Roman" w:cs="Times New Roman"/>
          <w:sz w:val="24"/>
          <w:szCs w:val="24"/>
        </w:rPr>
        <w:t xml:space="preserve">  The pre-existing common law applying a version of </w:t>
      </w:r>
      <w:r>
        <w:rPr>
          <w:rFonts w:ascii="Times New Roman" w:hAnsi="Times New Roman" w:cs="Times New Roman"/>
          <w:i/>
          <w:sz w:val="24"/>
          <w:szCs w:val="24"/>
        </w:rPr>
        <w:t>ex turpi causa non oritur actio</w:t>
      </w:r>
      <w:r>
        <w:rPr>
          <w:rFonts w:ascii="Times New Roman" w:hAnsi="Times New Roman" w:cs="Times New Roman"/>
          <w:sz w:val="24"/>
          <w:szCs w:val="24"/>
        </w:rPr>
        <w:t xml:space="preserve"> had operated to prevent D1 from recovering any contribution from D2 in this situation (</w:t>
      </w:r>
      <w:r>
        <w:rPr>
          <w:rFonts w:ascii="Times New Roman" w:hAnsi="Times New Roman" w:cs="Times New Roman"/>
          <w:i/>
          <w:sz w:val="24"/>
          <w:szCs w:val="24"/>
        </w:rPr>
        <w:t xml:space="preserve">Merryweather v. Nixan </w:t>
      </w:r>
      <w:r>
        <w:rPr>
          <w:rFonts w:ascii="Times New Roman" w:hAnsi="Times New Roman" w:cs="Times New Roman"/>
          <w:sz w:val="24"/>
          <w:szCs w:val="24"/>
        </w:rPr>
        <w:t>(1799) 8 TR 186, 101 ER 1337).</w:t>
      </w:r>
    </w:p>
    <w:p w14:paraId="6661E1A4" w14:textId="77777777" w:rsidR="0092108D" w:rsidRPr="00434D69" w:rsidRDefault="0092108D" w:rsidP="0092108D">
      <w:pPr>
        <w:pStyle w:val="ListParagraph"/>
        <w:spacing w:after="0" w:line="480" w:lineRule="auto"/>
        <w:rPr>
          <w:rFonts w:ascii="Times New Roman" w:hAnsi="Times New Roman" w:cs="Times New Roman"/>
          <w:sz w:val="24"/>
          <w:szCs w:val="24"/>
        </w:rPr>
      </w:pPr>
    </w:p>
    <w:p w14:paraId="541A42B1" w14:textId="16402D9B" w:rsidR="0092108D" w:rsidRDefault="0092108D" w:rsidP="00A711B9">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This logic, however, does not transfer across to the enforcement of a primary obligation.  The plaintiff claiming return of its stolen chattel, or </w:t>
      </w:r>
      <w:r w:rsidR="00580985">
        <w:rPr>
          <w:rFonts w:ascii="Times New Roman" w:hAnsi="Times New Roman" w:cs="Times New Roman"/>
          <w:sz w:val="24"/>
          <w:szCs w:val="24"/>
        </w:rPr>
        <w:t>seeking to enforce due performance</w:t>
      </w:r>
      <w:r w:rsidR="00580985" w:rsidRPr="00434D69">
        <w:rPr>
          <w:rFonts w:ascii="Times New Roman" w:hAnsi="Times New Roman" w:cs="Times New Roman"/>
          <w:sz w:val="24"/>
          <w:szCs w:val="24"/>
        </w:rPr>
        <w:t xml:space="preserve"> </w:t>
      </w:r>
      <w:r w:rsidRPr="00434D69">
        <w:rPr>
          <w:rFonts w:ascii="Times New Roman" w:hAnsi="Times New Roman" w:cs="Times New Roman"/>
          <w:sz w:val="24"/>
          <w:szCs w:val="24"/>
        </w:rPr>
        <w:t xml:space="preserve">of the contract it has entered into, is concerned only to obtain a remedy against the person in possession of the chattel or </w:t>
      </w:r>
      <w:r w:rsidR="00580985">
        <w:rPr>
          <w:rFonts w:ascii="Times New Roman" w:hAnsi="Times New Roman" w:cs="Times New Roman"/>
          <w:sz w:val="24"/>
          <w:szCs w:val="24"/>
        </w:rPr>
        <w:t xml:space="preserve">the counterparty </w:t>
      </w:r>
      <w:r w:rsidRPr="00434D69">
        <w:rPr>
          <w:rFonts w:ascii="Times New Roman" w:hAnsi="Times New Roman" w:cs="Times New Roman"/>
          <w:sz w:val="24"/>
          <w:szCs w:val="24"/>
        </w:rPr>
        <w:t xml:space="preserve">obliged to </w:t>
      </w:r>
      <w:r w:rsidR="00580985">
        <w:rPr>
          <w:rFonts w:ascii="Times New Roman" w:hAnsi="Times New Roman" w:cs="Times New Roman"/>
          <w:sz w:val="24"/>
          <w:szCs w:val="24"/>
        </w:rPr>
        <w:t>perform</w:t>
      </w:r>
      <w:r w:rsidR="00580985" w:rsidRPr="00434D69">
        <w:rPr>
          <w:rFonts w:ascii="Times New Roman" w:hAnsi="Times New Roman" w:cs="Times New Roman"/>
          <w:sz w:val="24"/>
          <w:szCs w:val="24"/>
        </w:rPr>
        <w:t xml:space="preserve"> </w:t>
      </w:r>
      <w:r w:rsidRPr="00434D69">
        <w:rPr>
          <w:rFonts w:ascii="Times New Roman" w:hAnsi="Times New Roman" w:cs="Times New Roman"/>
          <w:sz w:val="24"/>
          <w:szCs w:val="24"/>
        </w:rPr>
        <w:t xml:space="preserve">the contract. </w:t>
      </w:r>
      <w:r>
        <w:rPr>
          <w:rFonts w:ascii="Times New Roman" w:hAnsi="Times New Roman" w:cs="Times New Roman"/>
          <w:sz w:val="24"/>
          <w:szCs w:val="24"/>
        </w:rPr>
        <w:t xml:space="preserve"> The only way of </w:t>
      </w:r>
      <w:r w:rsidR="00415499">
        <w:rPr>
          <w:rFonts w:ascii="Times New Roman" w:hAnsi="Times New Roman" w:cs="Times New Roman"/>
          <w:sz w:val="24"/>
          <w:szCs w:val="24"/>
        </w:rPr>
        <w:t>giving effect to that obligation is to grant the plaintiff its remedy enforcing that obligation.  The obligation cannot be spliced or subdivided without denying the plaintiff his legal entitlement and, potentially, unjustly rewarding one of the defendants.</w:t>
      </w:r>
    </w:p>
    <w:p w14:paraId="0E7D72A5" w14:textId="77777777" w:rsidR="00415499" w:rsidRPr="00415499" w:rsidRDefault="00415499" w:rsidP="00A711B9">
      <w:pPr>
        <w:pStyle w:val="ListParagraph"/>
        <w:spacing w:line="480" w:lineRule="auto"/>
        <w:rPr>
          <w:rFonts w:ascii="Times New Roman" w:hAnsi="Times New Roman" w:cs="Times New Roman"/>
          <w:sz w:val="24"/>
          <w:szCs w:val="24"/>
        </w:rPr>
      </w:pPr>
    </w:p>
    <w:p w14:paraId="7DA3DE75" w14:textId="06F30ABF" w:rsidR="00415499" w:rsidRPr="00434D69" w:rsidRDefault="00415499" w:rsidP="00A711B9">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Thus, </w:t>
      </w:r>
      <w:r w:rsidRPr="00434D69">
        <w:rPr>
          <w:rFonts w:ascii="Times New Roman" w:hAnsi="Times New Roman" w:cs="Times New Roman"/>
          <w:sz w:val="24"/>
          <w:szCs w:val="24"/>
        </w:rPr>
        <w:t xml:space="preserve">the fact that the plaintiff may have been careless, or that another party may have through its wrongful actions brought about the conditions under which the defendant has the chattel or failed to </w:t>
      </w:r>
      <w:r>
        <w:rPr>
          <w:rFonts w:ascii="Times New Roman" w:hAnsi="Times New Roman" w:cs="Times New Roman"/>
          <w:sz w:val="24"/>
          <w:szCs w:val="24"/>
        </w:rPr>
        <w:t xml:space="preserve">enter into </w:t>
      </w:r>
      <w:r w:rsidRPr="00434D69">
        <w:rPr>
          <w:rFonts w:ascii="Times New Roman" w:hAnsi="Times New Roman" w:cs="Times New Roman"/>
          <w:sz w:val="24"/>
          <w:szCs w:val="24"/>
        </w:rPr>
        <w:t>the contract is neither here nor there</w:t>
      </w:r>
      <w:r>
        <w:rPr>
          <w:rFonts w:ascii="Times New Roman" w:hAnsi="Times New Roman" w:cs="Times New Roman"/>
          <w:sz w:val="24"/>
          <w:szCs w:val="24"/>
        </w:rPr>
        <w:t xml:space="preserve"> :</w:t>
      </w:r>
      <w:r w:rsidRPr="00434D69">
        <w:rPr>
          <w:rFonts w:ascii="Times New Roman" w:hAnsi="Times New Roman" w:cs="Times New Roman"/>
          <w:sz w:val="24"/>
          <w:szCs w:val="24"/>
        </w:rPr>
        <w:t xml:space="preserve"> ‘</w:t>
      </w:r>
      <w:r w:rsidRPr="00434D69">
        <w:rPr>
          <w:rFonts w:ascii="Times New Roman" w:hAnsi="Times New Roman" w:cs="Times New Roman"/>
          <w:i/>
          <w:sz w:val="24"/>
          <w:szCs w:val="24"/>
        </w:rPr>
        <w:t xml:space="preserve">[t]he plaintiff cannot, on the ground that he was initially at fault, be penalised by forfeiture of his </w:t>
      </w:r>
      <w:r w:rsidRPr="00434D69">
        <w:rPr>
          <w:rFonts w:ascii="Times New Roman" w:hAnsi="Times New Roman" w:cs="Times New Roman"/>
          <w:i/>
          <w:sz w:val="24"/>
          <w:szCs w:val="24"/>
        </w:rPr>
        <w:lastRenderedPageBreak/>
        <w:t>property to one who has no claim to it</w:t>
      </w:r>
      <w:r w:rsidR="00B67C7D">
        <w:rPr>
          <w:rFonts w:ascii="Times New Roman" w:hAnsi="Times New Roman" w:cs="Times New Roman"/>
          <w:i/>
          <w:sz w:val="24"/>
          <w:szCs w:val="24"/>
        </w:rPr>
        <w:t>’</w:t>
      </w:r>
      <w:r>
        <w:rPr>
          <w:rFonts w:ascii="Times New Roman" w:hAnsi="Times New Roman" w:cs="Times New Roman"/>
          <w:sz w:val="24"/>
          <w:szCs w:val="24"/>
        </w:rPr>
        <w:t xml:space="preserve"> (</w:t>
      </w:r>
      <w:r w:rsidRPr="00434D69">
        <w:rPr>
          <w:rFonts w:ascii="Times New Roman" w:hAnsi="Times New Roman" w:cs="Times New Roman"/>
          <w:i/>
          <w:sz w:val="24"/>
          <w:szCs w:val="24"/>
        </w:rPr>
        <w:t>Joint Torts and Contributory Negligence</w:t>
      </w:r>
      <w:r w:rsidRPr="00434D69">
        <w:rPr>
          <w:rFonts w:ascii="Times New Roman" w:hAnsi="Times New Roman" w:cs="Times New Roman"/>
          <w:sz w:val="24"/>
          <w:szCs w:val="24"/>
        </w:rPr>
        <w:t xml:space="preserve"> at p. 211</w:t>
      </w:r>
      <w:r>
        <w:rPr>
          <w:rFonts w:ascii="Times New Roman" w:hAnsi="Times New Roman" w:cs="Times New Roman"/>
          <w:sz w:val="24"/>
          <w:szCs w:val="24"/>
        </w:rPr>
        <w:t xml:space="preserve">).  </w:t>
      </w:r>
      <w:r w:rsidRPr="00434D69">
        <w:rPr>
          <w:rFonts w:ascii="Times New Roman" w:hAnsi="Times New Roman" w:cs="Times New Roman"/>
          <w:sz w:val="24"/>
          <w:szCs w:val="24"/>
        </w:rPr>
        <w:t xml:space="preserve">It may be that if the plaintiff has incurred a loss by reason of being deprived of the chattel for a period, or by reason of the contract not being </w:t>
      </w:r>
      <w:r w:rsidR="00580985">
        <w:rPr>
          <w:rFonts w:ascii="Times New Roman" w:hAnsi="Times New Roman" w:cs="Times New Roman"/>
          <w:sz w:val="24"/>
          <w:szCs w:val="24"/>
        </w:rPr>
        <w:t>properly performed</w:t>
      </w:r>
      <w:r w:rsidR="00580985" w:rsidRPr="00434D69">
        <w:rPr>
          <w:rFonts w:ascii="Times New Roman" w:hAnsi="Times New Roman" w:cs="Times New Roman"/>
          <w:sz w:val="24"/>
          <w:szCs w:val="24"/>
        </w:rPr>
        <w:t xml:space="preserve"> </w:t>
      </w:r>
      <w:r w:rsidRPr="00434D69">
        <w:rPr>
          <w:rFonts w:ascii="Times New Roman" w:hAnsi="Times New Roman" w:cs="Times New Roman"/>
          <w:sz w:val="24"/>
          <w:szCs w:val="24"/>
        </w:rPr>
        <w:t xml:space="preserve">will also wish to claim a secondary remedy by way of damages.  When it does so, the question of whether there are persons other than the defendant </w:t>
      </w:r>
      <w:r>
        <w:rPr>
          <w:rFonts w:ascii="Times New Roman" w:hAnsi="Times New Roman" w:cs="Times New Roman"/>
          <w:sz w:val="24"/>
          <w:szCs w:val="24"/>
        </w:rPr>
        <w:t xml:space="preserve">who have caused secondary loss </w:t>
      </w:r>
      <w:r w:rsidRPr="00434D69">
        <w:rPr>
          <w:rFonts w:ascii="Times New Roman" w:hAnsi="Times New Roman" w:cs="Times New Roman"/>
          <w:sz w:val="24"/>
          <w:szCs w:val="24"/>
        </w:rPr>
        <w:t>whose liability should be taken into account may arise. However, insofar as the remedy by way of enforcing compliance with the contract is concerned only one defendant will matter, and the plaintiff’s right to its order against that defendant will, if the defendant is responsible for the legal wrong alleged, stand independently of whether other wrongdoers were involved.</w:t>
      </w:r>
    </w:p>
    <w:p w14:paraId="129A2964" w14:textId="77777777" w:rsidR="00415499" w:rsidRDefault="00415499" w:rsidP="00415499">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F32909C" w14:textId="732E6CC3" w:rsidR="00415499" w:rsidRPr="00434D69" w:rsidRDefault="00415499" w:rsidP="003C658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That the CLA does not generally seek to apportion liability as between different wrongdoers where an order in the nature of enforcement of a legal obligation is sought is clear from the fact that in one specific circumstance it does make such provision.  Section 26 </w:t>
      </w:r>
      <w:r w:rsidR="00580985">
        <w:rPr>
          <w:rFonts w:ascii="Times New Roman" w:hAnsi="Times New Roman" w:cs="Times New Roman"/>
          <w:sz w:val="24"/>
          <w:szCs w:val="24"/>
        </w:rPr>
        <w:t>indicates</w:t>
      </w:r>
      <w:r w:rsidR="00580985" w:rsidRPr="00434D69">
        <w:rPr>
          <w:rFonts w:ascii="Times New Roman" w:hAnsi="Times New Roman" w:cs="Times New Roman"/>
          <w:sz w:val="24"/>
          <w:szCs w:val="24"/>
        </w:rPr>
        <w:t xml:space="preserve"> </w:t>
      </w:r>
      <w:r w:rsidRPr="00434D69">
        <w:rPr>
          <w:rFonts w:ascii="Times New Roman" w:hAnsi="Times New Roman" w:cs="Times New Roman"/>
          <w:sz w:val="24"/>
          <w:szCs w:val="24"/>
        </w:rPr>
        <w:t>that the return of a</w:t>
      </w:r>
      <w:r>
        <w:rPr>
          <w:rFonts w:ascii="Times New Roman" w:hAnsi="Times New Roman" w:cs="Times New Roman"/>
          <w:sz w:val="24"/>
          <w:szCs w:val="24"/>
        </w:rPr>
        <w:t xml:space="preserve"> chattel </w:t>
      </w:r>
      <w:r w:rsidRPr="00434D69">
        <w:rPr>
          <w:rFonts w:ascii="Times New Roman" w:hAnsi="Times New Roman" w:cs="Times New Roman"/>
          <w:sz w:val="24"/>
          <w:szCs w:val="24"/>
        </w:rPr>
        <w:t xml:space="preserve">is not, without express provision to that effect, capable of being viewed as equivalent to a claim for damages, </w:t>
      </w:r>
      <w:r>
        <w:rPr>
          <w:rFonts w:ascii="Times New Roman" w:hAnsi="Times New Roman" w:cs="Times New Roman"/>
          <w:sz w:val="24"/>
          <w:szCs w:val="24"/>
        </w:rPr>
        <w:t xml:space="preserve">while </w:t>
      </w:r>
      <w:r w:rsidRPr="00434D69">
        <w:rPr>
          <w:rFonts w:ascii="Times New Roman" w:hAnsi="Times New Roman" w:cs="Times New Roman"/>
          <w:sz w:val="24"/>
          <w:szCs w:val="24"/>
        </w:rPr>
        <w:t xml:space="preserve">also demonstrating that the draftsman did not believe that a person who wrongfully withheld delivery of an asset – even if he was himself a wrongdoer – was a </w:t>
      </w:r>
      <w:r w:rsidRPr="00434D69">
        <w:rPr>
          <w:rFonts w:ascii="Times New Roman" w:hAnsi="Times New Roman" w:cs="Times New Roman"/>
          <w:i/>
          <w:sz w:val="24"/>
          <w:szCs w:val="24"/>
        </w:rPr>
        <w:t xml:space="preserve">concurrent wrongdoer </w:t>
      </w:r>
      <w:r w:rsidRPr="00434D69">
        <w:rPr>
          <w:rFonts w:ascii="Times New Roman" w:hAnsi="Times New Roman" w:cs="Times New Roman"/>
          <w:sz w:val="24"/>
          <w:szCs w:val="24"/>
        </w:rPr>
        <w:t>with a person who had converted it</w:t>
      </w:r>
      <w:r w:rsidRPr="00434D69">
        <w:rPr>
          <w:rStyle w:val="FootnoteReference"/>
          <w:rFonts w:ascii="Times New Roman" w:hAnsi="Times New Roman" w:cs="Times New Roman"/>
          <w:sz w:val="24"/>
          <w:szCs w:val="24"/>
        </w:rPr>
        <w:footnoteReference w:id="6"/>
      </w:r>
      <w:r w:rsidRPr="00434D69">
        <w:rPr>
          <w:rFonts w:ascii="Times New Roman" w:hAnsi="Times New Roman" w:cs="Times New Roman"/>
          <w:sz w:val="24"/>
          <w:szCs w:val="24"/>
        </w:rPr>
        <w:t>:</w:t>
      </w:r>
    </w:p>
    <w:p w14:paraId="11E27BC1" w14:textId="77777777" w:rsidR="00415499" w:rsidRPr="00434D69" w:rsidRDefault="00415499" w:rsidP="0041549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lastRenderedPageBreak/>
        <w:t xml:space="preserve">  </w:t>
      </w:r>
    </w:p>
    <w:p w14:paraId="38B24EBD" w14:textId="77777777" w:rsidR="00415499" w:rsidRPr="00434D69" w:rsidRDefault="00415499" w:rsidP="00415499">
      <w:pPr>
        <w:pStyle w:val="ListParagraph"/>
        <w:spacing w:after="0" w:line="480" w:lineRule="auto"/>
        <w:ind w:left="1440"/>
        <w:jc w:val="both"/>
        <w:rPr>
          <w:rFonts w:ascii="Times New Roman" w:hAnsi="Times New Roman" w:cs="Times New Roman"/>
          <w:i/>
          <w:sz w:val="24"/>
          <w:szCs w:val="24"/>
        </w:rPr>
      </w:pPr>
      <w:r w:rsidRPr="00434D69">
        <w:rPr>
          <w:rFonts w:ascii="Times New Roman" w:hAnsi="Times New Roman" w:cs="Times New Roman"/>
          <w:sz w:val="24"/>
          <w:szCs w:val="24"/>
        </w:rPr>
        <w:t>‘</w:t>
      </w:r>
      <w:r w:rsidRPr="00434D69">
        <w:rPr>
          <w:rFonts w:ascii="Times New Roman" w:hAnsi="Times New Roman" w:cs="Times New Roman"/>
          <w:i/>
          <w:sz w:val="24"/>
          <w:szCs w:val="24"/>
        </w:rPr>
        <w:t>For the purposes of a claim for contribution –</w:t>
      </w:r>
    </w:p>
    <w:p w14:paraId="2B838845" w14:textId="77777777" w:rsidR="00415499" w:rsidRPr="00434D69" w:rsidRDefault="00415499" w:rsidP="00415499">
      <w:pPr>
        <w:pStyle w:val="ListParagraph"/>
        <w:spacing w:after="0" w:line="480" w:lineRule="auto"/>
        <w:ind w:left="1440"/>
        <w:jc w:val="both"/>
        <w:rPr>
          <w:rFonts w:ascii="Times New Roman" w:hAnsi="Times New Roman" w:cs="Times New Roman"/>
          <w:sz w:val="24"/>
          <w:szCs w:val="24"/>
        </w:rPr>
      </w:pPr>
    </w:p>
    <w:p w14:paraId="700F9036" w14:textId="77777777" w:rsidR="00415499" w:rsidRPr="00434D69" w:rsidRDefault="00415499" w:rsidP="00415499">
      <w:pPr>
        <w:pStyle w:val="ListParagraph"/>
        <w:numPr>
          <w:ilvl w:val="0"/>
          <w:numId w:val="4"/>
        </w:numPr>
        <w:spacing w:after="0" w:line="480" w:lineRule="auto"/>
        <w:jc w:val="both"/>
        <w:rPr>
          <w:rFonts w:ascii="Times New Roman" w:hAnsi="Times New Roman" w:cs="Times New Roman"/>
          <w:sz w:val="24"/>
          <w:szCs w:val="24"/>
        </w:rPr>
      </w:pPr>
      <w:r w:rsidRPr="00434D69">
        <w:rPr>
          <w:rFonts w:ascii="Times New Roman" w:hAnsi="Times New Roman" w:cs="Times New Roman"/>
          <w:i/>
          <w:sz w:val="24"/>
          <w:szCs w:val="24"/>
        </w:rPr>
        <w:t>A person who restores property to its true owner shall be deemed to be a concurrent wrongdoer with one through whom he originally claimed the property and who was a wrongdoer in respect of it towards the true owner, and</w:t>
      </w:r>
    </w:p>
    <w:p w14:paraId="201C5CF5" w14:textId="77777777" w:rsidR="00415499" w:rsidRPr="00434D69" w:rsidRDefault="00415499" w:rsidP="00415499">
      <w:pPr>
        <w:pStyle w:val="ListParagraph"/>
        <w:spacing w:after="0" w:line="480" w:lineRule="auto"/>
        <w:ind w:left="1800"/>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7B26E7DC" w14:textId="34F00486" w:rsidR="00415499" w:rsidRPr="00434D69" w:rsidRDefault="00415499" w:rsidP="00415499">
      <w:pPr>
        <w:pStyle w:val="ListParagraph"/>
        <w:numPr>
          <w:ilvl w:val="0"/>
          <w:numId w:val="4"/>
        </w:numPr>
        <w:spacing w:after="0" w:line="480" w:lineRule="auto"/>
        <w:jc w:val="both"/>
        <w:rPr>
          <w:rFonts w:ascii="Times New Roman" w:hAnsi="Times New Roman" w:cs="Times New Roman"/>
          <w:sz w:val="24"/>
          <w:szCs w:val="24"/>
        </w:rPr>
      </w:pPr>
      <w:r w:rsidRPr="00434D69">
        <w:rPr>
          <w:rFonts w:ascii="Times New Roman" w:hAnsi="Times New Roman" w:cs="Times New Roman"/>
          <w:i/>
          <w:sz w:val="24"/>
          <w:szCs w:val="24"/>
        </w:rPr>
        <w:t>Such restoration of property shall, as against such wrongdoer, be deemed to be a payment of damages to the extent of the value of the property</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w:t>
      </w:r>
    </w:p>
    <w:p w14:paraId="1E99E05B" w14:textId="77777777" w:rsidR="00415499" w:rsidRPr="00434D69" w:rsidRDefault="00415499" w:rsidP="00415499">
      <w:pPr>
        <w:pStyle w:val="ListParagraph"/>
        <w:spacing w:after="0" w:line="480" w:lineRule="auto"/>
        <w:jc w:val="both"/>
        <w:rPr>
          <w:rFonts w:ascii="Times New Roman" w:hAnsi="Times New Roman" w:cs="Times New Roman"/>
          <w:sz w:val="24"/>
          <w:szCs w:val="24"/>
        </w:rPr>
      </w:pPr>
    </w:p>
    <w:p w14:paraId="1040B93C" w14:textId="0F35B5FD" w:rsidR="00415499" w:rsidRDefault="00415499" w:rsidP="003C658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On the logic of the </w:t>
      </w:r>
      <w:r w:rsidR="00580985">
        <w:rPr>
          <w:rFonts w:ascii="Times New Roman" w:hAnsi="Times New Roman" w:cs="Times New Roman"/>
          <w:sz w:val="24"/>
          <w:szCs w:val="24"/>
        </w:rPr>
        <w:t>D</w:t>
      </w:r>
      <w:r>
        <w:rPr>
          <w:rFonts w:ascii="Times New Roman" w:hAnsi="Times New Roman" w:cs="Times New Roman"/>
          <w:sz w:val="24"/>
          <w:szCs w:val="24"/>
        </w:rPr>
        <w:t>efendants here, this</w:t>
      </w:r>
      <w:r w:rsidR="00580985">
        <w:rPr>
          <w:rFonts w:ascii="Times New Roman" w:hAnsi="Times New Roman" w:cs="Times New Roman"/>
          <w:sz w:val="24"/>
          <w:szCs w:val="24"/>
        </w:rPr>
        <w:t xml:space="preserve"> provision</w:t>
      </w:r>
      <w:r>
        <w:rPr>
          <w:rFonts w:ascii="Times New Roman" w:hAnsi="Times New Roman" w:cs="Times New Roman"/>
          <w:sz w:val="24"/>
          <w:szCs w:val="24"/>
        </w:rPr>
        <w:t xml:space="preserve"> was entirely unnecessary.  The person holding the chattel without title who is a wrongdoer and the person who sold it to him are joint tortfeasors and therefore concurrent wrongdoers because they were responsible for the same damage reflected in the value to the plaintiff of the asset.  </w:t>
      </w:r>
      <w:r w:rsidR="00A465A1">
        <w:rPr>
          <w:rFonts w:ascii="Times New Roman" w:hAnsi="Times New Roman" w:cs="Times New Roman"/>
          <w:sz w:val="24"/>
          <w:szCs w:val="24"/>
        </w:rPr>
        <w:t>Both committed a ‘</w:t>
      </w:r>
      <w:r w:rsidR="00A465A1">
        <w:rPr>
          <w:rFonts w:ascii="Times New Roman" w:hAnsi="Times New Roman" w:cs="Times New Roman"/>
          <w:i/>
          <w:sz w:val="24"/>
          <w:szCs w:val="24"/>
        </w:rPr>
        <w:t>wrong</w:t>
      </w:r>
      <w:r w:rsidR="00B67C7D">
        <w:rPr>
          <w:rFonts w:ascii="Times New Roman" w:hAnsi="Times New Roman" w:cs="Times New Roman"/>
          <w:i/>
          <w:sz w:val="24"/>
          <w:szCs w:val="24"/>
        </w:rPr>
        <w:t>’</w:t>
      </w:r>
      <w:r w:rsidR="00A465A1">
        <w:rPr>
          <w:rFonts w:ascii="Times New Roman" w:hAnsi="Times New Roman" w:cs="Times New Roman"/>
          <w:i/>
          <w:sz w:val="24"/>
          <w:szCs w:val="24"/>
        </w:rPr>
        <w:t xml:space="preserve"> </w:t>
      </w:r>
      <w:r w:rsidR="00A465A1">
        <w:rPr>
          <w:rFonts w:ascii="Times New Roman" w:hAnsi="Times New Roman" w:cs="Times New Roman"/>
          <w:sz w:val="24"/>
          <w:szCs w:val="24"/>
        </w:rPr>
        <w:t>and both have caused ‘</w:t>
      </w:r>
      <w:r w:rsidR="00A465A1">
        <w:rPr>
          <w:rFonts w:ascii="Times New Roman" w:hAnsi="Times New Roman" w:cs="Times New Roman"/>
          <w:i/>
          <w:sz w:val="24"/>
          <w:szCs w:val="24"/>
        </w:rPr>
        <w:t>damage</w:t>
      </w:r>
      <w:r w:rsidR="00B67C7D">
        <w:rPr>
          <w:rFonts w:ascii="Times New Roman" w:hAnsi="Times New Roman" w:cs="Times New Roman"/>
          <w:i/>
          <w:sz w:val="24"/>
          <w:szCs w:val="24"/>
        </w:rPr>
        <w:t>’</w:t>
      </w:r>
      <w:r w:rsidR="00A465A1">
        <w:rPr>
          <w:rFonts w:ascii="Times New Roman" w:hAnsi="Times New Roman" w:cs="Times New Roman"/>
          <w:i/>
          <w:sz w:val="24"/>
          <w:szCs w:val="24"/>
        </w:rPr>
        <w:t xml:space="preserve">.  </w:t>
      </w:r>
      <w:r>
        <w:rPr>
          <w:rFonts w:ascii="Times New Roman" w:hAnsi="Times New Roman" w:cs="Times New Roman"/>
          <w:sz w:val="24"/>
          <w:szCs w:val="24"/>
        </w:rPr>
        <w:t>There was no need to ‘</w:t>
      </w:r>
      <w:r>
        <w:rPr>
          <w:rFonts w:ascii="Times New Roman" w:hAnsi="Times New Roman" w:cs="Times New Roman"/>
          <w:i/>
          <w:sz w:val="24"/>
          <w:szCs w:val="24"/>
        </w:rPr>
        <w:t>deem</w:t>
      </w:r>
      <w:r w:rsidR="00B67C7D">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them to be such, and no need to deem the restoration of the asset as a payment of damages given that payment of ‘</w:t>
      </w:r>
      <w:r>
        <w:rPr>
          <w:rFonts w:ascii="Times New Roman" w:hAnsi="Times New Roman" w:cs="Times New Roman"/>
          <w:i/>
          <w:sz w:val="24"/>
          <w:szCs w:val="24"/>
        </w:rPr>
        <w:t>damages</w:t>
      </w:r>
      <w:r w:rsidR="00B67C7D">
        <w:rPr>
          <w:rFonts w:ascii="Times New Roman" w:hAnsi="Times New Roman" w:cs="Times New Roman"/>
          <w:i/>
          <w:sz w:val="24"/>
          <w:szCs w:val="24"/>
        </w:rPr>
        <w:t>’</w:t>
      </w:r>
      <w:r>
        <w:rPr>
          <w:rFonts w:ascii="Times New Roman" w:hAnsi="Times New Roman" w:cs="Times New Roman"/>
          <w:sz w:val="24"/>
          <w:szCs w:val="24"/>
        </w:rPr>
        <w:t xml:space="preserve"> is not (</w:t>
      </w:r>
      <w:r w:rsidR="00B22B1D">
        <w:rPr>
          <w:rFonts w:ascii="Times New Roman" w:hAnsi="Times New Roman" w:cs="Times New Roman"/>
          <w:sz w:val="24"/>
          <w:szCs w:val="24"/>
        </w:rPr>
        <w:t xml:space="preserve">it necessarily follows from </w:t>
      </w:r>
      <w:r>
        <w:rPr>
          <w:rFonts w:ascii="Times New Roman" w:hAnsi="Times New Roman" w:cs="Times New Roman"/>
          <w:sz w:val="24"/>
          <w:szCs w:val="24"/>
        </w:rPr>
        <w:t>the defendants’ case) the critical indicia of concurrent wrongdoers at all.</w:t>
      </w:r>
    </w:p>
    <w:p w14:paraId="1E0EF2CA" w14:textId="77777777" w:rsidR="00F353BF" w:rsidRDefault="00F353BF" w:rsidP="00F353BF">
      <w:pPr>
        <w:pStyle w:val="ListParagraph"/>
        <w:spacing w:after="0" w:line="480" w:lineRule="auto"/>
        <w:jc w:val="both"/>
        <w:rPr>
          <w:rFonts w:ascii="Times New Roman" w:hAnsi="Times New Roman" w:cs="Times New Roman"/>
          <w:sz w:val="24"/>
          <w:szCs w:val="24"/>
        </w:rPr>
      </w:pPr>
    </w:p>
    <w:p w14:paraId="3E84E781" w14:textId="77777777" w:rsidR="00415499" w:rsidRPr="00F353BF" w:rsidRDefault="00F353BF" w:rsidP="00272396">
      <w:pPr>
        <w:pStyle w:val="Heading2"/>
      </w:pPr>
      <w:r>
        <w:t>Debt and damages</w:t>
      </w:r>
    </w:p>
    <w:p w14:paraId="0BB21B94" w14:textId="77777777" w:rsidR="001010CF" w:rsidRPr="00434D69" w:rsidRDefault="001010CF"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4AD8BCD4" w14:textId="06C4FBDA" w:rsidR="00F353BF" w:rsidRDefault="00F353BF" w:rsidP="003C658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distinction between primary legal obligations and the liability to pay damages only assists the Bank if a claim for debt falls into the former, and not the latter, category.  </w:t>
      </w:r>
      <w:r>
        <w:rPr>
          <w:rFonts w:ascii="Times New Roman" w:hAnsi="Times New Roman" w:cs="Times New Roman"/>
          <w:sz w:val="24"/>
          <w:szCs w:val="24"/>
        </w:rPr>
        <w:lastRenderedPageBreak/>
        <w:t xml:space="preserve">Superficially a claim for </w:t>
      </w:r>
      <w:r w:rsidR="00580985">
        <w:rPr>
          <w:rFonts w:ascii="Times New Roman" w:hAnsi="Times New Roman" w:cs="Times New Roman"/>
          <w:sz w:val="24"/>
          <w:szCs w:val="24"/>
        </w:rPr>
        <w:t xml:space="preserve">payment of </w:t>
      </w:r>
      <w:r>
        <w:rPr>
          <w:rFonts w:ascii="Times New Roman" w:hAnsi="Times New Roman" w:cs="Times New Roman"/>
          <w:sz w:val="24"/>
          <w:szCs w:val="24"/>
        </w:rPr>
        <w:t xml:space="preserve">debt looks more like a claim for damages than it does an order for the delivery of a chattel.  Money is fungible and a claim for damages and a claim for debt </w:t>
      </w:r>
      <w:r w:rsidR="00580985">
        <w:rPr>
          <w:rFonts w:ascii="Times New Roman" w:hAnsi="Times New Roman" w:cs="Times New Roman"/>
          <w:sz w:val="24"/>
          <w:szCs w:val="24"/>
        </w:rPr>
        <w:t>will</w:t>
      </w:r>
      <w:r>
        <w:rPr>
          <w:rFonts w:ascii="Times New Roman" w:hAnsi="Times New Roman" w:cs="Times New Roman"/>
          <w:sz w:val="24"/>
          <w:szCs w:val="24"/>
        </w:rPr>
        <w:t xml:space="preserve">, if successful, </w:t>
      </w:r>
      <w:r w:rsidR="00580985">
        <w:rPr>
          <w:rFonts w:ascii="Times New Roman" w:hAnsi="Times New Roman" w:cs="Times New Roman"/>
          <w:sz w:val="24"/>
          <w:szCs w:val="24"/>
        </w:rPr>
        <w:t xml:space="preserve">each </w:t>
      </w:r>
      <w:r>
        <w:rPr>
          <w:rFonts w:ascii="Times New Roman" w:hAnsi="Times New Roman" w:cs="Times New Roman"/>
          <w:sz w:val="24"/>
          <w:szCs w:val="24"/>
        </w:rPr>
        <w:t>result in orders for the payment of monies.  Unlike a chattel, the debt can be split and shared.  It is that similarity, it appears to us, that has caused confusion in the legal analysis of this issue.</w:t>
      </w:r>
    </w:p>
    <w:p w14:paraId="77D0F677" w14:textId="77777777" w:rsidR="00F353BF" w:rsidRDefault="00F353BF" w:rsidP="00F353BF">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68C3130" w14:textId="23900284" w:rsidR="007C6944" w:rsidRPr="00A711B9" w:rsidRDefault="00F353BF" w:rsidP="00A711B9">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580985">
        <w:rPr>
          <w:rFonts w:ascii="Times New Roman" w:hAnsi="Times New Roman" w:cs="Times New Roman"/>
          <w:sz w:val="24"/>
          <w:szCs w:val="24"/>
        </w:rPr>
        <w:t>our view</w:t>
      </w:r>
      <w:r>
        <w:rPr>
          <w:rFonts w:ascii="Times New Roman" w:hAnsi="Times New Roman" w:cs="Times New Roman"/>
          <w:sz w:val="24"/>
          <w:szCs w:val="24"/>
        </w:rPr>
        <w:t>, a</w:t>
      </w:r>
      <w:r w:rsidR="007C6944" w:rsidRPr="00434D69">
        <w:rPr>
          <w:rFonts w:ascii="Times New Roman" w:hAnsi="Times New Roman" w:cs="Times New Roman"/>
          <w:sz w:val="24"/>
          <w:szCs w:val="24"/>
        </w:rPr>
        <w:t xml:space="preserve"> claim for debt </w:t>
      </w:r>
      <w:r>
        <w:rPr>
          <w:rFonts w:ascii="Times New Roman" w:hAnsi="Times New Roman" w:cs="Times New Roman"/>
          <w:sz w:val="24"/>
          <w:szCs w:val="24"/>
        </w:rPr>
        <w:t xml:space="preserve">clearly </w:t>
      </w:r>
      <w:r w:rsidR="007C6944" w:rsidRPr="00434D69">
        <w:rPr>
          <w:rFonts w:ascii="Times New Roman" w:hAnsi="Times New Roman" w:cs="Times New Roman"/>
          <w:sz w:val="24"/>
          <w:szCs w:val="24"/>
        </w:rPr>
        <w:t xml:space="preserve">falls into the first of these categories.  </w:t>
      </w:r>
      <w:r w:rsidR="00FF5B6A" w:rsidRPr="00434D69">
        <w:rPr>
          <w:rFonts w:ascii="Times New Roman" w:hAnsi="Times New Roman" w:cs="Times New Roman"/>
          <w:sz w:val="24"/>
          <w:szCs w:val="24"/>
        </w:rPr>
        <w:t>A debt is a definite sum of money fixed by the agreement of the parties as payable by one party in return for the performance of a specified obligation</w:t>
      </w:r>
      <w:r w:rsidR="00AC79FC" w:rsidRPr="00434D69">
        <w:rPr>
          <w:rFonts w:ascii="Times New Roman" w:hAnsi="Times New Roman" w:cs="Times New Roman"/>
          <w:sz w:val="24"/>
          <w:szCs w:val="24"/>
        </w:rPr>
        <w:t xml:space="preserve"> by the other party or upon the occurrence of some specified event or condition (</w:t>
      </w:r>
      <w:r w:rsidR="00AC79FC" w:rsidRPr="005D0736">
        <w:rPr>
          <w:rFonts w:ascii="Times New Roman" w:hAnsi="Times New Roman" w:cs="Times New Roman"/>
          <w:i/>
          <w:iCs/>
          <w:sz w:val="24"/>
          <w:szCs w:val="24"/>
        </w:rPr>
        <w:t>Chitty</w:t>
      </w:r>
      <w:r w:rsidR="00AC79FC" w:rsidRPr="00434D69">
        <w:rPr>
          <w:rFonts w:ascii="Times New Roman" w:hAnsi="Times New Roman" w:cs="Times New Roman"/>
          <w:sz w:val="24"/>
          <w:szCs w:val="24"/>
        </w:rPr>
        <w:t xml:space="preserve"> </w:t>
      </w:r>
      <w:r w:rsidR="00AC79FC" w:rsidRPr="00434D69">
        <w:rPr>
          <w:rFonts w:ascii="Times New Roman" w:hAnsi="Times New Roman" w:cs="Times New Roman"/>
          <w:i/>
          <w:sz w:val="24"/>
          <w:szCs w:val="24"/>
        </w:rPr>
        <w:t xml:space="preserve">On Contracts </w:t>
      </w:r>
      <w:r w:rsidR="0036248A" w:rsidRPr="0036248A">
        <w:rPr>
          <w:rFonts w:ascii="Times New Roman" w:hAnsi="Times New Roman" w:cs="Times New Roman"/>
          <w:sz w:val="24"/>
          <w:szCs w:val="24"/>
        </w:rPr>
        <w:t>(</w:t>
      </w:r>
      <w:r w:rsidR="00AC79FC" w:rsidRPr="00434D69">
        <w:rPr>
          <w:rFonts w:ascii="Times New Roman" w:hAnsi="Times New Roman" w:cs="Times New Roman"/>
          <w:sz w:val="24"/>
          <w:szCs w:val="24"/>
        </w:rPr>
        <w:t>32</w:t>
      </w:r>
      <w:r w:rsidR="00AC79FC" w:rsidRPr="00434D69">
        <w:rPr>
          <w:rFonts w:ascii="Times New Roman" w:hAnsi="Times New Roman" w:cs="Times New Roman"/>
          <w:sz w:val="24"/>
          <w:szCs w:val="24"/>
          <w:vertAlign w:val="superscript"/>
        </w:rPr>
        <w:t>nd</w:t>
      </w:r>
      <w:r w:rsidR="00AC79FC" w:rsidRPr="00434D69">
        <w:rPr>
          <w:rFonts w:ascii="Times New Roman" w:hAnsi="Times New Roman" w:cs="Times New Roman"/>
          <w:sz w:val="24"/>
          <w:szCs w:val="24"/>
        </w:rPr>
        <w:t xml:space="preserve"> </w:t>
      </w:r>
      <w:r w:rsidR="0036248A">
        <w:rPr>
          <w:rFonts w:ascii="Times New Roman" w:hAnsi="Times New Roman" w:cs="Times New Roman"/>
          <w:sz w:val="24"/>
          <w:szCs w:val="24"/>
        </w:rPr>
        <w:t>e</w:t>
      </w:r>
      <w:r w:rsidR="00AC79FC" w:rsidRPr="00434D69">
        <w:rPr>
          <w:rFonts w:ascii="Times New Roman" w:hAnsi="Times New Roman" w:cs="Times New Roman"/>
          <w:sz w:val="24"/>
          <w:szCs w:val="24"/>
        </w:rPr>
        <w:t>d. 2015</w:t>
      </w:r>
      <w:r w:rsidR="0036248A">
        <w:rPr>
          <w:rFonts w:ascii="Times New Roman" w:hAnsi="Times New Roman" w:cs="Times New Roman"/>
          <w:sz w:val="24"/>
          <w:szCs w:val="24"/>
        </w:rPr>
        <w:t>) (“</w:t>
      </w:r>
      <w:r w:rsidR="0036248A" w:rsidRPr="0036248A">
        <w:rPr>
          <w:rFonts w:ascii="Times New Roman" w:hAnsi="Times New Roman" w:cs="Times New Roman"/>
          <w:i/>
          <w:sz w:val="24"/>
          <w:szCs w:val="24"/>
        </w:rPr>
        <w:t>Chitty</w:t>
      </w:r>
      <w:r w:rsidR="0036248A">
        <w:rPr>
          <w:rFonts w:ascii="Times New Roman" w:hAnsi="Times New Roman" w:cs="Times New Roman"/>
          <w:sz w:val="24"/>
          <w:szCs w:val="24"/>
        </w:rPr>
        <w:t>”)</w:t>
      </w:r>
      <w:r w:rsidR="00A711B9">
        <w:rPr>
          <w:rFonts w:ascii="Times New Roman" w:hAnsi="Times New Roman" w:cs="Times New Roman"/>
          <w:sz w:val="24"/>
          <w:szCs w:val="24"/>
        </w:rPr>
        <w:t xml:space="preserve"> </w:t>
      </w:r>
      <w:r w:rsidR="00AC79FC" w:rsidRPr="00434D69">
        <w:rPr>
          <w:rFonts w:ascii="Times New Roman" w:hAnsi="Times New Roman" w:cs="Times New Roman"/>
          <w:sz w:val="24"/>
          <w:szCs w:val="24"/>
        </w:rPr>
        <w:t xml:space="preserve">at para. 26-008).  </w:t>
      </w:r>
      <w:r w:rsidR="00286B9A" w:rsidRPr="00434D69">
        <w:rPr>
          <w:rFonts w:ascii="Times New Roman" w:hAnsi="Times New Roman" w:cs="Times New Roman"/>
          <w:sz w:val="24"/>
          <w:szCs w:val="24"/>
        </w:rPr>
        <w:t xml:space="preserve">Although in one sense a claim to recover a debt arises because of a breach of contract, it is quite different from a claim for damages for breach of that contract.  </w:t>
      </w:r>
      <w:r w:rsidR="00A74EAF" w:rsidRPr="00434D69">
        <w:rPr>
          <w:rFonts w:ascii="Times New Roman" w:hAnsi="Times New Roman" w:cs="Times New Roman"/>
          <w:sz w:val="24"/>
          <w:szCs w:val="24"/>
        </w:rPr>
        <w:t>Instead it is ‘</w:t>
      </w:r>
      <w:r w:rsidR="00A74EAF" w:rsidRPr="00434D69">
        <w:rPr>
          <w:rFonts w:ascii="Times New Roman" w:hAnsi="Times New Roman" w:cs="Times New Roman"/>
          <w:i/>
          <w:sz w:val="24"/>
          <w:szCs w:val="24"/>
        </w:rPr>
        <w:t>a form of specific performance, ensuring that a contract obligation is carried out</w:t>
      </w:r>
      <w:r w:rsidR="00B67C7D">
        <w:rPr>
          <w:rFonts w:ascii="Times New Roman" w:hAnsi="Times New Roman" w:cs="Times New Roman"/>
          <w:i/>
          <w:sz w:val="24"/>
          <w:szCs w:val="24"/>
        </w:rPr>
        <w:t>’</w:t>
      </w:r>
      <w:r w:rsidR="00A74EAF" w:rsidRPr="00434D69">
        <w:rPr>
          <w:rFonts w:ascii="Times New Roman" w:hAnsi="Times New Roman" w:cs="Times New Roman"/>
          <w:i/>
          <w:sz w:val="24"/>
          <w:szCs w:val="24"/>
        </w:rPr>
        <w:t xml:space="preserve"> </w:t>
      </w:r>
      <w:r w:rsidR="00A74EAF" w:rsidRPr="00434D69">
        <w:rPr>
          <w:rFonts w:ascii="Times New Roman" w:hAnsi="Times New Roman" w:cs="Times New Roman"/>
          <w:sz w:val="24"/>
          <w:szCs w:val="24"/>
        </w:rPr>
        <w:t>(</w:t>
      </w:r>
      <w:r w:rsidR="00A74EAF" w:rsidRPr="005D0736">
        <w:rPr>
          <w:rFonts w:ascii="Times New Roman" w:hAnsi="Times New Roman" w:cs="Times New Roman"/>
          <w:i/>
          <w:iCs/>
          <w:sz w:val="24"/>
          <w:szCs w:val="24"/>
        </w:rPr>
        <w:t xml:space="preserve">McGregor </w:t>
      </w:r>
      <w:r w:rsidR="00A74EAF" w:rsidRPr="00434D69">
        <w:rPr>
          <w:rFonts w:ascii="Times New Roman" w:hAnsi="Times New Roman" w:cs="Times New Roman"/>
          <w:i/>
          <w:sz w:val="24"/>
          <w:szCs w:val="24"/>
        </w:rPr>
        <w:t xml:space="preserve">On Damages </w:t>
      </w:r>
      <w:r w:rsidR="0036248A">
        <w:rPr>
          <w:rFonts w:ascii="Times New Roman" w:hAnsi="Times New Roman" w:cs="Times New Roman"/>
          <w:sz w:val="24"/>
          <w:szCs w:val="24"/>
        </w:rPr>
        <w:t>(</w:t>
      </w:r>
      <w:r w:rsidR="00A74EAF" w:rsidRPr="00434D69">
        <w:rPr>
          <w:rFonts w:ascii="Times New Roman" w:hAnsi="Times New Roman" w:cs="Times New Roman"/>
          <w:sz w:val="24"/>
          <w:szCs w:val="24"/>
        </w:rPr>
        <w:t>20</w:t>
      </w:r>
      <w:r w:rsidR="00A74EAF" w:rsidRPr="00434D69">
        <w:rPr>
          <w:rFonts w:ascii="Times New Roman" w:hAnsi="Times New Roman" w:cs="Times New Roman"/>
          <w:sz w:val="24"/>
          <w:szCs w:val="24"/>
          <w:vertAlign w:val="superscript"/>
        </w:rPr>
        <w:t>th</w:t>
      </w:r>
      <w:r w:rsidR="00A74EAF" w:rsidRPr="00434D69">
        <w:rPr>
          <w:rFonts w:ascii="Times New Roman" w:hAnsi="Times New Roman" w:cs="Times New Roman"/>
          <w:sz w:val="24"/>
          <w:szCs w:val="24"/>
        </w:rPr>
        <w:t xml:space="preserve"> </w:t>
      </w:r>
      <w:r w:rsidR="0036248A">
        <w:rPr>
          <w:rFonts w:ascii="Times New Roman" w:hAnsi="Times New Roman" w:cs="Times New Roman"/>
          <w:sz w:val="24"/>
          <w:szCs w:val="24"/>
        </w:rPr>
        <w:t>e</w:t>
      </w:r>
      <w:r w:rsidR="00A74EAF" w:rsidRPr="00434D69">
        <w:rPr>
          <w:rFonts w:ascii="Times New Roman" w:hAnsi="Times New Roman" w:cs="Times New Roman"/>
          <w:sz w:val="24"/>
          <w:szCs w:val="24"/>
        </w:rPr>
        <w:t>d. 2018</w:t>
      </w:r>
      <w:r w:rsidR="0036248A">
        <w:rPr>
          <w:rFonts w:ascii="Times New Roman" w:hAnsi="Times New Roman" w:cs="Times New Roman"/>
          <w:sz w:val="24"/>
          <w:szCs w:val="24"/>
        </w:rPr>
        <w:t>)</w:t>
      </w:r>
      <w:r w:rsidR="00A74EAF" w:rsidRPr="00434D69">
        <w:rPr>
          <w:rFonts w:ascii="Times New Roman" w:hAnsi="Times New Roman" w:cs="Times New Roman"/>
          <w:sz w:val="24"/>
          <w:szCs w:val="24"/>
        </w:rPr>
        <w:t xml:space="preserve"> </w:t>
      </w:r>
      <w:r w:rsidR="00525B95">
        <w:rPr>
          <w:rFonts w:ascii="Times New Roman" w:hAnsi="Times New Roman" w:cs="Times New Roman"/>
          <w:sz w:val="24"/>
          <w:szCs w:val="24"/>
        </w:rPr>
        <w:t xml:space="preserve">at </w:t>
      </w:r>
      <w:r w:rsidR="00A74EAF" w:rsidRPr="00434D69">
        <w:rPr>
          <w:rFonts w:ascii="Times New Roman" w:hAnsi="Times New Roman" w:cs="Times New Roman"/>
          <w:sz w:val="24"/>
          <w:szCs w:val="24"/>
        </w:rPr>
        <w:t>paras. 1-004</w:t>
      </w:r>
      <w:r w:rsidR="00525B95">
        <w:rPr>
          <w:rFonts w:ascii="Times New Roman" w:hAnsi="Times New Roman" w:cs="Times New Roman"/>
          <w:sz w:val="24"/>
          <w:szCs w:val="24"/>
        </w:rPr>
        <w:t xml:space="preserve"> to </w:t>
      </w:r>
      <w:r w:rsidR="00A74EAF" w:rsidRPr="00434D69">
        <w:rPr>
          <w:rFonts w:ascii="Times New Roman" w:hAnsi="Times New Roman" w:cs="Times New Roman"/>
          <w:sz w:val="24"/>
          <w:szCs w:val="24"/>
        </w:rPr>
        <w:t xml:space="preserve">1-005). </w:t>
      </w:r>
      <w:r w:rsidR="00286B9A" w:rsidRPr="00434D69">
        <w:rPr>
          <w:rFonts w:ascii="Times New Roman" w:hAnsi="Times New Roman" w:cs="Times New Roman"/>
          <w:sz w:val="24"/>
          <w:szCs w:val="24"/>
        </w:rPr>
        <w:t>The rules generally governing a claim for damages do not apply to a claim for payment of a debt: the plaintiff seeking the latter remedy does not need to prove anything more than his performance of the relevant obligation or the occurrence of the event on condition which triggers the obligation of repayment.  He does not have to prove loss, the concept of remoteness of damage is irrelevant</w:t>
      </w:r>
      <w:r w:rsidR="003A6DA3" w:rsidRPr="00434D69">
        <w:rPr>
          <w:rFonts w:ascii="Times New Roman" w:hAnsi="Times New Roman" w:cs="Times New Roman"/>
          <w:sz w:val="24"/>
          <w:szCs w:val="24"/>
        </w:rPr>
        <w:t xml:space="preserve"> and </w:t>
      </w:r>
      <w:r w:rsidR="00286B9A" w:rsidRPr="00434D69">
        <w:rPr>
          <w:rFonts w:ascii="Times New Roman" w:hAnsi="Times New Roman" w:cs="Times New Roman"/>
          <w:sz w:val="24"/>
          <w:szCs w:val="24"/>
        </w:rPr>
        <w:t>the law governing penalties does not apply to the agreed sum</w:t>
      </w:r>
      <w:r w:rsidR="003A6DA3" w:rsidRPr="00434D69">
        <w:rPr>
          <w:rFonts w:ascii="Times New Roman" w:hAnsi="Times New Roman" w:cs="Times New Roman"/>
          <w:sz w:val="24"/>
          <w:szCs w:val="24"/>
        </w:rPr>
        <w:t xml:space="preserve"> (</w:t>
      </w:r>
      <w:r w:rsidR="00F655CE" w:rsidRPr="00434D69">
        <w:rPr>
          <w:rFonts w:ascii="Times New Roman" w:hAnsi="Times New Roman" w:cs="Times New Roman"/>
          <w:sz w:val="24"/>
          <w:szCs w:val="24"/>
        </w:rPr>
        <w:t xml:space="preserve">as to the latter see </w:t>
      </w:r>
      <w:r w:rsidR="003A6DA3" w:rsidRPr="00434D69">
        <w:rPr>
          <w:rFonts w:ascii="Times New Roman" w:hAnsi="Times New Roman" w:cs="Times New Roman"/>
          <w:i/>
          <w:sz w:val="24"/>
          <w:szCs w:val="24"/>
        </w:rPr>
        <w:t>Pat O</w:t>
      </w:r>
      <w:r w:rsidR="00B67C7D">
        <w:rPr>
          <w:rFonts w:ascii="Times New Roman" w:hAnsi="Times New Roman" w:cs="Times New Roman"/>
          <w:i/>
          <w:sz w:val="24"/>
          <w:szCs w:val="24"/>
        </w:rPr>
        <w:t>’</w:t>
      </w:r>
      <w:r w:rsidR="003A6DA3" w:rsidRPr="00434D69">
        <w:rPr>
          <w:rFonts w:ascii="Times New Roman" w:hAnsi="Times New Roman" w:cs="Times New Roman"/>
          <w:i/>
          <w:sz w:val="24"/>
          <w:szCs w:val="24"/>
        </w:rPr>
        <w:t xml:space="preserve">Donnell and Co. Ltd. v. Truck and Machinery Sales Ltd. </w:t>
      </w:r>
      <w:r w:rsidR="003A6DA3" w:rsidRPr="00434D69">
        <w:rPr>
          <w:rFonts w:ascii="Times New Roman" w:hAnsi="Times New Roman" w:cs="Times New Roman"/>
          <w:sz w:val="24"/>
          <w:szCs w:val="24"/>
        </w:rPr>
        <w:t xml:space="preserve">[1998] 4 IR 191 at </w:t>
      </w:r>
      <w:r w:rsidR="00525B95">
        <w:rPr>
          <w:rFonts w:ascii="Times New Roman" w:hAnsi="Times New Roman" w:cs="Times New Roman"/>
          <w:sz w:val="24"/>
          <w:szCs w:val="24"/>
        </w:rPr>
        <w:t xml:space="preserve">p. </w:t>
      </w:r>
      <w:r w:rsidR="003A6DA3" w:rsidRPr="00434D69">
        <w:rPr>
          <w:rFonts w:ascii="Times New Roman" w:hAnsi="Times New Roman" w:cs="Times New Roman"/>
          <w:sz w:val="24"/>
          <w:szCs w:val="24"/>
        </w:rPr>
        <w:t>217</w:t>
      </w:r>
      <w:r w:rsidR="00525B95">
        <w:rPr>
          <w:rFonts w:ascii="Times New Roman" w:hAnsi="Times New Roman" w:cs="Times New Roman"/>
          <w:sz w:val="24"/>
          <w:szCs w:val="24"/>
        </w:rPr>
        <w:t xml:space="preserve"> to </w:t>
      </w:r>
      <w:r w:rsidR="003A6DA3" w:rsidRPr="00434D69">
        <w:rPr>
          <w:rFonts w:ascii="Times New Roman" w:hAnsi="Times New Roman" w:cs="Times New Roman"/>
          <w:sz w:val="24"/>
          <w:szCs w:val="24"/>
        </w:rPr>
        <w:t>218 per Barron J.).  T</w:t>
      </w:r>
      <w:r w:rsidR="00286B9A" w:rsidRPr="00434D69">
        <w:rPr>
          <w:rFonts w:ascii="Times New Roman" w:hAnsi="Times New Roman" w:cs="Times New Roman"/>
          <w:sz w:val="24"/>
          <w:szCs w:val="24"/>
        </w:rPr>
        <w:t xml:space="preserve">he plaintiff does not have to mitigate </w:t>
      </w:r>
      <w:r w:rsidR="00221C14">
        <w:rPr>
          <w:rFonts w:ascii="Times New Roman" w:hAnsi="Times New Roman" w:cs="Times New Roman"/>
          <w:sz w:val="24"/>
          <w:szCs w:val="24"/>
        </w:rPr>
        <w:t>it</w:t>
      </w:r>
      <w:r w:rsidR="00286B9A" w:rsidRPr="00434D69">
        <w:rPr>
          <w:rFonts w:ascii="Times New Roman" w:hAnsi="Times New Roman" w:cs="Times New Roman"/>
          <w:sz w:val="24"/>
          <w:szCs w:val="24"/>
        </w:rPr>
        <w:t xml:space="preserve">s loss and </w:t>
      </w:r>
      <w:r w:rsidR="00221C14">
        <w:rPr>
          <w:rFonts w:ascii="Times New Roman" w:hAnsi="Times New Roman" w:cs="Times New Roman"/>
          <w:sz w:val="24"/>
          <w:szCs w:val="24"/>
        </w:rPr>
        <w:t>it</w:t>
      </w:r>
      <w:r w:rsidR="00286B9A" w:rsidRPr="00434D69">
        <w:rPr>
          <w:rFonts w:ascii="Times New Roman" w:hAnsi="Times New Roman" w:cs="Times New Roman"/>
          <w:sz w:val="24"/>
          <w:szCs w:val="24"/>
        </w:rPr>
        <w:t xml:space="preserve"> is generally able to recover the debt by way of summary judgment (see </w:t>
      </w:r>
      <w:r w:rsidR="00286B9A" w:rsidRPr="0036248A">
        <w:rPr>
          <w:rFonts w:ascii="Times New Roman" w:hAnsi="Times New Roman" w:cs="Times New Roman"/>
          <w:i/>
          <w:sz w:val="24"/>
          <w:szCs w:val="24"/>
        </w:rPr>
        <w:t>Chitty</w:t>
      </w:r>
      <w:r w:rsidR="00286B9A" w:rsidRPr="00A711B9">
        <w:rPr>
          <w:rFonts w:ascii="Times New Roman" w:hAnsi="Times New Roman" w:cs="Times New Roman"/>
          <w:i/>
          <w:sz w:val="24"/>
          <w:szCs w:val="24"/>
        </w:rPr>
        <w:t xml:space="preserve"> </w:t>
      </w:r>
      <w:r w:rsidR="00286B9A" w:rsidRPr="00A711B9">
        <w:rPr>
          <w:rFonts w:ascii="Times New Roman" w:hAnsi="Times New Roman" w:cs="Times New Roman"/>
          <w:sz w:val="24"/>
          <w:szCs w:val="24"/>
        </w:rPr>
        <w:t xml:space="preserve">at para. 26-008).  </w:t>
      </w:r>
      <w:r w:rsidR="001F420F" w:rsidRPr="00A711B9">
        <w:rPr>
          <w:rFonts w:ascii="Times New Roman" w:hAnsi="Times New Roman" w:cs="Times New Roman"/>
          <w:sz w:val="24"/>
          <w:szCs w:val="24"/>
        </w:rPr>
        <w:t>The cause of action is obviously contractual – in that the</w:t>
      </w:r>
      <w:r w:rsidR="0046000C" w:rsidRPr="00A711B9">
        <w:rPr>
          <w:rFonts w:ascii="Times New Roman" w:hAnsi="Times New Roman" w:cs="Times New Roman"/>
          <w:sz w:val="24"/>
          <w:szCs w:val="24"/>
        </w:rPr>
        <w:t xml:space="preserve"> repayment</w:t>
      </w:r>
      <w:r w:rsidR="001F420F" w:rsidRPr="00A711B9">
        <w:rPr>
          <w:rFonts w:ascii="Times New Roman" w:hAnsi="Times New Roman" w:cs="Times New Roman"/>
          <w:sz w:val="24"/>
          <w:szCs w:val="24"/>
        </w:rPr>
        <w:t xml:space="preserve"> obligation derives from a</w:t>
      </w:r>
      <w:r w:rsidR="000D5240" w:rsidRPr="00A711B9">
        <w:rPr>
          <w:rFonts w:ascii="Times New Roman" w:hAnsi="Times New Roman" w:cs="Times New Roman"/>
          <w:sz w:val="24"/>
          <w:szCs w:val="24"/>
        </w:rPr>
        <w:t xml:space="preserve"> legally binding</w:t>
      </w:r>
      <w:r w:rsidR="001F420F" w:rsidRPr="00A711B9">
        <w:rPr>
          <w:rFonts w:ascii="Times New Roman" w:hAnsi="Times New Roman" w:cs="Times New Roman"/>
          <w:sz w:val="24"/>
          <w:szCs w:val="24"/>
        </w:rPr>
        <w:t xml:space="preserve"> </w:t>
      </w:r>
      <w:r w:rsidR="001F420F" w:rsidRPr="00A711B9">
        <w:rPr>
          <w:rFonts w:ascii="Times New Roman" w:hAnsi="Times New Roman" w:cs="Times New Roman"/>
          <w:sz w:val="24"/>
          <w:szCs w:val="24"/>
        </w:rPr>
        <w:lastRenderedPageBreak/>
        <w:t xml:space="preserve">agreement </w:t>
      </w:r>
      <w:r w:rsidR="000D5240" w:rsidRPr="00A711B9">
        <w:rPr>
          <w:rFonts w:ascii="Times New Roman" w:hAnsi="Times New Roman" w:cs="Times New Roman"/>
          <w:sz w:val="24"/>
          <w:szCs w:val="24"/>
        </w:rPr>
        <w:t>supported by sufficient consideration</w:t>
      </w:r>
      <w:r w:rsidR="00864BA4">
        <w:rPr>
          <w:rFonts w:ascii="Times New Roman" w:hAnsi="Times New Roman" w:cs="Times New Roman"/>
          <w:sz w:val="24"/>
          <w:szCs w:val="24"/>
        </w:rPr>
        <w:t xml:space="preserve"> </w:t>
      </w:r>
      <w:r w:rsidR="001F420F" w:rsidRPr="00A711B9">
        <w:rPr>
          <w:rFonts w:ascii="Times New Roman" w:hAnsi="Times New Roman" w:cs="Times New Roman"/>
          <w:sz w:val="24"/>
          <w:szCs w:val="24"/>
        </w:rPr>
        <w:t xml:space="preserve">– but the remedy is not </w:t>
      </w:r>
      <w:r w:rsidR="00935B42" w:rsidRPr="00A711B9">
        <w:rPr>
          <w:rFonts w:ascii="Times New Roman" w:hAnsi="Times New Roman" w:cs="Times New Roman"/>
          <w:sz w:val="24"/>
          <w:szCs w:val="24"/>
        </w:rPr>
        <w:t xml:space="preserve">the secondary remedy of </w:t>
      </w:r>
      <w:r w:rsidR="001F420F" w:rsidRPr="00A711B9">
        <w:rPr>
          <w:rFonts w:ascii="Times New Roman" w:hAnsi="Times New Roman" w:cs="Times New Roman"/>
          <w:sz w:val="24"/>
          <w:szCs w:val="24"/>
        </w:rPr>
        <w:t xml:space="preserve">damages for breach of contract.  It is, instead, a remedy by way of </w:t>
      </w:r>
      <w:r w:rsidR="009C22F4" w:rsidRPr="00A711B9">
        <w:rPr>
          <w:rFonts w:ascii="Times New Roman" w:hAnsi="Times New Roman" w:cs="Times New Roman"/>
          <w:sz w:val="24"/>
          <w:szCs w:val="24"/>
        </w:rPr>
        <w:t xml:space="preserve">enforcing </w:t>
      </w:r>
      <w:r w:rsidR="001F420F" w:rsidRPr="00A711B9">
        <w:rPr>
          <w:rFonts w:ascii="Times New Roman" w:hAnsi="Times New Roman" w:cs="Times New Roman"/>
          <w:sz w:val="24"/>
          <w:szCs w:val="24"/>
        </w:rPr>
        <w:t xml:space="preserve">compliance with </w:t>
      </w:r>
      <w:r w:rsidR="00221C14" w:rsidRPr="00A711B9">
        <w:rPr>
          <w:rFonts w:ascii="Times New Roman" w:hAnsi="Times New Roman" w:cs="Times New Roman"/>
          <w:sz w:val="24"/>
          <w:szCs w:val="24"/>
        </w:rPr>
        <w:t>a primary obligation in t</w:t>
      </w:r>
      <w:r w:rsidR="001F420F" w:rsidRPr="00A711B9">
        <w:rPr>
          <w:rFonts w:ascii="Times New Roman" w:hAnsi="Times New Roman" w:cs="Times New Roman"/>
          <w:sz w:val="24"/>
          <w:szCs w:val="24"/>
        </w:rPr>
        <w:t>he contract.</w:t>
      </w:r>
    </w:p>
    <w:p w14:paraId="6B47BEF3" w14:textId="77777777" w:rsidR="00F353BF" w:rsidRDefault="00F353BF" w:rsidP="00F353BF">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A75592D" w14:textId="1ADA68C6" w:rsidR="00F353BF" w:rsidRPr="00434D69" w:rsidRDefault="00F353BF"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The distinction between </w:t>
      </w:r>
      <w:r>
        <w:rPr>
          <w:rFonts w:ascii="Times New Roman" w:hAnsi="Times New Roman" w:cs="Times New Roman"/>
          <w:sz w:val="24"/>
          <w:szCs w:val="24"/>
        </w:rPr>
        <w:t xml:space="preserve">a claim for debt and a claim for recovery of damages </w:t>
      </w:r>
      <w:r w:rsidRPr="00434D69">
        <w:rPr>
          <w:rFonts w:ascii="Times New Roman" w:hAnsi="Times New Roman" w:cs="Times New Roman"/>
          <w:sz w:val="24"/>
          <w:szCs w:val="24"/>
        </w:rPr>
        <w:t>was explained</w:t>
      </w:r>
      <w:r w:rsidR="00FF5BA9">
        <w:rPr>
          <w:rFonts w:ascii="Times New Roman" w:hAnsi="Times New Roman" w:cs="Times New Roman"/>
          <w:sz w:val="24"/>
          <w:szCs w:val="24"/>
        </w:rPr>
        <w:t xml:space="preserve"> in precisely these terms</w:t>
      </w:r>
      <w:r w:rsidRPr="00434D69">
        <w:rPr>
          <w:rFonts w:ascii="Times New Roman" w:hAnsi="Times New Roman" w:cs="Times New Roman"/>
          <w:sz w:val="24"/>
          <w:szCs w:val="24"/>
        </w:rPr>
        <w:t xml:space="preserve"> by Millett LJ</w:t>
      </w:r>
      <w:r w:rsidR="00525B95">
        <w:rPr>
          <w:rFonts w:ascii="Times New Roman" w:hAnsi="Times New Roman" w:cs="Times New Roman"/>
          <w:sz w:val="24"/>
          <w:szCs w:val="24"/>
        </w:rPr>
        <w:t>.</w:t>
      </w:r>
      <w:r w:rsidRPr="00434D69">
        <w:rPr>
          <w:rFonts w:ascii="Times New Roman" w:hAnsi="Times New Roman" w:cs="Times New Roman"/>
          <w:sz w:val="24"/>
          <w:szCs w:val="24"/>
        </w:rPr>
        <w:t xml:space="preserve"> in </w:t>
      </w:r>
      <w:r w:rsidRPr="00434D69">
        <w:rPr>
          <w:rFonts w:ascii="Times New Roman" w:hAnsi="Times New Roman" w:cs="Times New Roman"/>
          <w:i/>
          <w:sz w:val="24"/>
          <w:szCs w:val="24"/>
        </w:rPr>
        <w:t xml:space="preserve">Jervis v. Harris </w:t>
      </w:r>
      <w:r w:rsidRPr="00434D69">
        <w:rPr>
          <w:rFonts w:ascii="Times New Roman" w:hAnsi="Times New Roman" w:cs="Times New Roman"/>
          <w:sz w:val="24"/>
          <w:szCs w:val="24"/>
        </w:rPr>
        <w:t xml:space="preserve">[1996] 1 All ER 303, at </w:t>
      </w:r>
      <w:r w:rsidR="00525B95">
        <w:rPr>
          <w:rFonts w:ascii="Times New Roman" w:hAnsi="Times New Roman" w:cs="Times New Roman"/>
          <w:sz w:val="24"/>
          <w:szCs w:val="24"/>
        </w:rPr>
        <w:t xml:space="preserve">p. </w:t>
      </w:r>
      <w:r w:rsidRPr="00434D69">
        <w:rPr>
          <w:rFonts w:ascii="Times New Roman" w:hAnsi="Times New Roman" w:cs="Times New Roman"/>
          <w:sz w:val="24"/>
          <w:szCs w:val="24"/>
        </w:rPr>
        <w:t>307 as follows:</w:t>
      </w:r>
    </w:p>
    <w:p w14:paraId="42EAF893" w14:textId="77777777" w:rsidR="00F353BF" w:rsidRPr="00434D69" w:rsidRDefault="00F353BF" w:rsidP="00F353BF">
      <w:pPr>
        <w:pStyle w:val="ListParagraph"/>
        <w:spacing w:after="0" w:line="480" w:lineRule="auto"/>
        <w:jc w:val="both"/>
        <w:rPr>
          <w:rFonts w:ascii="Times New Roman" w:hAnsi="Times New Roman" w:cs="Times New Roman"/>
          <w:sz w:val="24"/>
          <w:szCs w:val="24"/>
        </w:rPr>
      </w:pPr>
    </w:p>
    <w:p w14:paraId="4B4F0874" w14:textId="66BD5233" w:rsidR="00F353BF" w:rsidRPr="00434D69" w:rsidRDefault="00F353BF" w:rsidP="00F353BF">
      <w:pPr>
        <w:pStyle w:val="ListParagraph"/>
        <w:spacing w:after="0" w:line="480" w:lineRule="auto"/>
        <w:ind w:left="1440"/>
        <w:jc w:val="both"/>
        <w:rPr>
          <w:rFonts w:ascii="Times New Roman" w:hAnsi="Times New Roman" w:cs="Times New Roman"/>
          <w:sz w:val="24"/>
          <w:szCs w:val="24"/>
        </w:rPr>
      </w:pPr>
      <w:r w:rsidRPr="00434D69">
        <w:rPr>
          <w:rFonts w:ascii="Times New Roman" w:hAnsi="Times New Roman" w:cs="Times New Roman"/>
          <w:sz w:val="24"/>
          <w:szCs w:val="24"/>
        </w:rPr>
        <w:t>‘</w:t>
      </w:r>
      <w:r w:rsidRPr="00434D69">
        <w:rPr>
          <w:rFonts w:ascii="Times New Roman" w:hAnsi="Times New Roman" w:cs="Times New Roman"/>
          <w:i/>
          <w:sz w:val="24"/>
          <w:szCs w:val="24"/>
        </w:rPr>
        <w:t>The law of contract draws a clear distinction between a claim for payment of a debt and a claim for damages for breach of contract … a debt is a definite sum of money fixed by the agreement of the parties as payable by one party to the other in return for the performance of a specified obligation by the other party or on the occurrence of some specified event or conditions; whereas damages may be claimed from a party who has broken his primary contractual obligation in some way other than by failure to pay such a debt.</w:t>
      </w:r>
      <w:r w:rsidR="00B67C7D">
        <w:rPr>
          <w:rFonts w:ascii="Times New Roman" w:hAnsi="Times New Roman" w:cs="Times New Roman"/>
          <w:i/>
          <w:sz w:val="24"/>
          <w:szCs w:val="24"/>
        </w:rPr>
        <w:t>’</w:t>
      </w:r>
    </w:p>
    <w:p w14:paraId="320416F1" w14:textId="77777777" w:rsidR="00F353BF" w:rsidRDefault="0013090E" w:rsidP="0013090E">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1F0FC5B" w14:textId="4DBF849C" w:rsidR="0013090E" w:rsidRDefault="0013090E" w:rsidP="003C658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It follows that</w:t>
      </w:r>
      <w:r w:rsidRPr="00434D69">
        <w:rPr>
          <w:rFonts w:ascii="Times New Roman" w:hAnsi="Times New Roman" w:cs="Times New Roman"/>
          <w:sz w:val="24"/>
          <w:szCs w:val="24"/>
        </w:rPr>
        <w:t xml:space="preserve"> </w:t>
      </w:r>
      <w:r w:rsidR="00B67C7D">
        <w:rPr>
          <w:rFonts w:ascii="Times New Roman" w:hAnsi="Times New Roman" w:cs="Times New Roman"/>
          <w:sz w:val="24"/>
          <w:szCs w:val="24"/>
        </w:rPr>
        <w:t xml:space="preserve">a </w:t>
      </w:r>
      <w:r w:rsidRPr="00434D69">
        <w:rPr>
          <w:rFonts w:ascii="Times New Roman" w:hAnsi="Times New Roman" w:cs="Times New Roman"/>
          <w:sz w:val="24"/>
          <w:szCs w:val="24"/>
        </w:rPr>
        <w:t>person who seeks to recover a debt does not have to have suffered any ‘</w:t>
      </w:r>
      <w:r w:rsidRPr="00434D69">
        <w:rPr>
          <w:rFonts w:ascii="Times New Roman" w:hAnsi="Times New Roman" w:cs="Times New Roman"/>
          <w:i/>
          <w:sz w:val="24"/>
          <w:szCs w:val="24"/>
        </w:rPr>
        <w:t>damage</w:t>
      </w:r>
      <w:r w:rsidRPr="008371B1">
        <w:rPr>
          <w:rFonts w:ascii="Times New Roman" w:hAnsi="Times New Roman" w:cs="Times New Roman"/>
          <w:iCs/>
          <w:sz w:val="24"/>
          <w:szCs w:val="24"/>
        </w:rPr>
        <w:t>’</w:t>
      </w:r>
      <w:r w:rsidRPr="00434D69">
        <w:rPr>
          <w:rFonts w:ascii="Times New Roman" w:hAnsi="Times New Roman" w:cs="Times New Roman"/>
          <w:sz w:val="24"/>
          <w:szCs w:val="24"/>
        </w:rPr>
        <w:t xml:space="preserve"> and, as </w:t>
      </w:r>
      <w:r w:rsidR="00AA2048">
        <w:rPr>
          <w:rFonts w:ascii="Times New Roman" w:hAnsi="Times New Roman" w:cs="Times New Roman"/>
          <w:sz w:val="24"/>
          <w:szCs w:val="24"/>
        </w:rPr>
        <w:t>we</w:t>
      </w:r>
      <w:r w:rsidRPr="00434D69">
        <w:rPr>
          <w:rFonts w:ascii="Times New Roman" w:hAnsi="Times New Roman" w:cs="Times New Roman"/>
          <w:sz w:val="24"/>
          <w:szCs w:val="24"/>
        </w:rPr>
        <w:t xml:space="preserve"> have explained, does not claim ‘</w:t>
      </w:r>
      <w:r w:rsidRPr="00434D69">
        <w:rPr>
          <w:rFonts w:ascii="Times New Roman" w:hAnsi="Times New Roman" w:cs="Times New Roman"/>
          <w:i/>
          <w:sz w:val="24"/>
          <w:szCs w:val="24"/>
        </w:rPr>
        <w:t>damages</w:t>
      </w:r>
      <w:r w:rsidRPr="008371B1">
        <w:rPr>
          <w:rFonts w:ascii="Times New Roman" w:hAnsi="Times New Roman" w:cs="Times New Roman"/>
          <w:iCs/>
          <w:sz w:val="24"/>
          <w:szCs w:val="24"/>
        </w:rPr>
        <w:t>’</w:t>
      </w:r>
      <w:r w:rsidRPr="00B67C7D">
        <w:rPr>
          <w:rFonts w:ascii="Times New Roman" w:hAnsi="Times New Roman" w:cs="Times New Roman"/>
          <w:iCs/>
          <w:sz w:val="24"/>
          <w:szCs w:val="24"/>
        </w:rPr>
        <w:t xml:space="preserve">.  </w:t>
      </w:r>
      <w:r w:rsidRPr="00434D69">
        <w:rPr>
          <w:rFonts w:ascii="Times New Roman" w:hAnsi="Times New Roman" w:cs="Times New Roman"/>
          <w:sz w:val="24"/>
          <w:szCs w:val="24"/>
        </w:rPr>
        <w:t xml:space="preserve">They are simply enforcing their contractual right.  Although, as Clarke J. stressed in </w:t>
      </w:r>
      <w:r w:rsidRPr="00434D69">
        <w:rPr>
          <w:rFonts w:ascii="Times New Roman" w:hAnsi="Times New Roman" w:cs="Times New Roman"/>
          <w:i/>
          <w:sz w:val="24"/>
          <w:szCs w:val="24"/>
        </w:rPr>
        <w:t xml:space="preserve">Moloney v. Liddy </w:t>
      </w:r>
      <w:r w:rsidRPr="00434D69">
        <w:rPr>
          <w:rFonts w:ascii="Times New Roman" w:hAnsi="Times New Roman" w:cs="Times New Roman"/>
          <w:sz w:val="24"/>
          <w:szCs w:val="24"/>
        </w:rPr>
        <w:t xml:space="preserve">(at para. 5.3) differences in wording between the CLA and other similar statutes in other jurisdictions mean that one must exercise caution in applying authorities from those jurisdictions in interpreting the Irish Act, </w:t>
      </w:r>
      <w:r>
        <w:rPr>
          <w:rFonts w:ascii="Times New Roman" w:hAnsi="Times New Roman" w:cs="Times New Roman"/>
          <w:sz w:val="24"/>
          <w:szCs w:val="24"/>
        </w:rPr>
        <w:t>we</w:t>
      </w:r>
      <w:r w:rsidRPr="00434D69">
        <w:rPr>
          <w:rFonts w:ascii="Times New Roman" w:hAnsi="Times New Roman" w:cs="Times New Roman"/>
          <w:sz w:val="24"/>
          <w:szCs w:val="24"/>
        </w:rPr>
        <w:t xml:space="preserve"> think the statement from </w:t>
      </w:r>
      <w:r w:rsidRPr="005D0736">
        <w:rPr>
          <w:rFonts w:ascii="Times New Roman" w:hAnsi="Times New Roman" w:cs="Times New Roman"/>
          <w:i/>
          <w:iCs/>
          <w:sz w:val="24"/>
          <w:szCs w:val="24"/>
        </w:rPr>
        <w:t>Goff and Jones</w:t>
      </w:r>
      <w:r w:rsidR="00525B95">
        <w:rPr>
          <w:rFonts w:ascii="Times New Roman" w:hAnsi="Times New Roman" w:cs="Times New Roman"/>
          <w:i/>
          <w:iCs/>
          <w:sz w:val="24"/>
          <w:szCs w:val="24"/>
        </w:rPr>
        <w:t xml:space="preserve"> on Restitution</w:t>
      </w:r>
      <w:r w:rsidRPr="00434D69">
        <w:rPr>
          <w:rFonts w:ascii="Times New Roman" w:hAnsi="Times New Roman" w:cs="Times New Roman"/>
          <w:sz w:val="24"/>
          <w:szCs w:val="24"/>
        </w:rPr>
        <w:t xml:space="preserve"> (5</w:t>
      </w:r>
      <w:r w:rsidRPr="00434D69">
        <w:rPr>
          <w:rFonts w:ascii="Times New Roman" w:hAnsi="Times New Roman" w:cs="Times New Roman"/>
          <w:sz w:val="24"/>
          <w:szCs w:val="24"/>
          <w:vertAlign w:val="superscript"/>
        </w:rPr>
        <w:t>th</w:t>
      </w:r>
      <w:r w:rsidRPr="00434D69">
        <w:rPr>
          <w:rFonts w:ascii="Times New Roman" w:hAnsi="Times New Roman" w:cs="Times New Roman"/>
          <w:sz w:val="24"/>
          <w:szCs w:val="24"/>
        </w:rPr>
        <w:t xml:space="preserve"> </w:t>
      </w:r>
      <w:r w:rsidR="00AA2048">
        <w:rPr>
          <w:rFonts w:ascii="Times New Roman" w:hAnsi="Times New Roman" w:cs="Times New Roman"/>
          <w:sz w:val="24"/>
          <w:szCs w:val="24"/>
        </w:rPr>
        <w:t>e</w:t>
      </w:r>
      <w:r w:rsidRPr="00434D69">
        <w:rPr>
          <w:rFonts w:ascii="Times New Roman" w:hAnsi="Times New Roman" w:cs="Times New Roman"/>
          <w:sz w:val="24"/>
          <w:szCs w:val="24"/>
        </w:rPr>
        <w:t>d. 1998</w:t>
      </w:r>
      <w:r w:rsidR="00AA2048">
        <w:rPr>
          <w:rFonts w:ascii="Times New Roman" w:hAnsi="Times New Roman" w:cs="Times New Roman"/>
          <w:sz w:val="24"/>
          <w:szCs w:val="24"/>
        </w:rPr>
        <w:t>), at page</w:t>
      </w:r>
      <w:r w:rsidRPr="00434D69">
        <w:rPr>
          <w:rFonts w:ascii="Times New Roman" w:hAnsi="Times New Roman" w:cs="Times New Roman"/>
          <w:sz w:val="24"/>
          <w:szCs w:val="24"/>
        </w:rPr>
        <w:t xml:space="preserve"> 396</w:t>
      </w:r>
      <w:r w:rsidR="00AA2048">
        <w:rPr>
          <w:rFonts w:ascii="Times New Roman" w:hAnsi="Times New Roman" w:cs="Times New Roman"/>
          <w:sz w:val="24"/>
          <w:szCs w:val="24"/>
        </w:rPr>
        <w:t xml:space="preserve">, </w:t>
      </w:r>
      <w:r w:rsidRPr="00434D69">
        <w:rPr>
          <w:rFonts w:ascii="Times New Roman" w:hAnsi="Times New Roman" w:cs="Times New Roman"/>
          <w:sz w:val="24"/>
          <w:szCs w:val="24"/>
        </w:rPr>
        <w:t xml:space="preserve">cited with approval by Lord Steyn in </w:t>
      </w:r>
      <w:r w:rsidRPr="00434D69">
        <w:rPr>
          <w:rFonts w:ascii="Times New Roman" w:hAnsi="Times New Roman" w:cs="Times New Roman"/>
          <w:i/>
          <w:sz w:val="24"/>
          <w:szCs w:val="24"/>
        </w:rPr>
        <w:t>Royal Brompton Hospital v. Hammond</w:t>
      </w:r>
      <w:r w:rsidR="00525B95">
        <w:rPr>
          <w:rFonts w:ascii="Times New Roman" w:hAnsi="Times New Roman" w:cs="Times New Roman"/>
          <w:i/>
          <w:sz w:val="24"/>
          <w:szCs w:val="24"/>
        </w:rPr>
        <w:t xml:space="preserve"> (No. 3)</w:t>
      </w:r>
      <w:r w:rsidRPr="00434D69">
        <w:rPr>
          <w:rFonts w:ascii="Times New Roman" w:hAnsi="Times New Roman" w:cs="Times New Roman"/>
          <w:i/>
          <w:sz w:val="24"/>
          <w:szCs w:val="24"/>
        </w:rPr>
        <w:t xml:space="preserve"> </w:t>
      </w:r>
      <w:r w:rsidRPr="00434D69">
        <w:rPr>
          <w:rFonts w:ascii="Times New Roman" w:hAnsi="Times New Roman" w:cs="Times New Roman"/>
          <w:sz w:val="24"/>
          <w:szCs w:val="24"/>
        </w:rPr>
        <w:t xml:space="preserve">[2002] 2 All ER 801 at para. 33 must be </w:t>
      </w:r>
      <w:r>
        <w:rPr>
          <w:rFonts w:ascii="Times New Roman" w:hAnsi="Times New Roman" w:cs="Times New Roman"/>
          <w:sz w:val="24"/>
          <w:szCs w:val="24"/>
        </w:rPr>
        <w:t xml:space="preserve">both </w:t>
      </w:r>
      <w:r w:rsidRPr="00434D69">
        <w:rPr>
          <w:rFonts w:ascii="Times New Roman" w:hAnsi="Times New Roman" w:cs="Times New Roman"/>
          <w:sz w:val="24"/>
          <w:szCs w:val="24"/>
        </w:rPr>
        <w:lastRenderedPageBreak/>
        <w:t>correct</w:t>
      </w:r>
      <w:r>
        <w:rPr>
          <w:rFonts w:ascii="Times New Roman" w:hAnsi="Times New Roman" w:cs="Times New Roman"/>
          <w:sz w:val="24"/>
          <w:szCs w:val="24"/>
        </w:rPr>
        <w:t xml:space="preserve"> and applicable to the Irish legislation</w:t>
      </w:r>
      <w:r w:rsidRPr="00434D69">
        <w:rPr>
          <w:rFonts w:ascii="Times New Roman" w:hAnsi="Times New Roman" w:cs="Times New Roman"/>
          <w:sz w:val="24"/>
          <w:szCs w:val="24"/>
        </w:rPr>
        <w:t>: a restitutionary claim is not one for ‘</w:t>
      </w:r>
      <w:r w:rsidRPr="00434D69">
        <w:rPr>
          <w:rFonts w:ascii="Times New Roman" w:hAnsi="Times New Roman" w:cs="Times New Roman"/>
          <w:i/>
          <w:sz w:val="24"/>
          <w:szCs w:val="24"/>
        </w:rPr>
        <w:t>damage suffered</w:t>
      </w:r>
      <w:r w:rsidR="00B67C7D">
        <w:rPr>
          <w:rFonts w:ascii="Times New Roman" w:hAnsi="Times New Roman" w:cs="Times New Roman"/>
          <w:i/>
          <w:sz w:val="24"/>
          <w:szCs w:val="24"/>
        </w:rPr>
        <w:t>’</w:t>
      </w:r>
      <w:r>
        <w:rPr>
          <w:rFonts w:ascii="Times New Roman" w:hAnsi="Times New Roman" w:cs="Times New Roman"/>
          <w:sz w:val="24"/>
          <w:szCs w:val="24"/>
        </w:rPr>
        <w:t xml:space="preserve">, </w:t>
      </w:r>
      <w:r w:rsidRPr="00434D69">
        <w:rPr>
          <w:rFonts w:ascii="Times New Roman" w:hAnsi="Times New Roman" w:cs="Times New Roman"/>
          <w:sz w:val="24"/>
          <w:szCs w:val="24"/>
        </w:rPr>
        <w:t>the suggestion that it is ‘</w:t>
      </w:r>
      <w:r w:rsidRPr="00434D69">
        <w:rPr>
          <w:rFonts w:ascii="Times New Roman" w:hAnsi="Times New Roman" w:cs="Times New Roman"/>
          <w:i/>
          <w:sz w:val="24"/>
          <w:szCs w:val="24"/>
        </w:rPr>
        <w:t>cannot be justified in principle</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and this, </w:t>
      </w:r>
      <w:r w:rsidRPr="00434D69">
        <w:rPr>
          <w:rFonts w:ascii="Times New Roman" w:hAnsi="Times New Roman" w:cs="Times New Roman"/>
          <w:i/>
          <w:sz w:val="24"/>
          <w:szCs w:val="24"/>
        </w:rPr>
        <w:t xml:space="preserve">a fortiori </w:t>
      </w:r>
      <w:r w:rsidRPr="00434D69">
        <w:rPr>
          <w:rFonts w:ascii="Times New Roman" w:hAnsi="Times New Roman" w:cs="Times New Roman"/>
          <w:sz w:val="24"/>
          <w:szCs w:val="24"/>
        </w:rPr>
        <w:t>must be the case in an action for debt which is quite distinct from an action ‘</w:t>
      </w:r>
      <w:r w:rsidRPr="00434D69">
        <w:rPr>
          <w:rFonts w:ascii="Times New Roman" w:hAnsi="Times New Roman" w:cs="Times New Roman"/>
          <w:i/>
          <w:sz w:val="24"/>
          <w:szCs w:val="24"/>
        </w:rPr>
        <w:t>for damage</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(see Goff and Jones </w:t>
      </w:r>
      <w:r w:rsidRPr="00434D69">
        <w:rPr>
          <w:rFonts w:ascii="Times New Roman" w:hAnsi="Times New Roman" w:cs="Times New Roman"/>
          <w:i/>
          <w:sz w:val="24"/>
          <w:szCs w:val="24"/>
        </w:rPr>
        <w:t>op cit</w:t>
      </w:r>
      <w:r w:rsidRPr="00434D69">
        <w:rPr>
          <w:rFonts w:ascii="Times New Roman" w:hAnsi="Times New Roman" w:cs="Times New Roman"/>
          <w:sz w:val="24"/>
          <w:szCs w:val="24"/>
        </w:rPr>
        <w:t xml:space="preserve"> p.</w:t>
      </w:r>
      <w:r w:rsidR="00525B95">
        <w:rPr>
          <w:rFonts w:ascii="Times New Roman" w:hAnsi="Times New Roman" w:cs="Times New Roman"/>
          <w:sz w:val="24"/>
          <w:szCs w:val="24"/>
        </w:rPr>
        <w:t xml:space="preserve"> </w:t>
      </w:r>
      <w:r w:rsidRPr="00434D69">
        <w:rPr>
          <w:rFonts w:ascii="Times New Roman" w:hAnsi="Times New Roman" w:cs="Times New Roman"/>
          <w:sz w:val="24"/>
          <w:szCs w:val="24"/>
        </w:rPr>
        <w:t>396</w:t>
      </w:r>
      <w:r w:rsidR="00525B95">
        <w:rPr>
          <w:rFonts w:ascii="Times New Roman" w:hAnsi="Times New Roman" w:cs="Times New Roman"/>
          <w:sz w:val="24"/>
          <w:szCs w:val="24"/>
        </w:rPr>
        <w:t xml:space="preserve"> to </w:t>
      </w:r>
      <w:r w:rsidRPr="00434D69">
        <w:rPr>
          <w:rFonts w:ascii="Times New Roman" w:hAnsi="Times New Roman" w:cs="Times New Roman"/>
          <w:sz w:val="24"/>
          <w:szCs w:val="24"/>
        </w:rPr>
        <w:t>397 at fn 14).</w:t>
      </w:r>
      <w:r>
        <w:rPr>
          <w:rFonts w:ascii="Times New Roman" w:hAnsi="Times New Roman" w:cs="Times New Roman"/>
          <w:sz w:val="24"/>
          <w:szCs w:val="24"/>
        </w:rPr>
        <w:t xml:space="preserve">  It is, functionally and in principle, equivalent to a claim for an order requiring a defendant to discharge any primary obligation owed by it to the plaintiff.</w:t>
      </w:r>
    </w:p>
    <w:p w14:paraId="750E22F8" w14:textId="77777777" w:rsidR="0013090E" w:rsidRDefault="0013090E" w:rsidP="0013090E">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A608439" w14:textId="18A42172" w:rsidR="00221C14" w:rsidRPr="0013090E" w:rsidRDefault="003751A6" w:rsidP="003C6587">
      <w:pPr>
        <w:pStyle w:val="ListParagraph"/>
        <w:numPr>
          <w:ilvl w:val="0"/>
          <w:numId w:val="1"/>
        </w:numPr>
        <w:spacing w:after="0" w:line="480" w:lineRule="auto"/>
        <w:jc w:val="both"/>
        <w:rPr>
          <w:rFonts w:ascii="Times New Roman" w:hAnsi="Times New Roman" w:cs="Times New Roman"/>
          <w:sz w:val="24"/>
          <w:szCs w:val="24"/>
        </w:rPr>
      </w:pPr>
      <w:r w:rsidRPr="0013090E">
        <w:rPr>
          <w:rFonts w:ascii="Times New Roman" w:hAnsi="Times New Roman" w:cs="Times New Roman"/>
          <w:sz w:val="24"/>
          <w:szCs w:val="24"/>
        </w:rPr>
        <w:t xml:space="preserve">For this reason, the proposition that a plaintiff seeking to enforce a debt stands to have its claim </w:t>
      </w:r>
      <w:r w:rsidRPr="0013090E">
        <w:rPr>
          <w:rFonts w:ascii="Times New Roman" w:hAnsi="Times New Roman" w:cs="Times New Roman"/>
          <w:i/>
          <w:sz w:val="24"/>
          <w:szCs w:val="24"/>
        </w:rPr>
        <w:t>reduced</w:t>
      </w:r>
      <w:r w:rsidRPr="0013090E">
        <w:rPr>
          <w:rFonts w:ascii="Times New Roman" w:hAnsi="Times New Roman" w:cs="Times New Roman"/>
          <w:sz w:val="24"/>
          <w:szCs w:val="24"/>
        </w:rPr>
        <w:t xml:space="preserve"> because it also has a claim in damages against another party which is in some way related to that debt, makes little sense.  If </w:t>
      </w:r>
      <w:r w:rsidR="00AA2048">
        <w:rPr>
          <w:rFonts w:ascii="Times New Roman" w:hAnsi="Times New Roman" w:cs="Times New Roman"/>
          <w:sz w:val="24"/>
          <w:szCs w:val="24"/>
        </w:rPr>
        <w:t>correct</w:t>
      </w:r>
      <w:r w:rsidRPr="0013090E">
        <w:rPr>
          <w:rFonts w:ascii="Times New Roman" w:hAnsi="Times New Roman" w:cs="Times New Roman"/>
          <w:sz w:val="24"/>
          <w:szCs w:val="24"/>
        </w:rPr>
        <w:t>, it would mean that the defendant</w:t>
      </w:r>
      <w:r w:rsidR="00221C14" w:rsidRPr="0013090E">
        <w:rPr>
          <w:rFonts w:ascii="Times New Roman" w:hAnsi="Times New Roman" w:cs="Times New Roman"/>
          <w:sz w:val="24"/>
          <w:szCs w:val="24"/>
        </w:rPr>
        <w:t xml:space="preserve">’s </w:t>
      </w:r>
      <w:r w:rsidRPr="0013090E">
        <w:rPr>
          <w:rFonts w:ascii="Times New Roman" w:hAnsi="Times New Roman" w:cs="Times New Roman"/>
          <w:sz w:val="24"/>
          <w:szCs w:val="24"/>
        </w:rPr>
        <w:t xml:space="preserve">liability to comply in full with a primary legal obligation is avoided or diminished because of the happenstance that another party has committed </w:t>
      </w:r>
      <w:r w:rsidR="00AA2048">
        <w:rPr>
          <w:rFonts w:ascii="Times New Roman" w:hAnsi="Times New Roman" w:cs="Times New Roman"/>
          <w:sz w:val="24"/>
          <w:szCs w:val="24"/>
        </w:rPr>
        <w:t xml:space="preserve">some separate and independent </w:t>
      </w:r>
      <w:r w:rsidRPr="0013090E">
        <w:rPr>
          <w:rFonts w:ascii="Times New Roman" w:hAnsi="Times New Roman" w:cs="Times New Roman"/>
          <w:sz w:val="24"/>
          <w:szCs w:val="24"/>
        </w:rPr>
        <w:t xml:space="preserve">legal wrong </w:t>
      </w:r>
      <w:r w:rsidR="00AA2048">
        <w:rPr>
          <w:rFonts w:ascii="Times New Roman" w:hAnsi="Times New Roman" w:cs="Times New Roman"/>
          <w:sz w:val="24"/>
          <w:szCs w:val="24"/>
        </w:rPr>
        <w:t>to</w:t>
      </w:r>
      <w:r w:rsidR="00AA2048" w:rsidRPr="0013090E">
        <w:rPr>
          <w:rFonts w:ascii="Times New Roman" w:hAnsi="Times New Roman" w:cs="Times New Roman"/>
          <w:sz w:val="24"/>
          <w:szCs w:val="24"/>
        </w:rPr>
        <w:t xml:space="preserve"> </w:t>
      </w:r>
      <w:r w:rsidRPr="0013090E">
        <w:rPr>
          <w:rFonts w:ascii="Times New Roman" w:hAnsi="Times New Roman" w:cs="Times New Roman"/>
          <w:sz w:val="24"/>
          <w:szCs w:val="24"/>
        </w:rPr>
        <w:t xml:space="preserve">the plaintiff.  </w:t>
      </w:r>
      <w:r w:rsidR="00221C14" w:rsidRPr="0013090E">
        <w:rPr>
          <w:rFonts w:ascii="Times New Roman" w:hAnsi="Times New Roman" w:cs="Times New Roman"/>
          <w:sz w:val="24"/>
          <w:szCs w:val="24"/>
        </w:rPr>
        <w:t xml:space="preserve">This objection does not arise where there are concurrent wrongdoers whose negligence causes damage because it is only the secondary liability to pay damages that is in play, and there is no reason in logic </w:t>
      </w:r>
      <w:r w:rsidR="00AA2048">
        <w:rPr>
          <w:rFonts w:ascii="Times New Roman" w:hAnsi="Times New Roman" w:cs="Times New Roman"/>
          <w:sz w:val="24"/>
          <w:szCs w:val="24"/>
        </w:rPr>
        <w:t xml:space="preserve">or </w:t>
      </w:r>
      <w:r w:rsidR="00221C14" w:rsidRPr="0013090E">
        <w:rPr>
          <w:rFonts w:ascii="Times New Roman" w:hAnsi="Times New Roman" w:cs="Times New Roman"/>
          <w:sz w:val="24"/>
          <w:szCs w:val="24"/>
        </w:rPr>
        <w:t xml:space="preserve"> fairness why one person should have to pay damages in full for an injury that has been partly caused by another.  </w:t>
      </w:r>
      <w:r w:rsidR="007B01F4">
        <w:rPr>
          <w:rFonts w:ascii="Times New Roman" w:hAnsi="Times New Roman" w:cs="Times New Roman"/>
          <w:sz w:val="24"/>
          <w:szCs w:val="24"/>
        </w:rPr>
        <w:t xml:space="preserve">This cannot be said of an action in debt which </w:t>
      </w:r>
      <w:r w:rsidR="00FF5BA9">
        <w:rPr>
          <w:rFonts w:ascii="Times New Roman" w:hAnsi="Times New Roman" w:cs="Times New Roman"/>
          <w:sz w:val="24"/>
          <w:szCs w:val="24"/>
        </w:rPr>
        <w:t xml:space="preserve">arises because </w:t>
      </w:r>
      <w:r w:rsidR="007B01F4">
        <w:rPr>
          <w:rFonts w:ascii="Times New Roman" w:hAnsi="Times New Roman" w:cs="Times New Roman"/>
          <w:sz w:val="24"/>
          <w:szCs w:val="24"/>
        </w:rPr>
        <w:t xml:space="preserve">the </w:t>
      </w:r>
      <w:r w:rsidR="00FF5BA9">
        <w:rPr>
          <w:rFonts w:ascii="Times New Roman" w:hAnsi="Times New Roman" w:cs="Times New Roman"/>
          <w:sz w:val="24"/>
          <w:szCs w:val="24"/>
        </w:rPr>
        <w:t>defendant has promised to pay a sum of money to the plaintiff.  The plaintiff is entitled to hold the defendant to that promise irrespective of what any other party has or has not done.  To allow the defendant to escape from the promise because of the actions of another is to enrich it at the plaintiff’s expense.</w:t>
      </w:r>
    </w:p>
    <w:p w14:paraId="23BD4990" w14:textId="77777777" w:rsidR="005405C2" w:rsidRPr="00434D69" w:rsidRDefault="005405C2" w:rsidP="00434D69">
      <w:pPr>
        <w:spacing w:after="0" w:line="480" w:lineRule="auto"/>
        <w:rPr>
          <w:rFonts w:ascii="Times New Roman" w:hAnsi="Times New Roman" w:cs="Times New Roman"/>
          <w:sz w:val="24"/>
          <w:szCs w:val="24"/>
        </w:rPr>
      </w:pPr>
    </w:p>
    <w:p w14:paraId="2FBBDE66" w14:textId="45EB8FEA" w:rsidR="005405C2" w:rsidRPr="00434D69" w:rsidRDefault="005405C2" w:rsidP="00272396">
      <w:pPr>
        <w:pStyle w:val="Heading2"/>
      </w:pPr>
      <w:r w:rsidRPr="00434D69">
        <w:t xml:space="preserve">The </w:t>
      </w:r>
      <w:r w:rsidR="00B67C7D">
        <w:t>‘</w:t>
      </w:r>
      <w:r w:rsidRPr="00434D69">
        <w:t>same damage</w:t>
      </w:r>
      <w:r w:rsidR="00B67C7D">
        <w:t>’</w:t>
      </w:r>
    </w:p>
    <w:p w14:paraId="554FB4A9" w14:textId="77777777" w:rsidR="005405C2" w:rsidRPr="00DE7CE3" w:rsidRDefault="003C1E14" w:rsidP="00DE7CE3">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r w:rsidR="005405C2" w:rsidRPr="00DE7CE3">
        <w:rPr>
          <w:rFonts w:ascii="Times New Roman" w:hAnsi="Times New Roman" w:cs="Times New Roman"/>
          <w:sz w:val="24"/>
          <w:szCs w:val="24"/>
        </w:rPr>
        <w:t xml:space="preserve">  </w:t>
      </w:r>
    </w:p>
    <w:p w14:paraId="6DD2ADC7" w14:textId="1775E3E7" w:rsidR="003F080D" w:rsidRPr="00434D69" w:rsidRDefault="003F080D"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lastRenderedPageBreak/>
        <w:t>If that is so, that is the end of this case insofar as the CLA is concerned.  However, there is another issue</w:t>
      </w:r>
      <w:r w:rsidR="00131361">
        <w:rPr>
          <w:rFonts w:ascii="Times New Roman" w:hAnsi="Times New Roman" w:cs="Times New Roman"/>
          <w:sz w:val="24"/>
          <w:szCs w:val="24"/>
        </w:rPr>
        <w:t xml:space="preserve"> following from the </w:t>
      </w:r>
      <w:r w:rsidR="00FB1CC9">
        <w:rPr>
          <w:rFonts w:ascii="Times New Roman" w:hAnsi="Times New Roman" w:cs="Times New Roman"/>
          <w:sz w:val="24"/>
          <w:szCs w:val="24"/>
        </w:rPr>
        <w:t>l</w:t>
      </w:r>
      <w:r w:rsidR="00131361">
        <w:rPr>
          <w:rFonts w:ascii="Times New Roman" w:hAnsi="Times New Roman" w:cs="Times New Roman"/>
          <w:sz w:val="24"/>
          <w:szCs w:val="24"/>
        </w:rPr>
        <w:t xml:space="preserve">ast point </w:t>
      </w:r>
      <w:r w:rsidR="00525B95">
        <w:rPr>
          <w:rFonts w:ascii="Times New Roman" w:hAnsi="Times New Roman" w:cs="Times New Roman"/>
          <w:sz w:val="24"/>
          <w:szCs w:val="24"/>
        </w:rPr>
        <w:t>we</w:t>
      </w:r>
      <w:r w:rsidR="00131361">
        <w:rPr>
          <w:rFonts w:ascii="Times New Roman" w:hAnsi="Times New Roman" w:cs="Times New Roman"/>
          <w:sz w:val="24"/>
          <w:szCs w:val="24"/>
        </w:rPr>
        <w:t xml:space="preserve"> have made,</w:t>
      </w:r>
      <w:r w:rsidRPr="00434D69">
        <w:rPr>
          <w:rFonts w:ascii="Times New Roman" w:hAnsi="Times New Roman" w:cs="Times New Roman"/>
          <w:sz w:val="24"/>
          <w:szCs w:val="24"/>
        </w:rPr>
        <w:t xml:space="preserve"> that arises here.  Even if one assumes that an action for debt is capable of falling within the sections dealing with concurrent wrongdoers, it is necessary to show that in any given case the party against whom recovery of the debt is sought, and the party responsible for negligence giving rise to the incurring of the debt, are wrongdoers in respect of </w:t>
      </w:r>
      <w:r w:rsidRPr="00434D69">
        <w:rPr>
          <w:rFonts w:ascii="Times New Roman" w:hAnsi="Times New Roman" w:cs="Times New Roman"/>
          <w:i/>
          <w:sz w:val="24"/>
          <w:szCs w:val="24"/>
        </w:rPr>
        <w:t xml:space="preserve">the same damage.  </w:t>
      </w:r>
      <w:r w:rsidR="0013090E" w:rsidRPr="00434D69">
        <w:rPr>
          <w:rFonts w:ascii="Times New Roman" w:hAnsi="Times New Roman" w:cs="Times New Roman"/>
          <w:sz w:val="24"/>
          <w:szCs w:val="24"/>
        </w:rPr>
        <w:t>The entire purpose of the provisions governing concurrent wrongdoers is the sharing of a common liability and is thus dependent upon the damage caused by each wrongdoer being the ‘</w:t>
      </w:r>
      <w:r w:rsidR="0013090E" w:rsidRPr="00434D69">
        <w:rPr>
          <w:rFonts w:ascii="Times New Roman" w:hAnsi="Times New Roman" w:cs="Times New Roman"/>
          <w:i/>
          <w:sz w:val="24"/>
          <w:szCs w:val="24"/>
        </w:rPr>
        <w:t>same</w:t>
      </w:r>
      <w:r w:rsidR="00B67C7D">
        <w:rPr>
          <w:rFonts w:ascii="Times New Roman" w:hAnsi="Times New Roman" w:cs="Times New Roman"/>
          <w:i/>
          <w:sz w:val="24"/>
          <w:szCs w:val="24"/>
        </w:rPr>
        <w:t>’</w:t>
      </w:r>
      <w:r w:rsidR="0013090E" w:rsidRPr="00434D69">
        <w:rPr>
          <w:rFonts w:ascii="Times New Roman" w:hAnsi="Times New Roman" w:cs="Times New Roman"/>
          <w:i/>
          <w:sz w:val="24"/>
          <w:szCs w:val="24"/>
        </w:rPr>
        <w:t xml:space="preserve"> </w:t>
      </w:r>
      <w:r w:rsidR="0013090E" w:rsidRPr="00434D69">
        <w:rPr>
          <w:rFonts w:ascii="Times New Roman" w:hAnsi="Times New Roman" w:cs="Times New Roman"/>
          <w:sz w:val="24"/>
          <w:szCs w:val="24"/>
        </w:rPr>
        <w:t xml:space="preserve">– not </w:t>
      </w:r>
      <w:r w:rsidR="009D75C0">
        <w:rPr>
          <w:rFonts w:ascii="Times New Roman" w:hAnsi="Times New Roman" w:cs="Times New Roman"/>
          <w:sz w:val="24"/>
          <w:szCs w:val="24"/>
        </w:rPr>
        <w:t>“</w:t>
      </w:r>
      <w:r w:rsidR="0013090E" w:rsidRPr="00434D69">
        <w:rPr>
          <w:rFonts w:ascii="Times New Roman" w:hAnsi="Times New Roman" w:cs="Times New Roman"/>
          <w:i/>
          <w:sz w:val="24"/>
          <w:szCs w:val="24"/>
        </w:rPr>
        <w:t>similar</w:t>
      </w:r>
      <w:r w:rsidR="009D75C0">
        <w:rPr>
          <w:rFonts w:ascii="Times New Roman" w:hAnsi="Times New Roman" w:cs="Times New Roman"/>
          <w:i/>
          <w:sz w:val="24"/>
          <w:szCs w:val="24"/>
        </w:rPr>
        <w:t>”</w:t>
      </w:r>
      <w:r w:rsidR="0013090E" w:rsidRPr="00434D69">
        <w:rPr>
          <w:rFonts w:ascii="Times New Roman" w:hAnsi="Times New Roman" w:cs="Times New Roman"/>
          <w:i/>
          <w:sz w:val="24"/>
          <w:szCs w:val="24"/>
        </w:rPr>
        <w:t xml:space="preserve"> </w:t>
      </w:r>
      <w:r w:rsidR="0013090E" w:rsidRPr="00434D69">
        <w:rPr>
          <w:rFonts w:ascii="Times New Roman" w:hAnsi="Times New Roman" w:cs="Times New Roman"/>
          <w:sz w:val="24"/>
          <w:szCs w:val="24"/>
        </w:rPr>
        <w:t xml:space="preserve">or </w:t>
      </w:r>
      <w:r w:rsidR="009D75C0">
        <w:rPr>
          <w:rFonts w:ascii="Times New Roman" w:hAnsi="Times New Roman" w:cs="Times New Roman"/>
          <w:sz w:val="24"/>
          <w:szCs w:val="24"/>
        </w:rPr>
        <w:t>“</w:t>
      </w:r>
      <w:r w:rsidR="0013090E" w:rsidRPr="00434D69">
        <w:rPr>
          <w:rFonts w:ascii="Times New Roman" w:hAnsi="Times New Roman" w:cs="Times New Roman"/>
          <w:i/>
          <w:sz w:val="24"/>
          <w:szCs w:val="24"/>
        </w:rPr>
        <w:t>related</w:t>
      </w:r>
      <w:r w:rsidR="00B67C7D">
        <w:rPr>
          <w:rFonts w:ascii="Times New Roman" w:hAnsi="Times New Roman" w:cs="Times New Roman"/>
          <w:i/>
          <w:sz w:val="24"/>
          <w:szCs w:val="24"/>
        </w:rPr>
        <w:t>’</w:t>
      </w:r>
      <w:r w:rsidR="009D75C0">
        <w:rPr>
          <w:rFonts w:ascii="Times New Roman" w:hAnsi="Times New Roman" w:cs="Times New Roman"/>
          <w:i/>
          <w:sz w:val="24"/>
          <w:szCs w:val="24"/>
        </w:rPr>
        <w:t>”</w:t>
      </w:r>
      <w:r w:rsidR="0013090E" w:rsidRPr="00437C12">
        <w:rPr>
          <w:rFonts w:ascii="Times New Roman" w:hAnsi="Times New Roman" w:cs="Times New Roman"/>
          <w:i/>
          <w:sz w:val="24"/>
          <w:szCs w:val="24"/>
        </w:rPr>
        <w:t xml:space="preserve"> </w:t>
      </w:r>
      <w:r w:rsidR="00437C12" w:rsidRPr="00437C12">
        <w:rPr>
          <w:rFonts w:ascii="Times New Roman" w:hAnsi="Times New Roman" w:cs="Times New Roman"/>
          <w:i/>
          <w:sz w:val="24"/>
          <w:szCs w:val="24"/>
        </w:rPr>
        <w:t xml:space="preserve">“The same damage” does </w:t>
      </w:r>
      <w:r w:rsidR="00A711B9" w:rsidRPr="00437C12">
        <w:rPr>
          <w:rFonts w:ascii="Times New Roman" w:hAnsi="Times New Roman" w:cs="Times New Roman"/>
          <w:i/>
          <w:sz w:val="24"/>
          <w:szCs w:val="24"/>
        </w:rPr>
        <w:t>not</w:t>
      </w:r>
      <w:r w:rsidR="00437C12" w:rsidRPr="00437C12">
        <w:rPr>
          <w:rFonts w:ascii="Times New Roman" w:hAnsi="Times New Roman" w:cs="Times New Roman"/>
          <w:i/>
          <w:sz w:val="24"/>
          <w:szCs w:val="24"/>
        </w:rPr>
        <w:t xml:space="preserve"> mean “substantially or materially similar damage” .. The natural and ordinary meaning of “the </w:t>
      </w:r>
      <w:r w:rsidR="00437C12" w:rsidRPr="00437C12">
        <w:rPr>
          <w:rFonts w:ascii="Times New Roman" w:hAnsi="Times New Roman" w:cs="Times New Roman"/>
          <w:i/>
          <w:sz w:val="24"/>
          <w:szCs w:val="24"/>
          <w:u w:val="single"/>
        </w:rPr>
        <w:t>same</w:t>
      </w:r>
      <w:r w:rsidR="00437C12" w:rsidRPr="00437C12">
        <w:rPr>
          <w:rFonts w:ascii="Times New Roman" w:hAnsi="Times New Roman" w:cs="Times New Roman"/>
          <w:i/>
          <w:sz w:val="24"/>
          <w:szCs w:val="24"/>
        </w:rPr>
        <w:t xml:space="preserve"> damage” is controlling</w:t>
      </w:r>
      <w:r w:rsidR="00437C12">
        <w:rPr>
          <w:rFonts w:ascii="Times New Roman" w:hAnsi="Times New Roman" w:cs="Times New Roman"/>
          <w:sz w:val="24"/>
          <w:szCs w:val="24"/>
        </w:rPr>
        <w:t xml:space="preserve">” (per Lord Steyn in </w:t>
      </w:r>
      <w:r w:rsidR="00437C12" w:rsidRPr="00FD56C4">
        <w:rPr>
          <w:rFonts w:ascii="Times New Roman" w:hAnsi="Times New Roman" w:cs="Times New Roman"/>
          <w:i/>
          <w:sz w:val="24"/>
          <w:szCs w:val="24"/>
        </w:rPr>
        <w:t>Royal Brompton Hospital</w:t>
      </w:r>
      <w:r w:rsidR="00FD56C4" w:rsidRPr="00FD56C4">
        <w:rPr>
          <w:rFonts w:ascii="Times New Roman" w:hAnsi="Times New Roman" w:cs="Times New Roman"/>
          <w:i/>
          <w:sz w:val="24"/>
          <w:szCs w:val="24"/>
        </w:rPr>
        <w:t xml:space="preserve"> v Hammond</w:t>
      </w:r>
      <w:r w:rsidR="00437C12">
        <w:rPr>
          <w:rFonts w:ascii="Times New Roman" w:hAnsi="Times New Roman" w:cs="Times New Roman"/>
          <w:sz w:val="24"/>
          <w:szCs w:val="24"/>
        </w:rPr>
        <w:t>, at par</w:t>
      </w:r>
      <w:r w:rsidR="00FD56C4">
        <w:rPr>
          <w:rFonts w:ascii="Times New Roman" w:hAnsi="Times New Roman" w:cs="Times New Roman"/>
          <w:sz w:val="24"/>
          <w:szCs w:val="24"/>
        </w:rPr>
        <w:t>a</w:t>
      </w:r>
      <w:r w:rsidR="00437C12">
        <w:rPr>
          <w:rFonts w:ascii="Times New Roman" w:hAnsi="Times New Roman" w:cs="Times New Roman"/>
          <w:sz w:val="24"/>
          <w:szCs w:val="24"/>
        </w:rPr>
        <w:t xml:space="preserve"> 27 (original emphasis))</w:t>
      </w:r>
      <w:r w:rsidR="00A711B9">
        <w:rPr>
          <w:rFonts w:ascii="Times New Roman" w:hAnsi="Times New Roman" w:cs="Times New Roman"/>
          <w:sz w:val="24"/>
          <w:szCs w:val="24"/>
        </w:rPr>
        <w:t>.</w:t>
      </w:r>
    </w:p>
    <w:p w14:paraId="4661AB32" w14:textId="77777777" w:rsidR="003F080D" w:rsidRPr="00434D69" w:rsidRDefault="003F080D" w:rsidP="00434D69">
      <w:pPr>
        <w:pStyle w:val="ListParagraph"/>
        <w:spacing w:after="0" w:line="480" w:lineRule="auto"/>
        <w:rPr>
          <w:rFonts w:ascii="Times New Roman" w:hAnsi="Times New Roman" w:cs="Times New Roman"/>
          <w:sz w:val="24"/>
          <w:szCs w:val="24"/>
        </w:rPr>
      </w:pPr>
    </w:p>
    <w:p w14:paraId="2BF17967" w14:textId="048F5FD3" w:rsidR="005E6549" w:rsidRPr="00434D69" w:rsidRDefault="003F080D"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I</w:t>
      </w:r>
      <w:r w:rsidR="003C1E14" w:rsidRPr="00434D69">
        <w:rPr>
          <w:rFonts w:ascii="Times New Roman" w:hAnsi="Times New Roman" w:cs="Times New Roman"/>
          <w:sz w:val="24"/>
          <w:szCs w:val="24"/>
        </w:rPr>
        <w:t>f, as</w:t>
      </w:r>
      <w:r w:rsidR="009D75C0">
        <w:rPr>
          <w:rFonts w:ascii="Times New Roman" w:hAnsi="Times New Roman" w:cs="Times New Roman"/>
          <w:sz w:val="24"/>
          <w:szCs w:val="24"/>
        </w:rPr>
        <w:t xml:space="preserve"> we consider to be </w:t>
      </w:r>
      <w:r w:rsidR="003C1E14" w:rsidRPr="00434D69">
        <w:rPr>
          <w:rFonts w:ascii="Times New Roman" w:hAnsi="Times New Roman" w:cs="Times New Roman"/>
          <w:sz w:val="24"/>
          <w:szCs w:val="24"/>
        </w:rPr>
        <w:t>clearly the case, a person who seeks to recover a debt does not bring an action for ‘</w:t>
      </w:r>
      <w:r w:rsidR="003C1E14" w:rsidRPr="00434D69">
        <w:rPr>
          <w:rFonts w:ascii="Times New Roman" w:hAnsi="Times New Roman" w:cs="Times New Roman"/>
          <w:i/>
          <w:sz w:val="24"/>
          <w:szCs w:val="24"/>
        </w:rPr>
        <w:t>damage</w:t>
      </w:r>
      <w:r w:rsidRPr="00434D69">
        <w:rPr>
          <w:rFonts w:ascii="Times New Roman" w:hAnsi="Times New Roman" w:cs="Times New Roman"/>
          <w:i/>
          <w:sz w:val="24"/>
          <w:szCs w:val="24"/>
        </w:rPr>
        <w:t>s</w:t>
      </w:r>
      <w:r w:rsidR="00B67C7D">
        <w:rPr>
          <w:rFonts w:ascii="Times New Roman" w:hAnsi="Times New Roman" w:cs="Times New Roman"/>
          <w:i/>
          <w:sz w:val="24"/>
          <w:szCs w:val="24"/>
        </w:rPr>
        <w:t>’</w:t>
      </w:r>
      <w:r w:rsidR="003C1E14" w:rsidRPr="00434D69">
        <w:rPr>
          <w:rFonts w:ascii="Times New Roman" w:hAnsi="Times New Roman" w:cs="Times New Roman"/>
          <w:sz w:val="24"/>
          <w:szCs w:val="24"/>
        </w:rPr>
        <w:t xml:space="preserve">, </w:t>
      </w:r>
      <w:r w:rsidR="006B193A" w:rsidRPr="00434D69">
        <w:rPr>
          <w:rFonts w:ascii="Times New Roman" w:hAnsi="Times New Roman" w:cs="Times New Roman"/>
          <w:sz w:val="24"/>
          <w:szCs w:val="24"/>
        </w:rPr>
        <w:t>and if, more importantly, they need establish no ‘</w:t>
      </w:r>
      <w:r w:rsidR="006B193A" w:rsidRPr="00434D69">
        <w:rPr>
          <w:rFonts w:ascii="Times New Roman" w:hAnsi="Times New Roman" w:cs="Times New Roman"/>
          <w:i/>
          <w:sz w:val="24"/>
          <w:szCs w:val="24"/>
        </w:rPr>
        <w:t>damage</w:t>
      </w:r>
      <w:r w:rsidR="00B67C7D">
        <w:rPr>
          <w:rFonts w:ascii="Times New Roman" w:hAnsi="Times New Roman" w:cs="Times New Roman"/>
          <w:i/>
          <w:sz w:val="24"/>
          <w:szCs w:val="24"/>
        </w:rPr>
        <w:t>’</w:t>
      </w:r>
      <w:r w:rsidR="006B193A" w:rsidRPr="00434D69">
        <w:rPr>
          <w:rFonts w:ascii="Times New Roman" w:hAnsi="Times New Roman" w:cs="Times New Roman"/>
          <w:i/>
          <w:sz w:val="24"/>
          <w:szCs w:val="24"/>
        </w:rPr>
        <w:t xml:space="preserve"> </w:t>
      </w:r>
      <w:r w:rsidR="006B193A" w:rsidRPr="00434D69">
        <w:rPr>
          <w:rFonts w:ascii="Times New Roman" w:hAnsi="Times New Roman" w:cs="Times New Roman"/>
          <w:sz w:val="24"/>
          <w:szCs w:val="24"/>
        </w:rPr>
        <w:t xml:space="preserve">as a precondition to the bringing of their claim, </w:t>
      </w:r>
      <w:r w:rsidR="003C1E14" w:rsidRPr="00434D69">
        <w:rPr>
          <w:rFonts w:ascii="Times New Roman" w:hAnsi="Times New Roman" w:cs="Times New Roman"/>
          <w:sz w:val="24"/>
          <w:szCs w:val="24"/>
        </w:rPr>
        <w:t>the proposition that the person who does not pay the debt is responsible for ‘</w:t>
      </w:r>
      <w:r w:rsidR="003C1E14" w:rsidRPr="00434D69">
        <w:rPr>
          <w:rFonts w:ascii="Times New Roman" w:hAnsi="Times New Roman" w:cs="Times New Roman"/>
          <w:i/>
          <w:sz w:val="24"/>
          <w:szCs w:val="24"/>
        </w:rPr>
        <w:t>the same damage</w:t>
      </w:r>
      <w:r w:rsidR="00B67C7D">
        <w:rPr>
          <w:rFonts w:ascii="Times New Roman" w:hAnsi="Times New Roman" w:cs="Times New Roman"/>
          <w:i/>
          <w:sz w:val="24"/>
          <w:szCs w:val="24"/>
        </w:rPr>
        <w:t>’</w:t>
      </w:r>
      <w:r w:rsidR="003C1E14" w:rsidRPr="00434D69">
        <w:rPr>
          <w:rFonts w:ascii="Times New Roman" w:hAnsi="Times New Roman" w:cs="Times New Roman"/>
          <w:sz w:val="24"/>
          <w:szCs w:val="24"/>
        </w:rPr>
        <w:t xml:space="preserve"> as a party without whose negligence the debt would not have been incurred must be wrong.  </w:t>
      </w:r>
      <w:r w:rsidR="00852FDA" w:rsidRPr="00434D69">
        <w:rPr>
          <w:rFonts w:ascii="Times New Roman" w:hAnsi="Times New Roman" w:cs="Times New Roman"/>
          <w:sz w:val="24"/>
          <w:szCs w:val="24"/>
        </w:rPr>
        <w:t xml:space="preserve"> </w:t>
      </w:r>
      <w:r w:rsidR="009D75C0">
        <w:rPr>
          <w:rFonts w:ascii="Times New Roman" w:hAnsi="Times New Roman" w:cs="Times New Roman"/>
          <w:sz w:val="24"/>
          <w:szCs w:val="24"/>
        </w:rPr>
        <w:t>T</w:t>
      </w:r>
      <w:r w:rsidR="00852FDA" w:rsidRPr="00434D69">
        <w:rPr>
          <w:rFonts w:ascii="Times New Roman" w:hAnsi="Times New Roman" w:cs="Times New Roman"/>
          <w:sz w:val="24"/>
          <w:szCs w:val="24"/>
        </w:rPr>
        <w:t>o put it another way, if a plaintiff in an action for recovery of debt is not claiming ‘</w:t>
      </w:r>
      <w:r w:rsidR="00852FDA" w:rsidRPr="00434D69">
        <w:rPr>
          <w:rFonts w:ascii="Times New Roman" w:hAnsi="Times New Roman" w:cs="Times New Roman"/>
          <w:i/>
          <w:sz w:val="24"/>
          <w:szCs w:val="24"/>
        </w:rPr>
        <w:t>damages</w:t>
      </w:r>
      <w:r w:rsidR="00852FDA" w:rsidRPr="00434D69">
        <w:rPr>
          <w:rFonts w:ascii="Times New Roman" w:hAnsi="Times New Roman" w:cs="Times New Roman"/>
          <w:sz w:val="24"/>
          <w:szCs w:val="24"/>
        </w:rPr>
        <w:t xml:space="preserve">’ it </w:t>
      </w:r>
      <w:r w:rsidR="009D75C0">
        <w:rPr>
          <w:rFonts w:ascii="Times New Roman" w:hAnsi="Times New Roman" w:cs="Times New Roman"/>
          <w:sz w:val="24"/>
          <w:szCs w:val="24"/>
        </w:rPr>
        <w:t xml:space="preserve">must follow </w:t>
      </w:r>
      <w:r w:rsidR="00852FDA" w:rsidRPr="00434D69">
        <w:rPr>
          <w:rFonts w:ascii="Times New Roman" w:hAnsi="Times New Roman" w:cs="Times New Roman"/>
          <w:sz w:val="24"/>
          <w:szCs w:val="24"/>
        </w:rPr>
        <w:t xml:space="preserve">that his claim against a third party but for whose actions it is alleged the debt would not have been incurred (which is </w:t>
      </w:r>
      <w:r w:rsidR="009D75C0">
        <w:rPr>
          <w:rFonts w:ascii="Times New Roman" w:hAnsi="Times New Roman" w:cs="Times New Roman"/>
          <w:sz w:val="24"/>
          <w:szCs w:val="24"/>
        </w:rPr>
        <w:t xml:space="preserve">a claim </w:t>
      </w:r>
      <w:r w:rsidR="00852FDA" w:rsidRPr="00434D69">
        <w:rPr>
          <w:rFonts w:ascii="Times New Roman" w:hAnsi="Times New Roman" w:cs="Times New Roman"/>
          <w:sz w:val="24"/>
          <w:szCs w:val="24"/>
        </w:rPr>
        <w:t xml:space="preserve">for </w:t>
      </w:r>
      <w:r w:rsidR="00B67C7D">
        <w:rPr>
          <w:rFonts w:ascii="Times New Roman" w:hAnsi="Times New Roman" w:cs="Times New Roman"/>
          <w:i/>
          <w:sz w:val="24"/>
          <w:szCs w:val="24"/>
        </w:rPr>
        <w:t>‘</w:t>
      </w:r>
      <w:r w:rsidR="00852FDA" w:rsidRPr="00434D69">
        <w:rPr>
          <w:rFonts w:ascii="Times New Roman" w:hAnsi="Times New Roman" w:cs="Times New Roman"/>
          <w:i/>
          <w:sz w:val="24"/>
          <w:szCs w:val="24"/>
        </w:rPr>
        <w:t>damages</w:t>
      </w:r>
      <w:r w:rsidR="00B67C7D">
        <w:rPr>
          <w:rFonts w:ascii="Times New Roman" w:hAnsi="Times New Roman" w:cs="Times New Roman"/>
          <w:i/>
          <w:sz w:val="24"/>
          <w:szCs w:val="24"/>
        </w:rPr>
        <w:t>’</w:t>
      </w:r>
      <w:r w:rsidR="00852FDA" w:rsidRPr="00434D69">
        <w:rPr>
          <w:rFonts w:ascii="Times New Roman" w:hAnsi="Times New Roman" w:cs="Times New Roman"/>
          <w:sz w:val="24"/>
          <w:szCs w:val="24"/>
        </w:rPr>
        <w:t>) can</w:t>
      </w:r>
      <w:r w:rsidR="009D75C0">
        <w:rPr>
          <w:rFonts w:ascii="Times New Roman" w:hAnsi="Times New Roman" w:cs="Times New Roman"/>
          <w:sz w:val="24"/>
          <w:szCs w:val="24"/>
        </w:rPr>
        <w:t>not</w:t>
      </w:r>
      <w:r w:rsidR="00852FDA" w:rsidRPr="00434D69">
        <w:rPr>
          <w:rFonts w:ascii="Times New Roman" w:hAnsi="Times New Roman" w:cs="Times New Roman"/>
          <w:sz w:val="24"/>
          <w:szCs w:val="24"/>
        </w:rPr>
        <w:t xml:space="preserve"> be said to be in respect of the ‘</w:t>
      </w:r>
      <w:r w:rsidR="00852FDA" w:rsidRPr="00434D69">
        <w:rPr>
          <w:rFonts w:ascii="Times New Roman" w:hAnsi="Times New Roman" w:cs="Times New Roman"/>
          <w:i/>
          <w:sz w:val="24"/>
          <w:szCs w:val="24"/>
        </w:rPr>
        <w:t>same damage</w:t>
      </w:r>
      <w:r w:rsidR="00B67C7D">
        <w:rPr>
          <w:rFonts w:ascii="Times New Roman" w:hAnsi="Times New Roman" w:cs="Times New Roman"/>
          <w:i/>
          <w:sz w:val="24"/>
          <w:szCs w:val="24"/>
        </w:rPr>
        <w:t>’</w:t>
      </w:r>
      <w:r w:rsidR="00852FDA" w:rsidRPr="00434D69">
        <w:rPr>
          <w:rFonts w:ascii="Times New Roman" w:hAnsi="Times New Roman" w:cs="Times New Roman"/>
          <w:i/>
          <w:sz w:val="24"/>
          <w:szCs w:val="24"/>
        </w:rPr>
        <w:t xml:space="preserve">. </w:t>
      </w:r>
      <w:r w:rsidR="00852FDA" w:rsidRPr="00434D69">
        <w:rPr>
          <w:rFonts w:ascii="Times New Roman" w:hAnsi="Times New Roman" w:cs="Times New Roman"/>
          <w:sz w:val="24"/>
          <w:szCs w:val="24"/>
        </w:rPr>
        <w:t xml:space="preserve">They are legally distinct because the object of the proceedings is different, and they are factually distinct because one is for the recovery </w:t>
      </w:r>
      <w:r w:rsidR="00852FDA" w:rsidRPr="00434D69">
        <w:rPr>
          <w:rFonts w:ascii="Times New Roman" w:hAnsi="Times New Roman" w:cs="Times New Roman"/>
          <w:sz w:val="24"/>
          <w:szCs w:val="24"/>
        </w:rPr>
        <w:lastRenderedPageBreak/>
        <w:t xml:space="preserve">of </w:t>
      </w:r>
      <w:r w:rsidR="009D75C0">
        <w:rPr>
          <w:rFonts w:ascii="Times New Roman" w:hAnsi="Times New Roman" w:cs="Times New Roman"/>
          <w:sz w:val="24"/>
          <w:szCs w:val="24"/>
        </w:rPr>
        <w:t>debt</w:t>
      </w:r>
      <w:r w:rsidR="009D75C0" w:rsidRPr="00434D69">
        <w:rPr>
          <w:rFonts w:ascii="Times New Roman" w:hAnsi="Times New Roman" w:cs="Times New Roman"/>
          <w:sz w:val="24"/>
          <w:szCs w:val="24"/>
        </w:rPr>
        <w:t xml:space="preserve"> </w:t>
      </w:r>
      <w:r w:rsidR="00852FDA" w:rsidRPr="00434D69">
        <w:rPr>
          <w:rFonts w:ascii="Times New Roman" w:hAnsi="Times New Roman" w:cs="Times New Roman"/>
          <w:sz w:val="24"/>
          <w:szCs w:val="24"/>
        </w:rPr>
        <w:t xml:space="preserve">and the other for damages to compensate for a loss where </w:t>
      </w:r>
      <w:r w:rsidR="009D75C0">
        <w:rPr>
          <w:rFonts w:ascii="Times New Roman" w:hAnsi="Times New Roman" w:cs="Times New Roman"/>
          <w:sz w:val="24"/>
          <w:szCs w:val="24"/>
        </w:rPr>
        <w:t xml:space="preserve">(and to the extent that) </w:t>
      </w:r>
      <w:r w:rsidR="00852FDA" w:rsidRPr="00434D69">
        <w:rPr>
          <w:rFonts w:ascii="Times New Roman" w:hAnsi="Times New Roman" w:cs="Times New Roman"/>
          <w:sz w:val="24"/>
          <w:szCs w:val="24"/>
        </w:rPr>
        <w:t xml:space="preserve">the </w:t>
      </w:r>
      <w:r w:rsidR="009D75C0">
        <w:rPr>
          <w:rFonts w:ascii="Times New Roman" w:hAnsi="Times New Roman" w:cs="Times New Roman"/>
          <w:sz w:val="24"/>
          <w:szCs w:val="24"/>
        </w:rPr>
        <w:t>debt</w:t>
      </w:r>
      <w:r w:rsidR="009D75C0" w:rsidRPr="00434D69">
        <w:rPr>
          <w:rFonts w:ascii="Times New Roman" w:hAnsi="Times New Roman" w:cs="Times New Roman"/>
          <w:sz w:val="24"/>
          <w:szCs w:val="24"/>
        </w:rPr>
        <w:t xml:space="preserve"> </w:t>
      </w:r>
      <w:r w:rsidR="00852FDA" w:rsidRPr="00434D69">
        <w:rPr>
          <w:rFonts w:ascii="Times New Roman" w:hAnsi="Times New Roman" w:cs="Times New Roman"/>
          <w:sz w:val="24"/>
          <w:szCs w:val="24"/>
        </w:rPr>
        <w:t xml:space="preserve">is not recovered. </w:t>
      </w:r>
    </w:p>
    <w:p w14:paraId="69CB2EE5" w14:textId="77777777" w:rsidR="005E6549" w:rsidRPr="00434D69" w:rsidRDefault="005E6549" w:rsidP="00434D69">
      <w:pPr>
        <w:pStyle w:val="ListParagraph"/>
        <w:spacing w:after="0" w:line="480" w:lineRule="auto"/>
        <w:rPr>
          <w:rFonts w:ascii="Times New Roman" w:hAnsi="Times New Roman" w:cs="Times New Roman"/>
          <w:sz w:val="24"/>
          <w:szCs w:val="24"/>
        </w:rPr>
      </w:pPr>
    </w:p>
    <w:p w14:paraId="32D2F629" w14:textId="0B5BDCC6" w:rsidR="002C0786" w:rsidRPr="00434D69" w:rsidRDefault="00691A92"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Both ultimately are directed to recovery of </w:t>
      </w:r>
      <w:r w:rsidR="009F618A">
        <w:rPr>
          <w:rFonts w:ascii="Times New Roman" w:hAnsi="Times New Roman" w:cs="Times New Roman"/>
          <w:sz w:val="24"/>
          <w:szCs w:val="24"/>
        </w:rPr>
        <w:t xml:space="preserve">at least some of </w:t>
      </w:r>
      <w:r w:rsidRPr="00434D69">
        <w:rPr>
          <w:rFonts w:ascii="Times New Roman" w:hAnsi="Times New Roman" w:cs="Times New Roman"/>
          <w:sz w:val="24"/>
          <w:szCs w:val="24"/>
        </w:rPr>
        <w:t xml:space="preserve">the money, one directly and the other indirectly, but as Lord Hope neatly </w:t>
      </w:r>
      <w:r w:rsidR="005E6549" w:rsidRPr="00434D69">
        <w:rPr>
          <w:rFonts w:ascii="Times New Roman" w:hAnsi="Times New Roman" w:cs="Times New Roman"/>
          <w:sz w:val="24"/>
          <w:szCs w:val="24"/>
        </w:rPr>
        <w:t>put it</w:t>
      </w:r>
      <w:r w:rsidRPr="00434D69">
        <w:rPr>
          <w:rFonts w:ascii="Times New Roman" w:hAnsi="Times New Roman" w:cs="Times New Roman"/>
          <w:sz w:val="24"/>
          <w:szCs w:val="24"/>
        </w:rPr>
        <w:t xml:space="preserve"> in </w:t>
      </w:r>
      <w:r w:rsidRPr="00434D69">
        <w:rPr>
          <w:rFonts w:ascii="Times New Roman" w:hAnsi="Times New Roman" w:cs="Times New Roman"/>
          <w:i/>
          <w:sz w:val="24"/>
          <w:szCs w:val="24"/>
        </w:rPr>
        <w:t>Royal Brompton</w:t>
      </w:r>
      <w:r w:rsidR="00FD56C4">
        <w:rPr>
          <w:rFonts w:ascii="Times New Roman" w:hAnsi="Times New Roman" w:cs="Times New Roman"/>
          <w:i/>
          <w:sz w:val="24"/>
          <w:szCs w:val="24"/>
        </w:rPr>
        <w:t xml:space="preserve"> Hospital</w:t>
      </w:r>
      <w:r w:rsidRPr="00434D69">
        <w:rPr>
          <w:rFonts w:ascii="Times New Roman" w:hAnsi="Times New Roman" w:cs="Times New Roman"/>
          <w:i/>
          <w:sz w:val="24"/>
          <w:szCs w:val="24"/>
        </w:rPr>
        <w:t xml:space="preserve"> v. Hammond </w:t>
      </w:r>
      <w:r w:rsidRPr="00434D69">
        <w:rPr>
          <w:rFonts w:ascii="Times New Roman" w:hAnsi="Times New Roman" w:cs="Times New Roman"/>
          <w:sz w:val="24"/>
          <w:szCs w:val="24"/>
        </w:rPr>
        <w:t>(at para. 47) ‘</w:t>
      </w:r>
      <w:r w:rsidRPr="00434D69">
        <w:rPr>
          <w:rFonts w:ascii="Times New Roman" w:hAnsi="Times New Roman" w:cs="Times New Roman"/>
          <w:i/>
          <w:sz w:val="24"/>
          <w:szCs w:val="24"/>
        </w:rPr>
        <w:t>the mere fact that two or more wrongs lead to a common result does not of itself mean that the wrongdoers are liable in respect of the same damage</w:t>
      </w:r>
      <w:r w:rsidR="00B67C7D">
        <w:rPr>
          <w:rFonts w:ascii="Times New Roman" w:hAnsi="Times New Roman" w:cs="Times New Roman"/>
          <w:i/>
          <w:sz w:val="24"/>
          <w:szCs w:val="24"/>
        </w:rPr>
        <w:t>’</w:t>
      </w:r>
      <w:r w:rsidR="005E6549" w:rsidRPr="00434D69">
        <w:rPr>
          <w:rFonts w:ascii="Times New Roman" w:hAnsi="Times New Roman" w:cs="Times New Roman"/>
          <w:i/>
          <w:sz w:val="24"/>
          <w:szCs w:val="24"/>
        </w:rPr>
        <w:t xml:space="preserve">.  </w:t>
      </w:r>
      <w:r w:rsidR="00852FDA" w:rsidRPr="00434D69">
        <w:rPr>
          <w:rFonts w:ascii="Times New Roman" w:hAnsi="Times New Roman" w:cs="Times New Roman"/>
          <w:i/>
          <w:sz w:val="24"/>
          <w:szCs w:val="24"/>
        </w:rPr>
        <w:t xml:space="preserve"> </w:t>
      </w:r>
      <w:r w:rsidR="005E6549" w:rsidRPr="00434D69">
        <w:rPr>
          <w:rFonts w:ascii="Times New Roman" w:hAnsi="Times New Roman" w:cs="Times New Roman"/>
          <w:sz w:val="24"/>
          <w:szCs w:val="24"/>
        </w:rPr>
        <w:t xml:space="preserve">A claim for damages for personal injury, and a claim against a solicitor in negligence for allowing a claim for personal injury to be struck out seek, indirectly, the same outcome – recovery of an amount reflecting the injuries suffered by the plaintiff.  They are, however, of a materially different character and for that reason are not in respect of the same damage (per Clarke J. in </w:t>
      </w:r>
      <w:r w:rsidR="005E6549" w:rsidRPr="00434D69">
        <w:rPr>
          <w:rFonts w:ascii="Times New Roman" w:hAnsi="Times New Roman" w:cs="Times New Roman"/>
          <w:i/>
          <w:sz w:val="24"/>
          <w:szCs w:val="24"/>
        </w:rPr>
        <w:t xml:space="preserve">Moloney v. </w:t>
      </w:r>
      <w:r w:rsidR="00525B95">
        <w:rPr>
          <w:rFonts w:ascii="Times New Roman" w:hAnsi="Times New Roman" w:cs="Times New Roman"/>
          <w:i/>
          <w:sz w:val="24"/>
          <w:szCs w:val="24"/>
        </w:rPr>
        <w:t>Liddy</w:t>
      </w:r>
      <w:r w:rsidR="005E6549" w:rsidRPr="00434D69">
        <w:rPr>
          <w:rFonts w:ascii="Times New Roman" w:hAnsi="Times New Roman" w:cs="Times New Roman"/>
          <w:i/>
          <w:sz w:val="24"/>
          <w:szCs w:val="24"/>
        </w:rPr>
        <w:t xml:space="preserve"> </w:t>
      </w:r>
      <w:r w:rsidR="005E6549" w:rsidRPr="00434D69">
        <w:rPr>
          <w:rFonts w:ascii="Times New Roman" w:hAnsi="Times New Roman" w:cs="Times New Roman"/>
          <w:sz w:val="24"/>
          <w:szCs w:val="24"/>
        </w:rPr>
        <w:t xml:space="preserve">at para. 5.6).   Precisely the same logic applies to an action in debt, and an action in negligence alleging that the defendant caused the debt to be incurred. </w:t>
      </w:r>
    </w:p>
    <w:p w14:paraId="623A5D1B" w14:textId="77777777" w:rsidR="00105BD9" w:rsidRPr="00434D69" w:rsidRDefault="00105BD9" w:rsidP="00434D69">
      <w:pPr>
        <w:pStyle w:val="ListParagraph"/>
        <w:spacing w:after="0" w:line="480" w:lineRule="auto"/>
        <w:rPr>
          <w:rFonts w:ascii="Times New Roman" w:hAnsi="Times New Roman" w:cs="Times New Roman"/>
          <w:sz w:val="24"/>
          <w:szCs w:val="24"/>
        </w:rPr>
      </w:pPr>
    </w:p>
    <w:p w14:paraId="7412C952" w14:textId="541521ED" w:rsidR="00105BD9" w:rsidRPr="00434D69" w:rsidRDefault="00105BD9"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In </w:t>
      </w:r>
      <w:r w:rsidRPr="00434D69">
        <w:rPr>
          <w:rFonts w:ascii="Times New Roman" w:hAnsi="Times New Roman" w:cs="Times New Roman"/>
          <w:i/>
          <w:sz w:val="24"/>
          <w:szCs w:val="24"/>
        </w:rPr>
        <w:t xml:space="preserve">Royal Brompton </w:t>
      </w:r>
      <w:r w:rsidR="00FD56C4">
        <w:rPr>
          <w:rFonts w:ascii="Times New Roman" w:hAnsi="Times New Roman" w:cs="Times New Roman"/>
          <w:i/>
          <w:sz w:val="24"/>
          <w:szCs w:val="24"/>
        </w:rPr>
        <w:t xml:space="preserve">Hospital </w:t>
      </w:r>
      <w:r w:rsidRPr="00434D69">
        <w:rPr>
          <w:rFonts w:ascii="Times New Roman" w:hAnsi="Times New Roman" w:cs="Times New Roman"/>
          <w:i/>
          <w:sz w:val="24"/>
          <w:szCs w:val="24"/>
        </w:rPr>
        <w:t xml:space="preserve"> v. Hammond</w:t>
      </w:r>
      <w:r w:rsidRPr="00434D69">
        <w:rPr>
          <w:rFonts w:ascii="Times New Roman" w:hAnsi="Times New Roman" w:cs="Times New Roman"/>
          <w:sz w:val="24"/>
          <w:szCs w:val="24"/>
        </w:rPr>
        <w:t xml:space="preserve"> Lord Bingham expressed the test in terms of whether the two alleged wrongdoers were under what he termed ‘</w:t>
      </w:r>
      <w:r w:rsidRPr="00434D69">
        <w:rPr>
          <w:rFonts w:ascii="Times New Roman" w:hAnsi="Times New Roman" w:cs="Times New Roman"/>
          <w:i/>
          <w:sz w:val="24"/>
          <w:szCs w:val="24"/>
        </w:rPr>
        <w:t>a common liability</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or whether they were ‘</w:t>
      </w:r>
      <w:r w:rsidRPr="00434D69">
        <w:rPr>
          <w:rFonts w:ascii="Times New Roman" w:hAnsi="Times New Roman" w:cs="Times New Roman"/>
          <w:i/>
          <w:sz w:val="24"/>
          <w:szCs w:val="24"/>
        </w:rPr>
        <w:t>independently liable</w:t>
      </w:r>
      <w:r w:rsidR="00B67C7D">
        <w:rPr>
          <w:rFonts w:ascii="Times New Roman" w:hAnsi="Times New Roman" w:cs="Times New Roman"/>
          <w:i/>
          <w:sz w:val="24"/>
          <w:szCs w:val="24"/>
        </w:rPr>
        <w:t>’</w:t>
      </w:r>
      <w:r w:rsidR="00F01A93">
        <w:rPr>
          <w:rFonts w:ascii="Times New Roman" w:hAnsi="Times New Roman" w:cs="Times New Roman"/>
          <w:i/>
          <w:sz w:val="24"/>
          <w:szCs w:val="24"/>
        </w:rPr>
        <w:t xml:space="preserve"> </w:t>
      </w:r>
      <w:r w:rsidR="00F01A93">
        <w:rPr>
          <w:rFonts w:ascii="Times New Roman" w:hAnsi="Times New Roman" w:cs="Times New Roman"/>
          <w:iCs/>
          <w:sz w:val="24"/>
          <w:szCs w:val="24"/>
        </w:rPr>
        <w:t>(at para. 7)</w:t>
      </w:r>
      <w:r w:rsidRPr="00434D69">
        <w:rPr>
          <w:rFonts w:ascii="Times New Roman" w:hAnsi="Times New Roman" w:cs="Times New Roman"/>
          <w:sz w:val="24"/>
          <w:szCs w:val="24"/>
        </w:rPr>
        <w:t xml:space="preserve">.  The judgment of Clarke J. in </w:t>
      </w:r>
      <w:r w:rsidRPr="00434D69">
        <w:rPr>
          <w:rFonts w:ascii="Times New Roman" w:hAnsi="Times New Roman" w:cs="Times New Roman"/>
          <w:i/>
          <w:sz w:val="24"/>
          <w:szCs w:val="24"/>
        </w:rPr>
        <w:t>Moloney v. Liddy</w:t>
      </w:r>
      <w:r w:rsidRPr="00434D69">
        <w:rPr>
          <w:rFonts w:ascii="Times New Roman" w:hAnsi="Times New Roman" w:cs="Times New Roman"/>
          <w:sz w:val="24"/>
          <w:szCs w:val="24"/>
        </w:rPr>
        <w:t xml:space="preserve">, to which </w:t>
      </w:r>
      <w:r w:rsidR="009D75C0">
        <w:rPr>
          <w:rFonts w:ascii="Times New Roman" w:hAnsi="Times New Roman" w:cs="Times New Roman"/>
          <w:sz w:val="24"/>
          <w:szCs w:val="24"/>
        </w:rPr>
        <w:t>we</w:t>
      </w:r>
      <w:r w:rsidRPr="00434D69">
        <w:rPr>
          <w:rFonts w:ascii="Times New Roman" w:hAnsi="Times New Roman" w:cs="Times New Roman"/>
          <w:sz w:val="24"/>
          <w:szCs w:val="24"/>
        </w:rPr>
        <w:t xml:space="preserve"> return shortly, makes it clear that the answer to that question depends on the nature of the claim advanced by each.  In </w:t>
      </w:r>
      <w:r w:rsidRPr="00434D69">
        <w:rPr>
          <w:rFonts w:ascii="Times New Roman" w:hAnsi="Times New Roman" w:cs="Times New Roman"/>
          <w:i/>
          <w:sz w:val="24"/>
          <w:szCs w:val="24"/>
        </w:rPr>
        <w:t xml:space="preserve">Royal Brompton </w:t>
      </w:r>
      <w:r w:rsidR="00FD56C4">
        <w:rPr>
          <w:rFonts w:ascii="Times New Roman" w:hAnsi="Times New Roman" w:cs="Times New Roman"/>
          <w:i/>
          <w:sz w:val="24"/>
          <w:szCs w:val="24"/>
        </w:rPr>
        <w:t xml:space="preserve">Hospital </w:t>
      </w:r>
      <w:r w:rsidRPr="00434D69">
        <w:rPr>
          <w:rFonts w:ascii="Times New Roman" w:hAnsi="Times New Roman" w:cs="Times New Roman"/>
          <w:i/>
          <w:sz w:val="24"/>
          <w:szCs w:val="24"/>
        </w:rPr>
        <w:t>v. Hammond</w:t>
      </w:r>
      <w:r w:rsidRPr="00434D69">
        <w:rPr>
          <w:rFonts w:ascii="Times New Roman" w:hAnsi="Times New Roman" w:cs="Times New Roman"/>
          <w:sz w:val="24"/>
          <w:szCs w:val="24"/>
        </w:rPr>
        <w:t xml:space="preserve"> a claim under a construction contract by an employer against a contractor for delay in performing a contract, and against an architect for negligent advice were independent</w:t>
      </w:r>
      <w:r w:rsidR="00F01A93">
        <w:rPr>
          <w:rFonts w:ascii="Times New Roman" w:hAnsi="Times New Roman" w:cs="Times New Roman"/>
          <w:sz w:val="24"/>
          <w:szCs w:val="24"/>
        </w:rPr>
        <w:t>, and therefore</w:t>
      </w:r>
      <w:r w:rsidRPr="00434D69">
        <w:rPr>
          <w:rFonts w:ascii="Times New Roman" w:hAnsi="Times New Roman" w:cs="Times New Roman"/>
          <w:sz w:val="24"/>
          <w:szCs w:val="24"/>
        </w:rPr>
        <w:t xml:space="preserve"> not common</w:t>
      </w:r>
      <w:r w:rsidR="00F01A93">
        <w:rPr>
          <w:rFonts w:ascii="Times New Roman" w:hAnsi="Times New Roman" w:cs="Times New Roman"/>
          <w:sz w:val="24"/>
          <w:szCs w:val="24"/>
        </w:rPr>
        <w:t>,</w:t>
      </w:r>
      <w:r w:rsidRPr="00434D69">
        <w:rPr>
          <w:rFonts w:ascii="Times New Roman" w:hAnsi="Times New Roman" w:cs="Times New Roman"/>
          <w:sz w:val="24"/>
          <w:szCs w:val="24"/>
        </w:rPr>
        <w:t xml:space="preserve"> because the damage recovered in the claim against the contractor was the damage caused by delay while that against the </w:t>
      </w:r>
      <w:r w:rsidRPr="00434D69">
        <w:rPr>
          <w:rFonts w:ascii="Times New Roman" w:hAnsi="Times New Roman" w:cs="Times New Roman"/>
          <w:sz w:val="24"/>
          <w:szCs w:val="24"/>
        </w:rPr>
        <w:lastRenderedPageBreak/>
        <w:t>architect was the damage arising from his negligence which changed the employer’s position detrimentally against the contractor. However, the architect’s negligence did not cause delay.  Both caused financial damage to the employer connected to the construction project, but the different nature of the loss caused by each meant that they did not cause ‘</w:t>
      </w:r>
      <w:r w:rsidRPr="00434D69">
        <w:rPr>
          <w:rFonts w:ascii="Times New Roman" w:hAnsi="Times New Roman" w:cs="Times New Roman"/>
          <w:i/>
          <w:sz w:val="24"/>
          <w:szCs w:val="24"/>
        </w:rPr>
        <w:t>the same damage</w:t>
      </w:r>
      <w:r w:rsidR="00B67C7D">
        <w:rPr>
          <w:rFonts w:ascii="Times New Roman" w:hAnsi="Times New Roman" w:cs="Times New Roman"/>
          <w:i/>
          <w:sz w:val="24"/>
          <w:szCs w:val="24"/>
        </w:rPr>
        <w:t>’</w:t>
      </w:r>
      <w:r w:rsidRPr="00434D69">
        <w:rPr>
          <w:rFonts w:ascii="Times New Roman" w:hAnsi="Times New Roman" w:cs="Times New Roman"/>
          <w:sz w:val="24"/>
          <w:szCs w:val="24"/>
        </w:rPr>
        <w:t>.  This, it must be emphasised, does not mean that the wrongdoers must both be liable under the same cause of action or even heading of legal liability.  It does mean, however, that each wrongdoer is compensating the plaintiff for the same t</w:t>
      </w:r>
      <w:r w:rsidR="00B320D1">
        <w:rPr>
          <w:rFonts w:ascii="Times New Roman" w:hAnsi="Times New Roman" w:cs="Times New Roman"/>
          <w:sz w:val="24"/>
          <w:szCs w:val="24"/>
        </w:rPr>
        <w:t>hing</w:t>
      </w:r>
      <w:r w:rsidRPr="00434D69">
        <w:rPr>
          <w:rFonts w:ascii="Times New Roman" w:hAnsi="Times New Roman" w:cs="Times New Roman"/>
          <w:sz w:val="24"/>
          <w:szCs w:val="24"/>
        </w:rPr>
        <w:t>.</w:t>
      </w:r>
      <w:r w:rsidR="00F237CF" w:rsidRPr="00434D69">
        <w:rPr>
          <w:rFonts w:ascii="Times New Roman" w:hAnsi="Times New Roman" w:cs="Times New Roman"/>
          <w:sz w:val="24"/>
          <w:szCs w:val="24"/>
        </w:rPr>
        <w:t xml:space="preserve">  In this case, they are not. Aside from the (significant) consideration that the </w:t>
      </w:r>
      <w:r w:rsidR="00D7072A">
        <w:rPr>
          <w:rFonts w:ascii="Times New Roman" w:hAnsi="Times New Roman" w:cs="Times New Roman"/>
          <w:sz w:val="24"/>
          <w:szCs w:val="24"/>
        </w:rPr>
        <w:t>D</w:t>
      </w:r>
      <w:r w:rsidR="00F237CF" w:rsidRPr="00434D69">
        <w:rPr>
          <w:rFonts w:ascii="Times New Roman" w:hAnsi="Times New Roman" w:cs="Times New Roman"/>
          <w:sz w:val="24"/>
          <w:szCs w:val="24"/>
        </w:rPr>
        <w:t xml:space="preserve">efendants are not being called upon to compensate the </w:t>
      </w:r>
      <w:r w:rsidR="00D7072A">
        <w:rPr>
          <w:rFonts w:ascii="Times New Roman" w:hAnsi="Times New Roman" w:cs="Times New Roman"/>
          <w:sz w:val="24"/>
          <w:szCs w:val="24"/>
        </w:rPr>
        <w:t>Bank</w:t>
      </w:r>
      <w:r w:rsidR="00D7072A" w:rsidRPr="00434D69">
        <w:rPr>
          <w:rFonts w:ascii="Times New Roman" w:hAnsi="Times New Roman" w:cs="Times New Roman"/>
          <w:sz w:val="24"/>
          <w:szCs w:val="24"/>
        </w:rPr>
        <w:t xml:space="preserve"> </w:t>
      </w:r>
      <w:r w:rsidR="00F237CF" w:rsidRPr="00434D69">
        <w:rPr>
          <w:rFonts w:ascii="Times New Roman" w:hAnsi="Times New Roman" w:cs="Times New Roman"/>
          <w:sz w:val="24"/>
          <w:szCs w:val="24"/>
        </w:rPr>
        <w:t>at all, but</w:t>
      </w:r>
      <w:r w:rsidR="00D7072A">
        <w:rPr>
          <w:rFonts w:ascii="Times New Roman" w:hAnsi="Times New Roman" w:cs="Times New Roman"/>
          <w:sz w:val="24"/>
          <w:szCs w:val="24"/>
        </w:rPr>
        <w:t xml:space="preserve"> rather</w:t>
      </w:r>
      <w:r w:rsidR="00F237CF" w:rsidRPr="00434D69">
        <w:rPr>
          <w:rFonts w:ascii="Times New Roman" w:hAnsi="Times New Roman" w:cs="Times New Roman"/>
          <w:sz w:val="24"/>
          <w:szCs w:val="24"/>
        </w:rPr>
        <w:t xml:space="preserve"> to return its money, CBRE was compensating for the consequence of its negligence, that is the loss arising from the valuation.  That may have been reflected in at least part of the irrecoverable portion of the debt owed by the </w:t>
      </w:r>
      <w:r w:rsidR="00D7072A">
        <w:rPr>
          <w:rFonts w:ascii="Times New Roman" w:hAnsi="Times New Roman" w:cs="Times New Roman"/>
          <w:sz w:val="24"/>
          <w:szCs w:val="24"/>
        </w:rPr>
        <w:t>D</w:t>
      </w:r>
      <w:r w:rsidR="00F237CF" w:rsidRPr="00434D69">
        <w:rPr>
          <w:rFonts w:ascii="Times New Roman" w:hAnsi="Times New Roman" w:cs="Times New Roman"/>
          <w:sz w:val="24"/>
          <w:szCs w:val="24"/>
        </w:rPr>
        <w:t xml:space="preserve">efendants.  It may have been directed to the same end, but was </w:t>
      </w:r>
      <w:r w:rsidR="00D7072A">
        <w:rPr>
          <w:rFonts w:ascii="Times New Roman" w:hAnsi="Times New Roman" w:cs="Times New Roman"/>
          <w:sz w:val="24"/>
          <w:szCs w:val="24"/>
        </w:rPr>
        <w:t xml:space="preserve">and is </w:t>
      </w:r>
      <w:r w:rsidR="00F237CF" w:rsidRPr="00434D69">
        <w:rPr>
          <w:rFonts w:ascii="Times New Roman" w:hAnsi="Times New Roman" w:cs="Times New Roman"/>
          <w:i/>
          <w:sz w:val="24"/>
          <w:szCs w:val="24"/>
        </w:rPr>
        <w:t>not</w:t>
      </w:r>
      <w:r w:rsidR="00F237CF" w:rsidRPr="00434D69">
        <w:rPr>
          <w:rFonts w:ascii="Times New Roman" w:hAnsi="Times New Roman" w:cs="Times New Roman"/>
          <w:sz w:val="24"/>
          <w:szCs w:val="24"/>
        </w:rPr>
        <w:t xml:space="preserve"> the same loss.</w:t>
      </w:r>
    </w:p>
    <w:p w14:paraId="0FC239F1" w14:textId="77777777" w:rsidR="00F237CF" w:rsidRPr="00434D69" w:rsidRDefault="00F237CF"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29357C70" w14:textId="68112903" w:rsidR="009E5AF0" w:rsidRPr="00434D69" w:rsidRDefault="009E5AF0"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A simple analysis of the relationship between the two types of claim explains why this must be so.  If CBRE negligently valued the property, and if the Bank would not have extended a loan to the defendants had it not received that valuation, it can certainly be argued that CBRE is liable to the bank for the extent of the loan that is not recovered from the defendants.</w:t>
      </w:r>
      <w:r w:rsidR="008764D3" w:rsidRPr="00434D69">
        <w:rPr>
          <w:rFonts w:ascii="Times New Roman" w:hAnsi="Times New Roman" w:cs="Times New Roman"/>
          <w:sz w:val="24"/>
          <w:szCs w:val="24"/>
        </w:rPr>
        <w:t xml:space="preserve">  However, the most prevalent theory would suggest a more complex analysis based upon the relationship between the extent of the overvaluation and the value of the loan granted to the borrower (which necessarily includes the extent to which recovery has been made or is possible).</w:t>
      </w:r>
      <w:r w:rsidRPr="00434D69">
        <w:rPr>
          <w:rFonts w:ascii="Times New Roman" w:hAnsi="Times New Roman" w:cs="Times New Roman"/>
          <w:sz w:val="24"/>
          <w:szCs w:val="24"/>
        </w:rPr>
        <w:t xml:space="preserve">  </w:t>
      </w:r>
      <w:r w:rsidR="008764D3" w:rsidRPr="00434D69">
        <w:rPr>
          <w:rFonts w:ascii="Times New Roman" w:hAnsi="Times New Roman" w:cs="Times New Roman"/>
          <w:sz w:val="24"/>
          <w:szCs w:val="24"/>
        </w:rPr>
        <w:t>Either way</w:t>
      </w:r>
      <w:r w:rsidR="00D7072A">
        <w:rPr>
          <w:rFonts w:ascii="Times New Roman" w:hAnsi="Times New Roman" w:cs="Times New Roman"/>
          <w:sz w:val="24"/>
          <w:szCs w:val="24"/>
        </w:rPr>
        <w:t>,</w:t>
      </w:r>
      <w:r w:rsidR="008764D3" w:rsidRPr="00434D69">
        <w:rPr>
          <w:rFonts w:ascii="Times New Roman" w:hAnsi="Times New Roman" w:cs="Times New Roman"/>
          <w:sz w:val="24"/>
          <w:szCs w:val="24"/>
        </w:rPr>
        <w:t xml:space="preserve"> it must be the case that recovery from CBRE did not affect the legal liability of the </w:t>
      </w:r>
      <w:r w:rsidR="00D7072A">
        <w:rPr>
          <w:rFonts w:ascii="Times New Roman" w:hAnsi="Times New Roman" w:cs="Times New Roman"/>
          <w:sz w:val="24"/>
          <w:szCs w:val="24"/>
        </w:rPr>
        <w:t>D</w:t>
      </w:r>
      <w:r w:rsidR="008764D3" w:rsidRPr="00434D69">
        <w:rPr>
          <w:rFonts w:ascii="Times New Roman" w:hAnsi="Times New Roman" w:cs="Times New Roman"/>
          <w:sz w:val="24"/>
          <w:szCs w:val="24"/>
        </w:rPr>
        <w:t xml:space="preserve">efendants under the loan agreements.  </w:t>
      </w:r>
      <w:r w:rsidRPr="00434D69">
        <w:rPr>
          <w:rFonts w:ascii="Times New Roman" w:hAnsi="Times New Roman" w:cs="Times New Roman"/>
          <w:sz w:val="24"/>
          <w:szCs w:val="24"/>
        </w:rPr>
        <w:t xml:space="preserve">The </w:t>
      </w:r>
      <w:r w:rsidR="00D7072A">
        <w:rPr>
          <w:rFonts w:ascii="Times New Roman" w:hAnsi="Times New Roman" w:cs="Times New Roman"/>
          <w:sz w:val="24"/>
          <w:szCs w:val="24"/>
        </w:rPr>
        <w:t xml:space="preserve">(allegedly) </w:t>
      </w:r>
      <w:r w:rsidRPr="00434D69">
        <w:rPr>
          <w:rFonts w:ascii="Times New Roman" w:hAnsi="Times New Roman" w:cs="Times New Roman"/>
          <w:sz w:val="24"/>
          <w:szCs w:val="24"/>
        </w:rPr>
        <w:t xml:space="preserve">negligent conduct of a valuation by CBRE did not release </w:t>
      </w:r>
      <w:r w:rsidRPr="00434D69">
        <w:rPr>
          <w:rFonts w:ascii="Times New Roman" w:hAnsi="Times New Roman" w:cs="Times New Roman"/>
          <w:sz w:val="24"/>
          <w:szCs w:val="24"/>
        </w:rPr>
        <w:lastRenderedPageBreak/>
        <w:t xml:space="preserve">the </w:t>
      </w:r>
      <w:r w:rsidR="00D7072A">
        <w:rPr>
          <w:rFonts w:ascii="Times New Roman" w:hAnsi="Times New Roman" w:cs="Times New Roman"/>
          <w:sz w:val="24"/>
          <w:szCs w:val="24"/>
        </w:rPr>
        <w:t>D</w:t>
      </w:r>
      <w:r w:rsidRPr="00434D69">
        <w:rPr>
          <w:rFonts w:ascii="Times New Roman" w:hAnsi="Times New Roman" w:cs="Times New Roman"/>
          <w:sz w:val="24"/>
          <w:szCs w:val="24"/>
        </w:rPr>
        <w:t xml:space="preserve">efendants from any part of their loan obligation. They were </w:t>
      </w:r>
      <w:r w:rsidR="00D7072A">
        <w:rPr>
          <w:rFonts w:ascii="Times New Roman" w:hAnsi="Times New Roman" w:cs="Times New Roman"/>
          <w:sz w:val="24"/>
          <w:szCs w:val="24"/>
        </w:rPr>
        <w:t xml:space="preserve">advanced a loan </w:t>
      </w:r>
      <w:r w:rsidRPr="00434D69">
        <w:rPr>
          <w:rFonts w:ascii="Times New Roman" w:hAnsi="Times New Roman" w:cs="Times New Roman"/>
          <w:sz w:val="24"/>
          <w:szCs w:val="24"/>
        </w:rPr>
        <w:t xml:space="preserve">by the </w:t>
      </w:r>
      <w:r w:rsidR="00F01A93">
        <w:rPr>
          <w:rFonts w:ascii="Times New Roman" w:hAnsi="Times New Roman" w:cs="Times New Roman"/>
          <w:sz w:val="24"/>
          <w:szCs w:val="24"/>
        </w:rPr>
        <w:t>B</w:t>
      </w:r>
      <w:r w:rsidRPr="00434D69">
        <w:rPr>
          <w:rFonts w:ascii="Times New Roman" w:hAnsi="Times New Roman" w:cs="Times New Roman"/>
          <w:sz w:val="24"/>
          <w:szCs w:val="24"/>
        </w:rPr>
        <w:t xml:space="preserve">ank and they were legally obliged to repay it.  The fact that the </w:t>
      </w:r>
      <w:r w:rsidR="00F01A93">
        <w:rPr>
          <w:rFonts w:ascii="Times New Roman" w:hAnsi="Times New Roman" w:cs="Times New Roman"/>
          <w:sz w:val="24"/>
          <w:szCs w:val="24"/>
        </w:rPr>
        <w:t>B</w:t>
      </w:r>
      <w:r w:rsidRPr="00434D69">
        <w:rPr>
          <w:rFonts w:ascii="Times New Roman" w:hAnsi="Times New Roman" w:cs="Times New Roman"/>
          <w:sz w:val="24"/>
          <w:szCs w:val="24"/>
        </w:rPr>
        <w:t xml:space="preserve">ank recovered monies from CBRE was a matter between the Bank and CBRE.  In point of fact in this case the Bank did credit the defendants with the benefit of the settlement with CBRE.  That was a matter for it.  There is no sense in which it was required to do so.  </w:t>
      </w:r>
      <w:r w:rsidR="00DE7CE3">
        <w:rPr>
          <w:rFonts w:ascii="Times New Roman" w:hAnsi="Times New Roman" w:cs="Times New Roman"/>
          <w:sz w:val="24"/>
          <w:szCs w:val="24"/>
        </w:rPr>
        <w:t>Not to do so</w:t>
      </w:r>
      <w:r w:rsidR="00B67C7D">
        <w:rPr>
          <w:rFonts w:ascii="Times New Roman" w:hAnsi="Times New Roman" w:cs="Times New Roman"/>
          <w:sz w:val="24"/>
          <w:szCs w:val="24"/>
        </w:rPr>
        <w:t>,</w:t>
      </w:r>
      <w:r w:rsidR="00DE7CE3">
        <w:rPr>
          <w:rFonts w:ascii="Times New Roman" w:hAnsi="Times New Roman" w:cs="Times New Roman"/>
          <w:sz w:val="24"/>
          <w:szCs w:val="24"/>
        </w:rPr>
        <w:t xml:space="preserve"> </w:t>
      </w:r>
      <w:r w:rsidRPr="00434D69">
        <w:rPr>
          <w:rFonts w:ascii="Times New Roman" w:hAnsi="Times New Roman" w:cs="Times New Roman"/>
          <w:sz w:val="24"/>
          <w:szCs w:val="24"/>
        </w:rPr>
        <w:t xml:space="preserve">would have resulted in a windfall to the Bank had it obtained full recovery from the defendants, but </w:t>
      </w:r>
      <w:r w:rsidR="00DE7CE3">
        <w:rPr>
          <w:rFonts w:ascii="Times New Roman" w:hAnsi="Times New Roman" w:cs="Times New Roman"/>
          <w:sz w:val="24"/>
          <w:szCs w:val="24"/>
        </w:rPr>
        <w:t xml:space="preserve">that windfall was </w:t>
      </w:r>
      <w:r w:rsidR="00081B0B">
        <w:rPr>
          <w:rFonts w:ascii="Times New Roman" w:hAnsi="Times New Roman" w:cs="Times New Roman"/>
          <w:sz w:val="24"/>
          <w:szCs w:val="24"/>
        </w:rPr>
        <w:t xml:space="preserve">a detriment to CBRE not the defendants who remained liable for </w:t>
      </w:r>
      <w:r w:rsidR="007C3AC3">
        <w:rPr>
          <w:rFonts w:ascii="Times New Roman" w:hAnsi="Times New Roman" w:cs="Times New Roman"/>
          <w:sz w:val="24"/>
          <w:szCs w:val="24"/>
        </w:rPr>
        <w:t>the debt.  It</w:t>
      </w:r>
      <w:r w:rsidR="00C5680D">
        <w:rPr>
          <w:rFonts w:ascii="Times New Roman" w:hAnsi="Times New Roman" w:cs="Times New Roman"/>
          <w:sz w:val="24"/>
          <w:szCs w:val="24"/>
        </w:rPr>
        <w:t xml:space="preserve"> </w:t>
      </w:r>
      <w:r w:rsidR="007C3AC3">
        <w:rPr>
          <w:rFonts w:ascii="Times New Roman" w:hAnsi="Times New Roman" w:cs="Times New Roman"/>
          <w:sz w:val="24"/>
          <w:szCs w:val="24"/>
        </w:rPr>
        <w:t xml:space="preserve">would have </w:t>
      </w:r>
      <w:r w:rsidR="00DE7CE3">
        <w:rPr>
          <w:rFonts w:ascii="Times New Roman" w:hAnsi="Times New Roman" w:cs="Times New Roman"/>
          <w:sz w:val="24"/>
          <w:szCs w:val="24"/>
        </w:rPr>
        <w:t>result</w:t>
      </w:r>
      <w:r w:rsidR="007C3AC3">
        <w:rPr>
          <w:rFonts w:ascii="Times New Roman" w:hAnsi="Times New Roman" w:cs="Times New Roman"/>
          <w:sz w:val="24"/>
          <w:szCs w:val="24"/>
        </w:rPr>
        <w:t>ed</w:t>
      </w:r>
      <w:r w:rsidR="00DE7CE3">
        <w:rPr>
          <w:rFonts w:ascii="Times New Roman" w:hAnsi="Times New Roman" w:cs="Times New Roman"/>
          <w:sz w:val="24"/>
          <w:szCs w:val="24"/>
        </w:rPr>
        <w:t xml:space="preserve"> not of any failure in the allocation of responsibility as between the defendants and CBRE, but as a consequence of CBRE’s failure to</w:t>
      </w:r>
      <w:r w:rsidR="00C00A66">
        <w:rPr>
          <w:rFonts w:ascii="Times New Roman" w:hAnsi="Times New Roman" w:cs="Times New Roman"/>
          <w:sz w:val="24"/>
          <w:szCs w:val="24"/>
        </w:rPr>
        <w:t xml:space="preserve"> require reimbursement to the extent that monies were recovered from the </w:t>
      </w:r>
      <w:r w:rsidR="00C5680D">
        <w:rPr>
          <w:rFonts w:ascii="Times New Roman" w:hAnsi="Times New Roman" w:cs="Times New Roman"/>
          <w:sz w:val="24"/>
          <w:szCs w:val="24"/>
        </w:rPr>
        <w:t>D</w:t>
      </w:r>
      <w:r w:rsidR="00C00A66">
        <w:rPr>
          <w:rFonts w:ascii="Times New Roman" w:hAnsi="Times New Roman" w:cs="Times New Roman"/>
          <w:sz w:val="24"/>
          <w:szCs w:val="24"/>
        </w:rPr>
        <w:t xml:space="preserve">efendants.  To put it another way, had the action against CBRE come to trial it would have been incumbent on the </w:t>
      </w:r>
      <w:r w:rsidR="00F01A93">
        <w:rPr>
          <w:rFonts w:ascii="Times New Roman" w:hAnsi="Times New Roman" w:cs="Times New Roman"/>
          <w:sz w:val="24"/>
          <w:szCs w:val="24"/>
        </w:rPr>
        <w:t>B</w:t>
      </w:r>
      <w:r w:rsidR="00C00A66">
        <w:rPr>
          <w:rFonts w:ascii="Times New Roman" w:hAnsi="Times New Roman" w:cs="Times New Roman"/>
          <w:sz w:val="24"/>
          <w:szCs w:val="24"/>
        </w:rPr>
        <w:t xml:space="preserve">ank to establish that it could not recover fully against the </w:t>
      </w:r>
      <w:r w:rsidR="00D7072A">
        <w:rPr>
          <w:rFonts w:ascii="Times New Roman" w:hAnsi="Times New Roman" w:cs="Times New Roman"/>
          <w:sz w:val="24"/>
          <w:szCs w:val="24"/>
        </w:rPr>
        <w:t>D</w:t>
      </w:r>
      <w:r w:rsidR="00C00A66">
        <w:rPr>
          <w:rFonts w:ascii="Times New Roman" w:hAnsi="Times New Roman" w:cs="Times New Roman"/>
          <w:sz w:val="24"/>
          <w:szCs w:val="24"/>
        </w:rPr>
        <w:t xml:space="preserve">efendants.  </w:t>
      </w:r>
      <w:r w:rsidR="00C5680D">
        <w:rPr>
          <w:rFonts w:ascii="Times New Roman" w:hAnsi="Times New Roman" w:cs="Times New Roman"/>
          <w:sz w:val="24"/>
          <w:szCs w:val="24"/>
        </w:rPr>
        <w:t xml:space="preserve">Absent such proof, the Bank could not have established any loss. </w:t>
      </w:r>
      <w:r w:rsidR="00C00A66">
        <w:rPr>
          <w:rFonts w:ascii="Times New Roman" w:hAnsi="Times New Roman" w:cs="Times New Roman"/>
          <w:sz w:val="24"/>
          <w:szCs w:val="24"/>
        </w:rPr>
        <w:t xml:space="preserve">  No such requirement was imposed on the </w:t>
      </w:r>
      <w:r w:rsidR="00F01A93">
        <w:rPr>
          <w:rFonts w:ascii="Times New Roman" w:hAnsi="Times New Roman" w:cs="Times New Roman"/>
          <w:sz w:val="24"/>
          <w:szCs w:val="24"/>
        </w:rPr>
        <w:t>B</w:t>
      </w:r>
      <w:r w:rsidR="00C00A66">
        <w:rPr>
          <w:rFonts w:ascii="Times New Roman" w:hAnsi="Times New Roman" w:cs="Times New Roman"/>
          <w:sz w:val="24"/>
          <w:szCs w:val="24"/>
        </w:rPr>
        <w:t>ank in seeking to recover the debt</w:t>
      </w:r>
      <w:r w:rsidR="00D63F6F">
        <w:rPr>
          <w:rFonts w:ascii="Times New Roman" w:hAnsi="Times New Roman" w:cs="Times New Roman"/>
          <w:sz w:val="24"/>
          <w:szCs w:val="24"/>
        </w:rPr>
        <w:t xml:space="preserve"> from the </w:t>
      </w:r>
      <w:r w:rsidR="00D7072A">
        <w:rPr>
          <w:rFonts w:ascii="Times New Roman" w:hAnsi="Times New Roman" w:cs="Times New Roman"/>
          <w:sz w:val="24"/>
          <w:szCs w:val="24"/>
        </w:rPr>
        <w:t>D</w:t>
      </w:r>
      <w:r w:rsidR="00D63F6F">
        <w:rPr>
          <w:rFonts w:ascii="Times New Roman" w:hAnsi="Times New Roman" w:cs="Times New Roman"/>
          <w:sz w:val="24"/>
          <w:szCs w:val="24"/>
        </w:rPr>
        <w:t>efendants</w:t>
      </w:r>
      <w:r w:rsidR="00C00A66">
        <w:rPr>
          <w:rFonts w:ascii="Times New Roman" w:hAnsi="Times New Roman" w:cs="Times New Roman"/>
          <w:sz w:val="24"/>
          <w:szCs w:val="24"/>
        </w:rPr>
        <w:t xml:space="preserve">.  </w:t>
      </w:r>
      <w:r w:rsidRPr="00434D69">
        <w:rPr>
          <w:rFonts w:ascii="Times New Roman" w:hAnsi="Times New Roman" w:cs="Times New Roman"/>
          <w:sz w:val="24"/>
          <w:szCs w:val="24"/>
        </w:rPr>
        <w:t>It wa</w:t>
      </w:r>
      <w:r w:rsidR="00424D8E">
        <w:rPr>
          <w:rFonts w:ascii="Times New Roman" w:hAnsi="Times New Roman" w:cs="Times New Roman"/>
          <w:sz w:val="24"/>
          <w:szCs w:val="24"/>
        </w:rPr>
        <w:t xml:space="preserve">s </w:t>
      </w:r>
      <w:r w:rsidRPr="00434D69">
        <w:rPr>
          <w:rFonts w:ascii="Times New Roman" w:hAnsi="Times New Roman" w:cs="Times New Roman"/>
          <w:sz w:val="24"/>
          <w:szCs w:val="24"/>
        </w:rPr>
        <w:t xml:space="preserve">a matter for the </w:t>
      </w:r>
      <w:r w:rsidR="00D7072A">
        <w:rPr>
          <w:rFonts w:ascii="Times New Roman" w:hAnsi="Times New Roman" w:cs="Times New Roman"/>
          <w:sz w:val="24"/>
          <w:szCs w:val="24"/>
        </w:rPr>
        <w:t>D</w:t>
      </w:r>
      <w:r w:rsidRPr="00434D69">
        <w:rPr>
          <w:rFonts w:ascii="Times New Roman" w:hAnsi="Times New Roman" w:cs="Times New Roman"/>
          <w:sz w:val="24"/>
          <w:szCs w:val="24"/>
        </w:rPr>
        <w:t>efendants to sue CBRE if they believed they had any cause of action against it.  All of this is a consequence of</w:t>
      </w:r>
      <w:r w:rsidR="00C00A66">
        <w:rPr>
          <w:rFonts w:ascii="Times New Roman" w:hAnsi="Times New Roman" w:cs="Times New Roman"/>
          <w:sz w:val="24"/>
          <w:szCs w:val="24"/>
        </w:rPr>
        <w:t>, and demonstrates,</w:t>
      </w:r>
      <w:r w:rsidRPr="00434D69">
        <w:rPr>
          <w:rFonts w:ascii="Times New Roman" w:hAnsi="Times New Roman" w:cs="Times New Roman"/>
          <w:sz w:val="24"/>
          <w:szCs w:val="24"/>
        </w:rPr>
        <w:t xml:space="preserve"> the dissociation of the claim against CBRE for negligence and the claim in debt against the </w:t>
      </w:r>
      <w:r w:rsidR="00D7072A">
        <w:rPr>
          <w:rFonts w:ascii="Times New Roman" w:hAnsi="Times New Roman" w:cs="Times New Roman"/>
          <w:sz w:val="24"/>
          <w:szCs w:val="24"/>
        </w:rPr>
        <w:t>D</w:t>
      </w:r>
      <w:r w:rsidRPr="00434D69">
        <w:rPr>
          <w:rFonts w:ascii="Times New Roman" w:hAnsi="Times New Roman" w:cs="Times New Roman"/>
          <w:sz w:val="24"/>
          <w:szCs w:val="24"/>
        </w:rPr>
        <w:t>efendants.</w:t>
      </w:r>
    </w:p>
    <w:p w14:paraId="03F39CC6" w14:textId="77777777" w:rsidR="00997022" w:rsidRPr="00434D69" w:rsidRDefault="00997022"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33D2015E" w14:textId="77777777" w:rsidR="00A74EAF" w:rsidRPr="00C00A66" w:rsidRDefault="00A74EAF" w:rsidP="00272396">
      <w:pPr>
        <w:pStyle w:val="Heading2"/>
      </w:pPr>
      <w:r w:rsidRPr="00C00A66">
        <w:t xml:space="preserve">The cases  </w:t>
      </w:r>
    </w:p>
    <w:p w14:paraId="1A8B37C9" w14:textId="77777777" w:rsidR="00A74EAF" w:rsidRPr="00434D69" w:rsidRDefault="00A74EAF" w:rsidP="00434D69">
      <w:pPr>
        <w:pStyle w:val="ListParagraph"/>
        <w:spacing w:after="0" w:line="480" w:lineRule="auto"/>
        <w:rPr>
          <w:rFonts w:ascii="Times New Roman" w:hAnsi="Times New Roman" w:cs="Times New Roman"/>
          <w:sz w:val="24"/>
          <w:szCs w:val="24"/>
        </w:rPr>
      </w:pPr>
    </w:p>
    <w:p w14:paraId="69E7DC2E" w14:textId="60FCBE45" w:rsidR="00577FCE" w:rsidRDefault="00577FCE" w:rsidP="003C658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reasoning of the trial Judge in reaching a different conclusion</w:t>
      </w:r>
      <w:r w:rsidRPr="00434D69">
        <w:rPr>
          <w:rFonts w:ascii="Times New Roman" w:hAnsi="Times New Roman" w:cs="Times New Roman"/>
          <w:sz w:val="24"/>
          <w:szCs w:val="24"/>
        </w:rPr>
        <w:t xml:space="preserve"> reflects that of Laffoy J. in </w:t>
      </w:r>
      <w:r w:rsidRPr="00434D69">
        <w:rPr>
          <w:rFonts w:ascii="Times New Roman" w:hAnsi="Times New Roman" w:cs="Times New Roman"/>
          <w:i/>
          <w:sz w:val="24"/>
          <w:szCs w:val="24"/>
        </w:rPr>
        <w:t xml:space="preserve">ACC Bank plc v. Malocco </w:t>
      </w:r>
      <w:r w:rsidRPr="00434D69">
        <w:rPr>
          <w:rFonts w:ascii="Times New Roman" w:hAnsi="Times New Roman" w:cs="Times New Roman"/>
          <w:sz w:val="24"/>
          <w:szCs w:val="24"/>
        </w:rPr>
        <w:t>[2000] 3 IR 191</w:t>
      </w:r>
      <w:r w:rsidR="00C5680D">
        <w:rPr>
          <w:rFonts w:ascii="Times New Roman" w:hAnsi="Times New Roman" w:cs="Times New Roman"/>
          <w:sz w:val="24"/>
          <w:szCs w:val="24"/>
        </w:rPr>
        <w:t xml:space="preserve"> (“</w:t>
      </w:r>
      <w:r w:rsidR="00C5680D" w:rsidRPr="00C5680D">
        <w:rPr>
          <w:rFonts w:ascii="Times New Roman" w:hAnsi="Times New Roman" w:cs="Times New Roman"/>
          <w:i/>
          <w:sz w:val="24"/>
          <w:szCs w:val="24"/>
        </w:rPr>
        <w:t>Malocco</w:t>
      </w:r>
      <w:r w:rsidR="00C5680D">
        <w:rPr>
          <w:rFonts w:ascii="Times New Roman" w:hAnsi="Times New Roman" w:cs="Times New Roman"/>
          <w:sz w:val="24"/>
          <w:szCs w:val="24"/>
        </w:rPr>
        <w:t>”)</w:t>
      </w:r>
      <w:r w:rsidRPr="00434D69">
        <w:rPr>
          <w:rFonts w:ascii="Times New Roman" w:hAnsi="Times New Roman" w:cs="Times New Roman"/>
          <w:sz w:val="24"/>
          <w:szCs w:val="24"/>
        </w:rPr>
        <w:t xml:space="preserve"> and of Barniville J. in </w:t>
      </w:r>
      <w:r w:rsidRPr="00434D69">
        <w:rPr>
          <w:rFonts w:ascii="Times New Roman" w:hAnsi="Times New Roman" w:cs="Times New Roman"/>
          <w:i/>
          <w:sz w:val="24"/>
          <w:szCs w:val="24"/>
        </w:rPr>
        <w:t>AIB v. O</w:t>
      </w:r>
      <w:r w:rsidR="00B67C7D">
        <w:rPr>
          <w:rFonts w:ascii="Times New Roman" w:hAnsi="Times New Roman" w:cs="Times New Roman"/>
          <w:i/>
          <w:sz w:val="24"/>
          <w:szCs w:val="24"/>
        </w:rPr>
        <w:t>’</w:t>
      </w:r>
      <w:r w:rsidRPr="00434D69">
        <w:rPr>
          <w:rFonts w:ascii="Times New Roman" w:hAnsi="Times New Roman" w:cs="Times New Roman"/>
          <w:i/>
          <w:sz w:val="24"/>
          <w:szCs w:val="24"/>
        </w:rPr>
        <w:t xml:space="preserve">Reilly </w:t>
      </w:r>
      <w:r w:rsidRPr="00434D69">
        <w:rPr>
          <w:rFonts w:ascii="Times New Roman" w:hAnsi="Times New Roman" w:cs="Times New Roman"/>
          <w:sz w:val="24"/>
          <w:szCs w:val="24"/>
        </w:rPr>
        <w:t>[2019] IEHC 151</w:t>
      </w:r>
      <w:r w:rsidR="00A42F73">
        <w:rPr>
          <w:rFonts w:ascii="Times New Roman" w:hAnsi="Times New Roman" w:cs="Times New Roman"/>
          <w:sz w:val="24"/>
          <w:szCs w:val="24"/>
        </w:rPr>
        <w:t>,</w:t>
      </w:r>
      <w:r w:rsidR="00A42F73" w:rsidRPr="00A42F73">
        <w:rPr>
          <w:rFonts w:ascii="Arial" w:hAnsi="Arial" w:cs="Arial"/>
          <w:color w:val="333333"/>
          <w:sz w:val="21"/>
          <w:szCs w:val="21"/>
          <w:shd w:val="clear" w:color="auto" w:fill="FFFFFF"/>
        </w:rPr>
        <w:t xml:space="preserve"> </w:t>
      </w:r>
      <w:r w:rsidR="00A42F73" w:rsidRPr="00A42F73">
        <w:rPr>
          <w:rFonts w:ascii="Times New Roman" w:hAnsi="Times New Roman" w:cs="Times New Roman"/>
          <w:sz w:val="24"/>
          <w:szCs w:val="24"/>
        </w:rPr>
        <w:t>[2019] 3 IR 722</w:t>
      </w:r>
      <w:r w:rsidRPr="00434D69">
        <w:rPr>
          <w:rFonts w:ascii="Times New Roman" w:hAnsi="Times New Roman" w:cs="Times New Roman"/>
          <w:sz w:val="24"/>
          <w:szCs w:val="24"/>
        </w:rPr>
        <w:t xml:space="preserve"> </w:t>
      </w:r>
      <w:r w:rsidR="00C5680D">
        <w:rPr>
          <w:rFonts w:ascii="Times New Roman" w:hAnsi="Times New Roman" w:cs="Times New Roman"/>
          <w:sz w:val="24"/>
          <w:szCs w:val="24"/>
        </w:rPr>
        <w:t>(“</w:t>
      </w:r>
      <w:r w:rsidR="00C5680D" w:rsidRPr="00C5680D">
        <w:rPr>
          <w:rFonts w:ascii="Times New Roman" w:hAnsi="Times New Roman" w:cs="Times New Roman"/>
          <w:i/>
          <w:sz w:val="24"/>
          <w:szCs w:val="24"/>
        </w:rPr>
        <w:t>O</w:t>
      </w:r>
      <w:r w:rsidR="00B67C7D">
        <w:rPr>
          <w:rFonts w:ascii="Times New Roman" w:hAnsi="Times New Roman" w:cs="Times New Roman"/>
          <w:i/>
          <w:sz w:val="24"/>
          <w:szCs w:val="24"/>
        </w:rPr>
        <w:t>’</w:t>
      </w:r>
      <w:r w:rsidR="00C5680D" w:rsidRPr="00C5680D">
        <w:rPr>
          <w:rFonts w:ascii="Times New Roman" w:hAnsi="Times New Roman" w:cs="Times New Roman"/>
          <w:i/>
          <w:sz w:val="24"/>
          <w:szCs w:val="24"/>
        </w:rPr>
        <w:t xml:space="preserve"> Reilly</w:t>
      </w:r>
      <w:r w:rsidR="00C5680D">
        <w:rPr>
          <w:rFonts w:ascii="Times New Roman" w:hAnsi="Times New Roman" w:cs="Times New Roman"/>
          <w:sz w:val="24"/>
          <w:szCs w:val="24"/>
        </w:rPr>
        <w:t xml:space="preserve">”) </w:t>
      </w:r>
      <w:r w:rsidRPr="00434D69">
        <w:rPr>
          <w:rFonts w:ascii="Times New Roman" w:hAnsi="Times New Roman" w:cs="Times New Roman"/>
          <w:sz w:val="24"/>
          <w:szCs w:val="24"/>
        </w:rPr>
        <w:t xml:space="preserve">but differed from the view </w:t>
      </w:r>
      <w:r w:rsidRPr="00434D69">
        <w:rPr>
          <w:rFonts w:ascii="Times New Roman" w:hAnsi="Times New Roman" w:cs="Times New Roman"/>
          <w:sz w:val="24"/>
          <w:szCs w:val="24"/>
        </w:rPr>
        <w:lastRenderedPageBreak/>
        <w:t xml:space="preserve">adopted by Finlay Geoghegan J. in </w:t>
      </w:r>
      <w:r w:rsidRPr="00434D69">
        <w:rPr>
          <w:rFonts w:ascii="Times New Roman" w:hAnsi="Times New Roman" w:cs="Times New Roman"/>
          <w:i/>
          <w:sz w:val="24"/>
          <w:szCs w:val="24"/>
        </w:rPr>
        <w:t>Histon v. Shannon Foynes Port Company</w:t>
      </w:r>
      <w:r w:rsidR="00F01A93">
        <w:rPr>
          <w:rFonts w:ascii="Times New Roman" w:hAnsi="Times New Roman" w:cs="Times New Roman"/>
          <w:i/>
          <w:sz w:val="24"/>
          <w:szCs w:val="24"/>
        </w:rPr>
        <w:t xml:space="preserve"> </w:t>
      </w:r>
      <w:r w:rsidR="00F01A93">
        <w:rPr>
          <w:rFonts w:ascii="Times New Roman" w:hAnsi="Times New Roman" w:cs="Times New Roman"/>
          <w:iCs/>
          <w:sz w:val="24"/>
          <w:szCs w:val="24"/>
        </w:rPr>
        <w:t>[2006] IEHC 190,</w:t>
      </w:r>
      <w:r w:rsidRPr="00434D69">
        <w:rPr>
          <w:rFonts w:ascii="Times New Roman" w:hAnsi="Times New Roman" w:cs="Times New Roman"/>
          <w:sz w:val="24"/>
          <w:szCs w:val="24"/>
        </w:rPr>
        <w:t xml:space="preserve"> [2007] 1 IR 781 (</w:t>
      </w:r>
      <w:r w:rsidR="00C5680D">
        <w:rPr>
          <w:rFonts w:ascii="Times New Roman" w:hAnsi="Times New Roman" w:cs="Times New Roman"/>
          <w:sz w:val="24"/>
          <w:szCs w:val="24"/>
        </w:rPr>
        <w:t>“</w:t>
      </w:r>
      <w:r w:rsidRPr="00434D69">
        <w:rPr>
          <w:rFonts w:ascii="Times New Roman" w:hAnsi="Times New Roman" w:cs="Times New Roman"/>
          <w:i/>
          <w:sz w:val="24"/>
          <w:szCs w:val="24"/>
        </w:rPr>
        <w:t>Histon</w:t>
      </w:r>
      <w:r w:rsidR="00C5680D">
        <w:rPr>
          <w:rFonts w:ascii="Times New Roman" w:hAnsi="Times New Roman" w:cs="Times New Roman"/>
          <w:i/>
          <w:sz w:val="24"/>
          <w:szCs w:val="24"/>
        </w:rPr>
        <w:t>”</w:t>
      </w:r>
      <w:r w:rsidRPr="00434D69">
        <w:rPr>
          <w:rFonts w:ascii="Times New Roman" w:hAnsi="Times New Roman" w:cs="Times New Roman"/>
          <w:sz w:val="24"/>
          <w:szCs w:val="24"/>
        </w:rPr>
        <w:t xml:space="preserve">).  </w:t>
      </w:r>
      <w:r w:rsidR="005F728E">
        <w:rPr>
          <w:rFonts w:ascii="Times New Roman" w:hAnsi="Times New Roman" w:cs="Times New Roman"/>
          <w:sz w:val="24"/>
          <w:szCs w:val="24"/>
        </w:rPr>
        <w:t>So far as we are aware, n</w:t>
      </w:r>
      <w:r w:rsidRPr="00434D69">
        <w:rPr>
          <w:rFonts w:ascii="Times New Roman" w:hAnsi="Times New Roman" w:cs="Times New Roman"/>
          <w:sz w:val="24"/>
          <w:szCs w:val="24"/>
        </w:rPr>
        <w:t>either this Court nor the Supreme Court have ruled on this issue.</w:t>
      </w:r>
    </w:p>
    <w:p w14:paraId="7EF6B975" w14:textId="77777777" w:rsidR="00577FCE" w:rsidRPr="00577FCE" w:rsidRDefault="00577FCE" w:rsidP="00577FCE">
      <w:pPr>
        <w:pStyle w:val="ListParagraph"/>
        <w:spacing w:after="0" w:line="480" w:lineRule="auto"/>
        <w:jc w:val="both"/>
        <w:rPr>
          <w:rFonts w:ascii="Times New Roman" w:hAnsi="Times New Roman" w:cs="Times New Roman"/>
          <w:sz w:val="24"/>
          <w:szCs w:val="24"/>
        </w:rPr>
      </w:pPr>
      <w:r>
        <w:rPr>
          <w:rFonts w:ascii="Times New Roman" w:hAnsi="Times New Roman" w:cs="Times New Roman"/>
          <w:i/>
          <w:sz w:val="24"/>
          <w:szCs w:val="24"/>
        </w:rPr>
        <w:t xml:space="preserve">  </w:t>
      </w:r>
    </w:p>
    <w:p w14:paraId="5A35BB28" w14:textId="3C5E614B" w:rsidR="00000517" w:rsidRPr="00434D69" w:rsidRDefault="00000517"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i/>
          <w:sz w:val="24"/>
          <w:szCs w:val="24"/>
        </w:rPr>
        <w:t xml:space="preserve">Malocco </w:t>
      </w:r>
      <w:r w:rsidRPr="00434D69">
        <w:rPr>
          <w:rFonts w:ascii="Times New Roman" w:hAnsi="Times New Roman" w:cs="Times New Roman"/>
          <w:sz w:val="24"/>
          <w:szCs w:val="24"/>
        </w:rPr>
        <w:t xml:space="preserve">appears to have been the first case in which the Courts in this jurisdiction </w:t>
      </w:r>
      <w:r w:rsidR="00191818" w:rsidRPr="00434D69">
        <w:rPr>
          <w:rFonts w:ascii="Times New Roman" w:hAnsi="Times New Roman" w:cs="Times New Roman"/>
          <w:sz w:val="24"/>
          <w:szCs w:val="24"/>
        </w:rPr>
        <w:t xml:space="preserve">considered </w:t>
      </w:r>
      <w:r w:rsidRPr="00434D69">
        <w:rPr>
          <w:rFonts w:ascii="Times New Roman" w:hAnsi="Times New Roman" w:cs="Times New Roman"/>
          <w:sz w:val="24"/>
          <w:szCs w:val="24"/>
        </w:rPr>
        <w:t>whether an action to recover a debt was capable of coming within th</w:t>
      </w:r>
      <w:r w:rsidR="001B3BAC">
        <w:rPr>
          <w:rFonts w:ascii="Times New Roman" w:hAnsi="Times New Roman" w:cs="Times New Roman"/>
          <w:sz w:val="24"/>
          <w:szCs w:val="24"/>
        </w:rPr>
        <w:t>os</w:t>
      </w:r>
      <w:r w:rsidRPr="00434D69">
        <w:rPr>
          <w:rFonts w:ascii="Times New Roman" w:hAnsi="Times New Roman" w:cs="Times New Roman"/>
          <w:sz w:val="24"/>
          <w:szCs w:val="24"/>
        </w:rPr>
        <w:t xml:space="preserve">e provisions of the CLA addressing the relationship between concurrent wrongdoers. </w:t>
      </w:r>
      <w:r w:rsidRPr="00434D69">
        <w:rPr>
          <w:rFonts w:ascii="Times New Roman" w:hAnsi="Times New Roman" w:cs="Times New Roman"/>
          <w:i/>
          <w:sz w:val="24"/>
          <w:szCs w:val="24"/>
        </w:rPr>
        <w:t xml:space="preserve"> </w:t>
      </w:r>
      <w:r w:rsidRPr="00434D69">
        <w:rPr>
          <w:rFonts w:ascii="Times New Roman" w:hAnsi="Times New Roman" w:cs="Times New Roman"/>
          <w:sz w:val="24"/>
          <w:szCs w:val="24"/>
        </w:rPr>
        <w:t xml:space="preserve">There, one of the issues </w:t>
      </w:r>
      <w:r w:rsidR="008470CC" w:rsidRPr="00434D69">
        <w:rPr>
          <w:rFonts w:ascii="Times New Roman" w:hAnsi="Times New Roman" w:cs="Times New Roman"/>
          <w:sz w:val="24"/>
          <w:szCs w:val="24"/>
        </w:rPr>
        <w:t xml:space="preserve">in summary </w:t>
      </w:r>
      <w:r w:rsidR="00F01A93">
        <w:rPr>
          <w:rFonts w:ascii="Times New Roman" w:hAnsi="Times New Roman" w:cs="Times New Roman"/>
          <w:sz w:val="24"/>
          <w:szCs w:val="24"/>
        </w:rPr>
        <w:t>‘</w:t>
      </w:r>
      <w:r w:rsidR="008470CC" w:rsidRPr="00434D69">
        <w:rPr>
          <w:rFonts w:ascii="Times New Roman" w:hAnsi="Times New Roman" w:cs="Times New Roman"/>
          <w:sz w:val="24"/>
          <w:szCs w:val="24"/>
        </w:rPr>
        <w:t>well charging</w:t>
      </w:r>
      <w:r w:rsidR="00F01A93">
        <w:rPr>
          <w:rFonts w:ascii="Times New Roman" w:hAnsi="Times New Roman" w:cs="Times New Roman"/>
          <w:sz w:val="24"/>
          <w:szCs w:val="24"/>
        </w:rPr>
        <w:t>’</w:t>
      </w:r>
      <w:r w:rsidR="008470CC" w:rsidRPr="00434D69">
        <w:rPr>
          <w:rFonts w:ascii="Times New Roman" w:hAnsi="Times New Roman" w:cs="Times New Roman"/>
          <w:sz w:val="24"/>
          <w:szCs w:val="24"/>
        </w:rPr>
        <w:t xml:space="preserve"> proceedings brought by ACC Bank </w:t>
      </w:r>
      <w:r w:rsidRPr="00434D69">
        <w:rPr>
          <w:rFonts w:ascii="Times New Roman" w:hAnsi="Times New Roman" w:cs="Times New Roman"/>
          <w:sz w:val="24"/>
          <w:szCs w:val="24"/>
        </w:rPr>
        <w:t>was whether the settlement by the plaintiff bank with one of two joint creditors operated to release and discharge the other.</w:t>
      </w:r>
      <w:r w:rsidR="004D649D" w:rsidRPr="00434D69">
        <w:rPr>
          <w:rFonts w:ascii="Times New Roman" w:hAnsi="Times New Roman" w:cs="Times New Roman"/>
          <w:sz w:val="24"/>
          <w:szCs w:val="24"/>
        </w:rPr>
        <w:t xml:space="preserve">  At common law, the position was that a document which simply released one co-debtor without expressly or impliedly reserving the creditor’s rights against the others would wholly extinguish those rights.  If s</w:t>
      </w:r>
      <w:r w:rsidR="005F728E">
        <w:rPr>
          <w:rFonts w:ascii="Times New Roman" w:hAnsi="Times New Roman" w:cs="Times New Roman"/>
          <w:sz w:val="24"/>
          <w:szCs w:val="24"/>
        </w:rPr>
        <w:t>ection</w:t>
      </w:r>
      <w:r w:rsidR="004D649D" w:rsidRPr="00434D69">
        <w:rPr>
          <w:rFonts w:ascii="Times New Roman" w:hAnsi="Times New Roman" w:cs="Times New Roman"/>
          <w:sz w:val="24"/>
          <w:szCs w:val="24"/>
        </w:rPr>
        <w:t xml:space="preserve"> 17 </w:t>
      </w:r>
      <w:r w:rsidR="00F81BDE">
        <w:rPr>
          <w:rFonts w:ascii="Times New Roman" w:hAnsi="Times New Roman" w:cs="Times New Roman"/>
          <w:sz w:val="24"/>
          <w:szCs w:val="24"/>
        </w:rPr>
        <w:t xml:space="preserve">of the </w:t>
      </w:r>
      <w:r w:rsidR="004D649D" w:rsidRPr="00434D69">
        <w:rPr>
          <w:rFonts w:ascii="Times New Roman" w:hAnsi="Times New Roman" w:cs="Times New Roman"/>
          <w:sz w:val="24"/>
          <w:szCs w:val="24"/>
        </w:rPr>
        <w:t>CLA (which I have quoted above) applied, a settlement agreement with one of several joint debtors discharged the others only if an intention to that effect was indicated.  Laffoy J. concluded that s</w:t>
      </w:r>
      <w:r w:rsidR="005F728E">
        <w:rPr>
          <w:rFonts w:ascii="Times New Roman" w:hAnsi="Times New Roman" w:cs="Times New Roman"/>
          <w:sz w:val="24"/>
          <w:szCs w:val="24"/>
        </w:rPr>
        <w:t>ection</w:t>
      </w:r>
      <w:r w:rsidR="00F81BDE">
        <w:rPr>
          <w:rFonts w:ascii="Times New Roman" w:hAnsi="Times New Roman" w:cs="Times New Roman"/>
          <w:sz w:val="24"/>
          <w:szCs w:val="24"/>
        </w:rPr>
        <w:t xml:space="preserve"> </w:t>
      </w:r>
      <w:r w:rsidR="004D649D" w:rsidRPr="00434D69">
        <w:rPr>
          <w:rFonts w:ascii="Times New Roman" w:hAnsi="Times New Roman" w:cs="Times New Roman"/>
          <w:sz w:val="24"/>
          <w:szCs w:val="24"/>
        </w:rPr>
        <w:t>17 CLA did govern the relations between the parties</w:t>
      </w:r>
      <w:r w:rsidR="008470CC" w:rsidRPr="00434D69">
        <w:rPr>
          <w:rFonts w:ascii="Times New Roman" w:hAnsi="Times New Roman" w:cs="Times New Roman"/>
          <w:sz w:val="24"/>
          <w:szCs w:val="24"/>
        </w:rPr>
        <w:t xml:space="preserve"> and that because no documentary evidence had been adduced as to the intention indicated by the settlement agreement with the other debtor, it would not be appropriate to grant relief of a summary kind against the defendant.</w:t>
      </w:r>
    </w:p>
    <w:p w14:paraId="5A59DEE5" w14:textId="77777777" w:rsidR="008470CC" w:rsidRPr="00434D69" w:rsidRDefault="008470CC"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i/>
          <w:sz w:val="24"/>
          <w:szCs w:val="24"/>
        </w:rPr>
        <w:t xml:space="preserve">  </w:t>
      </w:r>
    </w:p>
    <w:p w14:paraId="44C8F093" w14:textId="758938E0" w:rsidR="008470CC" w:rsidRPr="00434D69" w:rsidRDefault="008470CC"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In reaching that conclusion, Laffoy J. referred to s</w:t>
      </w:r>
      <w:r w:rsidR="005F728E">
        <w:rPr>
          <w:rFonts w:ascii="Times New Roman" w:hAnsi="Times New Roman" w:cs="Times New Roman"/>
          <w:sz w:val="24"/>
          <w:szCs w:val="24"/>
        </w:rPr>
        <w:t>ection</w:t>
      </w:r>
      <w:r w:rsidRPr="00434D69">
        <w:rPr>
          <w:rFonts w:ascii="Times New Roman" w:hAnsi="Times New Roman" w:cs="Times New Roman"/>
          <w:sz w:val="24"/>
          <w:szCs w:val="24"/>
        </w:rPr>
        <w:t xml:space="preserve"> 17 CLA, the definition of wrong in that Act, and s</w:t>
      </w:r>
      <w:r w:rsidR="007C469C">
        <w:rPr>
          <w:rFonts w:ascii="Times New Roman" w:hAnsi="Times New Roman" w:cs="Times New Roman"/>
          <w:sz w:val="24"/>
          <w:szCs w:val="24"/>
        </w:rPr>
        <w:t>ection</w:t>
      </w:r>
      <w:r w:rsidR="00F81BDE">
        <w:rPr>
          <w:rFonts w:ascii="Times New Roman" w:hAnsi="Times New Roman" w:cs="Times New Roman"/>
          <w:sz w:val="24"/>
          <w:szCs w:val="24"/>
        </w:rPr>
        <w:t xml:space="preserve"> </w:t>
      </w:r>
      <w:r w:rsidRPr="00434D69">
        <w:rPr>
          <w:rFonts w:ascii="Times New Roman" w:hAnsi="Times New Roman" w:cs="Times New Roman"/>
          <w:sz w:val="24"/>
          <w:szCs w:val="24"/>
        </w:rPr>
        <w:t>35(1)(h).  She explained her reasoning as follows</w:t>
      </w:r>
      <w:r w:rsidR="00F81BDE">
        <w:rPr>
          <w:rFonts w:ascii="Times New Roman" w:hAnsi="Times New Roman" w:cs="Times New Roman"/>
          <w:sz w:val="24"/>
          <w:szCs w:val="24"/>
        </w:rPr>
        <w:t xml:space="preserve"> (at p. 201)</w:t>
      </w:r>
      <w:r w:rsidRPr="00434D69">
        <w:rPr>
          <w:rFonts w:ascii="Times New Roman" w:hAnsi="Times New Roman" w:cs="Times New Roman"/>
          <w:sz w:val="24"/>
          <w:szCs w:val="24"/>
        </w:rPr>
        <w:t>:</w:t>
      </w:r>
    </w:p>
    <w:p w14:paraId="6BC21B21" w14:textId="77777777" w:rsidR="008470CC" w:rsidRPr="00434D69" w:rsidRDefault="008470CC" w:rsidP="00434D69">
      <w:pPr>
        <w:pStyle w:val="ListParagraph"/>
        <w:spacing w:after="0" w:line="480" w:lineRule="auto"/>
        <w:rPr>
          <w:rFonts w:ascii="Times New Roman" w:hAnsi="Times New Roman" w:cs="Times New Roman"/>
          <w:sz w:val="24"/>
          <w:szCs w:val="24"/>
        </w:rPr>
      </w:pPr>
    </w:p>
    <w:p w14:paraId="1097B821" w14:textId="4E3652C7" w:rsidR="008470CC" w:rsidRPr="00434D69" w:rsidRDefault="008470CC" w:rsidP="00434D69">
      <w:pPr>
        <w:pStyle w:val="ListParagraph"/>
        <w:spacing w:after="0" w:line="480" w:lineRule="auto"/>
        <w:ind w:left="1440"/>
        <w:jc w:val="both"/>
        <w:rPr>
          <w:rFonts w:ascii="Times New Roman" w:hAnsi="Times New Roman" w:cs="Times New Roman"/>
          <w:sz w:val="24"/>
          <w:szCs w:val="24"/>
        </w:rPr>
      </w:pPr>
      <w:r w:rsidRPr="00434D69">
        <w:rPr>
          <w:rFonts w:ascii="Times New Roman" w:hAnsi="Times New Roman" w:cs="Times New Roman"/>
          <w:sz w:val="24"/>
          <w:szCs w:val="24"/>
        </w:rPr>
        <w:lastRenderedPageBreak/>
        <w:t>‘</w:t>
      </w:r>
      <w:r w:rsidRPr="00434D69">
        <w:rPr>
          <w:rFonts w:ascii="Times New Roman" w:hAnsi="Times New Roman" w:cs="Times New Roman"/>
          <w:i/>
          <w:sz w:val="24"/>
          <w:szCs w:val="24"/>
        </w:rPr>
        <w:t>What s.17 means in the context of a wrong which is a breach of contract in the form of non-payment of a debt for which two debtors are concurrently liable and of a settlement agreement with one of the debtors is that, if the settlement agreement indicates an intention that the other is to be discharged</w:t>
      </w:r>
      <w:r w:rsidR="004C7329" w:rsidRPr="00434D69">
        <w:rPr>
          <w:rFonts w:ascii="Times New Roman" w:hAnsi="Times New Roman" w:cs="Times New Roman"/>
          <w:i/>
          <w:sz w:val="24"/>
          <w:szCs w:val="24"/>
        </w:rPr>
        <w:t>, the settlement agreement effectuates his discharge, but, if it does not, he gets the benefit of the settlement agreement and his liability is reduced accordingly.  In the application of s.17 to such a situation, in my view it is immaterial whether the debtors are jointly liable or jointly and severally liable</w:t>
      </w:r>
      <w:r w:rsidR="00F81BDE">
        <w:rPr>
          <w:rFonts w:ascii="Times New Roman" w:hAnsi="Times New Roman" w:cs="Times New Roman"/>
          <w:i/>
          <w:sz w:val="24"/>
          <w:szCs w:val="24"/>
        </w:rPr>
        <w:t xml:space="preserve"> </w:t>
      </w:r>
      <w:r w:rsidR="00F81BDE" w:rsidRPr="00F81BDE">
        <w:rPr>
          <w:rFonts w:ascii="Times New Roman" w:hAnsi="Times New Roman" w:cs="Times New Roman"/>
          <w:i/>
          <w:sz w:val="24"/>
          <w:szCs w:val="24"/>
        </w:rPr>
        <w:t> for the debt, although in the instant case it seems to be common case that the defendant and his wife were jointly and severally liable</w:t>
      </w:r>
      <w:r w:rsidR="00446B4A">
        <w:rPr>
          <w:rFonts w:ascii="Times New Roman" w:hAnsi="Times New Roman" w:cs="Times New Roman"/>
          <w:i/>
          <w:sz w:val="24"/>
          <w:szCs w:val="24"/>
        </w:rPr>
        <w:t>.</w:t>
      </w:r>
      <w:r w:rsidR="004C7329" w:rsidRPr="00434D69">
        <w:rPr>
          <w:rFonts w:ascii="Times New Roman" w:hAnsi="Times New Roman" w:cs="Times New Roman"/>
          <w:i/>
          <w:sz w:val="24"/>
          <w:szCs w:val="24"/>
        </w:rPr>
        <w:t xml:space="preserve">  As to whether an accord or settlement agreement </w:t>
      </w:r>
      <w:r w:rsidR="00B67C7D">
        <w:rPr>
          <w:rFonts w:ascii="Times New Roman" w:hAnsi="Times New Roman" w:cs="Times New Roman"/>
          <w:i/>
          <w:sz w:val="24"/>
          <w:szCs w:val="24"/>
        </w:rPr>
        <w:t>‘</w:t>
      </w:r>
      <w:r w:rsidR="004C7329" w:rsidRPr="00434D69">
        <w:rPr>
          <w:rFonts w:ascii="Times New Roman" w:hAnsi="Times New Roman" w:cs="Times New Roman"/>
          <w:i/>
          <w:sz w:val="24"/>
          <w:szCs w:val="24"/>
        </w:rPr>
        <w:t>indicates</w:t>
      </w:r>
      <w:r w:rsidR="00B67C7D">
        <w:rPr>
          <w:rFonts w:ascii="Times New Roman" w:hAnsi="Times New Roman" w:cs="Times New Roman"/>
          <w:i/>
          <w:sz w:val="24"/>
          <w:szCs w:val="24"/>
        </w:rPr>
        <w:t>’</w:t>
      </w:r>
      <w:r w:rsidR="004C7329" w:rsidRPr="00434D69">
        <w:rPr>
          <w:rFonts w:ascii="Times New Roman" w:hAnsi="Times New Roman" w:cs="Times New Roman"/>
          <w:i/>
          <w:sz w:val="24"/>
          <w:szCs w:val="24"/>
        </w:rPr>
        <w:t xml:space="preserve"> within the meaning of that word in s.17 that a co-debtor is to be discharged, it seems to me that it does so indicate if such outcome is agreed expressly or by necessary implication</w:t>
      </w:r>
      <w:r w:rsidR="00B67C7D">
        <w:rPr>
          <w:rFonts w:ascii="Times New Roman" w:hAnsi="Times New Roman" w:cs="Times New Roman"/>
          <w:i/>
          <w:sz w:val="24"/>
          <w:szCs w:val="24"/>
        </w:rPr>
        <w:t>’</w:t>
      </w:r>
      <w:r w:rsidR="004C7329" w:rsidRPr="00434D69">
        <w:rPr>
          <w:rFonts w:ascii="Times New Roman" w:hAnsi="Times New Roman" w:cs="Times New Roman"/>
          <w:i/>
          <w:sz w:val="24"/>
          <w:szCs w:val="24"/>
        </w:rPr>
        <w:t>.</w:t>
      </w:r>
    </w:p>
    <w:p w14:paraId="277F7646" w14:textId="77777777" w:rsidR="00000517" w:rsidRPr="00434D69" w:rsidRDefault="00000517"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i/>
          <w:sz w:val="24"/>
          <w:szCs w:val="24"/>
        </w:rPr>
        <w:t xml:space="preserve">  </w:t>
      </w:r>
    </w:p>
    <w:p w14:paraId="5FE91C51" w14:textId="2218FB49" w:rsidR="004C7329" w:rsidRPr="00434D69" w:rsidRDefault="004C7329"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It is unclear from the report to what extent the plaintiff engaged in its argument with the detail of the CLA, and indeed one cannot but think that</w:t>
      </w:r>
      <w:r w:rsidR="007C469C">
        <w:rPr>
          <w:rFonts w:ascii="Times New Roman" w:hAnsi="Times New Roman" w:cs="Times New Roman"/>
          <w:sz w:val="24"/>
          <w:szCs w:val="24"/>
        </w:rPr>
        <w:t>,</w:t>
      </w:r>
      <w:r w:rsidRPr="00434D69">
        <w:rPr>
          <w:rFonts w:ascii="Times New Roman" w:hAnsi="Times New Roman" w:cs="Times New Roman"/>
          <w:sz w:val="24"/>
          <w:szCs w:val="24"/>
        </w:rPr>
        <w:t xml:space="preserve"> if it had</w:t>
      </w:r>
      <w:r w:rsidR="007C469C">
        <w:rPr>
          <w:rFonts w:ascii="Times New Roman" w:hAnsi="Times New Roman" w:cs="Times New Roman"/>
          <w:sz w:val="24"/>
          <w:szCs w:val="24"/>
        </w:rPr>
        <w:t>,</w:t>
      </w:r>
      <w:r w:rsidRPr="00434D69">
        <w:rPr>
          <w:rFonts w:ascii="Times New Roman" w:hAnsi="Times New Roman" w:cs="Times New Roman"/>
          <w:sz w:val="24"/>
          <w:szCs w:val="24"/>
        </w:rPr>
        <w:t xml:space="preserve"> </w:t>
      </w:r>
      <w:r w:rsidR="007C469C">
        <w:rPr>
          <w:rFonts w:ascii="Times New Roman" w:hAnsi="Times New Roman" w:cs="Times New Roman"/>
          <w:sz w:val="24"/>
          <w:szCs w:val="24"/>
        </w:rPr>
        <w:t xml:space="preserve">Laffoy J would surely have concluded that </w:t>
      </w:r>
      <w:r w:rsidRPr="00434D69">
        <w:rPr>
          <w:rFonts w:ascii="Times New Roman" w:hAnsi="Times New Roman" w:cs="Times New Roman"/>
          <w:sz w:val="24"/>
          <w:szCs w:val="24"/>
        </w:rPr>
        <w:t>issue of whether it applied to actions for debt</w:t>
      </w:r>
      <w:r w:rsidR="00F81BDE">
        <w:rPr>
          <w:rFonts w:ascii="Times New Roman" w:hAnsi="Times New Roman" w:cs="Times New Roman"/>
          <w:sz w:val="24"/>
          <w:szCs w:val="24"/>
        </w:rPr>
        <w:t xml:space="preserve"> </w:t>
      </w:r>
      <w:r w:rsidRPr="00434D69">
        <w:rPr>
          <w:rFonts w:ascii="Times New Roman" w:hAnsi="Times New Roman" w:cs="Times New Roman"/>
          <w:sz w:val="24"/>
          <w:szCs w:val="24"/>
        </w:rPr>
        <w:t xml:space="preserve">was not a matter sufficiently straightforward to be addressed in a summary application.  However, for present purposes it is notable that Laffoy J. appears to have assumed that the critical issue in the determination of the scope of </w:t>
      </w:r>
      <w:r w:rsidR="007C469C">
        <w:rPr>
          <w:rFonts w:ascii="Times New Roman" w:hAnsi="Times New Roman" w:cs="Times New Roman"/>
          <w:sz w:val="24"/>
          <w:szCs w:val="24"/>
        </w:rPr>
        <w:t xml:space="preserve">section </w:t>
      </w:r>
      <w:r w:rsidRPr="00434D69">
        <w:rPr>
          <w:rFonts w:ascii="Times New Roman" w:hAnsi="Times New Roman" w:cs="Times New Roman"/>
          <w:sz w:val="24"/>
          <w:szCs w:val="24"/>
        </w:rPr>
        <w:t>17 was whether the debtors were (a) wrongdoers and (b) concurrently liable for the debt.  The use of that language may have suggested that if the answer to both these questions was in the affirmative, they were concurrent wrongdoers.  That, of course, is not correct.  The Court does not appear to have been referred to the definition of concurrent wrongdoers</w:t>
      </w:r>
      <w:r w:rsidR="00992D92" w:rsidRPr="00434D69">
        <w:rPr>
          <w:rFonts w:ascii="Times New Roman" w:hAnsi="Times New Roman" w:cs="Times New Roman"/>
          <w:sz w:val="24"/>
          <w:szCs w:val="24"/>
        </w:rPr>
        <w:t xml:space="preserve"> in s</w:t>
      </w:r>
      <w:r w:rsidR="007C469C">
        <w:rPr>
          <w:rFonts w:ascii="Times New Roman" w:hAnsi="Times New Roman" w:cs="Times New Roman"/>
          <w:sz w:val="24"/>
          <w:szCs w:val="24"/>
        </w:rPr>
        <w:t>ection</w:t>
      </w:r>
      <w:r w:rsidR="00F81BDE">
        <w:rPr>
          <w:rFonts w:ascii="Times New Roman" w:hAnsi="Times New Roman" w:cs="Times New Roman"/>
          <w:sz w:val="24"/>
          <w:szCs w:val="24"/>
        </w:rPr>
        <w:t xml:space="preserve"> </w:t>
      </w:r>
      <w:r w:rsidR="00992D92" w:rsidRPr="00434D69">
        <w:rPr>
          <w:rFonts w:ascii="Times New Roman" w:hAnsi="Times New Roman" w:cs="Times New Roman"/>
          <w:sz w:val="24"/>
          <w:szCs w:val="24"/>
        </w:rPr>
        <w:t>11(1)</w:t>
      </w:r>
      <w:r w:rsidRPr="00434D69">
        <w:rPr>
          <w:rFonts w:ascii="Times New Roman" w:hAnsi="Times New Roman" w:cs="Times New Roman"/>
          <w:sz w:val="24"/>
          <w:szCs w:val="24"/>
        </w:rPr>
        <w:t xml:space="preserve">, and the </w:t>
      </w:r>
      <w:r w:rsidRPr="00434D69">
        <w:rPr>
          <w:rFonts w:ascii="Times New Roman" w:hAnsi="Times New Roman" w:cs="Times New Roman"/>
          <w:sz w:val="24"/>
          <w:szCs w:val="24"/>
        </w:rPr>
        <w:lastRenderedPageBreak/>
        <w:t>requirement that the wrongdoers be liable for the ‘</w:t>
      </w:r>
      <w:r w:rsidRPr="00434D69">
        <w:rPr>
          <w:rFonts w:ascii="Times New Roman" w:hAnsi="Times New Roman" w:cs="Times New Roman"/>
          <w:i/>
          <w:sz w:val="24"/>
          <w:szCs w:val="24"/>
        </w:rPr>
        <w:t>same damage</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and indeed to </w:t>
      </w:r>
      <w:r w:rsidR="00A711B9">
        <w:rPr>
          <w:rFonts w:ascii="Times New Roman" w:hAnsi="Times New Roman" w:cs="Times New Roman"/>
          <w:sz w:val="24"/>
          <w:szCs w:val="24"/>
        </w:rPr>
        <w:t>section</w:t>
      </w:r>
      <w:r w:rsidRPr="00434D69">
        <w:rPr>
          <w:rFonts w:ascii="Times New Roman" w:hAnsi="Times New Roman" w:cs="Times New Roman"/>
          <w:sz w:val="24"/>
          <w:szCs w:val="24"/>
        </w:rPr>
        <w:t xml:space="preserve"> 34(1) which, as I have explained, is critical to the understanding of the relationship between ‘</w:t>
      </w:r>
      <w:r w:rsidRPr="00434D69">
        <w:rPr>
          <w:rFonts w:ascii="Times New Roman" w:hAnsi="Times New Roman" w:cs="Times New Roman"/>
          <w:i/>
          <w:sz w:val="24"/>
          <w:szCs w:val="24"/>
        </w:rPr>
        <w:t>damage</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and ‘</w:t>
      </w:r>
      <w:r w:rsidRPr="00434D69">
        <w:rPr>
          <w:rFonts w:ascii="Times New Roman" w:hAnsi="Times New Roman" w:cs="Times New Roman"/>
          <w:i/>
          <w:sz w:val="24"/>
          <w:szCs w:val="24"/>
        </w:rPr>
        <w:t>damages</w:t>
      </w:r>
      <w:r w:rsidR="00B67C7D">
        <w:rPr>
          <w:rFonts w:ascii="Times New Roman" w:hAnsi="Times New Roman" w:cs="Times New Roman"/>
          <w:i/>
          <w:sz w:val="24"/>
          <w:szCs w:val="24"/>
        </w:rPr>
        <w:t>’</w:t>
      </w:r>
      <w:r w:rsidRPr="00434D69">
        <w:rPr>
          <w:rFonts w:ascii="Times New Roman" w:hAnsi="Times New Roman" w:cs="Times New Roman"/>
          <w:sz w:val="24"/>
          <w:szCs w:val="24"/>
        </w:rPr>
        <w:t>.</w:t>
      </w:r>
    </w:p>
    <w:p w14:paraId="0CF034CF" w14:textId="77777777" w:rsidR="00060BF0" w:rsidRPr="00434D69" w:rsidRDefault="00060BF0" w:rsidP="00434D69">
      <w:pPr>
        <w:pStyle w:val="ListParagraph"/>
        <w:spacing w:after="0" w:line="480" w:lineRule="auto"/>
        <w:jc w:val="both"/>
        <w:rPr>
          <w:rFonts w:ascii="Times New Roman" w:hAnsi="Times New Roman" w:cs="Times New Roman"/>
          <w:sz w:val="24"/>
          <w:szCs w:val="24"/>
        </w:rPr>
      </w:pPr>
    </w:p>
    <w:p w14:paraId="76269375" w14:textId="733777AA" w:rsidR="00060BF0" w:rsidRPr="00434D69" w:rsidRDefault="00060BF0"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For </w:t>
      </w:r>
      <w:r w:rsidR="00272396">
        <w:rPr>
          <w:rFonts w:ascii="Times New Roman" w:hAnsi="Times New Roman" w:cs="Times New Roman"/>
          <w:sz w:val="24"/>
          <w:szCs w:val="24"/>
        </w:rPr>
        <w:t>our</w:t>
      </w:r>
      <w:r w:rsidRPr="00434D69">
        <w:rPr>
          <w:rFonts w:ascii="Times New Roman" w:hAnsi="Times New Roman" w:cs="Times New Roman"/>
          <w:sz w:val="24"/>
          <w:szCs w:val="24"/>
        </w:rPr>
        <w:t xml:space="preserve"> part, </w:t>
      </w:r>
      <w:r w:rsidR="00272396">
        <w:rPr>
          <w:rFonts w:ascii="Times New Roman" w:hAnsi="Times New Roman" w:cs="Times New Roman"/>
          <w:sz w:val="24"/>
          <w:szCs w:val="24"/>
        </w:rPr>
        <w:t>we</w:t>
      </w:r>
      <w:r w:rsidRPr="00434D69">
        <w:rPr>
          <w:rFonts w:ascii="Times New Roman" w:hAnsi="Times New Roman" w:cs="Times New Roman"/>
          <w:sz w:val="24"/>
          <w:szCs w:val="24"/>
        </w:rPr>
        <w:t xml:space="preserve"> think the conclusion that s</w:t>
      </w:r>
      <w:r w:rsidR="007C469C">
        <w:rPr>
          <w:rFonts w:ascii="Times New Roman" w:hAnsi="Times New Roman" w:cs="Times New Roman"/>
          <w:sz w:val="24"/>
          <w:szCs w:val="24"/>
        </w:rPr>
        <w:t>ection</w:t>
      </w:r>
      <w:r w:rsidR="00F81BDE">
        <w:rPr>
          <w:rFonts w:ascii="Times New Roman" w:hAnsi="Times New Roman" w:cs="Times New Roman"/>
          <w:sz w:val="24"/>
          <w:szCs w:val="24"/>
        </w:rPr>
        <w:t xml:space="preserve"> </w:t>
      </w:r>
      <w:r w:rsidRPr="00434D69">
        <w:rPr>
          <w:rFonts w:ascii="Times New Roman" w:hAnsi="Times New Roman" w:cs="Times New Roman"/>
          <w:sz w:val="24"/>
          <w:szCs w:val="24"/>
        </w:rPr>
        <w:t xml:space="preserve">17 is applicable to the relationship between a creditor and one or more joint debtors is surprising.  Leaving aside all of the points </w:t>
      </w:r>
      <w:r w:rsidR="00272396">
        <w:rPr>
          <w:rFonts w:ascii="Times New Roman" w:hAnsi="Times New Roman" w:cs="Times New Roman"/>
          <w:sz w:val="24"/>
          <w:szCs w:val="24"/>
        </w:rPr>
        <w:t>we</w:t>
      </w:r>
      <w:r w:rsidRPr="00434D69">
        <w:rPr>
          <w:rFonts w:ascii="Times New Roman" w:hAnsi="Times New Roman" w:cs="Times New Roman"/>
          <w:sz w:val="24"/>
          <w:szCs w:val="24"/>
        </w:rPr>
        <w:t xml:space="preserve"> have made earlier, Part III of the </w:t>
      </w:r>
      <w:r w:rsidR="007C469C">
        <w:rPr>
          <w:rFonts w:ascii="Times New Roman" w:hAnsi="Times New Roman" w:cs="Times New Roman"/>
          <w:sz w:val="24"/>
          <w:szCs w:val="24"/>
        </w:rPr>
        <w:t xml:space="preserve">CLA </w:t>
      </w:r>
      <w:r w:rsidRPr="00434D69">
        <w:rPr>
          <w:rFonts w:ascii="Times New Roman" w:hAnsi="Times New Roman" w:cs="Times New Roman"/>
          <w:sz w:val="24"/>
          <w:szCs w:val="24"/>
        </w:rPr>
        <w:t>(in which the provision appears) describes itself as being concerned with ‘</w:t>
      </w:r>
      <w:r w:rsidRPr="00434D69">
        <w:rPr>
          <w:rFonts w:ascii="Times New Roman" w:hAnsi="Times New Roman" w:cs="Times New Roman"/>
          <w:i/>
          <w:sz w:val="24"/>
          <w:szCs w:val="24"/>
        </w:rPr>
        <w:t>concurrent fault</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a term not evidently relevant to the relationship between such parties.  Nothing else in the Act suggests it was intended to change the rules governing the relationship between </w:t>
      </w:r>
      <w:r w:rsidR="00191818" w:rsidRPr="00434D69">
        <w:rPr>
          <w:rFonts w:ascii="Times New Roman" w:hAnsi="Times New Roman" w:cs="Times New Roman"/>
          <w:sz w:val="24"/>
          <w:szCs w:val="24"/>
        </w:rPr>
        <w:t>joint creditors</w:t>
      </w:r>
      <w:r w:rsidRPr="00434D69">
        <w:rPr>
          <w:rFonts w:ascii="Times New Roman" w:hAnsi="Times New Roman" w:cs="Times New Roman"/>
          <w:sz w:val="24"/>
          <w:szCs w:val="24"/>
        </w:rPr>
        <w:t xml:space="preserve">.  Indeed, in </w:t>
      </w:r>
      <w:r w:rsidRPr="00434D69">
        <w:rPr>
          <w:rFonts w:ascii="Times New Roman" w:hAnsi="Times New Roman" w:cs="Times New Roman"/>
          <w:i/>
          <w:sz w:val="24"/>
          <w:szCs w:val="24"/>
        </w:rPr>
        <w:t>Royal Brompton Hospital v. Hammond</w:t>
      </w:r>
      <w:r w:rsidRPr="00434D69">
        <w:rPr>
          <w:rFonts w:ascii="Times New Roman" w:hAnsi="Times New Roman" w:cs="Times New Roman"/>
          <w:sz w:val="24"/>
          <w:szCs w:val="24"/>
        </w:rPr>
        <w:t xml:space="preserve"> Lord Hope said (at para. 37) of the Civil Liability (Contribution) Act 1978 in that jurisdiction:</w:t>
      </w:r>
    </w:p>
    <w:p w14:paraId="40F3DA6D" w14:textId="77777777" w:rsidR="00060BF0" w:rsidRPr="00434D69" w:rsidRDefault="00060BF0" w:rsidP="00434D69">
      <w:pPr>
        <w:pStyle w:val="ListParagraph"/>
        <w:spacing w:after="0" w:line="480" w:lineRule="auto"/>
        <w:rPr>
          <w:rFonts w:ascii="Times New Roman" w:hAnsi="Times New Roman" w:cs="Times New Roman"/>
          <w:sz w:val="24"/>
          <w:szCs w:val="24"/>
        </w:rPr>
      </w:pPr>
    </w:p>
    <w:p w14:paraId="660F693A" w14:textId="31F6AF91" w:rsidR="00060BF0" w:rsidRPr="00434D69" w:rsidRDefault="00060BF0" w:rsidP="00434D69">
      <w:pPr>
        <w:pStyle w:val="ListParagraph"/>
        <w:spacing w:after="0" w:line="480" w:lineRule="auto"/>
        <w:ind w:left="1440"/>
        <w:jc w:val="both"/>
        <w:rPr>
          <w:rFonts w:ascii="Times New Roman" w:hAnsi="Times New Roman" w:cs="Times New Roman"/>
          <w:sz w:val="24"/>
          <w:szCs w:val="24"/>
        </w:rPr>
      </w:pPr>
      <w:r w:rsidRPr="00434D69">
        <w:rPr>
          <w:rFonts w:ascii="Times New Roman" w:hAnsi="Times New Roman" w:cs="Times New Roman"/>
          <w:sz w:val="24"/>
          <w:szCs w:val="24"/>
        </w:rPr>
        <w:t>‘</w:t>
      </w:r>
      <w:r w:rsidRPr="00434D69">
        <w:rPr>
          <w:rFonts w:ascii="Times New Roman" w:hAnsi="Times New Roman" w:cs="Times New Roman"/>
          <w:i/>
          <w:sz w:val="24"/>
          <w:szCs w:val="24"/>
        </w:rPr>
        <w:t xml:space="preserve">The Act is concerned only with liability for damage, so the rules which apply to contribution between two or more persons who are liable for the same debts are </w:t>
      </w:r>
      <w:r w:rsidR="00A42F73">
        <w:rPr>
          <w:rFonts w:ascii="Times New Roman" w:hAnsi="Times New Roman" w:cs="Times New Roman"/>
          <w:i/>
          <w:sz w:val="24"/>
          <w:szCs w:val="24"/>
        </w:rPr>
        <w:t xml:space="preserve">not </w:t>
      </w:r>
      <w:r w:rsidRPr="00434D69">
        <w:rPr>
          <w:rFonts w:ascii="Times New Roman" w:hAnsi="Times New Roman" w:cs="Times New Roman"/>
          <w:i/>
          <w:sz w:val="24"/>
          <w:szCs w:val="24"/>
        </w:rPr>
        <w:t>affected by it</w:t>
      </w:r>
      <w:r w:rsidR="00B67C7D">
        <w:rPr>
          <w:rFonts w:ascii="Times New Roman" w:hAnsi="Times New Roman" w:cs="Times New Roman"/>
          <w:i/>
          <w:sz w:val="24"/>
          <w:szCs w:val="24"/>
        </w:rPr>
        <w:t>’</w:t>
      </w:r>
      <w:r w:rsidRPr="00434D69">
        <w:rPr>
          <w:rFonts w:ascii="Times New Roman" w:hAnsi="Times New Roman" w:cs="Times New Roman"/>
          <w:sz w:val="24"/>
          <w:szCs w:val="24"/>
        </w:rPr>
        <w:t>.</w:t>
      </w:r>
    </w:p>
    <w:p w14:paraId="7844C9E8" w14:textId="77777777" w:rsidR="004C7329" w:rsidRPr="00434D69" w:rsidRDefault="004C7329"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i/>
          <w:sz w:val="24"/>
          <w:szCs w:val="24"/>
        </w:rPr>
        <w:t xml:space="preserve">  </w:t>
      </w:r>
    </w:p>
    <w:p w14:paraId="0202C272" w14:textId="5FBA1C6C" w:rsidR="006815BF" w:rsidRPr="00434D69" w:rsidRDefault="00060BF0"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i/>
          <w:sz w:val="24"/>
          <w:szCs w:val="24"/>
        </w:rPr>
        <w:t xml:space="preserve">Malocco </w:t>
      </w:r>
      <w:r w:rsidRPr="00434D69">
        <w:rPr>
          <w:rFonts w:ascii="Times New Roman" w:hAnsi="Times New Roman" w:cs="Times New Roman"/>
          <w:sz w:val="24"/>
          <w:szCs w:val="24"/>
        </w:rPr>
        <w:t xml:space="preserve">was not referred to in </w:t>
      </w:r>
      <w:r w:rsidR="006815BF" w:rsidRPr="00434D69">
        <w:rPr>
          <w:rFonts w:ascii="Times New Roman" w:hAnsi="Times New Roman" w:cs="Times New Roman"/>
          <w:i/>
          <w:sz w:val="24"/>
          <w:szCs w:val="24"/>
        </w:rPr>
        <w:t>Histon</w:t>
      </w:r>
      <w:r w:rsidRPr="00434D69">
        <w:rPr>
          <w:rFonts w:ascii="Times New Roman" w:hAnsi="Times New Roman" w:cs="Times New Roman"/>
          <w:sz w:val="24"/>
          <w:szCs w:val="24"/>
        </w:rPr>
        <w:t xml:space="preserve">, perhaps because on first glance they were concerned with different problems.  </w:t>
      </w:r>
      <w:r w:rsidR="006815BF" w:rsidRPr="00434D69">
        <w:rPr>
          <w:rFonts w:ascii="Times New Roman" w:hAnsi="Times New Roman" w:cs="Times New Roman"/>
          <w:sz w:val="24"/>
          <w:szCs w:val="24"/>
        </w:rPr>
        <w:t>The</w:t>
      </w:r>
      <w:r w:rsidRPr="00434D69">
        <w:rPr>
          <w:rFonts w:ascii="Times New Roman" w:hAnsi="Times New Roman" w:cs="Times New Roman"/>
          <w:sz w:val="24"/>
          <w:szCs w:val="24"/>
        </w:rPr>
        <w:t xml:space="preserve">re the </w:t>
      </w:r>
      <w:r w:rsidR="006815BF" w:rsidRPr="00434D69">
        <w:rPr>
          <w:rFonts w:ascii="Times New Roman" w:hAnsi="Times New Roman" w:cs="Times New Roman"/>
          <w:sz w:val="24"/>
          <w:szCs w:val="24"/>
        </w:rPr>
        <w:t>plaintiff sued for arrears of salary, and the defendant pleaded a defence of contributory negligence under s</w:t>
      </w:r>
      <w:r w:rsidR="007C469C">
        <w:rPr>
          <w:rFonts w:ascii="Times New Roman" w:hAnsi="Times New Roman" w:cs="Times New Roman"/>
          <w:sz w:val="24"/>
          <w:szCs w:val="24"/>
        </w:rPr>
        <w:t>ection</w:t>
      </w:r>
      <w:r w:rsidR="00A42F73">
        <w:rPr>
          <w:rFonts w:ascii="Times New Roman" w:hAnsi="Times New Roman" w:cs="Times New Roman"/>
          <w:sz w:val="24"/>
          <w:szCs w:val="24"/>
        </w:rPr>
        <w:t xml:space="preserve"> </w:t>
      </w:r>
      <w:r w:rsidR="006815BF" w:rsidRPr="00434D69">
        <w:rPr>
          <w:rFonts w:ascii="Times New Roman" w:hAnsi="Times New Roman" w:cs="Times New Roman"/>
          <w:sz w:val="24"/>
          <w:szCs w:val="24"/>
        </w:rPr>
        <w:t>34 CLA.  Finlay Geoghegan J., noting the novelty of the issue, rejected the defence in concise</w:t>
      </w:r>
      <w:r w:rsidR="00446B4A">
        <w:rPr>
          <w:rFonts w:ascii="Times New Roman" w:hAnsi="Times New Roman" w:cs="Times New Roman"/>
          <w:sz w:val="24"/>
          <w:szCs w:val="24"/>
        </w:rPr>
        <w:t>,</w:t>
      </w:r>
      <w:r w:rsidR="006815BF" w:rsidRPr="00434D69">
        <w:rPr>
          <w:rFonts w:ascii="Times New Roman" w:hAnsi="Times New Roman" w:cs="Times New Roman"/>
          <w:sz w:val="24"/>
          <w:szCs w:val="24"/>
        </w:rPr>
        <w:t xml:space="preserve"> but it follows from what </w:t>
      </w:r>
      <w:r w:rsidR="009637BC">
        <w:rPr>
          <w:rFonts w:ascii="Times New Roman" w:hAnsi="Times New Roman" w:cs="Times New Roman"/>
          <w:sz w:val="24"/>
          <w:szCs w:val="24"/>
        </w:rPr>
        <w:t>we</w:t>
      </w:r>
      <w:r w:rsidR="006815BF" w:rsidRPr="00434D69">
        <w:rPr>
          <w:rFonts w:ascii="Times New Roman" w:hAnsi="Times New Roman" w:cs="Times New Roman"/>
          <w:sz w:val="24"/>
          <w:szCs w:val="24"/>
        </w:rPr>
        <w:t xml:space="preserve"> have said above, correct terms.  She said (at para</w:t>
      </w:r>
      <w:r w:rsidR="004B3189" w:rsidRPr="00434D69">
        <w:rPr>
          <w:rFonts w:ascii="Times New Roman" w:hAnsi="Times New Roman" w:cs="Times New Roman"/>
          <w:sz w:val="24"/>
          <w:szCs w:val="24"/>
        </w:rPr>
        <w:t>s</w:t>
      </w:r>
      <w:r w:rsidR="006815BF" w:rsidRPr="00434D69">
        <w:rPr>
          <w:rFonts w:ascii="Times New Roman" w:hAnsi="Times New Roman" w:cs="Times New Roman"/>
          <w:sz w:val="24"/>
          <w:szCs w:val="24"/>
        </w:rPr>
        <w:t>. 2</w:t>
      </w:r>
      <w:r w:rsidR="004B3189" w:rsidRPr="00434D69">
        <w:rPr>
          <w:rFonts w:ascii="Times New Roman" w:hAnsi="Times New Roman" w:cs="Times New Roman"/>
          <w:sz w:val="24"/>
          <w:szCs w:val="24"/>
        </w:rPr>
        <w:t>0 and 2</w:t>
      </w:r>
      <w:r w:rsidR="006815BF" w:rsidRPr="00434D69">
        <w:rPr>
          <w:rFonts w:ascii="Times New Roman" w:hAnsi="Times New Roman" w:cs="Times New Roman"/>
          <w:sz w:val="24"/>
          <w:szCs w:val="24"/>
        </w:rPr>
        <w:t>1):</w:t>
      </w:r>
    </w:p>
    <w:p w14:paraId="3EEA37F3" w14:textId="77777777" w:rsidR="006815BF" w:rsidRPr="00434D69" w:rsidRDefault="006815BF" w:rsidP="00434D69">
      <w:pPr>
        <w:pStyle w:val="ListParagraph"/>
        <w:spacing w:after="0" w:line="480" w:lineRule="auto"/>
        <w:jc w:val="both"/>
        <w:rPr>
          <w:rFonts w:ascii="Times New Roman" w:hAnsi="Times New Roman" w:cs="Times New Roman"/>
          <w:i/>
          <w:sz w:val="24"/>
          <w:szCs w:val="24"/>
        </w:rPr>
      </w:pPr>
    </w:p>
    <w:p w14:paraId="3A714962" w14:textId="01E157C5" w:rsidR="00000517" w:rsidRPr="00434D69" w:rsidRDefault="00B67C7D" w:rsidP="00434D69">
      <w:pPr>
        <w:pStyle w:val="ListParagraph"/>
        <w:spacing w:after="0" w:line="480" w:lineRule="auto"/>
        <w:ind w:left="1440"/>
        <w:jc w:val="both"/>
        <w:rPr>
          <w:rFonts w:ascii="Times New Roman" w:hAnsi="Times New Roman" w:cs="Times New Roman"/>
          <w:i/>
          <w:sz w:val="24"/>
          <w:szCs w:val="24"/>
        </w:rPr>
      </w:pPr>
      <w:r>
        <w:rPr>
          <w:rFonts w:ascii="Times New Roman" w:hAnsi="Times New Roman" w:cs="Times New Roman"/>
          <w:i/>
          <w:sz w:val="24"/>
          <w:szCs w:val="24"/>
        </w:rPr>
        <w:lastRenderedPageBreak/>
        <w:t>‘</w:t>
      </w:r>
      <w:r w:rsidR="00000517" w:rsidRPr="00434D69">
        <w:rPr>
          <w:rFonts w:ascii="Times New Roman" w:hAnsi="Times New Roman" w:cs="Times New Roman"/>
          <w:i/>
          <w:sz w:val="24"/>
          <w:szCs w:val="24"/>
        </w:rPr>
        <w:t>The submission made on behalf of the plaintiff that s.34(1) is confined to claims made in respect of damage allegedly suffered by a plaintiff by reason of alleged wrongs (i</w:t>
      </w:r>
      <w:r w:rsidR="00A42F73">
        <w:rPr>
          <w:rFonts w:ascii="Times New Roman" w:hAnsi="Times New Roman" w:cs="Times New Roman"/>
          <w:i/>
          <w:sz w:val="24"/>
          <w:szCs w:val="24"/>
        </w:rPr>
        <w:t>.</w:t>
      </w:r>
      <w:r w:rsidR="00000517" w:rsidRPr="00434D69">
        <w:rPr>
          <w:rFonts w:ascii="Times New Roman" w:hAnsi="Times New Roman" w:cs="Times New Roman"/>
          <w:i/>
          <w:sz w:val="24"/>
          <w:szCs w:val="24"/>
        </w:rPr>
        <w:t>e</w:t>
      </w:r>
      <w:r w:rsidR="00A42F73">
        <w:rPr>
          <w:rFonts w:ascii="Times New Roman" w:hAnsi="Times New Roman" w:cs="Times New Roman"/>
          <w:i/>
          <w:sz w:val="24"/>
          <w:szCs w:val="24"/>
        </w:rPr>
        <w:t>.</w:t>
      </w:r>
      <w:r w:rsidR="00000517" w:rsidRPr="00434D69">
        <w:rPr>
          <w:rFonts w:ascii="Times New Roman" w:hAnsi="Times New Roman" w:cs="Times New Roman"/>
          <w:i/>
          <w:sz w:val="24"/>
          <w:szCs w:val="24"/>
        </w:rPr>
        <w:t xml:space="preserve"> a tort, breach of contract or breach of trust in accordance with s.2 of the Act of 1961) is correct.  It is of the essence of s.34(1) that the damage allegedly suffered by the plaintiff is caused partly by the negligence or want of care of the plaintiff and partly by the wrong of the defendant.  This presupposes that the claim must be in respect of damage allegedly suffered by the plaintiff by reason of an alleged wrong (as defined) of the defendant.</w:t>
      </w:r>
    </w:p>
    <w:p w14:paraId="271918DC" w14:textId="77777777" w:rsidR="00000517" w:rsidRPr="00434D69" w:rsidRDefault="00000517" w:rsidP="00434D69">
      <w:pPr>
        <w:pStyle w:val="ListParagraph"/>
        <w:spacing w:after="0" w:line="480" w:lineRule="auto"/>
        <w:ind w:left="1440"/>
        <w:jc w:val="both"/>
        <w:rPr>
          <w:rFonts w:ascii="Times New Roman" w:hAnsi="Times New Roman" w:cs="Times New Roman"/>
          <w:i/>
          <w:sz w:val="24"/>
          <w:szCs w:val="24"/>
        </w:rPr>
      </w:pPr>
    </w:p>
    <w:p w14:paraId="08DB64C0" w14:textId="3CF0CFB2" w:rsidR="006815BF" w:rsidRDefault="006815BF" w:rsidP="00434D69">
      <w:pPr>
        <w:pStyle w:val="ListParagraph"/>
        <w:spacing w:after="0" w:line="480" w:lineRule="auto"/>
        <w:ind w:left="1440"/>
        <w:jc w:val="both"/>
        <w:rPr>
          <w:rFonts w:ascii="Times New Roman" w:hAnsi="Times New Roman" w:cs="Times New Roman"/>
          <w:sz w:val="24"/>
          <w:szCs w:val="24"/>
        </w:rPr>
      </w:pPr>
      <w:r w:rsidRPr="00434D69">
        <w:rPr>
          <w:rFonts w:ascii="Times New Roman" w:hAnsi="Times New Roman" w:cs="Times New Roman"/>
          <w:i/>
          <w:sz w:val="24"/>
          <w:szCs w:val="24"/>
        </w:rPr>
        <w:t xml:space="preserve">The present claim of the plaintiff is brought on a summary summons and is a claim for a debt allegedly due by the defendant to the plaintiff. </w:t>
      </w:r>
      <w:r w:rsidRPr="00F86D43">
        <w:rPr>
          <w:rFonts w:ascii="Times New Roman" w:hAnsi="Times New Roman" w:cs="Times New Roman"/>
          <w:b/>
          <w:i/>
          <w:sz w:val="24"/>
          <w:szCs w:val="24"/>
        </w:rPr>
        <w:t xml:space="preserve"> </w:t>
      </w:r>
      <w:r w:rsidRPr="007C469C">
        <w:rPr>
          <w:rFonts w:ascii="Times New Roman" w:hAnsi="Times New Roman" w:cs="Times New Roman"/>
          <w:i/>
          <w:sz w:val="24"/>
          <w:szCs w:val="24"/>
          <w:u w:val="single"/>
        </w:rPr>
        <w:t>The plaintiff is not making any claim for damages in respect of</w:t>
      </w:r>
      <w:r w:rsidR="00A42F73" w:rsidRPr="007C469C">
        <w:rPr>
          <w:rFonts w:ascii="Times New Roman" w:hAnsi="Times New Roman" w:cs="Times New Roman"/>
          <w:i/>
          <w:sz w:val="24"/>
          <w:szCs w:val="24"/>
          <w:u w:val="single"/>
        </w:rPr>
        <w:t xml:space="preserve"> loss or damage suffered by him by reason of </w:t>
      </w:r>
      <w:r w:rsidRPr="007C469C">
        <w:rPr>
          <w:rFonts w:ascii="Times New Roman" w:hAnsi="Times New Roman" w:cs="Times New Roman"/>
          <w:i/>
          <w:sz w:val="24"/>
          <w:szCs w:val="24"/>
          <w:u w:val="single"/>
        </w:rPr>
        <w:t>an alleged wrong (i</w:t>
      </w:r>
      <w:r w:rsidR="00A42F73" w:rsidRPr="007C469C">
        <w:rPr>
          <w:rFonts w:ascii="Times New Roman" w:hAnsi="Times New Roman" w:cs="Times New Roman"/>
          <w:i/>
          <w:sz w:val="24"/>
          <w:szCs w:val="24"/>
          <w:u w:val="single"/>
        </w:rPr>
        <w:t>.</w:t>
      </w:r>
      <w:r w:rsidRPr="007C469C">
        <w:rPr>
          <w:rFonts w:ascii="Times New Roman" w:hAnsi="Times New Roman" w:cs="Times New Roman"/>
          <w:i/>
          <w:sz w:val="24"/>
          <w:szCs w:val="24"/>
          <w:u w:val="single"/>
        </w:rPr>
        <w:t>e</w:t>
      </w:r>
      <w:r w:rsidR="00A42F73" w:rsidRPr="007C469C">
        <w:rPr>
          <w:rFonts w:ascii="Times New Roman" w:hAnsi="Times New Roman" w:cs="Times New Roman"/>
          <w:i/>
          <w:sz w:val="24"/>
          <w:szCs w:val="24"/>
          <w:u w:val="single"/>
        </w:rPr>
        <w:t>.</w:t>
      </w:r>
      <w:r w:rsidRPr="007C469C">
        <w:rPr>
          <w:rFonts w:ascii="Times New Roman" w:hAnsi="Times New Roman" w:cs="Times New Roman"/>
          <w:i/>
          <w:sz w:val="24"/>
          <w:szCs w:val="24"/>
          <w:u w:val="single"/>
        </w:rPr>
        <w:t xml:space="preserve"> tort, breach of contract or breach of trust) of the defendant.</w:t>
      </w:r>
      <w:r w:rsidRPr="00434D69">
        <w:rPr>
          <w:rFonts w:ascii="Times New Roman" w:hAnsi="Times New Roman" w:cs="Times New Roman"/>
          <w:i/>
          <w:sz w:val="24"/>
          <w:szCs w:val="24"/>
        </w:rPr>
        <w:t xml:space="preserve">  In so proceeding, the plaintiff may have limited his claim but it appears to me to follow that in making such claim against the defendant he has excluded the application of s.</w:t>
      </w:r>
      <w:r w:rsidR="00A42F73">
        <w:rPr>
          <w:rFonts w:ascii="Times New Roman" w:hAnsi="Times New Roman" w:cs="Times New Roman"/>
          <w:i/>
          <w:sz w:val="24"/>
          <w:szCs w:val="24"/>
        </w:rPr>
        <w:t xml:space="preserve"> </w:t>
      </w:r>
      <w:r w:rsidRPr="00434D69">
        <w:rPr>
          <w:rFonts w:ascii="Times New Roman" w:hAnsi="Times New Roman" w:cs="Times New Roman"/>
          <w:i/>
          <w:sz w:val="24"/>
          <w:szCs w:val="24"/>
        </w:rPr>
        <w:t>34 of the Act of 1961 to the claim made.</w:t>
      </w:r>
      <w:r w:rsidR="007C469C">
        <w:rPr>
          <w:rFonts w:ascii="Times New Roman" w:hAnsi="Times New Roman" w:cs="Times New Roman"/>
          <w:i/>
          <w:sz w:val="24"/>
          <w:szCs w:val="24"/>
        </w:rPr>
        <w:t xml:space="preserve">” </w:t>
      </w:r>
      <w:r w:rsidR="007C469C">
        <w:rPr>
          <w:rFonts w:ascii="Times New Roman" w:hAnsi="Times New Roman" w:cs="Times New Roman"/>
          <w:sz w:val="24"/>
          <w:szCs w:val="24"/>
        </w:rPr>
        <w:t>(our emphasis)</w:t>
      </w:r>
    </w:p>
    <w:p w14:paraId="6821F3E4" w14:textId="1B4292D9" w:rsidR="00C262E8" w:rsidRPr="002A6544" w:rsidRDefault="00C262E8" w:rsidP="002A6544">
      <w:pPr>
        <w:spacing w:after="0" w:line="480" w:lineRule="auto"/>
        <w:jc w:val="both"/>
        <w:rPr>
          <w:rFonts w:ascii="Times New Roman" w:hAnsi="Times New Roman" w:cs="Times New Roman"/>
          <w:sz w:val="24"/>
          <w:szCs w:val="24"/>
        </w:rPr>
      </w:pPr>
    </w:p>
    <w:p w14:paraId="392A13D1" w14:textId="6AB841DA" w:rsidR="00FA5622" w:rsidRDefault="00FA5622" w:rsidP="00FA5622">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i/>
          <w:sz w:val="24"/>
          <w:szCs w:val="24"/>
        </w:rPr>
        <w:t xml:space="preserve">  </w:t>
      </w:r>
      <w:r>
        <w:rPr>
          <w:rFonts w:ascii="Times New Roman" w:hAnsi="Times New Roman" w:cs="Times New Roman"/>
          <w:sz w:val="24"/>
          <w:szCs w:val="24"/>
        </w:rPr>
        <w:t>If that analysis is correct – as we think it is – it follows that here, the Bank’s claim against the Defendants is equally not a claim for breach of contract and that, accordingly, the claim is not one for any “</w:t>
      </w:r>
      <w:r w:rsidRPr="00C262E8">
        <w:rPr>
          <w:rFonts w:ascii="Times New Roman" w:hAnsi="Times New Roman" w:cs="Times New Roman"/>
          <w:i/>
          <w:sz w:val="24"/>
          <w:szCs w:val="24"/>
        </w:rPr>
        <w:t>wrong</w:t>
      </w:r>
      <w:r>
        <w:rPr>
          <w:rFonts w:ascii="Times New Roman" w:hAnsi="Times New Roman" w:cs="Times New Roman"/>
          <w:sz w:val="24"/>
          <w:szCs w:val="24"/>
        </w:rPr>
        <w:t>” committed by the Defendants, thus excluding the operation of Part III CLA.</w:t>
      </w:r>
    </w:p>
    <w:p w14:paraId="4D207453" w14:textId="77777777" w:rsidR="00FA5622" w:rsidRDefault="00FA5622" w:rsidP="00FA5622">
      <w:pPr>
        <w:pStyle w:val="ListParagraph"/>
        <w:spacing w:after="0" w:line="480" w:lineRule="auto"/>
        <w:jc w:val="both"/>
        <w:rPr>
          <w:rFonts w:ascii="Times New Roman" w:hAnsi="Times New Roman" w:cs="Times New Roman"/>
          <w:sz w:val="24"/>
          <w:szCs w:val="24"/>
        </w:rPr>
      </w:pPr>
    </w:p>
    <w:p w14:paraId="477DA39D" w14:textId="786830A4" w:rsidR="00A74EAF" w:rsidRPr="00434D69" w:rsidRDefault="00060BF0"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lastRenderedPageBreak/>
        <w:t xml:space="preserve">In </w:t>
      </w:r>
      <w:r w:rsidRPr="00434D69">
        <w:rPr>
          <w:rFonts w:ascii="Times New Roman" w:hAnsi="Times New Roman" w:cs="Times New Roman"/>
          <w:i/>
          <w:sz w:val="24"/>
          <w:szCs w:val="24"/>
        </w:rPr>
        <w:t>O</w:t>
      </w:r>
      <w:r w:rsidR="00B67C7D">
        <w:rPr>
          <w:rFonts w:ascii="Times New Roman" w:hAnsi="Times New Roman" w:cs="Times New Roman"/>
          <w:i/>
          <w:sz w:val="24"/>
          <w:szCs w:val="24"/>
        </w:rPr>
        <w:t>’</w:t>
      </w:r>
      <w:r w:rsidRPr="00434D69">
        <w:rPr>
          <w:rFonts w:ascii="Times New Roman" w:hAnsi="Times New Roman" w:cs="Times New Roman"/>
          <w:i/>
          <w:sz w:val="24"/>
          <w:szCs w:val="24"/>
        </w:rPr>
        <w:t>Reilly</w:t>
      </w:r>
      <w:r w:rsidRPr="00434D69">
        <w:rPr>
          <w:rFonts w:ascii="Times New Roman" w:hAnsi="Times New Roman" w:cs="Times New Roman"/>
          <w:sz w:val="24"/>
          <w:szCs w:val="24"/>
        </w:rPr>
        <w:t xml:space="preserve">, Barniville J. </w:t>
      </w:r>
      <w:r w:rsidR="00C262E8">
        <w:rPr>
          <w:rFonts w:ascii="Times New Roman" w:hAnsi="Times New Roman" w:cs="Times New Roman"/>
          <w:sz w:val="24"/>
          <w:szCs w:val="24"/>
        </w:rPr>
        <w:t xml:space="preserve">does not </w:t>
      </w:r>
      <w:r w:rsidR="00C2193D" w:rsidRPr="00434D69">
        <w:rPr>
          <w:rFonts w:ascii="Times New Roman" w:hAnsi="Times New Roman" w:cs="Times New Roman"/>
          <w:sz w:val="24"/>
          <w:szCs w:val="24"/>
        </w:rPr>
        <w:t xml:space="preserve">appear to have been referred to </w:t>
      </w:r>
      <w:r w:rsidR="00C262E8">
        <w:rPr>
          <w:rFonts w:ascii="Times New Roman" w:hAnsi="Times New Roman" w:cs="Times New Roman"/>
          <w:sz w:val="24"/>
          <w:szCs w:val="24"/>
        </w:rPr>
        <w:t xml:space="preserve">either </w:t>
      </w:r>
      <w:r w:rsidR="00C262E8" w:rsidRPr="00C262E8">
        <w:rPr>
          <w:rFonts w:ascii="Times New Roman" w:hAnsi="Times New Roman" w:cs="Times New Roman"/>
          <w:i/>
          <w:sz w:val="24"/>
          <w:szCs w:val="24"/>
        </w:rPr>
        <w:t>Malocco</w:t>
      </w:r>
      <w:r w:rsidR="00C262E8">
        <w:rPr>
          <w:rFonts w:ascii="Times New Roman" w:hAnsi="Times New Roman" w:cs="Times New Roman"/>
          <w:sz w:val="24"/>
          <w:szCs w:val="24"/>
        </w:rPr>
        <w:t xml:space="preserve"> or </w:t>
      </w:r>
      <w:r w:rsidR="00C262E8" w:rsidRPr="00C262E8">
        <w:rPr>
          <w:rFonts w:ascii="Times New Roman" w:hAnsi="Times New Roman" w:cs="Times New Roman"/>
          <w:i/>
          <w:sz w:val="24"/>
          <w:szCs w:val="24"/>
        </w:rPr>
        <w:t>Histon</w:t>
      </w:r>
      <w:r w:rsidRPr="00434D69">
        <w:rPr>
          <w:rFonts w:ascii="Times New Roman" w:hAnsi="Times New Roman" w:cs="Times New Roman"/>
          <w:sz w:val="24"/>
          <w:szCs w:val="24"/>
        </w:rPr>
        <w:t xml:space="preserve">.  </w:t>
      </w:r>
      <w:r w:rsidR="00C2193D" w:rsidRPr="00434D69">
        <w:rPr>
          <w:rFonts w:ascii="Times New Roman" w:hAnsi="Times New Roman" w:cs="Times New Roman"/>
          <w:sz w:val="24"/>
          <w:szCs w:val="24"/>
        </w:rPr>
        <w:t>There the issue of whether a borrower from the plaintiff bank and a guarantor of that debt were concurrent wron</w:t>
      </w:r>
      <w:r w:rsidR="00191818" w:rsidRPr="00434D69">
        <w:rPr>
          <w:rFonts w:ascii="Times New Roman" w:hAnsi="Times New Roman" w:cs="Times New Roman"/>
          <w:sz w:val="24"/>
          <w:szCs w:val="24"/>
        </w:rPr>
        <w:t>g</w:t>
      </w:r>
      <w:r w:rsidR="00C2193D" w:rsidRPr="00434D69">
        <w:rPr>
          <w:rFonts w:ascii="Times New Roman" w:hAnsi="Times New Roman" w:cs="Times New Roman"/>
          <w:sz w:val="24"/>
          <w:szCs w:val="24"/>
        </w:rPr>
        <w:t>doers arose in the context of summary proceedings by the Bank against the guarantor to which the latter sought to join the borrower as a third party.  Noting that each was a ‘</w:t>
      </w:r>
      <w:r w:rsidR="00C2193D" w:rsidRPr="00434D69">
        <w:rPr>
          <w:rFonts w:ascii="Times New Roman" w:hAnsi="Times New Roman" w:cs="Times New Roman"/>
          <w:i/>
          <w:sz w:val="24"/>
          <w:szCs w:val="24"/>
        </w:rPr>
        <w:t>wrongdoer</w:t>
      </w:r>
      <w:r w:rsidR="00B67C7D">
        <w:rPr>
          <w:rFonts w:ascii="Times New Roman" w:hAnsi="Times New Roman" w:cs="Times New Roman"/>
          <w:i/>
          <w:sz w:val="24"/>
          <w:szCs w:val="24"/>
        </w:rPr>
        <w:t>’</w:t>
      </w:r>
      <w:r w:rsidR="00C2193D" w:rsidRPr="00434D69">
        <w:rPr>
          <w:rFonts w:ascii="Times New Roman" w:hAnsi="Times New Roman" w:cs="Times New Roman"/>
          <w:i/>
          <w:sz w:val="24"/>
          <w:szCs w:val="24"/>
        </w:rPr>
        <w:t xml:space="preserve"> </w:t>
      </w:r>
      <w:r w:rsidR="00C2193D" w:rsidRPr="00434D69">
        <w:rPr>
          <w:rFonts w:ascii="Times New Roman" w:hAnsi="Times New Roman" w:cs="Times New Roman"/>
          <w:sz w:val="24"/>
          <w:szCs w:val="24"/>
        </w:rPr>
        <w:t>by reason of their respective failures to comply with their contractual obligations, Barn</w:t>
      </w:r>
      <w:r w:rsidR="00191818" w:rsidRPr="00434D69">
        <w:rPr>
          <w:rFonts w:ascii="Times New Roman" w:hAnsi="Times New Roman" w:cs="Times New Roman"/>
          <w:sz w:val="24"/>
          <w:szCs w:val="24"/>
        </w:rPr>
        <w:t>i</w:t>
      </w:r>
      <w:r w:rsidR="00C2193D" w:rsidRPr="00434D69">
        <w:rPr>
          <w:rFonts w:ascii="Times New Roman" w:hAnsi="Times New Roman" w:cs="Times New Roman"/>
          <w:sz w:val="24"/>
          <w:szCs w:val="24"/>
        </w:rPr>
        <w:t>ville J. explained the essential reason for his conclusion that the borrower and the guarantor were concurrent wrongdoers, as follows (at para. 38):</w:t>
      </w:r>
    </w:p>
    <w:p w14:paraId="39FA96C0" w14:textId="77777777" w:rsidR="00C2193D" w:rsidRPr="00434D69" w:rsidRDefault="00C2193D" w:rsidP="00434D69">
      <w:pPr>
        <w:pStyle w:val="ListParagraph"/>
        <w:spacing w:after="0" w:line="480" w:lineRule="auto"/>
        <w:jc w:val="both"/>
        <w:rPr>
          <w:rFonts w:ascii="Times New Roman" w:hAnsi="Times New Roman" w:cs="Times New Roman"/>
          <w:sz w:val="24"/>
          <w:szCs w:val="24"/>
        </w:rPr>
      </w:pPr>
    </w:p>
    <w:p w14:paraId="5D761FFC" w14:textId="51F7B4C8" w:rsidR="00C2193D" w:rsidRPr="00434D69" w:rsidRDefault="009637BC" w:rsidP="00434D69">
      <w:pPr>
        <w:pStyle w:val="ListParagraph"/>
        <w:spacing w:after="0" w:line="480" w:lineRule="auto"/>
        <w:ind w:left="1440"/>
        <w:jc w:val="both"/>
        <w:rPr>
          <w:rFonts w:ascii="Times New Roman" w:hAnsi="Times New Roman" w:cs="Times New Roman"/>
          <w:i/>
          <w:sz w:val="24"/>
          <w:szCs w:val="24"/>
        </w:rPr>
      </w:pPr>
      <w:r>
        <w:rPr>
          <w:rFonts w:ascii="Times New Roman" w:hAnsi="Times New Roman" w:cs="Times New Roman"/>
          <w:i/>
          <w:sz w:val="24"/>
          <w:szCs w:val="24"/>
        </w:rPr>
        <w:t>“</w:t>
      </w:r>
      <w:r w:rsidR="00C2193D" w:rsidRPr="00434D69">
        <w:rPr>
          <w:rFonts w:ascii="Times New Roman" w:hAnsi="Times New Roman" w:cs="Times New Roman"/>
          <w:i/>
          <w:sz w:val="24"/>
          <w:szCs w:val="24"/>
        </w:rPr>
        <w:t>In the case of a lender who has lent money to a principal debtor whose obligation to repay the lender is guaranteed by a guarantor, the damage suffered by the lender is the non-recovery or non-repayment of the loan advanced. In my view, the “damage” allegedly suffered by the Bank in the present case as a result of the failure by the Borrower to repay the loan is precisely the “same” as the damage the Bank has allegedly suffered as a result of the Defendants failing to pay the sum demanded under the guarantees. In each case it is the non-recovery by or non-repayment to the Bank of the loan. While the amount for which it is alleged the Defendants are liable as guarantors may be lower than that allegedly due by the Borrower, having regard to the limit on the guarantees, it does not seem to me that this affects the nature of the damage allegedly suffered by the Bank, which is the principal focus of the definition of “concurrent wrongdoers” in s</w:t>
      </w:r>
      <w:r w:rsidR="00A42F73">
        <w:rPr>
          <w:rFonts w:ascii="Times New Roman" w:hAnsi="Times New Roman" w:cs="Times New Roman"/>
          <w:i/>
          <w:sz w:val="24"/>
          <w:szCs w:val="24"/>
        </w:rPr>
        <w:t>s</w:t>
      </w:r>
      <w:r w:rsidR="00C2193D" w:rsidRPr="00434D69">
        <w:rPr>
          <w:rFonts w:ascii="Times New Roman" w:hAnsi="Times New Roman" w:cs="Times New Roman"/>
          <w:i/>
          <w:sz w:val="24"/>
          <w:szCs w:val="24"/>
        </w:rPr>
        <w:t xml:space="preserve">. 11(1) and 21(1) of the 1961 Act. The “damage” allegedly suffered by the Bank is, in my view, the “same” in the </w:t>
      </w:r>
      <w:r w:rsidR="00C2193D" w:rsidRPr="00434D69">
        <w:rPr>
          <w:rFonts w:ascii="Times New Roman" w:hAnsi="Times New Roman" w:cs="Times New Roman"/>
          <w:i/>
          <w:sz w:val="24"/>
          <w:szCs w:val="24"/>
        </w:rPr>
        <w:lastRenderedPageBreak/>
        <w:t>case of the Borrower</w:t>
      </w:r>
      <w:r w:rsidR="00B67C7D">
        <w:rPr>
          <w:rFonts w:ascii="Times New Roman" w:hAnsi="Times New Roman" w:cs="Times New Roman"/>
          <w:i/>
          <w:sz w:val="24"/>
          <w:szCs w:val="24"/>
        </w:rPr>
        <w:t>’</w:t>
      </w:r>
      <w:r w:rsidR="00C2193D" w:rsidRPr="00434D69">
        <w:rPr>
          <w:rFonts w:ascii="Times New Roman" w:hAnsi="Times New Roman" w:cs="Times New Roman"/>
          <w:i/>
          <w:sz w:val="24"/>
          <w:szCs w:val="24"/>
        </w:rPr>
        <w:t>s failure to repay the loan and in the case of the Defendants</w:t>
      </w:r>
      <w:r w:rsidR="00B67C7D">
        <w:rPr>
          <w:rFonts w:ascii="Times New Roman" w:hAnsi="Times New Roman" w:cs="Times New Roman"/>
          <w:i/>
          <w:sz w:val="24"/>
          <w:szCs w:val="24"/>
        </w:rPr>
        <w:t>’</w:t>
      </w:r>
      <w:r w:rsidR="00C2193D" w:rsidRPr="00434D69">
        <w:rPr>
          <w:rFonts w:ascii="Times New Roman" w:hAnsi="Times New Roman" w:cs="Times New Roman"/>
          <w:i/>
          <w:sz w:val="24"/>
          <w:szCs w:val="24"/>
        </w:rPr>
        <w:t xml:space="preserve"> failure to pay on foot of the guarantees</w:t>
      </w:r>
      <w:r w:rsidR="008F3AEE">
        <w:rPr>
          <w:rFonts w:ascii="Times New Roman" w:hAnsi="Times New Roman" w:cs="Times New Roman"/>
          <w:i/>
          <w:sz w:val="24"/>
          <w:szCs w:val="24"/>
        </w:rPr>
        <w:t>.</w:t>
      </w:r>
      <w:r>
        <w:rPr>
          <w:rFonts w:ascii="Times New Roman" w:hAnsi="Times New Roman" w:cs="Times New Roman"/>
          <w:i/>
          <w:sz w:val="24"/>
          <w:szCs w:val="24"/>
        </w:rPr>
        <w:t>”</w:t>
      </w:r>
      <w:r w:rsidR="00C2193D" w:rsidRPr="00434D69">
        <w:rPr>
          <w:rFonts w:ascii="Times New Roman" w:hAnsi="Times New Roman" w:cs="Times New Roman"/>
          <w:i/>
          <w:sz w:val="24"/>
          <w:szCs w:val="24"/>
        </w:rPr>
        <w:t xml:space="preserve"> </w:t>
      </w:r>
    </w:p>
    <w:p w14:paraId="17B5F764" w14:textId="77777777" w:rsidR="00C2193D" w:rsidRPr="00434D69" w:rsidRDefault="00C2193D"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3AE07FEF" w14:textId="1988AF17" w:rsidR="00DC0A12" w:rsidRPr="00C00A66" w:rsidRDefault="00C2193D"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It is important in considering this </w:t>
      </w:r>
      <w:r w:rsidR="00191818" w:rsidRPr="00434D69">
        <w:rPr>
          <w:rFonts w:ascii="Times New Roman" w:hAnsi="Times New Roman" w:cs="Times New Roman"/>
          <w:sz w:val="24"/>
          <w:szCs w:val="24"/>
        </w:rPr>
        <w:t>passage</w:t>
      </w:r>
      <w:r w:rsidRPr="00434D69">
        <w:rPr>
          <w:rFonts w:ascii="Times New Roman" w:hAnsi="Times New Roman" w:cs="Times New Roman"/>
          <w:sz w:val="24"/>
          <w:szCs w:val="24"/>
        </w:rPr>
        <w:t xml:space="preserve"> to observe that the essential point </w:t>
      </w:r>
      <w:r w:rsidR="009637BC">
        <w:rPr>
          <w:rFonts w:ascii="Times New Roman" w:hAnsi="Times New Roman" w:cs="Times New Roman"/>
          <w:sz w:val="24"/>
          <w:szCs w:val="24"/>
        </w:rPr>
        <w:t xml:space="preserve">being </w:t>
      </w:r>
      <w:r w:rsidRPr="00434D69">
        <w:rPr>
          <w:rFonts w:ascii="Times New Roman" w:hAnsi="Times New Roman" w:cs="Times New Roman"/>
          <w:sz w:val="24"/>
          <w:szCs w:val="24"/>
        </w:rPr>
        <w:t xml:space="preserve">made is not directly applicable to the instant case.  As in </w:t>
      </w:r>
      <w:r w:rsidR="002A6544" w:rsidRPr="00434D69">
        <w:rPr>
          <w:rFonts w:ascii="Times New Roman" w:hAnsi="Times New Roman" w:cs="Times New Roman"/>
          <w:i/>
          <w:sz w:val="24"/>
          <w:szCs w:val="24"/>
        </w:rPr>
        <w:t>Malocco</w:t>
      </w:r>
      <w:r w:rsidRPr="00434D69">
        <w:rPr>
          <w:rFonts w:ascii="Times New Roman" w:hAnsi="Times New Roman" w:cs="Times New Roman"/>
          <w:sz w:val="24"/>
          <w:szCs w:val="24"/>
        </w:rPr>
        <w:t xml:space="preserve">, the issue arose in the context of two persons with a liability for the same debt, though in </w:t>
      </w:r>
      <w:r w:rsidRPr="00434D69">
        <w:rPr>
          <w:rFonts w:ascii="Times New Roman" w:hAnsi="Times New Roman" w:cs="Times New Roman"/>
          <w:i/>
          <w:sz w:val="24"/>
          <w:szCs w:val="24"/>
        </w:rPr>
        <w:t>O</w:t>
      </w:r>
      <w:r w:rsidR="00B67C7D">
        <w:rPr>
          <w:rFonts w:ascii="Times New Roman" w:hAnsi="Times New Roman" w:cs="Times New Roman"/>
          <w:i/>
          <w:sz w:val="24"/>
          <w:szCs w:val="24"/>
        </w:rPr>
        <w:t>’</w:t>
      </w:r>
      <w:r w:rsidRPr="00434D69">
        <w:rPr>
          <w:rFonts w:ascii="Times New Roman" w:hAnsi="Times New Roman" w:cs="Times New Roman"/>
          <w:i/>
          <w:sz w:val="24"/>
          <w:szCs w:val="24"/>
        </w:rPr>
        <w:t>Reilly</w:t>
      </w:r>
      <w:r w:rsidRPr="00434D69">
        <w:rPr>
          <w:rFonts w:ascii="Times New Roman" w:hAnsi="Times New Roman" w:cs="Times New Roman"/>
          <w:sz w:val="24"/>
          <w:szCs w:val="24"/>
        </w:rPr>
        <w:t xml:space="preserve"> the liability of one was</w:t>
      </w:r>
      <w:r w:rsidR="009637BC">
        <w:rPr>
          <w:rFonts w:ascii="Times New Roman" w:hAnsi="Times New Roman" w:cs="Times New Roman"/>
          <w:sz w:val="24"/>
          <w:szCs w:val="24"/>
        </w:rPr>
        <w:t xml:space="preserve">, </w:t>
      </w:r>
      <w:r w:rsidR="009637BC" w:rsidRPr="009637BC">
        <w:rPr>
          <w:rFonts w:ascii="Times New Roman" w:hAnsi="Times New Roman" w:cs="Times New Roman"/>
          <w:i/>
          <w:sz w:val="24"/>
          <w:szCs w:val="24"/>
        </w:rPr>
        <w:t>qua</w:t>
      </w:r>
      <w:r w:rsidR="009637BC">
        <w:rPr>
          <w:rFonts w:ascii="Times New Roman" w:hAnsi="Times New Roman" w:cs="Times New Roman"/>
          <w:sz w:val="24"/>
          <w:szCs w:val="24"/>
        </w:rPr>
        <w:t xml:space="preserve"> guarantor,</w:t>
      </w:r>
      <w:r w:rsidRPr="00434D69">
        <w:rPr>
          <w:rFonts w:ascii="Times New Roman" w:hAnsi="Times New Roman" w:cs="Times New Roman"/>
          <w:sz w:val="24"/>
          <w:szCs w:val="24"/>
        </w:rPr>
        <w:t xml:space="preserve"> </w:t>
      </w:r>
      <w:r w:rsidR="009637BC">
        <w:rPr>
          <w:rFonts w:ascii="Times New Roman" w:hAnsi="Times New Roman" w:cs="Times New Roman"/>
          <w:sz w:val="24"/>
          <w:szCs w:val="24"/>
        </w:rPr>
        <w:t xml:space="preserve">a </w:t>
      </w:r>
      <w:r w:rsidRPr="00434D69">
        <w:rPr>
          <w:rFonts w:ascii="Times New Roman" w:hAnsi="Times New Roman" w:cs="Times New Roman"/>
          <w:sz w:val="24"/>
          <w:szCs w:val="24"/>
        </w:rPr>
        <w:t>contingent</w:t>
      </w:r>
      <w:r w:rsidR="009637BC">
        <w:rPr>
          <w:rFonts w:ascii="Times New Roman" w:hAnsi="Times New Roman" w:cs="Times New Roman"/>
          <w:sz w:val="24"/>
          <w:szCs w:val="24"/>
        </w:rPr>
        <w:t xml:space="preserve"> one</w:t>
      </w:r>
      <w:r w:rsidRPr="00434D69">
        <w:rPr>
          <w:rFonts w:ascii="Times New Roman" w:hAnsi="Times New Roman" w:cs="Times New Roman"/>
          <w:sz w:val="24"/>
          <w:szCs w:val="24"/>
        </w:rPr>
        <w:t xml:space="preserve">.  </w:t>
      </w:r>
      <w:r w:rsidR="00AE47F7" w:rsidRPr="00434D69">
        <w:rPr>
          <w:rFonts w:ascii="Times New Roman" w:hAnsi="Times New Roman" w:cs="Times New Roman"/>
          <w:sz w:val="24"/>
          <w:szCs w:val="24"/>
        </w:rPr>
        <w:t xml:space="preserve">However, that Barniville J. viewed this as important is clear from his consideration of the judgment of Clarke J. in </w:t>
      </w:r>
      <w:r w:rsidR="00AE47F7" w:rsidRPr="00434D69">
        <w:rPr>
          <w:rFonts w:ascii="Times New Roman" w:hAnsi="Times New Roman" w:cs="Times New Roman"/>
          <w:i/>
          <w:sz w:val="24"/>
          <w:szCs w:val="24"/>
        </w:rPr>
        <w:t xml:space="preserve">Moloney v. </w:t>
      </w:r>
      <w:r w:rsidR="00F160C7" w:rsidRPr="00434D69">
        <w:rPr>
          <w:rFonts w:ascii="Times New Roman" w:hAnsi="Times New Roman" w:cs="Times New Roman"/>
          <w:i/>
          <w:sz w:val="24"/>
          <w:szCs w:val="24"/>
        </w:rPr>
        <w:t xml:space="preserve">Liddy.  </w:t>
      </w:r>
      <w:r w:rsidR="00F160C7" w:rsidRPr="00434D69">
        <w:rPr>
          <w:rFonts w:ascii="Times New Roman" w:hAnsi="Times New Roman" w:cs="Times New Roman"/>
          <w:sz w:val="24"/>
          <w:szCs w:val="24"/>
        </w:rPr>
        <w:t>There, the question arose in the context of a claim in negligence against a firm of solicitors for negligence in the form of delays in the prosecution of an action which resulted in its dismissal.  The action thus dismissed was against architects whom the plaintiff</w:t>
      </w:r>
      <w:r w:rsidR="00D63F6F">
        <w:rPr>
          <w:rFonts w:ascii="Times New Roman" w:hAnsi="Times New Roman" w:cs="Times New Roman"/>
          <w:sz w:val="24"/>
          <w:szCs w:val="24"/>
        </w:rPr>
        <w:t>s</w:t>
      </w:r>
      <w:r w:rsidR="00F160C7" w:rsidRPr="00434D69">
        <w:rPr>
          <w:rFonts w:ascii="Times New Roman" w:hAnsi="Times New Roman" w:cs="Times New Roman"/>
          <w:sz w:val="24"/>
          <w:szCs w:val="24"/>
        </w:rPr>
        <w:t xml:space="preserve"> alleged had been negligent in connection with their work on the construction of a house for the</w:t>
      </w:r>
      <w:r w:rsidR="00D63F6F">
        <w:rPr>
          <w:rFonts w:ascii="Times New Roman" w:hAnsi="Times New Roman" w:cs="Times New Roman"/>
          <w:sz w:val="24"/>
          <w:szCs w:val="24"/>
        </w:rPr>
        <w:t>m</w:t>
      </w:r>
      <w:r w:rsidR="00F160C7" w:rsidRPr="00434D69">
        <w:rPr>
          <w:rFonts w:ascii="Times New Roman" w:hAnsi="Times New Roman" w:cs="Times New Roman"/>
          <w:sz w:val="24"/>
          <w:szCs w:val="24"/>
        </w:rPr>
        <w:t>.  The solicitors joined the architects as third parties, and their application to set the order to that effect aside</w:t>
      </w:r>
      <w:r w:rsidR="008804A7">
        <w:rPr>
          <w:rFonts w:ascii="Times New Roman" w:hAnsi="Times New Roman" w:cs="Times New Roman"/>
          <w:sz w:val="24"/>
          <w:szCs w:val="24"/>
        </w:rPr>
        <w:t xml:space="preserve"> </w:t>
      </w:r>
      <w:r w:rsidR="00F160C7" w:rsidRPr="00434D69">
        <w:rPr>
          <w:rFonts w:ascii="Times New Roman" w:hAnsi="Times New Roman" w:cs="Times New Roman"/>
          <w:sz w:val="24"/>
          <w:szCs w:val="24"/>
        </w:rPr>
        <w:t>depended on whether they and the solicitors were concurrent wrongdoers.  Clarke J. held that they were not, as the damage in respect of which each was liable was not the same.  The damage for which it was said the solicitors had to compensate the plaintiff was the loss of the opportunity to bring effective proceedings involving an assessment of the prospect of success enjoyed by the claim that had been dismissed, while the claim against the architects was one in which the Court would consider all issues of liability and quantum which arose.</w:t>
      </w:r>
      <w:r w:rsidR="00C00A66">
        <w:rPr>
          <w:rFonts w:ascii="Times New Roman" w:hAnsi="Times New Roman" w:cs="Times New Roman"/>
          <w:sz w:val="24"/>
          <w:szCs w:val="24"/>
        </w:rPr>
        <w:t xml:space="preserve">  </w:t>
      </w:r>
      <w:r w:rsidR="00DC0A12" w:rsidRPr="00C00A66">
        <w:rPr>
          <w:rFonts w:ascii="Times New Roman" w:hAnsi="Times New Roman" w:cs="Times New Roman"/>
          <w:sz w:val="24"/>
          <w:szCs w:val="24"/>
        </w:rPr>
        <w:t xml:space="preserve">Barniville J. distinguished </w:t>
      </w:r>
      <w:r w:rsidR="00DC0A12" w:rsidRPr="00C00A66">
        <w:rPr>
          <w:rFonts w:ascii="Times New Roman" w:hAnsi="Times New Roman" w:cs="Times New Roman"/>
          <w:i/>
          <w:sz w:val="24"/>
          <w:szCs w:val="24"/>
        </w:rPr>
        <w:t>Moloney v. Liddy</w:t>
      </w:r>
      <w:r w:rsidR="00DC0A12" w:rsidRPr="00C00A66">
        <w:rPr>
          <w:rFonts w:ascii="Times New Roman" w:hAnsi="Times New Roman" w:cs="Times New Roman"/>
          <w:sz w:val="24"/>
          <w:szCs w:val="24"/>
        </w:rPr>
        <w:t xml:space="preserve"> from the case before him, as in </w:t>
      </w:r>
      <w:r w:rsidR="00DC0A12" w:rsidRPr="00C00A66">
        <w:rPr>
          <w:rFonts w:ascii="Times New Roman" w:hAnsi="Times New Roman" w:cs="Times New Roman"/>
          <w:i/>
          <w:sz w:val="24"/>
          <w:szCs w:val="24"/>
        </w:rPr>
        <w:t>O</w:t>
      </w:r>
      <w:r w:rsidR="00B67C7D">
        <w:rPr>
          <w:rFonts w:ascii="Times New Roman" w:hAnsi="Times New Roman" w:cs="Times New Roman"/>
          <w:i/>
          <w:sz w:val="24"/>
          <w:szCs w:val="24"/>
        </w:rPr>
        <w:t>’</w:t>
      </w:r>
      <w:r w:rsidR="00DC0A12" w:rsidRPr="00C00A66">
        <w:rPr>
          <w:rFonts w:ascii="Times New Roman" w:hAnsi="Times New Roman" w:cs="Times New Roman"/>
          <w:i/>
          <w:sz w:val="24"/>
          <w:szCs w:val="24"/>
        </w:rPr>
        <w:t>Reilly</w:t>
      </w:r>
      <w:r w:rsidR="00DC0A12" w:rsidRPr="00C00A66">
        <w:rPr>
          <w:rFonts w:ascii="Times New Roman" w:hAnsi="Times New Roman" w:cs="Times New Roman"/>
          <w:sz w:val="24"/>
          <w:szCs w:val="24"/>
        </w:rPr>
        <w:t xml:space="preserve"> there was no question of the liability of one of the wrongdoers being merely that of loss of opportunity. Instead, they were in respect of ‘</w:t>
      </w:r>
      <w:r w:rsidR="00DC0A12" w:rsidRPr="00C00A66">
        <w:rPr>
          <w:rFonts w:ascii="Times New Roman" w:hAnsi="Times New Roman" w:cs="Times New Roman"/>
          <w:i/>
          <w:sz w:val="24"/>
          <w:szCs w:val="24"/>
        </w:rPr>
        <w:t>the same damage</w:t>
      </w:r>
      <w:r w:rsidR="00B67C7D">
        <w:rPr>
          <w:rFonts w:ascii="Times New Roman" w:hAnsi="Times New Roman" w:cs="Times New Roman"/>
          <w:i/>
          <w:sz w:val="24"/>
          <w:szCs w:val="24"/>
        </w:rPr>
        <w:t>’</w:t>
      </w:r>
      <w:r w:rsidR="00DC0A12" w:rsidRPr="00C00A66">
        <w:rPr>
          <w:rFonts w:ascii="Times New Roman" w:hAnsi="Times New Roman" w:cs="Times New Roman"/>
          <w:sz w:val="24"/>
          <w:szCs w:val="24"/>
        </w:rPr>
        <w:t>.</w:t>
      </w:r>
    </w:p>
    <w:p w14:paraId="5198CE0A" w14:textId="77777777" w:rsidR="00DC0A12" w:rsidRPr="00434D69" w:rsidRDefault="00DC0A12" w:rsidP="00434D69">
      <w:pPr>
        <w:pStyle w:val="ListParagraph"/>
        <w:spacing w:after="0" w:line="480" w:lineRule="auto"/>
        <w:rPr>
          <w:rFonts w:ascii="Times New Roman" w:hAnsi="Times New Roman" w:cs="Times New Roman"/>
          <w:sz w:val="24"/>
          <w:szCs w:val="24"/>
        </w:rPr>
      </w:pPr>
    </w:p>
    <w:p w14:paraId="6E2523C8" w14:textId="498B6008" w:rsidR="00DC0A12" w:rsidRPr="00434D69" w:rsidRDefault="00DC0A12"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lastRenderedPageBreak/>
        <w:t xml:space="preserve">It will be immediately obvious that this case is far closer to </w:t>
      </w:r>
      <w:r w:rsidRPr="00434D69">
        <w:rPr>
          <w:rFonts w:ascii="Times New Roman" w:hAnsi="Times New Roman" w:cs="Times New Roman"/>
          <w:i/>
          <w:sz w:val="24"/>
          <w:szCs w:val="24"/>
        </w:rPr>
        <w:t>Moloney</w:t>
      </w:r>
      <w:r w:rsidRPr="00434D69">
        <w:rPr>
          <w:rFonts w:ascii="Times New Roman" w:hAnsi="Times New Roman" w:cs="Times New Roman"/>
          <w:sz w:val="24"/>
          <w:szCs w:val="24"/>
        </w:rPr>
        <w:t xml:space="preserve"> than to </w:t>
      </w:r>
      <w:r w:rsidRPr="00434D69">
        <w:rPr>
          <w:rFonts w:ascii="Times New Roman" w:hAnsi="Times New Roman" w:cs="Times New Roman"/>
          <w:i/>
          <w:sz w:val="24"/>
          <w:szCs w:val="24"/>
        </w:rPr>
        <w:t>O</w:t>
      </w:r>
      <w:r w:rsidR="00B67C7D">
        <w:rPr>
          <w:rFonts w:ascii="Times New Roman" w:hAnsi="Times New Roman" w:cs="Times New Roman"/>
          <w:i/>
          <w:sz w:val="24"/>
          <w:szCs w:val="24"/>
        </w:rPr>
        <w:t>’</w:t>
      </w:r>
      <w:r w:rsidRPr="00434D69">
        <w:rPr>
          <w:rFonts w:ascii="Times New Roman" w:hAnsi="Times New Roman" w:cs="Times New Roman"/>
          <w:i/>
          <w:sz w:val="24"/>
          <w:szCs w:val="24"/>
        </w:rPr>
        <w:t>Reilly</w:t>
      </w:r>
      <w:r w:rsidRPr="00434D69">
        <w:rPr>
          <w:rFonts w:ascii="Times New Roman" w:hAnsi="Times New Roman" w:cs="Times New Roman"/>
          <w:sz w:val="24"/>
          <w:szCs w:val="24"/>
        </w:rPr>
        <w:t xml:space="preserve">.  In answering the question </w:t>
      </w:r>
      <w:r w:rsidR="009637BC">
        <w:rPr>
          <w:rFonts w:ascii="Times New Roman" w:hAnsi="Times New Roman" w:cs="Times New Roman"/>
          <w:sz w:val="24"/>
          <w:szCs w:val="24"/>
        </w:rPr>
        <w:t xml:space="preserve">presented in </w:t>
      </w:r>
      <w:r w:rsidR="009637BC" w:rsidRPr="009637BC">
        <w:rPr>
          <w:rFonts w:ascii="Times New Roman" w:hAnsi="Times New Roman" w:cs="Times New Roman"/>
          <w:i/>
          <w:sz w:val="24"/>
          <w:szCs w:val="24"/>
        </w:rPr>
        <w:t>Moloney</w:t>
      </w:r>
      <w:r w:rsidRPr="00434D69">
        <w:rPr>
          <w:rFonts w:ascii="Times New Roman" w:hAnsi="Times New Roman" w:cs="Times New Roman"/>
          <w:sz w:val="24"/>
          <w:szCs w:val="24"/>
        </w:rPr>
        <w:t>, Clarke J. did not determine the matter by reference to a generalised description of ‘</w:t>
      </w:r>
      <w:r w:rsidRPr="00434D69">
        <w:rPr>
          <w:rFonts w:ascii="Times New Roman" w:hAnsi="Times New Roman" w:cs="Times New Roman"/>
          <w:i/>
          <w:sz w:val="24"/>
          <w:szCs w:val="24"/>
        </w:rPr>
        <w:t>the damage</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which was ultimately, in both the action against the solicitor and that against the architect, the loss that the plaintiff had sustained as a result of the latter’s negligence.  Instead he focussed on the ‘</w:t>
      </w:r>
      <w:r w:rsidRPr="00434D69">
        <w:rPr>
          <w:rFonts w:ascii="Times New Roman" w:hAnsi="Times New Roman" w:cs="Times New Roman"/>
          <w:i/>
          <w:sz w:val="24"/>
          <w:szCs w:val="24"/>
        </w:rPr>
        <w:t>character</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of the claim.  One was for loss of opportunity and the other for direct loss caused by the architect’s negligence.  </w:t>
      </w:r>
      <w:r w:rsidR="00886F45">
        <w:rPr>
          <w:rFonts w:ascii="Times New Roman" w:hAnsi="Times New Roman" w:cs="Times New Roman"/>
          <w:sz w:val="24"/>
          <w:szCs w:val="24"/>
        </w:rPr>
        <w:t>On our view, t</w:t>
      </w:r>
      <w:r w:rsidRPr="00434D69">
        <w:rPr>
          <w:rFonts w:ascii="Times New Roman" w:hAnsi="Times New Roman" w:cs="Times New Roman"/>
          <w:sz w:val="24"/>
          <w:szCs w:val="24"/>
        </w:rPr>
        <w:t>hat must be correct.  The ‘</w:t>
      </w:r>
      <w:r w:rsidRPr="00434D69">
        <w:rPr>
          <w:rFonts w:ascii="Times New Roman" w:hAnsi="Times New Roman" w:cs="Times New Roman"/>
          <w:i/>
          <w:sz w:val="24"/>
          <w:szCs w:val="24"/>
        </w:rPr>
        <w:t>damage</w:t>
      </w:r>
      <w:r w:rsidR="00B67C7D">
        <w:rPr>
          <w:rFonts w:ascii="Times New Roman" w:hAnsi="Times New Roman" w:cs="Times New Roman"/>
          <w:i/>
          <w:sz w:val="24"/>
          <w:szCs w:val="24"/>
        </w:rPr>
        <w:t>’</w:t>
      </w:r>
      <w:r w:rsidRPr="00434D69">
        <w:rPr>
          <w:rFonts w:ascii="Times New Roman" w:hAnsi="Times New Roman" w:cs="Times New Roman"/>
          <w:i/>
          <w:sz w:val="24"/>
          <w:szCs w:val="24"/>
        </w:rPr>
        <w:t xml:space="preserve"> </w:t>
      </w:r>
      <w:r w:rsidRPr="00434D69">
        <w:rPr>
          <w:rFonts w:ascii="Times New Roman" w:hAnsi="Times New Roman" w:cs="Times New Roman"/>
          <w:sz w:val="24"/>
          <w:szCs w:val="24"/>
        </w:rPr>
        <w:t>caused by the wrong cannot be separated from the</w:t>
      </w:r>
      <w:r w:rsidR="0060762D" w:rsidRPr="00434D69">
        <w:rPr>
          <w:rFonts w:ascii="Times New Roman" w:hAnsi="Times New Roman" w:cs="Times New Roman"/>
          <w:sz w:val="24"/>
          <w:szCs w:val="24"/>
        </w:rPr>
        <w:t xml:space="preserve"> </w:t>
      </w:r>
      <w:r w:rsidRPr="00434D69">
        <w:rPr>
          <w:rFonts w:ascii="Times New Roman" w:hAnsi="Times New Roman" w:cs="Times New Roman"/>
          <w:sz w:val="24"/>
          <w:szCs w:val="24"/>
        </w:rPr>
        <w:t xml:space="preserve">basis on which it is </w:t>
      </w:r>
      <w:r w:rsidR="0060762D" w:rsidRPr="00434D69">
        <w:rPr>
          <w:rFonts w:ascii="Times New Roman" w:hAnsi="Times New Roman" w:cs="Times New Roman"/>
          <w:sz w:val="24"/>
          <w:szCs w:val="24"/>
        </w:rPr>
        <w:t xml:space="preserve">sought to recover it.  </w:t>
      </w:r>
      <w:r w:rsidRPr="00434D69">
        <w:rPr>
          <w:rFonts w:ascii="Times New Roman" w:hAnsi="Times New Roman" w:cs="Times New Roman"/>
          <w:sz w:val="24"/>
          <w:szCs w:val="24"/>
        </w:rPr>
        <w:t>If an action for loss of opportunity and an action for direct professional negligence against an architect are not in respect of the ‘</w:t>
      </w:r>
      <w:r w:rsidRPr="00434D69">
        <w:rPr>
          <w:rFonts w:ascii="Times New Roman" w:hAnsi="Times New Roman" w:cs="Times New Roman"/>
          <w:i/>
          <w:sz w:val="24"/>
          <w:szCs w:val="24"/>
        </w:rPr>
        <w:t>same damage</w:t>
      </w:r>
      <w:r w:rsidR="00B67C7D">
        <w:rPr>
          <w:rFonts w:ascii="Times New Roman" w:hAnsi="Times New Roman" w:cs="Times New Roman"/>
          <w:i/>
          <w:sz w:val="24"/>
          <w:szCs w:val="24"/>
        </w:rPr>
        <w:t>’</w:t>
      </w:r>
      <w:r w:rsidRPr="00434D69">
        <w:rPr>
          <w:rFonts w:ascii="Times New Roman" w:hAnsi="Times New Roman" w:cs="Times New Roman"/>
          <w:i/>
          <w:sz w:val="24"/>
          <w:szCs w:val="24"/>
        </w:rPr>
        <w:t xml:space="preserve"> </w:t>
      </w:r>
      <w:r w:rsidRPr="00434D69">
        <w:rPr>
          <w:rFonts w:ascii="Times New Roman" w:hAnsi="Times New Roman" w:cs="Times New Roman"/>
          <w:sz w:val="24"/>
          <w:szCs w:val="24"/>
        </w:rPr>
        <w:t xml:space="preserve">(even though both will ultimately go to compensate the plaintiff for the same essential loss), it is impossible to see how an action for the recovery of a debt and an action for damages </w:t>
      </w:r>
      <w:r w:rsidR="00A846E0" w:rsidRPr="00434D69">
        <w:rPr>
          <w:rFonts w:ascii="Times New Roman" w:hAnsi="Times New Roman" w:cs="Times New Roman"/>
          <w:sz w:val="24"/>
          <w:szCs w:val="24"/>
        </w:rPr>
        <w:t>can be in respect of the ‘</w:t>
      </w:r>
      <w:r w:rsidR="00A846E0" w:rsidRPr="00434D69">
        <w:rPr>
          <w:rFonts w:ascii="Times New Roman" w:hAnsi="Times New Roman" w:cs="Times New Roman"/>
          <w:i/>
          <w:sz w:val="24"/>
          <w:szCs w:val="24"/>
        </w:rPr>
        <w:t>same damage</w:t>
      </w:r>
      <w:r w:rsidR="00B67C7D">
        <w:rPr>
          <w:rFonts w:ascii="Times New Roman" w:hAnsi="Times New Roman" w:cs="Times New Roman"/>
          <w:i/>
          <w:sz w:val="24"/>
          <w:szCs w:val="24"/>
        </w:rPr>
        <w:t>’</w:t>
      </w:r>
      <w:r w:rsidR="00A846E0" w:rsidRPr="00434D69">
        <w:rPr>
          <w:rFonts w:ascii="Times New Roman" w:hAnsi="Times New Roman" w:cs="Times New Roman"/>
          <w:i/>
          <w:sz w:val="24"/>
          <w:szCs w:val="24"/>
        </w:rPr>
        <w:t xml:space="preserve"> </w:t>
      </w:r>
      <w:r w:rsidR="00E86B2A" w:rsidRPr="00434D69">
        <w:rPr>
          <w:rFonts w:ascii="Times New Roman" w:hAnsi="Times New Roman" w:cs="Times New Roman"/>
          <w:sz w:val="24"/>
          <w:szCs w:val="24"/>
        </w:rPr>
        <w:t xml:space="preserve">simply because </w:t>
      </w:r>
      <w:r w:rsidR="00A846E0" w:rsidRPr="00434D69">
        <w:rPr>
          <w:rFonts w:ascii="Times New Roman" w:hAnsi="Times New Roman" w:cs="Times New Roman"/>
          <w:sz w:val="24"/>
          <w:szCs w:val="24"/>
        </w:rPr>
        <w:t>both may result in retur</w:t>
      </w:r>
      <w:r w:rsidR="00E86B2A" w:rsidRPr="00434D69">
        <w:rPr>
          <w:rFonts w:ascii="Times New Roman" w:hAnsi="Times New Roman" w:cs="Times New Roman"/>
          <w:sz w:val="24"/>
          <w:szCs w:val="24"/>
        </w:rPr>
        <w:t>n</w:t>
      </w:r>
      <w:r w:rsidR="00A846E0" w:rsidRPr="00434D69">
        <w:rPr>
          <w:rFonts w:ascii="Times New Roman" w:hAnsi="Times New Roman" w:cs="Times New Roman"/>
          <w:sz w:val="24"/>
          <w:szCs w:val="24"/>
        </w:rPr>
        <w:t xml:space="preserve">ing to the plaintiff in whole or in part the monies it lent </w:t>
      </w:r>
      <w:r w:rsidR="00E86B2A" w:rsidRPr="00434D69">
        <w:rPr>
          <w:rFonts w:ascii="Times New Roman" w:hAnsi="Times New Roman" w:cs="Times New Roman"/>
          <w:sz w:val="24"/>
          <w:szCs w:val="24"/>
        </w:rPr>
        <w:t xml:space="preserve">to the defendants.  </w:t>
      </w:r>
      <w:r w:rsidR="00E86B2A" w:rsidRPr="00434D69">
        <w:rPr>
          <w:rFonts w:ascii="Times New Roman" w:hAnsi="Times New Roman" w:cs="Times New Roman"/>
          <w:i/>
          <w:sz w:val="24"/>
          <w:szCs w:val="24"/>
        </w:rPr>
        <w:t>O</w:t>
      </w:r>
      <w:r w:rsidR="00B67C7D">
        <w:rPr>
          <w:rFonts w:ascii="Times New Roman" w:hAnsi="Times New Roman" w:cs="Times New Roman"/>
          <w:i/>
          <w:sz w:val="24"/>
          <w:szCs w:val="24"/>
        </w:rPr>
        <w:t>’</w:t>
      </w:r>
      <w:r w:rsidR="00E86B2A" w:rsidRPr="00434D69">
        <w:rPr>
          <w:rFonts w:ascii="Times New Roman" w:hAnsi="Times New Roman" w:cs="Times New Roman"/>
          <w:i/>
          <w:sz w:val="24"/>
          <w:szCs w:val="24"/>
        </w:rPr>
        <w:t>Reilly</w:t>
      </w:r>
      <w:r w:rsidR="00E86B2A" w:rsidRPr="00434D69">
        <w:rPr>
          <w:rFonts w:ascii="Times New Roman" w:hAnsi="Times New Roman" w:cs="Times New Roman"/>
          <w:sz w:val="24"/>
          <w:szCs w:val="24"/>
        </w:rPr>
        <w:t xml:space="preserve">, it might be said, </w:t>
      </w:r>
      <w:r w:rsidR="0060762D" w:rsidRPr="00434D69">
        <w:rPr>
          <w:rFonts w:ascii="Times New Roman" w:hAnsi="Times New Roman" w:cs="Times New Roman"/>
          <w:sz w:val="24"/>
          <w:szCs w:val="24"/>
        </w:rPr>
        <w:t>wa</w:t>
      </w:r>
      <w:r w:rsidR="00E86B2A" w:rsidRPr="00434D69">
        <w:rPr>
          <w:rFonts w:ascii="Times New Roman" w:hAnsi="Times New Roman" w:cs="Times New Roman"/>
          <w:sz w:val="24"/>
          <w:szCs w:val="24"/>
        </w:rPr>
        <w:t>s different because both claims involve actions to recover the same debt which the defendant and third party had agreed to repay, albeit under different conditions.</w:t>
      </w:r>
    </w:p>
    <w:p w14:paraId="21DA9ACE" w14:textId="77777777" w:rsidR="00E86B2A" w:rsidRPr="00434D69" w:rsidRDefault="00E86B2A"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5A71A115" w14:textId="02EFECAD" w:rsidR="00123AC7" w:rsidRPr="00434D69" w:rsidRDefault="00DC59B4" w:rsidP="00272396">
      <w:pPr>
        <w:pStyle w:val="Heading2"/>
      </w:pPr>
      <w:r w:rsidRPr="00434D69">
        <w:t xml:space="preserve">The </w:t>
      </w:r>
      <w:r w:rsidR="008F3AEE">
        <w:t>J</w:t>
      </w:r>
      <w:r w:rsidRPr="00434D69">
        <w:t>udge</w:t>
      </w:r>
      <w:r w:rsidR="00B67C7D">
        <w:t>’</w:t>
      </w:r>
      <w:r w:rsidRPr="00434D69">
        <w:t>s analysis</w:t>
      </w:r>
      <w:r w:rsidR="00BD301E">
        <w:t xml:space="preserve"> and submissions of the </w:t>
      </w:r>
      <w:r w:rsidR="00886F45">
        <w:t>S</w:t>
      </w:r>
      <w:r w:rsidR="00BD301E">
        <w:t xml:space="preserve">econd and </w:t>
      </w:r>
      <w:r w:rsidR="00886F45">
        <w:t>T</w:t>
      </w:r>
      <w:r w:rsidR="00BD301E">
        <w:t xml:space="preserve">hird </w:t>
      </w:r>
      <w:r w:rsidR="00886F45">
        <w:t>D</w:t>
      </w:r>
      <w:r w:rsidR="00BD301E">
        <w:t>efendants on this appeal</w:t>
      </w:r>
    </w:p>
    <w:p w14:paraId="543D9113" w14:textId="77777777" w:rsidR="00DF576B" w:rsidRPr="00434D69" w:rsidRDefault="00123AC7"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58F355B3" w14:textId="353907F4" w:rsidR="00C2193D" w:rsidRPr="00434D69" w:rsidRDefault="00F4071B"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Citing </w:t>
      </w:r>
      <w:r w:rsidRPr="00434D69">
        <w:rPr>
          <w:rFonts w:ascii="Times New Roman" w:hAnsi="Times New Roman" w:cs="Times New Roman"/>
          <w:i/>
          <w:sz w:val="24"/>
          <w:szCs w:val="24"/>
        </w:rPr>
        <w:t>O</w:t>
      </w:r>
      <w:r w:rsidR="00B67C7D">
        <w:rPr>
          <w:rFonts w:ascii="Times New Roman" w:hAnsi="Times New Roman" w:cs="Times New Roman"/>
          <w:i/>
          <w:sz w:val="24"/>
          <w:szCs w:val="24"/>
        </w:rPr>
        <w:t>’</w:t>
      </w:r>
      <w:r w:rsidRPr="00434D69">
        <w:rPr>
          <w:rFonts w:ascii="Times New Roman" w:hAnsi="Times New Roman" w:cs="Times New Roman"/>
          <w:i/>
          <w:sz w:val="24"/>
          <w:szCs w:val="24"/>
        </w:rPr>
        <w:t>Reilly</w:t>
      </w:r>
      <w:r w:rsidRPr="00434D69">
        <w:rPr>
          <w:rFonts w:ascii="Times New Roman" w:hAnsi="Times New Roman" w:cs="Times New Roman"/>
          <w:sz w:val="24"/>
          <w:szCs w:val="24"/>
        </w:rPr>
        <w:t xml:space="preserve"> and noting that</w:t>
      </w:r>
      <w:r w:rsidR="00886F45">
        <w:rPr>
          <w:rFonts w:ascii="Times New Roman" w:hAnsi="Times New Roman" w:cs="Times New Roman"/>
          <w:sz w:val="24"/>
          <w:szCs w:val="24"/>
        </w:rPr>
        <w:t xml:space="preserve"> in </w:t>
      </w:r>
      <w:r w:rsidR="00886F45" w:rsidRPr="00886F45">
        <w:rPr>
          <w:rFonts w:ascii="Times New Roman" w:hAnsi="Times New Roman" w:cs="Times New Roman"/>
          <w:i/>
          <w:sz w:val="24"/>
          <w:szCs w:val="24"/>
        </w:rPr>
        <w:t>Histon</w:t>
      </w:r>
      <w:r w:rsidR="00886F45">
        <w:rPr>
          <w:rFonts w:ascii="Times New Roman" w:hAnsi="Times New Roman" w:cs="Times New Roman"/>
          <w:sz w:val="24"/>
          <w:szCs w:val="24"/>
        </w:rPr>
        <w:t xml:space="preserve"> </w:t>
      </w:r>
      <w:r w:rsidRPr="00434D69">
        <w:rPr>
          <w:rFonts w:ascii="Times New Roman" w:hAnsi="Times New Roman" w:cs="Times New Roman"/>
          <w:sz w:val="24"/>
          <w:szCs w:val="24"/>
        </w:rPr>
        <w:t xml:space="preserve"> Finlay Geoghegan J. was not referred </w:t>
      </w:r>
      <w:r w:rsidR="00886F45">
        <w:rPr>
          <w:rFonts w:ascii="Times New Roman" w:hAnsi="Times New Roman" w:cs="Times New Roman"/>
          <w:sz w:val="24"/>
          <w:szCs w:val="24"/>
        </w:rPr>
        <w:t xml:space="preserve"> to Laffoy J’s decision in</w:t>
      </w:r>
      <w:r w:rsidR="002A6544">
        <w:rPr>
          <w:rFonts w:ascii="Times New Roman" w:hAnsi="Times New Roman" w:cs="Times New Roman"/>
          <w:sz w:val="24"/>
          <w:szCs w:val="24"/>
        </w:rPr>
        <w:t xml:space="preserve"> </w:t>
      </w:r>
      <w:r w:rsidRPr="00434D69">
        <w:rPr>
          <w:rFonts w:ascii="Times New Roman" w:hAnsi="Times New Roman" w:cs="Times New Roman"/>
          <w:i/>
          <w:sz w:val="24"/>
          <w:szCs w:val="24"/>
        </w:rPr>
        <w:t>Malocco</w:t>
      </w:r>
      <w:r w:rsidRPr="00434D69">
        <w:rPr>
          <w:rFonts w:ascii="Times New Roman" w:hAnsi="Times New Roman" w:cs="Times New Roman"/>
          <w:sz w:val="24"/>
          <w:szCs w:val="24"/>
        </w:rPr>
        <w:t xml:space="preserve">, Twomey J. said that the reasons he found that the </w:t>
      </w:r>
      <w:r w:rsidR="00886F45">
        <w:rPr>
          <w:rFonts w:ascii="Times New Roman" w:hAnsi="Times New Roman" w:cs="Times New Roman"/>
          <w:sz w:val="24"/>
          <w:szCs w:val="24"/>
        </w:rPr>
        <w:t xml:space="preserve">CLA </w:t>
      </w:r>
      <w:r w:rsidRPr="00434D69">
        <w:rPr>
          <w:rFonts w:ascii="Times New Roman" w:hAnsi="Times New Roman" w:cs="Times New Roman"/>
          <w:sz w:val="24"/>
          <w:szCs w:val="24"/>
        </w:rPr>
        <w:t>applied to ‘</w:t>
      </w:r>
      <w:r w:rsidRPr="00434D69">
        <w:rPr>
          <w:rFonts w:ascii="Times New Roman" w:hAnsi="Times New Roman" w:cs="Times New Roman"/>
          <w:i/>
          <w:sz w:val="24"/>
          <w:szCs w:val="24"/>
        </w:rPr>
        <w:t>debt collection cases</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in general, and that the </w:t>
      </w:r>
      <w:r w:rsidR="00886F45">
        <w:rPr>
          <w:rFonts w:ascii="Times New Roman" w:hAnsi="Times New Roman" w:cs="Times New Roman"/>
          <w:sz w:val="24"/>
          <w:szCs w:val="24"/>
        </w:rPr>
        <w:t>Defendants</w:t>
      </w:r>
      <w:r w:rsidR="00886F45" w:rsidRPr="00434D69">
        <w:rPr>
          <w:rFonts w:ascii="Times New Roman" w:hAnsi="Times New Roman" w:cs="Times New Roman"/>
          <w:sz w:val="24"/>
          <w:szCs w:val="24"/>
        </w:rPr>
        <w:t xml:space="preserve"> </w:t>
      </w:r>
      <w:r w:rsidRPr="00434D69">
        <w:rPr>
          <w:rFonts w:ascii="Times New Roman" w:hAnsi="Times New Roman" w:cs="Times New Roman"/>
          <w:sz w:val="24"/>
          <w:szCs w:val="24"/>
        </w:rPr>
        <w:t>and CBRE were concurrent wrongdoers</w:t>
      </w:r>
      <w:r w:rsidR="00886F45">
        <w:rPr>
          <w:rFonts w:ascii="Times New Roman" w:hAnsi="Times New Roman" w:cs="Times New Roman"/>
          <w:sz w:val="24"/>
          <w:szCs w:val="24"/>
        </w:rPr>
        <w:t xml:space="preserve"> for the purposes of Part III of the Act,</w:t>
      </w:r>
      <w:r w:rsidRPr="00434D69">
        <w:rPr>
          <w:rFonts w:ascii="Times New Roman" w:hAnsi="Times New Roman" w:cs="Times New Roman"/>
          <w:sz w:val="24"/>
          <w:szCs w:val="24"/>
        </w:rPr>
        <w:t xml:space="preserve"> were:</w:t>
      </w:r>
    </w:p>
    <w:p w14:paraId="0A2B9F07" w14:textId="77777777" w:rsidR="00F4071B" w:rsidRPr="00434D69" w:rsidRDefault="00F4071B" w:rsidP="00434D69">
      <w:pPr>
        <w:pStyle w:val="ListParagraph"/>
        <w:spacing w:after="0" w:line="480" w:lineRule="auto"/>
        <w:jc w:val="both"/>
        <w:rPr>
          <w:rFonts w:ascii="Times New Roman" w:hAnsi="Times New Roman" w:cs="Times New Roman"/>
          <w:sz w:val="24"/>
          <w:szCs w:val="24"/>
        </w:rPr>
      </w:pPr>
    </w:p>
    <w:p w14:paraId="468091B4" w14:textId="26331F5C" w:rsidR="00F4071B" w:rsidRPr="00434D69" w:rsidRDefault="00F4071B" w:rsidP="00434D69">
      <w:pPr>
        <w:pStyle w:val="ListParagraph"/>
        <w:numPr>
          <w:ilvl w:val="0"/>
          <w:numId w:val="6"/>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Noting the definition of ‘</w:t>
      </w:r>
      <w:r w:rsidRPr="00434D69">
        <w:rPr>
          <w:rFonts w:ascii="Times New Roman" w:hAnsi="Times New Roman" w:cs="Times New Roman"/>
          <w:i/>
          <w:sz w:val="24"/>
          <w:szCs w:val="24"/>
        </w:rPr>
        <w:t>damage</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in the </w:t>
      </w:r>
      <w:r w:rsidR="0022071E">
        <w:rPr>
          <w:rFonts w:ascii="Times New Roman" w:hAnsi="Times New Roman" w:cs="Times New Roman"/>
          <w:sz w:val="24"/>
          <w:szCs w:val="24"/>
        </w:rPr>
        <w:t>CLA</w:t>
      </w:r>
      <w:r w:rsidRPr="00434D69">
        <w:rPr>
          <w:rFonts w:ascii="Times New Roman" w:hAnsi="Times New Roman" w:cs="Times New Roman"/>
          <w:sz w:val="24"/>
          <w:szCs w:val="24"/>
        </w:rPr>
        <w:t xml:space="preserve"> he said that where a defendant fails to repay a loan the plaintiff suffers a loss, and the concept of ‘</w:t>
      </w:r>
      <w:r w:rsidRPr="00434D69">
        <w:rPr>
          <w:rFonts w:ascii="Times New Roman" w:hAnsi="Times New Roman" w:cs="Times New Roman"/>
          <w:i/>
          <w:sz w:val="24"/>
          <w:szCs w:val="24"/>
        </w:rPr>
        <w:t>damage</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in the 1961 Act accordingly included ‘</w:t>
      </w:r>
      <w:r w:rsidRPr="00434D69">
        <w:rPr>
          <w:rFonts w:ascii="Times New Roman" w:hAnsi="Times New Roman" w:cs="Times New Roman"/>
          <w:i/>
          <w:sz w:val="24"/>
          <w:szCs w:val="24"/>
        </w:rPr>
        <w:t>loss of money</w:t>
      </w:r>
      <w:r w:rsidR="00B67C7D">
        <w:rPr>
          <w:rFonts w:ascii="Times New Roman" w:hAnsi="Times New Roman" w:cs="Times New Roman"/>
          <w:i/>
          <w:sz w:val="24"/>
          <w:szCs w:val="24"/>
        </w:rPr>
        <w:t>’</w:t>
      </w:r>
      <w:r w:rsidR="008F3AEE">
        <w:rPr>
          <w:rFonts w:ascii="Times New Roman" w:hAnsi="Times New Roman" w:cs="Times New Roman"/>
          <w:i/>
          <w:sz w:val="24"/>
          <w:szCs w:val="24"/>
        </w:rPr>
        <w:t xml:space="preserve"> </w:t>
      </w:r>
      <w:r w:rsidR="008F3AEE">
        <w:rPr>
          <w:rFonts w:ascii="Times New Roman" w:hAnsi="Times New Roman" w:cs="Times New Roman"/>
          <w:iCs/>
          <w:sz w:val="24"/>
          <w:szCs w:val="24"/>
        </w:rPr>
        <w:t>(</w:t>
      </w:r>
      <w:r w:rsidR="0022071E">
        <w:rPr>
          <w:rFonts w:ascii="Times New Roman" w:hAnsi="Times New Roman" w:cs="Times New Roman"/>
          <w:iCs/>
          <w:sz w:val="24"/>
          <w:szCs w:val="24"/>
        </w:rPr>
        <w:t xml:space="preserve">Judgment, </w:t>
      </w:r>
      <w:r w:rsidR="008F3AEE">
        <w:rPr>
          <w:rFonts w:ascii="Times New Roman" w:hAnsi="Times New Roman" w:cs="Times New Roman"/>
          <w:iCs/>
          <w:sz w:val="24"/>
          <w:szCs w:val="24"/>
        </w:rPr>
        <w:t xml:space="preserve"> para. 324)</w:t>
      </w:r>
      <w:r w:rsidRPr="00434D69">
        <w:rPr>
          <w:rFonts w:ascii="Times New Roman" w:hAnsi="Times New Roman" w:cs="Times New Roman"/>
          <w:sz w:val="24"/>
          <w:szCs w:val="24"/>
        </w:rPr>
        <w:t>.</w:t>
      </w:r>
    </w:p>
    <w:p w14:paraId="4D628F24" w14:textId="77777777" w:rsidR="00F4071B" w:rsidRPr="00434D69" w:rsidRDefault="00F4071B" w:rsidP="00434D69">
      <w:pPr>
        <w:pStyle w:val="ListParagraph"/>
        <w:spacing w:after="0" w:line="480" w:lineRule="auto"/>
        <w:ind w:left="2160"/>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591A2F5E" w14:textId="1246C4FF" w:rsidR="00F4071B" w:rsidRPr="00434D69" w:rsidRDefault="00F4071B" w:rsidP="00434D69">
      <w:pPr>
        <w:pStyle w:val="ListParagraph"/>
        <w:numPr>
          <w:ilvl w:val="0"/>
          <w:numId w:val="6"/>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In any event, a loss of property was encompassed within the term ‘</w:t>
      </w:r>
      <w:r w:rsidRPr="00434D69">
        <w:rPr>
          <w:rFonts w:ascii="Times New Roman" w:hAnsi="Times New Roman" w:cs="Times New Roman"/>
          <w:i/>
          <w:sz w:val="24"/>
          <w:szCs w:val="24"/>
        </w:rPr>
        <w:t>damage</w:t>
      </w:r>
      <w:r w:rsidR="00B67C7D">
        <w:rPr>
          <w:rFonts w:ascii="Times New Roman" w:hAnsi="Times New Roman" w:cs="Times New Roman"/>
          <w:i/>
          <w:sz w:val="24"/>
          <w:szCs w:val="24"/>
        </w:rPr>
        <w:t>’</w:t>
      </w:r>
      <w:r w:rsidR="008F3AEE">
        <w:rPr>
          <w:rFonts w:ascii="Times New Roman" w:hAnsi="Times New Roman" w:cs="Times New Roman"/>
          <w:i/>
          <w:sz w:val="24"/>
          <w:szCs w:val="24"/>
        </w:rPr>
        <w:t xml:space="preserve"> </w:t>
      </w:r>
      <w:r w:rsidR="008F3AEE">
        <w:rPr>
          <w:rFonts w:ascii="Times New Roman" w:hAnsi="Times New Roman" w:cs="Times New Roman"/>
          <w:iCs/>
          <w:sz w:val="24"/>
          <w:szCs w:val="24"/>
        </w:rPr>
        <w:t>(</w:t>
      </w:r>
      <w:r w:rsidR="008F3AEE">
        <w:rPr>
          <w:rFonts w:ascii="Times New Roman" w:hAnsi="Times New Roman" w:cs="Times New Roman"/>
          <w:i/>
          <w:sz w:val="24"/>
          <w:szCs w:val="24"/>
        </w:rPr>
        <w:t xml:space="preserve">id. </w:t>
      </w:r>
      <w:r w:rsidR="008F3AEE">
        <w:rPr>
          <w:rFonts w:ascii="Times New Roman" w:hAnsi="Times New Roman" w:cs="Times New Roman"/>
          <w:iCs/>
          <w:sz w:val="24"/>
          <w:szCs w:val="24"/>
        </w:rPr>
        <w:t>and para. 325)</w:t>
      </w:r>
      <w:r w:rsidRPr="00434D69">
        <w:rPr>
          <w:rFonts w:ascii="Times New Roman" w:hAnsi="Times New Roman" w:cs="Times New Roman"/>
          <w:sz w:val="24"/>
          <w:szCs w:val="24"/>
        </w:rPr>
        <w:t>.</w:t>
      </w:r>
    </w:p>
    <w:p w14:paraId="5C981A70" w14:textId="77777777" w:rsidR="00F4071B" w:rsidRPr="00434D69" w:rsidRDefault="00F4071B" w:rsidP="00434D69">
      <w:pPr>
        <w:pStyle w:val="ListParagraph"/>
        <w:spacing w:after="0" w:line="480" w:lineRule="auto"/>
        <w:rPr>
          <w:rFonts w:ascii="Times New Roman" w:hAnsi="Times New Roman" w:cs="Times New Roman"/>
          <w:sz w:val="24"/>
          <w:szCs w:val="24"/>
        </w:rPr>
      </w:pPr>
    </w:p>
    <w:p w14:paraId="523B2D1A" w14:textId="605C2706" w:rsidR="00F4071B" w:rsidRPr="00434D69" w:rsidRDefault="00F4071B" w:rsidP="00434D69">
      <w:pPr>
        <w:pStyle w:val="ListParagraph"/>
        <w:numPr>
          <w:ilvl w:val="0"/>
          <w:numId w:val="6"/>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He further observed that ‘</w:t>
      </w:r>
      <w:r w:rsidRPr="00434D69">
        <w:rPr>
          <w:rFonts w:ascii="Times New Roman" w:hAnsi="Times New Roman" w:cs="Times New Roman"/>
          <w:i/>
          <w:sz w:val="24"/>
          <w:szCs w:val="24"/>
        </w:rPr>
        <w:t>wrongs</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included ‘</w:t>
      </w:r>
      <w:r w:rsidRPr="00434D69">
        <w:rPr>
          <w:rFonts w:ascii="Times New Roman" w:hAnsi="Times New Roman" w:cs="Times New Roman"/>
          <w:i/>
          <w:sz w:val="24"/>
          <w:szCs w:val="24"/>
        </w:rPr>
        <w:t>breach of contract</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and that the non-payment of monies in this case was a breach of contract</w:t>
      </w:r>
      <w:r w:rsidR="008F3AEE">
        <w:rPr>
          <w:rFonts w:ascii="Times New Roman" w:hAnsi="Times New Roman" w:cs="Times New Roman"/>
          <w:sz w:val="24"/>
          <w:szCs w:val="24"/>
        </w:rPr>
        <w:t xml:space="preserve"> (</w:t>
      </w:r>
      <w:r w:rsidR="0022071E">
        <w:rPr>
          <w:rFonts w:ascii="Times New Roman" w:hAnsi="Times New Roman" w:cs="Times New Roman"/>
          <w:sz w:val="24"/>
          <w:szCs w:val="24"/>
        </w:rPr>
        <w:t xml:space="preserve">Judgment, </w:t>
      </w:r>
      <w:r w:rsidR="008F3AEE">
        <w:rPr>
          <w:rFonts w:ascii="Times New Roman" w:hAnsi="Times New Roman" w:cs="Times New Roman"/>
          <w:sz w:val="24"/>
          <w:szCs w:val="24"/>
        </w:rPr>
        <w:t>para. 326)</w:t>
      </w:r>
      <w:r w:rsidRPr="00434D69">
        <w:rPr>
          <w:rFonts w:ascii="Times New Roman" w:hAnsi="Times New Roman" w:cs="Times New Roman"/>
          <w:sz w:val="24"/>
          <w:szCs w:val="24"/>
        </w:rPr>
        <w:t>.</w:t>
      </w:r>
    </w:p>
    <w:p w14:paraId="433E264C" w14:textId="77777777" w:rsidR="00F4071B" w:rsidRPr="00434D69" w:rsidRDefault="00F4071B" w:rsidP="00434D69">
      <w:pPr>
        <w:pStyle w:val="ListParagraph"/>
        <w:spacing w:after="0" w:line="480" w:lineRule="auto"/>
        <w:rPr>
          <w:rFonts w:ascii="Times New Roman" w:hAnsi="Times New Roman" w:cs="Times New Roman"/>
          <w:sz w:val="24"/>
          <w:szCs w:val="24"/>
        </w:rPr>
      </w:pPr>
    </w:p>
    <w:p w14:paraId="42500202" w14:textId="4A51F8E1" w:rsidR="00F4071B" w:rsidRPr="00434D69" w:rsidRDefault="00F4071B" w:rsidP="00434D69">
      <w:pPr>
        <w:pStyle w:val="ListParagraph"/>
        <w:numPr>
          <w:ilvl w:val="0"/>
          <w:numId w:val="6"/>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If the legislature had intended to exclude one type of ‘</w:t>
      </w:r>
      <w:r w:rsidRPr="00434D69">
        <w:rPr>
          <w:rFonts w:ascii="Times New Roman" w:hAnsi="Times New Roman" w:cs="Times New Roman"/>
          <w:i/>
          <w:sz w:val="24"/>
          <w:szCs w:val="24"/>
        </w:rPr>
        <w:t>civil liability</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from the provisions of the </w:t>
      </w:r>
      <w:r w:rsidR="0022071E">
        <w:rPr>
          <w:rFonts w:ascii="Times New Roman" w:hAnsi="Times New Roman" w:cs="Times New Roman"/>
          <w:sz w:val="24"/>
          <w:szCs w:val="24"/>
        </w:rPr>
        <w:t>CLA</w:t>
      </w:r>
      <w:r w:rsidRPr="00434D69">
        <w:rPr>
          <w:rFonts w:ascii="Times New Roman" w:hAnsi="Times New Roman" w:cs="Times New Roman"/>
          <w:sz w:val="24"/>
          <w:szCs w:val="24"/>
        </w:rPr>
        <w:t>, it would have so stated</w:t>
      </w:r>
      <w:r w:rsidR="00316B66">
        <w:rPr>
          <w:rFonts w:ascii="Times New Roman" w:hAnsi="Times New Roman" w:cs="Times New Roman"/>
          <w:sz w:val="24"/>
          <w:szCs w:val="24"/>
        </w:rPr>
        <w:t xml:space="preserve"> (</w:t>
      </w:r>
      <w:r w:rsidR="0022071E">
        <w:rPr>
          <w:rFonts w:ascii="Times New Roman" w:hAnsi="Times New Roman" w:cs="Times New Roman"/>
          <w:sz w:val="24"/>
          <w:szCs w:val="24"/>
        </w:rPr>
        <w:t xml:space="preserve">Judgment, </w:t>
      </w:r>
      <w:r w:rsidR="00316B66">
        <w:rPr>
          <w:rFonts w:ascii="Times New Roman" w:hAnsi="Times New Roman" w:cs="Times New Roman"/>
          <w:sz w:val="24"/>
          <w:szCs w:val="24"/>
        </w:rPr>
        <w:t>para. 327)</w:t>
      </w:r>
      <w:r w:rsidRPr="00434D69">
        <w:rPr>
          <w:rFonts w:ascii="Times New Roman" w:hAnsi="Times New Roman" w:cs="Times New Roman"/>
          <w:sz w:val="24"/>
          <w:szCs w:val="24"/>
        </w:rPr>
        <w:t>.</w:t>
      </w:r>
    </w:p>
    <w:p w14:paraId="1269DCBF" w14:textId="77777777" w:rsidR="00F4071B" w:rsidRPr="00434D69" w:rsidRDefault="00F4071B" w:rsidP="00434D69">
      <w:pPr>
        <w:pStyle w:val="ListParagraph"/>
        <w:spacing w:after="0" w:line="480" w:lineRule="auto"/>
        <w:rPr>
          <w:rFonts w:ascii="Times New Roman" w:hAnsi="Times New Roman" w:cs="Times New Roman"/>
          <w:sz w:val="24"/>
          <w:szCs w:val="24"/>
        </w:rPr>
      </w:pPr>
    </w:p>
    <w:p w14:paraId="024652F3" w14:textId="45C5B890" w:rsidR="00F4071B" w:rsidRPr="00434D69" w:rsidRDefault="00F4071B" w:rsidP="00434D69">
      <w:pPr>
        <w:pStyle w:val="ListParagraph"/>
        <w:numPr>
          <w:ilvl w:val="0"/>
          <w:numId w:val="6"/>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The bringing of such debt cases within the</w:t>
      </w:r>
      <w:r w:rsidR="0022071E">
        <w:rPr>
          <w:rFonts w:ascii="Times New Roman" w:hAnsi="Times New Roman" w:cs="Times New Roman"/>
          <w:sz w:val="24"/>
          <w:szCs w:val="24"/>
        </w:rPr>
        <w:t xml:space="preserve"> CLA</w:t>
      </w:r>
      <w:r w:rsidRPr="00434D69">
        <w:rPr>
          <w:rFonts w:ascii="Times New Roman" w:hAnsi="Times New Roman" w:cs="Times New Roman"/>
          <w:sz w:val="24"/>
          <w:szCs w:val="24"/>
        </w:rPr>
        <w:t xml:space="preserve"> was consistent with the purpose of the Act, which was to encourage settlement of cases</w:t>
      </w:r>
      <w:r w:rsidR="00316B66">
        <w:rPr>
          <w:rFonts w:ascii="Times New Roman" w:hAnsi="Times New Roman" w:cs="Times New Roman"/>
          <w:sz w:val="24"/>
          <w:szCs w:val="24"/>
        </w:rPr>
        <w:t xml:space="preserve"> (</w:t>
      </w:r>
      <w:r w:rsidR="0022071E">
        <w:rPr>
          <w:rFonts w:ascii="Times New Roman" w:hAnsi="Times New Roman" w:cs="Times New Roman"/>
          <w:sz w:val="24"/>
          <w:szCs w:val="24"/>
        </w:rPr>
        <w:t xml:space="preserve">Judgment, </w:t>
      </w:r>
      <w:r w:rsidR="00316B66">
        <w:rPr>
          <w:rFonts w:ascii="Times New Roman" w:hAnsi="Times New Roman" w:cs="Times New Roman"/>
          <w:sz w:val="24"/>
          <w:szCs w:val="24"/>
        </w:rPr>
        <w:t>para. 328)</w:t>
      </w:r>
      <w:r w:rsidRPr="00434D69">
        <w:rPr>
          <w:rFonts w:ascii="Times New Roman" w:hAnsi="Times New Roman" w:cs="Times New Roman"/>
          <w:sz w:val="24"/>
          <w:szCs w:val="24"/>
        </w:rPr>
        <w:t>.</w:t>
      </w:r>
    </w:p>
    <w:p w14:paraId="5EE8D34C" w14:textId="77777777" w:rsidR="00F4071B" w:rsidRPr="00434D69" w:rsidRDefault="00F4071B" w:rsidP="00434D69">
      <w:pPr>
        <w:pStyle w:val="ListParagraph"/>
        <w:spacing w:after="0" w:line="480" w:lineRule="auto"/>
        <w:rPr>
          <w:rFonts w:ascii="Times New Roman" w:hAnsi="Times New Roman" w:cs="Times New Roman"/>
          <w:sz w:val="24"/>
          <w:szCs w:val="24"/>
        </w:rPr>
      </w:pPr>
    </w:p>
    <w:p w14:paraId="24FEEC18" w14:textId="4D464A92" w:rsidR="00F4071B" w:rsidRPr="00434D69" w:rsidRDefault="00F4071B" w:rsidP="00434D69">
      <w:pPr>
        <w:pStyle w:val="ListParagraph"/>
        <w:numPr>
          <w:ilvl w:val="0"/>
          <w:numId w:val="6"/>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CBRE and the </w:t>
      </w:r>
      <w:r w:rsidR="0022071E">
        <w:rPr>
          <w:rFonts w:ascii="Times New Roman" w:hAnsi="Times New Roman" w:cs="Times New Roman"/>
          <w:sz w:val="24"/>
          <w:szCs w:val="24"/>
        </w:rPr>
        <w:t>Defendants</w:t>
      </w:r>
      <w:r w:rsidR="0022071E" w:rsidRPr="00434D69">
        <w:rPr>
          <w:rFonts w:ascii="Times New Roman" w:hAnsi="Times New Roman" w:cs="Times New Roman"/>
          <w:sz w:val="24"/>
          <w:szCs w:val="24"/>
        </w:rPr>
        <w:t xml:space="preserve"> </w:t>
      </w:r>
      <w:r w:rsidRPr="00434D69">
        <w:rPr>
          <w:rFonts w:ascii="Times New Roman" w:hAnsi="Times New Roman" w:cs="Times New Roman"/>
          <w:sz w:val="24"/>
          <w:szCs w:val="24"/>
        </w:rPr>
        <w:t>were responsible for the ‘</w:t>
      </w:r>
      <w:r w:rsidRPr="00434D69">
        <w:rPr>
          <w:rFonts w:ascii="Times New Roman" w:hAnsi="Times New Roman" w:cs="Times New Roman"/>
          <w:i/>
          <w:sz w:val="24"/>
          <w:szCs w:val="24"/>
        </w:rPr>
        <w:t>same damage</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namely the loss caused to the Bank arising from the failure of the </w:t>
      </w:r>
      <w:r w:rsidR="0022071E">
        <w:rPr>
          <w:rFonts w:ascii="Times New Roman" w:hAnsi="Times New Roman" w:cs="Times New Roman"/>
          <w:sz w:val="24"/>
          <w:szCs w:val="24"/>
        </w:rPr>
        <w:t>Defendants</w:t>
      </w:r>
      <w:r w:rsidR="0022071E" w:rsidRPr="00434D69">
        <w:rPr>
          <w:rFonts w:ascii="Times New Roman" w:hAnsi="Times New Roman" w:cs="Times New Roman"/>
          <w:sz w:val="24"/>
          <w:szCs w:val="24"/>
        </w:rPr>
        <w:t xml:space="preserve"> </w:t>
      </w:r>
      <w:r w:rsidRPr="00434D69">
        <w:rPr>
          <w:rFonts w:ascii="Times New Roman" w:hAnsi="Times New Roman" w:cs="Times New Roman"/>
          <w:sz w:val="24"/>
          <w:szCs w:val="24"/>
        </w:rPr>
        <w:t>to repay the loan.</w:t>
      </w:r>
      <w:r w:rsidR="00AE1E3B" w:rsidRPr="00434D69">
        <w:rPr>
          <w:rFonts w:ascii="Times New Roman" w:hAnsi="Times New Roman" w:cs="Times New Roman"/>
          <w:sz w:val="24"/>
          <w:szCs w:val="24"/>
        </w:rPr>
        <w:t xml:space="preserve">  In this regard, the Judge stressed the fact </w:t>
      </w:r>
      <w:r w:rsidR="00AE1E3B" w:rsidRPr="00434D69">
        <w:rPr>
          <w:rFonts w:ascii="Times New Roman" w:hAnsi="Times New Roman" w:cs="Times New Roman"/>
          <w:sz w:val="24"/>
          <w:szCs w:val="24"/>
        </w:rPr>
        <w:lastRenderedPageBreak/>
        <w:t xml:space="preserve">that the monies received from CBRE </w:t>
      </w:r>
      <w:r w:rsidR="0022071E">
        <w:rPr>
          <w:rFonts w:ascii="Times New Roman" w:hAnsi="Times New Roman" w:cs="Times New Roman"/>
          <w:sz w:val="24"/>
          <w:szCs w:val="24"/>
        </w:rPr>
        <w:t>had been</w:t>
      </w:r>
      <w:r w:rsidR="0022071E" w:rsidRPr="00434D69">
        <w:rPr>
          <w:rFonts w:ascii="Times New Roman" w:hAnsi="Times New Roman" w:cs="Times New Roman"/>
          <w:sz w:val="24"/>
          <w:szCs w:val="24"/>
        </w:rPr>
        <w:t xml:space="preserve"> </w:t>
      </w:r>
      <w:r w:rsidR="00AE1E3B" w:rsidRPr="00434D69">
        <w:rPr>
          <w:rFonts w:ascii="Times New Roman" w:hAnsi="Times New Roman" w:cs="Times New Roman"/>
          <w:sz w:val="24"/>
          <w:szCs w:val="24"/>
        </w:rPr>
        <w:t>applied by the Bank in reduction of the loan</w:t>
      </w:r>
      <w:r w:rsidR="00316B66">
        <w:rPr>
          <w:rFonts w:ascii="Times New Roman" w:hAnsi="Times New Roman" w:cs="Times New Roman"/>
          <w:sz w:val="24"/>
          <w:szCs w:val="24"/>
        </w:rPr>
        <w:t xml:space="preserve"> (</w:t>
      </w:r>
      <w:r w:rsidR="0022071E">
        <w:rPr>
          <w:rFonts w:ascii="Times New Roman" w:hAnsi="Times New Roman" w:cs="Times New Roman"/>
          <w:sz w:val="24"/>
          <w:szCs w:val="24"/>
        </w:rPr>
        <w:t xml:space="preserve">Judgment, </w:t>
      </w:r>
      <w:r w:rsidR="00316B66">
        <w:rPr>
          <w:rFonts w:ascii="Times New Roman" w:hAnsi="Times New Roman" w:cs="Times New Roman"/>
          <w:sz w:val="24"/>
          <w:szCs w:val="24"/>
        </w:rPr>
        <w:t>paras. 330 to 334)</w:t>
      </w:r>
      <w:r w:rsidR="00AE1E3B" w:rsidRPr="00434D69">
        <w:rPr>
          <w:rFonts w:ascii="Times New Roman" w:hAnsi="Times New Roman" w:cs="Times New Roman"/>
          <w:sz w:val="24"/>
          <w:szCs w:val="24"/>
        </w:rPr>
        <w:t>.</w:t>
      </w:r>
    </w:p>
    <w:p w14:paraId="62B42B42" w14:textId="77777777" w:rsidR="00835139" w:rsidRPr="00434D69" w:rsidRDefault="007026E5"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34EC7B50" w14:textId="1CA7B036" w:rsidR="009C50FE" w:rsidRPr="00434D69" w:rsidRDefault="0022071E" w:rsidP="003C658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w:t>
      </w:r>
      <w:r w:rsidRPr="00434D69">
        <w:rPr>
          <w:rFonts w:ascii="Times New Roman" w:hAnsi="Times New Roman" w:cs="Times New Roman"/>
          <w:sz w:val="24"/>
          <w:szCs w:val="24"/>
        </w:rPr>
        <w:t>n their supplemental submissions</w:t>
      </w:r>
      <w:r>
        <w:rPr>
          <w:rFonts w:ascii="Times New Roman" w:hAnsi="Times New Roman" w:cs="Times New Roman"/>
          <w:sz w:val="24"/>
          <w:szCs w:val="24"/>
        </w:rPr>
        <w:t>, t</w:t>
      </w:r>
      <w:r w:rsidR="007026E5" w:rsidRPr="00434D69">
        <w:rPr>
          <w:rFonts w:ascii="Times New Roman" w:hAnsi="Times New Roman" w:cs="Times New Roman"/>
          <w:sz w:val="24"/>
          <w:szCs w:val="24"/>
        </w:rPr>
        <w:t xml:space="preserve">he </w:t>
      </w:r>
      <w:r>
        <w:rPr>
          <w:rFonts w:ascii="Times New Roman" w:hAnsi="Times New Roman" w:cs="Times New Roman"/>
          <w:sz w:val="24"/>
          <w:szCs w:val="24"/>
        </w:rPr>
        <w:t>S</w:t>
      </w:r>
      <w:r w:rsidR="007026E5" w:rsidRPr="00434D69">
        <w:rPr>
          <w:rFonts w:ascii="Times New Roman" w:hAnsi="Times New Roman" w:cs="Times New Roman"/>
          <w:sz w:val="24"/>
          <w:szCs w:val="24"/>
        </w:rPr>
        <w:t xml:space="preserve">econd and </w:t>
      </w:r>
      <w:r>
        <w:rPr>
          <w:rFonts w:ascii="Times New Roman" w:hAnsi="Times New Roman" w:cs="Times New Roman"/>
          <w:sz w:val="24"/>
          <w:szCs w:val="24"/>
        </w:rPr>
        <w:t>T</w:t>
      </w:r>
      <w:r w:rsidR="007026E5" w:rsidRPr="00434D69">
        <w:rPr>
          <w:rFonts w:ascii="Times New Roman" w:hAnsi="Times New Roman" w:cs="Times New Roman"/>
          <w:sz w:val="24"/>
          <w:szCs w:val="24"/>
        </w:rPr>
        <w:t xml:space="preserve">hird </w:t>
      </w:r>
      <w:r>
        <w:rPr>
          <w:rFonts w:ascii="Times New Roman" w:hAnsi="Times New Roman" w:cs="Times New Roman"/>
          <w:sz w:val="24"/>
          <w:szCs w:val="24"/>
        </w:rPr>
        <w:t>D</w:t>
      </w:r>
      <w:r w:rsidR="007026E5" w:rsidRPr="00434D69">
        <w:rPr>
          <w:rFonts w:ascii="Times New Roman" w:hAnsi="Times New Roman" w:cs="Times New Roman"/>
          <w:sz w:val="24"/>
          <w:szCs w:val="24"/>
        </w:rPr>
        <w:t>efendants advance a detailed and sophisticated justification for the</w:t>
      </w:r>
      <w:r w:rsidR="00651EC8">
        <w:rPr>
          <w:rFonts w:ascii="Times New Roman" w:hAnsi="Times New Roman" w:cs="Times New Roman"/>
          <w:sz w:val="24"/>
          <w:szCs w:val="24"/>
        </w:rPr>
        <w:t xml:space="preserve"> conclusions thus reached by the </w:t>
      </w:r>
      <w:r w:rsidR="00316B66">
        <w:rPr>
          <w:rFonts w:ascii="Times New Roman" w:hAnsi="Times New Roman" w:cs="Times New Roman"/>
          <w:sz w:val="24"/>
          <w:szCs w:val="24"/>
        </w:rPr>
        <w:t>J</w:t>
      </w:r>
      <w:r w:rsidR="00651EC8">
        <w:rPr>
          <w:rFonts w:ascii="Times New Roman" w:hAnsi="Times New Roman" w:cs="Times New Roman"/>
          <w:sz w:val="24"/>
          <w:szCs w:val="24"/>
        </w:rPr>
        <w:t>udge</w:t>
      </w:r>
      <w:r w:rsidR="007026E5" w:rsidRPr="00434D69">
        <w:rPr>
          <w:rFonts w:ascii="Times New Roman" w:hAnsi="Times New Roman" w:cs="Times New Roman"/>
          <w:sz w:val="24"/>
          <w:szCs w:val="24"/>
        </w:rPr>
        <w:t>.</w:t>
      </w:r>
      <w:r w:rsidR="009C50FE" w:rsidRPr="00434D69">
        <w:rPr>
          <w:rFonts w:ascii="Times New Roman" w:hAnsi="Times New Roman" w:cs="Times New Roman"/>
          <w:sz w:val="24"/>
          <w:szCs w:val="24"/>
        </w:rPr>
        <w:t xml:space="preserve">  They </w:t>
      </w:r>
      <w:r w:rsidR="00546784" w:rsidRPr="00434D69">
        <w:rPr>
          <w:rFonts w:ascii="Times New Roman" w:hAnsi="Times New Roman" w:cs="Times New Roman"/>
          <w:sz w:val="24"/>
          <w:szCs w:val="24"/>
        </w:rPr>
        <w:t>be</w:t>
      </w:r>
      <w:r>
        <w:rPr>
          <w:rFonts w:ascii="Times New Roman" w:hAnsi="Times New Roman" w:cs="Times New Roman"/>
          <w:sz w:val="24"/>
          <w:szCs w:val="24"/>
        </w:rPr>
        <w:t>g</w:t>
      </w:r>
      <w:r w:rsidR="00546784" w:rsidRPr="00434D69">
        <w:rPr>
          <w:rFonts w:ascii="Times New Roman" w:hAnsi="Times New Roman" w:cs="Times New Roman"/>
          <w:sz w:val="24"/>
          <w:szCs w:val="24"/>
        </w:rPr>
        <w:t xml:space="preserve">in by </w:t>
      </w:r>
      <w:r w:rsidR="009C50FE" w:rsidRPr="00434D69">
        <w:rPr>
          <w:rFonts w:ascii="Times New Roman" w:hAnsi="Times New Roman" w:cs="Times New Roman"/>
          <w:sz w:val="24"/>
          <w:szCs w:val="24"/>
        </w:rPr>
        <w:t>say</w:t>
      </w:r>
      <w:r w:rsidR="00546784" w:rsidRPr="00434D69">
        <w:rPr>
          <w:rFonts w:ascii="Times New Roman" w:hAnsi="Times New Roman" w:cs="Times New Roman"/>
          <w:sz w:val="24"/>
          <w:szCs w:val="24"/>
        </w:rPr>
        <w:t xml:space="preserve">ing </w:t>
      </w:r>
      <w:r w:rsidR="009C50FE" w:rsidRPr="00434D69">
        <w:rPr>
          <w:rFonts w:ascii="Times New Roman" w:hAnsi="Times New Roman" w:cs="Times New Roman"/>
          <w:sz w:val="24"/>
          <w:szCs w:val="24"/>
        </w:rPr>
        <w:t xml:space="preserve">that </w:t>
      </w:r>
      <w:r w:rsidR="009C50FE" w:rsidRPr="00434D69">
        <w:rPr>
          <w:rFonts w:ascii="Times New Roman" w:hAnsi="Times New Roman" w:cs="Times New Roman"/>
          <w:i/>
          <w:sz w:val="24"/>
          <w:szCs w:val="24"/>
        </w:rPr>
        <w:t>Histon</w:t>
      </w:r>
      <w:r w:rsidR="009C50FE" w:rsidRPr="00434D69">
        <w:rPr>
          <w:rFonts w:ascii="Times New Roman" w:hAnsi="Times New Roman" w:cs="Times New Roman"/>
          <w:sz w:val="24"/>
          <w:szCs w:val="24"/>
        </w:rPr>
        <w:t xml:space="preserve"> is distinguishable having regard to the fact that no authority was cited to the Court, the case was decided in a unique procedural setting, and the </w:t>
      </w:r>
      <w:r>
        <w:rPr>
          <w:rFonts w:ascii="Times New Roman" w:hAnsi="Times New Roman" w:cs="Times New Roman"/>
          <w:sz w:val="24"/>
          <w:szCs w:val="24"/>
        </w:rPr>
        <w:t xml:space="preserve">High </w:t>
      </w:r>
      <w:r w:rsidR="009C50FE" w:rsidRPr="00434D69">
        <w:rPr>
          <w:rFonts w:ascii="Times New Roman" w:hAnsi="Times New Roman" w:cs="Times New Roman"/>
          <w:sz w:val="24"/>
          <w:szCs w:val="24"/>
        </w:rPr>
        <w:t xml:space="preserve">Court was affected in its conclusion by the fact that the decision was on a preliminary issue in a summary application. They emphasise that the fact that the </w:t>
      </w:r>
      <w:r>
        <w:rPr>
          <w:rFonts w:ascii="Times New Roman" w:hAnsi="Times New Roman" w:cs="Times New Roman"/>
          <w:sz w:val="24"/>
          <w:szCs w:val="24"/>
        </w:rPr>
        <w:t>Bank</w:t>
      </w:r>
      <w:r w:rsidRPr="00434D69">
        <w:rPr>
          <w:rFonts w:ascii="Times New Roman" w:hAnsi="Times New Roman" w:cs="Times New Roman"/>
          <w:sz w:val="24"/>
          <w:szCs w:val="24"/>
        </w:rPr>
        <w:t xml:space="preserve"> </w:t>
      </w:r>
      <w:r w:rsidR="009C50FE" w:rsidRPr="00434D69">
        <w:rPr>
          <w:rFonts w:ascii="Times New Roman" w:hAnsi="Times New Roman" w:cs="Times New Roman"/>
          <w:sz w:val="24"/>
          <w:szCs w:val="24"/>
        </w:rPr>
        <w:t xml:space="preserve">applied the CBRE settlement sum to the </w:t>
      </w:r>
      <w:r>
        <w:rPr>
          <w:rFonts w:ascii="Times New Roman" w:hAnsi="Times New Roman" w:cs="Times New Roman"/>
          <w:sz w:val="24"/>
          <w:szCs w:val="24"/>
        </w:rPr>
        <w:t>D</w:t>
      </w:r>
      <w:r w:rsidR="009C50FE" w:rsidRPr="00434D69">
        <w:rPr>
          <w:rFonts w:ascii="Times New Roman" w:hAnsi="Times New Roman" w:cs="Times New Roman"/>
          <w:sz w:val="24"/>
          <w:szCs w:val="24"/>
        </w:rPr>
        <w:t xml:space="preserve">efendants’ account renders the foundation of the case different from that in </w:t>
      </w:r>
      <w:r w:rsidR="009C50FE" w:rsidRPr="00434D69">
        <w:rPr>
          <w:rFonts w:ascii="Times New Roman" w:hAnsi="Times New Roman" w:cs="Times New Roman"/>
          <w:i/>
          <w:sz w:val="24"/>
          <w:szCs w:val="24"/>
        </w:rPr>
        <w:t>Histon</w:t>
      </w:r>
      <w:r w:rsidR="009C50FE" w:rsidRPr="00434D69">
        <w:rPr>
          <w:rFonts w:ascii="Times New Roman" w:hAnsi="Times New Roman" w:cs="Times New Roman"/>
          <w:sz w:val="24"/>
          <w:szCs w:val="24"/>
        </w:rPr>
        <w:t xml:space="preserve"> and they contend that the decisions in </w:t>
      </w:r>
      <w:r w:rsidR="009C50FE" w:rsidRPr="00434D69">
        <w:rPr>
          <w:rFonts w:ascii="Times New Roman" w:hAnsi="Times New Roman" w:cs="Times New Roman"/>
          <w:i/>
          <w:sz w:val="24"/>
          <w:szCs w:val="24"/>
        </w:rPr>
        <w:t xml:space="preserve">Malocco </w:t>
      </w:r>
      <w:r w:rsidR="009C50FE" w:rsidRPr="00434D69">
        <w:rPr>
          <w:rFonts w:ascii="Times New Roman" w:hAnsi="Times New Roman" w:cs="Times New Roman"/>
          <w:sz w:val="24"/>
          <w:szCs w:val="24"/>
        </w:rPr>
        <w:t xml:space="preserve">and in </w:t>
      </w:r>
      <w:r w:rsidR="009C50FE" w:rsidRPr="00434D69">
        <w:rPr>
          <w:rFonts w:ascii="Times New Roman" w:hAnsi="Times New Roman" w:cs="Times New Roman"/>
          <w:i/>
          <w:sz w:val="24"/>
          <w:szCs w:val="24"/>
        </w:rPr>
        <w:t>O</w:t>
      </w:r>
      <w:r w:rsidR="00B67C7D">
        <w:rPr>
          <w:rFonts w:ascii="Times New Roman" w:hAnsi="Times New Roman" w:cs="Times New Roman"/>
          <w:i/>
          <w:sz w:val="24"/>
          <w:szCs w:val="24"/>
        </w:rPr>
        <w:t>’</w:t>
      </w:r>
      <w:r w:rsidR="009C50FE" w:rsidRPr="00434D69">
        <w:rPr>
          <w:rFonts w:ascii="Times New Roman" w:hAnsi="Times New Roman" w:cs="Times New Roman"/>
          <w:i/>
          <w:sz w:val="24"/>
          <w:szCs w:val="24"/>
        </w:rPr>
        <w:t xml:space="preserve">Reilly </w:t>
      </w:r>
      <w:r w:rsidR="009C50FE" w:rsidRPr="00434D69">
        <w:rPr>
          <w:rFonts w:ascii="Times New Roman" w:hAnsi="Times New Roman" w:cs="Times New Roman"/>
          <w:sz w:val="24"/>
          <w:szCs w:val="24"/>
        </w:rPr>
        <w:t xml:space="preserve">present </w:t>
      </w:r>
      <w:r>
        <w:rPr>
          <w:rFonts w:ascii="Times New Roman" w:hAnsi="Times New Roman" w:cs="Times New Roman"/>
          <w:sz w:val="24"/>
          <w:szCs w:val="24"/>
        </w:rPr>
        <w:t xml:space="preserve">a </w:t>
      </w:r>
      <w:r w:rsidR="009C50FE" w:rsidRPr="00434D69">
        <w:rPr>
          <w:rFonts w:ascii="Times New Roman" w:hAnsi="Times New Roman" w:cs="Times New Roman"/>
          <w:sz w:val="24"/>
          <w:szCs w:val="24"/>
        </w:rPr>
        <w:t xml:space="preserve">considered and correct analysis of this issue. </w:t>
      </w:r>
    </w:p>
    <w:p w14:paraId="6F437AF6" w14:textId="77777777" w:rsidR="009C50FE" w:rsidRPr="00434D69" w:rsidRDefault="00BA3FC2"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0AD1137A" w14:textId="681FD40B" w:rsidR="003554DC" w:rsidRDefault="00D21524"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From there</w:t>
      </w:r>
      <w:r w:rsidR="00BB4777">
        <w:rPr>
          <w:rFonts w:ascii="Times New Roman" w:hAnsi="Times New Roman" w:cs="Times New Roman"/>
          <w:sz w:val="24"/>
          <w:szCs w:val="24"/>
        </w:rPr>
        <w:t>,</w:t>
      </w:r>
      <w:r w:rsidRPr="00434D69">
        <w:rPr>
          <w:rFonts w:ascii="Times New Roman" w:hAnsi="Times New Roman" w:cs="Times New Roman"/>
          <w:sz w:val="24"/>
          <w:szCs w:val="24"/>
        </w:rPr>
        <w:t xml:space="preserve"> the point is made that while </w:t>
      </w:r>
      <w:r w:rsidRPr="00434D69">
        <w:rPr>
          <w:rFonts w:ascii="Times New Roman" w:hAnsi="Times New Roman" w:cs="Times New Roman"/>
          <w:i/>
          <w:sz w:val="24"/>
          <w:szCs w:val="24"/>
        </w:rPr>
        <w:t>McGregor</w:t>
      </w:r>
      <w:r w:rsidRPr="00434D69">
        <w:rPr>
          <w:rFonts w:ascii="Times New Roman" w:hAnsi="Times New Roman" w:cs="Times New Roman"/>
          <w:sz w:val="24"/>
          <w:szCs w:val="24"/>
        </w:rPr>
        <w:t xml:space="preserve"> may characterise a claim in debt as one for specific performance, this ignores discrete types of contracts for debt and,</w:t>
      </w:r>
      <w:r w:rsidR="00651EC8">
        <w:rPr>
          <w:rFonts w:ascii="Times New Roman" w:hAnsi="Times New Roman" w:cs="Times New Roman"/>
          <w:sz w:val="24"/>
          <w:szCs w:val="24"/>
        </w:rPr>
        <w:t xml:space="preserve"> </w:t>
      </w:r>
      <w:r w:rsidRPr="00434D69">
        <w:rPr>
          <w:rFonts w:ascii="Times New Roman" w:hAnsi="Times New Roman" w:cs="Times New Roman"/>
          <w:sz w:val="24"/>
          <w:szCs w:val="24"/>
        </w:rPr>
        <w:t>as relevant to this case, the difference between a simple debt claim and a claim based upon what is described as ‘</w:t>
      </w:r>
      <w:r w:rsidRPr="00434D69">
        <w:rPr>
          <w:rFonts w:ascii="Times New Roman" w:hAnsi="Times New Roman" w:cs="Times New Roman"/>
          <w:i/>
          <w:sz w:val="24"/>
          <w:szCs w:val="24"/>
        </w:rPr>
        <w:t>a securitised contract which itself is predicated on a condition precedent referencing the value of the security</w:t>
      </w:r>
      <w:r w:rsidR="00B67C7D">
        <w:rPr>
          <w:rFonts w:ascii="Times New Roman" w:hAnsi="Times New Roman" w:cs="Times New Roman"/>
          <w:i/>
          <w:sz w:val="24"/>
          <w:szCs w:val="24"/>
        </w:rPr>
        <w:t>’</w:t>
      </w:r>
      <w:r w:rsidRPr="00434D69">
        <w:rPr>
          <w:rFonts w:ascii="Times New Roman" w:hAnsi="Times New Roman" w:cs="Times New Roman"/>
          <w:sz w:val="24"/>
          <w:szCs w:val="24"/>
        </w:rPr>
        <w:t>.</w:t>
      </w:r>
    </w:p>
    <w:p w14:paraId="11E4D636" w14:textId="77777777" w:rsidR="00DA48CE" w:rsidRPr="00434D69" w:rsidRDefault="00D21524" w:rsidP="003554DC">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12FA9383" w14:textId="4CE19A50" w:rsidR="00F27884" w:rsidRPr="00434D69" w:rsidRDefault="00F27884"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They note that the UK equivalent of s</w:t>
      </w:r>
      <w:r w:rsidR="004849E0">
        <w:rPr>
          <w:rFonts w:ascii="Times New Roman" w:hAnsi="Times New Roman" w:cs="Times New Roman"/>
          <w:sz w:val="24"/>
          <w:szCs w:val="24"/>
        </w:rPr>
        <w:t>ection</w:t>
      </w:r>
      <w:r w:rsidRPr="00434D69">
        <w:rPr>
          <w:rFonts w:ascii="Times New Roman" w:hAnsi="Times New Roman" w:cs="Times New Roman"/>
          <w:sz w:val="24"/>
          <w:szCs w:val="24"/>
        </w:rPr>
        <w:t xml:space="preserve"> 34 ha</w:t>
      </w:r>
      <w:r w:rsidR="00651EC8">
        <w:rPr>
          <w:rFonts w:ascii="Times New Roman" w:hAnsi="Times New Roman" w:cs="Times New Roman"/>
          <w:sz w:val="24"/>
          <w:szCs w:val="24"/>
        </w:rPr>
        <w:t>s</w:t>
      </w:r>
      <w:r w:rsidRPr="00434D69">
        <w:rPr>
          <w:rFonts w:ascii="Times New Roman" w:hAnsi="Times New Roman" w:cs="Times New Roman"/>
          <w:sz w:val="24"/>
          <w:szCs w:val="24"/>
        </w:rPr>
        <w:t xml:space="preserve"> been applied to claims by banks for damages from valuers where their overvaluations have formed part of lending decisions, observing:</w:t>
      </w:r>
    </w:p>
    <w:p w14:paraId="31F9BD6A" w14:textId="77777777" w:rsidR="00F27884" w:rsidRPr="00434D69" w:rsidRDefault="00F27884" w:rsidP="00F27884">
      <w:pPr>
        <w:pStyle w:val="ListParagraph"/>
        <w:spacing w:after="0" w:line="480" w:lineRule="auto"/>
        <w:rPr>
          <w:rFonts w:ascii="Times New Roman" w:hAnsi="Times New Roman" w:cs="Times New Roman"/>
          <w:sz w:val="24"/>
          <w:szCs w:val="24"/>
        </w:rPr>
      </w:pPr>
    </w:p>
    <w:p w14:paraId="54E46785" w14:textId="4802F697" w:rsidR="00F27884" w:rsidRPr="00434D69" w:rsidRDefault="004849E0" w:rsidP="00F278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w:t>
      </w:r>
      <w:r w:rsidR="00F27884" w:rsidRPr="00434D69">
        <w:rPr>
          <w:rFonts w:ascii="Times New Roman" w:hAnsi="Times New Roman" w:cs="Times New Roman"/>
          <w:i/>
          <w:sz w:val="24"/>
          <w:szCs w:val="24"/>
        </w:rPr>
        <w:t>To suggest that the Act and s. 34 have no application to the within proceedings would be to take away one side of the triangle which O</w:t>
      </w:r>
      <w:r w:rsidR="00B67C7D">
        <w:rPr>
          <w:rFonts w:ascii="Times New Roman" w:hAnsi="Times New Roman" w:cs="Times New Roman"/>
          <w:i/>
          <w:sz w:val="24"/>
          <w:szCs w:val="24"/>
        </w:rPr>
        <w:t>’</w:t>
      </w:r>
      <w:r w:rsidR="00F27884" w:rsidRPr="00434D69">
        <w:rPr>
          <w:rFonts w:ascii="Times New Roman" w:hAnsi="Times New Roman" w:cs="Times New Roman"/>
          <w:i/>
          <w:sz w:val="24"/>
          <w:szCs w:val="24"/>
        </w:rPr>
        <w:t xml:space="preserve">Donnell J. used in </w:t>
      </w:r>
      <w:r w:rsidR="00F27884" w:rsidRPr="004849E0">
        <w:rPr>
          <w:rFonts w:ascii="Times New Roman" w:hAnsi="Times New Roman" w:cs="Times New Roman"/>
          <w:i/>
          <w:sz w:val="24"/>
          <w:szCs w:val="24"/>
        </w:rPr>
        <w:t>Defender</w:t>
      </w:r>
      <w:r w:rsidR="00F27884" w:rsidRPr="00434D69">
        <w:rPr>
          <w:rFonts w:ascii="Times New Roman" w:hAnsi="Times New Roman" w:cs="Times New Roman"/>
          <w:i/>
          <w:sz w:val="24"/>
          <w:szCs w:val="24"/>
        </w:rPr>
        <w:t xml:space="preserve"> to explain the intricate mechanism established by the Act and defeat what O</w:t>
      </w:r>
      <w:r w:rsidR="00B67C7D">
        <w:rPr>
          <w:rFonts w:ascii="Times New Roman" w:hAnsi="Times New Roman" w:cs="Times New Roman"/>
          <w:i/>
          <w:sz w:val="24"/>
          <w:szCs w:val="24"/>
        </w:rPr>
        <w:t>’</w:t>
      </w:r>
      <w:r w:rsidR="00F27884" w:rsidRPr="00434D69">
        <w:rPr>
          <w:rFonts w:ascii="Times New Roman" w:hAnsi="Times New Roman" w:cs="Times New Roman"/>
          <w:i/>
          <w:sz w:val="24"/>
          <w:szCs w:val="24"/>
        </w:rPr>
        <w:t>Donnell J. described as “an essential symmetry in the Act which is consistent with its logic</w:t>
      </w:r>
      <w:r w:rsidR="00B67C7D">
        <w:rPr>
          <w:rFonts w:ascii="Times New Roman" w:hAnsi="Times New Roman" w:cs="Times New Roman"/>
          <w:i/>
          <w:sz w:val="24"/>
          <w:szCs w:val="24"/>
        </w:rPr>
        <w:t>’</w:t>
      </w:r>
      <w:r w:rsidR="00F27884" w:rsidRPr="00434D69">
        <w:rPr>
          <w:rFonts w:ascii="Times New Roman" w:hAnsi="Times New Roman" w:cs="Times New Roman"/>
          <w:sz w:val="24"/>
          <w:szCs w:val="24"/>
        </w:rPr>
        <w:t xml:space="preserve">.   </w:t>
      </w:r>
    </w:p>
    <w:p w14:paraId="59643541" w14:textId="77777777" w:rsidR="00F27884" w:rsidRDefault="00F27884" w:rsidP="00F27884">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45BD394" w14:textId="7F76D211" w:rsidR="00F27884" w:rsidRDefault="00F60DB3" w:rsidP="003C658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00F27884" w:rsidRPr="00434D69">
        <w:rPr>
          <w:rFonts w:ascii="Times New Roman" w:hAnsi="Times New Roman" w:cs="Times New Roman"/>
          <w:sz w:val="24"/>
          <w:szCs w:val="24"/>
        </w:rPr>
        <w:t>he</w:t>
      </w:r>
      <w:r w:rsidR="004849E0">
        <w:rPr>
          <w:rFonts w:ascii="Times New Roman" w:hAnsi="Times New Roman" w:cs="Times New Roman"/>
          <w:sz w:val="24"/>
          <w:szCs w:val="24"/>
        </w:rPr>
        <w:t>se D</w:t>
      </w:r>
      <w:r w:rsidR="00F27884" w:rsidRPr="00434D69">
        <w:rPr>
          <w:rFonts w:ascii="Times New Roman" w:hAnsi="Times New Roman" w:cs="Times New Roman"/>
          <w:sz w:val="24"/>
          <w:szCs w:val="24"/>
        </w:rPr>
        <w:t xml:space="preserve">efendants </w:t>
      </w:r>
      <w:r w:rsidR="004849E0">
        <w:rPr>
          <w:rFonts w:ascii="Times New Roman" w:hAnsi="Times New Roman" w:cs="Times New Roman"/>
          <w:sz w:val="24"/>
          <w:szCs w:val="24"/>
        </w:rPr>
        <w:t xml:space="preserve">then </w:t>
      </w:r>
      <w:r w:rsidR="00F27884" w:rsidRPr="00434D69">
        <w:rPr>
          <w:rFonts w:ascii="Times New Roman" w:hAnsi="Times New Roman" w:cs="Times New Roman"/>
          <w:sz w:val="24"/>
          <w:szCs w:val="24"/>
        </w:rPr>
        <w:t xml:space="preserve">refer to the decisions of the Court of Appeal </w:t>
      </w:r>
      <w:r w:rsidR="00316B66">
        <w:rPr>
          <w:rFonts w:ascii="Times New Roman" w:hAnsi="Times New Roman" w:cs="Times New Roman"/>
          <w:sz w:val="24"/>
          <w:szCs w:val="24"/>
        </w:rPr>
        <w:t>(</w:t>
      </w:r>
      <w:r w:rsidR="00316B66" w:rsidRPr="00316B66">
        <w:rPr>
          <w:rFonts w:ascii="Times New Roman" w:hAnsi="Times New Roman" w:cs="Times New Roman"/>
          <w:sz w:val="24"/>
          <w:szCs w:val="24"/>
        </w:rPr>
        <w:t>[1998] Ch. 466</w:t>
      </w:r>
      <w:r w:rsidR="00316B66">
        <w:rPr>
          <w:rFonts w:ascii="Times New Roman" w:hAnsi="Times New Roman" w:cs="Times New Roman"/>
          <w:sz w:val="24"/>
          <w:szCs w:val="24"/>
        </w:rPr>
        <w:t xml:space="preserve">) </w:t>
      </w:r>
      <w:r w:rsidR="00F27884" w:rsidRPr="00434D69">
        <w:rPr>
          <w:rFonts w:ascii="Times New Roman" w:hAnsi="Times New Roman" w:cs="Times New Roman"/>
          <w:sz w:val="24"/>
          <w:szCs w:val="24"/>
        </w:rPr>
        <w:t>and of the House of Lords</w:t>
      </w:r>
      <w:r w:rsidR="00316B66">
        <w:rPr>
          <w:rFonts w:ascii="Times New Roman" w:hAnsi="Times New Roman" w:cs="Times New Roman"/>
          <w:sz w:val="24"/>
          <w:szCs w:val="24"/>
        </w:rPr>
        <w:t xml:space="preserve"> </w:t>
      </w:r>
      <w:r w:rsidR="004849E0">
        <w:rPr>
          <w:rFonts w:ascii="Times New Roman" w:hAnsi="Times New Roman" w:cs="Times New Roman"/>
          <w:sz w:val="24"/>
          <w:szCs w:val="24"/>
        </w:rPr>
        <w:t>(</w:t>
      </w:r>
      <w:r w:rsidR="00316B66">
        <w:rPr>
          <w:rFonts w:ascii="Times New Roman" w:hAnsi="Times New Roman" w:cs="Times New Roman"/>
          <w:sz w:val="24"/>
          <w:szCs w:val="24"/>
        </w:rPr>
        <w:t>[2000] 2 AC 190</w:t>
      </w:r>
      <w:r w:rsidR="004849E0">
        <w:rPr>
          <w:rFonts w:ascii="Times New Roman" w:hAnsi="Times New Roman" w:cs="Times New Roman"/>
          <w:sz w:val="24"/>
          <w:szCs w:val="24"/>
        </w:rPr>
        <w:t>)</w:t>
      </w:r>
      <w:r w:rsidR="00F27884" w:rsidRPr="00434D69">
        <w:rPr>
          <w:rFonts w:ascii="Times New Roman" w:hAnsi="Times New Roman" w:cs="Times New Roman"/>
          <w:sz w:val="24"/>
          <w:szCs w:val="24"/>
        </w:rPr>
        <w:t xml:space="preserve"> in </w:t>
      </w:r>
      <w:r w:rsidR="00F27884" w:rsidRPr="00434D69">
        <w:rPr>
          <w:rFonts w:ascii="Times New Roman" w:hAnsi="Times New Roman" w:cs="Times New Roman"/>
          <w:i/>
          <w:sz w:val="24"/>
          <w:szCs w:val="24"/>
        </w:rPr>
        <w:t xml:space="preserve">Platform Home Loans </w:t>
      </w:r>
      <w:r w:rsidR="00316B66" w:rsidRPr="00351B94">
        <w:rPr>
          <w:rFonts w:ascii="Times New Roman" w:hAnsi="Times New Roman" w:cs="Times New Roman"/>
          <w:i/>
          <w:sz w:val="24"/>
          <w:szCs w:val="24"/>
        </w:rPr>
        <w:t xml:space="preserve">v. </w:t>
      </w:r>
      <w:hyperlink r:id="rId8" w:history="1">
        <w:r w:rsidR="00316B66" w:rsidRPr="00351B94">
          <w:rPr>
            <w:rStyle w:val="Hyperlink"/>
            <w:rFonts w:ascii="Times New Roman" w:hAnsi="Times New Roman" w:cs="Times New Roman"/>
            <w:i/>
            <w:color w:val="auto"/>
            <w:sz w:val="24"/>
            <w:szCs w:val="24"/>
            <w:u w:val="none"/>
          </w:rPr>
          <w:t>Oyston Shipways Ltd</w:t>
        </w:r>
      </w:hyperlink>
      <w:r w:rsidR="00316B66">
        <w:rPr>
          <w:rFonts w:ascii="Times New Roman" w:hAnsi="Times New Roman" w:cs="Times New Roman"/>
          <w:i/>
          <w:sz w:val="24"/>
          <w:szCs w:val="24"/>
        </w:rPr>
        <w:t xml:space="preserve"> </w:t>
      </w:r>
      <w:r w:rsidR="00F27884" w:rsidRPr="00434D69">
        <w:rPr>
          <w:rFonts w:ascii="Times New Roman" w:hAnsi="Times New Roman" w:cs="Times New Roman"/>
          <w:sz w:val="24"/>
          <w:szCs w:val="24"/>
        </w:rPr>
        <w:t>and that of the Supreme Court</w:t>
      </w:r>
      <w:r w:rsidR="004849E0">
        <w:rPr>
          <w:rFonts w:ascii="Times New Roman" w:hAnsi="Times New Roman" w:cs="Times New Roman"/>
          <w:sz w:val="24"/>
          <w:szCs w:val="24"/>
        </w:rPr>
        <w:t xml:space="preserve"> here</w:t>
      </w:r>
      <w:r w:rsidR="00F27884" w:rsidRPr="00434D69">
        <w:rPr>
          <w:rFonts w:ascii="Times New Roman" w:hAnsi="Times New Roman" w:cs="Times New Roman"/>
          <w:sz w:val="24"/>
          <w:szCs w:val="24"/>
        </w:rPr>
        <w:t xml:space="preserve"> in </w:t>
      </w:r>
      <w:r w:rsidR="00F27884" w:rsidRPr="00434D69">
        <w:rPr>
          <w:rFonts w:ascii="Times New Roman" w:hAnsi="Times New Roman" w:cs="Times New Roman"/>
          <w:i/>
          <w:sz w:val="24"/>
          <w:szCs w:val="24"/>
        </w:rPr>
        <w:t>KBC Bank Ireland plc v. BCM Hanby Wallace (A Firm)</w:t>
      </w:r>
      <w:r w:rsidR="009807E7">
        <w:rPr>
          <w:rFonts w:ascii="Times New Roman" w:hAnsi="Times New Roman" w:cs="Times New Roman"/>
          <w:i/>
          <w:sz w:val="24"/>
          <w:szCs w:val="24"/>
        </w:rPr>
        <w:t xml:space="preserve"> </w:t>
      </w:r>
      <w:r w:rsidR="009807E7" w:rsidRPr="009807E7">
        <w:rPr>
          <w:rFonts w:ascii="Times New Roman" w:hAnsi="Times New Roman" w:cs="Times New Roman"/>
          <w:iCs/>
          <w:sz w:val="24"/>
          <w:szCs w:val="24"/>
        </w:rPr>
        <w:t>[2013] IESC 32</w:t>
      </w:r>
      <w:r w:rsidR="009807E7">
        <w:rPr>
          <w:rFonts w:ascii="Times New Roman" w:hAnsi="Times New Roman" w:cs="Times New Roman"/>
          <w:iCs/>
          <w:sz w:val="24"/>
          <w:szCs w:val="24"/>
        </w:rPr>
        <w:t>,</w:t>
      </w:r>
      <w:r w:rsidR="00F27884" w:rsidRPr="009807E7">
        <w:rPr>
          <w:rFonts w:ascii="Times New Roman" w:hAnsi="Times New Roman" w:cs="Times New Roman"/>
          <w:iCs/>
          <w:sz w:val="24"/>
          <w:szCs w:val="24"/>
        </w:rPr>
        <w:t xml:space="preserve"> </w:t>
      </w:r>
      <w:r w:rsidR="009807E7">
        <w:rPr>
          <w:rFonts w:ascii="Times New Roman" w:hAnsi="Times New Roman" w:cs="Times New Roman"/>
          <w:sz w:val="24"/>
          <w:szCs w:val="24"/>
        </w:rPr>
        <w:t>[</w:t>
      </w:r>
      <w:r w:rsidR="00F27884" w:rsidRPr="00434D69">
        <w:rPr>
          <w:rFonts w:ascii="Times New Roman" w:hAnsi="Times New Roman" w:cs="Times New Roman"/>
          <w:sz w:val="24"/>
          <w:szCs w:val="24"/>
        </w:rPr>
        <w:t>2013] 3 IR 759 (</w:t>
      </w:r>
      <w:r w:rsidR="00B67C7D">
        <w:rPr>
          <w:rFonts w:ascii="Times New Roman" w:hAnsi="Times New Roman" w:cs="Times New Roman"/>
          <w:i/>
          <w:sz w:val="24"/>
          <w:szCs w:val="24"/>
        </w:rPr>
        <w:t>‘</w:t>
      </w:r>
      <w:r w:rsidR="00F27884" w:rsidRPr="00434D69">
        <w:rPr>
          <w:rFonts w:ascii="Times New Roman" w:hAnsi="Times New Roman" w:cs="Times New Roman"/>
          <w:i/>
          <w:sz w:val="24"/>
          <w:szCs w:val="24"/>
        </w:rPr>
        <w:t>KBC</w:t>
      </w:r>
      <w:r w:rsidR="00B67C7D">
        <w:rPr>
          <w:rFonts w:ascii="Times New Roman" w:hAnsi="Times New Roman" w:cs="Times New Roman"/>
          <w:i/>
          <w:sz w:val="24"/>
          <w:szCs w:val="24"/>
        </w:rPr>
        <w:t>’</w:t>
      </w:r>
      <w:r w:rsidR="00F27884" w:rsidRPr="00434D69">
        <w:rPr>
          <w:rFonts w:ascii="Times New Roman" w:hAnsi="Times New Roman" w:cs="Times New Roman"/>
          <w:sz w:val="24"/>
          <w:szCs w:val="24"/>
        </w:rPr>
        <w:t>) (where Fennelly J. cited with approval the decision of the House of Lords</w:t>
      </w:r>
      <w:r w:rsidR="004849E0">
        <w:rPr>
          <w:rFonts w:ascii="Times New Roman" w:hAnsi="Times New Roman" w:cs="Times New Roman"/>
          <w:sz w:val="24"/>
          <w:szCs w:val="24"/>
        </w:rPr>
        <w:t xml:space="preserve"> in </w:t>
      </w:r>
      <w:r w:rsidR="004849E0" w:rsidRPr="004849E0">
        <w:rPr>
          <w:rFonts w:ascii="Times New Roman" w:hAnsi="Times New Roman" w:cs="Times New Roman"/>
          <w:i/>
          <w:sz w:val="24"/>
          <w:szCs w:val="24"/>
        </w:rPr>
        <w:t>Platform Home Loans</w:t>
      </w:r>
      <w:r w:rsidR="00F27884" w:rsidRPr="00434D69">
        <w:rPr>
          <w:rFonts w:ascii="Times New Roman" w:hAnsi="Times New Roman" w:cs="Times New Roman"/>
          <w:sz w:val="24"/>
          <w:szCs w:val="24"/>
        </w:rPr>
        <w:t xml:space="preserve">).  </w:t>
      </w:r>
      <w:r w:rsidR="00F27884" w:rsidRPr="00434D69">
        <w:rPr>
          <w:rFonts w:ascii="Times New Roman" w:hAnsi="Times New Roman" w:cs="Times New Roman"/>
          <w:i/>
          <w:sz w:val="24"/>
          <w:szCs w:val="24"/>
        </w:rPr>
        <w:t>KBC</w:t>
      </w:r>
      <w:r w:rsidR="00F27884" w:rsidRPr="00434D69">
        <w:rPr>
          <w:rFonts w:ascii="Times New Roman" w:hAnsi="Times New Roman" w:cs="Times New Roman"/>
          <w:sz w:val="24"/>
          <w:szCs w:val="24"/>
        </w:rPr>
        <w:t xml:space="preserve"> establishes that a lender may suffer a finding of contributory negligence in respect of its investigation of a loan transaction: in that case the irrecoverability of loans was in part because the </w:t>
      </w:r>
      <w:r w:rsidR="004849E0">
        <w:rPr>
          <w:rFonts w:ascii="Times New Roman" w:hAnsi="Times New Roman" w:cs="Times New Roman"/>
          <w:sz w:val="24"/>
          <w:szCs w:val="24"/>
        </w:rPr>
        <w:t xml:space="preserve">plaintiff </w:t>
      </w:r>
      <w:r w:rsidR="00F27884" w:rsidRPr="00434D69">
        <w:rPr>
          <w:rFonts w:ascii="Times New Roman" w:hAnsi="Times New Roman" w:cs="Times New Roman"/>
          <w:sz w:val="24"/>
          <w:szCs w:val="24"/>
        </w:rPr>
        <w:t xml:space="preserve">bank </w:t>
      </w:r>
      <w:r w:rsidR="004849E0">
        <w:rPr>
          <w:rFonts w:ascii="Times New Roman" w:hAnsi="Times New Roman" w:cs="Times New Roman"/>
          <w:sz w:val="24"/>
          <w:szCs w:val="24"/>
        </w:rPr>
        <w:t xml:space="preserve">advanced </w:t>
      </w:r>
      <w:r w:rsidR="009D1969">
        <w:rPr>
          <w:rFonts w:ascii="Times New Roman" w:hAnsi="Times New Roman" w:cs="Times New Roman"/>
          <w:sz w:val="24"/>
          <w:szCs w:val="24"/>
        </w:rPr>
        <w:t xml:space="preserve">loans </w:t>
      </w:r>
      <w:r w:rsidR="00F27884" w:rsidRPr="00434D69">
        <w:rPr>
          <w:rFonts w:ascii="Times New Roman" w:hAnsi="Times New Roman" w:cs="Times New Roman"/>
          <w:sz w:val="24"/>
          <w:szCs w:val="24"/>
        </w:rPr>
        <w:t xml:space="preserve"> to persons who were ultimately unable to repay</w:t>
      </w:r>
      <w:r w:rsidR="009D1969">
        <w:rPr>
          <w:rFonts w:ascii="Times New Roman" w:hAnsi="Times New Roman" w:cs="Times New Roman"/>
          <w:sz w:val="24"/>
          <w:szCs w:val="24"/>
        </w:rPr>
        <w:t xml:space="preserve"> (and whose credit-worthiness had not been adequately assessed by the bank)</w:t>
      </w:r>
      <w:r w:rsidR="00F27884" w:rsidRPr="00434D69">
        <w:rPr>
          <w:rFonts w:ascii="Times New Roman" w:hAnsi="Times New Roman" w:cs="Times New Roman"/>
          <w:sz w:val="24"/>
          <w:szCs w:val="24"/>
        </w:rPr>
        <w:t xml:space="preserve">, and accordingly the defendant solicitors (who </w:t>
      </w:r>
      <w:r w:rsidR="009D1969">
        <w:rPr>
          <w:rFonts w:ascii="Times New Roman" w:hAnsi="Times New Roman" w:cs="Times New Roman"/>
          <w:sz w:val="24"/>
          <w:szCs w:val="24"/>
        </w:rPr>
        <w:t xml:space="preserve">had </w:t>
      </w:r>
      <w:r w:rsidR="00F27884" w:rsidRPr="00434D69">
        <w:rPr>
          <w:rFonts w:ascii="Times New Roman" w:hAnsi="Times New Roman" w:cs="Times New Roman"/>
          <w:sz w:val="24"/>
          <w:szCs w:val="24"/>
        </w:rPr>
        <w:t>negligent</w:t>
      </w:r>
      <w:r w:rsidR="009D1969">
        <w:rPr>
          <w:rFonts w:ascii="Times New Roman" w:hAnsi="Times New Roman" w:cs="Times New Roman"/>
          <w:sz w:val="24"/>
          <w:szCs w:val="24"/>
        </w:rPr>
        <w:t xml:space="preserve">ly failed </w:t>
      </w:r>
      <w:r w:rsidR="00F27884" w:rsidRPr="00434D69">
        <w:rPr>
          <w:rFonts w:ascii="Times New Roman" w:hAnsi="Times New Roman" w:cs="Times New Roman"/>
          <w:sz w:val="24"/>
          <w:szCs w:val="24"/>
        </w:rPr>
        <w:t xml:space="preserve"> to put in place security before the advances were made as they had been retained by the bank to do) were entitled to a finding of contributory negligence against the bank.  The </w:t>
      </w:r>
      <w:r w:rsidR="009D1969">
        <w:rPr>
          <w:rFonts w:ascii="Times New Roman" w:hAnsi="Times New Roman" w:cs="Times New Roman"/>
          <w:sz w:val="24"/>
          <w:szCs w:val="24"/>
        </w:rPr>
        <w:t>S</w:t>
      </w:r>
      <w:r w:rsidR="00F27884" w:rsidRPr="00434D69">
        <w:rPr>
          <w:rFonts w:ascii="Times New Roman" w:hAnsi="Times New Roman" w:cs="Times New Roman"/>
          <w:sz w:val="24"/>
          <w:szCs w:val="24"/>
        </w:rPr>
        <w:t xml:space="preserve">econd and </w:t>
      </w:r>
      <w:r w:rsidR="009D1969">
        <w:rPr>
          <w:rFonts w:ascii="Times New Roman" w:hAnsi="Times New Roman" w:cs="Times New Roman"/>
          <w:sz w:val="24"/>
          <w:szCs w:val="24"/>
        </w:rPr>
        <w:t>T</w:t>
      </w:r>
      <w:r w:rsidR="00F27884" w:rsidRPr="00434D69">
        <w:rPr>
          <w:rFonts w:ascii="Times New Roman" w:hAnsi="Times New Roman" w:cs="Times New Roman"/>
          <w:sz w:val="24"/>
          <w:szCs w:val="24"/>
        </w:rPr>
        <w:t xml:space="preserve">hird </w:t>
      </w:r>
      <w:r w:rsidR="009D1969">
        <w:rPr>
          <w:rFonts w:ascii="Times New Roman" w:hAnsi="Times New Roman" w:cs="Times New Roman"/>
          <w:sz w:val="24"/>
          <w:szCs w:val="24"/>
        </w:rPr>
        <w:t>D</w:t>
      </w:r>
      <w:r w:rsidR="00F27884" w:rsidRPr="00434D69">
        <w:rPr>
          <w:rFonts w:ascii="Times New Roman" w:hAnsi="Times New Roman" w:cs="Times New Roman"/>
          <w:sz w:val="24"/>
          <w:szCs w:val="24"/>
        </w:rPr>
        <w:t xml:space="preserve">efendants here contend that similar reasoning should be applied to this case where the </w:t>
      </w:r>
      <w:r w:rsidR="009D1969">
        <w:rPr>
          <w:rFonts w:ascii="Times New Roman" w:hAnsi="Times New Roman" w:cs="Times New Roman"/>
          <w:sz w:val="24"/>
          <w:szCs w:val="24"/>
        </w:rPr>
        <w:t>B</w:t>
      </w:r>
      <w:r w:rsidR="00F27884" w:rsidRPr="00434D69">
        <w:rPr>
          <w:rFonts w:ascii="Times New Roman" w:hAnsi="Times New Roman" w:cs="Times New Roman"/>
          <w:sz w:val="24"/>
          <w:szCs w:val="24"/>
        </w:rPr>
        <w:t xml:space="preserve">ank argued that but for the valuation the lending would not have occurred.  </w:t>
      </w:r>
    </w:p>
    <w:p w14:paraId="01D0D439" w14:textId="77777777" w:rsidR="00F27884" w:rsidRPr="00F27884" w:rsidRDefault="00F27884" w:rsidP="00F27884">
      <w:pPr>
        <w:pStyle w:val="ListParagraph"/>
        <w:rPr>
          <w:rFonts w:ascii="Times New Roman" w:hAnsi="Times New Roman" w:cs="Times New Roman"/>
          <w:sz w:val="24"/>
          <w:szCs w:val="24"/>
        </w:rPr>
      </w:pPr>
    </w:p>
    <w:p w14:paraId="436A4122" w14:textId="61AAF8BB" w:rsidR="00F27884" w:rsidRDefault="00F27884" w:rsidP="00272396">
      <w:pPr>
        <w:pStyle w:val="Heading2"/>
      </w:pPr>
      <w:r>
        <w:t xml:space="preserve">The errors in the analysis of the Judge and </w:t>
      </w:r>
      <w:r w:rsidR="00351B94">
        <w:t>Se</w:t>
      </w:r>
      <w:r>
        <w:t xml:space="preserve">cond and </w:t>
      </w:r>
      <w:r w:rsidR="00351B94">
        <w:t>T</w:t>
      </w:r>
      <w:r>
        <w:t xml:space="preserve">hird </w:t>
      </w:r>
      <w:r w:rsidR="00351B94">
        <w:t>D</w:t>
      </w:r>
      <w:r>
        <w:t xml:space="preserve">efendants  </w:t>
      </w:r>
    </w:p>
    <w:p w14:paraId="5E51988F" w14:textId="77777777" w:rsidR="00F27884" w:rsidRPr="00F27884" w:rsidRDefault="00F27884" w:rsidP="00F27884">
      <w:pPr>
        <w:spacing w:after="0" w:line="480" w:lineRule="auto"/>
        <w:jc w:val="both"/>
        <w:rPr>
          <w:rFonts w:ascii="Times New Roman" w:hAnsi="Times New Roman" w:cs="Times New Roman"/>
          <w:sz w:val="24"/>
          <w:szCs w:val="24"/>
        </w:rPr>
      </w:pPr>
    </w:p>
    <w:p w14:paraId="7B56834E" w14:textId="6EC74E25" w:rsidR="00334533" w:rsidRPr="00A14DF9" w:rsidRDefault="009807E7" w:rsidP="002A6544">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We</w:t>
      </w:r>
      <w:r w:rsidR="00334533">
        <w:rPr>
          <w:rFonts w:ascii="Times New Roman" w:hAnsi="Times New Roman" w:cs="Times New Roman"/>
          <w:sz w:val="24"/>
          <w:szCs w:val="24"/>
        </w:rPr>
        <w:t xml:space="preserve"> think it clear </w:t>
      </w:r>
      <w:r w:rsidR="00477C44">
        <w:rPr>
          <w:rFonts w:ascii="Times New Roman" w:hAnsi="Times New Roman" w:cs="Times New Roman"/>
          <w:sz w:val="24"/>
          <w:szCs w:val="24"/>
        </w:rPr>
        <w:t xml:space="preserve">from the above </w:t>
      </w:r>
      <w:r w:rsidR="00334533">
        <w:rPr>
          <w:rFonts w:ascii="Times New Roman" w:hAnsi="Times New Roman" w:cs="Times New Roman"/>
          <w:sz w:val="24"/>
          <w:szCs w:val="24"/>
        </w:rPr>
        <w:t xml:space="preserve">why </w:t>
      </w:r>
      <w:r>
        <w:rPr>
          <w:rFonts w:ascii="Times New Roman" w:hAnsi="Times New Roman" w:cs="Times New Roman"/>
          <w:sz w:val="24"/>
          <w:szCs w:val="24"/>
        </w:rPr>
        <w:t>we</w:t>
      </w:r>
      <w:r w:rsidR="00334533">
        <w:rPr>
          <w:rFonts w:ascii="Times New Roman" w:hAnsi="Times New Roman" w:cs="Times New Roman"/>
          <w:sz w:val="24"/>
          <w:szCs w:val="24"/>
        </w:rPr>
        <w:t xml:space="preserve"> believe the critical features of the analysis of the Judge in his judgment in this case, and of the submissions advanced by the </w:t>
      </w:r>
      <w:r w:rsidR="009D1969">
        <w:rPr>
          <w:rFonts w:ascii="Times New Roman" w:hAnsi="Times New Roman" w:cs="Times New Roman"/>
          <w:sz w:val="24"/>
          <w:szCs w:val="24"/>
        </w:rPr>
        <w:t>S</w:t>
      </w:r>
      <w:r w:rsidR="00334533">
        <w:rPr>
          <w:rFonts w:ascii="Times New Roman" w:hAnsi="Times New Roman" w:cs="Times New Roman"/>
          <w:sz w:val="24"/>
          <w:szCs w:val="24"/>
        </w:rPr>
        <w:t xml:space="preserve">econd and </w:t>
      </w:r>
      <w:r w:rsidR="009D1969">
        <w:rPr>
          <w:rFonts w:ascii="Times New Roman" w:hAnsi="Times New Roman" w:cs="Times New Roman"/>
          <w:sz w:val="24"/>
          <w:szCs w:val="24"/>
        </w:rPr>
        <w:t>T</w:t>
      </w:r>
      <w:r w:rsidR="00334533">
        <w:rPr>
          <w:rFonts w:ascii="Times New Roman" w:hAnsi="Times New Roman" w:cs="Times New Roman"/>
          <w:sz w:val="24"/>
          <w:szCs w:val="24"/>
        </w:rPr>
        <w:t xml:space="preserve">hird </w:t>
      </w:r>
      <w:r w:rsidR="009D1969">
        <w:rPr>
          <w:rFonts w:ascii="Times New Roman" w:hAnsi="Times New Roman" w:cs="Times New Roman"/>
          <w:sz w:val="24"/>
          <w:szCs w:val="24"/>
        </w:rPr>
        <w:t>D</w:t>
      </w:r>
      <w:r w:rsidR="00334533">
        <w:rPr>
          <w:rFonts w:ascii="Times New Roman" w:hAnsi="Times New Roman" w:cs="Times New Roman"/>
          <w:sz w:val="24"/>
          <w:szCs w:val="24"/>
        </w:rPr>
        <w:t xml:space="preserve">efendants </w:t>
      </w:r>
      <w:r w:rsidR="00BA49B7">
        <w:rPr>
          <w:rFonts w:ascii="Times New Roman" w:hAnsi="Times New Roman" w:cs="Times New Roman"/>
          <w:sz w:val="24"/>
          <w:szCs w:val="24"/>
        </w:rPr>
        <w:t xml:space="preserve">in support of it </w:t>
      </w:r>
      <w:r w:rsidR="00334533">
        <w:rPr>
          <w:rFonts w:ascii="Times New Roman" w:hAnsi="Times New Roman" w:cs="Times New Roman"/>
          <w:sz w:val="24"/>
          <w:szCs w:val="24"/>
        </w:rPr>
        <w:t>are misplace</w:t>
      </w:r>
      <w:r w:rsidR="00477C44">
        <w:rPr>
          <w:rFonts w:ascii="Times New Roman" w:hAnsi="Times New Roman" w:cs="Times New Roman"/>
          <w:sz w:val="24"/>
          <w:szCs w:val="24"/>
        </w:rPr>
        <w:t>d</w:t>
      </w:r>
      <w:r w:rsidR="00334533">
        <w:rPr>
          <w:rFonts w:ascii="Times New Roman" w:hAnsi="Times New Roman" w:cs="Times New Roman"/>
          <w:sz w:val="24"/>
          <w:szCs w:val="24"/>
        </w:rPr>
        <w:t xml:space="preserve">.  They nonetheless afford a useful </w:t>
      </w:r>
      <w:r w:rsidR="00C92D81">
        <w:rPr>
          <w:rFonts w:ascii="Times New Roman" w:hAnsi="Times New Roman" w:cs="Times New Roman"/>
          <w:sz w:val="24"/>
          <w:szCs w:val="24"/>
        </w:rPr>
        <w:t xml:space="preserve">focus </w:t>
      </w:r>
      <w:r w:rsidR="00334533">
        <w:rPr>
          <w:rFonts w:ascii="Times New Roman" w:hAnsi="Times New Roman" w:cs="Times New Roman"/>
          <w:sz w:val="24"/>
          <w:szCs w:val="24"/>
        </w:rPr>
        <w:t>for gathering together the essential points:</w:t>
      </w:r>
    </w:p>
    <w:p w14:paraId="40F853FA" w14:textId="77777777" w:rsidR="00334533" w:rsidRPr="00BD301E" w:rsidRDefault="00334533" w:rsidP="002A6544">
      <w:pPr>
        <w:pStyle w:val="ListParagraph"/>
        <w:spacing w:line="480" w:lineRule="auto"/>
        <w:rPr>
          <w:rFonts w:ascii="Times New Roman" w:hAnsi="Times New Roman" w:cs="Times New Roman"/>
          <w:sz w:val="24"/>
          <w:szCs w:val="24"/>
        </w:rPr>
      </w:pPr>
    </w:p>
    <w:p w14:paraId="11BA756A" w14:textId="0C65C107" w:rsidR="00334533" w:rsidRDefault="00334533" w:rsidP="002A6544">
      <w:pPr>
        <w:pStyle w:val="ListParagraph"/>
        <w:numPr>
          <w:ilvl w:val="0"/>
          <w:numId w:val="11"/>
        </w:numPr>
        <w:spacing w:after="0" w:line="480" w:lineRule="auto"/>
        <w:jc w:val="both"/>
        <w:rPr>
          <w:rFonts w:ascii="Times New Roman" w:hAnsi="Times New Roman" w:cs="Times New Roman"/>
          <w:sz w:val="24"/>
          <w:szCs w:val="24"/>
        </w:rPr>
      </w:pPr>
      <w:r w:rsidRPr="00BD301E">
        <w:rPr>
          <w:rFonts w:ascii="Times New Roman" w:hAnsi="Times New Roman" w:cs="Times New Roman"/>
          <w:sz w:val="24"/>
          <w:szCs w:val="24"/>
        </w:rPr>
        <w:t xml:space="preserve">The </w:t>
      </w:r>
      <w:r w:rsidR="009D1969">
        <w:rPr>
          <w:rFonts w:ascii="Times New Roman" w:hAnsi="Times New Roman" w:cs="Times New Roman"/>
          <w:sz w:val="24"/>
          <w:szCs w:val="24"/>
        </w:rPr>
        <w:t>CLA</w:t>
      </w:r>
      <w:r w:rsidRPr="00BD301E">
        <w:rPr>
          <w:rFonts w:ascii="Times New Roman" w:hAnsi="Times New Roman" w:cs="Times New Roman"/>
          <w:sz w:val="24"/>
          <w:szCs w:val="24"/>
        </w:rPr>
        <w:t xml:space="preserve"> Act is concerned with ‘</w:t>
      </w:r>
      <w:r w:rsidRPr="00BD301E">
        <w:rPr>
          <w:rFonts w:ascii="Times New Roman" w:hAnsi="Times New Roman" w:cs="Times New Roman"/>
          <w:i/>
          <w:sz w:val="24"/>
          <w:szCs w:val="24"/>
        </w:rPr>
        <w:t>damage</w:t>
      </w:r>
      <w:r w:rsidR="00B67C7D">
        <w:rPr>
          <w:rFonts w:ascii="Times New Roman" w:hAnsi="Times New Roman" w:cs="Times New Roman"/>
          <w:i/>
          <w:sz w:val="24"/>
          <w:szCs w:val="24"/>
        </w:rPr>
        <w:t>’</w:t>
      </w:r>
      <w:r w:rsidRPr="00BD301E">
        <w:rPr>
          <w:rFonts w:ascii="Times New Roman" w:hAnsi="Times New Roman" w:cs="Times New Roman"/>
          <w:sz w:val="24"/>
          <w:szCs w:val="24"/>
        </w:rPr>
        <w:t xml:space="preserve"> that can be recovered by way of an action for damages.  It is </w:t>
      </w:r>
      <w:r w:rsidRPr="00BD301E">
        <w:rPr>
          <w:rFonts w:ascii="Times New Roman" w:hAnsi="Times New Roman" w:cs="Times New Roman"/>
          <w:sz w:val="24"/>
          <w:szCs w:val="24"/>
          <w:u w:val="single"/>
        </w:rPr>
        <w:t>not</w:t>
      </w:r>
      <w:r w:rsidRPr="00BD301E">
        <w:rPr>
          <w:rFonts w:ascii="Times New Roman" w:hAnsi="Times New Roman" w:cs="Times New Roman"/>
          <w:sz w:val="24"/>
          <w:szCs w:val="24"/>
        </w:rPr>
        <w:t xml:space="preserve"> concerned with an action in the nature of a claim for specific performance of a contractual obligation.  These are fundamentally different claims.</w:t>
      </w:r>
      <w:r w:rsidR="00A14DF9">
        <w:rPr>
          <w:rFonts w:ascii="Times New Roman" w:hAnsi="Times New Roman" w:cs="Times New Roman"/>
          <w:sz w:val="24"/>
          <w:szCs w:val="24"/>
        </w:rPr>
        <w:t xml:space="preserve">  T</w:t>
      </w:r>
      <w:r w:rsidR="00A14DF9" w:rsidRPr="00434D69">
        <w:rPr>
          <w:rFonts w:ascii="Times New Roman" w:hAnsi="Times New Roman" w:cs="Times New Roman"/>
          <w:sz w:val="24"/>
          <w:szCs w:val="24"/>
        </w:rPr>
        <w:t xml:space="preserve">he </w:t>
      </w:r>
      <w:r w:rsidR="009D1969">
        <w:rPr>
          <w:rFonts w:ascii="Times New Roman" w:hAnsi="Times New Roman" w:cs="Times New Roman"/>
          <w:sz w:val="24"/>
          <w:szCs w:val="24"/>
        </w:rPr>
        <w:t>D</w:t>
      </w:r>
      <w:r w:rsidR="00A14DF9" w:rsidRPr="00434D69">
        <w:rPr>
          <w:rFonts w:ascii="Times New Roman" w:hAnsi="Times New Roman" w:cs="Times New Roman"/>
          <w:sz w:val="24"/>
          <w:szCs w:val="24"/>
        </w:rPr>
        <w:t>efendants’ argument involves not merely characterising a claim in debt as something other than the claim to enforce a primary contractual obligation, but begs the question (a) as to whether all such claims are within the relevant provisions and (b) if so how this can operate in the absence of provisions of general application of the kind made in respect of the return of a chattel in s</w:t>
      </w:r>
      <w:r w:rsidR="009D1969">
        <w:rPr>
          <w:rFonts w:ascii="Times New Roman" w:hAnsi="Times New Roman" w:cs="Times New Roman"/>
          <w:sz w:val="24"/>
          <w:szCs w:val="24"/>
        </w:rPr>
        <w:t xml:space="preserve">ection </w:t>
      </w:r>
      <w:r w:rsidR="00A14DF9" w:rsidRPr="00434D69">
        <w:rPr>
          <w:rFonts w:ascii="Times New Roman" w:hAnsi="Times New Roman" w:cs="Times New Roman"/>
          <w:sz w:val="24"/>
          <w:szCs w:val="24"/>
        </w:rPr>
        <w:t>26</w:t>
      </w:r>
      <w:r w:rsidR="009D1969">
        <w:rPr>
          <w:rFonts w:ascii="Times New Roman" w:hAnsi="Times New Roman" w:cs="Times New Roman"/>
          <w:sz w:val="24"/>
          <w:szCs w:val="24"/>
        </w:rPr>
        <w:t xml:space="preserve"> CLA</w:t>
      </w:r>
      <w:r w:rsidR="00A14DF9" w:rsidRPr="00434D69">
        <w:rPr>
          <w:rFonts w:ascii="Times New Roman" w:hAnsi="Times New Roman" w:cs="Times New Roman"/>
          <w:sz w:val="24"/>
          <w:szCs w:val="24"/>
        </w:rPr>
        <w:t xml:space="preserve"> and (c) if not how exactly that distinction is to be found within the </w:t>
      </w:r>
      <w:r w:rsidR="009D1969">
        <w:rPr>
          <w:rFonts w:ascii="Times New Roman" w:hAnsi="Times New Roman" w:cs="Times New Roman"/>
          <w:sz w:val="24"/>
          <w:szCs w:val="24"/>
        </w:rPr>
        <w:t>CLA</w:t>
      </w:r>
      <w:r w:rsidR="00A14DF9" w:rsidRPr="00434D69">
        <w:rPr>
          <w:rFonts w:ascii="Times New Roman" w:hAnsi="Times New Roman" w:cs="Times New Roman"/>
          <w:sz w:val="24"/>
          <w:szCs w:val="24"/>
        </w:rPr>
        <w:t xml:space="preserve">.  </w:t>
      </w:r>
      <w:r w:rsidR="00A14DF9">
        <w:rPr>
          <w:rFonts w:ascii="Times New Roman" w:hAnsi="Times New Roman" w:cs="Times New Roman"/>
          <w:sz w:val="24"/>
          <w:szCs w:val="24"/>
        </w:rPr>
        <w:t xml:space="preserve"> </w:t>
      </w:r>
    </w:p>
    <w:p w14:paraId="393723F2" w14:textId="77777777" w:rsidR="00334533" w:rsidRPr="00BD301E" w:rsidRDefault="00334533" w:rsidP="002A6544">
      <w:pPr>
        <w:pStyle w:val="ListParagraph"/>
        <w:spacing w:line="480" w:lineRule="auto"/>
        <w:rPr>
          <w:rFonts w:ascii="Times New Roman" w:hAnsi="Times New Roman" w:cs="Times New Roman"/>
          <w:sz w:val="24"/>
          <w:szCs w:val="24"/>
        </w:rPr>
      </w:pPr>
    </w:p>
    <w:p w14:paraId="136ADCD9" w14:textId="6B69DB35" w:rsidR="00A14DF9" w:rsidRPr="00A14DF9" w:rsidRDefault="00A14DF9" w:rsidP="002A6544">
      <w:pPr>
        <w:pStyle w:val="ListParagraph"/>
        <w:numPr>
          <w:ilvl w:val="0"/>
          <w:numId w:val="11"/>
        </w:numPr>
        <w:spacing w:after="0" w:line="480" w:lineRule="auto"/>
        <w:jc w:val="both"/>
        <w:rPr>
          <w:rFonts w:ascii="Times New Roman" w:hAnsi="Times New Roman" w:cs="Times New Roman"/>
          <w:sz w:val="24"/>
          <w:szCs w:val="24"/>
        </w:rPr>
      </w:pPr>
      <w:r w:rsidRPr="00A14DF9">
        <w:rPr>
          <w:rFonts w:ascii="Times New Roman" w:hAnsi="Times New Roman" w:cs="Times New Roman"/>
          <w:sz w:val="24"/>
          <w:szCs w:val="24"/>
        </w:rPr>
        <w:t>If ‘</w:t>
      </w:r>
      <w:r w:rsidRPr="00A14DF9">
        <w:rPr>
          <w:rFonts w:ascii="Times New Roman" w:hAnsi="Times New Roman" w:cs="Times New Roman"/>
          <w:i/>
          <w:sz w:val="24"/>
          <w:szCs w:val="24"/>
        </w:rPr>
        <w:t>damage</w:t>
      </w:r>
      <w:r w:rsidR="00B67C7D">
        <w:rPr>
          <w:rFonts w:ascii="Times New Roman" w:hAnsi="Times New Roman" w:cs="Times New Roman"/>
          <w:i/>
          <w:sz w:val="24"/>
          <w:szCs w:val="24"/>
        </w:rPr>
        <w:t>’</w:t>
      </w:r>
      <w:r w:rsidRPr="00A14DF9">
        <w:rPr>
          <w:rFonts w:ascii="Times New Roman" w:hAnsi="Times New Roman" w:cs="Times New Roman"/>
          <w:i/>
          <w:sz w:val="24"/>
          <w:szCs w:val="24"/>
        </w:rPr>
        <w:t xml:space="preserve"> </w:t>
      </w:r>
      <w:r w:rsidRPr="00A14DF9">
        <w:rPr>
          <w:rFonts w:ascii="Times New Roman" w:hAnsi="Times New Roman" w:cs="Times New Roman"/>
          <w:sz w:val="24"/>
          <w:szCs w:val="24"/>
        </w:rPr>
        <w:t>as the term is used in the definition of concurrent wrongdoers in s</w:t>
      </w:r>
      <w:r w:rsidR="009D1969">
        <w:rPr>
          <w:rFonts w:ascii="Times New Roman" w:hAnsi="Times New Roman" w:cs="Times New Roman"/>
          <w:sz w:val="24"/>
          <w:szCs w:val="24"/>
        </w:rPr>
        <w:t>ection</w:t>
      </w:r>
      <w:r w:rsidR="0026733A">
        <w:rPr>
          <w:rFonts w:ascii="Times New Roman" w:hAnsi="Times New Roman" w:cs="Times New Roman"/>
          <w:sz w:val="24"/>
          <w:szCs w:val="24"/>
        </w:rPr>
        <w:t xml:space="preserve"> </w:t>
      </w:r>
      <w:r w:rsidRPr="00A14DF9">
        <w:rPr>
          <w:rFonts w:ascii="Times New Roman" w:hAnsi="Times New Roman" w:cs="Times New Roman"/>
          <w:sz w:val="24"/>
          <w:szCs w:val="24"/>
        </w:rPr>
        <w:t xml:space="preserve">11 CLA does </w:t>
      </w:r>
      <w:r w:rsidR="00C92D81">
        <w:rPr>
          <w:rFonts w:ascii="Times New Roman" w:hAnsi="Times New Roman" w:cs="Times New Roman"/>
          <w:sz w:val="24"/>
          <w:szCs w:val="24"/>
        </w:rPr>
        <w:t xml:space="preserve">operate so as to </w:t>
      </w:r>
      <w:r w:rsidR="009D1969">
        <w:rPr>
          <w:rFonts w:ascii="Times New Roman" w:hAnsi="Times New Roman" w:cs="Times New Roman"/>
          <w:sz w:val="24"/>
          <w:szCs w:val="24"/>
        </w:rPr>
        <w:t xml:space="preserve">bring </w:t>
      </w:r>
      <w:r w:rsidR="00C92D81">
        <w:rPr>
          <w:rFonts w:ascii="Times New Roman" w:hAnsi="Times New Roman" w:cs="Times New Roman"/>
          <w:sz w:val="24"/>
          <w:szCs w:val="24"/>
        </w:rPr>
        <w:t xml:space="preserve">a claim for debt within the provisions governing concurrent wrongdoers, </w:t>
      </w:r>
      <w:r w:rsidRPr="00A14DF9">
        <w:rPr>
          <w:rFonts w:ascii="Times New Roman" w:hAnsi="Times New Roman" w:cs="Times New Roman"/>
          <w:sz w:val="24"/>
          <w:szCs w:val="24"/>
        </w:rPr>
        <w:t xml:space="preserve">an entire swathe of the applicable regime cannot be operated in relation to such claims without </w:t>
      </w:r>
      <w:r w:rsidR="009D1969">
        <w:rPr>
          <w:rFonts w:ascii="Times New Roman" w:hAnsi="Times New Roman" w:cs="Times New Roman"/>
          <w:sz w:val="24"/>
          <w:szCs w:val="24"/>
        </w:rPr>
        <w:t xml:space="preserve">effectively </w:t>
      </w:r>
      <w:r w:rsidRPr="00A14DF9">
        <w:rPr>
          <w:rFonts w:ascii="Times New Roman" w:hAnsi="Times New Roman" w:cs="Times New Roman"/>
          <w:sz w:val="24"/>
          <w:szCs w:val="24"/>
        </w:rPr>
        <w:t xml:space="preserve">rewriting </w:t>
      </w:r>
      <w:r w:rsidR="009D1969">
        <w:rPr>
          <w:rFonts w:ascii="Times New Roman" w:hAnsi="Times New Roman" w:cs="Times New Roman"/>
          <w:sz w:val="24"/>
          <w:szCs w:val="24"/>
        </w:rPr>
        <w:t>significant</w:t>
      </w:r>
      <w:r w:rsidR="009D1969" w:rsidRPr="00A14DF9">
        <w:rPr>
          <w:rFonts w:ascii="Times New Roman" w:hAnsi="Times New Roman" w:cs="Times New Roman"/>
          <w:sz w:val="24"/>
          <w:szCs w:val="24"/>
        </w:rPr>
        <w:t xml:space="preserve"> </w:t>
      </w:r>
      <w:r w:rsidRPr="00A14DF9">
        <w:rPr>
          <w:rFonts w:ascii="Times New Roman" w:hAnsi="Times New Roman" w:cs="Times New Roman"/>
          <w:sz w:val="24"/>
          <w:szCs w:val="24"/>
        </w:rPr>
        <w:t xml:space="preserve">parts of the </w:t>
      </w:r>
      <w:r w:rsidR="009D1969">
        <w:rPr>
          <w:rFonts w:ascii="Times New Roman" w:hAnsi="Times New Roman" w:cs="Times New Roman"/>
          <w:sz w:val="24"/>
          <w:szCs w:val="24"/>
        </w:rPr>
        <w:t>CLA</w:t>
      </w:r>
      <w:r w:rsidRPr="00A14DF9">
        <w:rPr>
          <w:rFonts w:ascii="Times New Roman" w:hAnsi="Times New Roman" w:cs="Times New Roman"/>
          <w:sz w:val="24"/>
          <w:szCs w:val="24"/>
        </w:rPr>
        <w:t xml:space="preserve">.  This is because </w:t>
      </w:r>
      <w:r w:rsidR="002D7E5B">
        <w:rPr>
          <w:rFonts w:ascii="Times New Roman" w:hAnsi="Times New Roman" w:cs="Times New Roman"/>
          <w:sz w:val="24"/>
          <w:szCs w:val="24"/>
        </w:rPr>
        <w:t xml:space="preserve">Part III of the CLA </w:t>
      </w:r>
      <w:r w:rsidRPr="00A14DF9">
        <w:rPr>
          <w:rFonts w:ascii="Times New Roman" w:hAnsi="Times New Roman" w:cs="Times New Roman"/>
          <w:sz w:val="24"/>
          <w:szCs w:val="24"/>
        </w:rPr>
        <w:t>assume</w:t>
      </w:r>
      <w:r w:rsidR="002D7E5B">
        <w:rPr>
          <w:rFonts w:ascii="Times New Roman" w:hAnsi="Times New Roman" w:cs="Times New Roman"/>
          <w:sz w:val="24"/>
          <w:szCs w:val="24"/>
        </w:rPr>
        <w:t>s throughout</w:t>
      </w:r>
      <w:r w:rsidRPr="00A14DF9">
        <w:rPr>
          <w:rFonts w:ascii="Times New Roman" w:hAnsi="Times New Roman" w:cs="Times New Roman"/>
          <w:sz w:val="24"/>
          <w:szCs w:val="24"/>
        </w:rPr>
        <w:t xml:space="preserve"> a claim </w:t>
      </w:r>
      <w:r w:rsidRPr="00A14DF9">
        <w:rPr>
          <w:rFonts w:ascii="Times New Roman" w:hAnsi="Times New Roman" w:cs="Times New Roman"/>
          <w:i/>
          <w:sz w:val="24"/>
          <w:szCs w:val="24"/>
        </w:rPr>
        <w:t>for damages</w:t>
      </w:r>
      <w:r w:rsidRPr="00A14DF9">
        <w:rPr>
          <w:rFonts w:ascii="Times New Roman" w:hAnsi="Times New Roman" w:cs="Times New Roman"/>
          <w:sz w:val="24"/>
          <w:szCs w:val="24"/>
        </w:rPr>
        <w:t xml:space="preserve">.  </w:t>
      </w:r>
      <w:r w:rsidR="00477C44">
        <w:rPr>
          <w:rFonts w:ascii="Times New Roman" w:hAnsi="Times New Roman" w:cs="Times New Roman"/>
          <w:sz w:val="24"/>
          <w:szCs w:val="24"/>
        </w:rPr>
        <w:t>Contrary to the suggestion in the</w:t>
      </w:r>
      <w:r w:rsidR="009D1969">
        <w:rPr>
          <w:rFonts w:ascii="Times New Roman" w:hAnsi="Times New Roman" w:cs="Times New Roman"/>
          <w:sz w:val="24"/>
          <w:szCs w:val="24"/>
        </w:rPr>
        <w:t>se</w:t>
      </w:r>
      <w:r w:rsidR="00477C44">
        <w:rPr>
          <w:rFonts w:ascii="Times New Roman" w:hAnsi="Times New Roman" w:cs="Times New Roman"/>
          <w:sz w:val="24"/>
          <w:szCs w:val="24"/>
        </w:rPr>
        <w:t xml:space="preserve"> </w:t>
      </w:r>
      <w:r w:rsidR="009D1969">
        <w:rPr>
          <w:rFonts w:ascii="Times New Roman" w:hAnsi="Times New Roman" w:cs="Times New Roman"/>
          <w:sz w:val="24"/>
          <w:szCs w:val="24"/>
        </w:rPr>
        <w:t>D</w:t>
      </w:r>
      <w:r w:rsidR="00477C44">
        <w:rPr>
          <w:rFonts w:ascii="Times New Roman" w:hAnsi="Times New Roman" w:cs="Times New Roman"/>
          <w:sz w:val="24"/>
          <w:szCs w:val="24"/>
        </w:rPr>
        <w:t>efendants’ submissions</w:t>
      </w:r>
      <w:r w:rsidR="009D1969">
        <w:rPr>
          <w:rFonts w:ascii="Times New Roman" w:hAnsi="Times New Roman" w:cs="Times New Roman"/>
          <w:sz w:val="24"/>
          <w:szCs w:val="24"/>
        </w:rPr>
        <w:t>,</w:t>
      </w:r>
      <w:r w:rsidR="00477C44">
        <w:rPr>
          <w:rFonts w:ascii="Times New Roman" w:hAnsi="Times New Roman" w:cs="Times New Roman"/>
          <w:sz w:val="24"/>
          <w:szCs w:val="24"/>
        </w:rPr>
        <w:t xml:space="preserve"> i</w:t>
      </w:r>
      <w:r w:rsidRPr="00A14DF9">
        <w:rPr>
          <w:rFonts w:ascii="Times New Roman" w:hAnsi="Times New Roman" w:cs="Times New Roman"/>
          <w:sz w:val="24"/>
          <w:szCs w:val="24"/>
        </w:rPr>
        <w:t xml:space="preserve">t is not </w:t>
      </w:r>
      <w:r w:rsidR="009D1969">
        <w:rPr>
          <w:rFonts w:ascii="Times New Roman" w:hAnsi="Times New Roman" w:cs="Times New Roman"/>
          <w:sz w:val="24"/>
          <w:szCs w:val="24"/>
        </w:rPr>
        <w:t>simply</w:t>
      </w:r>
      <w:r w:rsidR="009D1969" w:rsidRPr="00A14DF9">
        <w:rPr>
          <w:rFonts w:ascii="Times New Roman" w:hAnsi="Times New Roman" w:cs="Times New Roman"/>
          <w:sz w:val="24"/>
          <w:szCs w:val="24"/>
        </w:rPr>
        <w:t xml:space="preserve"> </w:t>
      </w:r>
      <w:r w:rsidRPr="00A14DF9">
        <w:rPr>
          <w:rFonts w:ascii="Times New Roman" w:hAnsi="Times New Roman" w:cs="Times New Roman"/>
          <w:sz w:val="24"/>
          <w:szCs w:val="24"/>
        </w:rPr>
        <w:t xml:space="preserve">one section that is affected, but many.  For the </w:t>
      </w:r>
      <w:r w:rsidR="009D1969">
        <w:rPr>
          <w:rFonts w:ascii="Times New Roman" w:hAnsi="Times New Roman" w:cs="Times New Roman"/>
          <w:sz w:val="24"/>
          <w:szCs w:val="24"/>
        </w:rPr>
        <w:t>D</w:t>
      </w:r>
      <w:r w:rsidRPr="00A14DF9">
        <w:rPr>
          <w:rFonts w:ascii="Times New Roman" w:hAnsi="Times New Roman" w:cs="Times New Roman"/>
          <w:sz w:val="24"/>
          <w:szCs w:val="24"/>
        </w:rPr>
        <w:t>efendants</w:t>
      </w:r>
      <w:r w:rsidR="00477C44">
        <w:rPr>
          <w:rFonts w:ascii="Times New Roman" w:hAnsi="Times New Roman" w:cs="Times New Roman"/>
          <w:sz w:val="24"/>
          <w:szCs w:val="24"/>
        </w:rPr>
        <w:t>’</w:t>
      </w:r>
      <w:r w:rsidRPr="00A14DF9">
        <w:rPr>
          <w:rFonts w:ascii="Times New Roman" w:hAnsi="Times New Roman" w:cs="Times New Roman"/>
          <w:sz w:val="24"/>
          <w:szCs w:val="24"/>
        </w:rPr>
        <w:t xml:space="preserve"> contention to be correct the definition of a contribution </w:t>
      </w:r>
      <w:r w:rsidRPr="00A14DF9">
        <w:rPr>
          <w:rFonts w:ascii="Times New Roman" w:hAnsi="Times New Roman" w:cs="Times New Roman"/>
          <w:sz w:val="24"/>
          <w:szCs w:val="24"/>
        </w:rPr>
        <w:lastRenderedPageBreak/>
        <w:t>action has to be changed from one dependant on a claim for ‘</w:t>
      </w:r>
      <w:r w:rsidRPr="00A14DF9">
        <w:rPr>
          <w:rFonts w:ascii="Times New Roman" w:hAnsi="Times New Roman" w:cs="Times New Roman"/>
          <w:i/>
          <w:sz w:val="24"/>
          <w:szCs w:val="24"/>
        </w:rPr>
        <w:t>damages</w:t>
      </w:r>
      <w:r w:rsidR="00B67C7D">
        <w:rPr>
          <w:rFonts w:ascii="Times New Roman" w:hAnsi="Times New Roman" w:cs="Times New Roman"/>
          <w:i/>
          <w:sz w:val="24"/>
          <w:szCs w:val="24"/>
        </w:rPr>
        <w:t>’</w:t>
      </w:r>
      <w:r w:rsidRPr="00A14DF9">
        <w:rPr>
          <w:rFonts w:ascii="Times New Roman" w:hAnsi="Times New Roman" w:cs="Times New Roman"/>
          <w:sz w:val="24"/>
          <w:szCs w:val="24"/>
        </w:rPr>
        <w:t xml:space="preserve"> to something else entirely (s</w:t>
      </w:r>
      <w:r w:rsidR="009D1969">
        <w:rPr>
          <w:rFonts w:ascii="Times New Roman" w:hAnsi="Times New Roman" w:cs="Times New Roman"/>
          <w:sz w:val="24"/>
          <w:szCs w:val="24"/>
        </w:rPr>
        <w:t>ections</w:t>
      </w:r>
      <w:r w:rsidRPr="00A14DF9">
        <w:rPr>
          <w:rFonts w:ascii="Times New Roman" w:hAnsi="Times New Roman" w:cs="Times New Roman"/>
          <w:sz w:val="24"/>
          <w:szCs w:val="24"/>
        </w:rPr>
        <w:t xml:space="preserve"> 21. 22(1)</w:t>
      </w:r>
      <w:r w:rsidR="009D1969">
        <w:rPr>
          <w:rFonts w:ascii="Times New Roman" w:hAnsi="Times New Roman" w:cs="Times New Roman"/>
          <w:sz w:val="24"/>
          <w:szCs w:val="24"/>
        </w:rPr>
        <w:t xml:space="preserve"> and</w:t>
      </w:r>
      <w:r w:rsidRPr="00A14DF9">
        <w:rPr>
          <w:rFonts w:ascii="Times New Roman" w:hAnsi="Times New Roman" w:cs="Times New Roman"/>
          <w:sz w:val="24"/>
          <w:szCs w:val="24"/>
        </w:rPr>
        <w:t xml:space="preserve"> 23(1)). The </w:t>
      </w:r>
      <w:r w:rsidR="009D1969">
        <w:rPr>
          <w:rFonts w:ascii="Times New Roman" w:hAnsi="Times New Roman" w:cs="Times New Roman"/>
          <w:sz w:val="24"/>
          <w:szCs w:val="24"/>
        </w:rPr>
        <w:t>effect</w:t>
      </w:r>
      <w:r w:rsidR="009D1969" w:rsidRPr="00A14DF9">
        <w:rPr>
          <w:rFonts w:ascii="Times New Roman" w:hAnsi="Times New Roman" w:cs="Times New Roman"/>
          <w:sz w:val="24"/>
          <w:szCs w:val="24"/>
        </w:rPr>
        <w:t xml:space="preserve"> </w:t>
      </w:r>
      <w:r w:rsidRPr="00A14DF9">
        <w:rPr>
          <w:rFonts w:ascii="Times New Roman" w:hAnsi="Times New Roman" w:cs="Times New Roman"/>
          <w:sz w:val="24"/>
          <w:szCs w:val="24"/>
        </w:rPr>
        <w:t>of the provisions of s</w:t>
      </w:r>
      <w:r w:rsidR="009D1969">
        <w:rPr>
          <w:rFonts w:ascii="Times New Roman" w:hAnsi="Times New Roman" w:cs="Times New Roman"/>
          <w:sz w:val="24"/>
          <w:szCs w:val="24"/>
        </w:rPr>
        <w:t>ection</w:t>
      </w:r>
      <w:r w:rsidR="00084FB8">
        <w:rPr>
          <w:rFonts w:ascii="Times New Roman" w:hAnsi="Times New Roman" w:cs="Times New Roman"/>
          <w:sz w:val="24"/>
          <w:szCs w:val="24"/>
        </w:rPr>
        <w:t xml:space="preserve"> </w:t>
      </w:r>
      <w:r w:rsidRPr="00A14DF9">
        <w:rPr>
          <w:rFonts w:ascii="Times New Roman" w:hAnsi="Times New Roman" w:cs="Times New Roman"/>
          <w:sz w:val="24"/>
          <w:szCs w:val="24"/>
        </w:rPr>
        <w:t xml:space="preserve">14(2) and (3) (several judgments) </w:t>
      </w:r>
      <w:r w:rsidR="009D1969">
        <w:rPr>
          <w:rFonts w:ascii="Times New Roman" w:hAnsi="Times New Roman" w:cs="Times New Roman"/>
          <w:sz w:val="24"/>
          <w:szCs w:val="24"/>
        </w:rPr>
        <w:t>would also have to be modified</w:t>
      </w:r>
      <w:r w:rsidR="009D1969" w:rsidRPr="00A14DF9">
        <w:rPr>
          <w:rFonts w:ascii="Times New Roman" w:hAnsi="Times New Roman" w:cs="Times New Roman"/>
          <w:sz w:val="24"/>
          <w:szCs w:val="24"/>
        </w:rPr>
        <w:t xml:space="preserve"> </w:t>
      </w:r>
      <w:r w:rsidRPr="00A14DF9">
        <w:rPr>
          <w:rFonts w:ascii="Times New Roman" w:hAnsi="Times New Roman" w:cs="Times New Roman"/>
          <w:sz w:val="24"/>
          <w:szCs w:val="24"/>
        </w:rPr>
        <w:t xml:space="preserve">as </w:t>
      </w:r>
      <w:r w:rsidR="009D1969">
        <w:rPr>
          <w:rFonts w:ascii="Times New Roman" w:hAnsi="Times New Roman" w:cs="Times New Roman"/>
          <w:sz w:val="24"/>
          <w:szCs w:val="24"/>
        </w:rPr>
        <w:t>would</w:t>
      </w:r>
      <w:r w:rsidR="009D1969" w:rsidRPr="00A14DF9">
        <w:rPr>
          <w:rFonts w:ascii="Times New Roman" w:hAnsi="Times New Roman" w:cs="Times New Roman"/>
          <w:sz w:val="24"/>
          <w:szCs w:val="24"/>
        </w:rPr>
        <w:t xml:space="preserve"> </w:t>
      </w:r>
      <w:r w:rsidRPr="00A14DF9">
        <w:rPr>
          <w:rFonts w:ascii="Times New Roman" w:hAnsi="Times New Roman" w:cs="Times New Roman"/>
          <w:sz w:val="24"/>
          <w:szCs w:val="24"/>
        </w:rPr>
        <w:t>the provisions of s</w:t>
      </w:r>
      <w:r w:rsidR="002A13CF">
        <w:rPr>
          <w:rFonts w:ascii="Times New Roman" w:hAnsi="Times New Roman" w:cs="Times New Roman"/>
          <w:sz w:val="24"/>
          <w:szCs w:val="24"/>
        </w:rPr>
        <w:t>ection</w:t>
      </w:r>
      <w:r w:rsidR="00084FB8">
        <w:rPr>
          <w:rFonts w:ascii="Times New Roman" w:hAnsi="Times New Roman" w:cs="Times New Roman"/>
          <w:sz w:val="24"/>
          <w:szCs w:val="24"/>
        </w:rPr>
        <w:t xml:space="preserve"> </w:t>
      </w:r>
      <w:r w:rsidRPr="00A14DF9">
        <w:rPr>
          <w:rFonts w:ascii="Times New Roman" w:hAnsi="Times New Roman" w:cs="Times New Roman"/>
          <w:sz w:val="24"/>
          <w:szCs w:val="24"/>
        </w:rPr>
        <w:t>18 (cap on judgments in more than one action against concurrent wrongdoers).  The definition of ‘</w:t>
      </w:r>
      <w:r w:rsidRPr="00A14DF9">
        <w:rPr>
          <w:rFonts w:ascii="Times New Roman" w:hAnsi="Times New Roman" w:cs="Times New Roman"/>
          <w:i/>
          <w:sz w:val="24"/>
          <w:szCs w:val="24"/>
        </w:rPr>
        <w:t>satisfaction</w:t>
      </w:r>
      <w:r w:rsidR="00B67C7D">
        <w:rPr>
          <w:rFonts w:ascii="Times New Roman" w:hAnsi="Times New Roman" w:cs="Times New Roman"/>
          <w:i/>
          <w:sz w:val="24"/>
          <w:szCs w:val="24"/>
        </w:rPr>
        <w:t>’</w:t>
      </w:r>
      <w:r w:rsidRPr="00A14DF9">
        <w:rPr>
          <w:rFonts w:ascii="Times New Roman" w:hAnsi="Times New Roman" w:cs="Times New Roman"/>
          <w:i/>
          <w:sz w:val="24"/>
          <w:szCs w:val="24"/>
        </w:rPr>
        <w:t xml:space="preserve"> </w:t>
      </w:r>
      <w:r w:rsidRPr="00A14DF9">
        <w:rPr>
          <w:rFonts w:ascii="Times New Roman" w:hAnsi="Times New Roman" w:cs="Times New Roman"/>
          <w:sz w:val="24"/>
          <w:szCs w:val="24"/>
        </w:rPr>
        <w:t>in s</w:t>
      </w:r>
      <w:r w:rsidR="002A13CF">
        <w:rPr>
          <w:rFonts w:ascii="Times New Roman" w:hAnsi="Times New Roman" w:cs="Times New Roman"/>
          <w:sz w:val="24"/>
          <w:szCs w:val="24"/>
        </w:rPr>
        <w:t>ection</w:t>
      </w:r>
      <w:r w:rsidRPr="00A14DF9">
        <w:rPr>
          <w:rFonts w:ascii="Times New Roman" w:hAnsi="Times New Roman" w:cs="Times New Roman"/>
          <w:sz w:val="24"/>
          <w:szCs w:val="24"/>
        </w:rPr>
        <w:t xml:space="preserve"> 16 </w:t>
      </w:r>
      <w:r w:rsidR="002A13CF">
        <w:rPr>
          <w:rFonts w:ascii="Times New Roman" w:hAnsi="Times New Roman" w:cs="Times New Roman"/>
          <w:sz w:val="24"/>
          <w:szCs w:val="24"/>
        </w:rPr>
        <w:t>– as the “</w:t>
      </w:r>
      <w:r w:rsidR="002A13CF" w:rsidRPr="002A13CF">
        <w:rPr>
          <w:rFonts w:ascii="Times New Roman" w:hAnsi="Times New Roman" w:cs="Times New Roman"/>
          <w:i/>
          <w:sz w:val="24"/>
          <w:szCs w:val="24"/>
        </w:rPr>
        <w:t>payment of damages</w:t>
      </w:r>
      <w:r w:rsidR="002A13CF">
        <w:rPr>
          <w:rFonts w:ascii="Times New Roman" w:hAnsi="Times New Roman" w:cs="Times New Roman"/>
          <w:sz w:val="24"/>
          <w:szCs w:val="24"/>
        </w:rPr>
        <w:t xml:space="preserve">” – would be </w:t>
      </w:r>
      <w:r w:rsidR="00477C44">
        <w:rPr>
          <w:rFonts w:ascii="Times New Roman" w:hAnsi="Times New Roman" w:cs="Times New Roman"/>
          <w:sz w:val="24"/>
          <w:szCs w:val="24"/>
        </w:rPr>
        <w:t xml:space="preserve">similarly </w:t>
      </w:r>
      <w:r w:rsidRPr="00A14DF9">
        <w:rPr>
          <w:rFonts w:ascii="Times New Roman" w:hAnsi="Times New Roman" w:cs="Times New Roman"/>
          <w:sz w:val="24"/>
          <w:szCs w:val="24"/>
        </w:rPr>
        <w:t>affected.   If a claim in debt is to be brought within these provisions this can only occur by redefining the term ‘</w:t>
      </w:r>
      <w:r w:rsidRPr="00A14DF9">
        <w:rPr>
          <w:rFonts w:ascii="Times New Roman" w:hAnsi="Times New Roman" w:cs="Times New Roman"/>
          <w:i/>
          <w:sz w:val="24"/>
          <w:szCs w:val="24"/>
        </w:rPr>
        <w:t>damages</w:t>
      </w:r>
      <w:r w:rsidR="00B67C7D">
        <w:rPr>
          <w:rFonts w:ascii="Times New Roman" w:hAnsi="Times New Roman" w:cs="Times New Roman"/>
          <w:i/>
          <w:sz w:val="24"/>
          <w:szCs w:val="24"/>
        </w:rPr>
        <w:t>’</w:t>
      </w:r>
      <w:r w:rsidRPr="00A14DF9">
        <w:rPr>
          <w:rFonts w:ascii="Times New Roman" w:hAnsi="Times New Roman" w:cs="Times New Roman"/>
          <w:i/>
          <w:sz w:val="24"/>
          <w:szCs w:val="24"/>
        </w:rPr>
        <w:t xml:space="preserve"> </w:t>
      </w:r>
      <w:r w:rsidRPr="00A14DF9">
        <w:rPr>
          <w:rFonts w:ascii="Times New Roman" w:hAnsi="Times New Roman" w:cs="Times New Roman"/>
          <w:sz w:val="24"/>
          <w:szCs w:val="24"/>
        </w:rPr>
        <w:t xml:space="preserve">as it appears in each of these provisions to mean something it has </w:t>
      </w:r>
      <w:r w:rsidRPr="00A14DF9">
        <w:rPr>
          <w:rFonts w:ascii="Times New Roman" w:hAnsi="Times New Roman" w:cs="Times New Roman"/>
          <w:i/>
          <w:sz w:val="24"/>
          <w:szCs w:val="24"/>
        </w:rPr>
        <w:t>never</w:t>
      </w:r>
      <w:r w:rsidRPr="00A14DF9">
        <w:rPr>
          <w:rFonts w:ascii="Times New Roman" w:hAnsi="Times New Roman" w:cs="Times New Roman"/>
          <w:sz w:val="24"/>
          <w:szCs w:val="24"/>
        </w:rPr>
        <w:t xml:space="preserve"> meant, and to equate it with ‘</w:t>
      </w:r>
      <w:r w:rsidRPr="00A14DF9">
        <w:rPr>
          <w:rFonts w:ascii="Times New Roman" w:hAnsi="Times New Roman" w:cs="Times New Roman"/>
          <w:i/>
          <w:sz w:val="24"/>
          <w:szCs w:val="24"/>
        </w:rPr>
        <w:t>damage</w:t>
      </w:r>
      <w:r w:rsidR="00B67C7D">
        <w:rPr>
          <w:rFonts w:ascii="Times New Roman" w:hAnsi="Times New Roman" w:cs="Times New Roman"/>
          <w:i/>
          <w:sz w:val="24"/>
          <w:szCs w:val="24"/>
        </w:rPr>
        <w:t>’</w:t>
      </w:r>
      <w:r w:rsidRPr="00A14DF9">
        <w:rPr>
          <w:rFonts w:ascii="Times New Roman" w:hAnsi="Times New Roman" w:cs="Times New Roman"/>
          <w:i/>
          <w:sz w:val="24"/>
          <w:szCs w:val="24"/>
        </w:rPr>
        <w:t xml:space="preserve"> </w:t>
      </w:r>
      <w:r w:rsidRPr="00A14DF9">
        <w:rPr>
          <w:rFonts w:ascii="Times New Roman" w:hAnsi="Times New Roman" w:cs="Times New Roman"/>
          <w:sz w:val="24"/>
          <w:szCs w:val="24"/>
        </w:rPr>
        <w:t xml:space="preserve">(which the draftsman plainly viewed as a different concept).    </w:t>
      </w:r>
    </w:p>
    <w:p w14:paraId="05A733D2" w14:textId="77777777" w:rsidR="00A14DF9" w:rsidRDefault="00A14DF9" w:rsidP="00A14DF9">
      <w:pPr>
        <w:pStyle w:val="ListParagraph"/>
        <w:spacing w:after="0" w:line="480" w:lineRule="auto"/>
        <w:ind w:left="1440"/>
        <w:jc w:val="both"/>
        <w:rPr>
          <w:rFonts w:ascii="Times New Roman" w:hAnsi="Times New Roman" w:cs="Times New Roman"/>
          <w:sz w:val="24"/>
          <w:szCs w:val="24"/>
        </w:rPr>
      </w:pPr>
    </w:p>
    <w:p w14:paraId="7A7BC199" w14:textId="4E2A8E6D" w:rsidR="00334533" w:rsidRPr="00A14DF9" w:rsidRDefault="00A14DF9" w:rsidP="002A6544">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argument advanced by these </w:t>
      </w:r>
      <w:r w:rsidR="002A13CF">
        <w:rPr>
          <w:rFonts w:ascii="Times New Roman" w:hAnsi="Times New Roman" w:cs="Times New Roman"/>
          <w:sz w:val="24"/>
          <w:szCs w:val="24"/>
        </w:rPr>
        <w:t>D</w:t>
      </w:r>
      <w:r>
        <w:rPr>
          <w:rFonts w:ascii="Times New Roman" w:hAnsi="Times New Roman" w:cs="Times New Roman"/>
          <w:sz w:val="24"/>
          <w:szCs w:val="24"/>
        </w:rPr>
        <w:t xml:space="preserve">efendants thus </w:t>
      </w:r>
      <w:r w:rsidRPr="00434D69">
        <w:rPr>
          <w:rFonts w:ascii="Times New Roman" w:hAnsi="Times New Roman" w:cs="Times New Roman"/>
          <w:sz w:val="24"/>
          <w:szCs w:val="24"/>
        </w:rPr>
        <w:t xml:space="preserve">assumes that the CLA </w:t>
      </w:r>
      <w:r>
        <w:rPr>
          <w:rFonts w:ascii="Times New Roman" w:hAnsi="Times New Roman" w:cs="Times New Roman"/>
          <w:sz w:val="24"/>
          <w:szCs w:val="24"/>
        </w:rPr>
        <w:t xml:space="preserve">effects </w:t>
      </w:r>
      <w:r w:rsidRPr="00434D69">
        <w:rPr>
          <w:rFonts w:ascii="Times New Roman" w:hAnsi="Times New Roman" w:cs="Times New Roman"/>
          <w:sz w:val="24"/>
          <w:szCs w:val="24"/>
        </w:rPr>
        <w:t>indirectly and through the use of language that is not apt so to do</w:t>
      </w:r>
      <w:r>
        <w:rPr>
          <w:rFonts w:ascii="Times New Roman" w:hAnsi="Times New Roman" w:cs="Times New Roman"/>
          <w:sz w:val="24"/>
          <w:szCs w:val="24"/>
        </w:rPr>
        <w:t xml:space="preserve"> </w:t>
      </w:r>
      <w:r w:rsidRPr="00434D69">
        <w:rPr>
          <w:rFonts w:ascii="Times New Roman" w:hAnsi="Times New Roman" w:cs="Times New Roman"/>
          <w:sz w:val="24"/>
          <w:szCs w:val="24"/>
        </w:rPr>
        <w:t xml:space="preserve">a radical change in an area of law – </w:t>
      </w:r>
      <w:r>
        <w:rPr>
          <w:rFonts w:ascii="Times New Roman" w:hAnsi="Times New Roman" w:cs="Times New Roman"/>
          <w:sz w:val="24"/>
          <w:szCs w:val="24"/>
        </w:rPr>
        <w:t xml:space="preserve">either the enforcement of primary contractual obligations generally or </w:t>
      </w:r>
      <w:r w:rsidRPr="00434D69">
        <w:rPr>
          <w:rFonts w:ascii="Times New Roman" w:hAnsi="Times New Roman" w:cs="Times New Roman"/>
          <w:sz w:val="24"/>
          <w:szCs w:val="24"/>
        </w:rPr>
        <w:t xml:space="preserve">that of recovering simple contract debts </w:t>
      </w:r>
      <w:r>
        <w:rPr>
          <w:rFonts w:ascii="Times New Roman" w:hAnsi="Times New Roman" w:cs="Times New Roman"/>
          <w:sz w:val="24"/>
          <w:szCs w:val="24"/>
        </w:rPr>
        <w:t>in particular</w:t>
      </w:r>
      <w:r w:rsidR="00084FB8">
        <w:rPr>
          <w:rFonts w:ascii="Times New Roman" w:hAnsi="Times New Roman" w:cs="Times New Roman"/>
          <w:sz w:val="24"/>
          <w:szCs w:val="24"/>
        </w:rPr>
        <w:t xml:space="preserve"> </w:t>
      </w:r>
      <w:r w:rsidRPr="00434D69">
        <w:rPr>
          <w:rFonts w:ascii="Times New Roman" w:hAnsi="Times New Roman" w:cs="Times New Roman"/>
          <w:sz w:val="24"/>
          <w:szCs w:val="24"/>
        </w:rPr>
        <w:t xml:space="preserve">– without clearly so stating.  </w:t>
      </w:r>
      <w:r w:rsidR="00334533" w:rsidRPr="00A14DF9">
        <w:rPr>
          <w:rFonts w:ascii="Times New Roman" w:hAnsi="Times New Roman" w:cs="Times New Roman"/>
          <w:sz w:val="24"/>
          <w:szCs w:val="24"/>
        </w:rPr>
        <w:t xml:space="preserve">There is nothing in the text or context of Part III </w:t>
      </w:r>
      <w:r w:rsidR="002A13CF">
        <w:rPr>
          <w:rFonts w:ascii="Times New Roman" w:hAnsi="Times New Roman" w:cs="Times New Roman"/>
          <w:sz w:val="24"/>
          <w:szCs w:val="24"/>
        </w:rPr>
        <w:t xml:space="preserve">CLA </w:t>
      </w:r>
      <w:r w:rsidR="00334533" w:rsidRPr="00A14DF9">
        <w:rPr>
          <w:rFonts w:ascii="Times New Roman" w:hAnsi="Times New Roman" w:cs="Times New Roman"/>
          <w:sz w:val="24"/>
          <w:szCs w:val="24"/>
        </w:rPr>
        <w:t>to suggest it was intended to capture claims for debt, and much to indicate that it was not.</w:t>
      </w:r>
    </w:p>
    <w:p w14:paraId="78BF0144" w14:textId="77777777" w:rsidR="00334533" w:rsidRPr="00BD301E" w:rsidRDefault="00334533" w:rsidP="002A6544">
      <w:pPr>
        <w:pStyle w:val="ListParagraph"/>
        <w:spacing w:line="480" w:lineRule="auto"/>
        <w:rPr>
          <w:rFonts w:ascii="Times New Roman" w:hAnsi="Times New Roman" w:cs="Times New Roman"/>
          <w:sz w:val="24"/>
          <w:szCs w:val="24"/>
        </w:rPr>
      </w:pPr>
    </w:p>
    <w:p w14:paraId="52A0831D" w14:textId="570B6196" w:rsidR="00334533" w:rsidRPr="00BD301E" w:rsidRDefault="00334533" w:rsidP="002A6544">
      <w:pPr>
        <w:pStyle w:val="ListParagraph"/>
        <w:numPr>
          <w:ilvl w:val="0"/>
          <w:numId w:val="11"/>
        </w:numPr>
        <w:spacing w:after="0" w:line="480" w:lineRule="auto"/>
        <w:jc w:val="both"/>
        <w:rPr>
          <w:rFonts w:ascii="Times New Roman" w:hAnsi="Times New Roman" w:cs="Times New Roman"/>
          <w:sz w:val="24"/>
          <w:szCs w:val="24"/>
        </w:rPr>
      </w:pPr>
      <w:r w:rsidRPr="00BD301E">
        <w:rPr>
          <w:rFonts w:ascii="Times New Roman" w:hAnsi="Times New Roman" w:cs="Times New Roman"/>
          <w:sz w:val="24"/>
          <w:szCs w:val="24"/>
        </w:rPr>
        <w:t xml:space="preserve">In any event, the loss arising from non-recovery of a debt and the loss arising from </w:t>
      </w:r>
      <w:r w:rsidR="002A13CF">
        <w:rPr>
          <w:rFonts w:ascii="Times New Roman" w:hAnsi="Times New Roman" w:cs="Times New Roman"/>
          <w:sz w:val="24"/>
          <w:szCs w:val="24"/>
        </w:rPr>
        <w:t xml:space="preserve">the alleged </w:t>
      </w:r>
      <w:r w:rsidRPr="00BD301E">
        <w:rPr>
          <w:rFonts w:ascii="Times New Roman" w:hAnsi="Times New Roman" w:cs="Times New Roman"/>
          <w:sz w:val="24"/>
          <w:szCs w:val="24"/>
        </w:rPr>
        <w:t xml:space="preserve">negligence </w:t>
      </w:r>
      <w:r w:rsidR="002A13CF">
        <w:rPr>
          <w:rFonts w:ascii="Times New Roman" w:hAnsi="Times New Roman" w:cs="Times New Roman"/>
          <w:sz w:val="24"/>
          <w:szCs w:val="24"/>
        </w:rPr>
        <w:t xml:space="preserve">of </w:t>
      </w:r>
      <w:r w:rsidRPr="00BD301E">
        <w:rPr>
          <w:rFonts w:ascii="Times New Roman" w:hAnsi="Times New Roman" w:cs="Times New Roman"/>
          <w:sz w:val="24"/>
          <w:szCs w:val="24"/>
        </w:rPr>
        <w:t xml:space="preserve"> a party </w:t>
      </w:r>
      <w:r w:rsidR="002A13CF">
        <w:rPr>
          <w:rFonts w:ascii="Times New Roman" w:hAnsi="Times New Roman" w:cs="Times New Roman"/>
          <w:sz w:val="24"/>
          <w:szCs w:val="24"/>
        </w:rPr>
        <w:t>said</w:t>
      </w:r>
      <w:r w:rsidR="002A13CF" w:rsidRPr="00BD301E">
        <w:rPr>
          <w:rFonts w:ascii="Times New Roman" w:hAnsi="Times New Roman" w:cs="Times New Roman"/>
          <w:sz w:val="24"/>
          <w:szCs w:val="24"/>
        </w:rPr>
        <w:t xml:space="preserve"> </w:t>
      </w:r>
      <w:r w:rsidRPr="00BD301E">
        <w:rPr>
          <w:rFonts w:ascii="Times New Roman" w:hAnsi="Times New Roman" w:cs="Times New Roman"/>
          <w:sz w:val="24"/>
          <w:szCs w:val="24"/>
        </w:rPr>
        <w:t>to have wrongfully enabled the debt to be incurred are entirely different</w:t>
      </w:r>
      <w:r w:rsidR="00477C44">
        <w:rPr>
          <w:rFonts w:ascii="Times New Roman" w:hAnsi="Times New Roman" w:cs="Times New Roman"/>
          <w:sz w:val="24"/>
          <w:szCs w:val="24"/>
        </w:rPr>
        <w:t xml:space="preserve"> and could by reason of that distinction never be categorised as the ‘</w:t>
      </w:r>
      <w:r w:rsidR="00477C44">
        <w:rPr>
          <w:rFonts w:ascii="Times New Roman" w:hAnsi="Times New Roman" w:cs="Times New Roman"/>
          <w:i/>
          <w:sz w:val="24"/>
          <w:szCs w:val="24"/>
        </w:rPr>
        <w:t>same damage</w:t>
      </w:r>
      <w:r w:rsidR="00B67C7D">
        <w:rPr>
          <w:rFonts w:ascii="Times New Roman" w:hAnsi="Times New Roman" w:cs="Times New Roman"/>
          <w:i/>
          <w:sz w:val="24"/>
          <w:szCs w:val="24"/>
        </w:rPr>
        <w:t>’</w:t>
      </w:r>
      <w:r w:rsidR="00477C44">
        <w:rPr>
          <w:rFonts w:ascii="Times New Roman" w:hAnsi="Times New Roman" w:cs="Times New Roman"/>
          <w:sz w:val="24"/>
          <w:szCs w:val="24"/>
        </w:rPr>
        <w:t xml:space="preserve"> for the purposes of the definition of concurrent wrongdoers.</w:t>
      </w:r>
      <w:r w:rsidR="00B320D1">
        <w:rPr>
          <w:rFonts w:ascii="Times New Roman" w:hAnsi="Times New Roman" w:cs="Times New Roman"/>
          <w:sz w:val="24"/>
          <w:szCs w:val="24"/>
        </w:rPr>
        <w:t xml:space="preserve">  The claim against CBRE depends upon the debt being </w:t>
      </w:r>
      <w:r w:rsidR="00B320D1">
        <w:rPr>
          <w:rFonts w:ascii="Times New Roman" w:hAnsi="Times New Roman" w:cs="Times New Roman"/>
          <w:sz w:val="24"/>
          <w:szCs w:val="24"/>
        </w:rPr>
        <w:lastRenderedPageBreak/>
        <w:t xml:space="preserve">irrecoverable from the </w:t>
      </w:r>
      <w:r w:rsidR="002A13CF">
        <w:rPr>
          <w:rFonts w:ascii="Times New Roman" w:hAnsi="Times New Roman" w:cs="Times New Roman"/>
          <w:sz w:val="24"/>
          <w:szCs w:val="24"/>
        </w:rPr>
        <w:t>D</w:t>
      </w:r>
      <w:r w:rsidR="00B320D1">
        <w:rPr>
          <w:rFonts w:ascii="Times New Roman" w:hAnsi="Times New Roman" w:cs="Times New Roman"/>
          <w:sz w:val="24"/>
          <w:szCs w:val="24"/>
        </w:rPr>
        <w:t xml:space="preserve">efendants. The claim against the </w:t>
      </w:r>
      <w:r w:rsidR="002A13CF">
        <w:rPr>
          <w:rFonts w:ascii="Times New Roman" w:hAnsi="Times New Roman" w:cs="Times New Roman"/>
          <w:sz w:val="24"/>
          <w:szCs w:val="24"/>
        </w:rPr>
        <w:t>D</w:t>
      </w:r>
      <w:r w:rsidR="00B320D1">
        <w:rPr>
          <w:rFonts w:ascii="Times New Roman" w:hAnsi="Times New Roman" w:cs="Times New Roman"/>
          <w:sz w:val="24"/>
          <w:szCs w:val="24"/>
        </w:rPr>
        <w:t>efendants is dependant solely upon the monies having been lent and not paid back.</w:t>
      </w:r>
    </w:p>
    <w:p w14:paraId="72D2E1A6" w14:textId="77777777" w:rsidR="00060F67" w:rsidRPr="00A14DF9" w:rsidRDefault="00A14DF9" w:rsidP="00A14DF9">
      <w:pPr>
        <w:pStyle w:val="ListParagraph"/>
        <w:spacing w:after="0" w:line="480" w:lineRule="auto"/>
        <w:ind w:left="1440"/>
        <w:jc w:val="both"/>
        <w:rPr>
          <w:rFonts w:ascii="Times New Roman" w:hAnsi="Times New Roman" w:cs="Times New Roman"/>
          <w:sz w:val="24"/>
          <w:szCs w:val="24"/>
        </w:rPr>
      </w:pPr>
      <w:r w:rsidRPr="00434D69">
        <w:rPr>
          <w:rFonts w:ascii="Times New Roman" w:hAnsi="Times New Roman" w:cs="Times New Roman"/>
          <w:sz w:val="24"/>
          <w:szCs w:val="24"/>
        </w:rPr>
        <w:t xml:space="preserve">  </w:t>
      </w:r>
      <w:r w:rsidR="00060F67" w:rsidRPr="00A14DF9">
        <w:rPr>
          <w:rFonts w:ascii="Times New Roman" w:hAnsi="Times New Roman" w:cs="Times New Roman"/>
          <w:sz w:val="24"/>
          <w:szCs w:val="24"/>
        </w:rPr>
        <w:t xml:space="preserve">  </w:t>
      </w:r>
    </w:p>
    <w:p w14:paraId="1F278FA6" w14:textId="19D34E67" w:rsidR="00060F67" w:rsidRPr="00434D69" w:rsidRDefault="00060F67" w:rsidP="003C6587">
      <w:pPr>
        <w:pStyle w:val="ListParagraph"/>
        <w:numPr>
          <w:ilvl w:val="0"/>
          <w:numId w:val="1"/>
        </w:numPr>
        <w:spacing w:after="0" w:line="480" w:lineRule="auto"/>
        <w:jc w:val="both"/>
        <w:rPr>
          <w:rFonts w:ascii="Times New Roman" w:hAnsi="Times New Roman" w:cs="Times New Roman"/>
          <w:sz w:val="24"/>
          <w:szCs w:val="24"/>
        </w:rPr>
      </w:pPr>
      <w:r w:rsidRPr="00434D69">
        <w:rPr>
          <w:rFonts w:ascii="Times New Roman" w:hAnsi="Times New Roman" w:cs="Times New Roman"/>
          <w:i/>
          <w:sz w:val="24"/>
          <w:szCs w:val="24"/>
        </w:rPr>
        <w:t>Platform Home</w:t>
      </w:r>
      <w:r w:rsidR="00893758" w:rsidRPr="00434D69">
        <w:rPr>
          <w:rFonts w:ascii="Times New Roman" w:hAnsi="Times New Roman" w:cs="Times New Roman"/>
          <w:i/>
          <w:sz w:val="24"/>
          <w:szCs w:val="24"/>
        </w:rPr>
        <w:t xml:space="preserve"> Loans</w:t>
      </w:r>
      <w:r w:rsidRPr="00434D69">
        <w:rPr>
          <w:rFonts w:ascii="Times New Roman" w:hAnsi="Times New Roman" w:cs="Times New Roman"/>
          <w:i/>
          <w:sz w:val="24"/>
          <w:szCs w:val="24"/>
        </w:rPr>
        <w:t xml:space="preserve"> </w:t>
      </w:r>
      <w:r w:rsidR="00C92D81">
        <w:rPr>
          <w:rFonts w:ascii="Times New Roman" w:hAnsi="Times New Roman" w:cs="Times New Roman"/>
          <w:sz w:val="24"/>
          <w:szCs w:val="24"/>
        </w:rPr>
        <w:t xml:space="preserve">to which the </w:t>
      </w:r>
      <w:r w:rsidR="002A13CF">
        <w:rPr>
          <w:rFonts w:ascii="Times New Roman" w:hAnsi="Times New Roman" w:cs="Times New Roman"/>
          <w:sz w:val="24"/>
          <w:szCs w:val="24"/>
        </w:rPr>
        <w:t>S</w:t>
      </w:r>
      <w:r w:rsidR="00C92D81">
        <w:rPr>
          <w:rFonts w:ascii="Times New Roman" w:hAnsi="Times New Roman" w:cs="Times New Roman"/>
          <w:sz w:val="24"/>
          <w:szCs w:val="24"/>
        </w:rPr>
        <w:t xml:space="preserve">econd and </w:t>
      </w:r>
      <w:r w:rsidR="002A13CF">
        <w:rPr>
          <w:rFonts w:ascii="Times New Roman" w:hAnsi="Times New Roman" w:cs="Times New Roman"/>
          <w:sz w:val="24"/>
          <w:szCs w:val="24"/>
        </w:rPr>
        <w:t>T</w:t>
      </w:r>
      <w:r w:rsidR="00C92D81">
        <w:rPr>
          <w:rFonts w:ascii="Times New Roman" w:hAnsi="Times New Roman" w:cs="Times New Roman"/>
          <w:sz w:val="24"/>
          <w:szCs w:val="24"/>
        </w:rPr>
        <w:t xml:space="preserve">hird </w:t>
      </w:r>
      <w:r w:rsidR="002A13CF">
        <w:rPr>
          <w:rFonts w:ascii="Times New Roman" w:hAnsi="Times New Roman" w:cs="Times New Roman"/>
          <w:sz w:val="24"/>
          <w:szCs w:val="24"/>
        </w:rPr>
        <w:t>D</w:t>
      </w:r>
      <w:r w:rsidR="00C92D81">
        <w:rPr>
          <w:rFonts w:ascii="Times New Roman" w:hAnsi="Times New Roman" w:cs="Times New Roman"/>
          <w:sz w:val="24"/>
          <w:szCs w:val="24"/>
        </w:rPr>
        <w:t xml:space="preserve">efendants refer </w:t>
      </w:r>
      <w:r w:rsidRPr="00434D69">
        <w:rPr>
          <w:rFonts w:ascii="Times New Roman" w:hAnsi="Times New Roman" w:cs="Times New Roman"/>
          <w:sz w:val="24"/>
          <w:szCs w:val="24"/>
        </w:rPr>
        <w:t xml:space="preserve">presented an issue as to how contributory negligence should be quantified under the relevant English statute. There, the claim was also by a lender against a valuer.  The principles governing the quantification of a claim of this kind had by the time of this case been settled by the decision of the House of Lords in </w:t>
      </w:r>
      <w:r w:rsidR="009D0591" w:rsidRPr="00472AC0">
        <w:rPr>
          <w:rFonts w:ascii="Times New Roman" w:hAnsi="Times New Roman" w:cs="Times New Roman"/>
          <w:i/>
          <w:sz w:val="24"/>
          <w:szCs w:val="24"/>
        </w:rPr>
        <w:t xml:space="preserve">South Australia </w:t>
      </w:r>
      <w:r w:rsidR="00472AC0" w:rsidRPr="00472AC0">
        <w:rPr>
          <w:rFonts w:ascii="Times New Roman" w:hAnsi="Times New Roman" w:cs="Times New Roman"/>
          <w:i/>
          <w:sz w:val="24"/>
          <w:szCs w:val="24"/>
        </w:rPr>
        <w:t>Asset Management Corp v York Montague Ltd</w:t>
      </w:r>
      <w:r w:rsidR="00472AC0">
        <w:rPr>
          <w:rFonts w:ascii="Times New Roman" w:hAnsi="Times New Roman" w:cs="Times New Roman"/>
          <w:sz w:val="24"/>
          <w:szCs w:val="24"/>
        </w:rPr>
        <w:t xml:space="preserve"> </w:t>
      </w:r>
      <w:r w:rsidRPr="00434D69">
        <w:rPr>
          <w:rFonts w:ascii="Times New Roman" w:hAnsi="Times New Roman" w:cs="Times New Roman"/>
          <w:sz w:val="24"/>
          <w:szCs w:val="24"/>
        </w:rPr>
        <w:t>[1997] AC 191</w:t>
      </w:r>
      <w:r w:rsidR="00472AC0">
        <w:rPr>
          <w:rFonts w:ascii="Times New Roman" w:hAnsi="Times New Roman" w:cs="Times New Roman"/>
          <w:sz w:val="24"/>
          <w:szCs w:val="24"/>
        </w:rPr>
        <w:t xml:space="preserve"> (“</w:t>
      </w:r>
      <w:r w:rsidR="00472AC0" w:rsidRPr="00472AC0">
        <w:rPr>
          <w:rFonts w:ascii="Times New Roman" w:hAnsi="Times New Roman" w:cs="Times New Roman"/>
          <w:i/>
          <w:sz w:val="24"/>
          <w:szCs w:val="24"/>
        </w:rPr>
        <w:t>SAAMCO</w:t>
      </w:r>
      <w:r w:rsidR="00472AC0">
        <w:rPr>
          <w:rFonts w:ascii="Times New Roman" w:hAnsi="Times New Roman" w:cs="Times New Roman"/>
          <w:sz w:val="24"/>
          <w:szCs w:val="24"/>
        </w:rPr>
        <w:t>”)</w:t>
      </w:r>
      <w:r w:rsidRPr="00434D69">
        <w:rPr>
          <w:rFonts w:ascii="Times New Roman" w:hAnsi="Times New Roman" w:cs="Times New Roman"/>
          <w:sz w:val="24"/>
          <w:szCs w:val="24"/>
        </w:rPr>
        <w:t xml:space="preserve">.  Essentially, </w:t>
      </w:r>
      <w:r w:rsidR="00605DBC" w:rsidRPr="00434D69">
        <w:rPr>
          <w:rFonts w:ascii="Times New Roman" w:hAnsi="Times New Roman" w:cs="Times New Roman"/>
          <w:sz w:val="24"/>
          <w:szCs w:val="24"/>
        </w:rPr>
        <w:t>that approach required the Court to first establish the basic loss of the lender</w:t>
      </w:r>
      <w:r w:rsidR="007E4F8C" w:rsidRPr="00434D69">
        <w:rPr>
          <w:rFonts w:ascii="Times New Roman" w:hAnsi="Times New Roman" w:cs="Times New Roman"/>
          <w:sz w:val="24"/>
          <w:szCs w:val="24"/>
        </w:rPr>
        <w:t xml:space="preserve"> which is determined by reference to its position had it not entered into the transaction in question and its position after the transaction (</w:t>
      </w:r>
      <w:r w:rsidR="00472AC0">
        <w:rPr>
          <w:rFonts w:ascii="Times New Roman" w:hAnsi="Times New Roman" w:cs="Times New Roman"/>
          <w:sz w:val="24"/>
          <w:szCs w:val="24"/>
        </w:rPr>
        <w:t>normally</w:t>
      </w:r>
      <w:r w:rsidR="00472AC0" w:rsidRPr="00434D69">
        <w:rPr>
          <w:rFonts w:ascii="Times New Roman" w:hAnsi="Times New Roman" w:cs="Times New Roman"/>
          <w:sz w:val="24"/>
          <w:szCs w:val="24"/>
        </w:rPr>
        <w:t xml:space="preserve"> </w:t>
      </w:r>
      <w:r w:rsidR="007E4F8C" w:rsidRPr="00434D69">
        <w:rPr>
          <w:rFonts w:ascii="Times New Roman" w:hAnsi="Times New Roman" w:cs="Times New Roman"/>
          <w:sz w:val="24"/>
          <w:szCs w:val="24"/>
        </w:rPr>
        <w:t xml:space="preserve">the amount lent less the amount repaid and realisable value of any security).  From there, and second, the </w:t>
      </w:r>
      <w:r w:rsidR="001F6954">
        <w:rPr>
          <w:rFonts w:ascii="Times New Roman" w:hAnsi="Times New Roman" w:cs="Times New Roman"/>
          <w:sz w:val="24"/>
          <w:szCs w:val="24"/>
        </w:rPr>
        <w:t>C</w:t>
      </w:r>
      <w:r w:rsidR="007E4F8C" w:rsidRPr="00434D69">
        <w:rPr>
          <w:rFonts w:ascii="Times New Roman" w:hAnsi="Times New Roman" w:cs="Times New Roman"/>
          <w:sz w:val="24"/>
          <w:szCs w:val="24"/>
        </w:rPr>
        <w:t xml:space="preserve">ourt ascertains if that basic loss exceeds the amount of the overvaluation (that is the difference between what the valuation was, and what it ought to have been).  If the basic loss does not exceed that difference, there is no recovery.  If it does, the recovery is limited to the extent of the overvaluation. </w:t>
      </w:r>
      <w:r w:rsidR="00467F53">
        <w:rPr>
          <w:rFonts w:ascii="Times New Roman" w:hAnsi="Times New Roman" w:cs="Times New Roman"/>
          <w:sz w:val="24"/>
          <w:szCs w:val="24"/>
        </w:rPr>
        <w:t>Where a valuer is negligent “</w:t>
      </w:r>
      <w:r w:rsidR="00467F53" w:rsidRPr="00467F53">
        <w:rPr>
          <w:rFonts w:ascii="Times New Roman" w:hAnsi="Times New Roman" w:cs="Times New Roman"/>
          <w:i/>
          <w:sz w:val="24"/>
          <w:szCs w:val="24"/>
        </w:rPr>
        <w:t>the loss for which he is responsible is that which has been caused by the valuation being wrong</w:t>
      </w:r>
      <w:r w:rsidR="00467F53">
        <w:rPr>
          <w:rFonts w:ascii="Times New Roman" w:hAnsi="Times New Roman" w:cs="Times New Roman"/>
          <w:sz w:val="24"/>
          <w:szCs w:val="24"/>
        </w:rPr>
        <w:t xml:space="preserve">” (per Lord Hoffmann in </w:t>
      </w:r>
      <w:r w:rsidR="00467F53" w:rsidRPr="00467F53">
        <w:rPr>
          <w:rFonts w:ascii="Times New Roman" w:hAnsi="Times New Roman" w:cs="Times New Roman"/>
          <w:i/>
          <w:sz w:val="24"/>
          <w:szCs w:val="24"/>
        </w:rPr>
        <w:t>SAAMCO</w:t>
      </w:r>
      <w:r w:rsidR="00467F53">
        <w:rPr>
          <w:rFonts w:ascii="Times New Roman" w:hAnsi="Times New Roman" w:cs="Times New Roman"/>
          <w:sz w:val="24"/>
          <w:szCs w:val="24"/>
        </w:rPr>
        <w:t xml:space="preserve">, at 221G). </w:t>
      </w:r>
      <w:r w:rsidR="007E4F8C" w:rsidRPr="00434D69">
        <w:rPr>
          <w:rFonts w:ascii="Times New Roman" w:hAnsi="Times New Roman" w:cs="Times New Roman"/>
          <w:sz w:val="24"/>
          <w:szCs w:val="24"/>
        </w:rPr>
        <w:t xml:space="preserve"> In </w:t>
      </w:r>
      <w:r w:rsidR="007E4F8C" w:rsidRPr="00434D69">
        <w:rPr>
          <w:rFonts w:ascii="Times New Roman" w:hAnsi="Times New Roman" w:cs="Times New Roman"/>
          <w:i/>
          <w:sz w:val="24"/>
          <w:szCs w:val="24"/>
        </w:rPr>
        <w:t>Platform Homes</w:t>
      </w:r>
      <w:r w:rsidR="007E4F8C" w:rsidRPr="00434D69">
        <w:rPr>
          <w:rFonts w:ascii="Times New Roman" w:hAnsi="Times New Roman" w:cs="Times New Roman"/>
          <w:sz w:val="24"/>
          <w:szCs w:val="24"/>
        </w:rPr>
        <w:t xml:space="preserve">, the question was whether the reduction to the plaintiff’s damages as a result of its contributory negligence should have been applied to the plaintiff’s basic loss or to their loss at the second stage.  The Court of Appeal decided that the deduction should be made at the point of calculation of the plaintiff’s basic loss, and the House of Lords (Lord Cooke dissenting) found it should be done at the </w:t>
      </w:r>
      <w:r w:rsidR="004B772A" w:rsidRPr="00434D69">
        <w:rPr>
          <w:rFonts w:ascii="Times New Roman" w:hAnsi="Times New Roman" w:cs="Times New Roman"/>
          <w:sz w:val="24"/>
          <w:szCs w:val="24"/>
        </w:rPr>
        <w:t xml:space="preserve">second stage.  </w:t>
      </w:r>
    </w:p>
    <w:p w14:paraId="4BBE8DF9" w14:textId="77777777" w:rsidR="004B772A" w:rsidRPr="00434D69" w:rsidRDefault="004B772A" w:rsidP="00434D69">
      <w:pPr>
        <w:pStyle w:val="ListParagraph"/>
        <w:spacing w:after="0" w:line="480" w:lineRule="auto"/>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1E3EA421" w14:textId="6AAB8F88" w:rsidR="00467F53" w:rsidRDefault="004B772A" w:rsidP="002A6544">
      <w:pPr>
        <w:pStyle w:val="ListParagraph"/>
        <w:numPr>
          <w:ilvl w:val="0"/>
          <w:numId w:val="1"/>
        </w:numPr>
        <w:spacing w:after="0" w:line="480" w:lineRule="auto"/>
        <w:ind w:hanging="436"/>
        <w:jc w:val="both"/>
        <w:rPr>
          <w:rFonts w:ascii="Times New Roman" w:hAnsi="Times New Roman" w:cs="Times New Roman"/>
          <w:sz w:val="24"/>
          <w:szCs w:val="24"/>
        </w:rPr>
      </w:pPr>
      <w:r w:rsidRPr="00434D69">
        <w:rPr>
          <w:rFonts w:ascii="Times New Roman" w:hAnsi="Times New Roman" w:cs="Times New Roman"/>
          <w:sz w:val="24"/>
          <w:szCs w:val="24"/>
        </w:rPr>
        <w:lastRenderedPageBreak/>
        <w:t xml:space="preserve">None of this affects the basic principle </w:t>
      </w:r>
      <w:r w:rsidR="00467F53">
        <w:rPr>
          <w:rFonts w:ascii="Times New Roman" w:hAnsi="Times New Roman" w:cs="Times New Roman"/>
          <w:sz w:val="24"/>
          <w:szCs w:val="24"/>
        </w:rPr>
        <w:t xml:space="preserve">we </w:t>
      </w:r>
      <w:r w:rsidRPr="00434D69">
        <w:rPr>
          <w:rFonts w:ascii="Times New Roman" w:hAnsi="Times New Roman" w:cs="Times New Roman"/>
          <w:sz w:val="24"/>
          <w:szCs w:val="24"/>
        </w:rPr>
        <w:t xml:space="preserve">suggest, which is that in a claim to recover a debt neither a claim of contributory negligence nor a claim of contribution is possible.  </w:t>
      </w:r>
      <w:r w:rsidR="006E6BB8">
        <w:rPr>
          <w:rFonts w:ascii="Times New Roman" w:hAnsi="Times New Roman" w:cs="Times New Roman"/>
          <w:sz w:val="24"/>
          <w:szCs w:val="24"/>
        </w:rPr>
        <w:t xml:space="preserve">Nor is this changed by the </w:t>
      </w:r>
      <w:r w:rsidR="00DB5353">
        <w:rPr>
          <w:rFonts w:ascii="Times New Roman" w:hAnsi="Times New Roman" w:cs="Times New Roman"/>
          <w:sz w:val="24"/>
          <w:szCs w:val="24"/>
        </w:rPr>
        <w:t xml:space="preserve">security interests to which the </w:t>
      </w:r>
      <w:r w:rsidR="00467F53">
        <w:rPr>
          <w:rFonts w:ascii="Times New Roman" w:hAnsi="Times New Roman" w:cs="Times New Roman"/>
          <w:sz w:val="24"/>
          <w:szCs w:val="24"/>
        </w:rPr>
        <w:t>D</w:t>
      </w:r>
      <w:r w:rsidR="00DB5353">
        <w:rPr>
          <w:rFonts w:ascii="Times New Roman" w:hAnsi="Times New Roman" w:cs="Times New Roman"/>
          <w:sz w:val="24"/>
          <w:szCs w:val="24"/>
        </w:rPr>
        <w:t>efendants refer : if they wished to bring their own proceedings against CBRE it was a matter for them (and, it should be stressed</w:t>
      </w:r>
      <w:r w:rsidR="00FA5622">
        <w:rPr>
          <w:rFonts w:ascii="Times New Roman" w:hAnsi="Times New Roman" w:cs="Times New Roman"/>
          <w:sz w:val="24"/>
          <w:szCs w:val="24"/>
        </w:rPr>
        <w:t>,</w:t>
      </w:r>
      <w:r w:rsidR="00DB5353">
        <w:rPr>
          <w:rFonts w:ascii="Times New Roman" w:hAnsi="Times New Roman" w:cs="Times New Roman"/>
          <w:sz w:val="24"/>
          <w:szCs w:val="24"/>
        </w:rPr>
        <w:t xml:space="preserve"> not the Receivers</w:t>
      </w:r>
      <w:r w:rsidR="00FA5622">
        <w:rPr>
          <w:rFonts w:ascii="Times New Roman" w:hAnsi="Times New Roman" w:cs="Times New Roman"/>
          <w:sz w:val="24"/>
          <w:szCs w:val="24"/>
        </w:rPr>
        <w:t>)</w:t>
      </w:r>
      <w:r w:rsidR="00DB5353">
        <w:rPr>
          <w:rFonts w:ascii="Times New Roman" w:hAnsi="Times New Roman" w:cs="Times New Roman"/>
          <w:sz w:val="24"/>
          <w:szCs w:val="24"/>
        </w:rPr>
        <w:t xml:space="preserve"> to do so.  </w:t>
      </w:r>
      <w:r w:rsidR="009A0E41">
        <w:rPr>
          <w:rFonts w:ascii="Times New Roman" w:hAnsi="Times New Roman" w:cs="Times New Roman"/>
          <w:sz w:val="24"/>
          <w:szCs w:val="24"/>
        </w:rPr>
        <w:t>Indeed,</w:t>
      </w:r>
      <w:r w:rsidR="00F5302C">
        <w:rPr>
          <w:rFonts w:ascii="Times New Roman" w:hAnsi="Times New Roman" w:cs="Times New Roman"/>
          <w:sz w:val="24"/>
          <w:szCs w:val="24"/>
        </w:rPr>
        <w:t xml:space="preserve"> if anything the decision in </w:t>
      </w:r>
      <w:r w:rsidR="00F5302C">
        <w:rPr>
          <w:rFonts w:ascii="Times New Roman" w:hAnsi="Times New Roman" w:cs="Times New Roman"/>
          <w:i/>
          <w:sz w:val="24"/>
          <w:szCs w:val="24"/>
        </w:rPr>
        <w:t xml:space="preserve">Platform Home Loans </w:t>
      </w:r>
      <w:r w:rsidR="00F5302C">
        <w:rPr>
          <w:rFonts w:ascii="Times New Roman" w:hAnsi="Times New Roman" w:cs="Times New Roman"/>
          <w:sz w:val="24"/>
          <w:szCs w:val="24"/>
        </w:rPr>
        <w:t xml:space="preserve">shows that far from being concurrent wrongdoers the action against the valuer only sounds in damages to the extent that there has been a failure of recovery against the creditor.  </w:t>
      </w:r>
      <w:r w:rsidR="00861E8F">
        <w:rPr>
          <w:rFonts w:ascii="Times New Roman" w:hAnsi="Times New Roman" w:cs="Times New Roman"/>
          <w:sz w:val="24"/>
          <w:szCs w:val="24"/>
        </w:rPr>
        <w:t>In other words</w:t>
      </w:r>
      <w:r w:rsidR="009A0E41">
        <w:rPr>
          <w:rFonts w:ascii="Times New Roman" w:hAnsi="Times New Roman" w:cs="Times New Roman"/>
          <w:sz w:val="24"/>
          <w:szCs w:val="24"/>
        </w:rPr>
        <w:t>,</w:t>
      </w:r>
      <w:r w:rsidR="00861E8F">
        <w:rPr>
          <w:rFonts w:ascii="Times New Roman" w:hAnsi="Times New Roman" w:cs="Times New Roman"/>
          <w:sz w:val="24"/>
          <w:szCs w:val="24"/>
        </w:rPr>
        <w:t xml:space="preserve"> </w:t>
      </w:r>
      <w:r w:rsidR="006737B2">
        <w:rPr>
          <w:rFonts w:ascii="Times New Roman" w:hAnsi="Times New Roman" w:cs="Times New Roman"/>
          <w:sz w:val="24"/>
          <w:szCs w:val="24"/>
        </w:rPr>
        <w:t>t</w:t>
      </w:r>
      <w:r w:rsidR="00861E8F">
        <w:rPr>
          <w:rFonts w:ascii="Times New Roman" w:hAnsi="Times New Roman" w:cs="Times New Roman"/>
          <w:sz w:val="24"/>
          <w:szCs w:val="24"/>
        </w:rPr>
        <w:t>he test assumes that the lender is free to recover from the borrower, the claim against the negligent valuer being triggered only – and only to the extent – of a failure of recovery from the person to whom the monies were advanced</w:t>
      </w:r>
      <w:r w:rsidR="006737B2">
        <w:rPr>
          <w:rFonts w:ascii="Times New Roman" w:hAnsi="Times New Roman" w:cs="Times New Roman"/>
          <w:sz w:val="24"/>
          <w:szCs w:val="24"/>
        </w:rPr>
        <w:t>.</w:t>
      </w:r>
      <w:r w:rsidR="00861E8F">
        <w:rPr>
          <w:rFonts w:ascii="Times New Roman" w:hAnsi="Times New Roman" w:cs="Times New Roman"/>
          <w:sz w:val="24"/>
          <w:szCs w:val="24"/>
        </w:rPr>
        <w:t xml:space="preserve"> </w:t>
      </w:r>
      <w:r w:rsidRPr="00434D69">
        <w:rPr>
          <w:rFonts w:ascii="Times New Roman" w:hAnsi="Times New Roman" w:cs="Times New Roman"/>
          <w:sz w:val="24"/>
          <w:szCs w:val="24"/>
        </w:rPr>
        <w:t xml:space="preserve">The defendants </w:t>
      </w:r>
      <w:r w:rsidR="00B320D1">
        <w:rPr>
          <w:rFonts w:ascii="Times New Roman" w:hAnsi="Times New Roman" w:cs="Times New Roman"/>
          <w:sz w:val="24"/>
          <w:szCs w:val="24"/>
        </w:rPr>
        <w:t xml:space="preserve">appear </w:t>
      </w:r>
      <w:r w:rsidR="00F5302C">
        <w:rPr>
          <w:rFonts w:ascii="Times New Roman" w:hAnsi="Times New Roman" w:cs="Times New Roman"/>
          <w:sz w:val="24"/>
          <w:szCs w:val="24"/>
        </w:rPr>
        <w:t xml:space="preserve">to rely upon this authority </w:t>
      </w:r>
      <w:r w:rsidRPr="00434D69">
        <w:rPr>
          <w:rFonts w:ascii="Times New Roman" w:hAnsi="Times New Roman" w:cs="Times New Roman"/>
          <w:sz w:val="24"/>
          <w:szCs w:val="24"/>
        </w:rPr>
        <w:t xml:space="preserve">with a view to contending that if they can make such a case the effect in this action is to negate the plaintiff’s claim to recover its debt in its entirety.  </w:t>
      </w:r>
      <w:r w:rsidR="00861E8F">
        <w:rPr>
          <w:rFonts w:ascii="Times New Roman" w:hAnsi="Times New Roman" w:cs="Times New Roman"/>
          <w:sz w:val="24"/>
          <w:szCs w:val="24"/>
        </w:rPr>
        <w:t>In fact</w:t>
      </w:r>
      <w:r w:rsidR="009A0E41">
        <w:rPr>
          <w:rFonts w:ascii="Times New Roman" w:hAnsi="Times New Roman" w:cs="Times New Roman"/>
          <w:sz w:val="24"/>
          <w:szCs w:val="24"/>
        </w:rPr>
        <w:t>,</w:t>
      </w:r>
      <w:r w:rsidR="00861E8F">
        <w:rPr>
          <w:rFonts w:ascii="Times New Roman" w:hAnsi="Times New Roman" w:cs="Times New Roman"/>
          <w:sz w:val="24"/>
          <w:szCs w:val="24"/>
        </w:rPr>
        <w:t xml:space="preserve"> it says the opposite. </w:t>
      </w:r>
      <w:r w:rsidRPr="00434D69">
        <w:rPr>
          <w:rFonts w:ascii="Times New Roman" w:hAnsi="Times New Roman" w:cs="Times New Roman"/>
          <w:sz w:val="24"/>
          <w:szCs w:val="24"/>
        </w:rPr>
        <w:t xml:space="preserve"> </w:t>
      </w:r>
    </w:p>
    <w:p w14:paraId="77671758" w14:textId="77777777" w:rsidR="00467F53" w:rsidRDefault="00467F53" w:rsidP="002A6544">
      <w:pPr>
        <w:pStyle w:val="ListParagraph"/>
        <w:spacing w:after="0" w:line="480" w:lineRule="auto"/>
        <w:ind w:hanging="436"/>
        <w:jc w:val="both"/>
        <w:rPr>
          <w:rFonts w:ascii="Times New Roman" w:hAnsi="Times New Roman" w:cs="Times New Roman"/>
          <w:sz w:val="24"/>
          <w:szCs w:val="24"/>
        </w:rPr>
      </w:pPr>
    </w:p>
    <w:p w14:paraId="1D427C46" w14:textId="212F5FB6" w:rsidR="00467F53" w:rsidRDefault="00467F53" w:rsidP="002A6544">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As is explained below, some aspects of SAAMCO have recently been revisited by the UK Supreme Court in </w:t>
      </w:r>
      <w:r w:rsidRPr="00467F53">
        <w:rPr>
          <w:rFonts w:ascii="Times New Roman" w:hAnsi="Times New Roman" w:cs="Times New Roman"/>
          <w:i/>
          <w:sz w:val="24"/>
          <w:szCs w:val="24"/>
        </w:rPr>
        <w:t>Manchester Building Society v Grant Thornton UK LLP</w:t>
      </w:r>
      <w:r>
        <w:rPr>
          <w:rFonts w:ascii="Times New Roman" w:hAnsi="Times New Roman" w:cs="Times New Roman"/>
          <w:sz w:val="24"/>
          <w:szCs w:val="24"/>
        </w:rPr>
        <w:t xml:space="preserve"> [2021] UKSC 20, [2021] 4 All ER 1</w:t>
      </w:r>
      <w:r w:rsidR="001F33D2">
        <w:rPr>
          <w:rFonts w:ascii="Times New Roman" w:hAnsi="Times New Roman" w:cs="Times New Roman"/>
          <w:sz w:val="24"/>
          <w:szCs w:val="24"/>
        </w:rPr>
        <w:t>. However, valuer cases continue to be approached generally on the basis that the scope of the valuer’s duty is limited by reference to the consequences of the valuation provided being incorrect, with recoverable damages being limited to the loss flowing from that fact.</w:t>
      </w:r>
    </w:p>
    <w:p w14:paraId="3177807E" w14:textId="77777777" w:rsidR="001F33D2" w:rsidRDefault="001F33D2" w:rsidP="002A6544">
      <w:pPr>
        <w:pStyle w:val="ListParagraph"/>
        <w:spacing w:after="0" w:line="480" w:lineRule="auto"/>
        <w:ind w:hanging="436"/>
        <w:jc w:val="both"/>
        <w:rPr>
          <w:rFonts w:ascii="Times New Roman" w:hAnsi="Times New Roman" w:cs="Times New Roman"/>
          <w:sz w:val="24"/>
          <w:szCs w:val="24"/>
        </w:rPr>
      </w:pPr>
    </w:p>
    <w:p w14:paraId="74011611" w14:textId="52AE3EA7" w:rsidR="001F33D2" w:rsidRDefault="001F33D2" w:rsidP="002A6544">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That was also the approach taken by Clarke J in the High Court in </w:t>
      </w:r>
      <w:r w:rsidRPr="001F33D2">
        <w:rPr>
          <w:rFonts w:ascii="Times New Roman" w:hAnsi="Times New Roman" w:cs="Times New Roman"/>
          <w:i/>
          <w:sz w:val="24"/>
          <w:szCs w:val="24"/>
        </w:rPr>
        <w:t>ACC Bank plc v Johnston</w:t>
      </w:r>
      <w:r>
        <w:rPr>
          <w:rFonts w:ascii="Times New Roman" w:hAnsi="Times New Roman" w:cs="Times New Roman"/>
          <w:sz w:val="24"/>
          <w:szCs w:val="24"/>
        </w:rPr>
        <w:t xml:space="preserve">, an action brought by ACC against a solicitor who had been retained by it in a lending transaction in which he had accepted undertakings to provide security which </w:t>
      </w:r>
      <w:r>
        <w:rPr>
          <w:rFonts w:ascii="Times New Roman" w:hAnsi="Times New Roman" w:cs="Times New Roman"/>
          <w:sz w:val="24"/>
          <w:szCs w:val="24"/>
        </w:rPr>
        <w:lastRenderedPageBreak/>
        <w:t>were not performed, leaving ACC without the agreed security. ACC advanced its claim on the basis that</w:t>
      </w:r>
      <w:r w:rsidR="00ED3549">
        <w:rPr>
          <w:rFonts w:ascii="Times New Roman" w:hAnsi="Times New Roman" w:cs="Times New Roman"/>
          <w:sz w:val="24"/>
          <w:szCs w:val="24"/>
        </w:rPr>
        <w:t>, if it had been aware of the fact that the agreed security was not available, it would not have advanced the loans i.e. as a “</w:t>
      </w:r>
      <w:r w:rsidR="00ED3549" w:rsidRPr="00ED3549">
        <w:rPr>
          <w:rFonts w:ascii="Times New Roman" w:hAnsi="Times New Roman" w:cs="Times New Roman"/>
          <w:i/>
          <w:sz w:val="24"/>
          <w:szCs w:val="24"/>
        </w:rPr>
        <w:t>no-transaction case</w:t>
      </w:r>
      <w:r w:rsidR="00ED3549" w:rsidRPr="00ED3549">
        <w:rPr>
          <w:rFonts w:ascii="Times New Roman" w:hAnsi="Times New Roman" w:cs="Times New Roman"/>
          <w:sz w:val="24"/>
          <w:szCs w:val="24"/>
        </w:rPr>
        <w:t xml:space="preserve">”. </w:t>
      </w:r>
      <w:r w:rsidR="00ED3549">
        <w:rPr>
          <w:rFonts w:ascii="Times New Roman" w:hAnsi="Times New Roman" w:cs="Times New Roman"/>
          <w:sz w:val="24"/>
          <w:szCs w:val="24"/>
        </w:rPr>
        <w:t xml:space="preserve"> The High Court accepted that, if the solicitor had not been negligent, ACC would not have allowed the loans to be drawn down: [2010] IEHC 236, [2010] 4 IR 605. However, it did not follow that ACC was entitled to recover all of its losses on the lending from the solicitor. In a further judgment ([2011] IEHC 376), Clarke J analysed </w:t>
      </w:r>
      <w:r w:rsidR="00ED3549" w:rsidRPr="00ED3549">
        <w:rPr>
          <w:rFonts w:ascii="Times New Roman" w:hAnsi="Times New Roman" w:cs="Times New Roman"/>
          <w:i/>
          <w:sz w:val="24"/>
          <w:szCs w:val="24"/>
        </w:rPr>
        <w:t>SAAMCO</w:t>
      </w:r>
      <w:r w:rsidR="00ED3549">
        <w:rPr>
          <w:rFonts w:ascii="Times New Roman" w:hAnsi="Times New Roman" w:cs="Times New Roman"/>
          <w:sz w:val="24"/>
          <w:szCs w:val="24"/>
        </w:rPr>
        <w:t>, from which it was clear that the considerations identified by Lord Hoffman “</w:t>
      </w:r>
      <w:r w:rsidR="00ED3549" w:rsidRPr="00ED3549">
        <w:rPr>
          <w:rFonts w:ascii="Times New Roman" w:hAnsi="Times New Roman" w:cs="Times New Roman"/>
          <w:i/>
          <w:sz w:val="24"/>
          <w:szCs w:val="24"/>
        </w:rPr>
        <w:t xml:space="preserve">may operate to reduce damages (to those which can properly be said to flow from the negligence) below the actual loss on the transaction concerned even though the transaction might not have gone ahead in the absence of the relevant negligence”  </w:t>
      </w:r>
      <w:r w:rsidR="00ED3549">
        <w:rPr>
          <w:rFonts w:ascii="Times New Roman" w:hAnsi="Times New Roman" w:cs="Times New Roman"/>
          <w:sz w:val="24"/>
          <w:szCs w:val="24"/>
        </w:rPr>
        <w:t xml:space="preserve">(para 7.14). </w:t>
      </w:r>
      <w:r w:rsidR="00AC3DCA">
        <w:rPr>
          <w:rFonts w:ascii="Times New Roman" w:hAnsi="Times New Roman" w:cs="Times New Roman"/>
          <w:sz w:val="24"/>
          <w:szCs w:val="24"/>
        </w:rPr>
        <w:t>Any recovery by ACC above the value of the security which should have been but was not obtained would have involved a “</w:t>
      </w:r>
      <w:r w:rsidR="00AC3DCA" w:rsidRPr="00AC3DCA">
        <w:rPr>
          <w:rFonts w:ascii="Times New Roman" w:hAnsi="Times New Roman" w:cs="Times New Roman"/>
          <w:i/>
          <w:sz w:val="24"/>
          <w:szCs w:val="24"/>
        </w:rPr>
        <w:t>windfall gain”</w:t>
      </w:r>
      <w:r w:rsidR="00AC3DCA">
        <w:rPr>
          <w:rFonts w:ascii="Times New Roman" w:hAnsi="Times New Roman" w:cs="Times New Roman"/>
          <w:sz w:val="24"/>
          <w:szCs w:val="24"/>
        </w:rPr>
        <w:t xml:space="preserve"> (para 7.22). The damages ultimately awarded against the solicitor represented only a fraction of ACC’s actual loss on the lending.</w:t>
      </w:r>
    </w:p>
    <w:p w14:paraId="066AC7F3" w14:textId="77777777" w:rsidR="00AC3DCA" w:rsidRDefault="00AC3DCA" w:rsidP="002A6544">
      <w:pPr>
        <w:pStyle w:val="ListParagraph"/>
        <w:spacing w:after="0" w:line="480" w:lineRule="auto"/>
        <w:ind w:hanging="436"/>
        <w:jc w:val="both"/>
        <w:rPr>
          <w:rFonts w:ascii="Times New Roman" w:hAnsi="Times New Roman" w:cs="Times New Roman"/>
          <w:sz w:val="24"/>
          <w:szCs w:val="24"/>
        </w:rPr>
      </w:pPr>
    </w:p>
    <w:p w14:paraId="5047404F" w14:textId="091E0F6B" w:rsidR="00840CEC" w:rsidRDefault="00AC3DCA" w:rsidP="002A6544">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In some circumstances, of course, the limitations on recoverable damages arising from </w:t>
      </w:r>
      <w:r w:rsidRPr="00AC3DCA">
        <w:rPr>
          <w:rFonts w:ascii="Times New Roman" w:hAnsi="Times New Roman" w:cs="Times New Roman"/>
          <w:i/>
          <w:sz w:val="24"/>
          <w:szCs w:val="24"/>
        </w:rPr>
        <w:t>SAAMCO</w:t>
      </w:r>
      <w:r>
        <w:rPr>
          <w:rFonts w:ascii="Times New Roman" w:hAnsi="Times New Roman" w:cs="Times New Roman"/>
          <w:sz w:val="24"/>
          <w:szCs w:val="24"/>
        </w:rPr>
        <w:t xml:space="preserve"> may have no operative effect. </w:t>
      </w:r>
      <w:r w:rsidRPr="00840CEC">
        <w:rPr>
          <w:rFonts w:ascii="Times New Roman" w:hAnsi="Times New Roman" w:cs="Times New Roman"/>
          <w:i/>
          <w:sz w:val="24"/>
          <w:szCs w:val="24"/>
        </w:rPr>
        <w:t>Prima facie</w:t>
      </w:r>
      <w:r>
        <w:rPr>
          <w:rFonts w:ascii="Times New Roman" w:hAnsi="Times New Roman" w:cs="Times New Roman"/>
          <w:sz w:val="24"/>
          <w:szCs w:val="24"/>
        </w:rPr>
        <w:t>, that would have been the position here in respect of the Bank’s c</w:t>
      </w:r>
      <w:r w:rsidR="00840CEC">
        <w:rPr>
          <w:rFonts w:ascii="Times New Roman" w:hAnsi="Times New Roman" w:cs="Times New Roman"/>
          <w:sz w:val="24"/>
          <w:szCs w:val="24"/>
        </w:rPr>
        <w:t>l</w:t>
      </w:r>
      <w:r>
        <w:rPr>
          <w:rFonts w:ascii="Times New Roman" w:hAnsi="Times New Roman" w:cs="Times New Roman"/>
          <w:sz w:val="24"/>
          <w:szCs w:val="24"/>
        </w:rPr>
        <w:t xml:space="preserve">aim against CBRE. As already noted, CBRE had valued the Kilpeddar Lands at €56 million as of July 2007. </w:t>
      </w:r>
      <w:r w:rsidR="00840CEC">
        <w:rPr>
          <w:rFonts w:ascii="Times New Roman" w:hAnsi="Times New Roman" w:cs="Times New Roman"/>
          <w:sz w:val="24"/>
          <w:szCs w:val="24"/>
        </w:rPr>
        <w:t>On the Bank’s case, the real value of the Lands at that time was €29,2000,000.</w:t>
      </w:r>
      <w:r w:rsidR="00840CEC">
        <w:rPr>
          <w:rStyle w:val="FootnoteReference"/>
          <w:rFonts w:ascii="Times New Roman" w:hAnsi="Times New Roman" w:cs="Times New Roman"/>
          <w:sz w:val="24"/>
          <w:szCs w:val="24"/>
        </w:rPr>
        <w:footnoteReference w:id="7"/>
      </w:r>
      <w:r w:rsidR="00840CEC">
        <w:rPr>
          <w:rFonts w:ascii="Times New Roman" w:hAnsi="Times New Roman" w:cs="Times New Roman"/>
          <w:sz w:val="24"/>
          <w:szCs w:val="24"/>
        </w:rPr>
        <w:t xml:space="preserve"> Thus, if the Bank’s action had proceeded to trial and it had succeeded in establishing the liability of CBRE, and if it had </w:t>
      </w:r>
      <w:r w:rsidR="00840CEC">
        <w:rPr>
          <w:rFonts w:ascii="Times New Roman" w:hAnsi="Times New Roman" w:cs="Times New Roman"/>
          <w:sz w:val="24"/>
          <w:szCs w:val="24"/>
        </w:rPr>
        <w:lastRenderedPageBreak/>
        <w:t>persuaded the Court that it was indeed a “</w:t>
      </w:r>
      <w:r w:rsidR="00840CEC" w:rsidRPr="00840CEC">
        <w:rPr>
          <w:rFonts w:ascii="Times New Roman" w:hAnsi="Times New Roman" w:cs="Times New Roman"/>
          <w:i/>
          <w:sz w:val="24"/>
          <w:szCs w:val="24"/>
        </w:rPr>
        <w:t>no transaction</w:t>
      </w:r>
      <w:r w:rsidR="00840CEC">
        <w:rPr>
          <w:rFonts w:ascii="Times New Roman" w:hAnsi="Times New Roman" w:cs="Times New Roman"/>
          <w:sz w:val="24"/>
          <w:szCs w:val="24"/>
        </w:rPr>
        <w:t xml:space="preserve">” case, the </w:t>
      </w:r>
      <w:r w:rsidR="00840CEC" w:rsidRPr="00840CEC">
        <w:rPr>
          <w:rFonts w:ascii="Times New Roman" w:hAnsi="Times New Roman" w:cs="Times New Roman"/>
          <w:i/>
          <w:sz w:val="24"/>
          <w:szCs w:val="24"/>
        </w:rPr>
        <w:t>SAAMCO</w:t>
      </w:r>
      <w:r w:rsidR="00840CEC">
        <w:rPr>
          <w:rFonts w:ascii="Times New Roman" w:hAnsi="Times New Roman" w:cs="Times New Roman"/>
          <w:sz w:val="24"/>
          <w:szCs w:val="24"/>
        </w:rPr>
        <w:t xml:space="preserve"> principles would not in practice have limited the Bank’s recovery. In our view, however, that does not take away from the fact, even if one assumes (contrary to the view expressed above) that the Bank’s claim against the Defendant is a claim for “damage”, it is not for the “</w:t>
      </w:r>
      <w:r w:rsidR="00840CEC" w:rsidRPr="00840CEC">
        <w:rPr>
          <w:rFonts w:ascii="Times New Roman" w:hAnsi="Times New Roman" w:cs="Times New Roman"/>
          <w:i/>
          <w:sz w:val="24"/>
          <w:szCs w:val="24"/>
          <w:u w:val="single"/>
        </w:rPr>
        <w:t>same</w:t>
      </w:r>
      <w:r w:rsidR="00840CEC" w:rsidRPr="00840CEC">
        <w:rPr>
          <w:rFonts w:ascii="Times New Roman" w:hAnsi="Times New Roman" w:cs="Times New Roman"/>
          <w:i/>
          <w:sz w:val="24"/>
          <w:szCs w:val="24"/>
        </w:rPr>
        <w:t xml:space="preserve"> damage</w:t>
      </w:r>
      <w:r w:rsidR="00840CEC">
        <w:rPr>
          <w:rFonts w:ascii="Times New Roman" w:hAnsi="Times New Roman" w:cs="Times New Roman"/>
          <w:sz w:val="24"/>
          <w:szCs w:val="24"/>
        </w:rPr>
        <w:t>” as the claim against CBRE (</w:t>
      </w:r>
      <w:r w:rsidR="00840CEC" w:rsidRPr="00840CEC">
        <w:rPr>
          <w:rFonts w:ascii="Times New Roman" w:hAnsi="Times New Roman" w:cs="Times New Roman"/>
          <w:i/>
          <w:sz w:val="24"/>
          <w:szCs w:val="24"/>
        </w:rPr>
        <w:t>and vice versa</w:t>
      </w:r>
      <w:r w:rsidR="00840CEC">
        <w:rPr>
          <w:rFonts w:ascii="Times New Roman" w:hAnsi="Times New Roman" w:cs="Times New Roman"/>
          <w:sz w:val="24"/>
          <w:szCs w:val="24"/>
        </w:rPr>
        <w:t xml:space="preserve">). The claim against the Defendants is for repayment of the </w:t>
      </w:r>
      <w:r w:rsidR="000202B4">
        <w:rPr>
          <w:rFonts w:ascii="Times New Roman" w:hAnsi="Times New Roman" w:cs="Times New Roman"/>
          <w:sz w:val="24"/>
          <w:szCs w:val="24"/>
        </w:rPr>
        <w:t>outstanding ba</w:t>
      </w:r>
      <w:r w:rsidR="00840CEC">
        <w:rPr>
          <w:rFonts w:ascii="Times New Roman" w:hAnsi="Times New Roman" w:cs="Times New Roman"/>
          <w:sz w:val="24"/>
          <w:szCs w:val="24"/>
        </w:rPr>
        <w:t>lance of the Loan</w:t>
      </w:r>
      <w:r w:rsidR="000202B4">
        <w:rPr>
          <w:rFonts w:ascii="Times New Roman" w:hAnsi="Times New Roman" w:cs="Times New Roman"/>
          <w:sz w:val="24"/>
          <w:szCs w:val="24"/>
        </w:rPr>
        <w:t>; the claim against CBRE was for the loss sustained by the Bank as</w:t>
      </w:r>
      <w:r w:rsidR="009A0E41">
        <w:rPr>
          <w:rFonts w:ascii="Times New Roman" w:hAnsi="Times New Roman" w:cs="Times New Roman"/>
          <w:sz w:val="24"/>
          <w:szCs w:val="24"/>
        </w:rPr>
        <w:t xml:space="preserve"> </w:t>
      </w:r>
      <w:r w:rsidR="000202B4">
        <w:rPr>
          <w:rFonts w:ascii="Times New Roman" w:hAnsi="Times New Roman" w:cs="Times New Roman"/>
          <w:sz w:val="24"/>
          <w:szCs w:val="24"/>
        </w:rPr>
        <w:t>a result of the alleged overvaluation of the Kilpeddar Lands. These are claims of a different character, for amounts that are calculated on a different legal basis, even where the amounts potentially recoverable may be the same.</w:t>
      </w:r>
    </w:p>
    <w:p w14:paraId="1809B72B" w14:textId="77777777" w:rsidR="00FA5622" w:rsidRPr="002A6544" w:rsidRDefault="00FA5622" w:rsidP="002A6544">
      <w:pPr>
        <w:spacing w:after="0" w:line="480" w:lineRule="auto"/>
        <w:jc w:val="both"/>
        <w:rPr>
          <w:rFonts w:ascii="Times New Roman" w:hAnsi="Times New Roman" w:cs="Times New Roman"/>
          <w:sz w:val="24"/>
          <w:szCs w:val="24"/>
        </w:rPr>
      </w:pPr>
    </w:p>
    <w:p w14:paraId="2B32185F" w14:textId="77777777" w:rsidR="00FA5622" w:rsidRPr="007361FA" w:rsidRDefault="00FA5622" w:rsidP="002A6544">
      <w:pPr>
        <w:pStyle w:val="Heading2"/>
      </w:pPr>
      <w:r w:rsidRPr="007361FA">
        <w:t xml:space="preserve">Implications for the legal relationship between joint debtors and debtors and guarantors   </w:t>
      </w:r>
    </w:p>
    <w:p w14:paraId="3BDDB793" w14:textId="77777777" w:rsidR="00FA5622" w:rsidRPr="007361FA" w:rsidRDefault="00FA5622" w:rsidP="002A6544">
      <w:pPr>
        <w:pStyle w:val="ListParagraph"/>
        <w:spacing w:line="480" w:lineRule="auto"/>
        <w:rPr>
          <w:rFonts w:ascii="Times New Roman" w:hAnsi="Times New Roman" w:cs="Times New Roman"/>
          <w:sz w:val="24"/>
          <w:szCs w:val="24"/>
        </w:rPr>
      </w:pPr>
    </w:p>
    <w:p w14:paraId="43D84BAF" w14:textId="01A67C3E" w:rsidR="00FA5622" w:rsidRPr="00FA5622" w:rsidRDefault="00FA5622" w:rsidP="002A6544">
      <w:pPr>
        <w:pStyle w:val="ListParagraph"/>
        <w:numPr>
          <w:ilvl w:val="0"/>
          <w:numId w:val="1"/>
        </w:numPr>
        <w:spacing w:line="480" w:lineRule="auto"/>
        <w:ind w:hanging="436"/>
        <w:jc w:val="both"/>
        <w:rPr>
          <w:rFonts w:ascii="Times New Roman" w:hAnsi="Times New Roman" w:cs="Times New Roman"/>
          <w:sz w:val="24"/>
          <w:szCs w:val="24"/>
        </w:rPr>
      </w:pPr>
      <w:r w:rsidRPr="00FA5622">
        <w:rPr>
          <w:rFonts w:ascii="Times New Roman" w:hAnsi="Times New Roman" w:cs="Times New Roman"/>
          <w:sz w:val="24"/>
          <w:szCs w:val="24"/>
        </w:rPr>
        <w:t xml:space="preserve">This case is not concerned with the manner in which liability as between joint debtors or debtors and guarantors should be determined.  However, having regard to our finding that an action to recover a debt is not within the contemplation of those provisions of CLA addressing the relationship between concurrent wrongdoers and, as a result, our conclusion that both </w:t>
      </w:r>
      <w:r w:rsidRPr="00FA5622">
        <w:rPr>
          <w:rFonts w:ascii="Times New Roman" w:hAnsi="Times New Roman" w:cs="Times New Roman"/>
          <w:i/>
          <w:sz w:val="24"/>
          <w:szCs w:val="24"/>
          <w:u w:val="single"/>
        </w:rPr>
        <w:t>Malocco</w:t>
      </w:r>
      <w:r w:rsidRPr="00FA5622">
        <w:rPr>
          <w:rFonts w:ascii="Times New Roman" w:hAnsi="Times New Roman" w:cs="Times New Roman"/>
          <w:sz w:val="24"/>
          <w:szCs w:val="24"/>
        </w:rPr>
        <w:t xml:space="preserve"> and </w:t>
      </w:r>
      <w:r w:rsidRPr="00FA5622">
        <w:rPr>
          <w:rFonts w:ascii="Times New Roman" w:hAnsi="Times New Roman" w:cs="Times New Roman"/>
          <w:i/>
          <w:sz w:val="24"/>
          <w:szCs w:val="24"/>
        </w:rPr>
        <w:t>O</w:t>
      </w:r>
      <w:r w:rsidR="00B67C7D">
        <w:rPr>
          <w:rFonts w:ascii="Times New Roman" w:hAnsi="Times New Roman" w:cs="Times New Roman"/>
          <w:i/>
          <w:sz w:val="24"/>
          <w:szCs w:val="24"/>
        </w:rPr>
        <w:t>’</w:t>
      </w:r>
      <w:r w:rsidRPr="00FA5622">
        <w:rPr>
          <w:rFonts w:ascii="Times New Roman" w:hAnsi="Times New Roman" w:cs="Times New Roman"/>
          <w:i/>
          <w:sz w:val="24"/>
          <w:szCs w:val="24"/>
        </w:rPr>
        <w:t>Reilly</w:t>
      </w:r>
      <w:r w:rsidRPr="00FA5622">
        <w:rPr>
          <w:rFonts w:ascii="Times New Roman" w:hAnsi="Times New Roman" w:cs="Times New Roman"/>
          <w:sz w:val="24"/>
          <w:szCs w:val="24"/>
        </w:rPr>
        <w:t xml:space="preserve"> were wrongly decided, we should make clear that this does not in any sense have the consequence that in either of these situations a creditor is entitled to effect double recovery nor does it mean that a compromise with one debtor in these circumstances has no implications for another party liable on the debt.  Instead, the relevant common law rules and applicable equitable principles continue to operate.  In the case of joint debtors this means that the </w:t>
      </w:r>
      <w:r w:rsidRPr="00FA5622">
        <w:rPr>
          <w:rFonts w:ascii="Times New Roman" w:hAnsi="Times New Roman" w:cs="Times New Roman"/>
          <w:sz w:val="24"/>
          <w:szCs w:val="24"/>
        </w:rPr>
        <w:lastRenderedPageBreak/>
        <w:t xml:space="preserve">release of one co-debtor in an agreement which did not expressly or impliedly reserve the creditors’ rights against the others will wholly extinguish the creditor’s rights.  In the case of the relationship between guarantors and debtors issues as to whether and if so at what point of time in the context of a particular guarantee the guarantor has a right to indemnity or contribution from the principal debtor, those rights, the guarantor’s rights to subrogation, and indeed its rights against co-sureties fall to be determined in accordance with those equitable principles developed </w:t>
      </w:r>
      <w:r w:rsidRPr="008371B1">
        <w:rPr>
          <w:rFonts w:ascii="Times New Roman" w:hAnsi="Times New Roman" w:cs="Times New Roman"/>
          <w:i/>
          <w:iCs/>
          <w:sz w:val="24"/>
          <w:szCs w:val="24"/>
        </w:rPr>
        <w:t>‘to ensure that the person primarily liable should bear the whole burden in relief of others’</w:t>
      </w:r>
      <w:r w:rsidRPr="00FA5622">
        <w:rPr>
          <w:rFonts w:ascii="Times New Roman" w:hAnsi="Times New Roman" w:cs="Times New Roman"/>
          <w:sz w:val="24"/>
          <w:szCs w:val="24"/>
        </w:rPr>
        <w:t xml:space="preserve"> (</w:t>
      </w:r>
      <w:r w:rsidRPr="00FA5622">
        <w:rPr>
          <w:rFonts w:ascii="Times New Roman" w:hAnsi="Times New Roman" w:cs="Times New Roman"/>
          <w:i/>
          <w:sz w:val="24"/>
          <w:szCs w:val="24"/>
        </w:rPr>
        <w:t>Re Eylewood Ltd.</w:t>
      </w:r>
      <w:r w:rsidRPr="00FA5622">
        <w:rPr>
          <w:rFonts w:ascii="Times New Roman" w:hAnsi="Times New Roman" w:cs="Times New Roman"/>
          <w:sz w:val="24"/>
          <w:szCs w:val="24"/>
        </w:rPr>
        <w:t xml:space="preserve"> [2011] 1 ILRM 5 at para. 35 per Finlay Geoghegan J.).  These were summarised before the decision in </w:t>
      </w:r>
      <w:r w:rsidRPr="00FA5622">
        <w:rPr>
          <w:rFonts w:ascii="Times New Roman" w:hAnsi="Times New Roman" w:cs="Times New Roman"/>
          <w:i/>
          <w:sz w:val="24"/>
          <w:szCs w:val="24"/>
        </w:rPr>
        <w:t>Reilly</w:t>
      </w:r>
      <w:r w:rsidRPr="00FA5622">
        <w:rPr>
          <w:rFonts w:ascii="Times New Roman" w:hAnsi="Times New Roman" w:cs="Times New Roman"/>
          <w:sz w:val="24"/>
          <w:szCs w:val="24"/>
        </w:rPr>
        <w:t xml:space="preserve"> (and with enviable clarity) in Breslin and Corcora</w:t>
      </w:r>
      <w:r>
        <w:rPr>
          <w:rFonts w:ascii="Times New Roman" w:hAnsi="Times New Roman" w:cs="Times New Roman"/>
          <w:sz w:val="24"/>
          <w:szCs w:val="24"/>
        </w:rPr>
        <w:t>n,</w:t>
      </w:r>
      <w:r w:rsidRPr="00FA5622">
        <w:rPr>
          <w:rFonts w:ascii="Times New Roman" w:hAnsi="Times New Roman" w:cs="Times New Roman"/>
          <w:sz w:val="24"/>
          <w:szCs w:val="24"/>
        </w:rPr>
        <w:t xml:space="preserve"> </w:t>
      </w:r>
      <w:r w:rsidRPr="00FA5622">
        <w:rPr>
          <w:rFonts w:ascii="Times New Roman" w:hAnsi="Times New Roman" w:cs="Times New Roman"/>
          <w:i/>
          <w:sz w:val="24"/>
          <w:szCs w:val="24"/>
        </w:rPr>
        <w:t xml:space="preserve">Banking Law </w:t>
      </w:r>
      <w:r w:rsidRPr="00FA5622">
        <w:rPr>
          <w:rFonts w:ascii="Times New Roman" w:hAnsi="Times New Roman" w:cs="Times New Roman"/>
          <w:sz w:val="24"/>
          <w:szCs w:val="24"/>
        </w:rPr>
        <w:t>(4</w:t>
      </w:r>
      <w:r w:rsidRPr="00FA5622">
        <w:rPr>
          <w:rFonts w:ascii="Times New Roman" w:hAnsi="Times New Roman" w:cs="Times New Roman"/>
          <w:sz w:val="24"/>
          <w:szCs w:val="24"/>
          <w:vertAlign w:val="superscript"/>
        </w:rPr>
        <w:t>th</w:t>
      </w:r>
      <w:r w:rsidRPr="00FA5622">
        <w:rPr>
          <w:rFonts w:ascii="Times New Roman" w:hAnsi="Times New Roman" w:cs="Times New Roman"/>
          <w:sz w:val="24"/>
          <w:szCs w:val="24"/>
        </w:rPr>
        <w:t xml:space="preserve"> E</w:t>
      </w:r>
      <w:r>
        <w:rPr>
          <w:rFonts w:ascii="Times New Roman" w:hAnsi="Times New Roman" w:cs="Times New Roman"/>
          <w:sz w:val="24"/>
          <w:szCs w:val="24"/>
        </w:rPr>
        <w:t>d</w:t>
      </w:r>
      <w:r w:rsidRPr="00FA5622">
        <w:rPr>
          <w:rFonts w:ascii="Times New Roman" w:hAnsi="Times New Roman" w:cs="Times New Roman"/>
          <w:sz w:val="24"/>
          <w:szCs w:val="24"/>
        </w:rPr>
        <w:t xml:space="preserve"> 2019) </w:t>
      </w:r>
      <w:r>
        <w:rPr>
          <w:rFonts w:ascii="Times New Roman" w:hAnsi="Times New Roman" w:cs="Times New Roman"/>
          <w:sz w:val="24"/>
          <w:szCs w:val="24"/>
        </w:rPr>
        <w:t xml:space="preserve">at </w:t>
      </w:r>
      <w:r w:rsidRPr="00FA5622">
        <w:rPr>
          <w:rFonts w:ascii="Times New Roman" w:hAnsi="Times New Roman" w:cs="Times New Roman"/>
          <w:sz w:val="24"/>
          <w:szCs w:val="24"/>
        </w:rPr>
        <w:t>paras. 14-19 – 14-27.</w:t>
      </w:r>
    </w:p>
    <w:p w14:paraId="0FF58F65" w14:textId="77777777" w:rsidR="00FA5622" w:rsidRPr="002A6544" w:rsidRDefault="00FA5622" w:rsidP="002A6544">
      <w:pPr>
        <w:spacing w:after="0" w:line="480" w:lineRule="auto"/>
        <w:jc w:val="both"/>
        <w:rPr>
          <w:rFonts w:ascii="Times New Roman" w:hAnsi="Times New Roman" w:cs="Times New Roman"/>
          <w:sz w:val="24"/>
          <w:szCs w:val="24"/>
        </w:rPr>
      </w:pPr>
    </w:p>
    <w:p w14:paraId="68596BE9" w14:textId="6AF8F564" w:rsidR="00F27884" w:rsidRDefault="004B772A" w:rsidP="002A6544">
      <w:pPr>
        <w:pStyle w:val="ListParagraph"/>
        <w:numPr>
          <w:ilvl w:val="0"/>
          <w:numId w:val="1"/>
        </w:numPr>
        <w:spacing w:after="0" w:line="480" w:lineRule="auto"/>
        <w:ind w:hanging="436"/>
        <w:jc w:val="both"/>
        <w:rPr>
          <w:rFonts w:ascii="Times New Roman" w:hAnsi="Times New Roman" w:cs="Times New Roman"/>
          <w:sz w:val="24"/>
          <w:szCs w:val="24"/>
        </w:rPr>
      </w:pPr>
      <w:r w:rsidRPr="00434D69">
        <w:rPr>
          <w:rFonts w:ascii="Times New Roman" w:hAnsi="Times New Roman" w:cs="Times New Roman"/>
          <w:sz w:val="24"/>
          <w:szCs w:val="24"/>
        </w:rPr>
        <w:t>This leads to the issues around the appeal regarding the CLA as argued</w:t>
      </w:r>
      <w:r w:rsidR="00C92D81">
        <w:rPr>
          <w:rFonts w:ascii="Times New Roman" w:hAnsi="Times New Roman" w:cs="Times New Roman"/>
          <w:sz w:val="24"/>
          <w:szCs w:val="24"/>
        </w:rPr>
        <w:t xml:space="preserve"> in the parties’ </w:t>
      </w:r>
      <w:r w:rsidR="00467F53">
        <w:rPr>
          <w:rFonts w:ascii="Times New Roman" w:hAnsi="Times New Roman" w:cs="Times New Roman"/>
          <w:sz w:val="24"/>
          <w:szCs w:val="24"/>
        </w:rPr>
        <w:t xml:space="preserve">initial </w:t>
      </w:r>
      <w:r w:rsidR="00C92D81">
        <w:rPr>
          <w:rFonts w:ascii="Times New Roman" w:hAnsi="Times New Roman" w:cs="Times New Roman"/>
          <w:sz w:val="24"/>
          <w:szCs w:val="24"/>
        </w:rPr>
        <w:t>submissions.</w:t>
      </w:r>
    </w:p>
    <w:p w14:paraId="498DBD69" w14:textId="77777777" w:rsidR="004B772A" w:rsidRPr="002A6544" w:rsidRDefault="004B772A" w:rsidP="002A6544">
      <w:pPr>
        <w:spacing w:after="0" w:line="480" w:lineRule="auto"/>
        <w:rPr>
          <w:rFonts w:ascii="Times New Roman" w:hAnsi="Times New Roman" w:cs="Times New Roman"/>
          <w:sz w:val="24"/>
          <w:szCs w:val="24"/>
        </w:rPr>
      </w:pPr>
    </w:p>
    <w:p w14:paraId="5DA830F8" w14:textId="77777777" w:rsidR="004B772A" w:rsidRPr="00434D69" w:rsidRDefault="004B772A" w:rsidP="00272396">
      <w:pPr>
        <w:pStyle w:val="Heading2"/>
      </w:pPr>
      <w:r w:rsidRPr="00434D69">
        <w:t xml:space="preserve">Proof of </w:t>
      </w:r>
      <w:r w:rsidR="00BD13BB" w:rsidRPr="00434D69">
        <w:t>wrongdoing</w:t>
      </w:r>
    </w:p>
    <w:p w14:paraId="186B9368" w14:textId="77777777" w:rsidR="004B772A" w:rsidRPr="00434D69" w:rsidRDefault="004B772A" w:rsidP="00434D69">
      <w:pPr>
        <w:pStyle w:val="ListParagraph"/>
        <w:spacing w:after="0" w:line="480" w:lineRule="auto"/>
        <w:rPr>
          <w:rFonts w:ascii="Times New Roman" w:hAnsi="Times New Roman" w:cs="Times New Roman"/>
          <w:sz w:val="24"/>
          <w:szCs w:val="24"/>
        </w:rPr>
      </w:pPr>
    </w:p>
    <w:p w14:paraId="0A801295" w14:textId="130A345E" w:rsidR="000202B4" w:rsidRPr="002A6544" w:rsidRDefault="00BD13BB" w:rsidP="002A6544">
      <w:pPr>
        <w:pStyle w:val="ListParagraph"/>
        <w:numPr>
          <w:ilvl w:val="0"/>
          <w:numId w:val="1"/>
        </w:numPr>
        <w:spacing w:after="0" w:line="480" w:lineRule="auto"/>
        <w:ind w:hanging="436"/>
        <w:jc w:val="both"/>
        <w:rPr>
          <w:rFonts w:ascii="Times New Roman" w:hAnsi="Times New Roman" w:cs="Times New Roman"/>
          <w:sz w:val="24"/>
          <w:szCs w:val="24"/>
        </w:rPr>
      </w:pPr>
      <w:r w:rsidRPr="00434D69">
        <w:rPr>
          <w:rFonts w:ascii="Times New Roman" w:hAnsi="Times New Roman" w:cs="Times New Roman"/>
          <w:sz w:val="24"/>
          <w:szCs w:val="24"/>
        </w:rPr>
        <w:t xml:space="preserve">The point made by the </w:t>
      </w:r>
      <w:r w:rsidR="006737B2">
        <w:rPr>
          <w:rFonts w:ascii="Times New Roman" w:hAnsi="Times New Roman" w:cs="Times New Roman"/>
          <w:sz w:val="24"/>
          <w:szCs w:val="24"/>
        </w:rPr>
        <w:t>B</w:t>
      </w:r>
      <w:r w:rsidRPr="00434D69">
        <w:rPr>
          <w:rFonts w:ascii="Times New Roman" w:hAnsi="Times New Roman" w:cs="Times New Roman"/>
          <w:sz w:val="24"/>
          <w:szCs w:val="24"/>
        </w:rPr>
        <w:t xml:space="preserve">ank in its submissions to the High Court was that the </w:t>
      </w:r>
      <w:r w:rsidR="000202B4">
        <w:rPr>
          <w:rFonts w:ascii="Times New Roman" w:hAnsi="Times New Roman" w:cs="Times New Roman"/>
          <w:sz w:val="24"/>
          <w:szCs w:val="24"/>
        </w:rPr>
        <w:t>D</w:t>
      </w:r>
      <w:r w:rsidRPr="00434D69">
        <w:rPr>
          <w:rFonts w:ascii="Times New Roman" w:hAnsi="Times New Roman" w:cs="Times New Roman"/>
          <w:sz w:val="24"/>
          <w:szCs w:val="24"/>
        </w:rPr>
        <w:t xml:space="preserve">efendants and CBRE were not capable of being concurrent wrongdoers but, if they were, that it was a matter for the </w:t>
      </w:r>
      <w:r w:rsidR="000202B4">
        <w:rPr>
          <w:rFonts w:ascii="Times New Roman" w:hAnsi="Times New Roman" w:cs="Times New Roman"/>
          <w:sz w:val="24"/>
          <w:szCs w:val="24"/>
        </w:rPr>
        <w:t>D</w:t>
      </w:r>
      <w:r w:rsidRPr="00434D69">
        <w:rPr>
          <w:rFonts w:ascii="Times New Roman" w:hAnsi="Times New Roman" w:cs="Times New Roman"/>
          <w:sz w:val="24"/>
          <w:szCs w:val="24"/>
        </w:rPr>
        <w:t xml:space="preserve">efendants to prove (a) that CBRE had been negligent in its valuation and (b) that the effect of that negligence was to negate the </w:t>
      </w:r>
      <w:r w:rsidR="00E27EC3">
        <w:rPr>
          <w:rFonts w:ascii="Times New Roman" w:hAnsi="Times New Roman" w:cs="Times New Roman"/>
          <w:sz w:val="24"/>
          <w:szCs w:val="24"/>
        </w:rPr>
        <w:t>B</w:t>
      </w:r>
      <w:r w:rsidRPr="00434D69">
        <w:rPr>
          <w:rFonts w:ascii="Times New Roman" w:hAnsi="Times New Roman" w:cs="Times New Roman"/>
          <w:sz w:val="24"/>
          <w:szCs w:val="24"/>
        </w:rPr>
        <w:t xml:space="preserve">ank’s entitlement to recover any of its debt.  It based this proposition on the fact that it is the </w:t>
      </w:r>
      <w:r w:rsidR="000202B4">
        <w:rPr>
          <w:rFonts w:ascii="Times New Roman" w:hAnsi="Times New Roman" w:cs="Times New Roman"/>
          <w:sz w:val="24"/>
          <w:szCs w:val="24"/>
        </w:rPr>
        <w:t>D</w:t>
      </w:r>
      <w:r w:rsidRPr="00434D69">
        <w:rPr>
          <w:rFonts w:ascii="Times New Roman" w:hAnsi="Times New Roman" w:cs="Times New Roman"/>
          <w:sz w:val="24"/>
          <w:szCs w:val="24"/>
        </w:rPr>
        <w:t xml:space="preserve">efendants who </w:t>
      </w:r>
      <w:r w:rsidR="000202B4">
        <w:rPr>
          <w:rFonts w:ascii="Times New Roman" w:hAnsi="Times New Roman" w:cs="Times New Roman"/>
          <w:sz w:val="24"/>
          <w:szCs w:val="24"/>
        </w:rPr>
        <w:t xml:space="preserve">were </w:t>
      </w:r>
      <w:r w:rsidRPr="00434D69">
        <w:rPr>
          <w:rFonts w:ascii="Times New Roman" w:hAnsi="Times New Roman" w:cs="Times New Roman"/>
          <w:sz w:val="24"/>
          <w:szCs w:val="24"/>
        </w:rPr>
        <w:t>assert</w:t>
      </w:r>
      <w:r w:rsidR="000202B4">
        <w:rPr>
          <w:rFonts w:ascii="Times New Roman" w:hAnsi="Times New Roman" w:cs="Times New Roman"/>
          <w:sz w:val="24"/>
          <w:szCs w:val="24"/>
        </w:rPr>
        <w:t>ing</w:t>
      </w:r>
      <w:r w:rsidRPr="00434D69">
        <w:rPr>
          <w:rFonts w:ascii="Times New Roman" w:hAnsi="Times New Roman" w:cs="Times New Roman"/>
          <w:sz w:val="24"/>
          <w:szCs w:val="24"/>
        </w:rPr>
        <w:t xml:space="preserve"> that the </w:t>
      </w:r>
      <w:r w:rsidR="00E27EC3">
        <w:rPr>
          <w:rFonts w:ascii="Times New Roman" w:hAnsi="Times New Roman" w:cs="Times New Roman"/>
          <w:sz w:val="24"/>
          <w:szCs w:val="24"/>
        </w:rPr>
        <w:t>B</w:t>
      </w:r>
      <w:r w:rsidRPr="00434D69">
        <w:rPr>
          <w:rFonts w:ascii="Times New Roman" w:hAnsi="Times New Roman" w:cs="Times New Roman"/>
          <w:sz w:val="24"/>
          <w:szCs w:val="24"/>
        </w:rPr>
        <w:t xml:space="preserve">ank </w:t>
      </w:r>
      <w:r w:rsidR="000202B4">
        <w:rPr>
          <w:rFonts w:ascii="Times New Roman" w:hAnsi="Times New Roman" w:cs="Times New Roman"/>
          <w:sz w:val="24"/>
          <w:szCs w:val="24"/>
        </w:rPr>
        <w:t>was</w:t>
      </w:r>
      <w:r w:rsidR="000202B4" w:rsidRPr="00434D69">
        <w:rPr>
          <w:rFonts w:ascii="Times New Roman" w:hAnsi="Times New Roman" w:cs="Times New Roman"/>
          <w:sz w:val="24"/>
          <w:szCs w:val="24"/>
        </w:rPr>
        <w:t xml:space="preserve"> </w:t>
      </w:r>
      <w:r w:rsidRPr="00434D69">
        <w:rPr>
          <w:rFonts w:ascii="Times New Roman" w:hAnsi="Times New Roman" w:cs="Times New Roman"/>
          <w:sz w:val="24"/>
          <w:szCs w:val="24"/>
        </w:rPr>
        <w:t xml:space="preserve">not entitled to recover the debt, and that therefore it must establish each element of that claim.  </w:t>
      </w:r>
    </w:p>
    <w:p w14:paraId="7202B32D" w14:textId="16BFDBCB" w:rsidR="00A74EAF" w:rsidRPr="00434D69" w:rsidRDefault="000202B4" w:rsidP="002A6544">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lastRenderedPageBreak/>
        <w:t>In response, t</w:t>
      </w:r>
      <w:r w:rsidR="00BD13BB" w:rsidRPr="00434D69">
        <w:rPr>
          <w:rFonts w:ascii="Times New Roman" w:hAnsi="Times New Roman" w:cs="Times New Roman"/>
          <w:sz w:val="24"/>
          <w:szCs w:val="24"/>
        </w:rPr>
        <w:t xml:space="preserve">he </w:t>
      </w:r>
      <w:r>
        <w:rPr>
          <w:rFonts w:ascii="Times New Roman" w:hAnsi="Times New Roman" w:cs="Times New Roman"/>
          <w:sz w:val="24"/>
          <w:szCs w:val="24"/>
        </w:rPr>
        <w:t>D</w:t>
      </w:r>
      <w:r w:rsidR="00BD13BB" w:rsidRPr="00434D69">
        <w:rPr>
          <w:rFonts w:ascii="Times New Roman" w:hAnsi="Times New Roman" w:cs="Times New Roman"/>
          <w:sz w:val="24"/>
          <w:szCs w:val="24"/>
        </w:rPr>
        <w:t>efendants said that they did not have to prove that CBRE w</w:t>
      </w:r>
      <w:r w:rsidR="006B6701" w:rsidRPr="00434D69">
        <w:rPr>
          <w:rFonts w:ascii="Times New Roman" w:hAnsi="Times New Roman" w:cs="Times New Roman"/>
          <w:sz w:val="24"/>
          <w:szCs w:val="24"/>
        </w:rPr>
        <w:t xml:space="preserve">as </w:t>
      </w:r>
      <w:r w:rsidR="00BD13BB" w:rsidRPr="00434D69">
        <w:rPr>
          <w:rFonts w:ascii="Times New Roman" w:hAnsi="Times New Roman" w:cs="Times New Roman"/>
          <w:sz w:val="24"/>
          <w:szCs w:val="24"/>
        </w:rPr>
        <w:t xml:space="preserve">negligent because it was the </w:t>
      </w:r>
      <w:r w:rsidR="00E27EC3">
        <w:rPr>
          <w:rFonts w:ascii="Times New Roman" w:hAnsi="Times New Roman" w:cs="Times New Roman"/>
          <w:sz w:val="24"/>
          <w:szCs w:val="24"/>
        </w:rPr>
        <w:t>B</w:t>
      </w:r>
      <w:r w:rsidR="00BD13BB" w:rsidRPr="00434D69">
        <w:rPr>
          <w:rFonts w:ascii="Times New Roman" w:hAnsi="Times New Roman" w:cs="Times New Roman"/>
          <w:sz w:val="24"/>
          <w:szCs w:val="24"/>
        </w:rPr>
        <w:t>ank’s own position that CBRE was negligent</w:t>
      </w:r>
      <w:r w:rsidR="006B6701" w:rsidRPr="00434D69">
        <w:rPr>
          <w:rFonts w:ascii="Times New Roman" w:hAnsi="Times New Roman" w:cs="Times New Roman"/>
          <w:sz w:val="24"/>
          <w:szCs w:val="24"/>
        </w:rPr>
        <w:t xml:space="preserve"> and because it had instructed counsel to sign pleadings making that allegation.  That being so, they said, they did not have to prove the extent to which CBRE had improperly valued the asset because on the facts here had the valuation not been obtained, the monies would never have been advanced. Therefore, the operation of s</w:t>
      </w:r>
      <w:r>
        <w:rPr>
          <w:rFonts w:ascii="Times New Roman" w:hAnsi="Times New Roman" w:cs="Times New Roman"/>
          <w:sz w:val="24"/>
          <w:szCs w:val="24"/>
        </w:rPr>
        <w:t>ection</w:t>
      </w:r>
      <w:r w:rsidR="00E27EC3">
        <w:rPr>
          <w:rFonts w:ascii="Times New Roman" w:hAnsi="Times New Roman" w:cs="Times New Roman"/>
          <w:sz w:val="24"/>
          <w:szCs w:val="24"/>
        </w:rPr>
        <w:t xml:space="preserve"> </w:t>
      </w:r>
      <w:r w:rsidR="006B6701" w:rsidRPr="00434D69">
        <w:rPr>
          <w:rFonts w:ascii="Times New Roman" w:hAnsi="Times New Roman" w:cs="Times New Roman"/>
          <w:sz w:val="24"/>
          <w:szCs w:val="24"/>
        </w:rPr>
        <w:t xml:space="preserve">35(1)(h) was, having regard to </w:t>
      </w:r>
      <w:r>
        <w:rPr>
          <w:rFonts w:ascii="Times New Roman" w:hAnsi="Times New Roman" w:cs="Times New Roman"/>
          <w:sz w:val="24"/>
          <w:szCs w:val="24"/>
        </w:rPr>
        <w:t>section 34</w:t>
      </w:r>
      <w:r w:rsidR="006B6701" w:rsidRPr="00434D69">
        <w:rPr>
          <w:rFonts w:ascii="Times New Roman" w:hAnsi="Times New Roman" w:cs="Times New Roman"/>
          <w:sz w:val="24"/>
          <w:szCs w:val="24"/>
        </w:rPr>
        <w:t xml:space="preserve"> unusually clear.</w:t>
      </w:r>
    </w:p>
    <w:p w14:paraId="6CA0C09A" w14:textId="77777777" w:rsidR="006B6701" w:rsidRPr="00434D69" w:rsidRDefault="006B6701" w:rsidP="002A6544">
      <w:pPr>
        <w:pStyle w:val="ListParagraph"/>
        <w:spacing w:after="0" w:line="480" w:lineRule="auto"/>
        <w:ind w:hanging="436"/>
        <w:jc w:val="both"/>
        <w:rPr>
          <w:rFonts w:ascii="Times New Roman" w:hAnsi="Times New Roman" w:cs="Times New Roman"/>
          <w:sz w:val="24"/>
          <w:szCs w:val="24"/>
        </w:rPr>
      </w:pPr>
      <w:r w:rsidRPr="00434D69">
        <w:rPr>
          <w:rFonts w:ascii="Times New Roman" w:hAnsi="Times New Roman" w:cs="Times New Roman"/>
          <w:sz w:val="24"/>
          <w:szCs w:val="24"/>
        </w:rPr>
        <w:t xml:space="preserve">  </w:t>
      </w:r>
    </w:p>
    <w:p w14:paraId="6E09CC81" w14:textId="319DD1DF" w:rsidR="006B6701" w:rsidRDefault="0060762D" w:rsidP="002A6544">
      <w:pPr>
        <w:pStyle w:val="ListParagraph"/>
        <w:numPr>
          <w:ilvl w:val="0"/>
          <w:numId w:val="1"/>
        </w:numPr>
        <w:spacing w:after="0" w:line="480" w:lineRule="auto"/>
        <w:ind w:hanging="436"/>
        <w:jc w:val="both"/>
        <w:rPr>
          <w:rFonts w:ascii="Times New Roman" w:hAnsi="Times New Roman" w:cs="Times New Roman"/>
          <w:sz w:val="24"/>
          <w:szCs w:val="24"/>
        </w:rPr>
      </w:pPr>
      <w:r w:rsidRPr="00434D69">
        <w:rPr>
          <w:rFonts w:ascii="Times New Roman" w:hAnsi="Times New Roman" w:cs="Times New Roman"/>
          <w:sz w:val="24"/>
          <w:szCs w:val="24"/>
        </w:rPr>
        <w:t xml:space="preserve">In reality, these arguments reduced themselves to points around the evidential burden.  When the </w:t>
      </w:r>
      <w:r w:rsidR="000202B4">
        <w:rPr>
          <w:rFonts w:ascii="Times New Roman" w:hAnsi="Times New Roman" w:cs="Times New Roman"/>
          <w:sz w:val="24"/>
          <w:szCs w:val="24"/>
        </w:rPr>
        <w:t>Bank</w:t>
      </w:r>
      <w:r w:rsidRPr="00434D69">
        <w:rPr>
          <w:rFonts w:ascii="Times New Roman" w:hAnsi="Times New Roman" w:cs="Times New Roman"/>
          <w:sz w:val="24"/>
          <w:szCs w:val="24"/>
        </w:rPr>
        <w:t xml:space="preserve"> says that the </w:t>
      </w:r>
      <w:r w:rsidR="000202B4">
        <w:rPr>
          <w:rFonts w:ascii="Times New Roman" w:hAnsi="Times New Roman" w:cs="Times New Roman"/>
          <w:sz w:val="24"/>
          <w:szCs w:val="24"/>
        </w:rPr>
        <w:t>D</w:t>
      </w:r>
      <w:r w:rsidRPr="00434D69">
        <w:rPr>
          <w:rFonts w:ascii="Times New Roman" w:hAnsi="Times New Roman" w:cs="Times New Roman"/>
          <w:sz w:val="24"/>
          <w:szCs w:val="24"/>
        </w:rPr>
        <w:t>efendants would have to ‘</w:t>
      </w:r>
      <w:r w:rsidRPr="00434D69">
        <w:rPr>
          <w:rFonts w:ascii="Times New Roman" w:hAnsi="Times New Roman" w:cs="Times New Roman"/>
          <w:i/>
          <w:sz w:val="24"/>
          <w:szCs w:val="24"/>
        </w:rPr>
        <w:t>prove</w:t>
      </w:r>
      <w:r w:rsidR="00B67C7D">
        <w:rPr>
          <w:rFonts w:ascii="Times New Roman" w:hAnsi="Times New Roman" w:cs="Times New Roman"/>
          <w:i/>
          <w:sz w:val="24"/>
          <w:szCs w:val="24"/>
        </w:rPr>
        <w:t>’</w:t>
      </w:r>
      <w:r w:rsidRPr="00434D69">
        <w:rPr>
          <w:rFonts w:ascii="Times New Roman" w:hAnsi="Times New Roman" w:cs="Times New Roman"/>
          <w:sz w:val="24"/>
          <w:szCs w:val="24"/>
        </w:rPr>
        <w:t xml:space="preserve"> that CBRE was negligent and that the negligence was such that it operated to sever the liability for the debt, they mean (a) that the </w:t>
      </w:r>
      <w:r w:rsidR="000202B4">
        <w:rPr>
          <w:rFonts w:ascii="Times New Roman" w:hAnsi="Times New Roman" w:cs="Times New Roman"/>
          <w:sz w:val="24"/>
          <w:szCs w:val="24"/>
        </w:rPr>
        <w:t>D</w:t>
      </w:r>
      <w:r w:rsidRPr="00434D69">
        <w:rPr>
          <w:rFonts w:ascii="Times New Roman" w:hAnsi="Times New Roman" w:cs="Times New Roman"/>
          <w:sz w:val="24"/>
          <w:szCs w:val="24"/>
        </w:rPr>
        <w:t xml:space="preserve">efendants would have to adduce sufficient expert evidence to generate a </w:t>
      </w:r>
      <w:r w:rsidRPr="00434D69">
        <w:rPr>
          <w:rFonts w:ascii="Times New Roman" w:hAnsi="Times New Roman" w:cs="Times New Roman"/>
          <w:i/>
          <w:sz w:val="24"/>
          <w:szCs w:val="24"/>
        </w:rPr>
        <w:t>prima facie</w:t>
      </w:r>
      <w:r w:rsidRPr="00434D69">
        <w:rPr>
          <w:rFonts w:ascii="Times New Roman" w:hAnsi="Times New Roman" w:cs="Times New Roman"/>
          <w:sz w:val="24"/>
          <w:szCs w:val="24"/>
        </w:rPr>
        <w:t xml:space="preserve"> case to that effect which would then shift the burden to the </w:t>
      </w:r>
      <w:r w:rsidR="000202B4">
        <w:rPr>
          <w:rFonts w:ascii="Times New Roman" w:hAnsi="Times New Roman" w:cs="Times New Roman"/>
          <w:sz w:val="24"/>
          <w:szCs w:val="24"/>
        </w:rPr>
        <w:t>B</w:t>
      </w:r>
      <w:r w:rsidRPr="00434D69">
        <w:rPr>
          <w:rFonts w:ascii="Times New Roman" w:hAnsi="Times New Roman" w:cs="Times New Roman"/>
          <w:sz w:val="24"/>
          <w:szCs w:val="24"/>
        </w:rPr>
        <w:t>ank to establish otherwise</w:t>
      </w:r>
      <w:r w:rsidR="00095BA9" w:rsidRPr="00434D69">
        <w:rPr>
          <w:rFonts w:ascii="Times New Roman" w:hAnsi="Times New Roman" w:cs="Times New Roman"/>
          <w:sz w:val="24"/>
          <w:szCs w:val="24"/>
        </w:rPr>
        <w:t xml:space="preserve"> and (b) that they would have to establish to the same standard that the extent of the</w:t>
      </w:r>
      <w:r w:rsidR="000202B4">
        <w:rPr>
          <w:rFonts w:ascii="Times New Roman" w:hAnsi="Times New Roman" w:cs="Times New Roman"/>
          <w:sz w:val="24"/>
          <w:szCs w:val="24"/>
        </w:rPr>
        <w:t xml:space="preserve"> </w:t>
      </w:r>
      <w:r w:rsidR="00095BA9" w:rsidRPr="00434D69">
        <w:rPr>
          <w:rFonts w:ascii="Times New Roman" w:hAnsi="Times New Roman" w:cs="Times New Roman"/>
          <w:sz w:val="24"/>
          <w:szCs w:val="24"/>
        </w:rPr>
        <w:t xml:space="preserve"> undervalue was such as to eliminate the debt according to the methodology adopted in </w:t>
      </w:r>
      <w:r w:rsidR="000202B4" w:rsidRPr="000202B4">
        <w:rPr>
          <w:rFonts w:ascii="Times New Roman" w:hAnsi="Times New Roman" w:cs="Times New Roman"/>
          <w:i/>
          <w:sz w:val="24"/>
          <w:szCs w:val="24"/>
        </w:rPr>
        <w:t>SAAM</w:t>
      </w:r>
      <w:r w:rsidR="000202B4">
        <w:rPr>
          <w:rFonts w:ascii="Times New Roman" w:hAnsi="Times New Roman" w:cs="Times New Roman"/>
          <w:i/>
          <w:sz w:val="24"/>
          <w:szCs w:val="24"/>
        </w:rPr>
        <w:t>C</w:t>
      </w:r>
      <w:r w:rsidR="000202B4" w:rsidRPr="000202B4">
        <w:rPr>
          <w:rFonts w:ascii="Times New Roman" w:hAnsi="Times New Roman" w:cs="Times New Roman"/>
          <w:i/>
          <w:sz w:val="24"/>
          <w:szCs w:val="24"/>
        </w:rPr>
        <w:t>O</w:t>
      </w:r>
      <w:r w:rsidR="000202B4">
        <w:rPr>
          <w:rFonts w:ascii="Times New Roman" w:hAnsi="Times New Roman" w:cs="Times New Roman"/>
          <w:sz w:val="24"/>
          <w:szCs w:val="24"/>
        </w:rPr>
        <w:t>.</w:t>
      </w:r>
    </w:p>
    <w:p w14:paraId="08F754BF" w14:textId="77777777" w:rsidR="00C92D81" w:rsidRPr="00C92D81" w:rsidRDefault="00C92D81" w:rsidP="002A6544">
      <w:pPr>
        <w:pStyle w:val="ListParagraph"/>
        <w:spacing w:line="480" w:lineRule="auto"/>
        <w:ind w:hanging="436"/>
        <w:rPr>
          <w:rFonts w:ascii="Times New Roman" w:hAnsi="Times New Roman" w:cs="Times New Roman"/>
          <w:sz w:val="24"/>
          <w:szCs w:val="24"/>
        </w:rPr>
      </w:pPr>
    </w:p>
    <w:p w14:paraId="6B4F656B" w14:textId="0E891B27" w:rsidR="00F47B12" w:rsidRPr="0093356E" w:rsidRDefault="00AD2B7A" w:rsidP="0093356E">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Although the </w:t>
      </w:r>
      <w:r w:rsidR="00E27EC3">
        <w:rPr>
          <w:rFonts w:ascii="Times New Roman" w:hAnsi="Times New Roman" w:cs="Times New Roman"/>
          <w:sz w:val="24"/>
          <w:szCs w:val="24"/>
        </w:rPr>
        <w:t>B</w:t>
      </w:r>
      <w:r>
        <w:rPr>
          <w:rFonts w:ascii="Times New Roman" w:hAnsi="Times New Roman" w:cs="Times New Roman"/>
          <w:sz w:val="24"/>
          <w:szCs w:val="24"/>
        </w:rPr>
        <w:t xml:space="preserve">ank was inclined to present these issues as being simple, and indeed noticeably cited no authority in support of either proposition, it is </w:t>
      </w:r>
      <w:r w:rsidR="000202B4">
        <w:rPr>
          <w:rFonts w:ascii="Times New Roman" w:hAnsi="Times New Roman" w:cs="Times New Roman"/>
          <w:sz w:val="24"/>
          <w:szCs w:val="24"/>
        </w:rPr>
        <w:t xml:space="preserve">our </w:t>
      </w:r>
      <w:r>
        <w:rPr>
          <w:rFonts w:ascii="Times New Roman" w:hAnsi="Times New Roman" w:cs="Times New Roman"/>
          <w:sz w:val="24"/>
          <w:szCs w:val="24"/>
        </w:rPr>
        <w:t xml:space="preserve">view that their resolution is more complex.  Given the conclusion </w:t>
      </w:r>
      <w:r w:rsidR="000D0593">
        <w:rPr>
          <w:rFonts w:ascii="Times New Roman" w:hAnsi="Times New Roman" w:cs="Times New Roman"/>
          <w:sz w:val="24"/>
          <w:szCs w:val="24"/>
        </w:rPr>
        <w:t>we</w:t>
      </w:r>
      <w:r>
        <w:rPr>
          <w:rFonts w:ascii="Times New Roman" w:hAnsi="Times New Roman" w:cs="Times New Roman"/>
          <w:sz w:val="24"/>
          <w:szCs w:val="24"/>
        </w:rPr>
        <w:t xml:space="preserve"> have reached on the issue of whether the Act applies it is in one sense not necessary to consider them.  However, the issues are central to the case as argued, and indeed it is because of the second question that it was necessary to consider the applicability of the </w:t>
      </w:r>
      <w:r w:rsidR="000202B4">
        <w:rPr>
          <w:rFonts w:ascii="Times New Roman" w:hAnsi="Times New Roman" w:cs="Times New Roman"/>
          <w:sz w:val="24"/>
          <w:szCs w:val="24"/>
        </w:rPr>
        <w:t>CLA</w:t>
      </w:r>
      <w:r>
        <w:rPr>
          <w:rFonts w:ascii="Times New Roman" w:hAnsi="Times New Roman" w:cs="Times New Roman"/>
          <w:sz w:val="24"/>
          <w:szCs w:val="24"/>
        </w:rPr>
        <w:t xml:space="preserve"> at all.  </w:t>
      </w:r>
      <w:r w:rsidR="000202B4">
        <w:rPr>
          <w:rFonts w:ascii="Times New Roman" w:hAnsi="Times New Roman" w:cs="Times New Roman"/>
          <w:sz w:val="24"/>
          <w:szCs w:val="24"/>
        </w:rPr>
        <w:t xml:space="preserve">We </w:t>
      </w:r>
      <w:r>
        <w:rPr>
          <w:rFonts w:ascii="Times New Roman" w:hAnsi="Times New Roman" w:cs="Times New Roman"/>
          <w:sz w:val="24"/>
          <w:szCs w:val="24"/>
        </w:rPr>
        <w:t>therefore propose to say something about each</w:t>
      </w:r>
      <w:r w:rsidR="00F47B12">
        <w:rPr>
          <w:rFonts w:ascii="Times New Roman" w:hAnsi="Times New Roman" w:cs="Times New Roman"/>
          <w:sz w:val="24"/>
          <w:szCs w:val="24"/>
        </w:rPr>
        <w:t>.</w:t>
      </w:r>
    </w:p>
    <w:p w14:paraId="5FF2B62D" w14:textId="75CA0D27" w:rsidR="00B075DC" w:rsidRPr="00F47B12" w:rsidRDefault="00AD2B7A" w:rsidP="002A6544">
      <w:pPr>
        <w:pStyle w:val="ListParagraph"/>
        <w:numPr>
          <w:ilvl w:val="0"/>
          <w:numId w:val="1"/>
        </w:numPr>
        <w:spacing w:after="0" w:line="480" w:lineRule="auto"/>
        <w:ind w:hanging="436"/>
        <w:jc w:val="both"/>
        <w:rPr>
          <w:rFonts w:ascii="Times New Roman" w:hAnsi="Times New Roman" w:cs="Times New Roman"/>
          <w:sz w:val="24"/>
          <w:szCs w:val="24"/>
        </w:rPr>
      </w:pPr>
      <w:r w:rsidRPr="00F47B12">
        <w:rPr>
          <w:rFonts w:ascii="Times New Roman" w:hAnsi="Times New Roman" w:cs="Times New Roman"/>
          <w:sz w:val="24"/>
          <w:szCs w:val="24"/>
        </w:rPr>
        <w:lastRenderedPageBreak/>
        <w:t xml:space="preserve">Viewing the matter narrowly and from the perspective of an orthodox application of the rules of evidence, the </w:t>
      </w:r>
      <w:r w:rsidR="00E27EC3">
        <w:rPr>
          <w:rFonts w:ascii="Times New Roman" w:hAnsi="Times New Roman" w:cs="Times New Roman"/>
          <w:sz w:val="24"/>
          <w:szCs w:val="24"/>
        </w:rPr>
        <w:t>B</w:t>
      </w:r>
      <w:r w:rsidRPr="00F47B12">
        <w:rPr>
          <w:rFonts w:ascii="Times New Roman" w:hAnsi="Times New Roman" w:cs="Times New Roman"/>
          <w:sz w:val="24"/>
          <w:szCs w:val="24"/>
        </w:rPr>
        <w:t xml:space="preserve">ank’s contention on the first question has obvious </w:t>
      </w:r>
      <w:r w:rsidR="000202B4">
        <w:rPr>
          <w:rFonts w:ascii="Times New Roman" w:hAnsi="Times New Roman" w:cs="Times New Roman"/>
          <w:sz w:val="24"/>
          <w:szCs w:val="24"/>
        </w:rPr>
        <w:t>force</w:t>
      </w:r>
      <w:r w:rsidRPr="00F47B12">
        <w:rPr>
          <w:rFonts w:ascii="Times New Roman" w:hAnsi="Times New Roman" w:cs="Times New Roman"/>
          <w:sz w:val="24"/>
          <w:szCs w:val="24"/>
        </w:rPr>
        <w:t xml:space="preserve">.  It is the </w:t>
      </w:r>
      <w:r w:rsidR="000202B4">
        <w:rPr>
          <w:rFonts w:ascii="Times New Roman" w:hAnsi="Times New Roman" w:cs="Times New Roman"/>
          <w:sz w:val="24"/>
          <w:szCs w:val="24"/>
        </w:rPr>
        <w:t>D</w:t>
      </w:r>
      <w:r w:rsidRPr="00F47B12">
        <w:rPr>
          <w:rFonts w:ascii="Times New Roman" w:hAnsi="Times New Roman" w:cs="Times New Roman"/>
          <w:sz w:val="24"/>
          <w:szCs w:val="24"/>
        </w:rPr>
        <w:t xml:space="preserve">efendants who wish to contend that the </w:t>
      </w:r>
      <w:r w:rsidR="00E27EC3">
        <w:rPr>
          <w:rFonts w:ascii="Times New Roman" w:hAnsi="Times New Roman" w:cs="Times New Roman"/>
          <w:sz w:val="24"/>
          <w:szCs w:val="24"/>
        </w:rPr>
        <w:t>B</w:t>
      </w:r>
      <w:r w:rsidRPr="00F47B12">
        <w:rPr>
          <w:rFonts w:ascii="Times New Roman" w:hAnsi="Times New Roman" w:cs="Times New Roman"/>
          <w:sz w:val="24"/>
          <w:szCs w:val="24"/>
        </w:rPr>
        <w:t>ank’s claim is reduced, and the</w:t>
      </w:r>
      <w:r w:rsidR="00F5302C">
        <w:rPr>
          <w:rFonts w:ascii="Times New Roman" w:hAnsi="Times New Roman" w:cs="Times New Roman"/>
          <w:sz w:val="24"/>
          <w:szCs w:val="24"/>
        </w:rPr>
        <w:t>ir argument whereby they</w:t>
      </w:r>
      <w:r w:rsidRPr="00F47B12">
        <w:rPr>
          <w:rFonts w:ascii="Times New Roman" w:hAnsi="Times New Roman" w:cs="Times New Roman"/>
          <w:sz w:val="24"/>
          <w:szCs w:val="24"/>
        </w:rPr>
        <w:t xml:space="preserve"> seek to do so </w:t>
      </w:r>
      <w:r w:rsidR="00E27EC3">
        <w:rPr>
          <w:rFonts w:ascii="Times New Roman" w:hAnsi="Times New Roman" w:cs="Times New Roman"/>
          <w:sz w:val="24"/>
          <w:szCs w:val="24"/>
        </w:rPr>
        <w:t xml:space="preserve">is </w:t>
      </w:r>
      <w:r w:rsidRPr="00F47B12">
        <w:rPr>
          <w:rFonts w:ascii="Times New Roman" w:hAnsi="Times New Roman" w:cs="Times New Roman"/>
          <w:sz w:val="24"/>
          <w:szCs w:val="24"/>
        </w:rPr>
        <w:t>predicated on the claim that CBRE was negligent in the manner in which it conducted the valuation.  Therefore, it would seem to follow as a matter of general principle that they face the burden of establishing that claim.  In the case of a</w:t>
      </w:r>
      <w:r w:rsidR="00B075DC" w:rsidRPr="00F47B12">
        <w:rPr>
          <w:rFonts w:ascii="Times New Roman" w:hAnsi="Times New Roman" w:cs="Times New Roman"/>
          <w:sz w:val="24"/>
          <w:szCs w:val="24"/>
        </w:rPr>
        <w:t xml:space="preserve">n assertion </w:t>
      </w:r>
      <w:r w:rsidRPr="00F47B12">
        <w:rPr>
          <w:rFonts w:ascii="Times New Roman" w:hAnsi="Times New Roman" w:cs="Times New Roman"/>
          <w:sz w:val="24"/>
          <w:szCs w:val="24"/>
        </w:rPr>
        <w:t>of professional negligence, this usually requires expert evidence</w:t>
      </w:r>
      <w:r w:rsidR="00B075DC" w:rsidRPr="00F47B12">
        <w:rPr>
          <w:rFonts w:ascii="Times New Roman" w:hAnsi="Times New Roman" w:cs="Times New Roman"/>
          <w:sz w:val="24"/>
          <w:szCs w:val="24"/>
        </w:rPr>
        <w:t xml:space="preserve"> that the professional has indeed been negligent.</w:t>
      </w:r>
    </w:p>
    <w:p w14:paraId="7D43C35F" w14:textId="77777777" w:rsidR="00B075DC" w:rsidRDefault="00B075DC" w:rsidP="002A6544">
      <w:pPr>
        <w:pStyle w:val="ListParagraph"/>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  </w:t>
      </w:r>
    </w:p>
    <w:p w14:paraId="2BAB0A59" w14:textId="3CE3510E" w:rsidR="007C6639" w:rsidRDefault="00EB1BF6" w:rsidP="002A6544">
      <w:pPr>
        <w:pStyle w:val="ListParagraph"/>
        <w:numPr>
          <w:ilvl w:val="0"/>
          <w:numId w:val="1"/>
        </w:numPr>
        <w:spacing w:after="0" w:line="480" w:lineRule="auto"/>
        <w:ind w:hanging="436"/>
        <w:jc w:val="both"/>
        <w:rPr>
          <w:rFonts w:ascii="Times New Roman" w:hAnsi="Times New Roman" w:cs="Times New Roman"/>
          <w:sz w:val="24"/>
          <w:szCs w:val="24"/>
        </w:rPr>
      </w:pPr>
      <w:r w:rsidRPr="00EB1BF6">
        <w:rPr>
          <w:rFonts w:ascii="Times New Roman" w:hAnsi="Times New Roman" w:cs="Times New Roman"/>
          <w:sz w:val="24"/>
          <w:szCs w:val="24"/>
        </w:rPr>
        <w:t>The counterpoint</w:t>
      </w:r>
      <w:r w:rsidR="003822C7">
        <w:rPr>
          <w:rFonts w:ascii="Times New Roman" w:hAnsi="Times New Roman" w:cs="Times New Roman"/>
          <w:sz w:val="24"/>
          <w:szCs w:val="24"/>
        </w:rPr>
        <w:t xml:space="preserve"> to this argument is,</w:t>
      </w:r>
      <w:r w:rsidR="00F540DF">
        <w:rPr>
          <w:rFonts w:ascii="Times New Roman" w:hAnsi="Times New Roman" w:cs="Times New Roman"/>
          <w:sz w:val="24"/>
          <w:szCs w:val="24"/>
        </w:rPr>
        <w:t xml:space="preserve"> we</w:t>
      </w:r>
      <w:r w:rsidR="003822C7">
        <w:rPr>
          <w:rFonts w:ascii="Times New Roman" w:hAnsi="Times New Roman" w:cs="Times New Roman"/>
          <w:sz w:val="24"/>
          <w:szCs w:val="24"/>
        </w:rPr>
        <w:t xml:space="preserve"> think, more substantial than the </w:t>
      </w:r>
      <w:r w:rsidR="00E27EC3">
        <w:rPr>
          <w:rFonts w:ascii="Times New Roman" w:hAnsi="Times New Roman" w:cs="Times New Roman"/>
          <w:sz w:val="24"/>
          <w:szCs w:val="24"/>
        </w:rPr>
        <w:t>B</w:t>
      </w:r>
      <w:r w:rsidR="003822C7">
        <w:rPr>
          <w:rFonts w:ascii="Times New Roman" w:hAnsi="Times New Roman" w:cs="Times New Roman"/>
          <w:sz w:val="24"/>
          <w:szCs w:val="24"/>
        </w:rPr>
        <w:t xml:space="preserve">ank’s submissions </w:t>
      </w:r>
      <w:r w:rsidR="009E2C3D">
        <w:rPr>
          <w:rFonts w:ascii="Times New Roman" w:hAnsi="Times New Roman" w:cs="Times New Roman"/>
          <w:sz w:val="24"/>
          <w:szCs w:val="24"/>
        </w:rPr>
        <w:t>acknowledge</w:t>
      </w:r>
      <w:r w:rsidR="003822C7">
        <w:rPr>
          <w:rFonts w:ascii="Times New Roman" w:hAnsi="Times New Roman" w:cs="Times New Roman"/>
          <w:sz w:val="24"/>
          <w:szCs w:val="24"/>
        </w:rPr>
        <w:t xml:space="preserve">. </w:t>
      </w:r>
      <w:r w:rsidR="00F47B12" w:rsidRPr="00EB1BF6">
        <w:rPr>
          <w:rFonts w:ascii="Times New Roman" w:hAnsi="Times New Roman" w:cs="Times New Roman"/>
          <w:sz w:val="24"/>
          <w:szCs w:val="24"/>
        </w:rPr>
        <w:t xml:space="preserve">While the </w:t>
      </w:r>
      <w:r w:rsidR="000202B4">
        <w:rPr>
          <w:rFonts w:ascii="Times New Roman" w:hAnsi="Times New Roman" w:cs="Times New Roman"/>
          <w:sz w:val="24"/>
          <w:szCs w:val="24"/>
        </w:rPr>
        <w:t>D</w:t>
      </w:r>
      <w:r w:rsidR="00F47B12" w:rsidRPr="00EB1BF6">
        <w:rPr>
          <w:rFonts w:ascii="Times New Roman" w:hAnsi="Times New Roman" w:cs="Times New Roman"/>
          <w:sz w:val="24"/>
          <w:szCs w:val="24"/>
        </w:rPr>
        <w:t xml:space="preserve">efendants did not adduce evidence that CBRE had been negligent, they did adduce evidence that the </w:t>
      </w:r>
      <w:r w:rsidR="00E27EC3">
        <w:rPr>
          <w:rFonts w:ascii="Times New Roman" w:hAnsi="Times New Roman" w:cs="Times New Roman"/>
          <w:sz w:val="24"/>
          <w:szCs w:val="24"/>
        </w:rPr>
        <w:t>B</w:t>
      </w:r>
      <w:r w:rsidR="00F47B12" w:rsidRPr="00EB1BF6">
        <w:rPr>
          <w:rFonts w:ascii="Times New Roman" w:hAnsi="Times New Roman" w:cs="Times New Roman"/>
          <w:sz w:val="24"/>
          <w:szCs w:val="24"/>
        </w:rPr>
        <w:t xml:space="preserve">ank had itself not merely entertained the view that CBRE was negligent, but had proceeded to institute legal proceedings </w:t>
      </w:r>
      <w:r w:rsidR="009E2C3D">
        <w:rPr>
          <w:rFonts w:ascii="Times New Roman" w:hAnsi="Times New Roman" w:cs="Times New Roman"/>
          <w:sz w:val="24"/>
          <w:szCs w:val="24"/>
        </w:rPr>
        <w:t>on that basis</w:t>
      </w:r>
      <w:r w:rsidR="00F47B12" w:rsidRPr="00EB1BF6">
        <w:rPr>
          <w:rFonts w:ascii="Times New Roman" w:hAnsi="Times New Roman" w:cs="Times New Roman"/>
          <w:sz w:val="24"/>
          <w:szCs w:val="24"/>
        </w:rPr>
        <w:t xml:space="preserve">.  </w:t>
      </w:r>
      <w:r w:rsidR="000202B4">
        <w:rPr>
          <w:rFonts w:ascii="Times New Roman" w:hAnsi="Times New Roman" w:cs="Times New Roman"/>
          <w:sz w:val="24"/>
          <w:szCs w:val="24"/>
        </w:rPr>
        <w:t>It seems reasonable for the</w:t>
      </w:r>
      <w:r w:rsidR="00F47B12" w:rsidRPr="00EB1BF6">
        <w:rPr>
          <w:rFonts w:ascii="Times New Roman" w:hAnsi="Times New Roman" w:cs="Times New Roman"/>
          <w:sz w:val="24"/>
          <w:szCs w:val="24"/>
        </w:rPr>
        <w:t xml:space="preserve"> Court </w:t>
      </w:r>
      <w:r w:rsidR="000202B4">
        <w:rPr>
          <w:rFonts w:ascii="Times New Roman" w:hAnsi="Times New Roman" w:cs="Times New Roman"/>
          <w:sz w:val="24"/>
          <w:szCs w:val="24"/>
        </w:rPr>
        <w:t>to</w:t>
      </w:r>
      <w:r w:rsidR="000202B4" w:rsidRPr="00EB1BF6">
        <w:rPr>
          <w:rFonts w:ascii="Times New Roman" w:hAnsi="Times New Roman" w:cs="Times New Roman"/>
          <w:sz w:val="24"/>
          <w:szCs w:val="24"/>
        </w:rPr>
        <w:t xml:space="preserve"> </w:t>
      </w:r>
      <w:r w:rsidR="00F47B12" w:rsidRPr="00EB1BF6">
        <w:rPr>
          <w:rFonts w:ascii="Times New Roman" w:hAnsi="Times New Roman" w:cs="Times New Roman"/>
          <w:sz w:val="24"/>
          <w:szCs w:val="24"/>
        </w:rPr>
        <w:t xml:space="preserve">assume that those proceedings were brought on foot of expert evidence to that effect. </w:t>
      </w:r>
      <w:r w:rsidR="00772CAB" w:rsidRPr="00EB1BF6">
        <w:rPr>
          <w:rFonts w:ascii="Times New Roman" w:hAnsi="Times New Roman" w:cs="Times New Roman"/>
          <w:sz w:val="24"/>
          <w:szCs w:val="24"/>
        </w:rPr>
        <w:t xml:space="preserve"> </w:t>
      </w:r>
      <w:r w:rsidR="0005134A" w:rsidRPr="00EB1BF6">
        <w:rPr>
          <w:rFonts w:ascii="Times New Roman" w:hAnsi="Times New Roman" w:cs="Times New Roman"/>
          <w:sz w:val="24"/>
          <w:szCs w:val="24"/>
        </w:rPr>
        <w:t>In the context of a claim involving concurrent wrongdoers, t</w:t>
      </w:r>
      <w:r w:rsidR="00772CAB" w:rsidRPr="00EB1BF6">
        <w:rPr>
          <w:rFonts w:ascii="Times New Roman" w:hAnsi="Times New Roman" w:cs="Times New Roman"/>
          <w:sz w:val="24"/>
          <w:szCs w:val="24"/>
        </w:rPr>
        <w:t xml:space="preserve">he proposition that the </w:t>
      </w:r>
      <w:r w:rsidR="000202B4">
        <w:rPr>
          <w:rFonts w:ascii="Times New Roman" w:hAnsi="Times New Roman" w:cs="Times New Roman"/>
          <w:sz w:val="24"/>
          <w:szCs w:val="24"/>
        </w:rPr>
        <w:t>D</w:t>
      </w:r>
      <w:r w:rsidR="00772CAB" w:rsidRPr="00EB1BF6">
        <w:rPr>
          <w:rFonts w:ascii="Times New Roman" w:hAnsi="Times New Roman" w:cs="Times New Roman"/>
          <w:sz w:val="24"/>
          <w:szCs w:val="24"/>
        </w:rPr>
        <w:t xml:space="preserve">efendants must prove against the </w:t>
      </w:r>
      <w:r w:rsidR="000202B4">
        <w:rPr>
          <w:rFonts w:ascii="Times New Roman" w:hAnsi="Times New Roman" w:cs="Times New Roman"/>
          <w:sz w:val="24"/>
          <w:szCs w:val="24"/>
        </w:rPr>
        <w:t>Bank</w:t>
      </w:r>
      <w:r w:rsidR="000202B4" w:rsidRPr="00EB1BF6">
        <w:rPr>
          <w:rFonts w:ascii="Times New Roman" w:hAnsi="Times New Roman" w:cs="Times New Roman"/>
          <w:sz w:val="24"/>
          <w:szCs w:val="24"/>
        </w:rPr>
        <w:t xml:space="preserve"> </w:t>
      </w:r>
      <w:r w:rsidR="00772CAB" w:rsidRPr="00EB1BF6">
        <w:rPr>
          <w:rFonts w:ascii="Times New Roman" w:hAnsi="Times New Roman" w:cs="Times New Roman"/>
          <w:sz w:val="24"/>
          <w:szCs w:val="24"/>
        </w:rPr>
        <w:t xml:space="preserve">a claim that the </w:t>
      </w:r>
      <w:r w:rsidR="000202B4">
        <w:rPr>
          <w:rFonts w:ascii="Times New Roman" w:hAnsi="Times New Roman" w:cs="Times New Roman"/>
          <w:sz w:val="24"/>
          <w:szCs w:val="24"/>
        </w:rPr>
        <w:t>Bank</w:t>
      </w:r>
      <w:r w:rsidR="000202B4" w:rsidRPr="00EB1BF6">
        <w:rPr>
          <w:rFonts w:ascii="Times New Roman" w:hAnsi="Times New Roman" w:cs="Times New Roman"/>
          <w:sz w:val="24"/>
          <w:szCs w:val="24"/>
        </w:rPr>
        <w:t xml:space="preserve"> </w:t>
      </w:r>
      <w:r w:rsidR="00772CAB" w:rsidRPr="00EB1BF6">
        <w:rPr>
          <w:rFonts w:ascii="Times New Roman" w:hAnsi="Times New Roman" w:cs="Times New Roman"/>
          <w:sz w:val="24"/>
          <w:szCs w:val="24"/>
        </w:rPr>
        <w:t>itself ha</w:t>
      </w:r>
      <w:r w:rsidR="000202B4">
        <w:rPr>
          <w:rFonts w:ascii="Times New Roman" w:hAnsi="Times New Roman" w:cs="Times New Roman"/>
          <w:sz w:val="24"/>
          <w:szCs w:val="24"/>
        </w:rPr>
        <w:t>d</w:t>
      </w:r>
      <w:r w:rsidR="00772CAB" w:rsidRPr="00EB1BF6">
        <w:rPr>
          <w:rFonts w:ascii="Times New Roman" w:hAnsi="Times New Roman" w:cs="Times New Roman"/>
          <w:sz w:val="24"/>
          <w:szCs w:val="24"/>
        </w:rPr>
        <w:t xml:space="preserve"> advanced </w:t>
      </w:r>
      <w:r w:rsidR="0005134A" w:rsidRPr="00EB1BF6">
        <w:rPr>
          <w:rFonts w:ascii="Times New Roman" w:hAnsi="Times New Roman" w:cs="Times New Roman"/>
          <w:sz w:val="24"/>
          <w:szCs w:val="24"/>
        </w:rPr>
        <w:t xml:space="preserve">by way of legal action </w:t>
      </w:r>
      <w:r w:rsidR="00772CAB" w:rsidRPr="00EB1BF6">
        <w:rPr>
          <w:rFonts w:ascii="Times New Roman" w:hAnsi="Times New Roman" w:cs="Times New Roman"/>
          <w:sz w:val="24"/>
          <w:szCs w:val="24"/>
        </w:rPr>
        <w:t>against a</w:t>
      </w:r>
      <w:r w:rsidR="0005134A" w:rsidRPr="00EB1BF6">
        <w:rPr>
          <w:rFonts w:ascii="Times New Roman" w:hAnsi="Times New Roman" w:cs="Times New Roman"/>
          <w:sz w:val="24"/>
          <w:szCs w:val="24"/>
        </w:rPr>
        <w:t xml:space="preserve">nother wrongdoer </w:t>
      </w:r>
      <w:r w:rsidR="003822C7">
        <w:rPr>
          <w:rFonts w:ascii="Times New Roman" w:hAnsi="Times New Roman" w:cs="Times New Roman"/>
          <w:sz w:val="24"/>
          <w:szCs w:val="24"/>
        </w:rPr>
        <w:t xml:space="preserve">is, at first glance, </w:t>
      </w:r>
      <w:r w:rsidR="00772CAB" w:rsidRPr="00EB1BF6">
        <w:rPr>
          <w:rFonts w:ascii="Times New Roman" w:hAnsi="Times New Roman" w:cs="Times New Roman"/>
          <w:sz w:val="24"/>
          <w:szCs w:val="24"/>
        </w:rPr>
        <w:t>surprising.  While s</w:t>
      </w:r>
      <w:r w:rsidR="000202B4">
        <w:rPr>
          <w:rFonts w:ascii="Times New Roman" w:hAnsi="Times New Roman" w:cs="Times New Roman"/>
          <w:sz w:val="24"/>
          <w:szCs w:val="24"/>
        </w:rPr>
        <w:t>ection</w:t>
      </w:r>
      <w:r w:rsidR="00772CAB" w:rsidRPr="00EB1BF6">
        <w:rPr>
          <w:rFonts w:ascii="Times New Roman" w:hAnsi="Times New Roman" w:cs="Times New Roman"/>
          <w:sz w:val="24"/>
          <w:szCs w:val="24"/>
        </w:rPr>
        <w:t xml:space="preserve"> 32 CLA makes it clear that where an action is brought against two persons as concurrent wrongdoers each is entitled to call evidence against the other, the reality is that had the proceedings been heard as a claim by the </w:t>
      </w:r>
      <w:r w:rsidR="000202B4">
        <w:rPr>
          <w:rFonts w:ascii="Times New Roman" w:hAnsi="Times New Roman" w:cs="Times New Roman"/>
          <w:sz w:val="24"/>
          <w:szCs w:val="24"/>
        </w:rPr>
        <w:t xml:space="preserve">Bank </w:t>
      </w:r>
      <w:r w:rsidR="00772CAB" w:rsidRPr="00EB1BF6">
        <w:rPr>
          <w:rFonts w:ascii="Times New Roman" w:hAnsi="Times New Roman" w:cs="Times New Roman"/>
          <w:sz w:val="24"/>
          <w:szCs w:val="24"/>
        </w:rPr>
        <w:t xml:space="preserve"> as against the </w:t>
      </w:r>
      <w:r w:rsidR="000202B4">
        <w:rPr>
          <w:rFonts w:ascii="Times New Roman" w:hAnsi="Times New Roman" w:cs="Times New Roman"/>
          <w:sz w:val="24"/>
          <w:szCs w:val="24"/>
        </w:rPr>
        <w:t>D</w:t>
      </w:r>
      <w:r w:rsidR="00772CAB" w:rsidRPr="00EB1BF6">
        <w:rPr>
          <w:rFonts w:ascii="Times New Roman" w:hAnsi="Times New Roman" w:cs="Times New Roman"/>
          <w:sz w:val="24"/>
          <w:szCs w:val="24"/>
        </w:rPr>
        <w:t xml:space="preserve">efendants and CBRE, the </w:t>
      </w:r>
      <w:r w:rsidR="000202B4">
        <w:rPr>
          <w:rFonts w:ascii="Times New Roman" w:hAnsi="Times New Roman" w:cs="Times New Roman"/>
          <w:sz w:val="24"/>
          <w:szCs w:val="24"/>
        </w:rPr>
        <w:t>D</w:t>
      </w:r>
      <w:r w:rsidR="00772CAB" w:rsidRPr="00EB1BF6">
        <w:rPr>
          <w:rFonts w:ascii="Times New Roman" w:hAnsi="Times New Roman" w:cs="Times New Roman"/>
          <w:sz w:val="24"/>
          <w:szCs w:val="24"/>
        </w:rPr>
        <w:t xml:space="preserve">efendants could have relied </w:t>
      </w:r>
      <w:r w:rsidR="00B320D1">
        <w:rPr>
          <w:rFonts w:ascii="Times New Roman" w:hAnsi="Times New Roman" w:cs="Times New Roman"/>
          <w:i/>
          <w:sz w:val="24"/>
          <w:szCs w:val="24"/>
        </w:rPr>
        <w:t xml:space="preserve">as against the </w:t>
      </w:r>
      <w:r w:rsidR="000202B4">
        <w:rPr>
          <w:rFonts w:ascii="Times New Roman" w:hAnsi="Times New Roman" w:cs="Times New Roman"/>
          <w:i/>
          <w:sz w:val="24"/>
          <w:szCs w:val="24"/>
        </w:rPr>
        <w:t xml:space="preserve">Bank </w:t>
      </w:r>
      <w:r w:rsidR="00772CAB" w:rsidRPr="00EB1BF6">
        <w:rPr>
          <w:rFonts w:ascii="Times New Roman" w:hAnsi="Times New Roman" w:cs="Times New Roman"/>
          <w:sz w:val="24"/>
          <w:szCs w:val="24"/>
        </w:rPr>
        <w:t xml:space="preserve">upon the plea advanced by the </w:t>
      </w:r>
      <w:r w:rsidR="000202B4">
        <w:rPr>
          <w:rFonts w:ascii="Times New Roman" w:hAnsi="Times New Roman" w:cs="Times New Roman"/>
          <w:sz w:val="24"/>
          <w:szCs w:val="24"/>
        </w:rPr>
        <w:t>Bank</w:t>
      </w:r>
      <w:r w:rsidR="000202B4" w:rsidRPr="00EB1BF6">
        <w:rPr>
          <w:rFonts w:ascii="Times New Roman" w:hAnsi="Times New Roman" w:cs="Times New Roman"/>
          <w:sz w:val="24"/>
          <w:szCs w:val="24"/>
        </w:rPr>
        <w:t xml:space="preserve"> </w:t>
      </w:r>
      <w:r w:rsidR="00772CAB" w:rsidRPr="00EB1BF6">
        <w:rPr>
          <w:rFonts w:ascii="Times New Roman" w:hAnsi="Times New Roman" w:cs="Times New Roman"/>
          <w:sz w:val="24"/>
          <w:szCs w:val="24"/>
        </w:rPr>
        <w:t xml:space="preserve">in contending that CBRE was a wrongdoer </w:t>
      </w:r>
      <w:r w:rsidR="00F5302C">
        <w:rPr>
          <w:rFonts w:ascii="Times New Roman" w:hAnsi="Times New Roman" w:cs="Times New Roman"/>
          <w:sz w:val="24"/>
          <w:szCs w:val="24"/>
        </w:rPr>
        <w:t xml:space="preserve">- </w:t>
      </w:r>
      <w:r w:rsidR="00772CAB" w:rsidRPr="00EB1BF6">
        <w:rPr>
          <w:rFonts w:ascii="Times New Roman" w:hAnsi="Times New Roman" w:cs="Times New Roman"/>
          <w:sz w:val="24"/>
          <w:szCs w:val="24"/>
        </w:rPr>
        <w:t xml:space="preserve">had the </w:t>
      </w:r>
      <w:r w:rsidR="000202B4">
        <w:rPr>
          <w:rFonts w:ascii="Times New Roman" w:hAnsi="Times New Roman" w:cs="Times New Roman"/>
          <w:sz w:val="24"/>
          <w:szCs w:val="24"/>
        </w:rPr>
        <w:t>Bank</w:t>
      </w:r>
      <w:r w:rsidR="000202B4" w:rsidRPr="00EB1BF6">
        <w:rPr>
          <w:rFonts w:ascii="Times New Roman" w:hAnsi="Times New Roman" w:cs="Times New Roman"/>
          <w:sz w:val="24"/>
          <w:szCs w:val="24"/>
        </w:rPr>
        <w:t xml:space="preserve"> </w:t>
      </w:r>
      <w:r w:rsidR="00772CAB" w:rsidRPr="00EB1BF6">
        <w:rPr>
          <w:rFonts w:ascii="Times New Roman" w:hAnsi="Times New Roman" w:cs="Times New Roman"/>
          <w:sz w:val="24"/>
          <w:szCs w:val="24"/>
        </w:rPr>
        <w:t xml:space="preserve">subsequently denied that fact.  The issues in the trial are defined by the pleadings, and a plaintiff is estopped from denying in a </w:t>
      </w:r>
      <w:r w:rsidR="00772CAB" w:rsidRPr="00EB1BF6">
        <w:rPr>
          <w:rFonts w:ascii="Times New Roman" w:hAnsi="Times New Roman" w:cs="Times New Roman"/>
          <w:sz w:val="24"/>
          <w:szCs w:val="24"/>
        </w:rPr>
        <w:lastRenderedPageBreak/>
        <w:t>trial a claim made in those pleadings</w:t>
      </w:r>
      <w:r w:rsidR="0005134A" w:rsidRPr="00EB1BF6">
        <w:rPr>
          <w:rFonts w:ascii="Times New Roman" w:hAnsi="Times New Roman" w:cs="Times New Roman"/>
          <w:sz w:val="24"/>
          <w:szCs w:val="24"/>
        </w:rPr>
        <w:t xml:space="preserve"> without, at the very least, applying to amend the pleadings to withdraw that claim</w:t>
      </w:r>
      <w:r w:rsidR="006D04B0" w:rsidRPr="00EB1BF6">
        <w:rPr>
          <w:rFonts w:ascii="Times New Roman" w:hAnsi="Times New Roman" w:cs="Times New Roman"/>
          <w:sz w:val="24"/>
          <w:szCs w:val="24"/>
        </w:rPr>
        <w:t xml:space="preserve"> (see, for </w:t>
      </w:r>
      <w:r w:rsidRPr="00EB1BF6">
        <w:rPr>
          <w:rFonts w:ascii="Times New Roman" w:hAnsi="Times New Roman" w:cs="Times New Roman"/>
          <w:sz w:val="24"/>
          <w:szCs w:val="24"/>
        </w:rPr>
        <w:t xml:space="preserve">an example of estoppel by pleading </w:t>
      </w:r>
      <w:r w:rsidR="006D04B0" w:rsidRPr="00EB1BF6">
        <w:rPr>
          <w:rFonts w:ascii="Times New Roman" w:hAnsi="Times New Roman" w:cs="Times New Roman"/>
          <w:i/>
          <w:sz w:val="24"/>
          <w:szCs w:val="24"/>
        </w:rPr>
        <w:t xml:space="preserve">Moran v. </w:t>
      </w:r>
      <w:r w:rsidR="00EC3AF7">
        <w:rPr>
          <w:rFonts w:ascii="Times New Roman" w:hAnsi="Times New Roman" w:cs="Times New Roman"/>
          <w:i/>
          <w:sz w:val="24"/>
          <w:szCs w:val="24"/>
        </w:rPr>
        <w:t>Workers Union of Ireland</w:t>
      </w:r>
      <w:r w:rsidR="006D04B0" w:rsidRPr="00EB1BF6">
        <w:rPr>
          <w:rFonts w:ascii="Times New Roman" w:hAnsi="Times New Roman" w:cs="Times New Roman"/>
          <w:i/>
          <w:sz w:val="24"/>
          <w:szCs w:val="24"/>
        </w:rPr>
        <w:t xml:space="preserve"> </w:t>
      </w:r>
      <w:r w:rsidR="006D04B0" w:rsidRPr="00EB1BF6">
        <w:rPr>
          <w:rFonts w:ascii="Times New Roman" w:hAnsi="Times New Roman" w:cs="Times New Roman"/>
          <w:sz w:val="24"/>
          <w:szCs w:val="24"/>
        </w:rPr>
        <w:t>[1943] IR 485)</w:t>
      </w:r>
      <w:r w:rsidR="0005134A" w:rsidRPr="00EB1BF6">
        <w:rPr>
          <w:rFonts w:ascii="Times New Roman" w:hAnsi="Times New Roman" w:cs="Times New Roman"/>
          <w:sz w:val="24"/>
          <w:szCs w:val="24"/>
        </w:rPr>
        <w:t xml:space="preserve">. </w:t>
      </w:r>
      <w:r w:rsidR="008B658C" w:rsidRPr="00EB1BF6">
        <w:rPr>
          <w:rFonts w:ascii="Times New Roman" w:hAnsi="Times New Roman" w:cs="Times New Roman"/>
          <w:sz w:val="24"/>
          <w:szCs w:val="24"/>
        </w:rPr>
        <w:t xml:space="preserve">Each defendant to an action is entitled to rely </w:t>
      </w:r>
      <w:r w:rsidR="008B658C" w:rsidRPr="00EB1BF6">
        <w:rPr>
          <w:rFonts w:ascii="Times New Roman" w:hAnsi="Times New Roman" w:cs="Times New Roman"/>
          <w:i/>
          <w:sz w:val="24"/>
          <w:szCs w:val="24"/>
        </w:rPr>
        <w:t xml:space="preserve">as against the plaintiff </w:t>
      </w:r>
      <w:r w:rsidR="008B658C" w:rsidRPr="00EB1BF6">
        <w:rPr>
          <w:rFonts w:ascii="Times New Roman" w:hAnsi="Times New Roman" w:cs="Times New Roman"/>
          <w:sz w:val="24"/>
          <w:szCs w:val="24"/>
        </w:rPr>
        <w:t xml:space="preserve">upon the pleas made by the plaintiff itself. </w:t>
      </w:r>
      <w:r w:rsidR="0005134A" w:rsidRPr="00EB1BF6">
        <w:rPr>
          <w:rFonts w:ascii="Times New Roman" w:hAnsi="Times New Roman" w:cs="Times New Roman"/>
          <w:sz w:val="24"/>
          <w:szCs w:val="24"/>
        </w:rPr>
        <w:t xml:space="preserve"> </w:t>
      </w:r>
    </w:p>
    <w:p w14:paraId="7487DAF3" w14:textId="7A195C2E" w:rsidR="00821B3C" w:rsidRDefault="007C6639" w:rsidP="002A6544">
      <w:pPr>
        <w:pStyle w:val="ListParagraph"/>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  </w:t>
      </w:r>
    </w:p>
    <w:p w14:paraId="567FA63D" w14:textId="6BB11071" w:rsidR="00821B3C" w:rsidRPr="00821B3C" w:rsidRDefault="00821B3C" w:rsidP="002A6544">
      <w:pPr>
        <w:pStyle w:val="ListParagraph"/>
        <w:numPr>
          <w:ilvl w:val="0"/>
          <w:numId w:val="1"/>
        </w:numPr>
        <w:spacing w:after="0" w:line="480" w:lineRule="auto"/>
        <w:ind w:hanging="436"/>
        <w:jc w:val="both"/>
        <w:rPr>
          <w:rFonts w:ascii="Times New Roman" w:hAnsi="Times New Roman" w:cs="Times New Roman"/>
          <w:sz w:val="24"/>
          <w:szCs w:val="24"/>
        </w:rPr>
      </w:pPr>
      <w:r w:rsidRPr="00821B3C">
        <w:rPr>
          <w:rFonts w:ascii="Times New Roman" w:hAnsi="Times New Roman" w:cs="Times New Roman"/>
          <w:sz w:val="24"/>
          <w:szCs w:val="24"/>
        </w:rPr>
        <w:t xml:space="preserve">Even </w:t>
      </w:r>
      <w:r>
        <w:rPr>
          <w:rFonts w:ascii="Times New Roman" w:hAnsi="Times New Roman" w:cs="Times New Roman"/>
          <w:sz w:val="24"/>
          <w:szCs w:val="24"/>
        </w:rPr>
        <w:t>if</w:t>
      </w:r>
      <w:r w:rsidRPr="00821B3C">
        <w:rPr>
          <w:rFonts w:ascii="Times New Roman" w:hAnsi="Times New Roman" w:cs="Times New Roman"/>
          <w:sz w:val="24"/>
          <w:szCs w:val="24"/>
        </w:rPr>
        <w:t xml:space="preserve"> the plea </w:t>
      </w:r>
      <w:r>
        <w:rPr>
          <w:rFonts w:ascii="Times New Roman" w:hAnsi="Times New Roman" w:cs="Times New Roman"/>
          <w:sz w:val="24"/>
          <w:szCs w:val="24"/>
        </w:rPr>
        <w:t>had b</w:t>
      </w:r>
      <w:r w:rsidRPr="00821B3C">
        <w:rPr>
          <w:rFonts w:ascii="Times New Roman" w:hAnsi="Times New Roman" w:cs="Times New Roman"/>
          <w:sz w:val="24"/>
          <w:szCs w:val="24"/>
        </w:rPr>
        <w:t>een withdrawn and the proceedings settled between the Bank and CBRE following the delivery of the pleadings before trial or for that matter before the Bank went into evidence, it can certainly be argued that the Defendants could have relied upon the fact of that plea to at least shift the evidential burden on to the Bank to disprove the claim they had previously advanced.  Given that all of this would be true in an action in which the plaintiff and the alleged wrongdoers were sued in one action, and given that the entire thrust of the CLA is directed to ensuring that this is how such claims against concurrent wrongdoers should be processed, a strong case can be made that the situation should not be any different simply because two separate actions were brought.  In those circumstances - but for one consideration - we think the Bank would have faced a compelling claim that it was precluded by its own pleading from adopting a position in these proceedings that was contrary to the stance it had adopted in the litigation against CBRE. Here it must be recalled there was a plea in legal action, the obtaining (through the settlement agreement) of an advantage based upon that assertion, and (insofar as the defendants did not themselves adduce evidence of CBRE’s negligence because of the position adopted by the bank in the proceedings against CBRE) detrimental reliance upon that plea.</w:t>
      </w:r>
    </w:p>
    <w:p w14:paraId="6C0A409C" w14:textId="77777777" w:rsidR="00CD71C2" w:rsidRDefault="00EB1BF6" w:rsidP="002A6544">
      <w:pPr>
        <w:pStyle w:val="ListParagraph"/>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  </w:t>
      </w:r>
    </w:p>
    <w:p w14:paraId="605D7F61" w14:textId="469CB315" w:rsidR="00EB1BF6" w:rsidRDefault="00EB1BF6" w:rsidP="0093356E">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lastRenderedPageBreak/>
        <w:t xml:space="preserve">Had the allegation made by the Bank in its claim been one of simple fact, </w:t>
      </w:r>
      <w:r w:rsidR="00F540DF">
        <w:rPr>
          <w:rFonts w:ascii="Times New Roman" w:hAnsi="Times New Roman" w:cs="Times New Roman"/>
          <w:sz w:val="24"/>
          <w:szCs w:val="24"/>
        </w:rPr>
        <w:t>we</w:t>
      </w:r>
      <w:r>
        <w:rPr>
          <w:rFonts w:ascii="Times New Roman" w:hAnsi="Times New Roman" w:cs="Times New Roman"/>
          <w:sz w:val="24"/>
          <w:szCs w:val="24"/>
        </w:rPr>
        <w:t xml:space="preserve"> think that the </w:t>
      </w:r>
      <w:r w:rsidR="000202B4">
        <w:rPr>
          <w:rFonts w:ascii="Times New Roman" w:hAnsi="Times New Roman" w:cs="Times New Roman"/>
          <w:sz w:val="24"/>
          <w:szCs w:val="24"/>
        </w:rPr>
        <w:t>D</w:t>
      </w:r>
      <w:r w:rsidR="007C6639">
        <w:rPr>
          <w:rFonts w:ascii="Times New Roman" w:hAnsi="Times New Roman" w:cs="Times New Roman"/>
          <w:sz w:val="24"/>
          <w:szCs w:val="24"/>
        </w:rPr>
        <w:t>efendant</w:t>
      </w:r>
      <w:r w:rsidR="000202B4">
        <w:rPr>
          <w:rFonts w:ascii="Times New Roman" w:hAnsi="Times New Roman" w:cs="Times New Roman"/>
          <w:sz w:val="24"/>
          <w:szCs w:val="24"/>
        </w:rPr>
        <w:t>s</w:t>
      </w:r>
      <w:r w:rsidR="007C6639">
        <w:rPr>
          <w:rFonts w:ascii="Times New Roman" w:hAnsi="Times New Roman" w:cs="Times New Roman"/>
          <w:sz w:val="24"/>
          <w:szCs w:val="24"/>
        </w:rPr>
        <w:t xml:space="preserve"> submission </w:t>
      </w:r>
      <w:r w:rsidR="006952AA">
        <w:rPr>
          <w:rFonts w:ascii="Times New Roman" w:hAnsi="Times New Roman" w:cs="Times New Roman"/>
          <w:sz w:val="24"/>
          <w:szCs w:val="24"/>
        </w:rPr>
        <w:t xml:space="preserve">on this issue </w:t>
      </w:r>
      <w:r w:rsidR="007C6639">
        <w:rPr>
          <w:rFonts w:ascii="Times New Roman" w:hAnsi="Times New Roman" w:cs="Times New Roman"/>
          <w:sz w:val="24"/>
          <w:szCs w:val="24"/>
        </w:rPr>
        <w:t xml:space="preserve">would </w:t>
      </w:r>
      <w:r w:rsidR="006952AA">
        <w:rPr>
          <w:rFonts w:ascii="Times New Roman" w:hAnsi="Times New Roman" w:cs="Times New Roman"/>
          <w:sz w:val="24"/>
          <w:szCs w:val="24"/>
        </w:rPr>
        <w:t xml:space="preserve">thus </w:t>
      </w:r>
      <w:r w:rsidR="007C6639">
        <w:rPr>
          <w:rFonts w:ascii="Times New Roman" w:hAnsi="Times New Roman" w:cs="Times New Roman"/>
          <w:sz w:val="24"/>
          <w:szCs w:val="24"/>
        </w:rPr>
        <w:t xml:space="preserve">have been correct and conclusive.  However, an allegation of professional negligence has at its heart not a claim of fact, but one based upon </w:t>
      </w:r>
      <w:r w:rsidR="00047F6E">
        <w:rPr>
          <w:rFonts w:ascii="Times New Roman" w:hAnsi="Times New Roman" w:cs="Times New Roman"/>
          <w:sz w:val="24"/>
          <w:szCs w:val="24"/>
        </w:rPr>
        <w:t xml:space="preserve">judgment and </w:t>
      </w:r>
      <w:r w:rsidR="007C6639">
        <w:rPr>
          <w:rFonts w:ascii="Times New Roman" w:hAnsi="Times New Roman" w:cs="Times New Roman"/>
          <w:sz w:val="24"/>
          <w:szCs w:val="24"/>
        </w:rPr>
        <w:t xml:space="preserve">opinion.  </w:t>
      </w:r>
      <w:r w:rsidR="006952AA">
        <w:rPr>
          <w:rFonts w:ascii="Times New Roman" w:hAnsi="Times New Roman" w:cs="Times New Roman"/>
          <w:sz w:val="24"/>
          <w:szCs w:val="24"/>
        </w:rPr>
        <w:t xml:space="preserve">The </w:t>
      </w:r>
      <w:r w:rsidR="000202B4">
        <w:rPr>
          <w:rFonts w:ascii="Times New Roman" w:hAnsi="Times New Roman" w:cs="Times New Roman"/>
          <w:sz w:val="24"/>
          <w:szCs w:val="24"/>
        </w:rPr>
        <w:t>Bank</w:t>
      </w:r>
      <w:r w:rsidR="00472BD9">
        <w:rPr>
          <w:rFonts w:ascii="Times New Roman" w:hAnsi="Times New Roman" w:cs="Times New Roman"/>
          <w:sz w:val="24"/>
          <w:szCs w:val="24"/>
        </w:rPr>
        <w:t>’s</w:t>
      </w:r>
      <w:r w:rsidR="000202B4">
        <w:rPr>
          <w:rFonts w:ascii="Times New Roman" w:hAnsi="Times New Roman" w:cs="Times New Roman"/>
          <w:sz w:val="24"/>
          <w:szCs w:val="24"/>
        </w:rPr>
        <w:t xml:space="preserve"> </w:t>
      </w:r>
      <w:r w:rsidR="006952AA">
        <w:rPr>
          <w:rFonts w:ascii="Times New Roman" w:hAnsi="Times New Roman" w:cs="Times New Roman"/>
          <w:sz w:val="24"/>
          <w:szCs w:val="24"/>
        </w:rPr>
        <w:t xml:space="preserve">own opinion that CBRE had been negligent would, in evidence, not have been admissible unless supported by expert testimony.  That being so, at least as the law in this jurisdiction presently stands, the adoption of such a position – whether in litigation or otherwise – could not in itself afford the evidential basis for a finding dependent upon opinion evidence </w:t>
      </w:r>
      <w:r w:rsidR="006510DD">
        <w:rPr>
          <w:rFonts w:ascii="Times New Roman" w:hAnsi="Times New Roman" w:cs="Times New Roman"/>
          <w:sz w:val="24"/>
          <w:szCs w:val="24"/>
        </w:rPr>
        <w:t xml:space="preserve">(see </w:t>
      </w:r>
      <w:r w:rsidR="006952AA">
        <w:rPr>
          <w:rFonts w:ascii="Times New Roman" w:hAnsi="Times New Roman" w:cs="Times New Roman"/>
          <w:sz w:val="24"/>
          <w:szCs w:val="24"/>
        </w:rPr>
        <w:t xml:space="preserve">for an analogous problem </w:t>
      </w:r>
      <w:r w:rsidR="006510DD">
        <w:rPr>
          <w:rFonts w:ascii="Times New Roman" w:hAnsi="Times New Roman" w:cs="Times New Roman"/>
          <w:i/>
          <w:sz w:val="24"/>
          <w:szCs w:val="24"/>
        </w:rPr>
        <w:t>Ranbaxy Laboratories</w:t>
      </w:r>
      <w:r w:rsidR="00EC3AF7">
        <w:rPr>
          <w:rFonts w:ascii="Times New Roman" w:hAnsi="Times New Roman" w:cs="Times New Roman"/>
          <w:i/>
          <w:sz w:val="24"/>
          <w:szCs w:val="24"/>
        </w:rPr>
        <w:t xml:space="preserve"> Ltd.</w:t>
      </w:r>
      <w:r w:rsidR="006510DD">
        <w:rPr>
          <w:rFonts w:ascii="Times New Roman" w:hAnsi="Times New Roman" w:cs="Times New Roman"/>
          <w:i/>
          <w:sz w:val="24"/>
          <w:szCs w:val="24"/>
        </w:rPr>
        <w:t xml:space="preserve"> v. Warner Lambert</w:t>
      </w:r>
      <w:r w:rsidR="003822C7">
        <w:rPr>
          <w:rFonts w:ascii="Times New Roman" w:hAnsi="Times New Roman" w:cs="Times New Roman"/>
          <w:i/>
          <w:sz w:val="24"/>
          <w:szCs w:val="24"/>
        </w:rPr>
        <w:t xml:space="preserve"> </w:t>
      </w:r>
      <w:r w:rsidR="003822C7">
        <w:rPr>
          <w:rFonts w:ascii="Times New Roman" w:hAnsi="Times New Roman" w:cs="Times New Roman"/>
          <w:sz w:val="24"/>
          <w:szCs w:val="24"/>
        </w:rPr>
        <w:t>[2005] IESC 81).</w:t>
      </w:r>
      <w:r w:rsidR="00A13565">
        <w:rPr>
          <w:rFonts w:ascii="Times New Roman" w:hAnsi="Times New Roman" w:cs="Times New Roman"/>
          <w:sz w:val="24"/>
          <w:szCs w:val="24"/>
        </w:rPr>
        <w:t xml:space="preserve">  Thus, although it might be said here that many features of a</w:t>
      </w:r>
      <w:r w:rsidR="005F7B0F">
        <w:rPr>
          <w:rFonts w:ascii="Times New Roman" w:hAnsi="Times New Roman" w:cs="Times New Roman"/>
          <w:sz w:val="24"/>
          <w:szCs w:val="24"/>
        </w:rPr>
        <w:t xml:space="preserve">n </w:t>
      </w:r>
      <w:r w:rsidR="00A13565">
        <w:rPr>
          <w:rFonts w:ascii="Times New Roman" w:hAnsi="Times New Roman" w:cs="Times New Roman"/>
          <w:sz w:val="24"/>
          <w:szCs w:val="24"/>
        </w:rPr>
        <w:t xml:space="preserve">estoppel </w:t>
      </w:r>
      <w:r w:rsidR="005F7B0F">
        <w:rPr>
          <w:rFonts w:ascii="Times New Roman" w:hAnsi="Times New Roman" w:cs="Times New Roman"/>
          <w:sz w:val="24"/>
          <w:szCs w:val="24"/>
        </w:rPr>
        <w:t xml:space="preserve">by pleading </w:t>
      </w:r>
      <w:r w:rsidR="00A13565">
        <w:rPr>
          <w:rFonts w:ascii="Times New Roman" w:hAnsi="Times New Roman" w:cs="Times New Roman"/>
          <w:sz w:val="24"/>
          <w:szCs w:val="24"/>
        </w:rPr>
        <w:t>are present</w:t>
      </w:r>
      <w:r w:rsidR="00F5302C">
        <w:rPr>
          <w:rFonts w:ascii="Times New Roman" w:hAnsi="Times New Roman" w:cs="Times New Roman"/>
          <w:sz w:val="24"/>
          <w:szCs w:val="24"/>
        </w:rPr>
        <w:t xml:space="preserve">, </w:t>
      </w:r>
      <w:r w:rsidR="002B7E5B">
        <w:rPr>
          <w:rFonts w:ascii="Times New Roman" w:hAnsi="Times New Roman" w:cs="Times New Roman"/>
          <w:sz w:val="24"/>
          <w:szCs w:val="24"/>
        </w:rPr>
        <w:t xml:space="preserve">it seems to </w:t>
      </w:r>
      <w:r w:rsidR="00F540DF">
        <w:rPr>
          <w:rFonts w:ascii="Times New Roman" w:hAnsi="Times New Roman" w:cs="Times New Roman"/>
          <w:sz w:val="24"/>
          <w:szCs w:val="24"/>
        </w:rPr>
        <w:t>us</w:t>
      </w:r>
      <w:r w:rsidR="002B7E5B">
        <w:rPr>
          <w:rFonts w:ascii="Times New Roman" w:hAnsi="Times New Roman" w:cs="Times New Roman"/>
          <w:sz w:val="24"/>
          <w:szCs w:val="24"/>
        </w:rPr>
        <w:t xml:space="preserve"> that in order for the Court to make any order on the basis that CBRE was actually negligent, it would have had to have received from the </w:t>
      </w:r>
      <w:r w:rsidR="00472BD9">
        <w:rPr>
          <w:rFonts w:ascii="Times New Roman" w:hAnsi="Times New Roman" w:cs="Times New Roman"/>
          <w:sz w:val="24"/>
          <w:szCs w:val="24"/>
        </w:rPr>
        <w:t>D</w:t>
      </w:r>
      <w:r w:rsidR="002B7E5B">
        <w:rPr>
          <w:rFonts w:ascii="Times New Roman" w:hAnsi="Times New Roman" w:cs="Times New Roman"/>
          <w:sz w:val="24"/>
          <w:szCs w:val="24"/>
        </w:rPr>
        <w:t>efendants some expert evidence to that effect</w:t>
      </w:r>
      <w:r w:rsidR="00774275">
        <w:rPr>
          <w:rFonts w:ascii="Times New Roman" w:hAnsi="Times New Roman" w:cs="Times New Roman"/>
          <w:sz w:val="24"/>
          <w:szCs w:val="24"/>
        </w:rPr>
        <w:t>.</w:t>
      </w:r>
    </w:p>
    <w:p w14:paraId="7DEC9CDA" w14:textId="77777777" w:rsidR="00F81221" w:rsidRPr="0093356E" w:rsidRDefault="00F81221" w:rsidP="0093356E">
      <w:pPr>
        <w:spacing w:line="480" w:lineRule="auto"/>
        <w:rPr>
          <w:rFonts w:ascii="Times New Roman" w:hAnsi="Times New Roman" w:cs="Times New Roman"/>
          <w:sz w:val="24"/>
          <w:szCs w:val="24"/>
        </w:rPr>
      </w:pPr>
    </w:p>
    <w:p w14:paraId="794A579F" w14:textId="77777777" w:rsidR="00F81221" w:rsidRPr="00F81221" w:rsidRDefault="00F81221" w:rsidP="00CB5C7B">
      <w:pPr>
        <w:pStyle w:val="Heading2"/>
      </w:pPr>
      <w:r>
        <w:t>Allocation of damages</w:t>
      </w:r>
    </w:p>
    <w:p w14:paraId="3410557D" w14:textId="77777777" w:rsidR="006478CA" w:rsidRPr="006478CA" w:rsidRDefault="006478CA" w:rsidP="00CB5C7B">
      <w:pPr>
        <w:pStyle w:val="ListParagraph"/>
        <w:spacing w:line="480" w:lineRule="auto"/>
        <w:rPr>
          <w:rFonts w:ascii="Times New Roman" w:hAnsi="Times New Roman" w:cs="Times New Roman"/>
          <w:sz w:val="24"/>
          <w:szCs w:val="24"/>
        </w:rPr>
      </w:pPr>
    </w:p>
    <w:p w14:paraId="71AC7772" w14:textId="53030637" w:rsidR="00DC7537" w:rsidRDefault="006478CA"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If this is mistaken the </w:t>
      </w:r>
      <w:r w:rsidR="00F81221">
        <w:rPr>
          <w:rFonts w:ascii="Times New Roman" w:hAnsi="Times New Roman" w:cs="Times New Roman"/>
          <w:sz w:val="24"/>
          <w:szCs w:val="24"/>
        </w:rPr>
        <w:t xml:space="preserve">next issue is whether the </w:t>
      </w:r>
      <w:r w:rsidR="00472BD9">
        <w:rPr>
          <w:rFonts w:ascii="Times New Roman" w:hAnsi="Times New Roman" w:cs="Times New Roman"/>
          <w:sz w:val="24"/>
          <w:szCs w:val="24"/>
        </w:rPr>
        <w:t>D</w:t>
      </w:r>
      <w:r w:rsidR="005F7B0F">
        <w:rPr>
          <w:rFonts w:ascii="Times New Roman" w:hAnsi="Times New Roman" w:cs="Times New Roman"/>
          <w:sz w:val="24"/>
          <w:szCs w:val="24"/>
        </w:rPr>
        <w:t xml:space="preserve">efendants could nonetheless have sustained a claim that the wrongdoing of CBRE entirely resolved them of legal responsibility for the debt and/or that </w:t>
      </w:r>
      <w:r w:rsidR="00472BD9">
        <w:rPr>
          <w:rFonts w:ascii="Times New Roman" w:hAnsi="Times New Roman" w:cs="Times New Roman"/>
          <w:sz w:val="24"/>
          <w:szCs w:val="24"/>
        </w:rPr>
        <w:t xml:space="preserve">such </w:t>
      </w:r>
      <w:r w:rsidR="005F7B0F">
        <w:rPr>
          <w:rFonts w:ascii="Times New Roman" w:hAnsi="Times New Roman" w:cs="Times New Roman"/>
          <w:sz w:val="24"/>
          <w:szCs w:val="24"/>
        </w:rPr>
        <w:t xml:space="preserve">responsibility was properly greater than the €5,000,000 deduction effected by the </w:t>
      </w:r>
      <w:r w:rsidR="00472BD9">
        <w:rPr>
          <w:rFonts w:ascii="Times New Roman" w:hAnsi="Times New Roman" w:cs="Times New Roman"/>
          <w:sz w:val="24"/>
          <w:szCs w:val="24"/>
        </w:rPr>
        <w:t>B</w:t>
      </w:r>
      <w:r w:rsidR="005F7B0F">
        <w:rPr>
          <w:rFonts w:ascii="Times New Roman" w:hAnsi="Times New Roman" w:cs="Times New Roman"/>
          <w:sz w:val="24"/>
          <w:szCs w:val="24"/>
        </w:rPr>
        <w:t xml:space="preserve">ank to the </w:t>
      </w:r>
      <w:r w:rsidR="00472BD9">
        <w:rPr>
          <w:rFonts w:ascii="Times New Roman" w:hAnsi="Times New Roman" w:cs="Times New Roman"/>
          <w:sz w:val="24"/>
          <w:szCs w:val="24"/>
        </w:rPr>
        <w:t>De</w:t>
      </w:r>
      <w:r w:rsidR="005F7B0F">
        <w:rPr>
          <w:rFonts w:ascii="Times New Roman" w:hAnsi="Times New Roman" w:cs="Times New Roman"/>
          <w:sz w:val="24"/>
          <w:szCs w:val="24"/>
        </w:rPr>
        <w:t>fendants’ account.</w:t>
      </w:r>
      <w:r w:rsidR="00245777">
        <w:rPr>
          <w:rFonts w:ascii="Times New Roman" w:hAnsi="Times New Roman" w:cs="Times New Roman"/>
          <w:sz w:val="24"/>
          <w:szCs w:val="24"/>
        </w:rPr>
        <w:t xml:space="preserve">  This issue can be netted down further: if the question was merely the allocation as between the </w:t>
      </w:r>
      <w:r w:rsidR="00472BD9">
        <w:rPr>
          <w:rFonts w:ascii="Times New Roman" w:hAnsi="Times New Roman" w:cs="Times New Roman"/>
          <w:sz w:val="24"/>
          <w:szCs w:val="24"/>
        </w:rPr>
        <w:t>D</w:t>
      </w:r>
      <w:r w:rsidR="00245777">
        <w:rPr>
          <w:rFonts w:ascii="Times New Roman" w:hAnsi="Times New Roman" w:cs="Times New Roman"/>
          <w:sz w:val="24"/>
          <w:szCs w:val="24"/>
        </w:rPr>
        <w:t xml:space="preserve">efendants and CBRE of the quantum of the claims against these parties, the </w:t>
      </w:r>
      <w:r w:rsidR="00472BD9">
        <w:rPr>
          <w:rFonts w:ascii="Times New Roman" w:hAnsi="Times New Roman" w:cs="Times New Roman"/>
          <w:sz w:val="24"/>
          <w:szCs w:val="24"/>
        </w:rPr>
        <w:t>D</w:t>
      </w:r>
      <w:r w:rsidR="00245777">
        <w:rPr>
          <w:rFonts w:ascii="Times New Roman" w:hAnsi="Times New Roman" w:cs="Times New Roman"/>
          <w:sz w:val="24"/>
          <w:szCs w:val="24"/>
        </w:rPr>
        <w:t xml:space="preserve">efendants would clearly fail in any attempt to maintain that </w:t>
      </w:r>
      <w:r w:rsidR="00DC7537">
        <w:rPr>
          <w:rFonts w:ascii="Times New Roman" w:hAnsi="Times New Roman" w:cs="Times New Roman"/>
          <w:sz w:val="24"/>
          <w:szCs w:val="24"/>
        </w:rPr>
        <w:t xml:space="preserve">the amount of the debt they had to pay should be </w:t>
      </w:r>
      <w:r w:rsidR="00DC7537">
        <w:rPr>
          <w:rFonts w:ascii="Times New Roman" w:hAnsi="Times New Roman" w:cs="Times New Roman"/>
          <w:i/>
          <w:sz w:val="24"/>
          <w:szCs w:val="24"/>
        </w:rPr>
        <w:t xml:space="preserve">reduced </w:t>
      </w:r>
      <w:r w:rsidR="00DC7537">
        <w:rPr>
          <w:rFonts w:ascii="Times New Roman" w:hAnsi="Times New Roman" w:cs="Times New Roman"/>
          <w:sz w:val="24"/>
          <w:szCs w:val="24"/>
        </w:rPr>
        <w:t xml:space="preserve">below that claimed in the action.  This would require </w:t>
      </w:r>
      <w:r w:rsidR="00DC7537">
        <w:rPr>
          <w:rFonts w:ascii="Times New Roman" w:hAnsi="Times New Roman" w:cs="Times New Roman"/>
          <w:sz w:val="24"/>
          <w:szCs w:val="24"/>
        </w:rPr>
        <w:lastRenderedPageBreak/>
        <w:t xml:space="preserve">some evidence from which the Court could deduce the extent of the overvaluation in the CBRE report, and there was none.  </w:t>
      </w:r>
      <w:r w:rsidR="00DC7537" w:rsidRPr="00DC7537">
        <w:rPr>
          <w:rFonts w:ascii="Times New Roman" w:hAnsi="Times New Roman" w:cs="Times New Roman"/>
          <w:sz w:val="24"/>
          <w:szCs w:val="24"/>
        </w:rPr>
        <w:t xml:space="preserve">However, if </w:t>
      </w:r>
      <w:r w:rsidR="005B3E52">
        <w:rPr>
          <w:rFonts w:ascii="Times New Roman" w:hAnsi="Times New Roman" w:cs="Times New Roman"/>
          <w:sz w:val="24"/>
          <w:szCs w:val="24"/>
        </w:rPr>
        <w:t xml:space="preserve">we are </w:t>
      </w:r>
      <w:r w:rsidR="00DC7537" w:rsidRPr="00DC7537">
        <w:rPr>
          <w:rFonts w:ascii="Times New Roman" w:hAnsi="Times New Roman" w:cs="Times New Roman"/>
          <w:sz w:val="24"/>
          <w:szCs w:val="24"/>
        </w:rPr>
        <w:t xml:space="preserve">wrong in the preceding conclusion the defendants would not necessarily need evidence to show that their liability should be </w:t>
      </w:r>
      <w:r w:rsidR="00DC7537" w:rsidRPr="00DC7537">
        <w:rPr>
          <w:rFonts w:ascii="Times New Roman" w:hAnsi="Times New Roman" w:cs="Times New Roman"/>
          <w:i/>
          <w:sz w:val="24"/>
          <w:szCs w:val="24"/>
        </w:rPr>
        <w:t xml:space="preserve">eliminated </w:t>
      </w:r>
      <w:r w:rsidR="00DC7537" w:rsidRPr="00DC7537">
        <w:rPr>
          <w:rFonts w:ascii="Times New Roman" w:hAnsi="Times New Roman" w:cs="Times New Roman"/>
          <w:sz w:val="24"/>
          <w:szCs w:val="24"/>
        </w:rPr>
        <w:t>and that indeed is the case they make.</w:t>
      </w:r>
    </w:p>
    <w:p w14:paraId="006F44DB" w14:textId="77777777" w:rsidR="00DC7537" w:rsidRDefault="00DC7537" w:rsidP="00CB5C7B">
      <w:pPr>
        <w:pStyle w:val="ListParagraph"/>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  </w:t>
      </w:r>
    </w:p>
    <w:p w14:paraId="1D5451A4" w14:textId="3528976C" w:rsidR="00821B3C" w:rsidRDefault="00DC7537"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It is for this reason </w:t>
      </w:r>
      <w:r w:rsidR="005B3E52">
        <w:rPr>
          <w:rFonts w:ascii="Times New Roman" w:hAnsi="Times New Roman" w:cs="Times New Roman"/>
          <w:sz w:val="24"/>
          <w:szCs w:val="24"/>
        </w:rPr>
        <w:t>we</w:t>
      </w:r>
      <w:r>
        <w:rPr>
          <w:rFonts w:ascii="Times New Roman" w:hAnsi="Times New Roman" w:cs="Times New Roman"/>
          <w:sz w:val="24"/>
          <w:szCs w:val="24"/>
        </w:rPr>
        <w:t xml:space="preserve"> have felt it necessary to address the question of whether actions to recover a debt are within the scope of the Act at all.  Even if</w:t>
      </w:r>
      <w:r w:rsidR="005B3E52">
        <w:rPr>
          <w:rFonts w:ascii="Times New Roman" w:hAnsi="Times New Roman" w:cs="Times New Roman"/>
          <w:sz w:val="24"/>
          <w:szCs w:val="24"/>
        </w:rPr>
        <w:t xml:space="preserve"> we are</w:t>
      </w:r>
      <w:r>
        <w:rPr>
          <w:rFonts w:ascii="Times New Roman" w:hAnsi="Times New Roman" w:cs="Times New Roman"/>
          <w:sz w:val="24"/>
          <w:szCs w:val="24"/>
        </w:rPr>
        <w:t xml:space="preserve"> wrong in the conclusion</w:t>
      </w:r>
      <w:r w:rsidR="005B3E52">
        <w:rPr>
          <w:rFonts w:ascii="Times New Roman" w:hAnsi="Times New Roman" w:cs="Times New Roman"/>
          <w:sz w:val="24"/>
          <w:szCs w:val="24"/>
        </w:rPr>
        <w:t xml:space="preserve"> we </w:t>
      </w:r>
      <w:r>
        <w:rPr>
          <w:rFonts w:ascii="Times New Roman" w:hAnsi="Times New Roman" w:cs="Times New Roman"/>
          <w:sz w:val="24"/>
          <w:szCs w:val="24"/>
        </w:rPr>
        <w:t xml:space="preserve">have reached on that issue, much of what </w:t>
      </w:r>
      <w:r w:rsidR="005B3E52">
        <w:rPr>
          <w:rFonts w:ascii="Times New Roman" w:hAnsi="Times New Roman" w:cs="Times New Roman"/>
          <w:sz w:val="24"/>
          <w:szCs w:val="24"/>
        </w:rPr>
        <w:t xml:space="preserve">we </w:t>
      </w:r>
      <w:r>
        <w:rPr>
          <w:rFonts w:ascii="Times New Roman" w:hAnsi="Times New Roman" w:cs="Times New Roman"/>
          <w:sz w:val="24"/>
          <w:szCs w:val="24"/>
        </w:rPr>
        <w:t xml:space="preserve">have said above remains relevant to this question.  </w:t>
      </w:r>
      <w:r w:rsidR="00E057A9">
        <w:rPr>
          <w:rFonts w:ascii="Times New Roman" w:hAnsi="Times New Roman" w:cs="Times New Roman"/>
          <w:sz w:val="24"/>
          <w:szCs w:val="24"/>
        </w:rPr>
        <w:t xml:space="preserve">Viewed simply as a matter of </w:t>
      </w:r>
      <w:r w:rsidR="00E057A9">
        <w:rPr>
          <w:rFonts w:ascii="Times New Roman" w:hAnsi="Times New Roman" w:cs="Times New Roman"/>
          <w:i/>
          <w:sz w:val="24"/>
          <w:szCs w:val="24"/>
        </w:rPr>
        <w:t>blameworthiness</w:t>
      </w:r>
      <w:r w:rsidR="00E057A9">
        <w:rPr>
          <w:rFonts w:ascii="Times New Roman" w:hAnsi="Times New Roman" w:cs="Times New Roman"/>
          <w:sz w:val="24"/>
          <w:szCs w:val="24"/>
        </w:rPr>
        <w:t xml:space="preserve">, </w:t>
      </w:r>
      <w:r w:rsidR="00770C45">
        <w:rPr>
          <w:rFonts w:ascii="Times New Roman" w:hAnsi="Times New Roman" w:cs="Times New Roman"/>
          <w:sz w:val="24"/>
          <w:szCs w:val="24"/>
        </w:rPr>
        <w:t xml:space="preserve">the </w:t>
      </w:r>
      <w:r w:rsidR="006B54CF">
        <w:rPr>
          <w:rFonts w:ascii="Times New Roman" w:hAnsi="Times New Roman" w:cs="Times New Roman"/>
          <w:sz w:val="24"/>
          <w:szCs w:val="24"/>
        </w:rPr>
        <w:t xml:space="preserve">conclusion that a person who receives a loan and does not repay it is entitled to resist recovery proceedings </w:t>
      </w:r>
      <w:r w:rsidR="00C87327">
        <w:rPr>
          <w:rFonts w:ascii="Times New Roman" w:hAnsi="Times New Roman" w:cs="Times New Roman"/>
          <w:sz w:val="24"/>
          <w:szCs w:val="24"/>
        </w:rPr>
        <w:t xml:space="preserve">in full </w:t>
      </w:r>
      <w:r w:rsidR="006B54CF">
        <w:rPr>
          <w:rFonts w:ascii="Times New Roman" w:hAnsi="Times New Roman" w:cs="Times New Roman"/>
          <w:sz w:val="24"/>
          <w:szCs w:val="24"/>
        </w:rPr>
        <w:t xml:space="preserve">because of negligence by a third party would be, to put it at its mildest, surprising.  </w:t>
      </w:r>
      <w:r w:rsidR="00C87327">
        <w:rPr>
          <w:rFonts w:ascii="Times New Roman" w:hAnsi="Times New Roman" w:cs="Times New Roman"/>
          <w:sz w:val="24"/>
          <w:szCs w:val="24"/>
        </w:rPr>
        <w:t xml:space="preserve">The refusal to repay the loan is a deliberate act resulting in the enrichment of the creditor at the expense of the debtor.  </w:t>
      </w:r>
      <w:r w:rsidR="00F17B41">
        <w:rPr>
          <w:rFonts w:ascii="Times New Roman" w:hAnsi="Times New Roman" w:cs="Times New Roman"/>
          <w:sz w:val="24"/>
          <w:szCs w:val="24"/>
        </w:rPr>
        <w:t>To say it is less ‘</w:t>
      </w:r>
      <w:r w:rsidR="00F17B41">
        <w:rPr>
          <w:rFonts w:ascii="Times New Roman" w:hAnsi="Times New Roman" w:cs="Times New Roman"/>
          <w:i/>
          <w:sz w:val="24"/>
          <w:szCs w:val="24"/>
        </w:rPr>
        <w:t>blameworthy</w:t>
      </w:r>
      <w:r w:rsidR="00B67C7D">
        <w:rPr>
          <w:rFonts w:ascii="Times New Roman" w:hAnsi="Times New Roman" w:cs="Times New Roman"/>
          <w:i/>
          <w:sz w:val="24"/>
          <w:szCs w:val="24"/>
        </w:rPr>
        <w:t>’</w:t>
      </w:r>
      <w:r w:rsidR="00F17B41">
        <w:rPr>
          <w:rFonts w:ascii="Times New Roman" w:hAnsi="Times New Roman" w:cs="Times New Roman"/>
          <w:i/>
          <w:sz w:val="24"/>
          <w:szCs w:val="24"/>
        </w:rPr>
        <w:t xml:space="preserve"> </w:t>
      </w:r>
      <w:r w:rsidR="00F17B41">
        <w:rPr>
          <w:rFonts w:ascii="Times New Roman" w:hAnsi="Times New Roman" w:cs="Times New Roman"/>
          <w:sz w:val="24"/>
          <w:szCs w:val="24"/>
        </w:rPr>
        <w:t xml:space="preserve">than an act of negligence to the point that the negligent valuer must bear the entire of the loss caused by the failure of the defendants to repay their liabilities, and the </w:t>
      </w:r>
      <w:r w:rsidR="00472BD9">
        <w:rPr>
          <w:rFonts w:ascii="Times New Roman" w:hAnsi="Times New Roman" w:cs="Times New Roman"/>
          <w:sz w:val="24"/>
          <w:szCs w:val="24"/>
        </w:rPr>
        <w:t>D</w:t>
      </w:r>
      <w:r w:rsidR="00F17B41">
        <w:rPr>
          <w:rFonts w:ascii="Times New Roman" w:hAnsi="Times New Roman" w:cs="Times New Roman"/>
          <w:sz w:val="24"/>
          <w:szCs w:val="24"/>
        </w:rPr>
        <w:t xml:space="preserve">efendants themselves who received the loan monies must bear none, would border on the absurd. </w:t>
      </w:r>
    </w:p>
    <w:p w14:paraId="38BC67E3" w14:textId="77777777" w:rsidR="00821B3C" w:rsidRDefault="00821B3C" w:rsidP="00CB5C7B">
      <w:pPr>
        <w:pStyle w:val="ListParagraph"/>
        <w:spacing w:after="0" w:line="480" w:lineRule="auto"/>
        <w:ind w:hanging="436"/>
        <w:jc w:val="both"/>
        <w:rPr>
          <w:rFonts w:ascii="Times New Roman" w:hAnsi="Times New Roman" w:cs="Times New Roman"/>
          <w:sz w:val="24"/>
          <w:szCs w:val="24"/>
        </w:rPr>
      </w:pPr>
    </w:p>
    <w:p w14:paraId="295FDD4D" w14:textId="1C6E70CC" w:rsidR="00896339" w:rsidRDefault="00F17B41"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 </w:t>
      </w:r>
      <w:r w:rsidR="00896339">
        <w:rPr>
          <w:rFonts w:ascii="Times New Roman" w:hAnsi="Times New Roman" w:cs="Times New Roman"/>
          <w:sz w:val="24"/>
          <w:szCs w:val="24"/>
        </w:rPr>
        <w:t xml:space="preserve">In paragraph 20 above we set out the Judge’s interpretation of section 17(2) CLA. </w:t>
      </w:r>
      <w:r w:rsidR="00821B3C">
        <w:rPr>
          <w:rFonts w:ascii="Times New Roman" w:hAnsi="Times New Roman" w:cs="Times New Roman"/>
          <w:sz w:val="24"/>
          <w:szCs w:val="24"/>
        </w:rPr>
        <w:t>Noting that we disagree with his analysis of whether the claim for debt falls within the provisions of Part III CLA, we nonetheless</w:t>
      </w:r>
      <w:r w:rsidR="00896339">
        <w:rPr>
          <w:rFonts w:ascii="Times New Roman" w:hAnsi="Times New Roman" w:cs="Times New Roman"/>
          <w:sz w:val="24"/>
          <w:szCs w:val="24"/>
        </w:rPr>
        <w:t xml:space="preserve"> agree with his analysis</w:t>
      </w:r>
      <w:r w:rsidR="00821B3C">
        <w:rPr>
          <w:rFonts w:ascii="Times New Roman" w:hAnsi="Times New Roman" w:cs="Times New Roman"/>
          <w:sz w:val="24"/>
          <w:szCs w:val="24"/>
        </w:rPr>
        <w:t xml:space="preserve"> of this sub-section</w:t>
      </w:r>
      <w:r w:rsidR="00896339">
        <w:rPr>
          <w:rFonts w:ascii="Times New Roman" w:hAnsi="Times New Roman" w:cs="Times New Roman"/>
          <w:sz w:val="24"/>
          <w:szCs w:val="24"/>
        </w:rPr>
        <w:t xml:space="preserve">. On the assumption </w:t>
      </w:r>
      <w:r w:rsidR="0032022A">
        <w:rPr>
          <w:rFonts w:ascii="Times New Roman" w:hAnsi="Times New Roman" w:cs="Times New Roman"/>
          <w:sz w:val="24"/>
          <w:szCs w:val="24"/>
        </w:rPr>
        <w:t xml:space="preserve">(contrary to the conclusions already expressed) </w:t>
      </w:r>
      <w:r w:rsidR="00896339">
        <w:rPr>
          <w:rFonts w:ascii="Times New Roman" w:hAnsi="Times New Roman" w:cs="Times New Roman"/>
          <w:sz w:val="24"/>
          <w:szCs w:val="24"/>
        </w:rPr>
        <w:t>that the Defendants and CBRE are indeed concurrent wrongdoers for the purposes of Part III CLA</w:t>
      </w:r>
      <w:r w:rsidR="0032022A">
        <w:rPr>
          <w:rFonts w:ascii="Times New Roman" w:hAnsi="Times New Roman" w:cs="Times New Roman"/>
          <w:sz w:val="24"/>
          <w:szCs w:val="24"/>
        </w:rPr>
        <w:t xml:space="preserve">, the Bank’s claim against the Defendants is to be reduced by the amount that CBRE (as the </w:t>
      </w:r>
      <w:r w:rsidR="0032022A" w:rsidRPr="0032022A">
        <w:rPr>
          <w:rFonts w:ascii="Times New Roman" w:hAnsi="Times New Roman" w:cs="Times New Roman"/>
          <w:i/>
          <w:sz w:val="24"/>
          <w:szCs w:val="24"/>
        </w:rPr>
        <w:lastRenderedPageBreak/>
        <w:t>“wrongdoer with whom the release or accord was made</w:t>
      </w:r>
      <w:r w:rsidR="0032022A">
        <w:rPr>
          <w:rFonts w:ascii="Times New Roman" w:hAnsi="Times New Roman" w:cs="Times New Roman"/>
          <w:sz w:val="24"/>
          <w:szCs w:val="24"/>
        </w:rPr>
        <w:t>”)</w:t>
      </w:r>
      <w:r w:rsidR="00896339">
        <w:rPr>
          <w:rFonts w:ascii="Times New Roman" w:hAnsi="Times New Roman" w:cs="Times New Roman"/>
          <w:sz w:val="24"/>
          <w:szCs w:val="24"/>
        </w:rPr>
        <w:t xml:space="preserve"> </w:t>
      </w:r>
      <w:r w:rsidR="0032022A">
        <w:rPr>
          <w:rFonts w:ascii="Times New Roman" w:hAnsi="Times New Roman" w:cs="Times New Roman"/>
          <w:sz w:val="24"/>
          <w:szCs w:val="24"/>
        </w:rPr>
        <w:t xml:space="preserve"> would have been liable to contribute if the Bank’s total claim (i.e. the entirely of the Defendants’ liability to the Bank) had been paid by the Defendants and a claim for contribution had then been made by them against CBRE. That is the relevant measure. It is </w:t>
      </w:r>
      <w:r w:rsidR="0032022A" w:rsidRPr="0032022A">
        <w:rPr>
          <w:rFonts w:ascii="Times New Roman" w:hAnsi="Times New Roman" w:cs="Times New Roman"/>
          <w:i/>
          <w:sz w:val="24"/>
          <w:szCs w:val="24"/>
        </w:rPr>
        <w:t>not</w:t>
      </w:r>
      <w:r w:rsidR="0032022A">
        <w:rPr>
          <w:rFonts w:ascii="Times New Roman" w:hAnsi="Times New Roman" w:cs="Times New Roman"/>
          <w:sz w:val="24"/>
          <w:szCs w:val="24"/>
        </w:rPr>
        <w:t xml:space="preserve"> what the Bank would or could have recovered if it had pursued its claim against CBRE to judgment. As the Judge observed, it is only </w:t>
      </w:r>
      <w:r w:rsidR="00454A08">
        <w:rPr>
          <w:rFonts w:ascii="Times New Roman" w:hAnsi="Times New Roman" w:cs="Times New Roman"/>
          <w:sz w:val="24"/>
          <w:szCs w:val="24"/>
        </w:rPr>
        <w:t xml:space="preserve">if </w:t>
      </w:r>
      <w:r w:rsidR="0032022A">
        <w:rPr>
          <w:rFonts w:ascii="Times New Roman" w:hAnsi="Times New Roman" w:cs="Times New Roman"/>
          <w:sz w:val="24"/>
          <w:szCs w:val="24"/>
        </w:rPr>
        <w:t>CBRE would have had a</w:t>
      </w:r>
      <w:r w:rsidR="00454A08">
        <w:rPr>
          <w:rFonts w:ascii="Times New Roman" w:hAnsi="Times New Roman" w:cs="Times New Roman"/>
          <w:sz w:val="24"/>
          <w:szCs w:val="24"/>
        </w:rPr>
        <w:t xml:space="preserve"> contribution</w:t>
      </w:r>
      <w:r w:rsidR="0032022A">
        <w:rPr>
          <w:rFonts w:ascii="Times New Roman" w:hAnsi="Times New Roman" w:cs="Times New Roman"/>
          <w:sz w:val="24"/>
          <w:szCs w:val="24"/>
        </w:rPr>
        <w:t xml:space="preserve"> liability in excess of €5 million that any reduction to the Bank’s claim against the Defendants</w:t>
      </w:r>
      <w:r w:rsidR="00454A08">
        <w:rPr>
          <w:rFonts w:ascii="Times New Roman" w:hAnsi="Times New Roman" w:cs="Times New Roman"/>
          <w:sz w:val="24"/>
          <w:szCs w:val="24"/>
        </w:rPr>
        <w:t xml:space="preserve"> w</w:t>
      </w:r>
      <w:r w:rsidR="0032022A">
        <w:rPr>
          <w:rFonts w:ascii="Times New Roman" w:hAnsi="Times New Roman" w:cs="Times New Roman"/>
          <w:sz w:val="24"/>
          <w:szCs w:val="24"/>
        </w:rPr>
        <w:t>ould arise</w:t>
      </w:r>
      <w:r w:rsidR="00454A08">
        <w:rPr>
          <w:rFonts w:ascii="Times New Roman" w:hAnsi="Times New Roman" w:cs="Times New Roman"/>
          <w:sz w:val="24"/>
          <w:szCs w:val="24"/>
        </w:rPr>
        <w:t xml:space="preserve">. In our view, there is absolutely no basis on which it could be suggested that CBRE could have any such liability to the Defendants. Indeed, we find it impossible to see a basis on which CBRE could be required to make </w:t>
      </w:r>
      <w:r w:rsidR="00454A08" w:rsidRPr="00454A08">
        <w:rPr>
          <w:rFonts w:ascii="Times New Roman" w:hAnsi="Times New Roman" w:cs="Times New Roman"/>
          <w:i/>
          <w:sz w:val="24"/>
          <w:szCs w:val="24"/>
        </w:rPr>
        <w:t>any</w:t>
      </w:r>
      <w:r w:rsidR="00454A08">
        <w:rPr>
          <w:rFonts w:ascii="Times New Roman" w:hAnsi="Times New Roman" w:cs="Times New Roman"/>
          <w:sz w:val="24"/>
          <w:szCs w:val="24"/>
        </w:rPr>
        <w:t xml:space="preserve"> contribution to the Defendants, given that the effect of such contribution would be to relieve the Defendants of a contractual obligation freely undertaken by them and confer a windfall benefit on them insofar as they would be relieved, at least in part, from the obligation to repay monies of which they had had the benefit. </w:t>
      </w:r>
    </w:p>
    <w:p w14:paraId="353ECF39" w14:textId="77777777" w:rsidR="00896339" w:rsidRDefault="00896339" w:rsidP="00CB5C7B">
      <w:pPr>
        <w:pStyle w:val="ListParagraph"/>
        <w:spacing w:after="0" w:line="480" w:lineRule="auto"/>
        <w:ind w:hanging="436"/>
        <w:jc w:val="both"/>
        <w:rPr>
          <w:rFonts w:ascii="Times New Roman" w:hAnsi="Times New Roman" w:cs="Times New Roman"/>
          <w:sz w:val="24"/>
          <w:szCs w:val="24"/>
        </w:rPr>
      </w:pPr>
    </w:p>
    <w:p w14:paraId="47B14386" w14:textId="5B6DC9E1" w:rsidR="00697B81" w:rsidRDefault="00F17B41"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In any event (and explained above) th</w:t>
      </w:r>
      <w:r w:rsidR="00454A08">
        <w:rPr>
          <w:rFonts w:ascii="Times New Roman" w:hAnsi="Times New Roman" w:cs="Times New Roman"/>
          <w:sz w:val="24"/>
          <w:szCs w:val="24"/>
        </w:rPr>
        <w:t xml:space="preserve">e Defendant’s analysis </w:t>
      </w:r>
      <w:r>
        <w:rPr>
          <w:rFonts w:ascii="Times New Roman" w:hAnsi="Times New Roman" w:cs="Times New Roman"/>
          <w:sz w:val="24"/>
          <w:szCs w:val="24"/>
        </w:rPr>
        <w:t>does not reflect the established basis for determining the quantum of a claim against a negligent valuer which is directed to the difference between the actual value of the property and the valuation provided by the valuer.</w:t>
      </w:r>
      <w:r w:rsidR="00F5302C">
        <w:rPr>
          <w:rFonts w:ascii="Times New Roman" w:hAnsi="Times New Roman" w:cs="Times New Roman"/>
          <w:sz w:val="24"/>
          <w:szCs w:val="24"/>
        </w:rPr>
        <w:t xml:space="preserve">  </w:t>
      </w:r>
      <w:r w:rsidR="00697B81">
        <w:rPr>
          <w:rFonts w:ascii="Times New Roman" w:hAnsi="Times New Roman" w:cs="Times New Roman"/>
          <w:sz w:val="24"/>
          <w:szCs w:val="24"/>
        </w:rPr>
        <w:t>This was the precise point in</w:t>
      </w:r>
      <w:r w:rsidR="00454A08">
        <w:rPr>
          <w:rFonts w:ascii="Times New Roman" w:hAnsi="Times New Roman" w:cs="Times New Roman"/>
          <w:sz w:val="24"/>
          <w:szCs w:val="24"/>
        </w:rPr>
        <w:t xml:space="preserve"> </w:t>
      </w:r>
      <w:r w:rsidR="00454A08" w:rsidRPr="00821B3C">
        <w:rPr>
          <w:rFonts w:ascii="Times New Roman" w:hAnsi="Times New Roman" w:cs="Times New Roman"/>
          <w:i/>
          <w:sz w:val="24"/>
          <w:szCs w:val="24"/>
        </w:rPr>
        <w:t>SAAM</w:t>
      </w:r>
      <w:r w:rsidR="00821B3C" w:rsidRPr="00821B3C">
        <w:rPr>
          <w:rFonts w:ascii="Times New Roman" w:hAnsi="Times New Roman" w:cs="Times New Roman"/>
          <w:i/>
          <w:sz w:val="24"/>
          <w:szCs w:val="24"/>
        </w:rPr>
        <w:t>CO</w:t>
      </w:r>
      <w:r w:rsidR="00FD40EF">
        <w:rPr>
          <w:rFonts w:ascii="Times New Roman" w:hAnsi="Times New Roman" w:cs="Times New Roman"/>
          <w:sz w:val="24"/>
          <w:szCs w:val="24"/>
        </w:rPr>
        <w:t xml:space="preserve">, where Lord Hoffmann explained the relevant principle thus </w:t>
      </w:r>
      <w:r w:rsidR="00EC3AF7">
        <w:rPr>
          <w:rFonts w:ascii="Times New Roman" w:hAnsi="Times New Roman" w:cs="Times New Roman"/>
          <w:sz w:val="24"/>
          <w:szCs w:val="24"/>
        </w:rPr>
        <w:t>(at p. 214)</w:t>
      </w:r>
      <w:r w:rsidR="00FD40EF">
        <w:rPr>
          <w:rFonts w:ascii="Times New Roman" w:hAnsi="Times New Roman" w:cs="Times New Roman"/>
          <w:sz w:val="24"/>
          <w:szCs w:val="24"/>
        </w:rPr>
        <w:t>:</w:t>
      </w:r>
    </w:p>
    <w:p w14:paraId="76784DD5" w14:textId="77777777" w:rsidR="00FD40EF" w:rsidRDefault="00FD40EF" w:rsidP="00FD40EF">
      <w:pPr>
        <w:pStyle w:val="NormalWeb"/>
        <w:spacing w:before="120" w:beforeAutospacing="0" w:after="120" w:afterAutospacing="0"/>
        <w:rPr>
          <w:rFonts w:eastAsiaTheme="minorHAnsi"/>
        </w:rPr>
      </w:pPr>
    </w:p>
    <w:p w14:paraId="004EEE1A" w14:textId="7ED6BD72" w:rsidR="00FD40EF" w:rsidRPr="00CB5C7B" w:rsidRDefault="00FD40EF" w:rsidP="00FD40EF">
      <w:pPr>
        <w:pStyle w:val="NormalWeb"/>
        <w:spacing w:before="120" w:beforeAutospacing="0" w:after="120" w:afterAutospacing="0" w:line="480" w:lineRule="auto"/>
        <w:ind w:left="1440" w:hanging="1440"/>
        <w:jc w:val="both"/>
        <w:rPr>
          <w:i/>
        </w:rPr>
      </w:pPr>
      <w:r>
        <w:rPr>
          <w:rFonts w:ascii="Arial" w:hAnsi="Arial" w:cs="Arial"/>
          <w:color w:val="202122"/>
          <w:sz w:val="21"/>
          <w:szCs w:val="21"/>
        </w:rPr>
        <w:tab/>
      </w:r>
      <w:r w:rsidR="00CB5C7B">
        <w:rPr>
          <w:rFonts w:ascii="Arial" w:hAnsi="Arial" w:cs="Arial"/>
          <w:color w:val="202122"/>
          <w:sz w:val="21"/>
          <w:szCs w:val="21"/>
        </w:rPr>
        <w:t>‘</w:t>
      </w:r>
      <w:r w:rsidRPr="00CB5C7B">
        <w:rPr>
          <w:i/>
        </w:rPr>
        <w:t xml:space="preserve">[A] person under a duty to take reasonable care to provide information on which someone else will decide upon a course of action is, if negligent, not generally regarded as responsible for all the consequences of that course of </w:t>
      </w:r>
      <w:r w:rsidRPr="00CB5C7B">
        <w:rPr>
          <w:i/>
        </w:rPr>
        <w:lastRenderedPageBreak/>
        <w:t>action. He is responsible only for the consequences of the information being wrong. A duty of care which imposes upon the informant responsibility for losses which would have occurred even if the information which he gave had been correct is not in my view fair and reasonable as between the parties. It is therefore inappropriate either as an implied term of a contract or as a tortious duty arising from the relationship between them.</w:t>
      </w:r>
    </w:p>
    <w:p w14:paraId="6F110986" w14:textId="77777777" w:rsidR="00FD40EF" w:rsidRPr="00CB5C7B" w:rsidRDefault="00FD40EF" w:rsidP="00FD40EF">
      <w:pPr>
        <w:pStyle w:val="NormalWeb"/>
        <w:spacing w:before="120" w:beforeAutospacing="0" w:after="0" w:afterAutospacing="0" w:line="480" w:lineRule="auto"/>
        <w:rPr>
          <w:i/>
        </w:rPr>
      </w:pPr>
    </w:p>
    <w:p w14:paraId="7BA74EB7" w14:textId="7145CEF1" w:rsidR="00FD40EF" w:rsidRPr="00CB5C7B" w:rsidRDefault="00FD40EF" w:rsidP="00FD40EF">
      <w:pPr>
        <w:pStyle w:val="NormalWeb"/>
        <w:spacing w:before="120" w:beforeAutospacing="0" w:after="0" w:afterAutospacing="0" w:line="480" w:lineRule="auto"/>
        <w:ind w:left="1440" w:hanging="1440"/>
        <w:jc w:val="both"/>
        <w:rPr>
          <w:i/>
        </w:rPr>
      </w:pPr>
      <w:r w:rsidRPr="00CB5C7B">
        <w:rPr>
          <w:i/>
        </w:rPr>
        <w:tab/>
        <w:t>The principle thus stated distinguishes between a duty to provide information for the purpose of enabling someone else to decide upon a course of action and a duty to advise someone as to what course of action he should take. If the duty is to advise whether or not a course of action should be taken, the adviser must take reasonable care to consider all the potential consequences of that course of action. If he is negligent, he will therefore be responsible for all the foreseeable loss which is a consequence of that course of action having been taken. If his duty is only to supply information, he must take reasonable care to ensure that the information is correct and, if he is negligent, will be responsible for all the foreseeable consequences of the information being wrong.</w:t>
      </w:r>
      <w:r w:rsidR="00B67C7D">
        <w:rPr>
          <w:i/>
        </w:rPr>
        <w:t>’</w:t>
      </w:r>
    </w:p>
    <w:p w14:paraId="5C83C66E" w14:textId="77777777" w:rsidR="00697B81" w:rsidRPr="00FD40EF" w:rsidRDefault="00697B81" w:rsidP="00FD40EF">
      <w:pPr>
        <w:pStyle w:val="NormalWeb"/>
        <w:spacing w:before="120" w:beforeAutospacing="0" w:after="0" w:afterAutospacing="0" w:line="480" w:lineRule="auto"/>
        <w:ind w:left="1440" w:hanging="1440"/>
        <w:jc w:val="both"/>
        <w:rPr>
          <w:i/>
          <w:color w:val="202122"/>
        </w:rPr>
      </w:pPr>
      <w:r>
        <w:t xml:space="preserve">  </w:t>
      </w:r>
    </w:p>
    <w:p w14:paraId="46603EDB" w14:textId="1E143FC1" w:rsidR="003E26C1" w:rsidRDefault="005D0F21"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This is the origin of the formula applied in </w:t>
      </w:r>
      <w:r>
        <w:rPr>
          <w:rFonts w:ascii="Times New Roman" w:hAnsi="Times New Roman" w:cs="Times New Roman"/>
          <w:i/>
          <w:sz w:val="24"/>
          <w:szCs w:val="24"/>
        </w:rPr>
        <w:t>Platform Home Loans</w:t>
      </w:r>
      <w:r>
        <w:rPr>
          <w:rFonts w:ascii="Times New Roman" w:hAnsi="Times New Roman" w:cs="Times New Roman"/>
          <w:sz w:val="24"/>
          <w:szCs w:val="24"/>
        </w:rPr>
        <w:t xml:space="preserve">: where the claim is against a valuer for the negligent provision of information the court must first identify the plaintiff’s loss (the loan advanced minus recovery) and then the difference between the proper value and that provided by the valuer.  It is only if the latter is greater than the former (as it was in one of the cases in </w:t>
      </w:r>
      <w:r w:rsidR="00472BD9" w:rsidRPr="00472BD9">
        <w:rPr>
          <w:rFonts w:ascii="Times New Roman" w:hAnsi="Times New Roman" w:cs="Times New Roman"/>
          <w:i/>
          <w:sz w:val="24"/>
          <w:szCs w:val="24"/>
        </w:rPr>
        <w:t>SAAMCO</w:t>
      </w:r>
      <w:r w:rsidRPr="005D0F21">
        <w:rPr>
          <w:rFonts w:ascii="Times New Roman" w:hAnsi="Times New Roman" w:cs="Times New Roman"/>
          <w:i/>
          <w:sz w:val="24"/>
          <w:szCs w:val="24"/>
        </w:rPr>
        <w:t>s</w:t>
      </w:r>
      <w:r>
        <w:rPr>
          <w:rFonts w:ascii="Times New Roman" w:hAnsi="Times New Roman" w:cs="Times New Roman"/>
          <w:sz w:val="24"/>
          <w:szCs w:val="24"/>
        </w:rPr>
        <w:t>) that there is full recovery</w:t>
      </w:r>
      <w:r w:rsidR="00ED2E40">
        <w:rPr>
          <w:rFonts w:ascii="Times New Roman" w:hAnsi="Times New Roman" w:cs="Times New Roman"/>
          <w:sz w:val="24"/>
          <w:szCs w:val="24"/>
        </w:rPr>
        <w:t>.</w:t>
      </w:r>
      <w:r>
        <w:rPr>
          <w:rFonts w:ascii="Times New Roman" w:hAnsi="Times New Roman" w:cs="Times New Roman"/>
          <w:sz w:val="24"/>
          <w:szCs w:val="24"/>
        </w:rPr>
        <w:t xml:space="preserve"> </w:t>
      </w:r>
      <w:r w:rsidR="00F5302C" w:rsidRPr="005D0F21">
        <w:rPr>
          <w:rFonts w:ascii="Times New Roman" w:hAnsi="Times New Roman" w:cs="Times New Roman"/>
          <w:sz w:val="24"/>
          <w:szCs w:val="24"/>
        </w:rPr>
        <w:t>That</w:t>
      </w:r>
      <w:r w:rsidR="00F5302C">
        <w:rPr>
          <w:rFonts w:ascii="Times New Roman" w:hAnsi="Times New Roman" w:cs="Times New Roman"/>
          <w:sz w:val="24"/>
          <w:szCs w:val="24"/>
        </w:rPr>
        <w:t xml:space="preserve"> </w:t>
      </w:r>
      <w:r w:rsidR="00F5302C">
        <w:rPr>
          <w:rFonts w:ascii="Times New Roman" w:hAnsi="Times New Roman" w:cs="Times New Roman"/>
          <w:sz w:val="24"/>
          <w:szCs w:val="24"/>
        </w:rPr>
        <w:lastRenderedPageBreak/>
        <w:t>being so, the calculation of what that liability was could not be achieved without some expert evidence.</w:t>
      </w:r>
      <w:r w:rsidR="00773ACE">
        <w:rPr>
          <w:rFonts w:ascii="Times New Roman" w:hAnsi="Times New Roman" w:cs="Times New Roman"/>
          <w:sz w:val="24"/>
          <w:szCs w:val="24"/>
        </w:rPr>
        <w:t xml:space="preserve">  There was no other way of determining the foreseeable consequence of the information being wrong as opposed (as the Court of Appeal had determined in that case) to simply awarding the unrecovered part of the loan on the thesis that but for the valuation it would not have been granted.</w:t>
      </w:r>
      <w:r w:rsidR="0053089F">
        <w:rPr>
          <w:rFonts w:ascii="Times New Roman" w:hAnsi="Times New Roman" w:cs="Times New Roman"/>
          <w:sz w:val="24"/>
          <w:szCs w:val="24"/>
        </w:rPr>
        <w:t xml:space="preserve">  </w:t>
      </w:r>
    </w:p>
    <w:p w14:paraId="755829AD" w14:textId="77777777" w:rsidR="003E26C1" w:rsidRDefault="003E26C1" w:rsidP="00CB5C7B">
      <w:pPr>
        <w:pStyle w:val="ListParagraph"/>
        <w:spacing w:after="0" w:line="480" w:lineRule="auto"/>
        <w:ind w:hanging="436"/>
        <w:jc w:val="both"/>
        <w:rPr>
          <w:rFonts w:ascii="Times New Roman" w:hAnsi="Times New Roman" w:cs="Times New Roman"/>
          <w:sz w:val="24"/>
          <w:szCs w:val="24"/>
        </w:rPr>
      </w:pPr>
    </w:p>
    <w:p w14:paraId="5243D50C" w14:textId="6E85E653" w:rsidR="003E26C1" w:rsidRPr="0031787D" w:rsidRDefault="00305CFD"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We are</w:t>
      </w:r>
      <w:r w:rsidR="0053089F">
        <w:rPr>
          <w:rFonts w:ascii="Times New Roman" w:hAnsi="Times New Roman" w:cs="Times New Roman"/>
          <w:sz w:val="24"/>
          <w:szCs w:val="24"/>
        </w:rPr>
        <w:t xml:space="preserve"> conscious that since this case was argued, </w:t>
      </w:r>
      <w:r w:rsidR="00467F53" w:rsidRPr="00467F53">
        <w:rPr>
          <w:rFonts w:ascii="Times New Roman" w:hAnsi="Times New Roman" w:cs="Times New Roman"/>
          <w:i/>
          <w:sz w:val="24"/>
          <w:szCs w:val="24"/>
        </w:rPr>
        <w:t>SAAM</w:t>
      </w:r>
      <w:r w:rsidR="000D0593">
        <w:rPr>
          <w:rFonts w:ascii="Times New Roman" w:hAnsi="Times New Roman" w:cs="Times New Roman"/>
          <w:i/>
          <w:sz w:val="24"/>
          <w:szCs w:val="24"/>
        </w:rPr>
        <w:t>CO</w:t>
      </w:r>
      <w:r w:rsidR="0053089F">
        <w:rPr>
          <w:rFonts w:ascii="Times New Roman" w:hAnsi="Times New Roman" w:cs="Times New Roman"/>
          <w:i/>
          <w:sz w:val="24"/>
          <w:szCs w:val="24"/>
        </w:rPr>
        <w:t xml:space="preserve"> </w:t>
      </w:r>
      <w:r w:rsidR="0053089F">
        <w:rPr>
          <w:rFonts w:ascii="Times New Roman" w:hAnsi="Times New Roman" w:cs="Times New Roman"/>
          <w:sz w:val="24"/>
          <w:szCs w:val="24"/>
        </w:rPr>
        <w:t xml:space="preserve">has been qualified somewhat by the UK Supreme Court </w:t>
      </w:r>
      <w:r w:rsidR="001F33D2">
        <w:rPr>
          <w:rFonts w:ascii="Times New Roman" w:hAnsi="Times New Roman" w:cs="Times New Roman"/>
          <w:sz w:val="24"/>
          <w:szCs w:val="24"/>
        </w:rPr>
        <w:t xml:space="preserve">in </w:t>
      </w:r>
      <w:r w:rsidR="00320C41">
        <w:rPr>
          <w:rFonts w:ascii="Times New Roman" w:hAnsi="Times New Roman" w:cs="Times New Roman"/>
          <w:i/>
          <w:sz w:val="24"/>
          <w:szCs w:val="24"/>
        </w:rPr>
        <w:t xml:space="preserve">Manchester Building Society v. Grant Thornton </w:t>
      </w:r>
      <w:r w:rsidR="00320C41">
        <w:rPr>
          <w:rFonts w:ascii="Times New Roman" w:hAnsi="Times New Roman" w:cs="Times New Roman"/>
          <w:sz w:val="24"/>
          <w:szCs w:val="24"/>
        </w:rPr>
        <w:t xml:space="preserve"> and, in particular, that the distinction drawn </w:t>
      </w:r>
      <w:r w:rsidR="00467F53">
        <w:rPr>
          <w:rFonts w:ascii="Times New Roman" w:hAnsi="Times New Roman" w:cs="Times New Roman"/>
          <w:sz w:val="24"/>
          <w:szCs w:val="24"/>
        </w:rPr>
        <w:t xml:space="preserve">in the speech of Lord Hoffman </w:t>
      </w:r>
      <w:r w:rsidR="000D0593">
        <w:rPr>
          <w:rFonts w:ascii="Times New Roman" w:hAnsi="Times New Roman" w:cs="Times New Roman"/>
          <w:sz w:val="24"/>
          <w:szCs w:val="24"/>
        </w:rPr>
        <w:t xml:space="preserve">in </w:t>
      </w:r>
      <w:r w:rsidR="00467F53">
        <w:rPr>
          <w:rFonts w:ascii="Times New Roman" w:hAnsi="Times New Roman" w:cs="Times New Roman"/>
          <w:i/>
          <w:sz w:val="24"/>
          <w:szCs w:val="24"/>
        </w:rPr>
        <w:t>SAAM</w:t>
      </w:r>
      <w:r w:rsidR="000D0593">
        <w:rPr>
          <w:rFonts w:ascii="Times New Roman" w:hAnsi="Times New Roman" w:cs="Times New Roman"/>
          <w:i/>
          <w:sz w:val="24"/>
          <w:szCs w:val="24"/>
        </w:rPr>
        <w:t>CO</w:t>
      </w:r>
      <w:r w:rsidR="00320C41">
        <w:rPr>
          <w:rFonts w:ascii="Times New Roman" w:hAnsi="Times New Roman" w:cs="Times New Roman"/>
          <w:sz w:val="24"/>
          <w:szCs w:val="24"/>
        </w:rPr>
        <w:t xml:space="preserve"> between ‘</w:t>
      </w:r>
      <w:r w:rsidR="00320C41">
        <w:rPr>
          <w:rFonts w:ascii="Times New Roman" w:hAnsi="Times New Roman" w:cs="Times New Roman"/>
          <w:i/>
          <w:sz w:val="24"/>
          <w:szCs w:val="24"/>
        </w:rPr>
        <w:t>advice</w:t>
      </w:r>
      <w:r w:rsidR="00B67C7D">
        <w:rPr>
          <w:rFonts w:ascii="Times New Roman" w:hAnsi="Times New Roman" w:cs="Times New Roman"/>
          <w:i/>
          <w:sz w:val="24"/>
          <w:szCs w:val="24"/>
        </w:rPr>
        <w:t>’</w:t>
      </w:r>
      <w:r w:rsidR="00320C41">
        <w:rPr>
          <w:rFonts w:ascii="Times New Roman" w:hAnsi="Times New Roman" w:cs="Times New Roman"/>
          <w:i/>
          <w:sz w:val="24"/>
          <w:szCs w:val="24"/>
        </w:rPr>
        <w:t xml:space="preserve"> </w:t>
      </w:r>
      <w:r w:rsidR="00320C41">
        <w:rPr>
          <w:rFonts w:ascii="Times New Roman" w:hAnsi="Times New Roman" w:cs="Times New Roman"/>
          <w:sz w:val="24"/>
          <w:szCs w:val="24"/>
        </w:rPr>
        <w:t>cases and ‘</w:t>
      </w:r>
      <w:r w:rsidR="00320C41">
        <w:rPr>
          <w:rFonts w:ascii="Times New Roman" w:hAnsi="Times New Roman" w:cs="Times New Roman"/>
          <w:i/>
          <w:sz w:val="24"/>
          <w:szCs w:val="24"/>
        </w:rPr>
        <w:t>information</w:t>
      </w:r>
      <w:r w:rsidR="00B67C7D">
        <w:rPr>
          <w:rFonts w:ascii="Times New Roman" w:hAnsi="Times New Roman" w:cs="Times New Roman"/>
          <w:i/>
          <w:sz w:val="24"/>
          <w:szCs w:val="24"/>
        </w:rPr>
        <w:t>’</w:t>
      </w:r>
      <w:r w:rsidR="00320C41">
        <w:rPr>
          <w:rFonts w:ascii="Times New Roman" w:hAnsi="Times New Roman" w:cs="Times New Roman"/>
          <w:i/>
          <w:sz w:val="24"/>
          <w:szCs w:val="24"/>
        </w:rPr>
        <w:t xml:space="preserve"> </w:t>
      </w:r>
      <w:r w:rsidR="00320C41">
        <w:rPr>
          <w:rFonts w:ascii="Times New Roman" w:hAnsi="Times New Roman" w:cs="Times New Roman"/>
          <w:sz w:val="24"/>
          <w:szCs w:val="24"/>
        </w:rPr>
        <w:t xml:space="preserve">cases no longer holds good, with all cases now being resolved by reference to the scope of the duty of care undertaken by the professional.  However, </w:t>
      </w:r>
      <w:bookmarkStart w:id="3" w:name="_Hlk99716733"/>
      <w:r w:rsidR="003E26C1">
        <w:rPr>
          <w:rFonts w:ascii="Times New Roman" w:hAnsi="Times New Roman" w:cs="Times New Roman"/>
          <w:sz w:val="24"/>
          <w:szCs w:val="24"/>
        </w:rPr>
        <w:t xml:space="preserve">valuer cases continue to be approached generally on the basis that the scope of the duty is limited by reference to the consequences of the information provided by the valuer being incorrect </w:t>
      </w:r>
      <w:bookmarkEnd w:id="3"/>
      <w:r w:rsidR="003E26C1">
        <w:rPr>
          <w:rFonts w:ascii="Times New Roman" w:hAnsi="Times New Roman" w:cs="Times New Roman"/>
          <w:sz w:val="24"/>
          <w:szCs w:val="24"/>
        </w:rPr>
        <w:t xml:space="preserve">(see para. 20 of the judgment of Lord Hodge) and in those cases where the scope of the duty is not so limited, it is a matter for the person </w:t>
      </w:r>
      <w:r w:rsidR="003E26C1" w:rsidRPr="00CB5C7B">
        <w:rPr>
          <w:rFonts w:ascii="Times New Roman" w:hAnsi="Times New Roman" w:cs="Times New Roman"/>
          <w:sz w:val="24"/>
          <w:szCs w:val="24"/>
        </w:rPr>
        <w:t xml:space="preserve">asserting a breach to establish that fact.  This, again, requires evidence.  As Lord </w:t>
      </w:r>
      <w:r w:rsidR="00C73EF8">
        <w:rPr>
          <w:rFonts w:ascii="Times New Roman" w:hAnsi="Times New Roman" w:cs="Times New Roman"/>
          <w:sz w:val="24"/>
          <w:szCs w:val="24"/>
        </w:rPr>
        <w:t>Leggatt</w:t>
      </w:r>
      <w:r w:rsidR="00C73EF8" w:rsidRPr="00CB5C7B">
        <w:rPr>
          <w:rFonts w:ascii="Times New Roman" w:hAnsi="Times New Roman" w:cs="Times New Roman"/>
          <w:sz w:val="24"/>
          <w:szCs w:val="24"/>
        </w:rPr>
        <w:t xml:space="preserve"> </w:t>
      </w:r>
      <w:r w:rsidR="003E26C1" w:rsidRPr="00CB5C7B">
        <w:rPr>
          <w:rFonts w:ascii="Times New Roman" w:hAnsi="Times New Roman" w:cs="Times New Roman"/>
          <w:sz w:val="24"/>
          <w:szCs w:val="24"/>
        </w:rPr>
        <w:t xml:space="preserve">explained in the course of his judgment in </w:t>
      </w:r>
      <w:r w:rsidR="003E26C1" w:rsidRPr="00CB5C7B">
        <w:rPr>
          <w:rFonts w:ascii="Times New Roman" w:hAnsi="Times New Roman" w:cs="Times New Roman"/>
          <w:i/>
          <w:sz w:val="24"/>
          <w:szCs w:val="24"/>
        </w:rPr>
        <w:t xml:space="preserve">Manchester Building Society v. Grant Thornton </w:t>
      </w:r>
      <w:r w:rsidR="003E26C1" w:rsidRPr="00CB5C7B">
        <w:rPr>
          <w:rFonts w:ascii="Times New Roman" w:hAnsi="Times New Roman" w:cs="Times New Roman"/>
          <w:sz w:val="24"/>
          <w:szCs w:val="24"/>
        </w:rPr>
        <w:t xml:space="preserve">(at para. 93) </w:t>
      </w:r>
      <w:r w:rsidR="003E26C1" w:rsidRPr="00CB5C7B">
        <w:rPr>
          <w:rFonts w:ascii="TimesNewRomanPSMT" w:eastAsia="Times New Roman" w:hAnsi="TimesNewRomanPSMT" w:cs="Times New Roman"/>
          <w:sz w:val="24"/>
          <w:szCs w:val="24"/>
        </w:rPr>
        <w:t>cases in which a professional adviser is liable for all the foreseeable consequences of a commercial transaction entered into as a result of negligent advice are likely to be rare, and it is the profession itself which provides the answer</w:t>
      </w:r>
      <w:r w:rsidR="00ED2E40" w:rsidRPr="00CB5C7B">
        <w:rPr>
          <w:rFonts w:ascii="TimesNewRomanPSMT" w:eastAsia="Times New Roman" w:hAnsi="TimesNewRomanPSMT" w:cs="Times New Roman"/>
          <w:sz w:val="24"/>
          <w:szCs w:val="24"/>
        </w:rPr>
        <w:t>.</w:t>
      </w:r>
    </w:p>
    <w:p w14:paraId="497E74B0" w14:textId="008C9B17" w:rsidR="00AE69E1" w:rsidRPr="00CB5C7B" w:rsidRDefault="009439DB" w:rsidP="00CB5C7B">
      <w:pPr>
        <w:spacing w:line="259" w:lineRule="auto"/>
        <w:rPr>
          <w:rFonts w:ascii="Times New Roman" w:hAnsi="Times New Roman" w:cs="Times New Roman"/>
          <w:b/>
          <w:i/>
          <w:sz w:val="24"/>
          <w:szCs w:val="24"/>
        </w:rPr>
      </w:pPr>
      <w:r>
        <w:rPr>
          <w:rFonts w:ascii="Times New Roman" w:hAnsi="Times New Roman" w:cs="Times New Roman"/>
          <w:b/>
          <w:i/>
          <w:sz w:val="24"/>
          <w:szCs w:val="24"/>
        </w:rPr>
        <w:br w:type="page"/>
      </w:r>
    </w:p>
    <w:p w14:paraId="32DE7D94" w14:textId="05150336" w:rsidR="00FF2743" w:rsidRPr="00AE69E1" w:rsidRDefault="00AE69E1" w:rsidP="00351B94">
      <w:pPr>
        <w:pStyle w:val="Heading1"/>
      </w:pPr>
      <w:r w:rsidRPr="00AE69E1">
        <w:lastRenderedPageBreak/>
        <w:t>REMAINING</w:t>
      </w:r>
      <w:r w:rsidR="00F5302C" w:rsidRPr="00AE69E1">
        <w:t xml:space="preserve"> GROUNDS OF APPEAL</w:t>
      </w:r>
    </w:p>
    <w:p w14:paraId="1C846FDC" w14:textId="6C03C328" w:rsidR="00F5302C" w:rsidRDefault="00F5302C" w:rsidP="00F5302C">
      <w:pPr>
        <w:pStyle w:val="ListParagraph"/>
        <w:spacing w:after="0" w:line="480" w:lineRule="auto"/>
        <w:jc w:val="both"/>
        <w:rPr>
          <w:rFonts w:ascii="Times New Roman" w:hAnsi="Times New Roman" w:cs="Times New Roman"/>
          <w:b/>
          <w:sz w:val="24"/>
          <w:szCs w:val="24"/>
          <w:u w:val="single"/>
        </w:rPr>
      </w:pPr>
    </w:p>
    <w:p w14:paraId="6762D3C9" w14:textId="42BB7E7D" w:rsidR="00866561" w:rsidRDefault="00866561" w:rsidP="00351B94">
      <w:pPr>
        <w:pStyle w:val="Heading1"/>
      </w:pPr>
      <w:r>
        <w:tab/>
        <w:t>A - GROUNDS RELIED ON BY THE SECOND AND THIRD DEFENDANTS</w:t>
      </w:r>
    </w:p>
    <w:p w14:paraId="6A108508" w14:textId="77777777" w:rsidR="00866561" w:rsidRPr="00866561" w:rsidRDefault="00866561" w:rsidP="00F5302C">
      <w:pPr>
        <w:pStyle w:val="ListParagraph"/>
        <w:spacing w:after="0" w:line="480" w:lineRule="auto"/>
        <w:jc w:val="both"/>
        <w:rPr>
          <w:rFonts w:ascii="Times New Roman" w:hAnsi="Times New Roman" w:cs="Times New Roman"/>
          <w:b/>
          <w:sz w:val="24"/>
          <w:szCs w:val="24"/>
        </w:rPr>
      </w:pPr>
    </w:p>
    <w:p w14:paraId="6163100E" w14:textId="77777777" w:rsidR="00866561" w:rsidRDefault="00A96375" w:rsidP="00272396">
      <w:pPr>
        <w:pStyle w:val="Heading2"/>
      </w:pPr>
      <w:r>
        <w:tab/>
      </w:r>
      <w:r w:rsidR="00866561">
        <w:t xml:space="preserve">The Meaning and Effect of the Mortgage </w:t>
      </w:r>
    </w:p>
    <w:p w14:paraId="456779A6" w14:textId="77777777" w:rsidR="00A96375" w:rsidRPr="00A96375" w:rsidRDefault="00A96375" w:rsidP="00F5302C">
      <w:pPr>
        <w:pStyle w:val="ListParagraph"/>
        <w:spacing w:after="0" w:line="480" w:lineRule="auto"/>
        <w:jc w:val="both"/>
        <w:rPr>
          <w:rFonts w:ascii="Times New Roman" w:hAnsi="Times New Roman" w:cs="Times New Roman"/>
          <w:b/>
          <w:sz w:val="24"/>
          <w:szCs w:val="24"/>
        </w:rPr>
      </w:pPr>
    </w:p>
    <w:p w14:paraId="39B11EBA" w14:textId="4EFEFED0" w:rsidR="00A96375" w:rsidRDefault="00AF17E6"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The Judge held that the effect of clause 5(c) of the </w:t>
      </w:r>
      <w:r w:rsidR="00AA4E7C">
        <w:rPr>
          <w:rFonts w:ascii="Times New Roman" w:hAnsi="Times New Roman" w:cs="Times New Roman"/>
          <w:sz w:val="24"/>
          <w:szCs w:val="24"/>
        </w:rPr>
        <w:t>Mortgage</w:t>
      </w:r>
      <w:r>
        <w:rPr>
          <w:rFonts w:ascii="Times New Roman" w:hAnsi="Times New Roman" w:cs="Times New Roman"/>
          <w:sz w:val="24"/>
          <w:szCs w:val="24"/>
        </w:rPr>
        <w:t xml:space="preserve"> was that the prior consent of the Bank was required for the sa</w:t>
      </w:r>
      <w:r w:rsidR="00062217">
        <w:rPr>
          <w:rFonts w:ascii="Times New Roman" w:hAnsi="Times New Roman" w:cs="Times New Roman"/>
          <w:sz w:val="24"/>
          <w:szCs w:val="24"/>
        </w:rPr>
        <w:t>l</w:t>
      </w:r>
      <w:r>
        <w:rPr>
          <w:rFonts w:ascii="Times New Roman" w:hAnsi="Times New Roman" w:cs="Times New Roman"/>
          <w:sz w:val="24"/>
          <w:szCs w:val="24"/>
        </w:rPr>
        <w:t>e of the Kilpeddar Lands. Clause 5(c) provides as follows:</w:t>
      </w:r>
    </w:p>
    <w:p w14:paraId="04A793E8" w14:textId="2BE1F05E" w:rsidR="00AF17E6" w:rsidRDefault="00AF17E6" w:rsidP="00AF17E6">
      <w:pPr>
        <w:pStyle w:val="ListParagraph"/>
        <w:spacing w:after="0" w:line="480" w:lineRule="auto"/>
        <w:jc w:val="both"/>
        <w:rPr>
          <w:rFonts w:ascii="Times New Roman" w:hAnsi="Times New Roman" w:cs="Times New Roman"/>
          <w:sz w:val="24"/>
          <w:szCs w:val="24"/>
        </w:rPr>
      </w:pPr>
    </w:p>
    <w:p w14:paraId="15CF0BC2" w14:textId="4266B451" w:rsidR="00AF17E6" w:rsidRPr="00AF17E6" w:rsidRDefault="00AF17E6" w:rsidP="00AF17E6">
      <w:pPr>
        <w:pStyle w:val="ListParagraph"/>
        <w:spacing w:after="0" w:line="480" w:lineRule="auto"/>
        <w:ind w:left="1418"/>
        <w:jc w:val="both"/>
        <w:rPr>
          <w:rFonts w:ascii="Times New Roman" w:hAnsi="Times New Roman" w:cs="Times New Roman"/>
          <w:i/>
          <w:sz w:val="24"/>
          <w:szCs w:val="24"/>
        </w:rPr>
      </w:pPr>
      <w:r w:rsidRPr="00AF17E6">
        <w:rPr>
          <w:rFonts w:ascii="Times New Roman" w:hAnsi="Times New Roman" w:cs="Times New Roman"/>
          <w:i/>
          <w:sz w:val="24"/>
          <w:szCs w:val="24"/>
        </w:rPr>
        <w:t>“The Borrower shall not let or part with the possession or occupation of the Mortgaged Property or any part thereof nor shall the statutory Powers of leasing or agreeing to lease be exercisable by the Borrower without the consent in writing of the Bank.”</w:t>
      </w:r>
    </w:p>
    <w:p w14:paraId="788FD1D9" w14:textId="290E4025" w:rsidR="00950787" w:rsidRDefault="00950787" w:rsidP="00950787">
      <w:pPr>
        <w:pStyle w:val="ListParagraph"/>
        <w:spacing w:after="0" w:line="480" w:lineRule="auto"/>
        <w:jc w:val="both"/>
        <w:rPr>
          <w:rFonts w:ascii="Times New Roman" w:hAnsi="Times New Roman" w:cs="Times New Roman"/>
          <w:sz w:val="24"/>
          <w:szCs w:val="24"/>
        </w:rPr>
      </w:pPr>
    </w:p>
    <w:p w14:paraId="22BFA0A3" w14:textId="71E30FCD" w:rsidR="00AF17E6" w:rsidRDefault="00AF17E6" w:rsidP="00950787">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Judge’s view, the </w:t>
      </w:r>
      <w:r w:rsidR="00062217">
        <w:rPr>
          <w:rFonts w:ascii="Times New Roman" w:hAnsi="Times New Roman" w:cs="Times New Roman"/>
          <w:sz w:val="24"/>
          <w:szCs w:val="24"/>
        </w:rPr>
        <w:t>injunction not “</w:t>
      </w:r>
      <w:r w:rsidR="00062217" w:rsidRPr="00062217">
        <w:rPr>
          <w:rFonts w:ascii="Times New Roman" w:hAnsi="Times New Roman" w:cs="Times New Roman"/>
          <w:i/>
          <w:sz w:val="24"/>
          <w:szCs w:val="24"/>
        </w:rPr>
        <w:t>to part with possession or occupation</w:t>
      </w:r>
      <w:r w:rsidR="00062217">
        <w:rPr>
          <w:rFonts w:ascii="Times New Roman" w:hAnsi="Times New Roman" w:cs="Times New Roman"/>
          <w:sz w:val="24"/>
          <w:szCs w:val="24"/>
        </w:rPr>
        <w:t>” amounted to a stand-alone prohibition on parting with possession which captured the sale of the Lands given that such sale would involve parting with possession (Judgment, para 250)</w:t>
      </w:r>
    </w:p>
    <w:p w14:paraId="2EE21606" w14:textId="77777777" w:rsidR="00062217" w:rsidRPr="00950787" w:rsidRDefault="00062217" w:rsidP="00950787">
      <w:pPr>
        <w:pStyle w:val="ListParagraph"/>
        <w:spacing w:after="0" w:line="480" w:lineRule="auto"/>
        <w:jc w:val="both"/>
        <w:rPr>
          <w:rFonts w:ascii="Times New Roman" w:hAnsi="Times New Roman" w:cs="Times New Roman"/>
          <w:sz w:val="24"/>
          <w:szCs w:val="24"/>
        </w:rPr>
      </w:pPr>
    </w:p>
    <w:p w14:paraId="3741A194" w14:textId="21E1E40F" w:rsidR="009557F0" w:rsidRPr="006F637A" w:rsidRDefault="00950787" w:rsidP="00CB5C7B">
      <w:pPr>
        <w:pStyle w:val="ListParagraph"/>
        <w:numPr>
          <w:ilvl w:val="0"/>
          <w:numId w:val="1"/>
        </w:numPr>
        <w:spacing w:after="0" w:line="480" w:lineRule="auto"/>
        <w:ind w:hanging="436"/>
        <w:jc w:val="both"/>
        <w:rPr>
          <w:rFonts w:ascii="Times New Roman" w:hAnsi="Times New Roman" w:cs="Times New Roman"/>
          <w:sz w:val="24"/>
          <w:szCs w:val="24"/>
        </w:rPr>
      </w:pPr>
      <w:r w:rsidRPr="00491816">
        <w:rPr>
          <w:rFonts w:ascii="Times New Roman" w:hAnsi="Times New Roman" w:cs="Times New Roman"/>
          <w:sz w:val="24"/>
          <w:szCs w:val="24"/>
        </w:rPr>
        <w:t xml:space="preserve">The Second and Third Defendants say that </w:t>
      </w:r>
      <w:r w:rsidR="00062217" w:rsidRPr="00491816">
        <w:rPr>
          <w:rFonts w:ascii="Times New Roman" w:hAnsi="Times New Roman" w:cs="Times New Roman"/>
          <w:sz w:val="24"/>
          <w:szCs w:val="24"/>
        </w:rPr>
        <w:t>the Judg</w:t>
      </w:r>
      <w:r w:rsidR="00B772DC" w:rsidRPr="00491816">
        <w:rPr>
          <w:rFonts w:ascii="Times New Roman" w:hAnsi="Times New Roman" w:cs="Times New Roman"/>
          <w:sz w:val="24"/>
          <w:szCs w:val="24"/>
        </w:rPr>
        <w:t xml:space="preserve">e was in error. They argue, firstly, that clause 5(c) has no application to the sale of the Lands and argue in the alternative that by entering into the Compromise Agreement, the Bank consented to the sale in any event. As regards the interpretation of clause 5(c), the Second and Third Defendants do </w:t>
      </w:r>
      <w:r w:rsidR="00B772DC" w:rsidRPr="00491816">
        <w:rPr>
          <w:rFonts w:ascii="Times New Roman" w:hAnsi="Times New Roman" w:cs="Times New Roman"/>
          <w:sz w:val="24"/>
          <w:szCs w:val="24"/>
        </w:rPr>
        <w:lastRenderedPageBreak/>
        <w:t xml:space="preserve">not engage with the Judge’s analysis, namely that the sale of the Lands necessarily would involve parting with possession of them and therefore is encompassed by the sub-clause. </w:t>
      </w:r>
      <w:r w:rsidR="006D4CA9" w:rsidRPr="00491816">
        <w:rPr>
          <w:rFonts w:ascii="Times New Roman" w:hAnsi="Times New Roman" w:cs="Times New Roman"/>
          <w:sz w:val="24"/>
          <w:szCs w:val="24"/>
        </w:rPr>
        <w:t xml:space="preserve">Instead, the focus of their argument is on their right of redemption </w:t>
      </w:r>
      <w:r w:rsidR="006D4CA9" w:rsidRPr="00491816">
        <w:rPr>
          <w:rFonts w:ascii="Times New Roman" w:hAnsi="Times New Roman" w:cs="Times New Roman"/>
          <w:i/>
          <w:sz w:val="24"/>
          <w:szCs w:val="24"/>
        </w:rPr>
        <w:t>qua</w:t>
      </w:r>
      <w:r w:rsidR="006D4CA9" w:rsidRPr="00491816">
        <w:rPr>
          <w:rFonts w:ascii="Times New Roman" w:hAnsi="Times New Roman" w:cs="Times New Roman"/>
          <w:sz w:val="24"/>
          <w:szCs w:val="24"/>
        </w:rPr>
        <w:t xml:space="preserve"> mortgag</w:t>
      </w:r>
      <w:r w:rsidR="0046532A" w:rsidRPr="00491816">
        <w:rPr>
          <w:rFonts w:ascii="Times New Roman" w:hAnsi="Times New Roman" w:cs="Times New Roman"/>
          <w:sz w:val="24"/>
          <w:szCs w:val="24"/>
        </w:rPr>
        <w:t xml:space="preserve">or </w:t>
      </w:r>
      <w:r w:rsidR="006D4CA9" w:rsidRPr="00491816">
        <w:rPr>
          <w:rFonts w:ascii="Times New Roman" w:hAnsi="Times New Roman" w:cs="Times New Roman"/>
          <w:sz w:val="24"/>
          <w:szCs w:val="24"/>
        </w:rPr>
        <w:t xml:space="preserve">(written submissions, </w:t>
      </w:r>
      <w:r w:rsidR="0046532A" w:rsidRPr="00491816">
        <w:rPr>
          <w:rFonts w:ascii="Times New Roman" w:hAnsi="Times New Roman" w:cs="Times New Roman"/>
          <w:sz w:val="24"/>
          <w:szCs w:val="24"/>
        </w:rPr>
        <w:t xml:space="preserve">paras 5.1- 5.5), the argument being that a requirement for mortgagee consent to sale would constitute an impermissible and unenforceable </w:t>
      </w:r>
      <w:r w:rsidR="0046532A" w:rsidRPr="00491816">
        <w:rPr>
          <w:rFonts w:ascii="Times New Roman" w:hAnsi="Times New Roman" w:cs="Times New Roman"/>
          <w:i/>
          <w:sz w:val="24"/>
          <w:szCs w:val="24"/>
        </w:rPr>
        <w:t>“clog on redemption</w:t>
      </w:r>
      <w:r w:rsidR="0046532A" w:rsidRPr="00491816">
        <w:rPr>
          <w:rFonts w:ascii="Times New Roman" w:hAnsi="Times New Roman" w:cs="Times New Roman"/>
          <w:sz w:val="24"/>
          <w:szCs w:val="24"/>
        </w:rPr>
        <w:t xml:space="preserve">”. In the circumstances here, that argument is an entirely </w:t>
      </w:r>
      <w:r w:rsidR="00491816" w:rsidRPr="00491816">
        <w:rPr>
          <w:rFonts w:ascii="Times New Roman" w:hAnsi="Times New Roman" w:cs="Times New Roman"/>
          <w:sz w:val="24"/>
          <w:szCs w:val="24"/>
        </w:rPr>
        <w:t xml:space="preserve">theoretical one. </w:t>
      </w:r>
      <w:r w:rsidR="0046532A" w:rsidRPr="00491816">
        <w:rPr>
          <w:rFonts w:ascii="Times New Roman" w:hAnsi="Times New Roman" w:cs="Times New Roman"/>
          <w:sz w:val="24"/>
          <w:szCs w:val="24"/>
        </w:rPr>
        <w:t>As the Bank observes in its responding submissions (citing Wylie</w:t>
      </w:r>
      <w:r w:rsidR="00491816" w:rsidRPr="00491816">
        <w:rPr>
          <w:rFonts w:ascii="Times New Roman" w:hAnsi="Times New Roman" w:cs="Times New Roman"/>
          <w:sz w:val="24"/>
          <w:szCs w:val="24"/>
        </w:rPr>
        <w:t xml:space="preserve">, </w:t>
      </w:r>
      <w:r w:rsidR="00491816" w:rsidRPr="00491816">
        <w:rPr>
          <w:rFonts w:ascii="Times New Roman" w:hAnsi="Times New Roman" w:cs="Times New Roman"/>
          <w:i/>
          <w:sz w:val="24"/>
          <w:szCs w:val="24"/>
        </w:rPr>
        <w:t>Irish Land Law</w:t>
      </w:r>
      <w:r w:rsidR="00491816" w:rsidRPr="00491816">
        <w:rPr>
          <w:rFonts w:ascii="Times New Roman" w:hAnsi="Times New Roman" w:cs="Times New Roman"/>
          <w:sz w:val="24"/>
          <w:szCs w:val="24"/>
        </w:rPr>
        <w:t xml:space="preserve"> (6</w:t>
      </w:r>
      <w:r w:rsidR="00491816" w:rsidRPr="00491816">
        <w:rPr>
          <w:rFonts w:ascii="Times New Roman" w:hAnsi="Times New Roman" w:cs="Times New Roman"/>
          <w:sz w:val="24"/>
          <w:szCs w:val="24"/>
          <w:vertAlign w:val="superscript"/>
        </w:rPr>
        <w:t>th</w:t>
      </w:r>
      <w:r w:rsidR="00491816" w:rsidRPr="00491816">
        <w:rPr>
          <w:rFonts w:ascii="Times New Roman" w:hAnsi="Times New Roman" w:cs="Times New Roman"/>
          <w:sz w:val="24"/>
          <w:szCs w:val="24"/>
        </w:rPr>
        <w:t xml:space="preserve"> ed</w:t>
      </w:r>
      <w:r w:rsidR="00CB5C7B">
        <w:rPr>
          <w:rFonts w:ascii="Times New Roman" w:hAnsi="Times New Roman" w:cs="Times New Roman"/>
          <w:sz w:val="24"/>
          <w:szCs w:val="24"/>
        </w:rPr>
        <w:t>.</w:t>
      </w:r>
      <w:r w:rsidR="00491816" w:rsidRPr="00491816">
        <w:rPr>
          <w:rFonts w:ascii="Times New Roman" w:hAnsi="Times New Roman" w:cs="Times New Roman"/>
          <w:sz w:val="24"/>
          <w:szCs w:val="24"/>
        </w:rPr>
        <w:t>, 2020) at para 13-35) the right to redeem is the right of the mortgagor to get their property back freed and discharged from the mortgage “</w:t>
      </w:r>
      <w:r w:rsidR="00491816" w:rsidRPr="00491816">
        <w:rPr>
          <w:rFonts w:ascii="Times New Roman" w:hAnsi="Times New Roman" w:cs="Times New Roman"/>
          <w:i/>
          <w:sz w:val="24"/>
          <w:szCs w:val="24"/>
        </w:rPr>
        <w:t xml:space="preserve">by repayment of the capital borrowed and the interest charged on it”. </w:t>
      </w:r>
      <w:r w:rsidR="00491816" w:rsidRPr="00491816">
        <w:rPr>
          <w:rFonts w:ascii="Times New Roman" w:hAnsi="Times New Roman" w:cs="Times New Roman"/>
          <w:sz w:val="24"/>
          <w:szCs w:val="24"/>
        </w:rPr>
        <w:t xml:space="preserve">While, no doubt, the Bank and the Defendants intended at the time of executing the </w:t>
      </w:r>
      <w:r w:rsidR="00AA4E7C">
        <w:rPr>
          <w:rFonts w:ascii="Times New Roman" w:hAnsi="Times New Roman" w:cs="Times New Roman"/>
          <w:sz w:val="24"/>
          <w:szCs w:val="24"/>
        </w:rPr>
        <w:t>Mortgage</w:t>
      </w:r>
      <w:r w:rsidR="00491816" w:rsidRPr="00491816">
        <w:rPr>
          <w:rFonts w:ascii="Times New Roman" w:hAnsi="Times New Roman" w:cs="Times New Roman"/>
          <w:sz w:val="24"/>
          <w:szCs w:val="24"/>
        </w:rPr>
        <w:t xml:space="preserve"> that it would be redeemed in due course by repayment of the Loan, that never occurred</w:t>
      </w:r>
      <w:r w:rsidR="006F637A">
        <w:rPr>
          <w:rFonts w:ascii="Times New Roman" w:hAnsi="Times New Roman" w:cs="Times New Roman"/>
          <w:sz w:val="24"/>
          <w:szCs w:val="24"/>
        </w:rPr>
        <w:t>. In</w:t>
      </w:r>
      <w:r w:rsidR="00491816" w:rsidRPr="006F637A">
        <w:rPr>
          <w:rFonts w:ascii="Times New Roman" w:hAnsi="Times New Roman" w:cs="Times New Roman"/>
          <w:sz w:val="24"/>
          <w:szCs w:val="24"/>
        </w:rPr>
        <w:t xml:space="preserve"> any event, </w:t>
      </w:r>
      <w:r w:rsidR="002630FF" w:rsidRPr="006F637A">
        <w:rPr>
          <w:rFonts w:ascii="Times New Roman" w:hAnsi="Times New Roman" w:cs="Times New Roman"/>
          <w:sz w:val="24"/>
          <w:szCs w:val="24"/>
        </w:rPr>
        <w:t>we a</w:t>
      </w:r>
      <w:r w:rsidR="00491816" w:rsidRPr="006F637A">
        <w:rPr>
          <w:rFonts w:ascii="Times New Roman" w:hAnsi="Times New Roman" w:cs="Times New Roman"/>
          <w:sz w:val="24"/>
          <w:szCs w:val="24"/>
        </w:rPr>
        <w:t xml:space="preserve">re not persuaded that a requirement for a mortgagor to obtain the prior consent of their mortgagee to a sale of mortgaged property is, of itself, </w:t>
      </w:r>
      <w:r w:rsidR="00CB5C7B" w:rsidRPr="006F637A">
        <w:rPr>
          <w:rFonts w:ascii="Times New Roman" w:hAnsi="Times New Roman" w:cs="Times New Roman"/>
          <w:sz w:val="24"/>
          <w:szCs w:val="24"/>
        </w:rPr>
        <w:t>an</w:t>
      </w:r>
      <w:r w:rsidR="00491816" w:rsidRPr="006F637A">
        <w:rPr>
          <w:rFonts w:ascii="Times New Roman" w:hAnsi="Times New Roman" w:cs="Times New Roman"/>
          <w:sz w:val="24"/>
          <w:szCs w:val="24"/>
        </w:rPr>
        <w:t xml:space="preserve"> impermissible restriction on the right of redemption. </w:t>
      </w:r>
      <w:r w:rsidR="009557F0" w:rsidRPr="006F637A">
        <w:rPr>
          <w:rFonts w:ascii="Times New Roman" w:hAnsi="Times New Roman" w:cs="Times New Roman"/>
          <w:sz w:val="24"/>
          <w:szCs w:val="24"/>
        </w:rPr>
        <w:t xml:space="preserve">The </w:t>
      </w:r>
      <w:r w:rsidR="009557F0" w:rsidRPr="006F637A">
        <w:rPr>
          <w:rFonts w:ascii="Times New Roman" w:hAnsi="Times New Roman" w:cs="Times New Roman"/>
          <w:i/>
          <w:sz w:val="24"/>
          <w:szCs w:val="24"/>
        </w:rPr>
        <w:t>refusal</w:t>
      </w:r>
      <w:r w:rsidR="009557F0" w:rsidRPr="006F637A">
        <w:rPr>
          <w:rFonts w:ascii="Times New Roman" w:hAnsi="Times New Roman" w:cs="Times New Roman"/>
          <w:sz w:val="24"/>
          <w:szCs w:val="24"/>
        </w:rPr>
        <w:t xml:space="preserve"> of consent may do so but that will depend on the circumstances. </w:t>
      </w:r>
    </w:p>
    <w:p w14:paraId="15C64EBD" w14:textId="77777777" w:rsidR="009557F0" w:rsidRDefault="009557F0" w:rsidP="00CB5C7B">
      <w:pPr>
        <w:pStyle w:val="ListParagraph"/>
        <w:spacing w:after="0" w:line="480" w:lineRule="auto"/>
        <w:ind w:hanging="436"/>
        <w:jc w:val="both"/>
        <w:rPr>
          <w:rFonts w:ascii="Times New Roman" w:hAnsi="Times New Roman" w:cs="Times New Roman"/>
          <w:sz w:val="24"/>
          <w:szCs w:val="24"/>
        </w:rPr>
      </w:pPr>
    </w:p>
    <w:p w14:paraId="1675CF6A" w14:textId="1B37C91D" w:rsidR="009557F0" w:rsidRPr="009557F0" w:rsidRDefault="009557F0"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We note in this context that section 94 of the Land and Conveyancing Law Reform Act 2009 now permits the court to make an order for sale on the application of a mortgagor. Such a power had be</w:t>
      </w:r>
      <w:r w:rsidR="00A15FB6">
        <w:rPr>
          <w:rFonts w:ascii="Times New Roman" w:hAnsi="Times New Roman" w:cs="Times New Roman"/>
          <w:sz w:val="24"/>
          <w:szCs w:val="24"/>
        </w:rPr>
        <w:t>e</w:t>
      </w:r>
      <w:r w:rsidR="00ED2E40">
        <w:rPr>
          <w:rFonts w:ascii="Times New Roman" w:hAnsi="Times New Roman" w:cs="Times New Roman"/>
          <w:sz w:val="24"/>
          <w:szCs w:val="24"/>
        </w:rPr>
        <w:t>n</w:t>
      </w:r>
      <w:r>
        <w:rPr>
          <w:rFonts w:ascii="Times New Roman" w:hAnsi="Times New Roman" w:cs="Times New Roman"/>
          <w:sz w:val="24"/>
          <w:szCs w:val="24"/>
        </w:rPr>
        <w:t xml:space="preserve"> conferred by section 28 of the Conveyancing Act 1881 but that section did not apply to Ireland. Notably, other than in relation to housing loan mortgages (and the </w:t>
      </w:r>
      <w:r w:rsidR="00AA4E7C">
        <w:rPr>
          <w:rFonts w:ascii="Times New Roman" w:hAnsi="Times New Roman" w:cs="Times New Roman"/>
          <w:sz w:val="24"/>
          <w:szCs w:val="24"/>
        </w:rPr>
        <w:t>Mortgage</w:t>
      </w:r>
      <w:r>
        <w:rPr>
          <w:rFonts w:ascii="Times New Roman" w:hAnsi="Times New Roman" w:cs="Times New Roman"/>
          <w:sz w:val="24"/>
          <w:szCs w:val="24"/>
        </w:rPr>
        <w:t xml:space="preserve"> here was obviously not a </w:t>
      </w:r>
      <w:r w:rsidR="00AA4E7C">
        <w:rPr>
          <w:rFonts w:ascii="Times New Roman" w:hAnsi="Times New Roman" w:cs="Times New Roman"/>
          <w:sz w:val="24"/>
          <w:szCs w:val="24"/>
        </w:rPr>
        <w:t xml:space="preserve">housing loan </w:t>
      </w:r>
      <w:r>
        <w:rPr>
          <w:rFonts w:ascii="Times New Roman" w:hAnsi="Times New Roman" w:cs="Times New Roman"/>
          <w:sz w:val="24"/>
          <w:szCs w:val="24"/>
        </w:rPr>
        <w:t xml:space="preserve">mortgage), section 94 takes effect subject to the terms of the mortgage. In other words, the application of the section can be excluded. The terms of section 94 do not appear to us to be consistent </w:t>
      </w:r>
      <w:r>
        <w:rPr>
          <w:rFonts w:ascii="Times New Roman" w:hAnsi="Times New Roman" w:cs="Times New Roman"/>
          <w:sz w:val="24"/>
          <w:szCs w:val="24"/>
        </w:rPr>
        <w:lastRenderedPageBreak/>
        <w:t xml:space="preserve">with any suggestion that mortgagors have an untrammelled right of sale that cannot be limited by the terms of the mortgage. </w:t>
      </w:r>
    </w:p>
    <w:p w14:paraId="6C7AE2E3" w14:textId="77777777" w:rsidR="00491816" w:rsidRPr="00491816" w:rsidRDefault="00491816" w:rsidP="00CB5C7B">
      <w:pPr>
        <w:pStyle w:val="ListParagraph"/>
        <w:spacing w:after="0" w:line="480" w:lineRule="auto"/>
        <w:ind w:hanging="436"/>
        <w:jc w:val="both"/>
        <w:rPr>
          <w:rFonts w:ascii="Times New Roman" w:hAnsi="Times New Roman" w:cs="Times New Roman"/>
          <w:sz w:val="24"/>
          <w:szCs w:val="24"/>
        </w:rPr>
      </w:pPr>
    </w:p>
    <w:p w14:paraId="330D6952" w14:textId="55AAA8ED" w:rsidR="00314EF3" w:rsidRDefault="00AD23B6"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Before addressing the Judge’s conclusions</w:t>
      </w:r>
      <w:r w:rsidR="00504EFC">
        <w:rPr>
          <w:rFonts w:ascii="Times New Roman" w:hAnsi="Times New Roman" w:cs="Times New Roman"/>
          <w:sz w:val="24"/>
          <w:szCs w:val="24"/>
        </w:rPr>
        <w:t xml:space="preserve"> on this issue</w:t>
      </w:r>
      <w:r>
        <w:rPr>
          <w:rFonts w:ascii="Times New Roman" w:hAnsi="Times New Roman" w:cs="Times New Roman"/>
          <w:sz w:val="24"/>
          <w:szCs w:val="24"/>
        </w:rPr>
        <w:t>, w</w:t>
      </w:r>
      <w:r w:rsidR="006D71CC">
        <w:rPr>
          <w:rFonts w:ascii="Times New Roman" w:hAnsi="Times New Roman" w:cs="Times New Roman"/>
          <w:sz w:val="24"/>
          <w:szCs w:val="24"/>
        </w:rPr>
        <w:t>e would</w:t>
      </w:r>
      <w:r>
        <w:rPr>
          <w:rFonts w:ascii="Times New Roman" w:hAnsi="Times New Roman" w:cs="Times New Roman"/>
          <w:sz w:val="24"/>
          <w:szCs w:val="24"/>
        </w:rPr>
        <w:t xml:space="preserve"> </w:t>
      </w:r>
      <w:r w:rsidR="006D71CC">
        <w:rPr>
          <w:rFonts w:ascii="Times New Roman" w:hAnsi="Times New Roman" w:cs="Times New Roman"/>
          <w:sz w:val="24"/>
          <w:szCs w:val="24"/>
        </w:rPr>
        <w:t>observe that no issue appears to have been raised at the time that the Bank’s consent to the sale of the Kilpeddar Lands was not required. Thus, as of 6 November 2013</w:t>
      </w:r>
      <w:r w:rsidR="0003297D">
        <w:rPr>
          <w:rStyle w:val="FootnoteReference"/>
          <w:rFonts w:ascii="Times New Roman" w:hAnsi="Times New Roman" w:cs="Times New Roman"/>
          <w:sz w:val="24"/>
          <w:szCs w:val="24"/>
        </w:rPr>
        <w:footnoteReference w:id="8"/>
      </w:r>
      <w:r w:rsidR="006D71CC">
        <w:rPr>
          <w:rFonts w:ascii="Times New Roman" w:hAnsi="Times New Roman" w:cs="Times New Roman"/>
          <w:sz w:val="24"/>
          <w:szCs w:val="24"/>
        </w:rPr>
        <w:t xml:space="preserve"> – after the execution of the Compromise Agreement – the Defendants solicitors, Gallagher &amp; Company, was writing to the Bank </w:t>
      </w:r>
      <w:r w:rsidR="009E79D2">
        <w:rPr>
          <w:rFonts w:ascii="Times New Roman" w:hAnsi="Times New Roman" w:cs="Times New Roman"/>
          <w:sz w:val="24"/>
          <w:szCs w:val="24"/>
        </w:rPr>
        <w:t>seeking confirmation whether it approved or disapproved of an “</w:t>
      </w:r>
      <w:r w:rsidR="009E79D2" w:rsidRPr="009E79D2">
        <w:rPr>
          <w:rFonts w:ascii="Times New Roman" w:hAnsi="Times New Roman" w:cs="Times New Roman"/>
          <w:i/>
          <w:sz w:val="24"/>
          <w:szCs w:val="24"/>
        </w:rPr>
        <w:t>offer</w:t>
      </w:r>
      <w:r w:rsidR="009E79D2">
        <w:rPr>
          <w:rFonts w:ascii="Times New Roman" w:hAnsi="Times New Roman" w:cs="Times New Roman"/>
          <w:sz w:val="24"/>
          <w:szCs w:val="24"/>
        </w:rPr>
        <w:t xml:space="preserve">” said to have been received for the Lands. </w:t>
      </w:r>
      <w:r w:rsidR="0003297D">
        <w:rPr>
          <w:rFonts w:ascii="Times New Roman" w:hAnsi="Times New Roman" w:cs="Times New Roman"/>
          <w:sz w:val="24"/>
          <w:szCs w:val="24"/>
        </w:rPr>
        <w:t>In subsequent correspondence with both the Defendants</w:t>
      </w:r>
      <w:r w:rsidR="0003297D">
        <w:rPr>
          <w:rStyle w:val="FootnoteReference"/>
          <w:rFonts w:ascii="Times New Roman" w:hAnsi="Times New Roman" w:cs="Times New Roman"/>
          <w:sz w:val="24"/>
          <w:szCs w:val="24"/>
        </w:rPr>
        <w:footnoteReference w:id="9"/>
      </w:r>
      <w:r w:rsidR="0003297D">
        <w:rPr>
          <w:rFonts w:ascii="Times New Roman" w:hAnsi="Times New Roman" w:cs="Times New Roman"/>
          <w:sz w:val="24"/>
          <w:szCs w:val="24"/>
        </w:rPr>
        <w:t xml:space="preserve"> and their solicitors</w:t>
      </w:r>
      <w:r w:rsidR="0003297D">
        <w:rPr>
          <w:rStyle w:val="FootnoteReference"/>
          <w:rFonts w:ascii="Times New Roman" w:hAnsi="Times New Roman" w:cs="Times New Roman"/>
          <w:sz w:val="24"/>
          <w:szCs w:val="24"/>
        </w:rPr>
        <w:footnoteReference w:id="10"/>
      </w:r>
      <w:r w:rsidR="0003297D">
        <w:rPr>
          <w:rFonts w:ascii="Times New Roman" w:hAnsi="Times New Roman" w:cs="Times New Roman"/>
          <w:sz w:val="24"/>
          <w:szCs w:val="24"/>
        </w:rPr>
        <w:t xml:space="preserve"> the Bank made it clear that the sale of the Kilpeddar Lands was subject to its consent. </w:t>
      </w:r>
      <w:r w:rsidR="0054097D">
        <w:rPr>
          <w:rFonts w:ascii="Times New Roman" w:hAnsi="Times New Roman" w:cs="Times New Roman"/>
          <w:sz w:val="24"/>
          <w:szCs w:val="24"/>
        </w:rPr>
        <w:t xml:space="preserve">No issue appears to have been taken with the Bank’s stated position until </w:t>
      </w:r>
      <w:r>
        <w:rPr>
          <w:rFonts w:ascii="Times New Roman" w:hAnsi="Times New Roman" w:cs="Times New Roman"/>
          <w:sz w:val="24"/>
          <w:szCs w:val="24"/>
        </w:rPr>
        <w:t>after</w:t>
      </w:r>
      <w:r w:rsidR="0054097D">
        <w:rPr>
          <w:rFonts w:ascii="Times New Roman" w:hAnsi="Times New Roman" w:cs="Times New Roman"/>
          <w:sz w:val="24"/>
          <w:szCs w:val="24"/>
        </w:rPr>
        <w:t xml:space="preserve"> the purported sale to Granja, which the Judge effectively held to be a sham.</w:t>
      </w:r>
      <w:r w:rsidR="00BC1631">
        <w:rPr>
          <w:rFonts w:ascii="Times New Roman" w:hAnsi="Times New Roman" w:cs="Times New Roman"/>
          <w:sz w:val="24"/>
          <w:szCs w:val="24"/>
        </w:rPr>
        <w:t xml:space="preserve"> Notably, even the Defendant’s auctioneer, Mr Dool</w:t>
      </w:r>
      <w:r w:rsidR="00314EF3">
        <w:rPr>
          <w:rFonts w:ascii="Times New Roman" w:hAnsi="Times New Roman" w:cs="Times New Roman"/>
          <w:sz w:val="24"/>
          <w:szCs w:val="24"/>
        </w:rPr>
        <w:t>e</w:t>
      </w:r>
      <w:r w:rsidR="00BC1631">
        <w:rPr>
          <w:rFonts w:ascii="Times New Roman" w:hAnsi="Times New Roman" w:cs="Times New Roman"/>
          <w:sz w:val="24"/>
          <w:szCs w:val="24"/>
        </w:rPr>
        <w:t xml:space="preserve">y, clearly understood that </w:t>
      </w:r>
      <w:r w:rsidR="00BC1631" w:rsidRPr="00BC1631">
        <w:rPr>
          <w:rFonts w:ascii="Times New Roman" w:hAnsi="Times New Roman" w:cs="Times New Roman"/>
          <w:i/>
          <w:sz w:val="24"/>
          <w:szCs w:val="24"/>
        </w:rPr>
        <w:t>“the final sign off</w:t>
      </w:r>
      <w:r w:rsidR="00BC1631">
        <w:rPr>
          <w:rFonts w:ascii="Times New Roman" w:hAnsi="Times New Roman" w:cs="Times New Roman"/>
          <w:sz w:val="24"/>
          <w:szCs w:val="24"/>
        </w:rPr>
        <w:t>” was with the Bank.</w:t>
      </w:r>
      <w:r w:rsidR="00BC1631">
        <w:rPr>
          <w:rStyle w:val="FootnoteReference"/>
          <w:rFonts w:ascii="Times New Roman" w:hAnsi="Times New Roman" w:cs="Times New Roman"/>
          <w:sz w:val="24"/>
          <w:szCs w:val="24"/>
        </w:rPr>
        <w:footnoteReference w:id="11"/>
      </w:r>
      <w:r w:rsidR="00BC1631">
        <w:rPr>
          <w:rFonts w:ascii="Times New Roman" w:hAnsi="Times New Roman" w:cs="Times New Roman"/>
          <w:sz w:val="24"/>
          <w:szCs w:val="24"/>
        </w:rPr>
        <w:t xml:space="preserve"> </w:t>
      </w:r>
      <w:r w:rsidR="00314EF3">
        <w:rPr>
          <w:rFonts w:ascii="Times New Roman" w:hAnsi="Times New Roman" w:cs="Times New Roman"/>
          <w:sz w:val="24"/>
          <w:szCs w:val="24"/>
        </w:rPr>
        <w:t xml:space="preserve">We refer to this material not for the purpose of construing the Mortgage – it is clearly not admissible for that purpose – but simply to demonstrate that there appears to have </w:t>
      </w:r>
      <w:r w:rsidR="000F100E">
        <w:rPr>
          <w:rFonts w:ascii="Times New Roman" w:hAnsi="Times New Roman" w:cs="Times New Roman"/>
          <w:sz w:val="24"/>
          <w:szCs w:val="24"/>
        </w:rPr>
        <w:t xml:space="preserve">been </w:t>
      </w:r>
      <w:r w:rsidR="00314EF3">
        <w:rPr>
          <w:rFonts w:ascii="Times New Roman" w:hAnsi="Times New Roman" w:cs="Times New Roman"/>
          <w:sz w:val="24"/>
          <w:szCs w:val="24"/>
        </w:rPr>
        <w:t xml:space="preserve">no actual issue about the role of the Bank and the suggestion that the Defendants were free to sell the Kilpeddar Lands without the consent of the Bank appears to be a </w:t>
      </w:r>
      <w:r w:rsidR="00314EF3" w:rsidRPr="00314EF3">
        <w:rPr>
          <w:rFonts w:ascii="Times New Roman" w:hAnsi="Times New Roman" w:cs="Times New Roman"/>
          <w:i/>
          <w:sz w:val="24"/>
          <w:szCs w:val="24"/>
        </w:rPr>
        <w:t>post-hoc</w:t>
      </w:r>
      <w:r w:rsidR="00314EF3">
        <w:rPr>
          <w:rFonts w:ascii="Times New Roman" w:hAnsi="Times New Roman" w:cs="Times New Roman"/>
          <w:sz w:val="24"/>
          <w:szCs w:val="24"/>
        </w:rPr>
        <w:t xml:space="preserve"> invention.</w:t>
      </w:r>
    </w:p>
    <w:p w14:paraId="5265EA30" w14:textId="77777777" w:rsidR="00AD23B6" w:rsidRDefault="00AD23B6" w:rsidP="00CB5C7B">
      <w:pPr>
        <w:pStyle w:val="ListParagraph"/>
        <w:spacing w:after="0" w:line="480" w:lineRule="auto"/>
        <w:ind w:hanging="436"/>
        <w:jc w:val="both"/>
        <w:rPr>
          <w:rFonts w:ascii="Times New Roman" w:hAnsi="Times New Roman" w:cs="Times New Roman"/>
          <w:sz w:val="24"/>
          <w:szCs w:val="24"/>
        </w:rPr>
      </w:pPr>
    </w:p>
    <w:p w14:paraId="71B8FB4A" w14:textId="28B93B98" w:rsidR="00C0479E" w:rsidRDefault="00AD23B6"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lastRenderedPageBreak/>
        <w:t xml:space="preserve">We note also that as and from the registration of the Bank’s charge over the Kilpeddar Lands, its consent to any sale </w:t>
      </w:r>
      <w:r w:rsidR="00504EFC">
        <w:rPr>
          <w:rFonts w:ascii="Times New Roman" w:hAnsi="Times New Roman" w:cs="Times New Roman"/>
          <w:sz w:val="24"/>
          <w:szCs w:val="24"/>
        </w:rPr>
        <w:t xml:space="preserve">was a </w:t>
      </w:r>
      <w:r w:rsidR="00504EFC" w:rsidRPr="00504EFC">
        <w:rPr>
          <w:rFonts w:ascii="Times New Roman" w:hAnsi="Times New Roman" w:cs="Times New Roman"/>
          <w:i/>
          <w:sz w:val="24"/>
          <w:szCs w:val="24"/>
        </w:rPr>
        <w:t>de facto</w:t>
      </w:r>
      <w:r w:rsidR="00504EFC">
        <w:rPr>
          <w:rFonts w:ascii="Times New Roman" w:hAnsi="Times New Roman" w:cs="Times New Roman"/>
          <w:sz w:val="24"/>
          <w:szCs w:val="24"/>
        </w:rPr>
        <w:t xml:space="preserve"> requirement in any event, given that any purchaser would require the Bank to vacate its charge and given the fact, as already noted, that there was no question of the proceeds of sale being sufficient to discharge the indebtedness secured by the charge.</w:t>
      </w:r>
    </w:p>
    <w:p w14:paraId="6530093D" w14:textId="77777777" w:rsidR="00504EFC" w:rsidRDefault="00504EFC" w:rsidP="00CB5C7B">
      <w:pPr>
        <w:pStyle w:val="ListParagraph"/>
        <w:spacing w:after="0" w:line="480" w:lineRule="auto"/>
        <w:ind w:hanging="436"/>
        <w:jc w:val="both"/>
        <w:rPr>
          <w:rFonts w:ascii="Times New Roman" w:hAnsi="Times New Roman" w:cs="Times New Roman"/>
          <w:sz w:val="24"/>
          <w:szCs w:val="24"/>
        </w:rPr>
      </w:pPr>
    </w:p>
    <w:p w14:paraId="6E20A8ED" w14:textId="0552C6FD" w:rsidR="00504EFC" w:rsidRDefault="00504EFC"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In these circumstances, the issue concerning the construction of clause 5(c) of the Mortgage does not, in our view, have anything like the significance sought to be attached to it by the Second and Third Defendants. </w:t>
      </w:r>
    </w:p>
    <w:p w14:paraId="53A881B8" w14:textId="77777777" w:rsidR="00504EFC" w:rsidRDefault="00504EFC" w:rsidP="00CB5C7B">
      <w:pPr>
        <w:pStyle w:val="ListParagraph"/>
        <w:spacing w:after="0" w:line="480" w:lineRule="auto"/>
        <w:ind w:hanging="436"/>
        <w:jc w:val="both"/>
        <w:rPr>
          <w:rFonts w:ascii="Times New Roman" w:hAnsi="Times New Roman" w:cs="Times New Roman"/>
          <w:sz w:val="24"/>
          <w:szCs w:val="24"/>
        </w:rPr>
      </w:pPr>
    </w:p>
    <w:p w14:paraId="4E2DBAC7" w14:textId="7F155F1E" w:rsidR="005D475E" w:rsidRDefault="00504EFC"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As to that issue of construction, we respectfully differ from the Judge’s view. While we are not persuaded that a requirement for the prior written consent of the Bank to any sale of the Kilpeddar Lands would have been unlawful or unenforceable as a clog on the Borrowers’ equity of redemption, it appears to us that any such requirement </w:t>
      </w:r>
      <w:r w:rsidR="005D475E">
        <w:rPr>
          <w:rFonts w:ascii="Times New Roman" w:hAnsi="Times New Roman" w:cs="Times New Roman"/>
          <w:sz w:val="24"/>
          <w:szCs w:val="24"/>
        </w:rPr>
        <w:t>would have to b</w:t>
      </w:r>
      <w:r>
        <w:rPr>
          <w:rFonts w:ascii="Times New Roman" w:hAnsi="Times New Roman" w:cs="Times New Roman"/>
          <w:sz w:val="24"/>
          <w:szCs w:val="24"/>
        </w:rPr>
        <w:t xml:space="preserve">e expressed in clear terms. </w:t>
      </w:r>
      <w:r w:rsidR="005D475E">
        <w:rPr>
          <w:rFonts w:ascii="Times New Roman" w:hAnsi="Times New Roman" w:cs="Times New Roman"/>
          <w:sz w:val="24"/>
          <w:szCs w:val="24"/>
        </w:rPr>
        <w:t>“</w:t>
      </w:r>
      <w:r w:rsidRPr="005D475E">
        <w:rPr>
          <w:rFonts w:ascii="Times New Roman" w:hAnsi="Times New Roman" w:cs="Times New Roman"/>
          <w:i/>
          <w:sz w:val="24"/>
          <w:szCs w:val="24"/>
        </w:rPr>
        <w:t>Parting with possession</w:t>
      </w:r>
      <w:r w:rsidR="005D475E">
        <w:rPr>
          <w:rFonts w:ascii="Times New Roman" w:hAnsi="Times New Roman" w:cs="Times New Roman"/>
          <w:sz w:val="24"/>
          <w:szCs w:val="24"/>
        </w:rPr>
        <w:t>” cannot be understood as synonymous with “</w:t>
      </w:r>
      <w:r w:rsidR="005D475E" w:rsidRPr="005D475E">
        <w:rPr>
          <w:rFonts w:ascii="Times New Roman" w:hAnsi="Times New Roman" w:cs="Times New Roman"/>
          <w:i/>
          <w:sz w:val="24"/>
          <w:szCs w:val="24"/>
        </w:rPr>
        <w:t>sale</w:t>
      </w:r>
      <w:r w:rsidR="005D475E">
        <w:rPr>
          <w:rFonts w:ascii="Times New Roman" w:hAnsi="Times New Roman" w:cs="Times New Roman"/>
          <w:sz w:val="24"/>
          <w:szCs w:val="24"/>
        </w:rPr>
        <w:t xml:space="preserve">”. Sale may, or may not, involve parting with possession and </w:t>
      </w:r>
      <w:r w:rsidR="005D475E" w:rsidRPr="005D475E">
        <w:rPr>
          <w:rFonts w:ascii="Times New Roman" w:hAnsi="Times New Roman" w:cs="Times New Roman"/>
          <w:i/>
          <w:sz w:val="24"/>
          <w:szCs w:val="24"/>
        </w:rPr>
        <w:t>vice versa</w:t>
      </w:r>
      <w:r w:rsidR="005D475E">
        <w:rPr>
          <w:rFonts w:ascii="Times New Roman" w:hAnsi="Times New Roman" w:cs="Times New Roman"/>
          <w:sz w:val="24"/>
          <w:szCs w:val="24"/>
        </w:rPr>
        <w:t>. In our view what clause 5(c) addresses are situations where, without necessarily entering into a formal lease, the Borrowers might surrender possession or occupation of the Lands to a third party, thus potentially prejudicing the Bank’s right to enforce its security over the Lands.</w:t>
      </w:r>
    </w:p>
    <w:p w14:paraId="71EF0A57" w14:textId="77777777" w:rsidR="005D475E" w:rsidRDefault="005D475E" w:rsidP="00CB5C7B">
      <w:pPr>
        <w:pStyle w:val="ListParagraph"/>
        <w:spacing w:after="0" w:line="480" w:lineRule="auto"/>
        <w:ind w:hanging="436"/>
        <w:jc w:val="both"/>
        <w:rPr>
          <w:rFonts w:ascii="Times New Roman" w:hAnsi="Times New Roman" w:cs="Times New Roman"/>
          <w:sz w:val="24"/>
          <w:szCs w:val="24"/>
        </w:rPr>
      </w:pPr>
    </w:p>
    <w:p w14:paraId="285FD259" w14:textId="2FE796DF" w:rsidR="005D475E" w:rsidRPr="005D475E" w:rsidRDefault="005D475E"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We would therefore uphold this ground of appeal but, in our view, it has no impact on the conclusions ultimately reached by the Judge. </w:t>
      </w:r>
    </w:p>
    <w:p w14:paraId="734372E2" w14:textId="77777777" w:rsidR="00AD23B6" w:rsidRPr="00314EF3" w:rsidRDefault="00AD23B6" w:rsidP="00CB5C7B">
      <w:pPr>
        <w:pStyle w:val="ListParagraph"/>
        <w:spacing w:after="0" w:line="480" w:lineRule="auto"/>
        <w:ind w:hanging="436"/>
        <w:jc w:val="both"/>
        <w:rPr>
          <w:rFonts w:ascii="Times New Roman" w:hAnsi="Times New Roman" w:cs="Times New Roman"/>
          <w:sz w:val="24"/>
          <w:szCs w:val="24"/>
        </w:rPr>
      </w:pPr>
    </w:p>
    <w:p w14:paraId="169F9C54" w14:textId="79864546" w:rsidR="002630FF" w:rsidRPr="0054097D" w:rsidRDefault="0054097D" w:rsidP="00272396">
      <w:pPr>
        <w:pStyle w:val="Heading2"/>
      </w:pPr>
      <w:r w:rsidRPr="0054097D">
        <w:lastRenderedPageBreak/>
        <w:t>The meaning and effect of the Compromise Agreement</w:t>
      </w:r>
    </w:p>
    <w:p w14:paraId="4D7126DE" w14:textId="77777777" w:rsidR="0054097D" w:rsidRDefault="0054097D" w:rsidP="002630FF">
      <w:pPr>
        <w:pStyle w:val="ListParagraph"/>
        <w:spacing w:after="0" w:line="480" w:lineRule="auto"/>
        <w:jc w:val="both"/>
        <w:rPr>
          <w:rFonts w:ascii="Times New Roman" w:hAnsi="Times New Roman" w:cs="Times New Roman"/>
          <w:sz w:val="24"/>
          <w:szCs w:val="24"/>
        </w:rPr>
      </w:pPr>
    </w:p>
    <w:p w14:paraId="03F72C0F" w14:textId="28331CA8" w:rsidR="0054097D" w:rsidRDefault="006F637A"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It is next said </w:t>
      </w:r>
      <w:r w:rsidR="0054097D">
        <w:rPr>
          <w:rFonts w:ascii="Times New Roman" w:hAnsi="Times New Roman" w:cs="Times New Roman"/>
          <w:sz w:val="24"/>
          <w:szCs w:val="24"/>
        </w:rPr>
        <w:t>by the Second and Third Defendants that the effect of the Compromise Agreement, and in particular clause 3.6.1</w:t>
      </w:r>
      <w:r w:rsidR="004F65F7">
        <w:rPr>
          <w:rFonts w:ascii="Times New Roman" w:hAnsi="Times New Roman" w:cs="Times New Roman"/>
          <w:sz w:val="24"/>
          <w:szCs w:val="24"/>
        </w:rPr>
        <w:t xml:space="preserve"> (a) and (b)</w:t>
      </w:r>
      <w:r w:rsidR="0054097D">
        <w:rPr>
          <w:rFonts w:ascii="Times New Roman" w:hAnsi="Times New Roman" w:cs="Times New Roman"/>
          <w:sz w:val="24"/>
          <w:szCs w:val="24"/>
        </w:rPr>
        <w:t xml:space="preserve">, </w:t>
      </w:r>
      <w:r w:rsidR="00ED2E40">
        <w:rPr>
          <w:rFonts w:ascii="Times New Roman" w:hAnsi="Times New Roman" w:cs="Times New Roman"/>
          <w:sz w:val="24"/>
          <w:szCs w:val="24"/>
        </w:rPr>
        <w:t xml:space="preserve">was that the Bank had consented </w:t>
      </w:r>
      <w:r w:rsidR="0054097D">
        <w:rPr>
          <w:rFonts w:ascii="Times New Roman" w:hAnsi="Times New Roman" w:cs="Times New Roman"/>
          <w:sz w:val="24"/>
          <w:szCs w:val="24"/>
        </w:rPr>
        <w:t>to the sale of the Kilpeddar Lands.</w:t>
      </w:r>
    </w:p>
    <w:p w14:paraId="3A88CDAD" w14:textId="77777777" w:rsidR="005D475E" w:rsidRDefault="005D475E" w:rsidP="00CB5C7B">
      <w:pPr>
        <w:pStyle w:val="ListParagraph"/>
        <w:spacing w:after="0" w:line="480" w:lineRule="auto"/>
        <w:ind w:hanging="436"/>
        <w:jc w:val="both"/>
        <w:rPr>
          <w:rFonts w:ascii="Times New Roman" w:hAnsi="Times New Roman" w:cs="Times New Roman"/>
          <w:sz w:val="24"/>
          <w:szCs w:val="24"/>
        </w:rPr>
      </w:pPr>
    </w:p>
    <w:p w14:paraId="581768D8" w14:textId="4EC74B73" w:rsidR="005D475E" w:rsidRDefault="005D475E"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In light of the view we have taken as to the proper constriction of clause 5(c) of the Mortgage, this ground is something of a moot but we shall nonetheless express our view on it.</w:t>
      </w:r>
    </w:p>
    <w:p w14:paraId="6101BAD9" w14:textId="77777777" w:rsidR="0054097D" w:rsidRDefault="0054097D" w:rsidP="00CB5C7B">
      <w:pPr>
        <w:pStyle w:val="ListParagraph"/>
        <w:spacing w:after="0" w:line="480" w:lineRule="auto"/>
        <w:ind w:hanging="436"/>
        <w:jc w:val="both"/>
        <w:rPr>
          <w:rFonts w:ascii="Times New Roman" w:hAnsi="Times New Roman" w:cs="Times New Roman"/>
          <w:sz w:val="24"/>
          <w:szCs w:val="24"/>
        </w:rPr>
      </w:pPr>
    </w:p>
    <w:p w14:paraId="2B3021C8" w14:textId="7BF4D0CD" w:rsidR="0054097D" w:rsidRDefault="0054097D"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Clause 3.6.1</w:t>
      </w:r>
      <w:r w:rsidR="00D91163">
        <w:rPr>
          <w:rFonts w:ascii="Times New Roman" w:hAnsi="Times New Roman" w:cs="Times New Roman"/>
          <w:sz w:val="24"/>
          <w:szCs w:val="24"/>
        </w:rPr>
        <w:t>(a)-(c)</w:t>
      </w:r>
      <w:r>
        <w:rPr>
          <w:rFonts w:ascii="Times New Roman" w:hAnsi="Times New Roman" w:cs="Times New Roman"/>
          <w:sz w:val="24"/>
          <w:szCs w:val="24"/>
        </w:rPr>
        <w:t xml:space="preserve"> provides as follows:</w:t>
      </w:r>
    </w:p>
    <w:p w14:paraId="46D9E756" w14:textId="308CB44C" w:rsidR="0054097D" w:rsidRDefault="0054097D" w:rsidP="0054097D">
      <w:pPr>
        <w:pStyle w:val="ListParagraph"/>
        <w:spacing w:after="0" w:line="480" w:lineRule="auto"/>
        <w:jc w:val="both"/>
        <w:rPr>
          <w:rFonts w:ascii="Times New Roman" w:hAnsi="Times New Roman" w:cs="Times New Roman"/>
          <w:sz w:val="24"/>
          <w:szCs w:val="24"/>
        </w:rPr>
      </w:pPr>
    </w:p>
    <w:p w14:paraId="46F0C0F4" w14:textId="709F793F" w:rsidR="009210E7" w:rsidRPr="004F65F7" w:rsidRDefault="004F65F7" w:rsidP="004F65F7">
      <w:pPr>
        <w:pStyle w:val="ListParagraph"/>
        <w:spacing w:after="0" w:line="480" w:lineRule="auto"/>
        <w:ind w:left="1418"/>
        <w:jc w:val="both"/>
        <w:rPr>
          <w:rFonts w:ascii="Times New Roman" w:hAnsi="Times New Roman" w:cs="Times New Roman"/>
          <w:i/>
          <w:sz w:val="24"/>
          <w:szCs w:val="24"/>
        </w:rPr>
      </w:pPr>
      <w:r>
        <w:rPr>
          <w:rFonts w:ascii="Times New Roman" w:hAnsi="Times New Roman" w:cs="Times New Roman"/>
          <w:i/>
          <w:sz w:val="24"/>
          <w:szCs w:val="24"/>
        </w:rPr>
        <w:t>“</w:t>
      </w:r>
      <w:r w:rsidR="0054097D" w:rsidRPr="004F65F7">
        <w:rPr>
          <w:rFonts w:ascii="Times New Roman" w:hAnsi="Times New Roman" w:cs="Times New Roman"/>
          <w:i/>
          <w:sz w:val="24"/>
          <w:szCs w:val="24"/>
        </w:rPr>
        <w:t xml:space="preserve">(a) The </w:t>
      </w:r>
      <w:r>
        <w:rPr>
          <w:rFonts w:ascii="Times New Roman" w:hAnsi="Times New Roman" w:cs="Times New Roman"/>
          <w:i/>
          <w:sz w:val="24"/>
          <w:szCs w:val="24"/>
        </w:rPr>
        <w:t>B</w:t>
      </w:r>
      <w:r w:rsidR="0054097D" w:rsidRPr="004F65F7">
        <w:rPr>
          <w:rFonts w:ascii="Times New Roman" w:hAnsi="Times New Roman" w:cs="Times New Roman"/>
          <w:i/>
          <w:sz w:val="24"/>
          <w:szCs w:val="24"/>
        </w:rPr>
        <w:t xml:space="preserve">orrowers shall </w:t>
      </w:r>
      <w:r w:rsidR="00A15FB6">
        <w:rPr>
          <w:rFonts w:ascii="Times New Roman" w:hAnsi="Times New Roman" w:cs="Times New Roman"/>
          <w:i/>
          <w:sz w:val="24"/>
          <w:szCs w:val="24"/>
        </w:rPr>
        <w:t>ap</w:t>
      </w:r>
      <w:r w:rsidR="009210E7" w:rsidRPr="004F65F7">
        <w:rPr>
          <w:rFonts w:ascii="Times New Roman" w:hAnsi="Times New Roman" w:cs="Times New Roman"/>
          <w:i/>
          <w:sz w:val="24"/>
          <w:szCs w:val="24"/>
        </w:rPr>
        <w:t xml:space="preserve">point the </w:t>
      </w:r>
      <w:r>
        <w:rPr>
          <w:rFonts w:ascii="Times New Roman" w:hAnsi="Times New Roman" w:cs="Times New Roman"/>
          <w:i/>
          <w:sz w:val="24"/>
          <w:szCs w:val="24"/>
        </w:rPr>
        <w:t>A</w:t>
      </w:r>
      <w:r w:rsidR="009210E7" w:rsidRPr="004F65F7">
        <w:rPr>
          <w:rFonts w:ascii="Times New Roman" w:hAnsi="Times New Roman" w:cs="Times New Roman"/>
          <w:i/>
          <w:sz w:val="24"/>
          <w:szCs w:val="24"/>
        </w:rPr>
        <w:t xml:space="preserve">gents for </w:t>
      </w:r>
      <w:r w:rsidRPr="004F65F7">
        <w:rPr>
          <w:rFonts w:ascii="Times New Roman" w:hAnsi="Times New Roman" w:cs="Times New Roman"/>
          <w:i/>
          <w:sz w:val="24"/>
          <w:szCs w:val="24"/>
        </w:rPr>
        <w:t xml:space="preserve">each of the </w:t>
      </w:r>
      <w:r w:rsidR="004822FE">
        <w:rPr>
          <w:rFonts w:ascii="Times New Roman" w:hAnsi="Times New Roman" w:cs="Times New Roman"/>
          <w:i/>
          <w:sz w:val="24"/>
          <w:szCs w:val="24"/>
        </w:rPr>
        <w:t>P</w:t>
      </w:r>
      <w:r w:rsidRPr="004F65F7">
        <w:rPr>
          <w:rFonts w:ascii="Times New Roman" w:hAnsi="Times New Roman" w:cs="Times New Roman"/>
          <w:i/>
          <w:sz w:val="24"/>
          <w:szCs w:val="24"/>
        </w:rPr>
        <w:t>roperties</w:t>
      </w:r>
      <w:r w:rsidR="004822FE">
        <w:rPr>
          <w:rStyle w:val="FootnoteReference"/>
          <w:rFonts w:ascii="Times New Roman" w:hAnsi="Times New Roman" w:cs="Times New Roman"/>
          <w:i/>
          <w:sz w:val="24"/>
          <w:szCs w:val="24"/>
        </w:rPr>
        <w:footnoteReference w:id="12"/>
      </w:r>
      <w:r w:rsidRPr="004F65F7">
        <w:rPr>
          <w:rFonts w:ascii="Times New Roman" w:hAnsi="Times New Roman" w:cs="Times New Roman"/>
          <w:i/>
          <w:sz w:val="24"/>
          <w:szCs w:val="24"/>
        </w:rPr>
        <w:t xml:space="preserve"> who shall, in the absolute discretion of the Bank and without requirement for giving reasons for its decision, be acceptable to the Bank.</w:t>
      </w:r>
    </w:p>
    <w:p w14:paraId="2ACD597E" w14:textId="22EF0440" w:rsidR="004F65F7" w:rsidRPr="004F65F7" w:rsidRDefault="004F65F7" w:rsidP="004F65F7">
      <w:pPr>
        <w:pStyle w:val="ListParagraph"/>
        <w:spacing w:after="0" w:line="480" w:lineRule="auto"/>
        <w:ind w:left="1418"/>
        <w:jc w:val="both"/>
        <w:rPr>
          <w:rFonts w:ascii="Times New Roman" w:hAnsi="Times New Roman" w:cs="Times New Roman"/>
          <w:i/>
          <w:sz w:val="24"/>
          <w:szCs w:val="24"/>
        </w:rPr>
      </w:pPr>
    </w:p>
    <w:p w14:paraId="496A2D16" w14:textId="7B88781F" w:rsidR="004F65F7" w:rsidRPr="0093356E" w:rsidRDefault="004F65F7" w:rsidP="0093356E">
      <w:pPr>
        <w:pStyle w:val="ListParagraph"/>
        <w:spacing w:after="0" w:line="480" w:lineRule="auto"/>
        <w:ind w:left="1418"/>
        <w:jc w:val="both"/>
        <w:rPr>
          <w:rFonts w:ascii="Times New Roman" w:hAnsi="Times New Roman" w:cs="Times New Roman"/>
          <w:i/>
          <w:sz w:val="24"/>
          <w:szCs w:val="24"/>
        </w:rPr>
      </w:pPr>
      <w:r w:rsidRPr="004F65F7">
        <w:rPr>
          <w:rFonts w:ascii="Times New Roman" w:hAnsi="Times New Roman" w:cs="Times New Roman"/>
          <w:i/>
          <w:sz w:val="24"/>
          <w:szCs w:val="24"/>
        </w:rPr>
        <w:t xml:space="preserve">(b) The </w:t>
      </w:r>
      <w:r w:rsidR="004822FE">
        <w:rPr>
          <w:rFonts w:ascii="Times New Roman" w:hAnsi="Times New Roman" w:cs="Times New Roman"/>
          <w:i/>
          <w:sz w:val="24"/>
          <w:szCs w:val="24"/>
        </w:rPr>
        <w:t>B</w:t>
      </w:r>
      <w:r w:rsidRPr="004F65F7">
        <w:rPr>
          <w:rFonts w:ascii="Times New Roman" w:hAnsi="Times New Roman" w:cs="Times New Roman"/>
          <w:i/>
          <w:sz w:val="24"/>
          <w:szCs w:val="24"/>
        </w:rPr>
        <w:t xml:space="preserve">orrowers shall instruct the </w:t>
      </w:r>
      <w:r>
        <w:rPr>
          <w:rFonts w:ascii="Times New Roman" w:hAnsi="Times New Roman" w:cs="Times New Roman"/>
          <w:i/>
          <w:sz w:val="24"/>
          <w:szCs w:val="24"/>
        </w:rPr>
        <w:t>A</w:t>
      </w:r>
      <w:r w:rsidRPr="004F65F7">
        <w:rPr>
          <w:rFonts w:ascii="Times New Roman" w:hAnsi="Times New Roman" w:cs="Times New Roman"/>
          <w:i/>
          <w:sz w:val="24"/>
          <w:szCs w:val="24"/>
        </w:rPr>
        <w:t>gents to dispose of the properties within an agreed time frame and for an agreed fee and subject to such deductions for the costs of the sale, advertising or otherwise, as shall first have been agreed in writing with the Bank.</w:t>
      </w:r>
    </w:p>
    <w:p w14:paraId="719CD1D9" w14:textId="7CB23882" w:rsidR="004F65F7" w:rsidRDefault="004F65F7" w:rsidP="004F65F7">
      <w:pPr>
        <w:pStyle w:val="ListParagraph"/>
        <w:spacing w:after="0" w:line="480" w:lineRule="auto"/>
        <w:ind w:left="1418"/>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(c) The Borrowers shall instruct the Agents to liaise fully with and to report and </w:t>
      </w:r>
      <w:bookmarkStart w:id="4" w:name="_Hlk98256295"/>
      <w:r>
        <w:rPr>
          <w:rFonts w:ascii="Times New Roman" w:hAnsi="Times New Roman" w:cs="Times New Roman"/>
          <w:i/>
          <w:sz w:val="24"/>
          <w:szCs w:val="24"/>
        </w:rPr>
        <w:t>disclose fully and frankly to the Bank all details of the sales process and any negotiations relating thereto.”</w:t>
      </w:r>
      <w:bookmarkEnd w:id="4"/>
    </w:p>
    <w:p w14:paraId="4DD3D69F" w14:textId="52DD80CE" w:rsidR="004F65F7" w:rsidRDefault="004F65F7" w:rsidP="004F65F7">
      <w:pPr>
        <w:pStyle w:val="ListParagraph"/>
        <w:spacing w:after="0" w:line="480" w:lineRule="auto"/>
        <w:ind w:left="1418"/>
        <w:jc w:val="both"/>
        <w:rPr>
          <w:rFonts w:ascii="Times New Roman" w:hAnsi="Times New Roman" w:cs="Times New Roman"/>
          <w:i/>
          <w:sz w:val="24"/>
          <w:szCs w:val="24"/>
        </w:rPr>
      </w:pPr>
    </w:p>
    <w:p w14:paraId="4F929450" w14:textId="167D0B2A" w:rsidR="00CF7419" w:rsidRPr="00CF7419" w:rsidRDefault="0046442A" w:rsidP="00CB5C7B">
      <w:pPr>
        <w:pStyle w:val="ListParagraph"/>
        <w:numPr>
          <w:ilvl w:val="0"/>
          <w:numId w:val="1"/>
        </w:numPr>
        <w:spacing w:after="0" w:line="480" w:lineRule="auto"/>
        <w:ind w:hanging="436"/>
        <w:jc w:val="both"/>
        <w:rPr>
          <w:rFonts w:ascii="Times New Roman" w:hAnsi="Times New Roman" w:cs="Times New Roman"/>
          <w:b/>
          <w:sz w:val="24"/>
          <w:szCs w:val="24"/>
        </w:rPr>
      </w:pPr>
      <w:r>
        <w:rPr>
          <w:rFonts w:ascii="Times New Roman" w:hAnsi="Times New Roman" w:cs="Times New Roman"/>
          <w:sz w:val="24"/>
          <w:szCs w:val="24"/>
        </w:rPr>
        <w:t xml:space="preserve">The Judge rejected </w:t>
      </w:r>
      <w:r w:rsidR="00ED2E40">
        <w:rPr>
          <w:rFonts w:ascii="Times New Roman" w:hAnsi="Times New Roman" w:cs="Times New Roman"/>
          <w:sz w:val="24"/>
          <w:szCs w:val="24"/>
        </w:rPr>
        <w:t>the</w:t>
      </w:r>
      <w:r>
        <w:rPr>
          <w:rFonts w:ascii="Times New Roman" w:hAnsi="Times New Roman" w:cs="Times New Roman"/>
          <w:sz w:val="24"/>
          <w:szCs w:val="24"/>
        </w:rPr>
        <w:t xml:space="preserve"> contention</w:t>
      </w:r>
      <w:r w:rsidR="00ED2E40">
        <w:rPr>
          <w:rFonts w:ascii="Times New Roman" w:hAnsi="Times New Roman" w:cs="Times New Roman"/>
          <w:sz w:val="24"/>
          <w:szCs w:val="24"/>
        </w:rPr>
        <w:t xml:space="preserve"> that this represented the giving of co</w:t>
      </w:r>
      <w:r w:rsidR="00CB5C7B">
        <w:rPr>
          <w:rFonts w:ascii="Times New Roman" w:hAnsi="Times New Roman" w:cs="Times New Roman"/>
          <w:sz w:val="24"/>
          <w:szCs w:val="24"/>
        </w:rPr>
        <w:t>n</w:t>
      </w:r>
      <w:r w:rsidR="00ED2E40">
        <w:rPr>
          <w:rFonts w:ascii="Times New Roman" w:hAnsi="Times New Roman" w:cs="Times New Roman"/>
          <w:sz w:val="24"/>
          <w:szCs w:val="24"/>
        </w:rPr>
        <w:t>s</w:t>
      </w:r>
      <w:r w:rsidR="00CB5C7B">
        <w:rPr>
          <w:rFonts w:ascii="Times New Roman" w:hAnsi="Times New Roman" w:cs="Times New Roman"/>
          <w:sz w:val="24"/>
          <w:szCs w:val="24"/>
        </w:rPr>
        <w:t>e</w:t>
      </w:r>
      <w:r w:rsidR="00ED2E40">
        <w:rPr>
          <w:rFonts w:ascii="Times New Roman" w:hAnsi="Times New Roman" w:cs="Times New Roman"/>
          <w:sz w:val="24"/>
          <w:szCs w:val="24"/>
        </w:rPr>
        <w:t>nt to the sale of the lands</w:t>
      </w:r>
      <w:r>
        <w:rPr>
          <w:rFonts w:ascii="Times New Roman" w:hAnsi="Times New Roman" w:cs="Times New Roman"/>
          <w:sz w:val="24"/>
          <w:szCs w:val="24"/>
        </w:rPr>
        <w:t xml:space="preserve">. He observed that the effect of the argument was that, on the execution of the Compromise Agreement, the Defendants were free to sell the Kilpeddar Lands </w:t>
      </w:r>
      <w:r w:rsidR="00E51CDD">
        <w:rPr>
          <w:rFonts w:ascii="Times New Roman" w:hAnsi="Times New Roman" w:cs="Times New Roman"/>
          <w:sz w:val="24"/>
          <w:szCs w:val="24"/>
        </w:rPr>
        <w:t>“</w:t>
      </w:r>
      <w:r w:rsidR="00E51CDD" w:rsidRPr="00E51CDD">
        <w:rPr>
          <w:rFonts w:ascii="Times New Roman" w:hAnsi="Times New Roman" w:cs="Times New Roman"/>
          <w:i/>
          <w:sz w:val="24"/>
          <w:szCs w:val="24"/>
        </w:rPr>
        <w:t>to any person at any price</w:t>
      </w:r>
      <w:r w:rsidR="00E51CDD">
        <w:rPr>
          <w:rFonts w:ascii="Times New Roman" w:hAnsi="Times New Roman" w:cs="Times New Roman"/>
          <w:sz w:val="24"/>
          <w:szCs w:val="24"/>
        </w:rPr>
        <w:t xml:space="preserve">”, unconstrained by any requirement to obtain the consent of the Bank (Judgment, para 253). There was nothing to that effect in the Compromise Agreement </w:t>
      </w:r>
      <w:r w:rsidR="00731510">
        <w:rPr>
          <w:rFonts w:ascii="Times New Roman" w:hAnsi="Times New Roman" w:cs="Times New Roman"/>
          <w:sz w:val="24"/>
          <w:szCs w:val="24"/>
        </w:rPr>
        <w:t>and it would have made no sense for the Bank to have agreed to such an arrangement (Judgment, para 254). To the contrary, there were various provisions of the Compromise Agreement that gave a role to the Bank in the sales process and, furthermore, there was an express requirement in Clause 3.6.1 that the various properties be disposed of “</w:t>
      </w:r>
      <w:r w:rsidR="00731510" w:rsidRPr="00731510">
        <w:rPr>
          <w:rFonts w:ascii="Times New Roman" w:hAnsi="Times New Roman" w:cs="Times New Roman"/>
          <w:i/>
          <w:sz w:val="24"/>
          <w:szCs w:val="24"/>
        </w:rPr>
        <w:t>for the best price reasonably obtainable</w:t>
      </w:r>
      <w:r w:rsidR="00731510">
        <w:rPr>
          <w:rFonts w:ascii="Times New Roman" w:hAnsi="Times New Roman" w:cs="Times New Roman"/>
          <w:sz w:val="24"/>
          <w:szCs w:val="24"/>
        </w:rPr>
        <w:t>”</w:t>
      </w:r>
      <w:r w:rsidR="00CF7419">
        <w:rPr>
          <w:rFonts w:ascii="Times New Roman" w:hAnsi="Times New Roman" w:cs="Times New Roman"/>
          <w:sz w:val="24"/>
          <w:szCs w:val="24"/>
        </w:rPr>
        <w:t>. In addition, the Judge drew attention to the correspondence noted above where the Bank had asserted, without apparent demur from the Defendants or their solicitor, a requirement for their consent.</w:t>
      </w:r>
    </w:p>
    <w:p w14:paraId="032EEAAB" w14:textId="77777777" w:rsidR="00CF7419" w:rsidRPr="00CF7419" w:rsidRDefault="00CF7419" w:rsidP="00CB5C7B">
      <w:pPr>
        <w:pStyle w:val="ListParagraph"/>
        <w:spacing w:after="0" w:line="480" w:lineRule="auto"/>
        <w:ind w:hanging="436"/>
        <w:jc w:val="both"/>
        <w:rPr>
          <w:rFonts w:ascii="Times New Roman" w:hAnsi="Times New Roman" w:cs="Times New Roman"/>
          <w:b/>
          <w:sz w:val="24"/>
          <w:szCs w:val="24"/>
        </w:rPr>
      </w:pPr>
    </w:p>
    <w:p w14:paraId="121E3E58" w14:textId="71F6C81F" w:rsidR="00CF7419" w:rsidRPr="002264B9" w:rsidRDefault="00CF7419" w:rsidP="00CB5C7B">
      <w:pPr>
        <w:pStyle w:val="ListParagraph"/>
        <w:numPr>
          <w:ilvl w:val="0"/>
          <w:numId w:val="1"/>
        </w:numPr>
        <w:spacing w:after="0" w:line="480" w:lineRule="auto"/>
        <w:ind w:hanging="436"/>
        <w:jc w:val="both"/>
        <w:rPr>
          <w:rFonts w:ascii="Times New Roman" w:hAnsi="Times New Roman" w:cs="Times New Roman"/>
          <w:b/>
          <w:sz w:val="24"/>
          <w:szCs w:val="24"/>
        </w:rPr>
      </w:pPr>
      <w:r>
        <w:rPr>
          <w:rFonts w:ascii="Times New Roman" w:hAnsi="Times New Roman" w:cs="Times New Roman"/>
          <w:sz w:val="24"/>
          <w:szCs w:val="24"/>
        </w:rPr>
        <w:t>In their submissions to this Court on appeal, the Second and Third Defendants suggest</w:t>
      </w:r>
      <w:r w:rsidRPr="00CF7419">
        <w:rPr>
          <w:rFonts w:ascii="Times New Roman" w:hAnsi="Times New Roman" w:cs="Times New Roman"/>
          <w:sz w:val="24"/>
          <w:szCs w:val="24"/>
        </w:rPr>
        <w:t xml:space="preserve"> that the Compromise Agreement was an “</w:t>
      </w:r>
      <w:r w:rsidRPr="00CF7419">
        <w:rPr>
          <w:rFonts w:ascii="Times New Roman" w:hAnsi="Times New Roman" w:cs="Times New Roman"/>
          <w:i/>
          <w:sz w:val="24"/>
          <w:szCs w:val="24"/>
        </w:rPr>
        <w:t>agreement for redemption</w:t>
      </w:r>
      <w:r w:rsidRPr="00CF7419">
        <w:rPr>
          <w:rFonts w:ascii="Times New Roman" w:hAnsi="Times New Roman" w:cs="Times New Roman"/>
          <w:sz w:val="24"/>
          <w:szCs w:val="24"/>
        </w:rPr>
        <w:t xml:space="preserve">”. That is plainly not so and reflects a significant misunderstanding on the part of the Second and Third Defendants. The sale of the Kilpeddar Lands and the release of the Bank’s </w:t>
      </w:r>
      <w:r w:rsidR="00AA4E7C">
        <w:rPr>
          <w:rFonts w:ascii="Times New Roman" w:hAnsi="Times New Roman" w:cs="Times New Roman"/>
          <w:sz w:val="24"/>
          <w:szCs w:val="24"/>
        </w:rPr>
        <w:t>Mortgage</w:t>
      </w:r>
      <w:r w:rsidRPr="00CF7419">
        <w:rPr>
          <w:rFonts w:ascii="Times New Roman" w:hAnsi="Times New Roman" w:cs="Times New Roman"/>
          <w:sz w:val="24"/>
          <w:szCs w:val="24"/>
        </w:rPr>
        <w:t xml:space="preserve"> over the Lands (and the associated write-down of the Defendants’ liability to the Bank) did not involve the “</w:t>
      </w:r>
      <w:r w:rsidRPr="00CF7419">
        <w:rPr>
          <w:rFonts w:ascii="Times New Roman" w:hAnsi="Times New Roman" w:cs="Times New Roman"/>
          <w:i/>
          <w:sz w:val="24"/>
          <w:szCs w:val="24"/>
        </w:rPr>
        <w:t>redemption</w:t>
      </w:r>
      <w:r w:rsidRPr="00CF7419">
        <w:rPr>
          <w:rFonts w:ascii="Times New Roman" w:hAnsi="Times New Roman" w:cs="Times New Roman"/>
          <w:sz w:val="24"/>
          <w:szCs w:val="24"/>
        </w:rPr>
        <w:t xml:space="preserve">” of the </w:t>
      </w:r>
      <w:r w:rsidR="00AA4E7C">
        <w:rPr>
          <w:rFonts w:ascii="Times New Roman" w:hAnsi="Times New Roman" w:cs="Times New Roman"/>
          <w:sz w:val="24"/>
          <w:szCs w:val="24"/>
        </w:rPr>
        <w:t>Mortgage</w:t>
      </w:r>
      <w:r>
        <w:rPr>
          <w:rFonts w:ascii="Times New Roman" w:hAnsi="Times New Roman" w:cs="Times New Roman"/>
          <w:sz w:val="24"/>
          <w:szCs w:val="24"/>
        </w:rPr>
        <w:t>.</w:t>
      </w:r>
      <w:r w:rsidR="00AB0C50">
        <w:rPr>
          <w:rFonts w:ascii="Times New Roman" w:hAnsi="Times New Roman" w:cs="Times New Roman"/>
          <w:sz w:val="24"/>
          <w:szCs w:val="24"/>
        </w:rPr>
        <w:t xml:space="preserve"> </w:t>
      </w:r>
      <w:r w:rsidR="00D91163">
        <w:rPr>
          <w:rFonts w:ascii="Times New Roman" w:hAnsi="Times New Roman" w:cs="Times New Roman"/>
          <w:sz w:val="24"/>
          <w:szCs w:val="24"/>
        </w:rPr>
        <w:t xml:space="preserve">As already explained, the </w:t>
      </w:r>
      <w:r w:rsidR="00D91163">
        <w:rPr>
          <w:rFonts w:ascii="Times New Roman" w:hAnsi="Times New Roman" w:cs="Times New Roman"/>
          <w:sz w:val="24"/>
          <w:szCs w:val="24"/>
        </w:rPr>
        <w:lastRenderedPageBreak/>
        <w:t>redemption of a mortgage involves the payment of the sums secured by the mortgage in order to get back the mortgaged property freed from the mortgage. That was not what was provided for by the Compromise Agreement.</w:t>
      </w:r>
    </w:p>
    <w:p w14:paraId="681D5B72" w14:textId="77777777" w:rsidR="002264B9" w:rsidRPr="002264B9" w:rsidRDefault="002264B9" w:rsidP="00CB5C7B">
      <w:pPr>
        <w:pStyle w:val="ListParagraph"/>
        <w:spacing w:after="0" w:line="480" w:lineRule="auto"/>
        <w:ind w:hanging="436"/>
        <w:jc w:val="both"/>
        <w:rPr>
          <w:rFonts w:ascii="Times New Roman" w:hAnsi="Times New Roman" w:cs="Times New Roman"/>
          <w:b/>
          <w:sz w:val="24"/>
          <w:szCs w:val="24"/>
        </w:rPr>
      </w:pPr>
    </w:p>
    <w:p w14:paraId="6972A55F" w14:textId="392A29F5" w:rsidR="00ED2E40" w:rsidRPr="00ED2E40" w:rsidRDefault="002264B9"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Premised on their assertion that the Compromise Agreement was a </w:t>
      </w:r>
      <w:r w:rsidRPr="002264B9">
        <w:rPr>
          <w:rFonts w:ascii="Times New Roman" w:hAnsi="Times New Roman" w:cs="Times New Roman"/>
          <w:i/>
          <w:sz w:val="24"/>
          <w:szCs w:val="24"/>
        </w:rPr>
        <w:t>de facto</w:t>
      </w:r>
      <w:r>
        <w:rPr>
          <w:rFonts w:ascii="Times New Roman" w:hAnsi="Times New Roman" w:cs="Times New Roman"/>
          <w:sz w:val="24"/>
          <w:szCs w:val="24"/>
        </w:rPr>
        <w:t xml:space="preserve"> agreement for the redemption of the Mortgage, t</w:t>
      </w:r>
      <w:r w:rsidRPr="002264B9">
        <w:rPr>
          <w:rFonts w:ascii="Times New Roman" w:hAnsi="Times New Roman" w:cs="Times New Roman"/>
          <w:sz w:val="24"/>
          <w:szCs w:val="24"/>
        </w:rPr>
        <w:t xml:space="preserve">he Second and Third Defendants </w:t>
      </w:r>
      <w:r>
        <w:rPr>
          <w:rFonts w:ascii="Times New Roman" w:hAnsi="Times New Roman" w:cs="Times New Roman"/>
          <w:sz w:val="24"/>
          <w:szCs w:val="24"/>
        </w:rPr>
        <w:t xml:space="preserve">then suggest that the Agreement is to be construed </w:t>
      </w:r>
      <w:r w:rsidRPr="002264B9">
        <w:rPr>
          <w:rFonts w:ascii="Times New Roman" w:hAnsi="Times New Roman" w:cs="Times New Roman"/>
          <w:i/>
          <w:sz w:val="24"/>
          <w:szCs w:val="24"/>
        </w:rPr>
        <w:t>contra proferent</w:t>
      </w:r>
      <w:r w:rsidR="000F100E">
        <w:rPr>
          <w:rFonts w:ascii="Times New Roman" w:hAnsi="Times New Roman" w:cs="Times New Roman"/>
          <w:i/>
          <w:sz w:val="24"/>
          <w:szCs w:val="24"/>
        </w:rPr>
        <w:t>e</w:t>
      </w:r>
      <w:r w:rsidRPr="002264B9">
        <w:rPr>
          <w:rFonts w:ascii="Times New Roman" w:hAnsi="Times New Roman" w:cs="Times New Roman"/>
          <w:i/>
          <w:sz w:val="24"/>
          <w:szCs w:val="24"/>
        </w:rPr>
        <w:t>m</w:t>
      </w:r>
      <w:r>
        <w:rPr>
          <w:rFonts w:ascii="Times New Roman" w:hAnsi="Times New Roman" w:cs="Times New Roman"/>
          <w:sz w:val="24"/>
          <w:szCs w:val="24"/>
        </w:rPr>
        <w:t>.  There are, in our opinion, many difficulties with this argument. The first is that the starting premise is misplaced. But even if that</w:t>
      </w:r>
      <w:r w:rsidR="00795D21">
        <w:rPr>
          <w:rFonts w:ascii="Times New Roman" w:hAnsi="Times New Roman" w:cs="Times New Roman"/>
          <w:sz w:val="24"/>
          <w:szCs w:val="24"/>
        </w:rPr>
        <w:t xml:space="preserve"> fact</w:t>
      </w:r>
      <w:r>
        <w:rPr>
          <w:rFonts w:ascii="Times New Roman" w:hAnsi="Times New Roman" w:cs="Times New Roman"/>
          <w:sz w:val="24"/>
          <w:szCs w:val="24"/>
        </w:rPr>
        <w:t xml:space="preserve"> is disregarded, the </w:t>
      </w:r>
      <w:r w:rsidRPr="002264B9">
        <w:rPr>
          <w:rFonts w:ascii="Times New Roman" w:hAnsi="Times New Roman" w:cs="Times New Roman"/>
          <w:i/>
          <w:sz w:val="24"/>
          <w:szCs w:val="24"/>
        </w:rPr>
        <w:t>contra proferent</w:t>
      </w:r>
      <w:r w:rsidR="000F100E">
        <w:rPr>
          <w:rFonts w:ascii="Times New Roman" w:hAnsi="Times New Roman" w:cs="Times New Roman"/>
          <w:i/>
          <w:sz w:val="24"/>
          <w:szCs w:val="24"/>
        </w:rPr>
        <w:t>e</w:t>
      </w:r>
      <w:r w:rsidRPr="002264B9">
        <w:rPr>
          <w:rFonts w:ascii="Times New Roman" w:hAnsi="Times New Roman" w:cs="Times New Roman"/>
          <w:i/>
          <w:sz w:val="24"/>
          <w:szCs w:val="24"/>
        </w:rPr>
        <w:t>m</w:t>
      </w:r>
      <w:r>
        <w:rPr>
          <w:rFonts w:ascii="Times New Roman" w:hAnsi="Times New Roman" w:cs="Times New Roman"/>
          <w:sz w:val="24"/>
          <w:szCs w:val="24"/>
        </w:rPr>
        <w:t xml:space="preserve"> </w:t>
      </w:r>
      <w:r w:rsidR="00795D21">
        <w:rPr>
          <w:rFonts w:ascii="Times New Roman" w:hAnsi="Times New Roman" w:cs="Times New Roman"/>
          <w:sz w:val="24"/>
          <w:szCs w:val="24"/>
        </w:rPr>
        <w:t>rule</w:t>
      </w:r>
      <w:r>
        <w:rPr>
          <w:rFonts w:ascii="Times New Roman" w:hAnsi="Times New Roman" w:cs="Times New Roman"/>
          <w:sz w:val="24"/>
          <w:szCs w:val="24"/>
        </w:rPr>
        <w:t xml:space="preserve"> is a </w:t>
      </w:r>
      <w:r w:rsidR="00795D21">
        <w:rPr>
          <w:rFonts w:ascii="Times New Roman" w:hAnsi="Times New Roman" w:cs="Times New Roman"/>
          <w:sz w:val="24"/>
          <w:szCs w:val="24"/>
        </w:rPr>
        <w:t>rule</w:t>
      </w:r>
      <w:r>
        <w:rPr>
          <w:rFonts w:ascii="Times New Roman" w:hAnsi="Times New Roman" w:cs="Times New Roman"/>
          <w:sz w:val="24"/>
          <w:szCs w:val="24"/>
        </w:rPr>
        <w:t xml:space="preserve"> of contractual interpretation</w:t>
      </w:r>
      <w:r w:rsidR="00795D21">
        <w:rPr>
          <w:rFonts w:ascii="Times New Roman" w:hAnsi="Times New Roman" w:cs="Times New Roman"/>
          <w:sz w:val="24"/>
          <w:szCs w:val="24"/>
        </w:rPr>
        <w:t>. It may be invoked where a contractual provision is genuinely ambiguous and where the application of the normal rules of contractual interpretation fail to resolve that ambiguity (it is, the authorities suggest, a rule of “</w:t>
      </w:r>
      <w:r w:rsidR="00795D21" w:rsidRPr="00795D21">
        <w:rPr>
          <w:rFonts w:ascii="Times New Roman" w:hAnsi="Times New Roman" w:cs="Times New Roman"/>
          <w:i/>
          <w:sz w:val="24"/>
          <w:szCs w:val="24"/>
        </w:rPr>
        <w:t>last resort”</w:t>
      </w:r>
      <w:r w:rsidR="00795D21">
        <w:rPr>
          <w:rFonts w:ascii="Times New Roman" w:hAnsi="Times New Roman" w:cs="Times New Roman"/>
          <w:sz w:val="24"/>
          <w:szCs w:val="24"/>
        </w:rPr>
        <w:t xml:space="preserve">: see e.g. </w:t>
      </w:r>
      <w:r w:rsidR="00795D21" w:rsidRPr="00795D21">
        <w:rPr>
          <w:rFonts w:ascii="Times New Roman" w:hAnsi="Times New Roman" w:cs="Times New Roman"/>
          <w:i/>
          <w:sz w:val="24"/>
          <w:szCs w:val="24"/>
        </w:rPr>
        <w:t>Emo Oil Limited v Sun Alliance and London Insurance</w:t>
      </w:r>
      <w:r w:rsidR="00795D21">
        <w:rPr>
          <w:rFonts w:ascii="Times New Roman" w:hAnsi="Times New Roman" w:cs="Times New Roman"/>
          <w:sz w:val="24"/>
          <w:szCs w:val="24"/>
        </w:rPr>
        <w:t xml:space="preserve"> [2009] IESC 2, per Kearns J at pages 18-19)</w:t>
      </w:r>
      <w:r w:rsidR="00AE06F3">
        <w:rPr>
          <w:rFonts w:ascii="Times New Roman" w:hAnsi="Times New Roman" w:cs="Times New Roman"/>
          <w:sz w:val="24"/>
          <w:szCs w:val="24"/>
        </w:rPr>
        <w:t>.</w:t>
      </w:r>
      <w:r w:rsidR="00ED2E40">
        <w:rPr>
          <w:rFonts w:ascii="Times New Roman" w:hAnsi="Times New Roman" w:cs="Times New Roman"/>
          <w:sz w:val="24"/>
          <w:szCs w:val="24"/>
        </w:rPr>
        <w:t xml:space="preserve"> </w:t>
      </w:r>
      <w:r w:rsidR="00AE06F3">
        <w:rPr>
          <w:rFonts w:ascii="Times New Roman" w:hAnsi="Times New Roman" w:cs="Times New Roman"/>
          <w:sz w:val="24"/>
          <w:szCs w:val="24"/>
        </w:rPr>
        <w:t xml:space="preserve"> </w:t>
      </w:r>
      <w:r w:rsidR="00ED2E40" w:rsidRPr="00ED2E40">
        <w:rPr>
          <w:rFonts w:ascii="Times New Roman" w:hAnsi="Times New Roman" w:cs="Times New Roman"/>
          <w:sz w:val="24"/>
          <w:szCs w:val="24"/>
        </w:rPr>
        <w:t xml:space="preserve">As Kearns J. said in that judgment, the maxim should not be used to create an ambiguity which it is then employed to resolve.  In order to decide that there is such ambiguity, the document must first be interpreted by reference to the established methods of construction.  It is only if after that exercise is undertaken there are two or more meanings that the instrument can be said to be ambiguous, and only then, that the issue of </w:t>
      </w:r>
      <w:r w:rsidR="00ED2E40" w:rsidRPr="00ED2E40">
        <w:rPr>
          <w:rFonts w:ascii="Times New Roman" w:hAnsi="Times New Roman" w:cs="Times New Roman"/>
          <w:i/>
          <w:sz w:val="24"/>
          <w:szCs w:val="24"/>
        </w:rPr>
        <w:t>contra proferent</w:t>
      </w:r>
      <w:r w:rsidR="000F100E">
        <w:rPr>
          <w:rFonts w:ascii="Times New Roman" w:hAnsi="Times New Roman" w:cs="Times New Roman"/>
          <w:i/>
          <w:sz w:val="24"/>
          <w:szCs w:val="24"/>
        </w:rPr>
        <w:t>e</w:t>
      </w:r>
      <w:r w:rsidR="00ED2E40" w:rsidRPr="00ED2E40">
        <w:rPr>
          <w:rFonts w:ascii="Times New Roman" w:hAnsi="Times New Roman" w:cs="Times New Roman"/>
          <w:i/>
          <w:sz w:val="24"/>
          <w:szCs w:val="24"/>
        </w:rPr>
        <w:t>m</w:t>
      </w:r>
      <w:r w:rsidR="00ED2E40" w:rsidRPr="00ED2E40">
        <w:rPr>
          <w:rFonts w:ascii="Times New Roman" w:hAnsi="Times New Roman" w:cs="Times New Roman"/>
          <w:sz w:val="24"/>
          <w:szCs w:val="24"/>
        </w:rPr>
        <w:t xml:space="preserve"> arises (</w:t>
      </w:r>
      <w:r w:rsidR="00ED2E40" w:rsidRPr="00ED2E40">
        <w:rPr>
          <w:rFonts w:ascii="Times New Roman" w:hAnsi="Times New Roman" w:cs="Times New Roman"/>
          <w:i/>
          <w:sz w:val="24"/>
          <w:szCs w:val="24"/>
        </w:rPr>
        <w:t>Fennell v. Corrigan</w:t>
      </w:r>
      <w:r w:rsidR="00ED2E40" w:rsidRPr="00ED2E40">
        <w:rPr>
          <w:rFonts w:ascii="Times New Roman" w:hAnsi="Times New Roman" w:cs="Times New Roman"/>
          <w:sz w:val="24"/>
          <w:szCs w:val="24"/>
        </w:rPr>
        <w:t xml:space="preserve"> [2021] IECA 248 at para. 49).</w:t>
      </w:r>
    </w:p>
    <w:p w14:paraId="3672B410" w14:textId="77777777" w:rsidR="00ED2E40" w:rsidRPr="00CB5C7B" w:rsidRDefault="00ED2E40" w:rsidP="00CB5C7B">
      <w:pPr>
        <w:spacing w:after="0" w:line="480" w:lineRule="auto"/>
        <w:jc w:val="both"/>
        <w:rPr>
          <w:rFonts w:ascii="Times New Roman" w:hAnsi="Times New Roman" w:cs="Times New Roman"/>
          <w:sz w:val="24"/>
          <w:szCs w:val="24"/>
        </w:rPr>
      </w:pPr>
    </w:p>
    <w:p w14:paraId="6AB8CF6A" w14:textId="28006E0A" w:rsidR="002264B9" w:rsidRPr="002264B9" w:rsidRDefault="00AE06F3"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Here, the Second and Third Defendants have </w:t>
      </w:r>
      <w:r w:rsidR="00EA13A5">
        <w:rPr>
          <w:rFonts w:ascii="Times New Roman" w:hAnsi="Times New Roman" w:cs="Times New Roman"/>
          <w:sz w:val="24"/>
          <w:szCs w:val="24"/>
        </w:rPr>
        <w:t xml:space="preserve">invoked the </w:t>
      </w:r>
      <w:r w:rsidR="00EA13A5" w:rsidRPr="00EA13A5">
        <w:rPr>
          <w:rFonts w:ascii="Times New Roman" w:hAnsi="Times New Roman" w:cs="Times New Roman"/>
          <w:i/>
          <w:sz w:val="24"/>
          <w:szCs w:val="24"/>
        </w:rPr>
        <w:t>contra proferent</w:t>
      </w:r>
      <w:r w:rsidR="000F100E">
        <w:rPr>
          <w:rFonts w:ascii="Times New Roman" w:hAnsi="Times New Roman" w:cs="Times New Roman"/>
          <w:i/>
          <w:sz w:val="24"/>
          <w:szCs w:val="24"/>
        </w:rPr>
        <w:t>e</w:t>
      </w:r>
      <w:r w:rsidR="00EA13A5" w:rsidRPr="00EA13A5">
        <w:rPr>
          <w:rFonts w:ascii="Times New Roman" w:hAnsi="Times New Roman" w:cs="Times New Roman"/>
          <w:i/>
          <w:sz w:val="24"/>
          <w:szCs w:val="24"/>
        </w:rPr>
        <w:t>m</w:t>
      </w:r>
      <w:r w:rsidR="00EA13A5">
        <w:rPr>
          <w:rFonts w:ascii="Times New Roman" w:hAnsi="Times New Roman" w:cs="Times New Roman"/>
          <w:sz w:val="24"/>
          <w:szCs w:val="24"/>
        </w:rPr>
        <w:t xml:space="preserve"> rule without </w:t>
      </w:r>
      <w:r>
        <w:rPr>
          <w:rFonts w:ascii="Times New Roman" w:hAnsi="Times New Roman" w:cs="Times New Roman"/>
          <w:sz w:val="24"/>
          <w:szCs w:val="24"/>
        </w:rPr>
        <w:t>identif</w:t>
      </w:r>
      <w:r w:rsidR="00EA13A5">
        <w:rPr>
          <w:rFonts w:ascii="Times New Roman" w:hAnsi="Times New Roman" w:cs="Times New Roman"/>
          <w:sz w:val="24"/>
          <w:szCs w:val="24"/>
        </w:rPr>
        <w:t>ying</w:t>
      </w:r>
      <w:r>
        <w:rPr>
          <w:rFonts w:ascii="Times New Roman" w:hAnsi="Times New Roman" w:cs="Times New Roman"/>
          <w:sz w:val="24"/>
          <w:szCs w:val="24"/>
        </w:rPr>
        <w:t xml:space="preserve"> any particular provision </w:t>
      </w:r>
      <w:r w:rsidR="00EA13A5">
        <w:rPr>
          <w:rFonts w:ascii="Times New Roman" w:hAnsi="Times New Roman" w:cs="Times New Roman"/>
          <w:sz w:val="24"/>
          <w:szCs w:val="24"/>
        </w:rPr>
        <w:t xml:space="preserve">or provisions </w:t>
      </w:r>
      <w:r>
        <w:rPr>
          <w:rFonts w:ascii="Times New Roman" w:hAnsi="Times New Roman" w:cs="Times New Roman"/>
          <w:sz w:val="24"/>
          <w:szCs w:val="24"/>
        </w:rPr>
        <w:t xml:space="preserve">of the Compromise Agreement </w:t>
      </w:r>
      <w:r w:rsidR="00EA13A5">
        <w:rPr>
          <w:rFonts w:ascii="Times New Roman" w:hAnsi="Times New Roman" w:cs="Times New Roman"/>
          <w:sz w:val="24"/>
          <w:szCs w:val="24"/>
        </w:rPr>
        <w:t xml:space="preserve">to which it is to be applied or how those provisions are to be interpreted when read </w:t>
      </w:r>
      <w:r w:rsidR="00EA13A5" w:rsidRPr="00EA13A5">
        <w:rPr>
          <w:rFonts w:ascii="Times New Roman" w:hAnsi="Times New Roman" w:cs="Times New Roman"/>
          <w:i/>
          <w:sz w:val="24"/>
          <w:szCs w:val="24"/>
        </w:rPr>
        <w:t>contra proferent</w:t>
      </w:r>
      <w:r w:rsidR="000F100E">
        <w:rPr>
          <w:rFonts w:ascii="Times New Roman" w:hAnsi="Times New Roman" w:cs="Times New Roman"/>
          <w:i/>
          <w:sz w:val="24"/>
          <w:szCs w:val="24"/>
        </w:rPr>
        <w:t>e</w:t>
      </w:r>
      <w:r w:rsidR="00EA13A5" w:rsidRPr="00EA13A5">
        <w:rPr>
          <w:rFonts w:ascii="Times New Roman" w:hAnsi="Times New Roman" w:cs="Times New Roman"/>
          <w:i/>
          <w:sz w:val="24"/>
          <w:szCs w:val="24"/>
        </w:rPr>
        <w:t>m.</w:t>
      </w:r>
      <w:r w:rsidR="00EA13A5">
        <w:rPr>
          <w:rFonts w:ascii="Times New Roman" w:hAnsi="Times New Roman" w:cs="Times New Roman"/>
          <w:i/>
          <w:sz w:val="24"/>
          <w:szCs w:val="24"/>
        </w:rPr>
        <w:t xml:space="preserve"> </w:t>
      </w:r>
      <w:r w:rsidR="00EA13A5">
        <w:rPr>
          <w:rFonts w:ascii="Times New Roman" w:hAnsi="Times New Roman" w:cs="Times New Roman"/>
          <w:sz w:val="24"/>
          <w:szCs w:val="24"/>
        </w:rPr>
        <w:t xml:space="preserve">Finally, the Second and Third Defendants’ argument </w:t>
      </w:r>
      <w:r w:rsidR="00EA13A5">
        <w:rPr>
          <w:rFonts w:ascii="Times New Roman" w:hAnsi="Times New Roman" w:cs="Times New Roman"/>
          <w:sz w:val="24"/>
          <w:szCs w:val="24"/>
        </w:rPr>
        <w:lastRenderedPageBreak/>
        <w:t xml:space="preserve">simply assumes, without any identified basis, that the Bank was the </w:t>
      </w:r>
      <w:r w:rsidR="00EA13A5" w:rsidRPr="00EA13A5">
        <w:rPr>
          <w:rFonts w:ascii="Times New Roman" w:hAnsi="Times New Roman" w:cs="Times New Roman"/>
          <w:i/>
          <w:sz w:val="24"/>
          <w:szCs w:val="24"/>
        </w:rPr>
        <w:t>proferens</w:t>
      </w:r>
      <w:r w:rsidR="00EA13A5">
        <w:rPr>
          <w:rFonts w:ascii="Times New Roman" w:hAnsi="Times New Roman" w:cs="Times New Roman"/>
          <w:sz w:val="24"/>
          <w:szCs w:val="24"/>
        </w:rPr>
        <w:t xml:space="preserve"> of the Compromise Agreement. </w:t>
      </w:r>
    </w:p>
    <w:p w14:paraId="0E52AC59" w14:textId="77777777" w:rsidR="00AB0C50" w:rsidRPr="00AB0C50" w:rsidRDefault="00AB0C50" w:rsidP="00CB5C7B">
      <w:pPr>
        <w:pStyle w:val="ListParagraph"/>
        <w:spacing w:after="0" w:line="480" w:lineRule="auto"/>
        <w:ind w:hanging="436"/>
        <w:jc w:val="both"/>
        <w:rPr>
          <w:rFonts w:ascii="Times New Roman" w:hAnsi="Times New Roman" w:cs="Times New Roman"/>
          <w:b/>
          <w:sz w:val="24"/>
          <w:szCs w:val="24"/>
        </w:rPr>
      </w:pPr>
    </w:p>
    <w:p w14:paraId="6A31B704" w14:textId="236841B4" w:rsidR="00AB0C50" w:rsidRDefault="00AB0C50" w:rsidP="00CB5C7B">
      <w:pPr>
        <w:pStyle w:val="ListParagraph"/>
        <w:numPr>
          <w:ilvl w:val="0"/>
          <w:numId w:val="1"/>
        </w:numPr>
        <w:spacing w:after="0" w:line="480" w:lineRule="auto"/>
        <w:ind w:hanging="436"/>
        <w:jc w:val="both"/>
        <w:rPr>
          <w:rFonts w:ascii="Times New Roman" w:hAnsi="Times New Roman" w:cs="Times New Roman"/>
          <w:sz w:val="24"/>
          <w:szCs w:val="24"/>
        </w:rPr>
      </w:pPr>
      <w:r w:rsidRPr="00AB0C50">
        <w:rPr>
          <w:rFonts w:ascii="Times New Roman" w:hAnsi="Times New Roman" w:cs="Times New Roman"/>
          <w:sz w:val="24"/>
          <w:szCs w:val="24"/>
        </w:rPr>
        <w:t xml:space="preserve">In our view, </w:t>
      </w:r>
      <w:r>
        <w:rPr>
          <w:rFonts w:ascii="Times New Roman" w:hAnsi="Times New Roman" w:cs="Times New Roman"/>
          <w:sz w:val="24"/>
          <w:szCs w:val="24"/>
        </w:rPr>
        <w:t xml:space="preserve">the starting point for considering this argument is that it is premised on an acceptance that clause 5(c) of the </w:t>
      </w:r>
      <w:r w:rsidR="00AA4E7C">
        <w:rPr>
          <w:rFonts w:ascii="Times New Roman" w:hAnsi="Times New Roman" w:cs="Times New Roman"/>
          <w:sz w:val="24"/>
          <w:szCs w:val="24"/>
        </w:rPr>
        <w:t>Mortgage</w:t>
      </w:r>
      <w:r>
        <w:rPr>
          <w:rFonts w:ascii="Times New Roman" w:hAnsi="Times New Roman" w:cs="Times New Roman"/>
          <w:sz w:val="24"/>
          <w:szCs w:val="24"/>
        </w:rPr>
        <w:t xml:space="preserve"> required the Bank’s prior written consent to the sale of the Kilpeddar Lands. The question is, therefore, whether there is anything in the Compromise Agreement that constitutes unconditional consent by the Bank to the sale of the Kilpeddar Lands, regardless of the terms of sale or the price achieved. In our view, there is no provision to that effect in the Agreement and we agree with the Judge that the many provisions which provide for a role for the Bank in the sales process are inconsistent with the Second and Third Defendants’ argument. In particular, the terms of clause 3.6.1(c), requiring the full and frank disclosure to the Bank of </w:t>
      </w:r>
      <w:r>
        <w:rPr>
          <w:rFonts w:ascii="Times New Roman" w:hAnsi="Times New Roman" w:cs="Times New Roman"/>
          <w:i/>
          <w:sz w:val="24"/>
          <w:szCs w:val="24"/>
        </w:rPr>
        <w:t xml:space="preserve">“all details of the sales process and any negotiations relating thereto” </w:t>
      </w:r>
      <w:r>
        <w:rPr>
          <w:rFonts w:ascii="Times New Roman" w:hAnsi="Times New Roman" w:cs="Times New Roman"/>
          <w:sz w:val="24"/>
          <w:szCs w:val="24"/>
        </w:rPr>
        <w:t>ma</w:t>
      </w:r>
      <w:r w:rsidR="00AA4E7C">
        <w:rPr>
          <w:rFonts w:ascii="Times New Roman" w:hAnsi="Times New Roman" w:cs="Times New Roman"/>
          <w:sz w:val="24"/>
          <w:szCs w:val="24"/>
        </w:rPr>
        <w:t>de</w:t>
      </w:r>
      <w:r>
        <w:rPr>
          <w:rFonts w:ascii="Times New Roman" w:hAnsi="Times New Roman" w:cs="Times New Roman"/>
          <w:sz w:val="24"/>
          <w:szCs w:val="24"/>
        </w:rPr>
        <w:t xml:space="preserve"> little if any sense unless the Bank </w:t>
      </w:r>
      <w:r w:rsidR="00AA4E7C">
        <w:rPr>
          <w:rFonts w:ascii="Times New Roman" w:hAnsi="Times New Roman" w:cs="Times New Roman"/>
          <w:sz w:val="24"/>
          <w:szCs w:val="24"/>
        </w:rPr>
        <w:t>was</w:t>
      </w:r>
      <w:r>
        <w:rPr>
          <w:rFonts w:ascii="Times New Roman" w:hAnsi="Times New Roman" w:cs="Times New Roman"/>
          <w:sz w:val="24"/>
          <w:szCs w:val="24"/>
        </w:rPr>
        <w:t xml:space="preserve"> entitled to withhold consent to any proposed sale. Similarly, the protection to the Bank offered by </w:t>
      </w:r>
      <w:r w:rsidR="00D91163">
        <w:rPr>
          <w:rFonts w:ascii="Times New Roman" w:hAnsi="Times New Roman" w:cs="Times New Roman"/>
          <w:sz w:val="24"/>
          <w:szCs w:val="24"/>
        </w:rPr>
        <w:t xml:space="preserve">the requirement in </w:t>
      </w:r>
      <w:r>
        <w:rPr>
          <w:rFonts w:ascii="Times New Roman" w:hAnsi="Times New Roman" w:cs="Times New Roman"/>
          <w:sz w:val="24"/>
          <w:szCs w:val="24"/>
        </w:rPr>
        <w:t>clause 3.6.1</w:t>
      </w:r>
      <w:r w:rsidR="00D91163">
        <w:rPr>
          <w:rFonts w:ascii="Times New Roman" w:hAnsi="Times New Roman" w:cs="Times New Roman"/>
          <w:sz w:val="24"/>
          <w:szCs w:val="24"/>
        </w:rPr>
        <w:t xml:space="preserve"> that the properties would be sold for the “</w:t>
      </w:r>
      <w:r w:rsidR="00D91163" w:rsidRPr="00D91163">
        <w:rPr>
          <w:rFonts w:ascii="Times New Roman" w:hAnsi="Times New Roman" w:cs="Times New Roman"/>
          <w:i/>
          <w:sz w:val="24"/>
          <w:szCs w:val="24"/>
        </w:rPr>
        <w:t>best price reasonably obtainable”</w:t>
      </w:r>
      <w:r w:rsidR="00D91163">
        <w:rPr>
          <w:rFonts w:ascii="Times New Roman" w:hAnsi="Times New Roman" w:cs="Times New Roman"/>
          <w:sz w:val="24"/>
          <w:szCs w:val="24"/>
        </w:rPr>
        <w:t xml:space="preserve"> would be significantly undermined in the event that the Bank could not withhold its consent to a sale where it appeared to it that the proposed price was </w:t>
      </w:r>
      <w:r w:rsidR="00AA4E7C">
        <w:rPr>
          <w:rFonts w:ascii="Times New Roman" w:hAnsi="Times New Roman" w:cs="Times New Roman"/>
          <w:sz w:val="24"/>
          <w:szCs w:val="24"/>
        </w:rPr>
        <w:t>less than</w:t>
      </w:r>
      <w:r w:rsidR="00D91163">
        <w:rPr>
          <w:rFonts w:ascii="Times New Roman" w:hAnsi="Times New Roman" w:cs="Times New Roman"/>
          <w:sz w:val="24"/>
          <w:szCs w:val="24"/>
        </w:rPr>
        <w:t xml:space="preserve"> the best price reasonably obtainable. </w:t>
      </w:r>
    </w:p>
    <w:p w14:paraId="2777A4AF" w14:textId="77777777" w:rsidR="00AA4E7C" w:rsidRPr="00AB0C50" w:rsidRDefault="00AA4E7C" w:rsidP="00CB5C7B">
      <w:pPr>
        <w:pStyle w:val="ListParagraph"/>
        <w:spacing w:after="0" w:line="480" w:lineRule="auto"/>
        <w:ind w:hanging="436"/>
        <w:jc w:val="both"/>
        <w:rPr>
          <w:rFonts w:ascii="Times New Roman" w:hAnsi="Times New Roman" w:cs="Times New Roman"/>
          <w:sz w:val="24"/>
          <w:szCs w:val="24"/>
        </w:rPr>
      </w:pPr>
    </w:p>
    <w:p w14:paraId="10D4EFCD" w14:textId="5ED3DB86" w:rsidR="00CF7419" w:rsidRDefault="00AA4E7C" w:rsidP="00CB5C7B">
      <w:pPr>
        <w:pStyle w:val="ListParagraph"/>
        <w:numPr>
          <w:ilvl w:val="0"/>
          <w:numId w:val="1"/>
        </w:numPr>
        <w:spacing w:after="0" w:line="480" w:lineRule="auto"/>
        <w:ind w:hanging="436"/>
        <w:jc w:val="both"/>
        <w:rPr>
          <w:rFonts w:ascii="Times New Roman" w:hAnsi="Times New Roman" w:cs="Times New Roman"/>
          <w:sz w:val="24"/>
          <w:szCs w:val="24"/>
        </w:rPr>
      </w:pPr>
      <w:r w:rsidRPr="00AA4E7C">
        <w:rPr>
          <w:rFonts w:ascii="Times New Roman" w:hAnsi="Times New Roman" w:cs="Times New Roman"/>
          <w:sz w:val="24"/>
          <w:szCs w:val="24"/>
        </w:rPr>
        <w:t xml:space="preserve">The issue here is not </w:t>
      </w:r>
      <w:r>
        <w:rPr>
          <w:rFonts w:ascii="Times New Roman" w:hAnsi="Times New Roman" w:cs="Times New Roman"/>
          <w:sz w:val="24"/>
          <w:szCs w:val="24"/>
        </w:rPr>
        <w:t xml:space="preserve">whether the Compromise Agreement in itself gave rise to a requirement for </w:t>
      </w:r>
      <w:r w:rsidR="000F100E">
        <w:rPr>
          <w:rFonts w:ascii="Times New Roman" w:hAnsi="Times New Roman" w:cs="Times New Roman"/>
          <w:sz w:val="24"/>
          <w:szCs w:val="24"/>
        </w:rPr>
        <w:t xml:space="preserve">the </w:t>
      </w:r>
      <w:r>
        <w:rPr>
          <w:rFonts w:ascii="Times New Roman" w:hAnsi="Times New Roman" w:cs="Times New Roman"/>
          <w:sz w:val="24"/>
          <w:szCs w:val="24"/>
        </w:rPr>
        <w:t xml:space="preserve">Bank </w:t>
      </w:r>
      <w:r w:rsidR="000F100E">
        <w:rPr>
          <w:rFonts w:ascii="Times New Roman" w:hAnsi="Times New Roman" w:cs="Times New Roman"/>
          <w:sz w:val="24"/>
          <w:szCs w:val="24"/>
        </w:rPr>
        <w:t xml:space="preserve">to </w:t>
      </w:r>
      <w:r>
        <w:rPr>
          <w:rFonts w:ascii="Times New Roman" w:hAnsi="Times New Roman" w:cs="Times New Roman"/>
          <w:sz w:val="24"/>
          <w:szCs w:val="24"/>
        </w:rPr>
        <w:t>consent. On the Bank’s argument, which was accepted by the Judge, the requirement for the Bank’s consent arose from the terms of clause 5(c) of the Mortgage.</w:t>
      </w:r>
      <w:r w:rsidR="005D475E">
        <w:rPr>
          <w:rFonts w:ascii="Times New Roman" w:hAnsi="Times New Roman" w:cs="Times New Roman"/>
          <w:sz w:val="24"/>
          <w:szCs w:val="24"/>
        </w:rPr>
        <w:t xml:space="preserve"> While we have reached a different view on clause </w:t>
      </w:r>
      <w:r w:rsidR="00D92C27">
        <w:rPr>
          <w:rFonts w:ascii="Times New Roman" w:hAnsi="Times New Roman" w:cs="Times New Roman"/>
          <w:sz w:val="24"/>
          <w:szCs w:val="24"/>
        </w:rPr>
        <w:t xml:space="preserve">5(c), we nonetheless take the view that the Bank was, as a matter of practical reality, entitled to give or </w:t>
      </w:r>
      <w:r w:rsidR="00D92C27">
        <w:rPr>
          <w:rFonts w:ascii="Times New Roman" w:hAnsi="Times New Roman" w:cs="Times New Roman"/>
          <w:sz w:val="24"/>
          <w:szCs w:val="24"/>
        </w:rPr>
        <w:lastRenderedPageBreak/>
        <w:t xml:space="preserve">withhold its consent to sale having regard to the fact that the Lands were charged in its favour. </w:t>
      </w:r>
      <w:r>
        <w:rPr>
          <w:rFonts w:ascii="Times New Roman" w:hAnsi="Times New Roman" w:cs="Times New Roman"/>
          <w:sz w:val="24"/>
          <w:szCs w:val="24"/>
        </w:rPr>
        <w:t>The issue is whether</w:t>
      </w:r>
      <w:r w:rsidR="002264B9">
        <w:rPr>
          <w:rFonts w:ascii="Times New Roman" w:hAnsi="Times New Roman" w:cs="Times New Roman"/>
          <w:sz w:val="24"/>
          <w:szCs w:val="24"/>
        </w:rPr>
        <w:t>, by entering into</w:t>
      </w:r>
      <w:r>
        <w:rPr>
          <w:rFonts w:ascii="Times New Roman" w:hAnsi="Times New Roman" w:cs="Times New Roman"/>
          <w:sz w:val="24"/>
          <w:szCs w:val="24"/>
        </w:rPr>
        <w:t xml:space="preserve"> the Compromise Agreement</w:t>
      </w:r>
      <w:r w:rsidR="002264B9">
        <w:rPr>
          <w:rFonts w:ascii="Times New Roman" w:hAnsi="Times New Roman" w:cs="Times New Roman"/>
          <w:sz w:val="24"/>
          <w:szCs w:val="24"/>
        </w:rPr>
        <w:t>, the Bank gave its consent to the sale of (</w:t>
      </w:r>
      <w:r w:rsidR="002264B9" w:rsidRPr="00EA13A5">
        <w:rPr>
          <w:rFonts w:ascii="Times New Roman" w:hAnsi="Times New Roman" w:cs="Times New Roman"/>
          <w:i/>
          <w:sz w:val="24"/>
          <w:szCs w:val="24"/>
        </w:rPr>
        <w:t>inter alia</w:t>
      </w:r>
      <w:r w:rsidR="002264B9">
        <w:rPr>
          <w:rFonts w:ascii="Times New Roman" w:hAnsi="Times New Roman" w:cs="Times New Roman"/>
          <w:sz w:val="24"/>
          <w:szCs w:val="24"/>
        </w:rPr>
        <w:t>) the Kilpeddar Lands. As the Bank observed in its submissions, the Compromise Agreement created a framework of conditions under which a sale could take place. However, we agree with the Bank and the Judge that the Agreement did not constitute a consent to sale.</w:t>
      </w:r>
    </w:p>
    <w:p w14:paraId="166020E0" w14:textId="77777777" w:rsidR="003F646B" w:rsidRDefault="003F646B" w:rsidP="00CB5C7B">
      <w:pPr>
        <w:pStyle w:val="ListParagraph"/>
        <w:spacing w:after="0" w:line="480" w:lineRule="auto"/>
        <w:ind w:hanging="436"/>
        <w:jc w:val="both"/>
        <w:rPr>
          <w:rFonts w:ascii="Times New Roman" w:hAnsi="Times New Roman" w:cs="Times New Roman"/>
          <w:sz w:val="24"/>
          <w:szCs w:val="24"/>
        </w:rPr>
      </w:pPr>
    </w:p>
    <w:p w14:paraId="02BB2F11" w14:textId="350B899F" w:rsidR="00EA13A5" w:rsidRDefault="00441D61"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The Judge went on to find that the Bank did not consent to the sale of the Kilpeddar Lands to Granja (Judgment, paras 261-269). That finding is not challenged by the Second and Third Defendants.</w:t>
      </w:r>
    </w:p>
    <w:p w14:paraId="16AB6D95" w14:textId="4997B848" w:rsidR="00441D61" w:rsidRDefault="00441D61" w:rsidP="00441D61">
      <w:pPr>
        <w:pStyle w:val="ListParagraph"/>
        <w:spacing w:after="0" w:line="480" w:lineRule="auto"/>
        <w:jc w:val="both"/>
        <w:rPr>
          <w:rFonts w:ascii="Times New Roman" w:hAnsi="Times New Roman" w:cs="Times New Roman"/>
          <w:sz w:val="24"/>
          <w:szCs w:val="24"/>
        </w:rPr>
      </w:pPr>
    </w:p>
    <w:p w14:paraId="7000969A" w14:textId="7EA66690" w:rsidR="00441D61" w:rsidRDefault="00441D61" w:rsidP="00272396">
      <w:pPr>
        <w:pStyle w:val="Heading2"/>
      </w:pPr>
      <w:r w:rsidRPr="00441D61">
        <w:t>The meaning and effect of the Heads of Agreement of 13 June 20</w:t>
      </w:r>
      <w:r w:rsidR="007910A0">
        <w:t>1</w:t>
      </w:r>
      <w:r w:rsidRPr="00441D61">
        <w:t>4</w:t>
      </w:r>
    </w:p>
    <w:p w14:paraId="0C550BE8" w14:textId="77777777" w:rsidR="00441D61" w:rsidRPr="00441D61" w:rsidRDefault="00441D61" w:rsidP="00441D61">
      <w:pPr>
        <w:pStyle w:val="ListParagraph"/>
        <w:spacing w:after="0" w:line="480" w:lineRule="auto"/>
        <w:jc w:val="both"/>
        <w:rPr>
          <w:rFonts w:ascii="Times New Roman" w:hAnsi="Times New Roman" w:cs="Times New Roman"/>
          <w:b/>
          <w:sz w:val="24"/>
          <w:szCs w:val="24"/>
        </w:rPr>
      </w:pPr>
    </w:p>
    <w:p w14:paraId="5A27699D" w14:textId="3D13E2DD" w:rsidR="00441D61" w:rsidRDefault="00441D61"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The next point made by the Second and Third Defendants is that the Bank had “</w:t>
      </w:r>
      <w:r w:rsidRPr="00441D61">
        <w:rPr>
          <w:rFonts w:ascii="Times New Roman" w:hAnsi="Times New Roman" w:cs="Times New Roman"/>
          <w:i/>
          <w:sz w:val="24"/>
          <w:szCs w:val="24"/>
        </w:rPr>
        <w:t>no standing as a matter of contract and no right as a matter of law to raise an objection”</w:t>
      </w:r>
      <w:r>
        <w:rPr>
          <w:rFonts w:ascii="Times New Roman" w:hAnsi="Times New Roman" w:cs="Times New Roman"/>
          <w:sz w:val="24"/>
          <w:szCs w:val="24"/>
        </w:rPr>
        <w:t xml:space="preserve"> to the sale to Granja on the basis that the parties to the Heads of Agreement had “</w:t>
      </w:r>
      <w:r w:rsidRPr="00441D61">
        <w:rPr>
          <w:rFonts w:ascii="Times New Roman" w:hAnsi="Times New Roman" w:cs="Times New Roman"/>
          <w:i/>
          <w:sz w:val="24"/>
          <w:szCs w:val="24"/>
        </w:rPr>
        <w:t>conceded the enforceability</w:t>
      </w:r>
      <w:r>
        <w:rPr>
          <w:rFonts w:ascii="Times New Roman" w:hAnsi="Times New Roman" w:cs="Times New Roman"/>
          <w:sz w:val="24"/>
          <w:szCs w:val="24"/>
        </w:rPr>
        <w:t>” of the agreement in the course of the Granja proceedings and the Bank had no right to “</w:t>
      </w:r>
      <w:r w:rsidRPr="00441D61">
        <w:rPr>
          <w:rFonts w:ascii="Times New Roman" w:hAnsi="Times New Roman" w:cs="Times New Roman"/>
          <w:i/>
          <w:sz w:val="24"/>
          <w:szCs w:val="24"/>
        </w:rPr>
        <w:t>intermeddle</w:t>
      </w:r>
      <w:r>
        <w:rPr>
          <w:rFonts w:ascii="Times New Roman" w:hAnsi="Times New Roman" w:cs="Times New Roman"/>
          <w:sz w:val="24"/>
          <w:szCs w:val="24"/>
        </w:rPr>
        <w:t xml:space="preserve">”  in the contractual relationship between the purchaser and the vendors. It is also said that, in any event, the terms which, on the Bank’s case, required to be addressed in the Heads of Agreement were matters that could and should have been dealt with on closing. The Heads of Agreement were not, it is said, </w:t>
      </w:r>
      <w:r w:rsidR="00917322">
        <w:rPr>
          <w:rFonts w:ascii="Times New Roman" w:hAnsi="Times New Roman" w:cs="Times New Roman"/>
          <w:sz w:val="24"/>
          <w:szCs w:val="24"/>
        </w:rPr>
        <w:t>“</w:t>
      </w:r>
      <w:r w:rsidR="00917322" w:rsidRPr="00917322">
        <w:rPr>
          <w:rFonts w:ascii="Times New Roman" w:hAnsi="Times New Roman" w:cs="Times New Roman"/>
          <w:i/>
          <w:sz w:val="24"/>
          <w:szCs w:val="24"/>
        </w:rPr>
        <w:t>a thing writ in water”</w:t>
      </w:r>
      <w:r>
        <w:rPr>
          <w:rFonts w:ascii="Times New Roman" w:hAnsi="Times New Roman" w:cs="Times New Roman"/>
          <w:sz w:val="24"/>
          <w:szCs w:val="24"/>
        </w:rPr>
        <w:t xml:space="preserve"> </w:t>
      </w:r>
      <w:r w:rsidR="00917322">
        <w:rPr>
          <w:rFonts w:ascii="Times New Roman" w:hAnsi="Times New Roman" w:cs="Times New Roman"/>
          <w:sz w:val="24"/>
          <w:szCs w:val="24"/>
        </w:rPr>
        <w:t>(written submissions para 7.1 &amp; 7.2).</w:t>
      </w:r>
    </w:p>
    <w:p w14:paraId="175BBF77" w14:textId="77777777" w:rsidR="002264B9" w:rsidRPr="00AA4E7C" w:rsidRDefault="002264B9" w:rsidP="00CB5C7B">
      <w:pPr>
        <w:pStyle w:val="ListParagraph"/>
        <w:spacing w:after="0" w:line="480" w:lineRule="auto"/>
        <w:ind w:hanging="436"/>
        <w:jc w:val="both"/>
        <w:rPr>
          <w:rFonts w:ascii="Times New Roman" w:hAnsi="Times New Roman" w:cs="Times New Roman"/>
          <w:sz w:val="24"/>
          <w:szCs w:val="24"/>
        </w:rPr>
      </w:pPr>
    </w:p>
    <w:p w14:paraId="289B6087" w14:textId="71AD545B" w:rsidR="00CF7419" w:rsidRDefault="00917322" w:rsidP="00CB5C7B">
      <w:pPr>
        <w:pStyle w:val="ListParagraph"/>
        <w:numPr>
          <w:ilvl w:val="0"/>
          <w:numId w:val="1"/>
        </w:numPr>
        <w:spacing w:after="0" w:line="480" w:lineRule="auto"/>
        <w:ind w:hanging="436"/>
        <w:jc w:val="both"/>
        <w:rPr>
          <w:rFonts w:ascii="Times New Roman" w:hAnsi="Times New Roman" w:cs="Times New Roman"/>
          <w:sz w:val="24"/>
          <w:szCs w:val="24"/>
        </w:rPr>
      </w:pPr>
      <w:r w:rsidRPr="00917322">
        <w:rPr>
          <w:rFonts w:ascii="Times New Roman" w:hAnsi="Times New Roman" w:cs="Times New Roman"/>
          <w:sz w:val="24"/>
          <w:szCs w:val="24"/>
        </w:rPr>
        <w:lastRenderedPageBreak/>
        <w:t>That is</w:t>
      </w:r>
      <w:r w:rsidR="002264B9" w:rsidRPr="00917322">
        <w:rPr>
          <w:rFonts w:ascii="Times New Roman" w:hAnsi="Times New Roman" w:cs="Times New Roman"/>
          <w:sz w:val="24"/>
          <w:szCs w:val="24"/>
        </w:rPr>
        <w:t xml:space="preserve"> </w:t>
      </w:r>
      <w:r>
        <w:rPr>
          <w:rFonts w:ascii="Times New Roman" w:hAnsi="Times New Roman" w:cs="Times New Roman"/>
          <w:sz w:val="24"/>
          <w:szCs w:val="24"/>
        </w:rPr>
        <w:t xml:space="preserve">the extent of the submissions on this point and the Second and Third Defendants make no attempt to engage with the analysis of the Judge or demonstrate where that analysis is mistaken. </w:t>
      </w:r>
      <w:r w:rsidR="00E06837">
        <w:rPr>
          <w:rFonts w:ascii="Times New Roman" w:hAnsi="Times New Roman" w:cs="Times New Roman"/>
          <w:sz w:val="24"/>
          <w:szCs w:val="24"/>
        </w:rPr>
        <w:t xml:space="preserve">No authority is cited in support of the bald assertions advanced. </w:t>
      </w:r>
      <w:r>
        <w:rPr>
          <w:rFonts w:ascii="Times New Roman" w:hAnsi="Times New Roman" w:cs="Times New Roman"/>
          <w:sz w:val="24"/>
          <w:szCs w:val="24"/>
        </w:rPr>
        <w:t>That is wholly unsatisfactory.</w:t>
      </w:r>
    </w:p>
    <w:p w14:paraId="4AE986F0" w14:textId="77777777" w:rsidR="00917322" w:rsidRPr="00917322" w:rsidRDefault="00917322" w:rsidP="00CB5C7B">
      <w:pPr>
        <w:pStyle w:val="ListParagraph"/>
        <w:spacing w:after="0" w:line="480" w:lineRule="auto"/>
        <w:ind w:hanging="436"/>
        <w:jc w:val="both"/>
        <w:rPr>
          <w:rFonts w:ascii="Times New Roman" w:hAnsi="Times New Roman" w:cs="Times New Roman"/>
          <w:sz w:val="24"/>
          <w:szCs w:val="24"/>
        </w:rPr>
      </w:pPr>
    </w:p>
    <w:p w14:paraId="1C013B38" w14:textId="283A36EE" w:rsidR="004E0225" w:rsidRPr="004E0225" w:rsidRDefault="00E06837" w:rsidP="00CB5C7B">
      <w:pPr>
        <w:pStyle w:val="ListParagraph"/>
        <w:numPr>
          <w:ilvl w:val="0"/>
          <w:numId w:val="1"/>
        </w:numPr>
        <w:spacing w:after="0" w:line="480" w:lineRule="auto"/>
        <w:ind w:hanging="436"/>
        <w:jc w:val="both"/>
        <w:rPr>
          <w:rFonts w:ascii="Times New Roman" w:hAnsi="Times New Roman" w:cs="Times New Roman"/>
          <w:b/>
          <w:sz w:val="24"/>
          <w:szCs w:val="24"/>
        </w:rPr>
      </w:pPr>
      <w:r>
        <w:rPr>
          <w:rFonts w:ascii="Times New Roman" w:hAnsi="Times New Roman" w:cs="Times New Roman"/>
          <w:sz w:val="24"/>
          <w:szCs w:val="24"/>
        </w:rPr>
        <w:t>The suggestion that the Bank had no standing to object to the sale to Granja</w:t>
      </w:r>
      <w:r w:rsidR="00314EF3">
        <w:rPr>
          <w:rFonts w:ascii="Times New Roman" w:hAnsi="Times New Roman" w:cs="Times New Roman"/>
          <w:sz w:val="24"/>
          <w:szCs w:val="24"/>
        </w:rPr>
        <w:t>, or any interest in whether there was a binding agreement for sale</w:t>
      </w:r>
      <w:r>
        <w:rPr>
          <w:rFonts w:ascii="Times New Roman" w:hAnsi="Times New Roman" w:cs="Times New Roman"/>
          <w:sz w:val="24"/>
          <w:szCs w:val="24"/>
        </w:rPr>
        <w:t xml:space="preserve"> is, to put it at its lowest, a surprising one. The Mortgage gave the Bank security over the Kilpeddar Lands. As of June 2014, when the Heads of Agreement were purported</w:t>
      </w:r>
      <w:r w:rsidR="003C503B">
        <w:rPr>
          <w:rFonts w:ascii="Times New Roman" w:hAnsi="Times New Roman" w:cs="Times New Roman"/>
          <w:sz w:val="24"/>
          <w:szCs w:val="24"/>
        </w:rPr>
        <w:t>ly</w:t>
      </w:r>
      <w:r>
        <w:rPr>
          <w:rFonts w:ascii="Times New Roman" w:hAnsi="Times New Roman" w:cs="Times New Roman"/>
          <w:sz w:val="24"/>
          <w:szCs w:val="24"/>
        </w:rPr>
        <w:t xml:space="preserve"> executed, the Bank’s charge had been registered in the Land Registry. </w:t>
      </w:r>
      <w:r w:rsidR="00BC1631">
        <w:rPr>
          <w:rFonts w:ascii="Times New Roman" w:hAnsi="Times New Roman" w:cs="Times New Roman"/>
          <w:sz w:val="24"/>
          <w:szCs w:val="24"/>
        </w:rPr>
        <w:t>The Bank never gave its consent to a sale to Granja. The Bank</w:t>
      </w:r>
      <w:r>
        <w:rPr>
          <w:rFonts w:ascii="Times New Roman" w:hAnsi="Times New Roman" w:cs="Times New Roman"/>
          <w:sz w:val="24"/>
          <w:szCs w:val="24"/>
        </w:rPr>
        <w:t xml:space="preserve"> had a vital commercial interest in the sale of the Lands pursuant to the terms of the Compromise Agreement. </w:t>
      </w:r>
      <w:r w:rsidR="00CB020D">
        <w:rPr>
          <w:rFonts w:ascii="Times New Roman" w:hAnsi="Times New Roman" w:cs="Times New Roman"/>
          <w:sz w:val="24"/>
          <w:szCs w:val="24"/>
        </w:rPr>
        <w:t xml:space="preserve">It had subsequently appointed Receivers to realise its security. Their entitlement to deal with the Kilpeddar Lands was clearly </w:t>
      </w:r>
      <w:r w:rsidR="00BC1631">
        <w:rPr>
          <w:rFonts w:ascii="Times New Roman" w:hAnsi="Times New Roman" w:cs="Times New Roman"/>
          <w:sz w:val="24"/>
          <w:szCs w:val="24"/>
        </w:rPr>
        <w:t xml:space="preserve">potentially </w:t>
      </w:r>
      <w:r w:rsidR="00CB020D">
        <w:rPr>
          <w:rFonts w:ascii="Times New Roman" w:hAnsi="Times New Roman" w:cs="Times New Roman"/>
          <w:sz w:val="24"/>
          <w:szCs w:val="24"/>
        </w:rPr>
        <w:t xml:space="preserve">affected by the purported agreement with Granja. </w:t>
      </w:r>
      <w:r w:rsidR="00BC1631">
        <w:rPr>
          <w:rFonts w:ascii="Times New Roman" w:hAnsi="Times New Roman" w:cs="Times New Roman"/>
          <w:sz w:val="24"/>
          <w:szCs w:val="24"/>
        </w:rPr>
        <w:t>Following their appointment, the Receivers had made it clear to Granja that they did not consider themselves bound by the Heads of Agreement.</w:t>
      </w:r>
      <w:r w:rsidR="00BC1631">
        <w:rPr>
          <w:rStyle w:val="FootnoteReference"/>
          <w:rFonts w:ascii="Times New Roman" w:hAnsi="Times New Roman" w:cs="Times New Roman"/>
          <w:sz w:val="24"/>
          <w:szCs w:val="24"/>
        </w:rPr>
        <w:footnoteReference w:id="13"/>
      </w:r>
      <w:r w:rsidR="00BC1631">
        <w:rPr>
          <w:rFonts w:ascii="Times New Roman" w:hAnsi="Times New Roman" w:cs="Times New Roman"/>
          <w:sz w:val="24"/>
          <w:szCs w:val="24"/>
        </w:rPr>
        <w:t xml:space="preserve">  </w:t>
      </w:r>
      <w:r w:rsidR="00CB020D">
        <w:rPr>
          <w:rFonts w:ascii="Times New Roman" w:hAnsi="Times New Roman" w:cs="Times New Roman"/>
          <w:sz w:val="24"/>
          <w:szCs w:val="24"/>
        </w:rPr>
        <w:t xml:space="preserve">Granja had </w:t>
      </w:r>
      <w:r w:rsidR="00BC1631">
        <w:rPr>
          <w:rFonts w:ascii="Times New Roman" w:hAnsi="Times New Roman" w:cs="Times New Roman"/>
          <w:sz w:val="24"/>
          <w:szCs w:val="24"/>
        </w:rPr>
        <w:t xml:space="preserve">then </w:t>
      </w:r>
      <w:r w:rsidR="00CB020D">
        <w:rPr>
          <w:rFonts w:ascii="Times New Roman" w:hAnsi="Times New Roman" w:cs="Times New Roman"/>
          <w:sz w:val="24"/>
          <w:szCs w:val="24"/>
        </w:rPr>
        <w:t xml:space="preserve">brought proceedings against the Receivers and the Bank, as well as the McDonaghs, </w:t>
      </w:r>
      <w:r w:rsidR="00314EF3">
        <w:rPr>
          <w:rFonts w:ascii="Times New Roman" w:hAnsi="Times New Roman" w:cs="Times New Roman"/>
          <w:sz w:val="24"/>
          <w:szCs w:val="24"/>
        </w:rPr>
        <w:t xml:space="preserve">to seek </w:t>
      </w:r>
      <w:r w:rsidR="00CB020D">
        <w:rPr>
          <w:rFonts w:ascii="Times New Roman" w:hAnsi="Times New Roman" w:cs="Times New Roman"/>
          <w:sz w:val="24"/>
          <w:szCs w:val="24"/>
        </w:rPr>
        <w:t xml:space="preserve">to have them bound by the Heads of Agreement but had discontinued their proceedings (as against the Receivers and the Bank) </w:t>
      </w:r>
      <w:r w:rsidR="00BC1631">
        <w:rPr>
          <w:rFonts w:ascii="Times New Roman" w:hAnsi="Times New Roman" w:cs="Times New Roman"/>
          <w:sz w:val="24"/>
          <w:szCs w:val="24"/>
        </w:rPr>
        <w:t xml:space="preserve">in mid-hearing in 2018. </w:t>
      </w:r>
      <w:r w:rsidR="00314EF3">
        <w:rPr>
          <w:rFonts w:ascii="Times New Roman" w:hAnsi="Times New Roman" w:cs="Times New Roman"/>
          <w:sz w:val="24"/>
          <w:szCs w:val="24"/>
        </w:rPr>
        <w:t>The trial judge, Haughton J, articulated the effect of that discontinuance in the following terms: “</w:t>
      </w:r>
      <w:r w:rsidR="00314EF3" w:rsidRPr="00314EF3">
        <w:rPr>
          <w:rFonts w:ascii="Times New Roman" w:hAnsi="Times New Roman" w:cs="Times New Roman"/>
          <w:i/>
          <w:sz w:val="24"/>
          <w:szCs w:val="24"/>
        </w:rPr>
        <w:t>the position must be that Ulster Bank</w:t>
      </w:r>
      <w:r w:rsidR="00B67C7D">
        <w:rPr>
          <w:rFonts w:ascii="Times New Roman" w:hAnsi="Times New Roman" w:cs="Times New Roman"/>
          <w:i/>
          <w:sz w:val="24"/>
          <w:szCs w:val="24"/>
        </w:rPr>
        <w:t>’</w:t>
      </w:r>
      <w:r w:rsidR="00314EF3" w:rsidRPr="00314EF3">
        <w:rPr>
          <w:rFonts w:ascii="Times New Roman" w:hAnsi="Times New Roman" w:cs="Times New Roman"/>
          <w:i/>
          <w:sz w:val="24"/>
          <w:szCs w:val="24"/>
        </w:rPr>
        <w:t xml:space="preserve">s charge is accepted and that clause 5(c) applies such that Ulster </w:t>
      </w:r>
      <w:r w:rsidR="00314EF3" w:rsidRPr="00314EF3">
        <w:rPr>
          <w:rFonts w:ascii="Times New Roman" w:hAnsi="Times New Roman" w:cs="Times New Roman"/>
          <w:i/>
          <w:sz w:val="24"/>
          <w:szCs w:val="24"/>
        </w:rPr>
        <w:lastRenderedPageBreak/>
        <w:t>Bank</w:t>
      </w:r>
      <w:r w:rsidR="00B67C7D">
        <w:rPr>
          <w:rFonts w:ascii="Times New Roman" w:hAnsi="Times New Roman" w:cs="Times New Roman"/>
          <w:i/>
          <w:sz w:val="24"/>
          <w:szCs w:val="24"/>
        </w:rPr>
        <w:t>’</w:t>
      </w:r>
      <w:r w:rsidR="00314EF3" w:rsidRPr="00314EF3">
        <w:rPr>
          <w:rFonts w:ascii="Times New Roman" w:hAnsi="Times New Roman" w:cs="Times New Roman"/>
          <w:i/>
          <w:sz w:val="24"/>
          <w:szCs w:val="24"/>
        </w:rPr>
        <w:t>s written consent to any parting of possession by the borrowers is required</w:t>
      </w:r>
      <w:r w:rsidR="00314EF3">
        <w:rPr>
          <w:rFonts w:ascii="Times New Roman" w:hAnsi="Times New Roman" w:cs="Times New Roman"/>
          <w:sz w:val="24"/>
          <w:szCs w:val="24"/>
        </w:rPr>
        <w:t xml:space="preserve">.” </w:t>
      </w:r>
      <w:r w:rsidR="00314EF3">
        <w:rPr>
          <w:rStyle w:val="FootnoteReference"/>
          <w:rFonts w:ascii="Times New Roman" w:hAnsi="Times New Roman" w:cs="Times New Roman"/>
          <w:sz w:val="24"/>
          <w:szCs w:val="24"/>
        </w:rPr>
        <w:footnoteReference w:id="14"/>
      </w:r>
      <w:r w:rsidR="004E0225">
        <w:rPr>
          <w:rFonts w:ascii="Times New Roman" w:hAnsi="Times New Roman" w:cs="Times New Roman"/>
          <w:sz w:val="24"/>
          <w:szCs w:val="24"/>
        </w:rPr>
        <w:t xml:space="preserve"> On that basis, it appears, the </w:t>
      </w:r>
      <w:r w:rsidR="004E0225" w:rsidRPr="004E0225">
        <w:rPr>
          <w:rFonts w:ascii="Times New Roman" w:hAnsi="Times New Roman" w:cs="Times New Roman"/>
          <w:i/>
          <w:sz w:val="24"/>
          <w:szCs w:val="24"/>
        </w:rPr>
        <w:t>lis pendens</w:t>
      </w:r>
      <w:r w:rsidR="004E0225">
        <w:rPr>
          <w:rFonts w:ascii="Times New Roman" w:hAnsi="Times New Roman" w:cs="Times New Roman"/>
          <w:sz w:val="24"/>
          <w:szCs w:val="24"/>
        </w:rPr>
        <w:t xml:space="preserve"> previously registered by Granja against the Kilpeddar Lands was vacated. All of that was plainly of direct and </w:t>
      </w:r>
      <w:r w:rsidR="00515F3F">
        <w:rPr>
          <w:rFonts w:ascii="Times New Roman" w:hAnsi="Times New Roman" w:cs="Times New Roman"/>
          <w:sz w:val="24"/>
          <w:szCs w:val="24"/>
        </w:rPr>
        <w:t>legitimate</w:t>
      </w:r>
      <w:r w:rsidR="004E0225">
        <w:rPr>
          <w:rFonts w:ascii="Times New Roman" w:hAnsi="Times New Roman" w:cs="Times New Roman"/>
          <w:sz w:val="24"/>
          <w:szCs w:val="24"/>
        </w:rPr>
        <w:t xml:space="preserve"> interest to the Bank and to the Receivers.</w:t>
      </w:r>
    </w:p>
    <w:p w14:paraId="679B2E64" w14:textId="77777777" w:rsidR="00CB020D" w:rsidRPr="00CB5C7B" w:rsidRDefault="00CB020D" w:rsidP="00CB5C7B">
      <w:pPr>
        <w:spacing w:after="0" w:line="480" w:lineRule="auto"/>
        <w:jc w:val="both"/>
        <w:rPr>
          <w:rFonts w:ascii="Times New Roman" w:hAnsi="Times New Roman" w:cs="Times New Roman"/>
          <w:b/>
          <w:sz w:val="24"/>
          <w:szCs w:val="24"/>
        </w:rPr>
      </w:pPr>
    </w:p>
    <w:p w14:paraId="63311472" w14:textId="1648B791" w:rsidR="004E0225" w:rsidRPr="00FE5A52" w:rsidRDefault="00917322" w:rsidP="00CB5C7B">
      <w:pPr>
        <w:pStyle w:val="ListParagraph"/>
        <w:numPr>
          <w:ilvl w:val="0"/>
          <w:numId w:val="1"/>
        </w:numPr>
        <w:spacing w:after="0" w:line="480" w:lineRule="auto"/>
        <w:ind w:hanging="436"/>
        <w:jc w:val="both"/>
        <w:rPr>
          <w:rFonts w:ascii="Times New Roman" w:hAnsi="Times New Roman" w:cs="Times New Roman"/>
          <w:b/>
          <w:sz w:val="24"/>
          <w:szCs w:val="24"/>
        </w:rPr>
      </w:pPr>
      <w:r w:rsidRPr="00FE5A52">
        <w:rPr>
          <w:rFonts w:ascii="Times New Roman" w:hAnsi="Times New Roman" w:cs="Times New Roman"/>
          <w:sz w:val="24"/>
          <w:szCs w:val="24"/>
        </w:rPr>
        <w:t xml:space="preserve">After a meticulous consideration of the evidence, the Judge found as a matter of probability that the Heads of Agreement </w:t>
      </w:r>
      <w:r w:rsidR="004E0225" w:rsidRPr="00FE5A52">
        <w:rPr>
          <w:rFonts w:ascii="Times New Roman" w:hAnsi="Times New Roman" w:cs="Times New Roman"/>
          <w:sz w:val="24"/>
          <w:szCs w:val="24"/>
        </w:rPr>
        <w:t>had not been</w:t>
      </w:r>
      <w:r w:rsidRPr="00FE5A52">
        <w:rPr>
          <w:rFonts w:ascii="Times New Roman" w:hAnsi="Times New Roman" w:cs="Times New Roman"/>
          <w:sz w:val="24"/>
          <w:szCs w:val="24"/>
        </w:rPr>
        <w:t xml:space="preserve"> executed in June 2014 but were in fact executed only in October 2014, in response to the appointment of the Receivers by the Bank and “</w:t>
      </w:r>
      <w:r w:rsidRPr="00FE5A52">
        <w:rPr>
          <w:rFonts w:ascii="Times New Roman" w:hAnsi="Times New Roman" w:cs="Times New Roman"/>
          <w:i/>
          <w:sz w:val="24"/>
          <w:szCs w:val="24"/>
        </w:rPr>
        <w:t>as an attempt by [the McDonagh] to thwart the sale of the Kilpeddar site by the Receivers</w:t>
      </w:r>
      <w:r w:rsidRPr="00FE5A52">
        <w:rPr>
          <w:rFonts w:ascii="Times New Roman" w:hAnsi="Times New Roman" w:cs="Times New Roman"/>
          <w:sz w:val="24"/>
          <w:szCs w:val="24"/>
        </w:rPr>
        <w:t>”</w:t>
      </w:r>
      <w:r w:rsidR="003170BB" w:rsidRPr="00FE5A52">
        <w:rPr>
          <w:rFonts w:ascii="Times New Roman" w:hAnsi="Times New Roman" w:cs="Times New Roman"/>
          <w:sz w:val="24"/>
          <w:szCs w:val="24"/>
        </w:rPr>
        <w:t xml:space="preserve"> (Judgment, para 247).</w:t>
      </w:r>
      <w:r w:rsidR="00C5177C" w:rsidRPr="00FE5A52">
        <w:rPr>
          <w:rFonts w:ascii="Times New Roman" w:hAnsi="Times New Roman" w:cs="Times New Roman"/>
          <w:sz w:val="24"/>
          <w:szCs w:val="24"/>
        </w:rPr>
        <w:t xml:space="preserve"> </w:t>
      </w:r>
      <w:r w:rsidR="00E06837" w:rsidRPr="00FE5A52">
        <w:rPr>
          <w:rFonts w:ascii="Times New Roman" w:hAnsi="Times New Roman" w:cs="Times New Roman"/>
          <w:sz w:val="24"/>
          <w:szCs w:val="24"/>
        </w:rPr>
        <w:t xml:space="preserve"> After an equally meticulous analysis of the available evidence, the Judge found that Granja was “</w:t>
      </w:r>
      <w:r w:rsidR="00E06837" w:rsidRPr="00FE5A52">
        <w:rPr>
          <w:rFonts w:ascii="Times New Roman" w:hAnsi="Times New Roman" w:cs="Times New Roman"/>
          <w:i/>
          <w:sz w:val="24"/>
          <w:szCs w:val="24"/>
        </w:rPr>
        <w:t>a front for Brian McDonagh”</w:t>
      </w:r>
      <w:r w:rsidR="00E06837" w:rsidRPr="00FE5A52">
        <w:rPr>
          <w:rFonts w:ascii="Times New Roman" w:hAnsi="Times New Roman" w:cs="Times New Roman"/>
          <w:sz w:val="24"/>
          <w:szCs w:val="24"/>
        </w:rPr>
        <w:t xml:space="preserve"> (Judgment, para 140). </w:t>
      </w:r>
      <w:r w:rsidR="004E0225" w:rsidRPr="00FE5A52">
        <w:rPr>
          <w:rFonts w:ascii="Times New Roman" w:hAnsi="Times New Roman" w:cs="Times New Roman"/>
          <w:sz w:val="24"/>
          <w:szCs w:val="24"/>
        </w:rPr>
        <w:t xml:space="preserve">In those circumstances, the suggestion that the Bank is bound by the subsequent agreement between the McDonaghs and Granja conceding the enforceability of the Heads of Agreement is little short of </w:t>
      </w:r>
      <w:r w:rsidR="00B138E6" w:rsidRPr="00FE5A52">
        <w:rPr>
          <w:rFonts w:ascii="Times New Roman" w:hAnsi="Times New Roman" w:cs="Times New Roman"/>
          <w:sz w:val="24"/>
          <w:szCs w:val="24"/>
        </w:rPr>
        <w:t>breath-taking</w:t>
      </w:r>
      <w:r w:rsidR="004E0225" w:rsidRPr="00FE5A52">
        <w:rPr>
          <w:rFonts w:ascii="Times New Roman" w:hAnsi="Times New Roman" w:cs="Times New Roman"/>
          <w:sz w:val="24"/>
          <w:szCs w:val="24"/>
        </w:rPr>
        <w:t xml:space="preserve">. As the Bank observes in its submissions, the compromise of the Granja proceedings was as much a contrivance as the Heads of Agreement and could not </w:t>
      </w:r>
      <w:r w:rsidR="00FE5A52" w:rsidRPr="00FE5A52">
        <w:rPr>
          <w:rFonts w:ascii="Times New Roman" w:hAnsi="Times New Roman" w:cs="Times New Roman"/>
          <w:sz w:val="24"/>
          <w:szCs w:val="24"/>
        </w:rPr>
        <w:t xml:space="preserve">affect the legal position of either the Bank or of the Receivers. </w:t>
      </w:r>
    </w:p>
    <w:p w14:paraId="72F5687B" w14:textId="77777777" w:rsidR="00FE5A52" w:rsidRPr="00FE5A52" w:rsidRDefault="00FE5A52" w:rsidP="00CB5C7B">
      <w:pPr>
        <w:pStyle w:val="ListParagraph"/>
        <w:spacing w:after="0" w:line="480" w:lineRule="auto"/>
        <w:ind w:hanging="436"/>
        <w:jc w:val="both"/>
        <w:rPr>
          <w:rFonts w:ascii="Times New Roman" w:hAnsi="Times New Roman" w:cs="Times New Roman"/>
          <w:b/>
          <w:sz w:val="24"/>
          <w:szCs w:val="24"/>
        </w:rPr>
      </w:pPr>
    </w:p>
    <w:p w14:paraId="4385A643" w14:textId="551A6B8D" w:rsidR="00B138E6" w:rsidRPr="00CF6513" w:rsidRDefault="007910A0" w:rsidP="00CB5C7B">
      <w:pPr>
        <w:pStyle w:val="ListParagraph"/>
        <w:numPr>
          <w:ilvl w:val="0"/>
          <w:numId w:val="1"/>
        </w:numPr>
        <w:spacing w:after="0" w:line="480" w:lineRule="auto"/>
        <w:ind w:hanging="436"/>
        <w:jc w:val="both"/>
        <w:rPr>
          <w:rFonts w:ascii="Times New Roman" w:hAnsi="Times New Roman" w:cs="Times New Roman"/>
          <w:b/>
          <w:sz w:val="24"/>
          <w:szCs w:val="24"/>
        </w:rPr>
      </w:pPr>
      <w:r>
        <w:rPr>
          <w:rFonts w:ascii="Times New Roman" w:hAnsi="Times New Roman" w:cs="Times New Roman"/>
          <w:sz w:val="24"/>
          <w:szCs w:val="24"/>
        </w:rPr>
        <w:t>The issue a</w:t>
      </w:r>
      <w:r w:rsidR="00FE5A52" w:rsidRPr="00B138E6">
        <w:rPr>
          <w:rFonts w:ascii="Times New Roman" w:hAnsi="Times New Roman" w:cs="Times New Roman"/>
          <w:sz w:val="24"/>
          <w:szCs w:val="24"/>
        </w:rPr>
        <w:t xml:space="preserve">s to whether the Heads of Agreement constituted a binding agreement for the sale of the </w:t>
      </w:r>
      <w:proofErr w:type="spellStart"/>
      <w:r w:rsidR="00FE5A52" w:rsidRPr="00B138E6">
        <w:rPr>
          <w:rFonts w:ascii="Times New Roman" w:hAnsi="Times New Roman" w:cs="Times New Roman"/>
          <w:sz w:val="24"/>
          <w:szCs w:val="24"/>
        </w:rPr>
        <w:t>Kilpeddar</w:t>
      </w:r>
      <w:proofErr w:type="spellEnd"/>
      <w:r w:rsidR="00FE5A52" w:rsidRPr="00B138E6">
        <w:rPr>
          <w:rFonts w:ascii="Times New Roman" w:hAnsi="Times New Roman" w:cs="Times New Roman"/>
          <w:sz w:val="24"/>
          <w:szCs w:val="24"/>
        </w:rPr>
        <w:t xml:space="preserve"> Lands was also the subject of detailed and careful analysis by the Judge</w:t>
      </w:r>
      <w:r w:rsidR="00B138E6" w:rsidRPr="00B138E6">
        <w:rPr>
          <w:rFonts w:ascii="Times New Roman" w:hAnsi="Times New Roman" w:cs="Times New Roman"/>
          <w:sz w:val="24"/>
          <w:szCs w:val="24"/>
        </w:rPr>
        <w:t xml:space="preserve">. The Second and Third Defendants have </w:t>
      </w:r>
      <w:r w:rsidR="00B138E6">
        <w:rPr>
          <w:rFonts w:ascii="Times New Roman" w:hAnsi="Times New Roman" w:cs="Times New Roman"/>
          <w:sz w:val="24"/>
          <w:szCs w:val="24"/>
        </w:rPr>
        <w:t xml:space="preserve">not engaged with that analysis or made any effort to demonstrate any error on the part of the Judge. As the Bank points </w:t>
      </w:r>
      <w:r w:rsidR="00B138E6">
        <w:rPr>
          <w:rFonts w:ascii="Times New Roman" w:hAnsi="Times New Roman" w:cs="Times New Roman"/>
          <w:sz w:val="24"/>
          <w:szCs w:val="24"/>
        </w:rPr>
        <w:lastRenderedPageBreak/>
        <w:t>out in its submissions, the Judge’s analysis is consistent with the evidence given by Mr Fe</w:t>
      </w:r>
      <w:r w:rsidR="000F100E">
        <w:rPr>
          <w:rFonts w:ascii="Times New Roman" w:hAnsi="Times New Roman" w:cs="Times New Roman"/>
          <w:sz w:val="24"/>
          <w:szCs w:val="24"/>
        </w:rPr>
        <w:t>e</w:t>
      </w:r>
      <w:r w:rsidR="00B138E6">
        <w:rPr>
          <w:rFonts w:ascii="Times New Roman" w:hAnsi="Times New Roman" w:cs="Times New Roman"/>
          <w:sz w:val="24"/>
          <w:szCs w:val="24"/>
        </w:rPr>
        <w:t xml:space="preserve">hily, a director of Granja, in the proceedings brought by that company against the Bank, the Receivers and the McDonaghs (Bank’s written submissions, para 68). As the Bank also note, in his evidence in these proceedings Mr Dooley – who said that the Heads of Agreement </w:t>
      </w:r>
      <w:r w:rsidR="00CF6513">
        <w:rPr>
          <w:rFonts w:ascii="Times New Roman" w:hAnsi="Times New Roman" w:cs="Times New Roman"/>
          <w:sz w:val="24"/>
          <w:szCs w:val="24"/>
        </w:rPr>
        <w:t>was a “</w:t>
      </w:r>
      <w:r w:rsidR="00CF6513" w:rsidRPr="00CF6513">
        <w:rPr>
          <w:rFonts w:ascii="Times New Roman" w:hAnsi="Times New Roman" w:cs="Times New Roman"/>
          <w:i/>
          <w:sz w:val="24"/>
          <w:szCs w:val="24"/>
        </w:rPr>
        <w:t>standard document</w:t>
      </w:r>
      <w:r w:rsidR="00CF6513">
        <w:rPr>
          <w:rFonts w:ascii="Times New Roman" w:hAnsi="Times New Roman" w:cs="Times New Roman"/>
          <w:sz w:val="24"/>
          <w:szCs w:val="24"/>
        </w:rPr>
        <w:t>” that his office used – accepted that the “</w:t>
      </w:r>
      <w:r w:rsidR="00CF6513" w:rsidRPr="00CF6513">
        <w:rPr>
          <w:rFonts w:ascii="Times New Roman" w:hAnsi="Times New Roman" w:cs="Times New Roman"/>
          <w:i/>
          <w:sz w:val="24"/>
          <w:szCs w:val="24"/>
        </w:rPr>
        <w:t>actual contract for sale</w:t>
      </w:r>
      <w:r w:rsidR="00CF6513">
        <w:rPr>
          <w:rFonts w:ascii="Times New Roman" w:hAnsi="Times New Roman" w:cs="Times New Roman"/>
          <w:sz w:val="24"/>
          <w:szCs w:val="24"/>
        </w:rPr>
        <w:t>” would have been a different document.</w:t>
      </w:r>
      <w:r w:rsidR="00CF6513">
        <w:rPr>
          <w:rStyle w:val="FootnoteReference"/>
          <w:rFonts w:ascii="Times New Roman" w:hAnsi="Times New Roman" w:cs="Times New Roman"/>
          <w:sz w:val="24"/>
          <w:szCs w:val="24"/>
        </w:rPr>
        <w:footnoteReference w:id="15"/>
      </w:r>
    </w:p>
    <w:p w14:paraId="6D74A21D" w14:textId="77777777" w:rsidR="00CF6513" w:rsidRPr="00CF6513" w:rsidRDefault="00CF6513" w:rsidP="00CB5C7B">
      <w:pPr>
        <w:pStyle w:val="ListParagraph"/>
        <w:spacing w:after="0" w:line="480" w:lineRule="auto"/>
        <w:ind w:hanging="436"/>
        <w:jc w:val="both"/>
        <w:rPr>
          <w:rFonts w:ascii="Times New Roman" w:hAnsi="Times New Roman" w:cs="Times New Roman"/>
          <w:b/>
          <w:sz w:val="24"/>
          <w:szCs w:val="24"/>
        </w:rPr>
      </w:pPr>
    </w:p>
    <w:p w14:paraId="290BDD63" w14:textId="42D45B32" w:rsidR="00CF6513" w:rsidRPr="00CF6513" w:rsidRDefault="00CF6513"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In the circumstances, w</w:t>
      </w:r>
      <w:r w:rsidRPr="00CF6513">
        <w:rPr>
          <w:rFonts w:ascii="Times New Roman" w:hAnsi="Times New Roman" w:cs="Times New Roman"/>
          <w:sz w:val="24"/>
          <w:szCs w:val="24"/>
        </w:rPr>
        <w:t xml:space="preserve">e </w:t>
      </w:r>
      <w:r>
        <w:rPr>
          <w:rFonts w:ascii="Times New Roman" w:hAnsi="Times New Roman" w:cs="Times New Roman"/>
          <w:sz w:val="24"/>
          <w:szCs w:val="24"/>
        </w:rPr>
        <w:t>are not persuaded that there is any substance in this part of the Second and Third Defendants’ appeal.</w:t>
      </w:r>
      <w:r w:rsidRPr="00CF6513">
        <w:rPr>
          <w:rFonts w:ascii="Times New Roman" w:hAnsi="Times New Roman" w:cs="Times New Roman"/>
          <w:sz w:val="24"/>
          <w:szCs w:val="24"/>
        </w:rPr>
        <w:t xml:space="preserve"> </w:t>
      </w:r>
    </w:p>
    <w:p w14:paraId="3CAA1CC7" w14:textId="67BB564B" w:rsidR="00B138E6" w:rsidRDefault="00B138E6" w:rsidP="00B138E6">
      <w:pPr>
        <w:pStyle w:val="ListParagraph"/>
        <w:spacing w:after="0" w:line="480" w:lineRule="auto"/>
        <w:jc w:val="both"/>
        <w:rPr>
          <w:rFonts w:ascii="Times New Roman" w:hAnsi="Times New Roman" w:cs="Times New Roman"/>
          <w:b/>
          <w:sz w:val="24"/>
          <w:szCs w:val="24"/>
        </w:rPr>
      </w:pPr>
    </w:p>
    <w:p w14:paraId="18EA5FE1" w14:textId="39BB188A" w:rsidR="00CF6513" w:rsidRDefault="00CF6513" w:rsidP="00272396">
      <w:pPr>
        <w:pStyle w:val="Heading2"/>
      </w:pPr>
      <w:r>
        <w:tab/>
        <w:t>Prior Breach by the Bank</w:t>
      </w:r>
    </w:p>
    <w:p w14:paraId="59A94212" w14:textId="77777777" w:rsidR="00CF6513" w:rsidRPr="00B138E6" w:rsidRDefault="00CF6513" w:rsidP="00B138E6">
      <w:pPr>
        <w:pStyle w:val="ListParagraph"/>
        <w:spacing w:after="0" w:line="480" w:lineRule="auto"/>
        <w:jc w:val="both"/>
        <w:rPr>
          <w:rFonts w:ascii="Times New Roman" w:hAnsi="Times New Roman" w:cs="Times New Roman"/>
          <w:b/>
          <w:sz w:val="24"/>
          <w:szCs w:val="24"/>
        </w:rPr>
      </w:pPr>
    </w:p>
    <w:p w14:paraId="5683E0F6" w14:textId="6BE589E4" w:rsidR="000A3157" w:rsidRPr="007C3934" w:rsidRDefault="00CF6513" w:rsidP="00CB5C7B">
      <w:pPr>
        <w:pStyle w:val="ListParagraph"/>
        <w:numPr>
          <w:ilvl w:val="0"/>
          <w:numId w:val="1"/>
        </w:numPr>
        <w:spacing w:after="0" w:line="480" w:lineRule="auto"/>
        <w:ind w:hanging="436"/>
        <w:jc w:val="both"/>
        <w:rPr>
          <w:rFonts w:ascii="Times New Roman" w:hAnsi="Times New Roman" w:cs="Times New Roman"/>
          <w:b/>
          <w:sz w:val="24"/>
          <w:szCs w:val="24"/>
        </w:rPr>
      </w:pPr>
      <w:r>
        <w:rPr>
          <w:rFonts w:ascii="Times New Roman" w:hAnsi="Times New Roman" w:cs="Times New Roman"/>
          <w:sz w:val="24"/>
          <w:szCs w:val="24"/>
        </w:rPr>
        <w:t xml:space="preserve">Two points are made under this heading. The first is that after the Compromise Agreement </w:t>
      </w:r>
      <w:r w:rsidR="000A3157">
        <w:rPr>
          <w:rFonts w:ascii="Times New Roman" w:hAnsi="Times New Roman" w:cs="Times New Roman"/>
          <w:sz w:val="24"/>
          <w:szCs w:val="24"/>
        </w:rPr>
        <w:t>was signed b</w:t>
      </w:r>
      <w:r>
        <w:rPr>
          <w:rFonts w:ascii="Times New Roman" w:hAnsi="Times New Roman" w:cs="Times New Roman"/>
          <w:sz w:val="24"/>
          <w:szCs w:val="24"/>
        </w:rPr>
        <w:t xml:space="preserve">y the McDonaghs </w:t>
      </w:r>
      <w:r w:rsidR="007C3934">
        <w:rPr>
          <w:rFonts w:ascii="Times New Roman" w:hAnsi="Times New Roman" w:cs="Times New Roman"/>
          <w:sz w:val="24"/>
          <w:szCs w:val="24"/>
        </w:rPr>
        <w:t>on 13 March 2013, “</w:t>
      </w:r>
      <w:r w:rsidR="007C3934" w:rsidRPr="007C3934">
        <w:rPr>
          <w:rFonts w:ascii="Times New Roman" w:hAnsi="Times New Roman" w:cs="Times New Roman"/>
          <w:i/>
          <w:sz w:val="24"/>
          <w:szCs w:val="24"/>
        </w:rPr>
        <w:t>the Bank purported to set-off €325,000 standing to the credit of Brian McDonagh against the indebtedness the subject-matter of the Compromise Agreement</w:t>
      </w:r>
      <w:r w:rsidR="007C3934">
        <w:rPr>
          <w:rFonts w:ascii="Times New Roman" w:hAnsi="Times New Roman" w:cs="Times New Roman"/>
          <w:sz w:val="24"/>
          <w:szCs w:val="24"/>
        </w:rPr>
        <w:t xml:space="preserve">.” This is offered as a free-standing assertion: the submissions do not explain how the alleged set-off constituted a breach of the Compromise Agreement by the Bank or, more significantly, how any such breach might affect the position of the Second and Third Defendants </w:t>
      </w:r>
      <w:r w:rsidR="007C3934" w:rsidRPr="007C3934">
        <w:rPr>
          <w:rFonts w:ascii="Times New Roman" w:hAnsi="Times New Roman" w:cs="Times New Roman"/>
          <w:i/>
          <w:sz w:val="24"/>
          <w:szCs w:val="24"/>
        </w:rPr>
        <w:t>vis</w:t>
      </w:r>
      <w:r w:rsidR="007910A0">
        <w:rPr>
          <w:rFonts w:ascii="Times New Roman" w:hAnsi="Times New Roman" w:cs="Times New Roman"/>
          <w:i/>
          <w:sz w:val="24"/>
          <w:szCs w:val="24"/>
        </w:rPr>
        <w:t>-</w:t>
      </w:r>
      <w:r w:rsidR="007C3934" w:rsidRPr="007C3934">
        <w:rPr>
          <w:rFonts w:ascii="Times New Roman" w:hAnsi="Times New Roman" w:cs="Times New Roman"/>
          <w:i/>
          <w:sz w:val="24"/>
          <w:szCs w:val="24"/>
        </w:rPr>
        <w:t>à</w:t>
      </w:r>
      <w:r w:rsidR="007910A0">
        <w:rPr>
          <w:rFonts w:ascii="Times New Roman" w:hAnsi="Times New Roman" w:cs="Times New Roman"/>
          <w:i/>
          <w:sz w:val="24"/>
          <w:szCs w:val="24"/>
        </w:rPr>
        <w:t>-</w:t>
      </w:r>
      <w:r w:rsidR="007C3934" w:rsidRPr="007C3934">
        <w:rPr>
          <w:rFonts w:ascii="Times New Roman" w:hAnsi="Times New Roman" w:cs="Times New Roman"/>
          <w:i/>
          <w:sz w:val="24"/>
          <w:szCs w:val="24"/>
        </w:rPr>
        <w:t>vis</w:t>
      </w:r>
      <w:r w:rsidR="007C3934">
        <w:rPr>
          <w:rFonts w:ascii="Times New Roman" w:hAnsi="Times New Roman" w:cs="Times New Roman"/>
          <w:sz w:val="24"/>
          <w:szCs w:val="24"/>
        </w:rPr>
        <w:t xml:space="preserve"> the Bank.</w:t>
      </w:r>
    </w:p>
    <w:p w14:paraId="16F00482" w14:textId="77777777" w:rsidR="007C3934" w:rsidRPr="000A3157" w:rsidRDefault="007C3934" w:rsidP="00CB5C7B">
      <w:pPr>
        <w:pStyle w:val="ListParagraph"/>
        <w:spacing w:after="0" w:line="480" w:lineRule="auto"/>
        <w:ind w:hanging="436"/>
        <w:jc w:val="both"/>
        <w:rPr>
          <w:rFonts w:ascii="Times New Roman" w:hAnsi="Times New Roman" w:cs="Times New Roman"/>
          <w:b/>
          <w:sz w:val="24"/>
          <w:szCs w:val="24"/>
        </w:rPr>
      </w:pPr>
    </w:p>
    <w:p w14:paraId="33D4ACEE" w14:textId="3F737DB1" w:rsidR="00CE7DF5" w:rsidRPr="00BE660C" w:rsidRDefault="007C3934" w:rsidP="00CB5C7B">
      <w:pPr>
        <w:pStyle w:val="ListParagraph"/>
        <w:numPr>
          <w:ilvl w:val="0"/>
          <w:numId w:val="1"/>
        </w:numPr>
        <w:spacing w:after="0" w:line="480" w:lineRule="auto"/>
        <w:ind w:hanging="436"/>
        <w:jc w:val="both"/>
        <w:rPr>
          <w:rFonts w:ascii="Times New Roman" w:hAnsi="Times New Roman" w:cs="Times New Roman"/>
          <w:b/>
          <w:sz w:val="24"/>
          <w:szCs w:val="24"/>
        </w:rPr>
      </w:pPr>
      <w:r>
        <w:rPr>
          <w:rFonts w:ascii="Times New Roman" w:hAnsi="Times New Roman" w:cs="Times New Roman"/>
          <w:sz w:val="24"/>
          <w:szCs w:val="24"/>
        </w:rPr>
        <w:t xml:space="preserve">Although it is not evident from the Second and Third Defendants’ submissions, the suggestion that the Bank had acted in breach of the Compromise Agreement by </w:t>
      </w:r>
      <w:r>
        <w:rPr>
          <w:rFonts w:ascii="Times New Roman" w:hAnsi="Times New Roman" w:cs="Times New Roman"/>
          <w:sz w:val="24"/>
          <w:szCs w:val="24"/>
        </w:rPr>
        <w:lastRenderedPageBreak/>
        <w:t>effecting a set-off of €325,000 from the bank account of Brian McDonagh on 27 March 2013 was addressed by the Judge</w:t>
      </w:r>
      <w:r w:rsidR="00CE7DF5">
        <w:rPr>
          <w:rFonts w:ascii="Times New Roman" w:hAnsi="Times New Roman" w:cs="Times New Roman"/>
          <w:sz w:val="24"/>
          <w:szCs w:val="24"/>
        </w:rPr>
        <w:t xml:space="preserve"> who concluded that it was “</w:t>
      </w:r>
      <w:r w:rsidR="00CE7DF5" w:rsidRPr="00CE7DF5">
        <w:rPr>
          <w:rFonts w:ascii="Times New Roman" w:hAnsi="Times New Roman" w:cs="Times New Roman"/>
          <w:i/>
          <w:sz w:val="24"/>
          <w:szCs w:val="24"/>
        </w:rPr>
        <w:t>without foundation”</w:t>
      </w:r>
      <w:r>
        <w:rPr>
          <w:rFonts w:ascii="Times New Roman" w:hAnsi="Times New Roman" w:cs="Times New Roman"/>
          <w:sz w:val="24"/>
          <w:szCs w:val="24"/>
        </w:rPr>
        <w:t xml:space="preserve"> (Judgment, paras 310</w:t>
      </w:r>
      <w:r w:rsidR="00CE7DF5">
        <w:rPr>
          <w:rFonts w:ascii="Times New Roman" w:hAnsi="Times New Roman" w:cs="Times New Roman"/>
          <w:sz w:val="24"/>
          <w:szCs w:val="24"/>
        </w:rPr>
        <w:t>-313). Again, no effort has been made to establish any error on the part of the Judge. That is not an appropriate approach in an appeal to this Court</w:t>
      </w:r>
      <w:r w:rsidR="00B0344B">
        <w:rPr>
          <w:rFonts w:ascii="Times New Roman" w:hAnsi="Times New Roman" w:cs="Times New Roman"/>
          <w:sz w:val="24"/>
          <w:szCs w:val="24"/>
        </w:rPr>
        <w:t>.</w:t>
      </w:r>
    </w:p>
    <w:p w14:paraId="4CA9C34C" w14:textId="77777777" w:rsidR="00B0344B" w:rsidRPr="00BE660C" w:rsidRDefault="00B0344B" w:rsidP="00CB5C7B">
      <w:pPr>
        <w:spacing w:after="0" w:line="480" w:lineRule="auto"/>
        <w:ind w:hanging="436"/>
        <w:jc w:val="both"/>
        <w:rPr>
          <w:rFonts w:ascii="Times New Roman" w:hAnsi="Times New Roman" w:cs="Times New Roman"/>
          <w:b/>
          <w:sz w:val="24"/>
          <w:szCs w:val="24"/>
        </w:rPr>
      </w:pPr>
    </w:p>
    <w:p w14:paraId="77094C94" w14:textId="5FE7EC48" w:rsidR="0046442A" w:rsidRPr="00515F3F" w:rsidRDefault="00CE7DF5" w:rsidP="00CB5C7B">
      <w:pPr>
        <w:pStyle w:val="ListParagraph"/>
        <w:numPr>
          <w:ilvl w:val="0"/>
          <w:numId w:val="1"/>
        </w:numPr>
        <w:spacing w:after="0" w:line="480" w:lineRule="auto"/>
        <w:ind w:hanging="436"/>
        <w:jc w:val="both"/>
        <w:rPr>
          <w:rFonts w:ascii="Times New Roman" w:hAnsi="Times New Roman" w:cs="Times New Roman"/>
          <w:b/>
          <w:sz w:val="24"/>
          <w:szCs w:val="24"/>
        </w:rPr>
      </w:pPr>
      <w:r>
        <w:rPr>
          <w:rFonts w:ascii="Times New Roman" w:hAnsi="Times New Roman" w:cs="Times New Roman"/>
          <w:sz w:val="24"/>
          <w:szCs w:val="24"/>
        </w:rPr>
        <w:t>As the Judge explains in his Judgment, at the time that the set-off was effected by the Bank</w:t>
      </w:r>
      <w:r w:rsidR="007910A0">
        <w:rPr>
          <w:rFonts w:ascii="Times New Roman" w:hAnsi="Times New Roman" w:cs="Times New Roman"/>
          <w:sz w:val="24"/>
          <w:szCs w:val="24"/>
        </w:rPr>
        <w:t>,</w:t>
      </w:r>
      <w:r>
        <w:rPr>
          <w:rFonts w:ascii="Times New Roman" w:hAnsi="Times New Roman" w:cs="Times New Roman"/>
          <w:sz w:val="24"/>
          <w:szCs w:val="24"/>
        </w:rPr>
        <w:t xml:space="preserve"> the Compromise Agreement had not been signed and had not become operative.</w:t>
      </w:r>
      <w:r w:rsidR="00515F3F">
        <w:rPr>
          <w:rFonts w:ascii="Times New Roman" w:hAnsi="Times New Roman" w:cs="Times New Roman"/>
          <w:sz w:val="24"/>
          <w:szCs w:val="24"/>
        </w:rPr>
        <w:t xml:space="preserve"> Brian McDonagh had previously signed a letter authorising the Bank to make set-offs against his liabilities to it.</w:t>
      </w:r>
      <w:r w:rsidR="00515F3F">
        <w:rPr>
          <w:rStyle w:val="FootnoteReference"/>
          <w:rFonts w:ascii="Times New Roman" w:hAnsi="Times New Roman" w:cs="Times New Roman"/>
          <w:sz w:val="24"/>
          <w:szCs w:val="24"/>
        </w:rPr>
        <w:footnoteReference w:id="16"/>
      </w:r>
      <w:r w:rsidR="00515F3F">
        <w:rPr>
          <w:rFonts w:ascii="Times New Roman" w:hAnsi="Times New Roman" w:cs="Times New Roman"/>
          <w:sz w:val="24"/>
          <w:szCs w:val="24"/>
        </w:rPr>
        <w:t xml:space="preserve"> Given that the Compromise Agreement was not signed as of 27 March 2013, the Judge concluded that there was nothing to prevent the Bank exercising its right of set-off. </w:t>
      </w:r>
    </w:p>
    <w:p w14:paraId="2F5840D2" w14:textId="77777777" w:rsidR="00515F3F" w:rsidRPr="00515F3F" w:rsidRDefault="00515F3F" w:rsidP="00CB5C7B">
      <w:pPr>
        <w:pStyle w:val="ListParagraph"/>
        <w:spacing w:after="0" w:line="480" w:lineRule="auto"/>
        <w:ind w:hanging="436"/>
        <w:jc w:val="both"/>
        <w:rPr>
          <w:rFonts w:ascii="Times New Roman" w:hAnsi="Times New Roman" w:cs="Times New Roman"/>
          <w:b/>
          <w:sz w:val="24"/>
          <w:szCs w:val="24"/>
        </w:rPr>
      </w:pPr>
    </w:p>
    <w:p w14:paraId="46462887" w14:textId="5154434A" w:rsidR="00515F3F" w:rsidRDefault="00515F3F" w:rsidP="00CB5C7B">
      <w:pPr>
        <w:pStyle w:val="ListParagraph"/>
        <w:numPr>
          <w:ilvl w:val="0"/>
          <w:numId w:val="1"/>
        </w:numPr>
        <w:spacing w:after="0" w:line="480" w:lineRule="auto"/>
        <w:ind w:hanging="436"/>
        <w:jc w:val="both"/>
        <w:rPr>
          <w:rFonts w:ascii="Times New Roman" w:hAnsi="Times New Roman" w:cs="Times New Roman"/>
          <w:sz w:val="24"/>
          <w:szCs w:val="24"/>
        </w:rPr>
      </w:pPr>
      <w:r w:rsidRPr="00515F3F">
        <w:rPr>
          <w:rFonts w:ascii="Times New Roman" w:hAnsi="Times New Roman" w:cs="Times New Roman"/>
          <w:sz w:val="24"/>
          <w:szCs w:val="24"/>
        </w:rPr>
        <w:t xml:space="preserve">The Judge also noted </w:t>
      </w:r>
      <w:r>
        <w:rPr>
          <w:rFonts w:ascii="Times New Roman" w:hAnsi="Times New Roman" w:cs="Times New Roman"/>
          <w:sz w:val="24"/>
          <w:szCs w:val="24"/>
        </w:rPr>
        <w:t>(though again this is not referred to by the Second and Third Defendants in their submissions) that the set-</w:t>
      </w:r>
      <w:r w:rsidR="00B7700B">
        <w:rPr>
          <w:rFonts w:ascii="Times New Roman" w:hAnsi="Times New Roman" w:cs="Times New Roman"/>
          <w:sz w:val="24"/>
          <w:szCs w:val="24"/>
        </w:rPr>
        <w:t>o</w:t>
      </w:r>
      <w:r>
        <w:rPr>
          <w:rFonts w:ascii="Times New Roman" w:hAnsi="Times New Roman" w:cs="Times New Roman"/>
          <w:sz w:val="24"/>
          <w:szCs w:val="24"/>
        </w:rPr>
        <w:t>ff was queried at the time by the solicitors acting for the Defendants.</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w:t>
      </w:r>
      <w:r w:rsidR="00900A91">
        <w:rPr>
          <w:rFonts w:ascii="Times New Roman" w:hAnsi="Times New Roman" w:cs="Times New Roman"/>
          <w:sz w:val="24"/>
          <w:szCs w:val="24"/>
        </w:rPr>
        <w:t>In response, the Bank explained the basis for the set-off, referred to delays in the “</w:t>
      </w:r>
      <w:r w:rsidR="00900A91" w:rsidRPr="00900A91">
        <w:rPr>
          <w:rFonts w:ascii="Times New Roman" w:hAnsi="Times New Roman" w:cs="Times New Roman"/>
          <w:i/>
          <w:sz w:val="24"/>
          <w:szCs w:val="24"/>
        </w:rPr>
        <w:t>completion of formalities”</w:t>
      </w:r>
      <w:r w:rsidR="00900A91">
        <w:rPr>
          <w:rFonts w:ascii="Times New Roman" w:hAnsi="Times New Roman" w:cs="Times New Roman"/>
          <w:sz w:val="24"/>
          <w:szCs w:val="24"/>
        </w:rPr>
        <w:t xml:space="preserve"> and stated that the “</w:t>
      </w:r>
      <w:r w:rsidR="00900A91" w:rsidRPr="00900A91">
        <w:rPr>
          <w:rFonts w:ascii="Times New Roman" w:hAnsi="Times New Roman" w:cs="Times New Roman"/>
          <w:i/>
          <w:sz w:val="24"/>
          <w:szCs w:val="24"/>
        </w:rPr>
        <w:t>offer of compromise</w:t>
      </w:r>
      <w:r w:rsidR="00900A91">
        <w:rPr>
          <w:rFonts w:ascii="Times New Roman" w:hAnsi="Times New Roman" w:cs="Times New Roman"/>
          <w:sz w:val="24"/>
          <w:szCs w:val="24"/>
        </w:rPr>
        <w:t>” would be withdrawn unless “</w:t>
      </w:r>
      <w:r w:rsidR="00900A91" w:rsidRPr="00900A91">
        <w:rPr>
          <w:rFonts w:ascii="Times New Roman" w:hAnsi="Times New Roman" w:cs="Times New Roman"/>
          <w:i/>
          <w:sz w:val="24"/>
          <w:szCs w:val="24"/>
        </w:rPr>
        <w:t>the initialled Agreement and the cash payment”</w:t>
      </w:r>
      <w:r w:rsidR="00900A91">
        <w:rPr>
          <w:rFonts w:ascii="Times New Roman" w:hAnsi="Times New Roman" w:cs="Times New Roman"/>
          <w:sz w:val="24"/>
          <w:szCs w:val="24"/>
        </w:rPr>
        <w:t xml:space="preserve"> were not with the Bank by close of business that day.</w:t>
      </w:r>
      <w:r w:rsidR="00900A91">
        <w:rPr>
          <w:rStyle w:val="FootnoteReference"/>
          <w:rFonts w:ascii="Times New Roman" w:hAnsi="Times New Roman" w:cs="Times New Roman"/>
          <w:sz w:val="24"/>
          <w:szCs w:val="24"/>
        </w:rPr>
        <w:footnoteReference w:id="18"/>
      </w:r>
      <w:r w:rsidR="00900A91">
        <w:rPr>
          <w:rFonts w:ascii="Times New Roman" w:hAnsi="Times New Roman" w:cs="Times New Roman"/>
          <w:sz w:val="24"/>
          <w:szCs w:val="24"/>
        </w:rPr>
        <w:t xml:space="preserve"> The initialled agreement (initialled by Brian McDonagh </w:t>
      </w:r>
      <w:r w:rsidR="00900A91" w:rsidRPr="00900A91">
        <w:rPr>
          <w:rFonts w:ascii="Times New Roman" w:hAnsi="Times New Roman" w:cs="Times New Roman"/>
          <w:i/>
          <w:sz w:val="24"/>
          <w:szCs w:val="24"/>
        </w:rPr>
        <w:t>inter alia</w:t>
      </w:r>
      <w:r w:rsidR="00900A91">
        <w:rPr>
          <w:rFonts w:ascii="Times New Roman" w:hAnsi="Times New Roman" w:cs="Times New Roman"/>
          <w:sz w:val="24"/>
          <w:szCs w:val="24"/>
        </w:rPr>
        <w:t>) and the relevant payment were</w:t>
      </w:r>
      <w:r w:rsidR="00CB5C7B">
        <w:rPr>
          <w:rFonts w:ascii="Times New Roman" w:hAnsi="Times New Roman" w:cs="Times New Roman"/>
          <w:sz w:val="24"/>
          <w:szCs w:val="24"/>
        </w:rPr>
        <w:t xml:space="preserve"> </w:t>
      </w:r>
      <w:r w:rsidR="00900A91">
        <w:rPr>
          <w:rFonts w:ascii="Times New Roman" w:hAnsi="Times New Roman" w:cs="Times New Roman"/>
          <w:sz w:val="24"/>
          <w:szCs w:val="24"/>
        </w:rPr>
        <w:lastRenderedPageBreak/>
        <w:t>sent to the Bank on the same day and it appears that there was no further issue raised about the set-off</w:t>
      </w:r>
      <w:r w:rsidR="004416AB">
        <w:rPr>
          <w:rFonts w:ascii="Times New Roman" w:hAnsi="Times New Roman" w:cs="Times New Roman"/>
          <w:sz w:val="24"/>
          <w:szCs w:val="24"/>
        </w:rPr>
        <w:t xml:space="preserve"> </w:t>
      </w:r>
      <w:r w:rsidR="00AD23B6">
        <w:rPr>
          <w:rFonts w:ascii="Times New Roman" w:hAnsi="Times New Roman" w:cs="Times New Roman"/>
          <w:sz w:val="24"/>
          <w:szCs w:val="24"/>
        </w:rPr>
        <w:t>at the time.</w:t>
      </w:r>
      <w:r w:rsidR="00AD23B6">
        <w:rPr>
          <w:rStyle w:val="FootnoteReference"/>
          <w:rFonts w:ascii="Times New Roman" w:hAnsi="Times New Roman" w:cs="Times New Roman"/>
          <w:sz w:val="24"/>
          <w:szCs w:val="24"/>
        </w:rPr>
        <w:footnoteReference w:id="19"/>
      </w:r>
    </w:p>
    <w:p w14:paraId="4E21BBCE" w14:textId="77777777" w:rsidR="00900A91" w:rsidRDefault="00900A91" w:rsidP="00CB5C7B">
      <w:pPr>
        <w:pStyle w:val="ListParagraph"/>
        <w:spacing w:after="0" w:line="480" w:lineRule="auto"/>
        <w:ind w:hanging="436"/>
        <w:jc w:val="both"/>
        <w:rPr>
          <w:rFonts w:ascii="Times New Roman" w:hAnsi="Times New Roman" w:cs="Times New Roman"/>
          <w:sz w:val="24"/>
          <w:szCs w:val="24"/>
        </w:rPr>
      </w:pPr>
    </w:p>
    <w:p w14:paraId="3AF9491F" w14:textId="07D58ACC" w:rsidR="00900A91" w:rsidRDefault="00900A91"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We therefore </w:t>
      </w:r>
      <w:r w:rsidR="00B7700B">
        <w:rPr>
          <w:rFonts w:ascii="Times New Roman" w:hAnsi="Times New Roman" w:cs="Times New Roman"/>
          <w:sz w:val="24"/>
          <w:szCs w:val="24"/>
        </w:rPr>
        <w:t xml:space="preserve">must </w:t>
      </w:r>
      <w:r>
        <w:rPr>
          <w:rFonts w:ascii="Times New Roman" w:hAnsi="Times New Roman" w:cs="Times New Roman"/>
          <w:sz w:val="24"/>
          <w:szCs w:val="24"/>
        </w:rPr>
        <w:t>reject the argument that the set-off constituted a breach of the Compromise Agreement by the Bank. It is unnecessary accordingly to consider how (if at all) a finding of such a breach could benefit the Second and Third Defendants.</w:t>
      </w:r>
    </w:p>
    <w:p w14:paraId="263A6B55" w14:textId="77777777" w:rsidR="00351B94" w:rsidRDefault="00351B94" w:rsidP="00CB5C7B">
      <w:pPr>
        <w:pStyle w:val="ListParagraph"/>
        <w:spacing w:after="0" w:line="480" w:lineRule="auto"/>
        <w:ind w:hanging="436"/>
        <w:jc w:val="both"/>
        <w:rPr>
          <w:rFonts w:ascii="Times New Roman" w:hAnsi="Times New Roman" w:cs="Times New Roman"/>
          <w:sz w:val="24"/>
          <w:szCs w:val="24"/>
        </w:rPr>
      </w:pPr>
    </w:p>
    <w:p w14:paraId="5631AA92" w14:textId="5A9D6C9D" w:rsidR="00900A91" w:rsidRDefault="00900A91"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The second </w:t>
      </w:r>
      <w:r w:rsidR="00571E8D">
        <w:rPr>
          <w:rFonts w:ascii="Times New Roman" w:hAnsi="Times New Roman" w:cs="Times New Roman"/>
          <w:sz w:val="24"/>
          <w:szCs w:val="24"/>
        </w:rPr>
        <w:t>point made by the Second and Third Defendants under this heading is that on 20 June 2014 the Bank unilaterally rendered further performance of the Compromise Agreement impossible</w:t>
      </w:r>
      <w:r w:rsidR="00D17144">
        <w:rPr>
          <w:rFonts w:ascii="Times New Roman" w:hAnsi="Times New Roman" w:cs="Times New Roman"/>
          <w:sz w:val="24"/>
          <w:szCs w:val="24"/>
        </w:rPr>
        <w:t xml:space="preserve"> </w:t>
      </w:r>
      <w:r w:rsidR="00571E8D" w:rsidRPr="00571E8D">
        <w:rPr>
          <w:rFonts w:ascii="Times New Roman" w:hAnsi="Times New Roman" w:cs="Times New Roman"/>
          <w:i/>
          <w:sz w:val="24"/>
          <w:szCs w:val="24"/>
        </w:rPr>
        <w:t>“and in the premises breached a fundamental condition of the agreement so as to repudiate same”</w:t>
      </w:r>
      <w:r w:rsidR="00571E8D">
        <w:rPr>
          <w:rFonts w:ascii="Times New Roman" w:hAnsi="Times New Roman" w:cs="Times New Roman"/>
          <w:i/>
          <w:sz w:val="24"/>
          <w:szCs w:val="24"/>
        </w:rPr>
        <w:t xml:space="preserve"> </w:t>
      </w:r>
      <w:r w:rsidR="00571E8D">
        <w:rPr>
          <w:rFonts w:ascii="Times New Roman" w:hAnsi="Times New Roman" w:cs="Times New Roman"/>
          <w:sz w:val="24"/>
          <w:szCs w:val="24"/>
        </w:rPr>
        <w:t>(written submissions, para 8.2). This relates to the withdrawal by the Bank of its consent to the sale of the Kilpeddar Lands on 20 June 2014, some six weeks before the target date for the sale of the Lands which was 31 July 2014.</w:t>
      </w:r>
      <w:r w:rsidR="007D2B2D">
        <w:rPr>
          <w:rFonts w:ascii="Times New Roman" w:hAnsi="Times New Roman" w:cs="Times New Roman"/>
          <w:sz w:val="24"/>
          <w:szCs w:val="24"/>
        </w:rPr>
        <w:t xml:space="preserve"> </w:t>
      </w:r>
    </w:p>
    <w:p w14:paraId="3734ED9E" w14:textId="77777777" w:rsidR="00433F33" w:rsidRDefault="00433F33" w:rsidP="00CB5C7B">
      <w:pPr>
        <w:pStyle w:val="ListParagraph"/>
        <w:spacing w:after="0" w:line="480" w:lineRule="auto"/>
        <w:ind w:hanging="436"/>
        <w:jc w:val="both"/>
        <w:rPr>
          <w:rFonts w:ascii="Times New Roman" w:hAnsi="Times New Roman" w:cs="Times New Roman"/>
          <w:sz w:val="24"/>
          <w:szCs w:val="24"/>
        </w:rPr>
      </w:pPr>
    </w:p>
    <w:p w14:paraId="7D754848" w14:textId="42F55C7E" w:rsidR="003500D8" w:rsidRDefault="00F1260A"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The reference here to the </w:t>
      </w:r>
      <w:r w:rsidRPr="00F1260A">
        <w:rPr>
          <w:rFonts w:ascii="Times New Roman" w:hAnsi="Times New Roman" w:cs="Times New Roman"/>
          <w:i/>
          <w:sz w:val="24"/>
          <w:szCs w:val="24"/>
        </w:rPr>
        <w:t>repudiation</w:t>
      </w:r>
      <w:r>
        <w:rPr>
          <w:rFonts w:ascii="Times New Roman" w:hAnsi="Times New Roman" w:cs="Times New Roman"/>
          <w:sz w:val="24"/>
          <w:szCs w:val="24"/>
        </w:rPr>
        <w:t xml:space="preserve"> of the Compromise Agreement might suggest tha</w:t>
      </w:r>
      <w:r w:rsidR="003500D8">
        <w:rPr>
          <w:rFonts w:ascii="Times New Roman" w:hAnsi="Times New Roman" w:cs="Times New Roman"/>
          <w:sz w:val="24"/>
          <w:szCs w:val="24"/>
        </w:rPr>
        <w:t xml:space="preserve">t the Second and Third Defendants are seeking to contend that the Compromise Agreement has terminated by reason of their acceptance of a repudiatory breach by the Bank. However, as the Bank observes in its submissions, all of the Defendants have in their respective Defences and Counterclaims sought a declaration that the Compromise </w:t>
      </w:r>
      <w:r w:rsidR="003500D8">
        <w:rPr>
          <w:rFonts w:ascii="Times New Roman" w:hAnsi="Times New Roman" w:cs="Times New Roman"/>
          <w:sz w:val="24"/>
          <w:szCs w:val="24"/>
        </w:rPr>
        <w:lastRenderedPageBreak/>
        <w:t xml:space="preserve">Agreement remains extant and binding on the Bank and its successors. Even if there was a repudiatory breach by the Bank – and the Bank of course disputes that there was any breach by it – the Defendants have all clearly elected to </w:t>
      </w:r>
      <w:r w:rsidR="00074144">
        <w:rPr>
          <w:rFonts w:ascii="Times New Roman" w:hAnsi="Times New Roman" w:cs="Times New Roman"/>
          <w:sz w:val="24"/>
          <w:szCs w:val="24"/>
        </w:rPr>
        <w:t>affirm the Agreement.</w:t>
      </w:r>
    </w:p>
    <w:p w14:paraId="16A34005" w14:textId="77777777" w:rsidR="004F65F7" w:rsidRPr="004F65F7" w:rsidRDefault="004F65F7" w:rsidP="00CB5C7B">
      <w:pPr>
        <w:pStyle w:val="ListParagraph"/>
        <w:spacing w:after="0" w:line="480" w:lineRule="auto"/>
        <w:ind w:left="2138" w:hanging="436"/>
        <w:jc w:val="both"/>
        <w:rPr>
          <w:rFonts w:ascii="Times New Roman" w:hAnsi="Times New Roman" w:cs="Times New Roman"/>
          <w:i/>
          <w:sz w:val="24"/>
          <w:szCs w:val="24"/>
        </w:rPr>
      </w:pPr>
    </w:p>
    <w:p w14:paraId="02DB9E9E" w14:textId="5F607B1E" w:rsidR="007D2B2D" w:rsidRPr="00C208DE" w:rsidRDefault="00074144"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As to the suggestion that the Bank’s withdrawal of consent to the sale of the Kilpeddar Lands rendered compliance with the Agreement impossible, that is, on any view, a</w:t>
      </w:r>
      <w:r w:rsidR="004822FE">
        <w:rPr>
          <w:rFonts w:ascii="Times New Roman" w:hAnsi="Times New Roman" w:cs="Times New Roman"/>
          <w:sz w:val="24"/>
          <w:szCs w:val="24"/>
        </w:rPr>
        <w:t xml:space="preserve"> significant over-statement of the position. The high water mark of the Defendant’s argument is that the Bank made it impossible to comply with one of the requirements in the Compromise Agreement, namely that the Kilpeddar Lands </w:t>
      </w:r>
      <w:r w:rsidR="007D2B2D">
        <w:rPr>
          <w:rFonts w:ascii="Times New Roman" w:hAnsi="Times New Roman" w:cs="Times New Roman"/>
          <w:sz w:val="24"/>
          <w:szCs w:val="24"/>
        </w:rPr>
        <w:t xml:space="preserve">were to be sold by 31 July 2014 (though that, in fact, was a target date rather than an absolute deadline; the only absolute deadline was the long-stop date of 30 September 2015). The Defendants’ ability to comply with the other provisions of the Compromise Agreement was unaffected and the various breaches of the Compromise Agreement found by the Judge are similarly unaffected. That being so, it is not evident to us what would be the practical effect of the Second and Third Defendants’ argument, if it were to be accepted. </w:t>
      </w:r>
      <w:r w:rsidR="00C208DE">
        <w:rPr>
          <w:rFonts w:ascii="Times New Roman" w:hAnsi="Times New Roman" w:cs="Times New Roman"/>
          <w:sz w:val="24"/>
          <w:szCs w:val="24"/>
        </w:rPr>
        <w:t>The fact is that there were numerous other breaches identified by the Judge which, in his view, entitled the Bank to treat the Compromise Agreement as being at an</w:t>
      </w:r>
      <w:r w:rsidR="00C208DE" w:rsidRPr="00C208DE">
        <w:rPr>
          <w:rFonts w:ascii="Times New Roman" w:hAnsi="Times New Roman" w:cs="Times New Roman"/>
          <w:sz w:val="24"/>
          <w:szCs w:val="24"/>
        </w:rPr>
        <w:t xml:space="preserve"> end and which entitled </w:t>
      </w:r>
      <w:r w:rsidR="00C208DE">
        <w:rPr>
          <w:rFonts w:ascii="Times New Roman" w:hAnsi="Times New Roman" w:cs="Times New Roman"/>
          <w:sz w:val="24"/>
          <w:szCs w:val="24"/>
        </w:rPr>
        <w:t>it to recover judgment from the Defendants for the entirety of the debt ow</w:t>
      </w:r>
      <w:r w:rsidR="00777203">
        <w:rPr>
          <w:rFonts w:ascii="Times New Roman" w:hAnsi="Times New Roman" w:cs="Times New Roman"/>
          <w:sz w:val="24"/>
          <w:szCs w:val="24"/>
        </w:rPr>
        <w:t>e</w:t>
      </w:r>
      <w:r w:rsidR="00C208DE">
        <w:rPr>
          <w:rFonts w:ascii="Times New Roman" w:hAnsi="Times New Roman" w:cs="Times New Roman"/>
          <w:sz w:val="24"/>
          <w:szCs w:val="24"/>
        </w:rPr>
        <w:t>d to the Bank. None of those findings are directly challenged by the Second and Third Defendants (insofar as they are indirectly challenged, the arguments are addressed below).</w:t>
      </w:r>
      <w:r w:rsidR="003B7DBD">
        <w:rPr>
          <w:rFonts w:ascii="Times New Roman" w:hAnsi="Times New Roman" w:cs="Times New Roman"/>
          <w:sz w:val="24"/>
          <w:szCs w:val="24"/>
        </w:rPr>
        <w:t xml:space="preserve"> </w:t>
      </w:r>
    </w:p>
    <w:p w14:paraId="0675959B" w14:textId="77777777" w:rsidR="007D2B2D" w:rsidRDefault="007D2B2D" w:rsidP="00CB5C7B">
      <w:pPr>
        <w:pStyle w:val="ListParagraph"/>
        <w:spacing w:after="0" w:line="480" w:lineRule="auto"/>
        <w:ind w:hanging="436"/>
        <w:jc w:val="both"/>
        <w:rPr>
          <w:rFonts w:ascii="Times New Roman" w:hAnsi="Times New Roman" w:cs="Times New Roman"/>
          <w:sz w:val="24"/>
          <w:szCs w:val="24"/>
        </w:rPr>
      </w:pPr>
    </w:p>
    <w:p w14:paraId="0A2445C3" w14:textId="0800B912" w:rsidR="00D7417D" w:rsidRDefault="007D2B2D"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As regards the Kilpeddar Lands themselves, the suggestion by the Second and Third Defendants that the </w:t>
      </w:r>
      <w:r w:rsidR="00D7417D">
        <w:rPr>
          <w:rFonts w:ascii="Times New Roman" w:hAnsi="Times New Roman" w:cs="Times New Roman"/>
          <w:sz w:val="24"/>
          <w:szCs w:val="24"/>
        </w:rPr>
        <w:t xml:space="preserve">Bank’s </w:t>
      </w:r>
      <w:r>
        <w:rPr>
          <w:rFonts w:ascii="Times New Roman" w:hAnsi="Times New Roman" w:cs="Times New Roman"/>
          <w:sz w:val="24"/>
          <w:szCs w:val="24"/>
        </w:rPr>
        <w:t xml:space="preserve">withdrawal of consent </w:t>
      </w:r>
      <w:r w:rsidR="00D7417D">
        <w:rPr>
          <w:rFonts w:ascii="Times New Roman" w:hAnsi="Times New Roman" w:cs="Times New Roman"/>
          <w:sz w:val="24"/>
          <w:szCs w:val="24"/>
        </w:rPr>
        <w:t xml:space="preserve">to sale on 20 June 2014 </w:t>
      </w:r>
      <w:r>
        <w:rPr>
          <w:rFonts w:ascii="Times New Roman" w:hAnsi="Times New Roman" w:cs="Times New Roman"/>
          <w:sz w:val="24"/>
          <w:szCs w:val="24"/>
        </w:rPr>
        <w:t xml:space="preserve">rendered </w:t>
      </w:r>
      <w:r>
        <w:rPr>
          <w:rFonts w:ascii="Times New Roman" w:hAnsi="Times New Roman" w:cs="Times New Roman"/>
          <w:sz w:val="24"/>
          <w:szCs w:val="24"/>
        </w:rPr>
        <w:lastRenderedPageBreak/>
        <w:t>th</w:t>
      </w:r>
      <w:r w:rsidR="00D7417D">
        <w:rPr>
          <w:rFonts w:ascii="Times New Roman" w:hAnsi="Times New Roman" w:cs="Times New Roman"/>
          <w:sz w:val="24"/>
          <w:szCs w:val="24"/>
        </w:rPr>
        <w:t xml:space="preserve">eir </w:t>
      </w:r>
      <w:r>
        <w:rPr>
          <w:rFonts w:ascii="Times New Roman" w:hAnsi="Times New Roman" w:cs="Times New Roman"/>
          <w:sz w:val="24"/>
          <w:szCs w:val="24"/>
        </w:rPr>
        <w:t xml:space="preserve">sale impossible </w:t>
      </w:r>
      <w:r w:rsidR="00D7417D">
        <w:rPr>
          <w:rFonts w:ascii="Times New Roman" w:hAnsi="Times New Roman" w:cs="Times New Roman"/>
          <w:sz w:val="24"/>
          <w:szCs w:val="24"/>
        </w:rPr>
        <w:t xml:space="preserve">sits rather uncomfortably with their case that the sale of the Lands to Granja </w:t>
      </w:r>
      <w:r w:rsidR="00C208DE">
        <w:rPr>
          <w:rFonts w:ascii="Times New Roman" w:hAnsi="Times New Roman" w:cs="Times New Roman"/>
          <w:sz w:val="24"/>
          <w:szCs w:val="24"/>
        </w:rPr>
        <w:t xml:space="preserve">was actually </w:t>
      </w:r>
      <w:r w:rsidR="00D7417D">
        <w:rPr>
          <w:rFonts w:ascii="Times New Roman" w:hAnsi="Times New Roman" w:cs="Times New Roman"/>
          <w:sz w:val="24"/>
          <w:szCs w:val="24"/>
        </w:rPr>
        <w:t>agreed the previous week, on 13 June 2014. On their case, therefore, the Bank’s withdrawal of consent to the sale of the Lands had no effect. Of course, the Judge found that the Heads of Agreement were not signed until October 2014</w:t>
      </w:r>
      <w:r w:rsidR="00C208DE">
        <w:rPr>
          <w:rFonts w:ascii="Times New Roman" w:hAnsi="Times New Roman" w:cs="Times New Roman"/>
          <w:sz w:val="24"/>
          <w:szCs w:val="24"/>
        </w:rPr>
        <w:t xml:space="preserve"> and he also found that they did not constitute a binding agreement for sale in any event. But the point here is that, </w:t>
      </w:r>
      <w:r w:rsidR="00C208DE" w:rsidRPr="00C208DE">
        <w:rPr>
          <w:rFonts w:ascii="Times New Roman" w:hAnsi="Times New Roman" w:cs="Times New Roman"/>
          <w:i/>
          <w:sz w:val="24"/>
          <w:szCs w:val="24"/>
        </w:rPr>
        <w:t>on the Defendants</w:t>
      </w:r>
      <w:r w:rsidR="00B67C7D">
        <w:rPr>
          <w:rFonts w:ascii="Times New Roman" w:hAnsi="Times New Roman" w:cs="Times New Roman"/>
          <w:i/>
          <w:sz w:val="24"/>
          <w:szCs w:val="24"/>
        </w:rPr>
        <w:t>’</w:t>
      </w:r>
      <w:r w:rsidR="00C208DE" w:rsidRPr="00C208DE">
        <w:rPr>
          <w:rFonts w:ascii="Times New Roman" w:hAnsi="Times New Roman" w:cs="Times New Roman"/>
          <w:i/>
          <w:sz w:val="24"/>
          <w:szCs w:val="24"/>
        </w:rPr>
        <w:t xml:space="preserve"> case</w:t>
      </w:r>
      <w:r w:rsidR="00C208DE">
        <w:rPr>
          <w:rFonts w:ascii="Times New Roman" w:hAnsi="Times New Roman" w:cs="Times New Roman"/>
          <w:sz w:val="24"/>
          <w:szCs w:val="24"/>
        </w:rPr>
        <w:t>, the Bank’s withdrawal of consent did not prevent the sale of the Kilpeddar Lands.</w:t>
      </w:r>
    </w:p>
    <w:p w14:paraId="0820E529" w14:textId="77777777" w:rsidR="00C208DE" w:rsidRDefault="00C208DE" w:rsidP="00CB5C7B">
      <w:pPr>
        <w:pStyle w:val="ListParagraph"/>
        <w:spacing w:after="0" w:line="480" w:lineRule="auto"/>
        <w:ind w:hanging="436"/>
        <w:jc w:val="both"/>
        <w:rPr>
          <w:rFonts w:ascii="Times New Roman" w:hAnsi="Times New Roman" w:cs="Times New Roman"/>
          <w:sz w:val="24"/>
          <w:szCs w:val="24"/>
        </w:rPr>
      </w:pPr>
    </w:p>
    <w:p w14:paraId="0CAAE10B" w14:textId="1B62A5EA" w:rsidR="00C208DE" w:rsidRDefault="00C208DE"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One of the breaches of the Compromise Agreement found by the Judge was the failure of the Defendants to reappoint Robert Ganly of Ganly Wa</w:t>
      </w:r>
      <w:r w:rsidR="00422030">
        <w:rPr>
          <w:rFonts w:ascii="Times New Roman" w:hAnsi="Times New Roman" w:cs="Times New Roman"/>
          <w:sz w:val="24"/>
          <w:szCs w:val="24"/>
        </w:rPr>
        <w:t>l</w:t>
      </w:r>
      <w:r>
        <w:rPr>
          <w:rFonts w:ascii="Times New Roman" w:hAnsi="Times New Roman" w:cs="Times New Roman"/>
          <w:sz w:val="24"/>
          <w:szCs w:val="24"/>
        </w:rPr>
        <w:t>ters as joint selling agent (Judgment,</w:t>
      </w:r>
      <w:r w:rsidR="003B7DBD">
        <w:rPr>
          <w:rFonts w:ascii="Times New Roman" w:hAnsi="Times New Roman" w:cs="Times New Roman"/>
          <w:sz w:val="24"/>
          <w:szCs w:val="24"/>
        </w:rPr>
        <w:t xml:space="preserve"> paras 286-293). That finding is not challenged by the Second and Third Defendants (it is challenged by the First Defendant and his argument is addressed below). The failure to re-appoint Mr Ganly was</w:t>
      </w:r>
      <w:r w:rsidR="00D71FAF">
        <w:rPr>
          <w:rFonts w:ascii="Times New Roman" w:hAnsi="Times New Roman" w:cs="Times New Roman"/>
          <w:sz w:val="24"/>
          <w:szCs w:val="24"/>
        </w:rPr>
        <w:t xml:space="preserve"> one of</w:t>
      </w:r>
      <w:r w:rsidR="003B7DBD">
        <w:rPr>
          <w:rFonts w:ascii="Times New Roman" w:hAnsi="Times New Roman" w:cs="Times New Roman"/>
          <w:sz w:val="24"/>
          <w:szCs w:val="24"/>
        </w:rPr>
        <w:t xml:space="preserve"> the principal factor</w:t>
      </w:r>
      <w:r w:rsidR="00D71FAF">
        <w:rPr>
          <w:rFonts w:ascii="Times New Roman" w:hAnsi="Times New Roman" w:cs="Times New Roman"/>
          <w:sz w:val="24"/>
          <w:szCs w:val="24"/>
        </w:rPr>
        <w:t>s</w:t>
      </w:r>
      <w:r w:rsidR="003B7DBD">
        <w:rPr>
          <w:rFonts w:ascii="Times New Roman" w:hAnsi="Times New Roman" w:cs="Times New Roman"/>
          <w:sz w:val="24"/>
          <w:szCs w:val="24"/>
        </w:rPr>
        <w:t xml:space="preserve"> that led the Bank to withdraw its consent to the sale of the Kilpeddar Lands, though the Bank’s email of 20 June also refers to other matters. On the premise that the failure to re-appoint Mr Ganly was a breach of the Compromise Agreement, the Bank was perfectly entitled to withdraw its consent to the sale of the Lands. As the Judge explains, the involvement of Mr Ganly in the sales process was an important protection for the Bank. If the withdrawal of consent caused difficulty for the Defendants, the solution was in their hands. They could have re-appointed Mr Ganly and addressed the other issues of concern identified by the Bank in its correspondence</w:t>
      </w:r>
      <w:r w:rsidR="006F4D85">
        <w:rPr>
          <w:rFonts w:ascii="Times New Roman" w:hAnsi="Times New Roman" w:cs="Times New Roman"/>
          <w:sz w:val="24"/>
          <w:szCs w:val="24"/>
        </w:rPr>
        <w:t xml:space="preserve"> (including its letters of 17 June 2014 which are referenced in the Bank’s email of 20 June 2014</w:t>
      </w:r>
      <w:r w:rsidR="00D71FAF">
        <w:rPr>
          <w:rFonts w:ascii="Times New Roman" w:hAnsi="Times New Roman" w:cs="Times New Roman"/>
          <w:sz w:val="24"/>
          <w:szCs w:val="24"/>
        </w:rPr>
        <w:t>, as well as the earlier correspondence referred to in para 298 of the Judgment</w:t>
      </w:r>
      <w:r w:rsidR="006F4D85">
        <w:rPr>
          <w:rFonts w:ascii="Times New Roman" w:hAnsi="Times New Roman" w:cs="Times New Roman"/>
          <w:sz w:val="24"/>
          <w:szCs w:val="24"/>
        </w:rPr>
        <w:t>)</w:t>
      </w:r>
      <w:r w:rsidR="003B7DBD">
        <w:rPr>
          <w:rFonts w:ascii="Times New Roman" w:hAnsi="Times New Roman" w:cs="Times New Roman"/>
          <w:sz w:val="24"/>
          <w:szCs w:val="24"/>
        </w:rPr>
        <w:t>.</w:t>
      </w:r>
      <w:r w:rsidR="004F772F">
        <w:rPr>
          <w:rFonts w:ascii="Times New Roman" w:hAnsi="Times New Roman" w:cs="Times New Roman"/>
          <w:sz w:val="24"/>
          <w:szCs w:val="24"/>
        </w:rPr>
        <w:t xml:space="preserve"> In any event, the Bank’s </w:t>
      </w:r>
      <w:r w:rsidR="004F772F">
        <w:rPr>
          <w:rFonts w:ascii="Times New Roman" w:hAnsi="Times New Roman" w:cs="Times New Roman"/>
          <w:sz w:val="24"/>
          <w:szCs w:val="24"/>
        </w:rPr>
        <w:lastRenderedPageBreak/>
        <w:t xml:space="preserve">position did not exclude the giving of consent to the sale of the Lands </w:t>
      </w:r>
      <w:r w:rsidR="00D71FAF">
        <w:rPr>
          <w:rFonts w:ascii="Times New Roman" w:hAnsi="Times New Roman" w:cs="Times New Roman"/>
          <w:sz w:val="24"/>
          <w:szCs w:val="24"/>
        </w:rPr>
        <w:t xml:space="preserve">in the event of </w:t>
      </w:r>
      <w:r w:rsidR="00F15179">
        <w:rPr>
          <w:rFonts w:ascii="Times New Roman" w:hAnsi="Times New Roman" w:cs="Times New Roman"/>
          <w:sz w:val="24"/>
          <w:szCs w:val="24"/>
        </w:rPr>
        <w:t>a future</w:t>
      </w:r>
      <w:r w:rsidR="004F772F">
        <w:rPr>
          <w:rFonts w:ascii="Times New Roman" w:hAnsi="Times New Roman" w:cs="Times New Roman"/>
          <w:sz w:val="24"/>
          <w:szCs w:val="24"/>
        </w:rPr>
        <w:t xml:space="preserve"> request</w:t>
      </w:r>
      <w:r w:rsidR="00D71FAF">
        <w:rPr>
          <w:rFonts w:ascii="Times New Roman" w:hAnsi="Times New Roman" w:cs="Times New Roman"/>
          <w:sz w:val="24"/>
          <w:szCs w:val="24"/>
        </w:rPr>
        <w:t xml:space="preserve"> for such consent.</w:t>
      </w:r>
    </w:p>
    <w:p w14:paraId="0EDCD5C7" w14:textId="77777777" w:rsidR="004F772F" w:rsidRDefault="004F772F" w:rsidP="00CB5C7B">
      <w:pPr>
        <w:pStyle w:val="ListParagraph"/>
        <w:spacing w:after="0" w:line="480" w:lineRule="auto"/>
        <w:ind w:hanging="436"/>
        <w:jc w:val="both"/>
        <w:rPr>
          <w:rFonts w:ascii="Times New Roman" w:hAnsi="Times New Roman" w:cs="Times New Roman"/>
          <w:sz w:val="24"/>
          <w:szCs w:val="24"/>
        </w:rPr>
      </w:pPr>
    </w:p>
    <w:p w14:paraId="430F1A98" w14:textId="66921EED" w:rsidR="006F4D85" w:rsidRDefault="004F772F"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In the circumstances, we are not persuaded that the Bank’s letter of 20 June 2014 constituted a breach of the Compromise Agreement. Even if it had, it did not render further performance of the Compromise Agreement by the Defendants impossible as suggested nor could it have excused the many breaches of the Compromise Agreement by the Defendants found by the Judge. </w:t>
      </w:r>
    </w:p>
    <w:p w14:paraId="0EB965E2" w14:textId="77777777" w:rsidR="00C0479E" w:rsidRPr="00C0479E" w:rsidRDefault="00C0479E" w:rsidP="00C0479E">
      <w:pPr>
        <w:pStyle w:val="ListParagraph"/>
        <w:spacing w:after="0" w:line="480" w:lineRule="auto"/>
        <w:jc w:val="both"/>
        <w:rPr>
          <w:rFonts w:ascii="Times New Roman" w:hAnsi="Times New Roman" w:cs="Times New Roman"/>
          <w:sz w:val="24"/>
          <w:szCs w:val="24"/>
        </w:rPr>
      </w:pPr>
    </w:p>
    <w:p w14:paraId="110DE53C" w14:textId="1F620668" w:rsidR="004F772F" w:rsidRPr="004F772F" w:rsidRDefault="004F772F" w:rsidP="00272396">
      <w:pPr>
        <w:pStyle w:val="Heading2"/>
      </w:pPr>
      <w:r>
        <w:tab/>
      </w:r>
      <w:r w:rsidRPr="004F772F">
        <w:t>Breach on the part of the McDonaghs</w:t>
      </w:r>
    </w:p>
    <w:p w14:paraId="6CD85047" w14:textId="77777777" w:rsidR="004F772F" w:rsidRDefault="004F772F" w:rsidP="00D7417D">
      <w:pPr>
        <w:pStyle w:val="ListParagraph"/>
        <w:spacing w:after="0" w:line="480" w:lineRule="auto"/>
        <w:jc w:val="both"/>
        <w:rPr>
          <w:rFonts w:ascii="Times New Roman" w:hAnsi="Times New Roman" w:cs="Times New Roman"/>
          <w:sz w:val="24"/>
          <w:szCs w:val="24"/>
        </w:rPr>
      </w:pPr>
    </w:p>
    <w:p w14:paraId="5BF6A195" w14:textId="2872C959" w:rsidR="004F21F1" w:rsidRPr="002834F8" w:rsidRDefault="004F772F" w:rsidP="00CB5C7B">
      <w:pPr>
        <w:pStyle w:val="ListParagraph"/>
        <w:numPr>
          <w:ilvl w:val="0"/>
          <w:numId w:val="1"/>
        </w:numPr>
        <w:spacing w:after="0" w:line="480" w:lineRule="auto"/>
        <w:ind w:hanging="436"/>
        <w:jc w:val="both"/>
        <w:rPr>
          <w:rFonts w:ascii="Times New Roman" w:hAnsi="Times New Roman" w:cs="Times New Roman"/>
          <w:sz w:val="24"/>
          <w:szCs w:val="24"/>
        </w:rPr>
      </w:pPr>
      <w:r w:rsidRPr="004F21F1">
        <w:rPr>
          <w:rFonts w:ascii="Times New Roman" w:hAnsi="Times New Roman" w:cs="Times New Roman"/>
          <w:sz w:val="24"/>
          <w:szCs w:val="24"/>
        </w:rPr>
        <w:t>The Second and Third Defendants assert that</w:t>
      </w:r>
      <w:r w:rsidR="00074144" w:rsidRPr="004F21F1">
        <w:rPr>
          <w:rFonts w:ascii="Times New Roman" w:hAnsi="Times New Roman" w:cs="Times New Roman"/>
          <w:sz w:val="24"/>
          <w:szCs w:val="24"/>
        </w:rPr>
        <w:t xml:space="preserve"> </w:t>
      </w:r>
      <w:r w:rsidR="00950787" w:rsidRPr="004F21F1">
        <w:rPr>
          <w:rFonts w:ascii="Times New Roman" w:hAnsi="Times New Roman" w:cs="Times New Roman"/>
          <w:sz w:val="24"/>
          <w:szCs w:val="24"/>
        </w:rPr>
        <w:t>“</w:t>
      </w:r>
      <w:r w:rsidR="00950787" w:rsidRPr="004F21F1">
        <w:rPr>
          <w:rFonts w:ascii="Times New Roman" w:hAnsi="Times New Roman" w:cs="Times New Roman"/>
          <w:i/>
          <w:sz w:val="24"/>
          <w:szCs w:val="24"/>
        </w:rPr>
        <w:t>to a large extent</w:t>
      </w:r>
      <w:r w:rsidR="00950787" w:rsidRPr="004F21F1">
        <w:rPr>
          <w:rFonts w:ascii="Times New Roman" w:hAnsi="Times New Roman" w:cs="Times New Roman"/>
          <w:sz w:val="24"/>
          <w:szCs w:val="24"/>
        </w:rPr>
        <w:t>” the breaches relied on by the High Court were alleged breaches by the First Defendant (written submissions, para 9.1).</w:t>
      </w:r>
      <w:r w:rsidRPr="004F21F1">
        <w:rPr>
          <w:rFonts w:ascii="Times New Roman" w:hAnsi="Times New Roman" w:cs="Times New Roman"/>
          <w:sz w:val="24"/>
          <w:szCs w:val="24"/>
        </w:rPr>
        <w:t xml:space="preserve"> </w:t>
      </w:r>
      <w:r w:rsidR="00950787" w:rsidRPr="004F21F1">
        <w:rPr>
          <w:rFonts w:ascii="Times New Roman" w:hAnsi="Times New Roman" w:cs="Times New Roman"/>
          <w:sz w:val="24"/>
          <w:szCs w:val="24"/>
        </w:rPr>
        <w:t xml:space="preserve"> It is then said that the Bank imposed a 7 day deadline for compliance with the Compromise Agreement by letter of 3 September 2014 </w:t>
      </w:r>
      <w:r w:rsidR="00866561" w:rsidRPr="004F21F1">
        <w:rPr>
          <w:rFonts w:ascii="Times New Roman" w:hAnsi="Times New Roman" w:cs="Times New Roman"/>
          <w:sz w:val="24"/>
          <w:szCs w:val="24"/>
        </w:rPr>
        <w:t>which letter itemised a long list of clauses of the Compromise Agreement that (according to the Bank) had not been complied with. That deadline is said to have been “</w:t>
      </w:r>
      <w:r w:rsidR="00866561" w:rsidRPr="004F21F1">
        <w:rPr>
          <w:rFonts w:ascii="Times New Roman" w:hAnsi="Times New Roman" w:cs="Times New Roman"/>
          <w:i/>
          <w:sz w:val="24"/>
          <w:szCs w:val="24"/>
        </w:rPr>
        <w:t>impossible</w:t>
      </w:r>
      <w:r w:rsidR="00866561" w:rsidRPr="004F21F1">
        <w:rPr>
          <w:rFonts w:ascii="Times New Roman" w:hAnsi="Times New Roman" w:cs="Times New Roman"/>
          <w:sz w:val="24"/>
          <w:szCs w:val="24"/>
        </w:rPr>
        <w:t>”, at least as far as the sale of the Kilpeddar Lands was concerned, given the sale to Granja and the Bank’s withdrawal of consent to sale in any event. On that basis, it is said, the Bank was not entitled to rely on the Defendants’ failure to comply with its conditions. Further, and in any event, it is said that it is “</w:t>
      </w:r>
      <w:r w:rsidR="00866561" w:rsidRPr="004F21F1">
        <w:rPr>
          <w:rFonts w:ascii="Times New Roman" w:hAnsi="Times New Roman" w:cs="Times New Roman"/>
          <w:i/>
          <w:sz w:val="24"/>
          <w:szCs w:val="24"/>
        </w:rPr>
        <w:t>long-held principle of law</w:t>
      </w:r>
      <w:r w:rsidR="00866561" w:rsidRPr="004F21F1">
        <w:rPr>
          <w:rFonts w:ascii="Times New Roman" w:hAnsi="Times New Roman" w:cs="Times New Roman"/>
          <w:sz w:val="24"/>
          <w:szCs w:val="24"/>
        </w:rPr>
        <w:t>” that a party to an agreement is not ordinarily entitled to rely upon its own breach of an agreement in order to bring about its end</w:t>
      </w:r>
      <w:r w:rsidR="006F4D85" w:rsidRPr="004F21F1">
        <w:rPr>
          <w:rFonts w:ascii="Times New Roman" w:hAnsi="Times New Roman" w:cs="Times New Roman"/>
          <w:sz w:val="24"/>
          <w:szCs w:val="24"/>
        </w:rPr>
        <w:t xml:space="preserve">. </w:t>
      </w:r>
      <w:r w:rsidR="006F4D85" w:rsidRPr="004F21F1">
        <w:rPr>
          <w:rFonts w:ascii="Times New Roman" w:hAnsi="Times New Roman" w:cs="Times New Roman"/>
          <w:i/>
          <w:sz w:val="24"/>
          <w:szCs w:val="24"/>
        </w:rPr>
        <w:t xml:space="preserve">New Zealand Shipping Company </w:t>
      </w:r>
      <w:r w:rsidR="002834F8" w:rsidRPr="004F21F1">
        <w:rPr>
          <w:rFonts w:ascii="Times New Roman" w:hAnsi="Times New Roman" w:cs="Times New Roman"/>
          <w:i/>
          <w:sz w:val="24"/>
          <w:szCs w:val="24"/>
        </w:rPr>
        <w:t>v Soci</w:t>
      </w:r>
      <w:r w:rsidR="00F15179">
        <w:rPr>
          <w:rFonts w:ascii="Times New Roman" w:hAnsi="Times New Roman" w:cs="Times New Roman"/>
          <w:i/>
          <w:sz w:val="24"/>
          <w:szCs w:val="24"/>
        </w:rPr>
        <w:t>é</w:t>
      </w:r>
      <w:r w:rsidR="002834F8" w:rsidRPr="004F21F1">
        <w:rPr>
          <w:rFonts w:ascii="Times New Roman" w:hAnsi="Times New Roman" w:cs="Times New Roman"/>
          <w:i/>
          <w:sz w:val="24"/>
          <w:szCs w:val="24"/>
        </w:rPr>
        <w:t>t</w:t>
      </w:r>
      <w:r w:rsidR="00F15179">
        <w:rPr>
          <w:rFonts w:ascii="Times New Roman" w:hAnsi="Times New Roman" w:cs="Times New Roman"/>
          <w:i/>
          <w:sz w:val="24"/>
          <w:szCs w:val="24"/>
        </w:rPr>
        <w:t>é</w:t>
      </w:r>
      <w:r w:rsidR="002834F8" w:rsidRPr="004F21F1">
        <w:rPr>
          <w:rFonts w:ascii="Times New Roman" w:hAnsi="Times New Roman" w:cs="Times New Roman"/>
          <w:i/>
          <w:sz w:val="24"/>
          <w:szCs w:val="24"/>
        </w:rPr>
        <w:t xml:space="preserve"> </w:t>
      </w:r>
      <w:r w:rsidR="00F15179">
        <w:rPr>
          <w:rFonts w:ascii="Times New Roman" w:hAnsi="Times New Roman" w:cs="Times New Roman"/>
          <w:i/>
          <w:sz w:val="24"/>
          <w:szCs w:val="24"/>
        </w:rPr>
        <w:t>des</w:t>
      </w:r>
      <w:r w:rsidR="00F15179" w:rsidRPr="004F21F1">
        <w:rPr>
          <w:rFonts w:ascii="Times New Roman" w:hAnsi="Times New Roman" w:cs="Times New Roman"/>
          <w:i/>
          <w:sz w:val="24"/>
          <w:szCs w:val="24"/>
        </w:rPr>
        <w:t xml:space="preserve"> </w:t>
      </w:r>
      <w:r w:rsidR="002834F8" w:rsidRPr="004F21F1">
        <w:rPr>
          <w:rFonts w:ascii="Times New Roman" w:hAnsi="Times New Roman" w:cs="Times New Roman"/>
          <w:i/>
          <w:sz w:val="24"/>
          <w:szCs w:val="24"/>
        </w:rPr>
        <w:t xml:space="preserve">Ateliers et </w:t>
      </w:r>
      <w:proofErr w:type="spellStart"/>
      <w:r w:rsidR="002834F8" w:rsidRPr="004F21F1">
        <w:rPr>
          <w:rFonts w:ascii="Times New Roman" w:hAnsi="Times New Roman" w:cs="Times New Roman"/>
          <w:i/>
          <w:sz w:val="24"/>
          <w:szCs w:val="24"/>
        </w:rPr>
        <w:t>Chantiers</w:t>
      </w:r>
      <w:proofErr w:type="spellEnd"/>
      <w:r w:rsidR="002834F8" w:rsidRPr="004F21F1">
        <w:rPr>
          <w:rFonts w:ascii="Times New Roman" w:hAnsi="Times New Roman" w:cs="Times New Roman"/>
          <w:i/>
          <w:sz w:val="24"/>
          <w:szCs w:val="24"/>
        </w:rPr>
        <w:t xml:space="preserve"> de </w:t>
      </w:r>
      <w:r w:rsidR="002834F8" w:rsidRPr="004F21F1">
        <w:rPr>
          <w:rFonts w:ascii="Times New Roman" w:hAnsi="Times New Roman" w:cs="Times New Roman"/>
          <w:i/>
          <w:sz w:val="24"/>
          <w:szCs w:val="24"/>
        </w:rPr>
        <w:lastRenderedPageBreak/>
        <w:t>France</w:t>
      </w:r>
      <w:r w:rsidR="002834F8" w:rsidRPr="004F21F1">
        <w:rPr>
          <w:rFonts w:ascii="Times New Roman" w:hAnsi="Times New Roman" w:cs="Times New Roman"/>
          <w:sz w:val="24"/>
          <w:szCs w:val="24"/>
        </w:rPr>
        <w:t xml:space="preserve"> [1919] 1 AC 1 and </w:t>
      </w:r>
      <w:r w:rsidR="002834F8" w:rsidRPr="004F21F1">
        <w:rPr>
          <w:rFonts w:ascii="Times New Roman" w:hAnsi="Times New Roman" w:cs="Times New Roman"/>
          <w:i/>
          <w:sz w:val="24"/>
          <w:szCs w:val="24"/>
        </w:rPr>
        <w:t>Extra MSA Services Cobham Limited</w:t>
      </w:r>
      <w:r w:rsidR="002834F8" w:rsidRPr="004F21F1">
        <w:rPr>
          <w:rFonts w:ascii="Times New Roman" w:hAnsi="Times New Roman" w:cs="Times New Roman"/>
          <w:sz w:val="24"/>
          <w:szCs w:val="24"/>
        </w:rPr>
        <w:t xml:space="preserve"> [2011] EWHC 775  (Ch) are cited in support of that proposition</w:t>
      </w:r>
      <w:r w:rsidR="004F21F1">
        <w:rPr>
          <w:rFonts w:ascii="Times New Roman" w:hAnsi="Times New Roman" w:cs="Times New Roman"/>
          <w:sz w:val="24"/>
          <w:szCs w:val="24"/>
        </w:rPr>
        <w:t>.</w:t>
      </w:r>
    </w:p>
    <w:p w14:paraId="3C517F9A" w14:textId="77777777" w:rsidR="00950787" w:rsidRPr="004F21F1" w:rsidRDefault="00950787" w:rsidP="00CB5C7B">
      <w:pPr>
        <w:pStyle w:val="ListParagraph"/>
        <w:spacing w:after="0" w:line="480" w:lineRule="auto"/>
        <w:ind w:hanging="436"/>
        <w:jc w:val="both"/>
        <w:rPr>
          <w:rFonts w:ascii="Times New Roman" w:hAnsi="Times New Roman" w:cs="Times New Roman"/>
          <w:sz w:val="24"/>
          <w:szCs w:val="24"/>
        </w:rPr>
      </w:pPr>
    </w:p>
    <w:p w14:paraId="7ACB7CD7" w14:textId="56A32BCE" w:rsidR="00F61819" w:rsidRDefault="002834F8" w:rsidP="00CB5C7B">
      <w:pPr>
        <w:pStyle w:val="ListParagraph"/>
        <w:numPr>
          <w:ilvl w:val="0"/>
          <w:numId w:val="1"/>
        </w:numPr>
        <w:spacing w:after="0" w:line="480" w:lineRule="auto"/>
        <w:ind w:hanging="436"/>
        <w:jc w:val="both"/>
        <w:rPr>
          <w:rFonts w:ascii="Times New Roman" w:hAnsi="Times New Roman" w:cs="Times New Roman"/>
          <w:sz w:val="24"/>
          <w:szCs w:val="24"/>
        </w:rPr>
      </w:pPr>
      <w:r w:rsidRPr="002834F8">
        <w:rPr>
          <w:rFonts w:ascii="Times New Roman" w:hAnsi="Times New Roman" w:cs="Times New Roman"/>
          <w:sz w:val="24"/>
          <w:szCs w:val="24"/>
        </w:rPr>
        <w:t>There is no</w:t>
      </w:r>
      <w:r>
        <w:rPr>
          <w:rFonts w:ascii="Times New Roman" w:hAnsi="Times New Roman" w:cs="Times New Roman"/>
          <w:sz w:val="24"/>
          <w:szCs w:val="24"/>
        </w:rPr>
        <w:t xml:space="preserve"> doubt that </w:t>
      </w:r>
      <w:r w:rsidRPr="002834F8">
        <w:rPr>
          <w:rFonts w:ascii="Times New Roman" w:hAnsi="Times New Roman" w:cs="Times New Roman"/>
          <w:i/>
          <w:sz w:val="24"/>
          <w:szCs w:val="24"/>
        </w:rPr>
        <w:t>“[</w:t>
      </w:r>
      <w:proofErr w:type="spellStart"/>
      <w:r w:rsidRPr="002834F8">
        <w:rPr>
          <w:rFonts w:ascii="Times New Roman" w:hAnsi="Times New Roman" w:cs="Times New Roman"/>
          <w:i/>
          <w:sz w:val="24"/>
          <w:szCs w:val="24"/>
        </w:rPr>
        <w:t>i</w:t>
      </w:r>
      <w:proofErr w:type="spellEnd"/>
      <w:r w:rsidRPr="002834F8">
        <w:rPr>
          <w:rFonts w:ascii="Times New Roman" w:hAnsi="Times New Roman" w:cs="Times New Roman"/>
          <w:i/>
          <w:sz w:val="24"/>
          <w:szCs w:val="24"/>
        </w:rPr>
        <w:t>]n the absence of clear words there is a presumption that neither of the parties is entitled to benefit from their own breach of contract.”</w:t>
      </w:r>
      <w:r>
        <w:rPr>
          <w:rFonts w:ascii="Times New Roman" w:hAnsi="Times New Roman" w:cs="Times New Roman"/>
          <w:sz w:val="24"/>
          <w:szCs w:val="24"/>
        </w:rPr>
        <w:t xml:space="preserve">  (McDermott et al, </w:t>
      </w:r>
      <w:r w:rsidRPr="002834F8">
        <w:rPr>
          <w:rFonts w:ascii="Times New Roman" w:hAnsi="Times New Roman" w:cs="Times New Roman"/>
          <w:i/>
          <w:sz w:val="24"/>
          <w:szCs w:val="24"/>
        </w:rPr>
        <w:t>Contract Law</w:t>
      </w:r>
      <w:r>
        <w:rPr>
          <w:rFonts w:ascii="Times New Roman" w:hAnsi="Times New Roman" w:cs="Times New Roman"/>
          <w:sz w:val="24"/>
          <w:szCs w:val="24"/>
        </w:rPr>
        <w:t xml:space="preserve"> (2</w:t>
      </w:r>
      <w:r w:rsidRPr="002834F8">
        <w:rPr>
          <w:rFonts w:ascii="Times New Roman" w:hAnsi="Times New Roman" w:cs="Times New Roman"/>
          <w:sz w:val="24"/>
          <w:szCs w:val="24"/>
          <w:vertAlign w:val="superscript"/>
        </w:rPr>
        <w:t>nd</w:t>
      </w:r>
      <w:r>
        <w:rPr>
          <w:rFonts w:ascii="Times New Roman" w:hAnsi="Times New Roman" w:cs="Times New Roman"/>
          <w:sz w:val="24"/>
          <w:szCs w:val="24"/>
        </w:rPr>
        <w:t xml:space="preserve"> ed</w:t>
      </w:r>
      <w:r w:rsidR="00C73EF8">
        <w:rPr>
          <w:rFonts w:ascii="Times New Roman" w:hAnsi="Times New Roman" w:cs="Times New Roman"/>
          <w:sz w:val="24"/>
          <w:szCs w:val="24"/>
        </w:rPr>
        <w:t>.,</w:t>
      </w:r>
      <w:r>
        <w:rPr>
          <w:rFonts w:ascii="Times New Roman" w:hAnsi="Times New Roman" w:cs="Times New Roman"/>
          <w:sz w:val="24"/>
          <w:szCs w:val="24"/>
        </w:rPr>
        <w:t xml:space="preserve"> 2017) at para 10.115). However, how that principle is said to avail the Second and Third Defendants is unclear, having regard to the findings made by the Judge. We have already considered and rejected the suggestion that the Bank’s withdrawal of consent to the sale of the Kilpeddar Lands in June 2014 amounted to a breach of the Compromise Agreement. It did not, in any event, render impossible the Defendants</w:t>
      </w:r>
      <w:r w:rsidR="00F61819">
        <w:rPr>
          <w:rFonts w:ascii="Times New Roman" w:hAnsi="Times New Roman" w:cs="Times New Roman"/>
          <w:sz w:val="24"/>
          <w:szCs w:val="24"/>
        </w:rPr>
        <w:t>’</w:t>
      </w:r>
      <w:r>
        <w:rPr>
          <w:rFonts w:ascii="Times New Roman" w:hAnsi="Times New Roman" w:cs="Times New Roman"/>
          <w:sz w:val="24"/>
          <w:szCs w:val="24"/>
        </w:rPr>
        <w:t xml:space="preserve"> compliance with the Compromise Agreement or excuse the many respects in which they had breached their obligations under the Agreement. </w:t>
      </w:r>
    </w:p>
    <w:p w14:paraId="5A09724E" w14:textId="77777777" w:rsidR="00F61819" w:rsidRDefault="00F61819" w:rsidP="00CB5C7B">
      <w:pPr>
        <w:pStyle w:val="ListParagraph"/>
        <w:spacing w:after="0" w:line="480" w:lineRule="auto"/>
        <w:ind w:hanging="436"/>
        <w:jc w:val="both"/>
        <w:rPr>
          <w:rFonts w:ascii="Times New Roman" w:hAnsi="Times New Roman" w:cs="Times New Roman"/>
          <w:sz w:val="24"/>
          <w:szCs w:val="24"/>
        </w:rPr>
      </w:pPr>
    </w:p>
    <w:p w14:paraId="567B7E63" w14:textId="7C11C4DE" w:rsidR="006F4D85" w:rsidRDefault="002D68A4"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As for “</w:t>
      </w:r>
      <w:r w:rsidRPr="002D68A4">
        <w:rPr>
          <w:rFonts w:ascii="Times New Roman" w:hAnsi="Times New Roman" w:cs="Times New Roman"/>
          <w:i/>
          <w:sz w:val="24"/>
          <w:szCs w:val="24"/>
        </w:rPr>
        <w:t>the fact of sale to Granja</w:t>
      </w:r>
      <w:r>
        <w:rPr>
          <w:rFonts w:ascii="Times New Roman" w:hAnsi="Times New Roman" w:cs="Times New Roman"/>
          <w:sz w:val="24"/>
          <w:szCs w:val="24"/>
        </w:rPr>
        <w:t xml:space="preserve">”, if that sale was a fact as of 3 September 2014 (and the Judge, it will be recalled, found that the Heads of Agreement were probably not signed until October 2014), either it complied with the Compromise Agreement or it did not. If the Bank’s prior consent to such sale was required – as the Judge found to be the case – it was a matter for the Defendants to procure that consent. The Judge found that the Bank never consented to the sale. In fact, it appears that it was never asked to give such consent and </w:t>
      </w:r>
      <w:r w:rsidR="00ED2E40">
        <w:rPr>
          <w:rFonts w:ascii="Times New Roman" w:hAnsi="Times New Roman" w:cs="Times New Roman"/>
          <w:sz w:val="24"/>
          <w:szCs w:val="24"/>
        </w:rPr>
        <w:t xml:space="preserve">did not </w:t>
      </w:r>
      <w:r>
        <w:rPr>
          <w:rFonts w:ascii="Times New Roman" w:hAnsi="Times New Roman" w:cs="Times New Roman"/>
          <w:sz w:val="24"/>
          <w:szCs w:val="24"/>
        </w:rPr>
        <w:t xml:space="preserve">became aware of the purported sale to Granja until 2 October 2014 (Judgment, para 265). By then, of course, the Bank had </w:t>
      </w:r>
      <w:r w:rsidR="00F61819">
        <w:rPr>
          <w:rFonts w:ascii="Times New Roman" w:hAnsi="Times New Roman" w:cs="Times New Roman"/>
          <w:sz w:val="24"/>
          <w:szCs w:val="24"/>
        </w:rPr>
        <w:t xml:space="preserve">demanded payment of the entire debt from the Defendants (on 26 September 2014) and had appointed the Receivers (on 1 October 2014). Even if the Bank had refused consent to the sale to Granja, that would have been an exercise by the Bank of a discretion given </w:t>
      </w:r>
      <w:r w:rsidR="00F61819">
        <w:rPr>
          <w:rFonts w:ascii="Times New Roman" w:hAnsi="Times New Roman" w:cs="Times New Roman"/>
          <w:sz w:val="24"/>
          <w:szCs w:val="24"/>
        </w:rPr>
        <w:lastRenderedPageBreak/>
        <w:t>to it under clause 5(c) of the Mortgage, rather than a breach by it of any provision of the Compromise Agreement.</w:t>
      </w:r>
    </w:p>
    <w:p w14:paraId="5B6BA265" w14:textId="77777777" w:rsidR="00F61819" w:rsidRDefault="00F61819" w:rsidP="00CB5C7B">
      <w:pPr>
        <w:pStyle w:val="ListParagraph"/>
        <w:spacing w:after="0" w:line="480" w:lineRule="auto"/>
        <w:ind w:hanging="436"/>
        <w:jc w:val="both"/>
        <w:rPr>
          <w:rFonts w:ascii="Times New Roman" w:hAnsi="Times New Roman" w:cs="Times New Roman"/>
          <w:sz w:val="24"/>
          <w:szCs w:val="24"/>
        </w:rPr>
      </w:pPr>
    </w:p>
    <w:p w14:paraId="54B3546D" w14:textId="6326957D" w:rsidR="00F61819" w:rsidRDefault="00F61819"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Accordingly, the Second and Third Defendants have not established any breach of the Compromise Agreement by the Bank and the breaches relied on by the Bank  cannot be attributed to any such breach by the Bank. This ground of appeal therefore fails.</w:t>
      </w:r>
    </w:p>
    <w:p w14:paraId="241D0D74" w14:textId="77777777" w:rsidR="00A70D3A" w:rsidRPr="00CB5C7B" w:rsidRDefault="00A70D3A" w:rsidP="00CB5C7B">
      <w:pPr>
        <w:spacing w:after="0" w:line="480" w:lineRule="auto"/>
        <w:jc w:val="both"/>
        <w:rPr>
          <w:rFonts w:ascii="Times New Roman" w:hAnsi="Times New Roman" w:cs="Times New Roman"/>
          <w:sz w:val="24"/>
          <w:szCs w:val="24"/>
        </w:rPr>
      </w:pPr>
    </w:p>
    <w:p w14:paraId="34287631" w14:textId="09AD1417" w:rsidR="00F61819" w:rsidRPr="00F61819" w:rsidRDefault="00F61819" w:rsidP="00272396">
      <w:pPr>
        <w:pStyle w:val="Heading2"/>
      </w:pPr>
      <w:r w:rsidRPr="00F61819">
        <w:t xml:space="preserve">The Right of the High Court to deploy certain findings against the </w:t>
      </w:r>
      <w:r>
        <w:t>First D</w:t>
      </w:r>
      <w:r w:rsidRPr="00F61819">
        <w:t>efendant</w:t>
      </w:r>
      <w:r w:rsidR="00F15179">
        <w:t xml:space="preserve"> as well as</w:t>
      </w:r>
      <w:r w:rsidRPr="00F61819">
        <w:t xml:space="preserve"> the </w:t>
      </w:r>
      <w:r>
        <w:t>Se</w:t>
      </w:r>
      <w:r w:rsidRPr="00F61819">
        <w:t xml:space="preserve">cond and </w:t>
      </w:r>
      <w:r>
        <w:t>Third D</w:t>
      </w:r>
      <w:r w:rsidRPr="00F61819">
        <w:t>efendants.</w:t>
      </w:r>
    </w:p>
    <w:p w14:paraId="30B4980C" w14:textId="77777777" w:rsidR="002834F8" w:rsidRPr="002834F8" w:rsidRDefault="002834F8" w:rsidP="002834F8">
      <w:pPr>
        <w:pStyle w:val="ListParagraph"/>
        <w:spacing w:after="0" w:line="480" w:lineRule="auto"/>
        <w:jc w:val="both"/>
        <w:rPr>
          <w:rFonts w:ascii="Times New Roman" w:hAnsi="Times New Roman" w:cs="Times New Roman"/>
          <w:sz w:val="24"/>
          <w:szCs w:val="24"/>
        </w:rPr>
      </w:pPr>
    </w:p>
    <w:p w14:paraId="25959C5B" w14:textId="0B873678" w:rsidR="00F61819" w:rsidRDefault="00F61819" w:rsidP="00CB5C7B">
      <w:pPr>
        <w:pStyle w:val="ListParagraph"/>
        <w:numPr>
          <w:ilvl w:val="0"/>
          <w:numId w:val="1"/>
        </w:numPr>
        <w:spacing w:after="0" w:line="480" w:lineRule="auto"/>
        <w:ind w:hanging="436"/>
        <w:jc w:val="both"/>
        <w:rPr>
          <w:rFonts w:ascii="Times New Roman" w:hAnsi="Times New Roman" w:cs="Times New Roman"/>
          <w:sz w:val="24"/>
          <w:szCs w:val="24"/>
        </w:rPr>
      </w:pPr>
      <w:r w:rsidRPr="00F61819">
        <w:rPr>
          <w:rFonts w:ascii="Times New Roman" w:hAnsi="Times New Roman" w:cs="Times New Roman"/>
          <w:sz w:val="24"/>
          <w:szCs w:val="24"/>
        </w:rPr>
        <w:t xml:space="preserve">The Second and Third Defendant’s final ground of appeal </w:t>
      </w:r>
      <w:r w:rsidR="00A70D3A">
        <w:rPr>
          <w:rFonts w:ascii="Times New Roman" w:hAnsi="Times New Roman" w:cs="Times New Roman"/>
          <w:sz w:val="24"/>
          <w:szCs w:val="24"/>
        </w:rPr>
        <w:t xml:space="preserve">is to the effect that, the Judge having excluded them from cross-examining the First Defendant, it ought to follow that the Judge’s adverse findings against the First Defendant cannot be deployed against them. </w:t>
      </w:r>
    </w:p>
    <w:p w14:paraId="7DF10047" w14:textId="77777777" w:rsidR="00912957" w:rsidRPr="00A70D3A" w:rsidRDefault="00912957" w:rsidP="00CB5C7B">
      <w:pPr>
        <w:pStyle w:val="ListParagraph"/>
        <w:spacing w:after="0" w:line="480" w:lineRule="auto"/>
        <w:ind w:hanging="436"/>
        <w:jc w:val="both"/>
        <w:rPr>
          <w:rFonts w:ascii="Times New Roman" w:hAnsi="Times New Roman" w:cs="Times New Roman"/>
          <w:b/>
          <w:sz w:val="24"/>
          <w:szCs w:val="24"/>
        </w:rPr>
      </w:pPr>
    </w:p>
    <w:p w14:paraId="3779A540" w14:textId="24EE427F" w:rsidR="00912957" w:rsidRDefault="00912957" w:rsidP="00CB5C7B">
      <w:pPr>
        <w:pStyle w:val="ListParagraph"/>
        <w:numPr>
          <w:ilvl w:val="0"/>
          <w:numId w:val="1"/>
        </w:numPr>
        <w:spacing w:after="0" w:line="480" w:lineRule="auto"/>
        <w:ind w:hanging="436"/>
        <w:jc w:val="both"/>
        <w:rPr>
          <w:rFonts w:ascii="Times New Roman" w:hAnsi="Times New Roman" w:cs="Times New Roman"/>
          <w:sz w:val="24"/>
          <w:szCs w:val="24"/>
        </w:rPr>
      </w:pPr>
      <w:r w:rsidRPr="00912957">
        <w:rPr>
          <w:rFonts w:ascii="Times New Roman" w:hAnsi="Times New Roman" w:cs="Times New Roman"/>
          <w:sz w:val="24"/>
          <w:szCs w:val="24"/>
        </w:rPr>
        <w:t xml:space="preserve">It is necessary to </w:t>
      </w:r>
      <w:r>
        <w:rPr>
          <w:rFonts w:ascii="Times New Roman" w:hAnsi="Times New Roman" w:cs="Times New Roman"/>
          <w:sz w:val="24"/>
          <w:szCs w:val="24"/>
        </w:rPr>
        <w:t xml:space="preserve">explain how this issue arose. On Day 13 of the hearing in the High Court the Bank’s cross-examination of the First Defendant concluded. It was then indicated to the Judge that there was going to be some debate as to whether counsel for the Second and Third Defendants was entitled to cross-examine the First Defendant. Counsel for the Bank then advanced an objection to such cross-examination being permitted </w:t>
      </w:r>
      <w:r w:rsidRPr="00912957">
        <w:rPr>
          <w:rFonts w:ascii="Times New Roman" w:hAnsi="Times New Roman" w:cs="Times New Roman"/>
          <w:i/>
          <w:sz w:val="24"/>
          <w:szCs w:val="24"/>
        </w:rPr>
        <w:t>“based on the fact that the interests of Mr Brian McDonagh are wholly and quintessentially aligned with the interests of Maurice and Kenneth McDonagh.”</w:t>
      </w:r>
      <w:r>
        <w:rPr>
          <w:rStyle w:val="FootnoteReference"/>
          <w:rFonts w:ascii="Times New Roman" w:hAnsi="Times New Roman" w:cs="Times New Roman"/>
          <w:i/>
          <w:sz w:val="24"/>
          <w:szCs w:val="24"/>
        </w:rPr>
        <w:footnoteReference w:id="20"/>
      </w:r>
      <w:r w:rsidRPr="00912957">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Counsel then opened the following passage from Biehler et al, </w:t>
      </w:r>
      <w:r w:rsidRPr="00912957">
        <w:rPr>
          <w:rFonts w:ascii="Times New Roman" w:hAnsi="Times New Roman" w:cs="Times New Roman"/>
          <w:i/>
          <w:sz w:val="24"/>
          <w:szCs w:val="24"/>
        </w:rPr>
        <w:t>Delany and McGrath on Civil Procedure (</w:t>
      </w:r>
      <w:r>
        <w:rPr>
          <w:rFonts w:ascii="Times New Roman" w:hAnsi="Times New Roman" w:cs="Times New Roman"/>
          <w:sz w:val="24"/>
          <w:szCs w:val="24"/>
        </w:rPr>
        <w:t>4</w:t>
      </w:r>
      <w:r w:rsidRPr="00912957">
        <w:rPr>
          <w:rFonts w:ascii="Times New Roman" w:hAnsi="Times New Roman" w:cs="Times New Roman"/>
          <w:sz w:val="24"/>
          <w:szCs w:val="24"/>
          <w:vertAlign w:val="superscript"/>
        </w:rPr>
        <w:t>th</w:t>
      </w:r>
      <w:r>
        <w:rPr>
          <w:rFonts w:ascii="Times New Roman" w:hAnsi="Times New Roman" w:cs="Times New Roman"/>
          <w:sz w:val="24"/>
          <w:szCs w:val="24"/>
        </w:rPr>
        <w:t xml:space="preserve"> ed</w:t>
      </w:r>
      <w:r w:rsidR="00C73EF8">
        <w:rPr>
          <w:rFonts w:ascii="Times New Roman" w:hAnsi="Times New Roman" w:cs="Times New Roman"/>
          <w:sz w:val="24"/>
          <w:szCs w:val="24"/>
        </w:rPr>
        <w:t>.,</w:t>
      </w:r>
      <w:r>
        <w:rPr>
          <w:rFonts w:ascii="Times New Roman" w:hAnsi="Times New Roman" w:cs="Times New Roman"/>
          <w:sz w:val="24"/>
          <w:szCs w:val="24"/>
        </w:rPr>
        <w:t xml:space="preserve"> 2018):</w:t>
      </w:r>
    </w:p>
    <w:p w14:paraId="4B9CDAFB" w14:textId="5B89B3D0" w:rsidR="00912957" w:rsidRDefault="00912957" w:rsidP="00912957">
      <w:pPr>
        <w:pStyle w:val="ListParagraph"/>
        <w:spacing w:after="0" w:line="480" w:lineRule="auto"/>
        <w:jc w:val="both"/>
        <w:rPr>
          <w:rFonts w:ascii="Times New Roman" w:hAnsi="Times New Roman" w:cs="Times New Roman"/>
          <w:sz w:val="24"/>
          <w:szCs w:val="24"/>
        </w:rPr>
      </w:pPr>
    </w:p>
    <w:p w14:paraId="4CC40A3A" w14:textId="48A545E5" w:rsidR="00912957" w:rsidRPr="00FA3CCC" w:rsidRDefault="00912957" w:rsidP="00FA3CCC">
      <w:pPr>
        <w:pStyle w:val="ListParagraph"/>
        <w:spacing w:after="0" w:line="480" w:lineRule="auto"/>
        <w:ind w:left="1418"/>
        <w:jc w:val="both"/>
        <w:rPr>
          <w:rFonts w:ascii="Times New Roman" w:hAnsi="Times New Roman" w:cs="Times New Roman"/>
          <w:i/>
          <w:sz w:val="24"/>
          <w:szCs w:val="24"/>
        </w:rPr>
      </w:pPr>
      <w:r w:rsidRPr="00FA3CCC">
        <w:rPr>
          <w:rFonts w:ascii="Times New Roman" w:hAnsi="Times New Roman" w:cs="Times New Roman"/>
          <w:i/>
          <w:sz w:val="24"/>
          <w:szCs w:val="24"/>
        </w:rPr>
        <w:t>“</w:t>
      </w:r>
      <w:r w:rsidR="00FA3CCC" w:rsidRPr="00FA3CCC">
        <w:rPr>
          <w:rFonts w:ascii="Times New Roman" w:hAnsi="Times New Roman" w:cs="Times New Roman"/>
          <w:i/>
          <w:sz w:val="24"/>
          <w:szCs w:val="24"/>
        </w:rPr>
        <w:t xml:space="preserve">21-35 </w:t>
      </w:r>
      <w:r w:rsidRPr="00FA3CCC">
        <w:rPr>
          <w:rFonts w:ascii="Times New Roman" w:hAnsi="Times New Roman" w:cs="Times New Roman"/>
          <w:i/>
          <w:sz w:val="24"/>
          <w:szCs w:val="24"/>
        </w:rPr>
        <w:t xml:space="preserve">The general rule </w:t>
      </w:r>
      <w:r w:rsidR="00FA3CCC" w:rsidRPr="00FA3CCC">
        <w:rPr>
          <w:rFonts w:ascii="Times New Roman" w:hAnsi="Times New Roman" w:cs="Times New Roman"/>
          <w:i/>
          <w:sz w:val="24"/>
          <w:szCs w:val="24"/>
        </w:rPr>
        <w:t>is that a witness may be examined by all other parties to the proceedings even if the witness has not given any evidence adverse to the interests of the party that wishes to cross-examine him. Thus, a defendant will usually be permitted to cross-examine a co-defendant or a witness called by him subject to a discretion on the part of the judge to refuse to allow such cross-examination where the co-defendants have similar interests.” (footnotes omitted)</w:t>
      </w:r>
    </w:p>
    <w:p w14:paraId="4456BDD5" w14:textId="21FCD598" w:rsidR="00912957" w:rsidRPr="00FA3CCC" w:rsidRDefault="00912957" w:rsidP="00912957">
      <w:pPr>
        <w:pStyle w:val="ListParagraph"/>
        <w:spacing w:after="0" w:line="480" w:lineRule="auto"/>
        <w:jc w:val="both"/>
        <w:rPr>
          <w:rFonts w:ascii="Times New Roman" w:hAnsi="Times New Roman" w:cs="Times New Roman"/>
          <w:sz w:val="24"/>
          <w:szCs w:val="24"/>
        </w:rPr>
      </w:pPr>
    </w:p>
    <w:p w14:paraId="6AD62B9F" w14:textId="6379D36F" w:rsidR="00FA3CCC" w:rsidRDefault="00FA3CCC" w:rsidP="00CB5C7B">
      <w:pPr>
        <w:pStyle w:val="ListParagraph"/>
        <w:numPr>
          <w:ilvl w:val="0"/>
          <w:numId w:val="1"/>
        </w:numPr>
        <w:spacing w:after="0" w:line="480" w:lineRule="auto"/>
        <w:ind w:hanging="436"/>
        <w:jc w:val="both"/>
        <w:rPr>
          <w:rFonts w:ascii="Times New Roman" w:hAnsi="Times New Roman" w:cs="Times New Roman"/>
          <w:sz w:val="24"/>
          <w:szCs w:val="24"/>
        </w:rPr>
      </w:pPr>
      <w:r w:rsidRPr="00FA3CCC">
        <w:rPr>
          <w:rFonts w:ascii="Times New Roman" w:hAnsi="Times New Roman" w:cs="Times New Roman"/>
          <w:sz w:val="24"/>
          <w:szCs w:val="24"/>
        </w:rPr>
        <w:t>Counsel for the Bank, while acknowledging the general rule</w:t>
      </w:r>
      <w:r>
        <w:rPr>
          <w:rFonts w:ascii="Times New Roman" w:hAnsi="Times New Roman" w:cs="Times New Roman"/>
          <w:sz w:val="24"/>
          <w:szCs w:val="24"/>
        </w:rPr>
        <w:t>, relied on the statement that the judge has a discretion to refuse cross-examination where co-defendants had similar interests. That statement is supported by the citation of two Canadian decisions,</w:t>
      </w:r>
      <w:r w:rsidRPr="00FA3CCC">
        <w:rPr>
          <w:rFonts w:ascii="Times New Roman" w:hAnsi="Times New Roman" w:cs="Times New Roman"/>
          <w:i/>
          <w:sz w:val="24"/>
          <w:szCs w:val="24"/>
        </w:rPr>
        <w:t xml:space="preserve"> Millar v BC Rapid Transit Co</w:t>
      </w:r>
      <w:r>
        <w:rPr>
          <w:rFonts w:ascii="Times New Roman" w:hAnsi="Times New Roman" w:cs="Times New Roman"/>
          <w:sz w:val="24"/>
          <w:szCs w:val="24"/>
        </w:rPr>
        <w:t xml:space="preserve"> [1926] 1 DLR 1171 and </w:t>
      </w:r>
      <w:proofErr w:type="spellStart"/>
      <w:r w:rsidR="00C73EF8">
        <w:rPr>
          <w:rFonts w:ascii="Times New Roman" w:hAnsi="Times New Roman" w:cs="Times New Roman"/>
          <w:i/>
          <w:sz w:val="24"/>
          <w:szCs w:val="24"/>
        </w:rPr>
        <w:t>Losier</w:t>
      </w:r>
      <w:proofErr w:type="spellEnd"/>
      <w:r w:rsidR="00C73EF8" w:rsidRPr="00FA3CCC">
        <w:rPr>
          <w:rFonts w:ascii="Times New Roman" w:hAnsi="Times New Roman" w:cs="Times New Roman"/>
          <w:i/>
          <w:sz w:val="24"/>
          <w:szCs w:val="24"/>
        </w:rPr>
        <w:t xml:space="preserve"> </w:t>
      </w:r>
      <w:r w:rsidRPr="00FA3CCC">
        <w:rPr>
          <w:rFonts w:ascii="Times New Roman" w:hAnsi="Times New Roman" w:cs="Times New Roman"/>
          <w:i/>
          <w:sz w:val="24"/>
          <w:szCs w:val="24"/>
        </w:rPr>
        <w:t>v Clement</w:t>
      </w:r>
      <w:r>
        <w:rPr>
          <w:rFonts w:ascii="Times New Roman" w:hAnsi="Times New Roman" w:cs="Times New Roman"/>
          <w:sz w:val="24"/>
          <w:szCs w:val="24"/>
        </w:rPr>
        <w:t xml:space="preserve"> (1970) 18 DLR (3d) 185</w:t>
      </w:r>
      <w:r w:rsidR="00FD6D43">
        <w:rPr>
          <w:rFonts w:ascii="Times New Roman" w:hAnsi="Times New Roman" w:cs="Times New Roman"/>
          <w:sz w:val="24"/>
          <w:szCs w:val="24"/>
        </w:rPr>
        <w:t xml:space="preserve">. Counsel opened </w:t>
      </w:r>
      <w:r w:rsidR="00FD6D43" w:rsidRPr="00FA3CCC">
        <w:rPr>
          <w:rFonts w:ascii="Times New Roman" w:hAnsi="Times New Roman" w:cs="Times New Roman"/>
          <w:i/>
          <w:sz w:val="24"/>
          <w:szCs w:val="24"/>
        </w:rPr>
        <w:t>Millar v BC Rapid Transit Co</w:t>
      </w:r>
      <w:r w:rsidR="00FD6D43">
        <w:rPr>
          <w:rFonts w:ascii="Times New Roman" w:hAnsi="Times New Roman" w:cs="Times New Roman"/>
          <w:i/>
          <w:sz w:val="24"/>
          <w:szCs w:val="24"/>
        </w:rPr>
        <w:t xml:space="preserve"> </w:t>
      </w:r>
      <w:r w:rsidR="00FD6D43">
        <w:rPr>
          <w:rFonts w:ascii="Times New Roman" w:hAnsi="Times New Roman" w:cs="Times New Roman"/>
          <w:sz w:val="24"/>
          <w:szCs w:val="24"/>
        </w:rPr>
        <w:t xml:space="preserve">as well as two subsequent decisions referring to it which, in his submission, </w:t>
      </w:r>
      <w:r w:rsidR="00A25305">
        <w:rPr>
          <w:rFonts w:ascii="Times New Roman" w:hAnsi="Times New Roman" w:cs="Times New Roman"/>
          <w:sz w:val="24"/>
          <w:szCs w:val="24"/>
        </w:rPr>
        <w:t>supported the contention that the Second and Third Defendants should not be permitted to cross-examine the First Defendant given that “</w:t>
      </w:r>
      <w:r w:rsidR="00A25305" w:rsidRPr="00A25305">
        <w:rPr>
          <w:rFonts w:ascii="Times New Roman" w:hAnsi="Times New Roman" w:cs="Times New Roman"/>
          <w:i/>
          <w:sz w:val="24"/>
          <w:szCs w:val="24"/>
        </w:rPr>
        <w:t>inter se between the three defendants, their interests are wholly and utterly aligned.”</w:t>
      </w:r>
    </w:p>
    <w:p w14:paraId="3D752DAE" w14:textId="77777777" w:rsidR="00FD6D43" w:rsidRPr="00FA3CCC" w:rsidRDefault="00FD6D43" w:rsidP="00CB5C7B">
      <w:pPr>
        <w:pStyle w:val="ListParagraph"/>
        <w:spacing w:after="0" w:line="480" w:lineRule="auto"/>
        <w:ind w:hanging="436"/>
        <w:jc w:val="both"/>
        <w:rPr>
          <w:rFonts w:ascii="Times New Roman" w:hAnsi="Times New Roman" w:cs="Times New Roman"/>
          <w:sz w:val="24"/>
          <w:szCs w:val="24"/>
        </w:rPr>
      </w:pPr>
    </w:p>
    <w:p w14:paraId="1FC3FD47" w14:textId="331A681E" w:rsidR="00F5302C" w:rsidRPr="0071127E" w:rsidRDefault="00A25305" w:rsidP="00CB5C7B">
      <w:pPr>
        <w:pStyle w:val="ListParagraph"/>
        <w:numPr>
          <w:ilvl w:val="0"/>
          <w:numId w:val="1"/>
        </w:numPr>
        <w:spacing w:after="0" w:line="480" w:lineRule="auto"/>
        <w:ind w:hanging="436"/>
        <w:jc w:val="both"/>
        <w:rPr>
          <w:rFonts w:ascii="Times New Roman" w:hAnsi="Times New Roman" w:cs="Times New Roman"/>
          <w:b/>
          <w:sz w:val="24"/>
          <w:szCs w:val="24"/>
        </w:rPr>
      </w:pPr>
      <w:r>
        <w:rPr>
          <w:rFonts w:ascii="Times New Roman" w:hAnsi="Times New Roman" w:cs="Times New Roman"/>
          <w:sz w:val="24"/>
          <w:szCs w:val="24"/>
        </w:rPr>
        <w:t>In response, counsel for the Second and Third Defendants referred to</w:t>
      </w:r>
      <w:r w:rsidRPr="00A25305">
        <w:rPr>
          <w:rFonts w:ascii="Times New Roman" w:hAnsi="Times New Roman" w:cs="Times New Roman"/>
          <w:i/>
          <w:sz w:val="24"/>
          <w:szCs w:val="24"/>
        </w:rPr>
        <w:t xml:space="preserve"> </w:t>
      </w:r>
      <w:r w:rsidRPr="00A70D3A">
        <w:rPr>
          <w:rFonts w:ascii="Times New Roman" w:hAnsi="Times New Roman" w:cs="Times New Roman"/>
          <w:i/>
          <w:sz w:val="24"/>
          <w:szCs w:val="24"/>
        </w:rPr>
        <w:t>Allen v Allen</w:t>
      </w:r>
      <w:r>
        <w:rPr>
          <w:rFonts w:ascii="Times New Roman" w:hAnsi="Times New Roman" w:cs="Times New Roman"/>
          <w:sz w:val="24"/>
          <w:szCs w:val="24"/>
        </w:rPr>
        <w:t xml:space="preserve"> [1894] P 248 and </w:t>
      </w:r>
      <w:r w:rsidRPr="00A70D3A">
        <w:rPr>
          <w:rFonts w:ascii="Times New Roman" w:hAnsi="Times New Roman" w:cs="Times New Roman"/>
          <w:i/>
          <w:sz w:val="24"/>
          <w:szCs w:val="24"/>
        </w:rPr>
        <w:t>Chi</w:t>
      </w:r>
      <w:r w:rsidR="006C3EAC">
        <w:rPr>
          <w:rFonts w:ascii="Times New Roman" w:hAnsi="Times New Roman" w:cs="Times New Roman"/>
          <w:i/>
          <w:sz w:val="24"/>
          <w:szCs w:val="24"/>
        </w:rPr>
        <w:t>l</w:t>
      </w:r>
      <w:r w:rsidRPr="00A70D3A">
        <w:rPr>
          <w:rFonts w:ascii="Times New Roman" w:hAnsi="Times New Roman" w:cs="Times New Roman"/>
          <w:i/>
          <w:sz w:val="24"/>
          <w:szCs w:val="24"/>
        </w:rPr>
        <w:t xml:space="preserve">ton v Saga </w:t>
      </w:r>
      <w:r w:rsidR="00C73EF8">
        <w:rPr>
          <w:rFonts w:ascii="Times New Roman" w:hAnsi="Times New Roman" w:cs="Times New Roman"/>
          <w:i/>
          <w:sz w:val="24"/>
          <w:szCs w:val="24"/>
        </w:rPr>
        <w:t>Holidays</w:t>
      </w:r>
      <w:r w:rsidR="00C73EF8">
        <w:rPr>
          <w:rFonts w:ascii="Times New Roman" w:hAnsi="Times New Roman" w:cs="Times New Roman"/>
          <w:sz w:val="24"/>
          <w:szCs w:val="24"/>
        </w:rPr>
        <w:t xml:space="preserve"> </w:t>
      </w:r>
      <w:r>
        <w:rPr>
          <w:rFonts w:ascii="Times New Roman" w:hAnsi="Times New Roman" w:cs="Times New Roman"/>
          <w:sz w:val="24"/>
          <w:szCs w:val="24"/>
        </w:rPr>
        <w:t xml:space="preserve">[1986] 1 All ER 841. </w:t>
      </w:r>
      <w:r w:rsidR="00381BAF">
        <w:rPr>
          <w:rFonts w:ascii="Times New Roman" w:hAnsi="Times New Roman" w:cs="Times New Roman"/>
          <w:sz w:val="24"/>
          <w:szCs w:val="24"/>
        </w:rPr>
        <w:t>He accepted that the Court had “</w:t>
      </w:r>
      <w:r w:rsidR="00381BAF" w:rsidRPr="00381BAF">
        <w:rPr>
          <w:rFonts w:ascii="Times New Roman" w:hAnsi="Times New Roman" w:cs="Times New Roman"/>
          <w:i/>
          <w:sz w:val="24"/>
          <w:szCs w:val="24"/>
        </w:rPr>
        <w:t xml:space="preserve">a jurisdiction to fetter the right to cross-examination in any case such as </w:t>
      </w:r>
      <w:r w:rsidR="00381BAF" w:rsidRPr="00381BAF">
        <w:rPr>
          <w:rFonts w:ascii="Times New Roman" w:hAnsi="Times New Roman" w:cs="Times New Roman"/>
          <w:i/>
          <w:sz w:val="24"/>
          <w:szCs w:val="24"/>
        </w:rPr>
        <w:lastRenderedPageBreak/>
        <w:t>this”</w:t>
      </w:r>
      <w:r w:rsidR="00381BAF">
        <w:rPr>
          <w:rFonts w:ascii="Times New Roman" w:hAnsi="Times New Roman" w:cs="Times New Roman"/>
          <w:sz w:val="24"/>
          <w:szCs w:val="24"/>
        </w:rPr>
        <w:t xml:space="preserve"> and the focus of his submission was on the consequences that would follow if that jurisdiction was exercised. He was, he said, “</w:t>
      </w:r>
      <w:r w:rsidR="00381BAF" w:rsidRPr="00381BAF">
        <w:rPr>
          <w:rFonts w:ascii="Times New Roman" w:hAnsi="Times New Roman" w:cs="Times New Roman"/>
          <w:i/>
          <w:sz w:val="24"/>
          <w:szCs w:val="24"/>
        </w:rPr>
        <w:t>more than happy</w:t>
      </w:r>
      <w:r w:rsidR="00381BAF">
        <w:rPr>
          <w:rFonts w:ascii="Times New Roman" w:hAnsi="Times New Roman" w:cs="Times New Roman"/>
          <w:sz w:val="24"/>
          <w:szCs w:val="24"/>
        </w:rPr>
        <w:t xml:space="preserve">” if the Court restricted his right to cross-examine </w:t>
      </w:r>
      <w:r w:rsidR="00A751C8">
        <w:rPr>
          <w:rFonts w:ascii="Times New Roman" w:hAnsi="Times New Roman" w:cs="Times New Roman"/>
          <w:sz w:val="24"/>
          <w:szCs w:val="24"/>
        </w:rPr>
        <w:t xml:space="preserve">Brian </w:t>
      </w:r>
      <w:r w:rsidR="00381BAF">
        <w:rPr>
          <w:rFonts w:ascii="Times New Roman" w:hAnsi="Times New Roman" w:cs="Times New Roman"/>
          <w:sz w:val="24"/>
          <w:szCs w:val="24"/>
        </w:rPr>
        <w:t>McDonagh but he indicated that, in that event, he would “</w:t>
      </w:r>
      <w:r w:rsidR="00381BAF" w:rsidRPr="00381BAF">
        <w:rPr>
          <w:rFonts w:ascii="Times New Roman" w:hAnsi="Times New Roman" w:cs="Times New Roman"/>
          <w:i/>
          <w:sz w:val="24"/>
          <w:szCs w:val="24"/>
        </w:rPr>
        <w:t>advance, and it will leave an interesting conundrum for the Court, that that evidence cannot be deployed against me in any finding that the Court makes at the conclusion of the evidence in general</w:t>
      </w:r>
      <w:r w:rsidR="00381BAF">
        <w:rPr>
          <w:rFonts w:ascii="Times New Roman" w:hAnsi="Times New Roman" w:cs="Times New Roman"/>
          <w:sz w:val="24"/>
          <w:szCs w:val="24"/>
        </w:rPr>
        <w:t xml:space="preserve">.” </w:t>
      </w:r>
      <w:r w:rsidR="00381BAF">
        <w:rPr>
          <w:rStyle w:val="FootnoteReference"/>
          <w:rFonts w:ascii="Times New Roman" w:hAnsi="Times New Roman" w:cs="Times New Roman"/>
          <w:sz w:val="24"/>
          <w:szCs w:val="24"/>
        </w:rPr>
        <w:footnoteReference w:id="21"/>
      </w:r>
    </w:p>
    <w:p w14:paraId="3CD842AB" w14:textId="77777777" w:rsidR="0071127E" w:rsidRPr="00F5302C" w:rsidRDefault="0071127E" w:rsidP="00CB5C7B">
      <w:pPr>
        <w:pStyle w:val="ListParagraph"/>
        <w:spacing w:after="0" w:line="480" w:lineRule="auto"/>
        <w:ind w:hanging="436"/>
        <w:jc w:val="both"/>
        <w:rPr>
          <w:rFonts w:ascii="Times New Roman" w:hAnsi="Times New Roman" w:cs="Times New Roman"/>
          <w:b/>
          <w:sz w:val="24"/>
          <w:szCs w:val="24"/>
        </w:rPr>
      </w:pPr>
    </w:p>
    <w:p w14:paraId="4F826499" w14:textId="67C4206D" w:rsidR="00F5302C" w:rsidRPr="0071127E" w:rsidRDefault="00381BAF" w:rsidP="00CB5C7B">
      <w:pPr>
        <w:pStyle w:val="ListParagraph"/>
        <w:numPr>
          <w:ilvl w:val="0"/>
          <w:numId w:val="1"/>
        </w:numPr>
        <w:spacing w:after="0" w:line="480" w:lineRule="auto"/>
        <w:ind w:hanging="436"/>
        <w:jc w:val="both"/>
        <w:rPr>
          <w:rFonts w:ascii="Times New Roman" w:hAnsi="Times New Roman" w:cs="Times New Roman"/>
          <w:b/>
          <w:sz w:val="24"/>
          <w:szCs w:val="24"/>
        </w:rPr>
      </w:pPr>
      <w:r>
        <w:rPr>
          <w:rFonts w:ascii="Times New Roman" w:hAnsi="Times New Roman" w:cs="Times New Roman"/>
          <w:sz w:val="24"/>
          <w:szCs w:val="24"/>
        </w:rPr>
        <w:t xml:space="preserve">The Judge then ruled that that cross-examination should not be permitted given that the interests of the Defendants were aligned and having regard to the fact that Brian McDonagh had not given any evidence contrary to the interests of his brothers. </w:t>
      </w:r>
    </w:p>
    <w:p w14:paraId="585A308D" w14:textId="77777777" w:rsidR="0071127E" w:rsidRPr="00F5302C" w:rsidRDefault="0071127E" w:rsidP="00CB5C7B">
      <w:pPr>
        <w:pStyle w:val="ListParagraph"/>
        <w:spacing w:after="0" w:line="480" w:lineRule="auto"/>
        <w:ind w:hanging="436"/>
        <w:jc w:val="both"/>
        <w:rPr>
          <w:rFonts w:ascii="Times New Roman" w:hAnsi="Times New Roman" w:cs="Times New Roman"/>
          <w:b/>
          <w:sz w:val="24"/>
          <w:szCs w:val="24"/>
        </w:rPr>
      </w:pPr>
    </w:p>
    <w:p w14:paraId="17056B70" w14:textId="1719120E" w:rsidR="0071127E" w:rsidRPr="0071127E" w:rsidRDefault="008F519D" w:rsidP="00CB5C7B">
      <w:pPr>
        <w:pStyle w:val="ListParagraph"/>
        <w:numPr>
          <w:ilvl w:val="0"/>
          <w:numId w:val="1"/>
        </w:numPr>
        <w:spacing w:after="0" w:line="480" w:lineRule="auto"/>
        <w:ind w:hanging="436"/>
        <w:jc w:val="both"/>
        <w:rPr>
          <w:rFonts w:ascii="Times New Roman" w:hAnsi="Times New Roman" w:cs="Times New Roman"/>
          <w:b/>
          <w:sz w:val="24"/>
          <w:szCs w:val="24"/>
        </w:rPr>
      </w:pPr>
      <w:r>
        <w:rPr>
          <w:rFonts w:ascii="Times New Roman" w:hAnsi="Times New Roman" w:cs="Times New Roman"/>
          <w:sz w:val="24"/>
          <w:szCs w:val="24"/>
        </w:rPr>
        <w:t>Before this Court the Second and Third Defendants did not challenge the Judge’s decision not to permit them to cross-examine the First Defendant. Instead, their contention was that the Judge had wrongly “</w:t>
      </w:r>
      <w:r w:rsidRPr="008F519D">
        <w:rPr>
          <w:rFonts w:ascii="Times New Roman" w:hAnsi="Times New Roman" w:cs="Times New Roman"/>
          <w:i/>
          <w:sz w:val="24"/>
          <w:szCs w:val="24"/>
        </w:rPr>
        <w:t>deployed</w:t>
      </w:r>
      <w:r>
        <w:rPr>
          <w:rFonts w:ascii="Times New Roman" w:hAnsi="Times New Roman" w:cs="Times New Roman"/>
          <w:sz w:val="24"/>
          <w:szCs w:val="24"/>
        </w:rPr>
        <w:t>” the adverse findings it had made about the conduct of the First Defendant – based (</w:t>
      </w:r>
      <w:r w:rsidRPr="008F519D">
        <w:rPr>
          <w:rFonts w:ascii="Times New Roman" w:hAnsi="Times New Roman" w:cs="Times New Roman"/>
          <w:i/>
          <w:sz w:val="24"/>
          <w:szCs w:val="24"/>
        </w:rPr>
        <w:t>inter alia</w:t>
      </w:r>
      <w:r>
        <w:rPr>
          <w:rFonts w:ascii="Times New Roman" w:hAnsi="Times New Roman" w:cs="Times New Roman"/>
          <w:sz w:val="24"/>
          <w:szCs w:val="24"/>
        </w:rPr>
        <w:t xml:space="preserve">) on the evidence given by him -  against them. That, it was said, was a breach of the principle in </w:t>
      </w:r>
      <w:r w:rsidRPr="008F519D">
        <w:rPr>
          <w:rFonts w:ascii="Times New Roman" w:hAnsi="Times New Roman" w:cs="Times New Roman"/>
          <w:i/>
          <w:sz w:val="24"/>
          <w:szCs w:val="24"/>
        </w:rPr>
        <w:t>Allen v Allen</w:t>
      </w:r>
      <w:r>
        <w:rPr>
          <w:rFonts w:ascii="Times New Roman" w:hAnsi="Times New Roman" w:cs="Times New Roman"/>
          <w:sz w:val="24"/>
          <w:szCs w:val="24"/>
        </w:rPr>
        <w:t xml:space="preserve"> and  </w:t>
      </w:r>
      <w:r w:rsidRPr="00A70D3A">
        <w:rPr>
          <w:rFonts w:ascii="Times New Roman" w:hAnsi="Times New Roman" w:cs="Times New Roman"/>
          <w:i/>
          <w:sz w:val="24"/>
          <w:szCs w:val="24"/>
        </w:rPr>
        <w:t>Chi</w:t>
      </w:r>
      <w:r w:rsidR="006C3EAC">
        <w:rPr>
          <w:rFonts w:ascii="Times New Roman" w:hAnsi="Times New Roman" w:cs="Times New Roman"/>
          <w:i/>
          <w:sz w:val="24"/>
          <w:szCs w:val="24"/>
        </w:rPr>
        <w:t>l</w:t>
      </w:r>
      <w:r w:rsidRPr="00A70D3A">
        <w:rPr>
          <w:rFonts w:ascii="Times New Roman" w:hAnsi="Times New Roman" w:cs="Times New Roman"/>
          <w:i/>
          <w:sz w:val="24"/>
          <w:szCs w:val="24"/>
        </w:rPr>
        <w:t xml:space="preserve">ton v Saga </w:t>
      </w:r>
      <w:r w:rsidR="00A751C8">
        <w:rPr>
          <w:rFonts w:ascii="Times New Roman" w:hAnsi="Times New Roman" w:cs="Times New Roman"/>
          <w:i/>
          <w:sz w:val="24"/>
          <w:szCs w:val="24"/>
        </w:rPr>
        <w:t>Holidays</w:t>
      </w:r>
      <w:r w:rsidR="00A94B8E">
        <w:rPr>
          <w:rFonts w:ascii="Times New Roman" w:hAnsi="Times New Roman" w:cs="Times New Roman"/>
          <w:sz w:val="24"/>
          <w:szCs w:val="24"/>
        </w:rPr>
        <w:t xml:space="preserve">. In </w:t>
      </w:r>
      <w:r w:rsidR="00A94B8E" w:rsidRPr="00A94B8E">
        <w:rPr>
          <w:rFonts w:ascii="Times New Roman" w:hAnsi="Times New Roman" w:cs="Times New Roman"/>
          <w:i/>
          <w:sz w:val="24"/>
          <w:szCs w:val="24"/>
        </w:rPr>
        <w:t>Allen v Allen</w:t>
      </w:r>
      <w:r w:rsidR="00A94B8E">
        <w:rPr>
          <w:rFonts w:ascii="Times New Roman" w:hAnsi="Times New Roman" w:cs="Times New Roman"/>
          <w:sz w:val="24"/>
          <w:szCs w:val="24"/>
        </w:rPr>
        <w:t xml:space="preserve">, Lopes LJ emphasised that it was </w:t>
      </w:r>
      <w:r w:rsidR="00A94B8E" w:rsidRPr="00A94B8E">
        <w:rPr>
          <w:rFonts w:ascii="Times New Roman" w:hAnsi="Times New Roman" w:cs="Times New Roman"/>
          <w:i/>
          <w:sz w:val="24"/>
          <w:szCs w:val="24"/>
        </w:rPr>
        <w:t>“contrary to all rules of evidence, and opposed to natural justice, that the evidence of one party should be received as evidence against another party, without the latter having an opportunity to testing its truthfulness by cross-examination</w:t>
      </w:r>
      <w:r w:rsidR="00A94B8E">
        <w:rPr>
          <w:rFonts w:ascii="Times New Roman" w:hAnsi="Times New Roman" w:cs="Times New Roman"/>
          <w:i/>
          <w:sz w:val="24"/>
          <w:szCs w:val="24"/>
        </w:rPr>
        <w:t xml:space="preserve">” </w:t>
      </w:r>
      <w:r w:rsidR="00A94B8E">
        <w:rPr>
          <w:rFonts w:ascii="Times New Roman" w:hAnsi="Times New Roman" w:cs="Times New Roman"/>
          <w:sz w:val="24"/>
          <w:szCs w:val="24"/>
        </w:rPr>
        <w:t>(at 253)</w:t>
      </w:r>
      <w:r w:rsidR="004F21F1">
        <w:rPr>
          <w:rFonts w:ascii="Times New Roman" w:hAnsi="Times New Roman" w:cs="Times New Roman"/>
          <w:sz w:val="24"/>
          <w:szCs w:val="24"/>
        </w:rPr>
        <w:t xml:space="preserve">. </w:t>
      </w:r>
      <w:r w:rsidR="00A94B8E">
        <w:rPr>
          <w:rFonts w:ascii="Times New Roman" w:hAnsi="Times New Roman" w:cs="Times New Roman"/>
          <w:sz w:val="24"/>
          <w:szCs w:val="24"/>
        </w:rPr>
        <w:t xml:space="preserve"> That was, it was said, precisely the error the Judge here had made.</w:t>
      </w:r>
    </w:p>
    <w:p w14:paraId="45F775D6" w14:textId="77777777" w:rsidR="0071127E" w:rsidRPr="0071127E" w:rsidRDefault="0071127E" w:rsidP="00CB5C7B">
      <w:pPr>
        <w:pStyle w:val="ListParagraph"/>
        <w:ind w:hanging="436"/>
        <w:rPr>
          <w:rFonts w:ascii="Times New Roman" w:hAnsi="Times New Roman" w:cs="Times New Roman"/>
          <w:b/>
          <w:sz w:val="24"/>
          <w:szCs w:val="24"/>
        </w:rPr>
      </w:pPr>
    </w:p>
    <w:p w14:paraId="38E1AD34" w14:textId="37D65DAE" w:rsidR="00E67F80" w:rsidRDefault="00A94B8E" w:rsidP="00CB5C7B">
      <w:pPr>
        <w:pStyle w:val="ListParagraph"/>
        <w:numPr>
          <w:ilvl w:val="0"/>
          <w:numId w:val="1"/>
        </w:numPr>
        <w:spacing w:after="0" w:line="480" w:lineRule="auto"/>
        <w:ind w:hanging="436"/>
        <w:jc w:val="both"/>
        <w:rPr>
          <w:rFonts w:ascii="Times New Roman" w:hAnsi="Times New Roman" w:cs="Times New Roman"/>
          <w:sz w:val="24"/>
          <w:szCs w:val="24"/>
        </w:rPr>
      </w:pPr>
      <w:r w:rsidRPr="00A94B8E">
        <w:rPr>
          <w:rFonts w:ascii="Times New Roman" w:hAnsi="Times New Roman" w:cs="Times New Roman"/>
          <w:sz w:val="24"/>
          <w:szCs w:val="24"/>
        </w:rPr>
        <w:lastRenderedPageBreak/>
        <w:t>We do not a</w:t>
      </w:r>
      <w:r>
        <w:rPr>
          <w:rFonts w:ascii="Times New Roman" w:hAnsi="Times New Roman" w:cs="Times New Roman"/>
          <w:sz w:val="24"/>
          <w:szCs w:val="24"/>
        </w:rPr>
        <w:t xml:space="preserve">gree. There are a number of </w:t>
      </w:r>
      <w:r w:rsidR="004F21F1">
        <w:rPr>
          <w:rFonts w:ascii="Times New Roman" w:hAnsi="Times New Roman" w:cs="Times New Roman"/>
          <w:sz w:val="24"/>
          <w:szCs w:val="24"/>
        </w:rPr>
        <w:t xml:space="preserve">relevant </w:t>
      </w:r>
      <w:r>
        <w:rPr>
          <w:rFonts w:ascii="Times New Roman" w:hAnsi="Times New Roman" w:cs="Times New Roman"/>
          <w:sz w:val="24"/>
          <w:szCs w:val="24"/>
        </w:rPr>
        <w:t xml:space="preserve">points. The first, and, if we may say obvious point is that the Judge found that the Second and Third Defendants were </w:t>
      </w:r>
      <w:r w:rsidR="006C3EAC">
        <w:rPr>
          <w:rFonts w:ascii="Times New Roman" w:hAnsi="Times New Roman" w:cs="Times New Roman"/>
          <w:sz w:val="24"/>
          <w:szCs w:val="24"/>
        </w:rPr>
        <w:t xml:space="preserve">themselves </w:t>
      </w:r>
      <w:r>
        <w:rPr>
          <w:rFonts w:ascii="Times New Roman" w:hAnsi="Times New Roman" w:cs="Times New Roman"/>
          <w:sz w:val="24"/>
          <w:szCs w:val="24"/>
        </w:rPr>
        <w:t xml:space="preserve">in breach of the Compromise Agreement: see the summary in para [15] </w:t>
      </w:r>
      <w:r w:rsidR="007C06CF">
        <w:rPr>
          <w:rFonts w:ascii="Times New Roman" w:hAnsi="Times New Roman" w:cs="Times New Roman"/>
          <w:sz w:val="24"/>
          <w:szCs w:val="24"/>
        </w:rPr>
        <w:t>above</w:t>
      </w:r>
      <w:r>
        <w:rPr>
          <w:rFonts w:ascii="Times New Roman" w:hAnsi="Times New Roman" w:cs="Times New Roman"/>
          <w:sz w:val="24"/>
          <w:szCs w:val="24"/>
        </w:rPr>
        <w:t>. Those findings were not dependent upon the Judge’s findings as to the breaches of the First Defendant</w:t>
      </w:r>
      <w:r w:rsidR="007C06CF">
        <w:rPr>
          <w:rFonts w:ascii="Times New Roman" w:hAnsi="Times New Roman" w:cs="Times New Roman"/>
          <w:sz w:val="24"/>
          <w:szCs w:val="24"/>
        </w:rPr>
        <w:t xml:space="preserve">. On the Judge’s analysis of the Compromise Agreement, and in particular the effect  of clause 3.1.3 and clause 4 – and </w:t>
      </w:r>
      <w:r w:rsidR="00D0555D">
        <w:rPr>
          <w:rFonts w:ascii="Times New Roman" w:hAnsi="Times New Roman" w:cs="Times New Roman"/>
          <w:sz w:val="24"/>
          <w:szCs w:val="24"/>
        </w:rPr>
        <w:t xml:space="preserve">his </w:t>
      </w:r>
      <w:r w:rsidR="007C06CF">
        <w:rPr>
          <w:rFonts w:ascii="Times New Roman" w:hAnsi="Times New Roman" w:cs="Times New Roman"/>
          <w:sz w:val="24"/>
          <w:szCs w:val="24"/>
        </w:rPr>
        <w:t xml:space="preserve">analysis </w:t>
      </w:r>
      <w:r w:rsidR="00D0555D">
        <w:rPr>
          <w:rFonts w:ascii="Times New Roman" w:hAnsi="Times New Roman" w:cs="Times New Roman"/>
          <w:sz w:val="24"/>
          <w:szCs w:val="24"/>
        </w:rPr>
        <w:t xml:space="preserve">had not been </w:t>
      </w:r>
      <w:r w:rsidR="007C06CF">
        <w:rPr>
          <w:rFonts w:ascii="Times New Roman" w:hAnsi="Times New Roman" w:cs="Times New Roman"/>
          <w:sz w:val="24"/>
          <w:szCs w:val="24"/>
        </w:rPr>
        <w:t xml:space="preserve">challenged by the Second and Third Defendants on appeal – each of those breaches was, in in itself, sufficient to entitle the Bank to treat the Compromise Agreement as being at an end and/or to proceed against the Defendants </w:t>
      </w:r>
      <w:r w:rsidR="00D0555D">
        <w:rPr>
          <w:rFonts w:ascii="Times New Roman" w:hAnsi="Times New Roman" w:cs="Times New Roman"/>
          <w:sz w:val="24"/>
          <w:szCs w:val="24"/>
        </w:rPr>
        <w:t xml:space="preserve">on foot of the Finance Documents. </w:t>
      </w:r>
    </w:p>
    <w:p w14:paraId="34AA00AA" w14:textId="77777777" w:rsidR="00D0555D" w:rsidRDefault="00D0555D" w:rsidP="00CB5C7B">
      <w:pPr>
        <w:pStyle w:val="ListParagraph"/>
        <w:spacing w:after="0" w:line="480" w:lineRule="auto"/>
        <w:ind w:hanging="436"/>
        <w:jc w:val="both"/>
        <w:rPr>
          <w:rFonts w:ascii="Times New Roman" w:hAnsi="Times New Roman" w:cs="Times New Roman"/>
          <w:sz w:val="24"/>
          <w:szCs w:val="24"/>
        </w:rPr>
      </w:pPr>
    </w:p>
    <w:p w14:paraId="7143CD12" w14:textId="3C981F8D" w:rsidR="00D0555D" w:rsidRDefault="00D0555D"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Secondly, the fundamental premise of the argument made by the Second and Third Defendants in this context is not, in our view, well-founded. These Defendants have not identified a single finding </w:t>
      </w:r>
      <w:r w:rsidR="004F21F1">
        <w:rPr>
          <w:rFonts w:ascii="Times New Roman" w:hAnsi="Times New Roman" w:cs="Times New Roman"/>
          <w:sz w:val="24"/>
          <w:szCs w:val="24"/>
        </w:rPr>
        <w:t xml:space="preserve">that is adverse to </w:t>
      </w:r>
      <w:r>
        <w:rPr>
          <w:rFonts w:ascii="Times New Roman" w:hAnsi="Times New Roman" w:cs="Times New Roman"/>
          <w:sz w:val="24"/>
          <w:szCs w:val="24"/>
        </w:rPr>
        <w:t xml:space="preserve">them that is said to have been made by the Judge in reliance (whether in whole or part) on evidence given by the First Defendant.  In ruling on the cross-examination issue, the Judge expressed the view that the First Defendant had not given any evidence contrary to the interests of his brothers. No attempt has been made to gainsay that view. </w:t>
      </w:r>
      <w:r w:rsidR="00AE2F6A">
        <w:rPr>
          <w:rFonts w:ascii="Times New Roman" w:hAnsi="Times New Roman" w:cs="Times New Roman"/>
          <w:sz w:val="24"/>
          <w:szCs w:val="24"/>
        </w:rPr>
        <w:t>This is not a case where “</w:t>
      </w:r>
      <w:r w:rsidR="00AE2F6A" w:rsidRPr="00AE2F6A">
        <w:rPr>
          <w:rFonts w:ascii="Times New Roman" w:hAnsi="Times New Roman" w:cs="Times New Roman"/>
          <w:i/>
          <w:sz w:val="24"/>
          <w:szCs w:val="24"/>
        </w:rPr>
        <w:t>evidence given by one party affecting another party in the same litigation</w:t>
      </w:r>
      <w:r w:rsidR="00AE2F6A">
        <w:rPr>
          <w:rFonts w:ascii="Times New Roman" w:hAnsi="Times New Roman" w:cs="Times New Roman"/>
          <w:sz w:val="24"/>
          <w:szCs w:val="24"/>
        </w:rPr>
        <w:t>” has been admitted “</w:t>
      </w:r>
      <w:r w:rsidR="00AE2F6A" w:rsidRPr="00AE2F6A">
        <w:rPr>
          <w:rFonts w:ascii="Times New Roman" w:hAnsi="Times New Roman" w:cs="Times New Roman"/>
          <w:i/>
          <w:sz w:val="24"/>
          <w:szCs w:val="24"/>
        </w:rPr>
        <w:t>against that other party</w:t>
      </w:r>
      <w:r w:rsidR="00AE2F6A">
        <w:rPr>
          <w:rFonts w:ascii="Times New Roman" w:hAnsi="Times New Roman" w:cs="Times New Roman"/>
          <w:sz w:val="24"/>
          <w:szCs w:val="24"/>
        </w:rPr>
        <w:t xml:space="preserve">”, as was the case in </w:t>
      </w:r>
      <w:r w:rsidR="00AE2F6A" w:rsidRPr="00AE2F6A">
        <w:rPr>
          <w:rFonts w:ascii="Times New Roman" w:hAnsi="Times New Roman" w:cs="Times New Roman"/>
          <w:i/>
          <w:sz w:val="24"/>
          <w:szCs w:val="24"/>
        </w:rPr>
        <w:t>Allen v Allen</w:t>
      </w:r>
      <w:r w:rsidR="00AE2F6A">
        <w:rPr>
          <w:rFonts w:ascii="Times New Roman" w:hAnsi="Times New Roman" w:cs="Times New Roman"/>
          <w:i/>
          <w:sz w:val="24"/>
          <w:szCs w:val="24"/>
        </w:rPr>
        <w:t xml:space="preserve">. </w:t>
      </w:r>
      <w:r w:rsidR="00AE2F6A">
        <w:rPr>
          <w:rFonts w:ascii="Times New Roman" w:hAnsi="Times New Roman" w:cs="Times New Roman"/>
          <w:sz w:val="24"/>
          <w:szCs w:val="24"/>
        </w:rPr>
        <w:t>There</w:t>
      </w:r>
      <w:r w:rsidR="004F21F1">
        <w:rPr>
          <w:rFonts w:ascii="Times New Roman" w:hAnsi="Times New Roman" w:cs="Times New Roman"/>
          <w:sz w:val="24"/>
          <w:szCs w:val="24"/>
        </w:rPr>
        <w:t>,</w:t>
      </w:r>
      <w:r w:rsidR="00AE2F6A">
        <w:rPr>
          <w:rFonts w:ascii="Times New Roman" w:hAnsi="Times New Roman" w:cs="Times New Roman"/>
          <w:sz w:val="24"/>
          <w:szCs w:val="24"/>
        </w:rPr>
        <w:t xml:space="preserve"> conflicting evidence was given by the respondent and co-respondent in a contested divorce action. The co-respondent had not been permitted to cross-examine the respondent. Far from making it clear to the jury that the evidence of the respondent was not admissible against the co-respondent, the presiding judge had contrasted </w:t>
      </w:r>
      <w:r w:rsidR="00A751C8">
        <w:rPr>
          <w:rFonts w:ascii="Times New Roman" w:hAnsi="Times New Roman" w:cs="Times New Roman"/>
          <w:sz w:val="24"/>
          <w:szCs w:val="24"/>
        </w:rPr>
        <w:t xml:space="preserve">their </w:t>
      </w:r>
      <w:r w:rsidR="00AE2F6A">
        <w:rPr>
          <w:rFonts w:ascii="Times New Roman" w:hAnsi="Times New Roman" w:cs="Times New Roman"/>
          <w:sz w:val="24"/>
          <w:szCs w:val="24"/>
        </w:rPr>
        <w:t xml:space="preserve">evidence in his summing up </w:t>
      </w:r>
      <w:r w:rsidR="00823AD3">
        <w:rPr>
          <w:rFonts w:ascii="Times New Roman" w:hAnsi="Times New Roman" w:cs="Times New Roman"/>
          <w:sz w:val="24"/>
          <w:szCs w:val="24"/>
        </w:rPr>
        <w:t xml:space="preserve">in </w:t>
      </w:r>
      <w:r w:rsidR="00823AD3">
        <w:rPr>
          <w:rFonts w:ascii="Times New Roman" w:hAnsi="Times New Roman" w:cs="Times New Roman"/>
          <w:sz w:val="24"/>
          <w:szCs w:val="24"/>
        </w:rPr>
        <w:lastRenderedPageBreak/>
        <w:t>a manner which, in the view of the Court of Appeal, was “</w:t>
      </w:r>
      <w:r w:rsidR="00823AD3" w:rsidRPr="00823AD3">
        <w:rPr>
          <w:rFonts w:ascii="Times New Roman" w:hAnsi="Times New Roman" w:cs="Times New Roman"/>
          <w:i/>
          <w:sz w:val="24"/>
          <w:szCs w:val="24"/>
        </w:rPr>
        <w:t>distinctly prejudicial to the co-respondent</w:t>
      </w:r>
      <w:r w:rsidR="00823AD3">
        <w:rPr>
          <w:rFonts w:ascii="Times New Roman" w:hAnsi="Times New Roman" w:cs="Times New Roman"/>
          <w:sz w:val="24"/>
          <w:szCs w:val="24"/>
        </w:rPr>
        <w:t xml:space="preserve">” (at </w:t>
      </w:r>
      <w:r w:rsidR="0093356E">
        <w:rPr>
          <w:rFonts w:ascii="Times New Roman" w:hAnsi="Times New Roman" w:cs="Times New Roman"/>
          <w:sz w:val="24"/>
          <w:szCs w:val="24"/>
        </w:rPr>
        <w:t xml:space="preserve">p. </w:t>
      </w:r>
      <w:r w:rsidR="00823AD3">
        <w:rPr>
          <w:rFonts w:ascii="Times New Roman" w:hAnsi="Times New Roman" w:cs="Times New Roman"/>
          <w:sz w:val="24"/>
          <w:szCs w:val="24"/>
        </w:rPr>
        <w:t>255). In those circumstances, it is hardly surprising that the jury’s verdict was set aside and a new trial ordered.</w:t>
      </w:r>
    </w:p>
    <w:p w14:paraId="5A25131C" w14:textId="77777777" w:rsidR="00D0555D" w:rsidRDefault="00D0555D" w:rsidP="00CB5C7B">
      <w:pPr>
        <w:pStyle w:val="ListParagraph"/>
        <w:spacing w:after="0" w:line="480" w:lineRule="auto"/>
        <w:ind w:hanging="436"/>
        <w:jc w:val="both"/>
        <w:rPr>
          <w:rFonts w:ascii="Times New Roman" w:hAnsi="Times New Roman" w:cs="Times New Roman"/>
          <w:sz w:val="24"/>
          <w:szCs w:val="24"/>
        </w:rPr>
      </w:pPr>
    </w:p>
    <w:p w14:paraId="7BBC8CFD" w14:textId="419709BE" w:rsidR="00D0555D" w:rsidRDefault="00823AD3"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The purported complaint of the Second and Third Defendants here is quite different to the co-respondent’s complaint in </w:t>
      </w:r>
      <w:r w:rsidRPr="00823AD3">
        <w:rPr>
          <w:rFonts w:ascii="Times New Roman" w:hAnsi="Times New Roman" w:cs="Times New Roman"/>
          <w:i/>
          <w:sz w:val="24"/>
          <w:szCs w:val="24"/>
        </w:rPr>
        <w:t>Allen v Allen.</w:t>
      </w:r>
      <w:r>
        <w:rPr>
          <w:rFonts w:ascii="Times New Roman" w:hAnsi="Times New Roman" w:cs="Times New Roman"/>
          <w:sz w:val="24"/>
          <w:szCs w:val="24"/>
        </w:rPr>
        <w:t xml:space="preserve">  </w:t>
      </w:r>
      <w:r w:rsidR="0050435A">
        <w:rPr>
          <w:rFonts w:ascii="Times New Roman" w:hAnsi="Times New Roman" w:cs="Times New Roman"/>
          <w:sz w:val="24"/>
          <w:szCs w:val="24"/>
        </w:rPr>
        <w:t xml:space="preserve">As we have said, they have not pointed to any adverse finding against them that relies on the </w:t>
      </w:r>
      <w:r w:rsidR="006040FA">
        <w:rPr>
          <w:rFonts w:ascii="Times New Roman" w:hAnsi="Times New Roman" w:cs="Times New Roman"/>
          <w:sz w:val="24"/>
          <w:szCs w:val="24"/>
        </w:rPr>
        <w:t xml:space="preserve">evidence of their brother. Rather, they effectively seek to be immunised from the consequences of the adverse findings made by the Judge as to the conduct of the </w:t>
      </w:r>
      <w:r w:rsidR="006040FA" w:rsidRPr="006040FA">
        <w:rPr>
          <w:rFonts w:ascii="Times New Roman" w:hAnsi="Times New Roman" w:cs="Times New Roman"/>
          <w:i/>
          <w:sz w:val="24"/>
          <w:szCs w:val="24"/>
        </w:rPr>
        <w:t>First Defendant</w:t>
      </w:r>
      <w:r w:rsidR="006040FA">
        <w:rPr>
          <w:rFonts w:ascii="Times New Roman" w:hAnsi="Times New Roman" w:cs="Times New Roman"/>
          <w:sz w:val="24"/>
          <w:szCs w:val="24"/>
        </w:rPr>
        <w:t xml:space="preserve"> and his findings as to various ways in which the </w:t>
      </w:r>
      <w:r w:rsidR="006040FA" w:rsidRPr="006040FA">
        <w:rPr>
          <w:rFonts w:ascii="Times New Roman" w:hAnsi="Times New Roman" w:cs="Times New Roman"/>
          <w:i/>
          <w:sz w:val="24"/>
          <w:szCs w:val="24"/>
        </w:rPr>
        <w:t>First Defendant</w:t>
      </w:r>
      <w:r w:rsidR="006040FA">
        <w:rPr>
          <w:rFonts w:ascii="Times New Roman" w:hAnsi="Times New Roman" w:cs="Times New Roman"/>
          <w:sz w:val="24"/>
          <w:szCs w:val="24"/>
        </w:rPr>
        <w:t xml:space="preserve"> breached the Compromise Agreement. </w:t>
      </w:r>
    </w:p>
    <w:p w14:paraId="5A5DA619" w14:textId="77777777" w:rsidR="006040FA" w:rsidRDefault="006040FA" w:rsidP="00CB5C7B">
      <w:pPr>
        <w:pStyle w:val="ListParagraph"/>
        <w:spacing w:after="0" w:line="480" w:lineRule="auto"/>
        <w:ind w:hanging="436"/>
        <w:jc w:val="both"/>
        <w:rPr>
          <w:rFonts w:ascii="Times New Roman" w:hAnsi="Times New Roman" w:cs="Times New Roman"/>
          <w:sz w:val="24"/>
          <w:szCs w:val="24"/>
        </w:rPr>
      </w:pPr>
    </w:p>
    <w:p w14:paraId="3E9DAA32" w14:textId="3F6254A0" w:rsidR="006040FA" w:rsidRDefault="006040FA"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The Second and Third Defendants expressly accept that the Judge was entitled</w:t>
      </w:r>
      <w:r w:rsidR="008F71E7">
        <w:rPr>
          <w:rFonts w:ascii="Times New Roman" w:hAnsi="Times New Roman" w:cs="Times New Roman"/>
          <w:sz w:val="24"/>
          <w:szCs w:val="24"/>
        </w:rPr>
        <w:t xml:space="preserve"> on the evidence</w:t>
      </w:r>
      <w:r>
        <w:rPr>
          <w:rFonts w:ascii="Times New Roman" w:hAnsi="Times New Roman" w:cs="Times New Roman"/>
          <w:sz w:val="24"/>
          <w:szCs w:val="24"/>
        </w:rPr>
        <w:t xml:space="preserve"> to find that the First Defendant had breached the Compromise Agreement, including by his failure to disclose assets.</w:t>
      </w:r>
      <w:r>
        <w:rPr>
          <w:rStyle w:val="FootnoteReference"/>
          <w:rFonts w:ascii="Times New Roman" w:hAnsi="Times New Roman" w:cs="Times New Roman"/>
          <w:sz w:val="24"/>
          <w:szCs w:val="24"/>
        </w:rPr>
        <w:footnoteReference w:id="22"/>
      </w:r>
      <w:r>
        <w:rPr>
          <w:rFonts w:ascii="Times New Roman" w:hAnsi="Times New Roman" w:cs="Times New Roman"/>
          <w:sz w:val="24"/>
          <w:szCs w:val="24"/>
        </w:rPr>
        <w:t xml:space="preserve"> They also accept that the consequence of those breaches was to bring the Compromise Agreement to an end, regardless of any involvement on the part of the Second and Third Defendants</w:t>
      </w:r>
      <w:r w:rsidR="008F71E7">
        <w:rPr>
          <w:rFonts w:ascii="Times New Roman" w:hAnsi="Times New Roman" w:cs="Times New Roman"/>
          <w:sz w:val="24"/>
          <w:szCs w:val="24"/>
        </w:rPr>
        <w:t>.</w:t>
      </w:r>
      <w:r w:rsidR="008F71E7">
        <w:rPr>
          <w:rStyle w:val="FootnoteReference"/>
          <w:rFonts w:ascii="Times New Roman" w:hAnsi="Times New Roman" w:cs="Times New Roman"/>
          <w:sz w:val="24"/>
          <w:szCs w:val="24"/>
        </w:rPr>
        <w:footnoteReference w:id="23"/>
      </w:r>
      <w:r w:rsidR="008F71E7">
        <w:rPr>
          <w:rFonts w:ascii="Times New Roman" w:hAnsi="Times New Roman" w:cs="Times New Roman"/>
          <w:sz w:val="24"/>
          <w:szCs w:val="24"/>
        </w:rPr>
        <w:t xml:space="preserve"> In our view, that is the end of the point. Insofar as the Judge’s findings that the First Defendant breached the Compromise Agreement adversely impacted on the Second and Third Defendants, that was not because the Judge attributed any responsibility for the First Defendant’s conduct to the other Defendants. Rather, it was a function of the structure and operation </w:t>
      </w:r>
      <w:r w:rsidR="008F71E7">
        <w:rPr>
          <w:rFonts w:ascii="Times New Roman" w:hAnsi="Times New Roman" w:cs="Times New Roman"/>
          <w:sz w:val="24"/>
          <w:szCs w:val="24"/>
        </w:rPr>
        <w:lastRenderedPageBreak/>
        <w:t xml:space="preserve">of the Compromise Agreement to which all of the Defendants agreed. The principle in </w:t>
      </w:r>
      <w:r w:rsidR="008F71E7" w:rsidRPr="008F71E7">
        <w:rPr>
          <w:rFonts w:ascii="Times New Roman" w:hAnsi="Times New Roman" w:cs="Times New Roman"/>
          <w:i/>
          <w:sz w:val="24"/>
          <w:szCs w:val="24"/>
        </w:rPr>
        <w:t>Allen v Allen</w:t>
      </w:r>
      <w:r w:rsidR="008F71E7">
        <w:rPr>
          <w:rFonts w:ascii="Times New Roman" w:hAnsi="Times New Roman" w:cs="Times New Roman"/>
          <w:sz w:val="24"/>
          <w:szCs w:val="24"/>
        </w:rPr>
        <w:t xml:space="preserve"> is simply not engaged in the circumstances here. </w:t>
      </w:r>
    </w:p>
    <w:p w14:paraId="3A554ED3" w14:textId="77777777" w:rsidR="00F56097" w:rsidRDefault="00F56097" w:rsidP="00CB5C7B">
      <w:pPr>
        <w:pStyle w:val="ListParagraph"/>
        <w:spacing w:after="0" w:line="480" w:lineRule="auto"/>
        <w:ind w:hanging="436"/>
        <w:jc w:val="both"/>
        <w:rPr>
          <w:rFonts w:ascii="Times New Roman" w:hAnsi="Times New Roman" w:cs="Times New Roman"/>
          <w:sz w:val="24"/>
          <w:szCs w:val="24"/>
        </w:rPr>
      </w:pPr>
    </w:p>
    <w:p w14:paraId="5D55CB3A" w14:textId="3ADB6845" w:rsidR="00F56097" w:rsidRDefault="00F56097"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The overwhelming reality of these proceedings – one which none of the Defendants appear willing to face up to – is that the Judge found that each of the Defendants breached the Compromise Agreement in multiple </w:t>
      </w:r>
      <w:r w:rsidR="00CB5E8F">
        <w:rPr>
          <w:rFonts w:ascii="Times New Roman" w:hAnsi="Times New Roman" w:cs="Times New Roman"/>
          <w:sz w:val="24"/>
          <w:szCs w:val="24"/>
        </w:rPr>
        <w:t xml:space="preserve">and significant </w:t>
      </w:r>
      <w:r>
        <w:rPr>
          <w:rFonts w:ascii="Times New Roman" w:hAnsi="Times New Roman" w:cs="Times New Roman"/>
          <w:sz w:val="24"/>
          <w:szCs w:val="24"/>
        </w:rPr>
        <w:t xml:space="preserve">respects. Those findings are </w:t>
      </w:r>
      <w:r w:rsidR="00CB5E8F">
        <w:rPr>
          <w:rFonts w:ascii="Times New Roman" w:hAnsi="Times New Roman" w:cs="Times New Roman"/>
          <w:sz w:val="24"/>
          <w:szCs w:val="24"/>
        </w:rPr>
        <w:t>un</w:t>
      </w:r>
      <w:r>
        <w:rPr>
          <w:rFonts w:ascii="Times New Roman" w:hAnsi="Times New Roman" w:cs="Times New Roman"/>
          <w:sz w:val="24"/>
          <w:szCs w:val="24"/>
        </w:rPr>
        <w:t xml:space="preserve">challenged as to their substance. The Compromise Agreement required strict compliance by the Defendants. Given the significant concessions being made by the Bank, that is hardly surprising. </w:t>
      </w:r>
      <w:r w:rsidR="00CB5E8F">
        <w:rPr>
          <w:rFonts w:ascii="Times New Roman" w:hAnsi="Times New Roman" w:cs="Times New Roman"/>
          <w:sz w:val="24"/>
          <w:szCs w:val="24"/>
        </w:rPr>
        <w:t>Given the Defendants’ non-compliance with the Agreement, the Bank was entitled to treat it as being at an end and to pursue each of the Defendants for the debt for which they were jointly and severally liable to the Bank. That is unfortunate for the Defendants but it is attributable to their own conduct.</w:t>
      </w:r>
    </w:p>
    <w:p w14:paraId="17B63281" w14:textId="77777777" w:rsidR="00CB5E8F" w:rsidRDefault="00CB5E8F" w:rsidP="00CB5E8F">
      <w:pPr>
        <w:pStyle w:val="ListParagraph"/>
        <w:spacing w:after="0" w:line="480" w:lineRule="auto"/>
        <w:jc w:val="both"/>
        <w:rPr>
          <w:rFonts w:ascii="Times New Roman" w:hAnsi="Times New Roman" w:cs="Times New Roman"/>
          <w:sz w:val="24"/>
          <w:szCs w:val="24"/>
        </w:rPr>
      </w:pPr>
    </w:p>
    <w:p w14:paraId="3DF9A429" w14:textId="2EEBA02E" w:rsidR="00CB5E8F" w:rsidRDefault="00B6169D"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It follows that this ground of appeal also </w:t>
      </w:r>
      <w:r w:rsidR="006475A2">
        <w:rPr>
          <w:rFonts w:ascii="Times New Roman" w:hAnsi="Times New Roman" w:cs="Times New Roman"/>
          <w:sz w:val="24"/>
          <w:szCs w:val="24"/>
        </w:rPr>
        <w:t>fails.</w:t>
      </w:r>
    </w:p>
    <w:p w14:paraId="206CC1EE" w14:textId="77777777" w:rsidR="006475A2" w:rsidRDefault="006475A2" w:rsidP="00CB5C7B">
      <w:pPr>
        <w:pStyle w:val="ListParagraph"/>
        <w:spacing w:after="0" w:line="480" w:lineRule="auto"/>
        <w:ind w:hanging="436"/>
        <w:jc w:val="both"/>
        <w:rPr>
          <w:rFonts w:ascii="Times New Roman" w:hAnsi="Times New Roman" w:cs="Times New Roman"/>
          <w:sz w:val="24"/>
          <w:szCs w:val="24"/>
        </w:rPr>
      </w:pPr>
    </w:p>
    <w:p w14:paraId="779A7E3C" w14:textId="185A1C41" w:rsidR="006C3EAC" w:rsidRPr="006475A2" w:rsidRDefault="006475A2"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Thus, all of the remaining grounds relied on by the Second and Defendants are rejected.</w:t>
      </w:r>
    </w:p>
    <w:p w14:paraId="55B4CB79" w14:textId="27BFD709" w:rsidR="006C3EAC" w:rsidRPr="00CB5C7B" w:rsidRDefault="00CB5C7B" w:rsidP="00CB5C7B">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412C3756" w14:textId="046FBA4D" w:rsidR="006C3EAC" w:rsidRDefault="006C3EAC" w:rsidP="006C3EAC">
      <w:pPr>
        <w:pStyle w:val="Heading1"/>
      </w:pPr>
      <w:r>
        <w:lastRenderedPageBreak/>
        <w:t>B</w:t>
      </w:r>
      <w:r w:rsidR="0093356E">
        <w:t xml:space="preserve"> </w:t>
      </w:r>
      <w:r>
        <w:t>- GROUNDS RELIED ON BY THE FIRST DEFENDANT</w:t>
      </w:r>
    </w:p>
    <w:p w14:paraId="322B5792" w14:textId="43CB3728" w:rsidR="005D50CB" w:rsidRPr="005D50CB" w:rsidRDefault="005D50CB" w:rsidP="005D50CB">
      <w:pPr>
        <w:rPr>
          <w:rFonts w:ascii="Times New Roman" w:hAnsi="Times New Roman" w:cs="Times New Roman"/>
          <w:sz w:val="24"/>
          <w:szCs w:val="24"/>
        </w:rPr>
      </w:pPr>
    </w:p>
    <w:p w14:paraId="478CFB9A" w14:textId="32C7D7DC" w:rsidR="006C3EAC" w:rsidRDefault="005D50CB" w:rsidP="00272396">
      <w:pPr>
        <w:pStyle w:val="Heading2"/>
      </w:pPr>
      <w:r>
        <w:t>Wit</w:t>
      </w:r>
      <w:r w:rsidR="00C0479E">
        <w:t>nesses not called by the Bank/Not permitted to be called by First Defendant</w:t>
      </w:r>
    </w:p>
    <w:p w14:paraId="37B0F48E" w14:textId="77777777" w:rsidR="00C0479E" w:rsidRPr="00C0479E" w:rsidRDefault="00C0479E" w:rsidP="00C0479E"/>
    <w:p w14:paraId="6B0DDC58" w14:textId="03930D91" w:rsidR="002A145A" w:rsidRDefault="00C0479E"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Under this heading, the First Defendants complains that the Bank’s principal witness was “</w:t>
      </w:r>
      <w:r w:rsidRPr="00C0479E">
        <w:rPr>
          <w:rFonts w:ascii="Times New Roman" w:hAnsi="Times New Roman" w:cs="Times New Roman"/>
          <w:i/>
          <w:sz w:val="24"/>
          <w:szCs w:val="24"/>
        </w:rPr>
        <w:t>strategically put forward</w:t>
      </w:r>
      <w:r>
        <w:rPr>
          <w:rFonts w:ascii="Times New Roman" w:hAnsi="Times New Roman" w:cs="Times New Roman"/>
          <w:sz w:val="24"/>
          <w:szCs w:val="24"/>
        </w:rPr>
        <w:t>” in a capacity “</w:t>
      </w:r>
      <w:r w:rsidRPr="00C0479E">
        <w:rPr>
          <w:rFonts w:ascii="Times New Roman" w:hAnsi="Times New Roman" w:cs="Times New Roman"/>
          <w:i/>
          <w:sz w:val="24"/>
          <w:szCs w:val="24"/>
        </w:rPr>
        <w:t>akin to a decoy witness</w:t>
      </w:r>
      <w:r>
        <w:rPr>
          <w:rFonts w:ascii="Times New Roman" w:hAnsi="Times New Roman" w:cs="Times New Roman"/>
          <w:sz w:val="24"/>
          <w:szCs w:val="24"/>
        </w:rPr>
        <w:t>” and that he was wrongly refused leave to examine other named officers of the Bank</w:t>
      </w:r>
      <w:r w:rsidR="002A145A">
        <w:rPr>
          <w:rFonts w:ascii="Times New Roman" w:hAnsi="Times New Roman" w:cs="Times New Roman"/>
          <w:sz w:val="24"/>
          <w:szCs w:val="24"/>
        </w:rPr>
        <w:t>. In particular, it is said that the Judge acted unfairly in preventing the First Defendant from taking evidence from a Mr Norman McGinley “</w:t>
      </w:r>
      <w:r w:rsidR="002A145A" w:rsidRPr="002A145A">
        <w:rPr>
          <w:rFonts w:ascii="Times New Roman" w:hAnsi="Times New Roman" w:cs="Times New Roman"/>
          <w:i/>
          <w:sz w:val="24"/>
          <w:szCs w:val="24"/>
        </w:rPr>
        <w:t>in the discovery process”</w:t>
      </w:r>
      <w:r w:rsidR="00A751C8">
        <w:rPr>
          <w:rFonts w:ascii="Times New Roman" w:hAnsi="Times New Roman" w:cs="Times New Roman"/>
          <w:i/>
          <w:sz w:val="24"/>
          <w:szCs w:val="24"/>
        </w:rPr>
        <w:t>.</w:t>
      </w:r>
      <w:r w:rsidR="002A145A">
        <w:rPr>
          <w:rFonts w:ascii="Times New Roman" w:hAnsi="Times New Roman" w:cs="Times New Roman"/>
          <w:sz w:val="24"/>
          <w:szCs w:val="24"/>
        </w:rPr>
        <w:t xml:space="preserve"> </w:t>
      </w:r>
      <w:r w:rsidR="002A145A">
        <w:rPr>
          <w:rStyle w:val="FootnoteReference"/>
          <w:rFonts w:ascii="Times New Roman" w:hAnsi="Times New Roman" w:cs="Times New Roman"/>
          <w:sz w:val="24"/>
          <w:szCs w:val="24"/>
        </w:rPr>
        <w:footnoteReference w:id="24"/>
      </w:r>
      <w:r w:rsidR="002A145A">
        <w:rPr>
          <w:rFonts w:ascii="Times New Roman" w:hAnsi="Times New Roman" w:cs="Times New Roman"/>
          <w:sz w:val="24"/>
          <w:szCs w:val="24"/>
        </w:rPr>
        <w:t xml:space="preserve"> Mr McGinley was, it was said, involved in the engagement of CBRE</w:t>
      </w:r>
      <w:r w:rsidR="00A27D0D">
        <w:rPr>
          <w:rFonts w:ascii="Times New Roman" w:hAnsi="Times New Roman" w:cs="Times New Roman"/>
          <w:sz w:val="24"/>
          <w:szCs w:val="24"/>
        </w:rPr>
        <w:t xml:space="preserve"> and  it was suggested by counsel for the First Defendant that he was entitled to ask Mr McGinley </w:t>
      </w:r>
      <w:r w:rsidR="00A27D0D" w:rsidRPr="00A27D0D">
        <w:rPr>
          <w:rFonts w:ascii="Times New Roman" w:hAnsi="Times New Roman" w:cs="Times New Roman"/>
          <w:i/>
          <w:sz w:val="24"/>
          <w:szCs w:val="24"/>
        </w:rPr>
        <w:t>“why he disregarded the confirmations granted to him and the receivers</w:t>
      </w:r>
      <w:r w:rsidR="00A27D0D">
        <w:rPr>
          <w:rFonts w:ascii="Times New Roman" w:hAnsi="Times New Roman" w:cs="Times New Roman"/>
          <w:sz w:val="24"/>
          <w:szCs w:val="24"/>
        </w:rPr>
        <w:t>” which, it was suggested, allowed CBRE “</w:t>
      </w:r>
      <w:r w:rsidR="00A27D0D" w:rsidRPr="00A27D0D">
        <w:rPr>
          <w:rFonts w:ascii="Times New Roman" w:hAnsi="Times New Roman" w:cs="Times New Roman"/>
          <w:i/>
          <w:sz w:val="24"/>
          <w:szCs w:val="24"/>
        </w:rPr>
        <w:t>to escape liability”.</w:t>
      </w:r>
    </w:p>
    <w:p w14:paraId="56599717" w14:textId="77777777" w:rsidR="00F95F4D" w:rsidRDefault="00F95F4D" w:rsidP="00CB5C7B">
      <w:pPr>
        <w:pStyle w:val="ListParagraph"/>
        <w:spacing w:after="0" w:line="480" w:lineRule="auto"/>
        <w:ind w:hanging="436"/>
        <w:jc w:val="both"/>
        <w:rPr>
          <w:rFonts w:ascii="Times New Roman" w:hAnsi="Times New Roman" w:cs="Times New Roman"/>
          <w:sz w:val="24"/>
          <w:szCs w:val="24"/>
        </w:rPr>
      </w:pPr>
    </w:p>
    <w:p w14:paraId="17ABE388" w14:textId="3844A968" w:rsidR="00A27D0D" w:rsidRDefault="00F95F4D"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That is as far as the point is put. The First Defendant’s Notice of Appeal asserts that “</w:t>
      </w:r>
      <w:r w:rsidRPr="00F95F4D">
        <w:rPr>
          <w:rFonts w:ascii="Times New Roman" w:hAnsi="Times New Roman" w:cs="Times New Roman"/>
          <w:i/>
          <w:sz w:val="24"/>
          <w:szCs w:val="24"/>
        </w:rPr>
        <w:t>crucial evidence”</w:t>
      </w:r>
      <w:r>
        <w:rPr>
          <w:rFonts w:ascii="Times New Roman" w:hAnsi="Times New Roman" w:cs="Times New Roman"/>
          <w:sz w:val="24"/>
          <w:szCs w:val="24"/>
        </w:rPr>
        <w:t xml:space="preserve"> was available from Mr McGinley and the other Bank employees who had, apparently, been </w:t>
      </w:r>
      <w:r w:rsidR="005E0330">
        <w:rPr>
          <w:rFonts w:ascii="Times New Roman" w:hAnsi="Times New Roman" w:cs="Times New Roman"/>
          <w:sz w:val="24"/>
          <w:szCs w:val="24"/>
        </w:rPr>
        <w:t xml:space="preserve">subpoenaed by the First Defendant around or shortly before the commencement of the trial in the High </w:t>
      </w:r>
      <w:r w:rsidR="0027474F">
        <w:rPr>
          <w:rFonts w:ascii="Times New Roman" w:hAnsi="Times New Roman" w:cs="Times New Roman"/>
          <w:sz w:val="24"/>
          <w:szCs w:val="24"/>
        </w:rPr>
        <w:t>C</w:t>
      </w:r>
      <w:r w:rsidR="005E0330">
        <w:rPr>
          <w:rFonts w:ascii="Times New Roman" w:hAnsi="Times New Roman" w:cs="Times New Roman"/>
          <w:sz w:val="24"/>
          <w:szCs w:val="24"/>
        </w:rPr>
        <w:t xml:space="preserve">ourt. What this </w:t>
      </w:r>
      <w:r w:rsidR="005E0330" w:rsidRPr="005E0330">
        <w:rPr>
          <w:rFonts w:ascii="Times New Roman" w:hAnsi="Times New Roman" w:cs="Times New Roman"/>
          <w:i/>
          <w:sz w:val="24"/>
          <w:szCs w:val="24"/>
        </w:rPr>
        <w:t>“crucial evidence</w:t>
      </w:r>
      <w:r w:rsidR="005E0330">
        <w:rPr>
          <w:rFonts w:ascii="Times New Roman" w:hAnsi="Times New Roman" w:cs="Times New Roman"/>
          <w:sz w:val="24"/>
          <w:szCs w:val="24"/>
        </w:rPr>
        <w:t xml:space="preserve">” would have been </w:t>
      </w:r>
      <w:r w:rsidR="00A27D0D">
        <w:rPr>
          <w:rFonts w:ascii="Times New Roman" w:hAnsi="Times New Roman" w:cs="Times New Roman"/>
          <w:sz w:val="24"/>
          <w:szCs w:val="24"/>
        </w:rPr>
        <w:t>has</w:t>
      </w:r>
      <w:r w:rsidR="005E0330">
        <w:rPr>
          <w:rFonts w:ascii="Times New Roman" w:hAnsi="Times New Roman" w:cs="Times New Roman"/>
          <w:sz w:val="24"/>
          <w:szCs w:val="24"/>
        </w:rPr>
        <w:t xml:space="preserve"> not explained</w:t>
      </w:r>
      <w:r w:rsidR="00A27D0D">
        <w:rPr>
          <w:rFonts w:ascii="Times New Roman" w:hAnsi="Times New Roman" w:cs="Times New Roman"/>
          <w:sz w:val="24"/>
          <w:szCs w:val="24"/>
        </w:rPr>
        <w:t xml:space="preserve"> beyond what is recorded above</w:t>
      </w:r>
      <w:r w:rsidR="005E0330">
        <w:rPr>
          <w:rFonts w:ascii="Times New Roman" w:hAnsi="Times New Roman" w:cs="Times New Roman"/>
          <w:sz w:val="24"/>
          <w:szCs w:val="24"/>
        </w:rPr>
        <w:t>.</w:t>
      </w:r>
    </w:p>
    <w:p w14:paraId="3D23BBD2" w14:textId="77777777" w:rsidR="00A27D0D" w:rsidRDefault="00A27D0D" w:rsidP="00CB5C7B">
      <w:pPr>
        <w:pStyle w:val="ListParagraph"/>
        <w:spacing w:after="0" w:line="480" w:lineRule="auto"/>
        <w:ind w:hanging="436"/>
        <w:jc w:val="both"/>
        <w:rPr>
          <w:rFonts w:ascii="Times New Roman" w:hAnsi="Times New Roman" w:cs="Times New Roman"/>
          <w:sz w:val="24"/>
          <w:szCs w:val="24"/>
        </w:rPr>
      </w:pPr>
    </w:p>
    <w:p w14:paraId="0C4726CF" w14:textId="02D4D652" w:rsidR="00A27D0D" w:rsidRDefault="005E0330"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 It appears</w:t>
      </w:r>
      <w:r w:rsidR="0027474F">
        <w:rPr>
          <w:rFonts w:ascii="Times New Roman" w:hAnsi="Times New Roman" w:cs="Times New Roman"/>
          <w:sz w:val="24"/>
          <w:szCs w:val="24"/>
        </w:rPr>
        <w:t xml:space="preserve"> </w:t>
      </w:r>
      <w:r>
        <w:rPr>
          <w:rFonts w:ascii="Times New Roman" w:hAnsi="Times New Roman" w:cs="Times New Roman"/>
          <w:sz w:val="24"/>
          <w:szCs w:val="24"/>
        </w:rPr>
        <w:t xml:space="preserve">that the First Defendant </w:t>
      </w:r>
      <w:r w:rsidR="0027474F">
        <w:rPr>
          <w:rFonts w:ascii="Times New Roman" w:hAnsi="Times New Roman" w:cs="Times New Roman"/>
          <w:sz w:val="24"/>
          <w:szCs w:val="24"/>
        </w:rPr>
        <w:t xml:space="preserve">had delivered two witness statements in response to the Bank’s witness statements, one on his own behalf and the other a witness statement </w:t>
      </w:r>
      <w:r w:rsidR="0027474F">
        <w:rPr>
          <w:rFonts w:ascii="Times New Roman" w:hAnsi="Times New Roman" w:cs="Times New Roman"/>
          <w:sz w:val="24"/>
          <w:szCs w:val="24"/>
        </w:rPr>
        <w:lastRenderedPageBreak/>
        <w:t>o</w:t>
      </w:r>
      <w:r w:rsidR="008E0DC4">
        <w:rPr>
          <w:rFonts w:ascii="Times New Roman" w:hAnsi="Times New Roman" w:cs="Times New Roman"/>
          <w:sz w:val="24"/>
          <w:szCs w:val="24"/>
        </w:rPr>
        <w:t>f Gabriel Dooley, the auctioneer. The First Defendant had not, it seems,</w:t>
      </w:r>
      <w:r w:rsidR="0027474F">
        <w:rPr>
          <w:rFonts w:ascii="Times New Roman" w:hAnsi="Times New Roman" w:cs="Times New Roman"/>
          <w:sz w:val="24"/>
          <w:szCs w:val="24"/>
        </w:rPr>
        <w:t xml:space="preserve"> </w:t>
      </w:r>
      <w:r>
        <w:rPr>
          <w:rFonts w:ascii="Times New Roman" w:hAnsi="Times New Roman" w:cs="Times New Roman"/>
          <w:sz w:val="24"/>
          <w:szCs w:val="24"/>
        </w:rPr>
        <w:t>give</w:t>
      </w:r>
      <w:r w:rsidR="008E0DC4">
        <w:rPr>
          <w:rFonts w:ascii="Times New Roman" w:hAnsi="Times New Roman" w:cs="Times New Roman"/>
          <w:sz w:val="24"/>
          <w:szCs w:val="24"/>
        </w:rPr>
        <w:t>n</w:t>
      </w:r>
      <w:r>
        <w:rPr>
          <w:rFonts w:ascii="Times New Roman" w:hAnsi="Times New Roman" w:cs="Times New Roman"/>
          <w:sz w:val="24"/>
          <w:szCs w:val="24"/>
        </w:rPr>
        <w:t xml:space="preserve"> any notice of his intention to call these additional persons as witnesses or any notice of their intended/anticipated evidence</w:t>
      </w:r>
      <w:r w:rsidR="001B32C5">
        <w:rPr>
          <w:rFonts w:ascii="Times New Roman" w:hAnsi="Times New Roman" w:cs="Times New Roman"/>
          <w:sz w:val="24"/>
          <w:szCs w:val="24"/>
        </w:rPr>
        <w:t xml:space="preserve">. These are fundamental requirements of the rules governing proceedings in the Commercial List: Order 63A, Rule 22(1) RSC, as well as the observations of Clarke J in </w:t>
      </w:r>
      <w:r w:rsidR="001B32C5" w:rsidRPr="001B32C5">
        <w:rPr>
          <w:rFonts w:ascii="Times New Roman" w:hAnsi="Times New Roman" w:cs="Times New Roman"/>
          <w:i/>
          <w:sz w:val="24"/>
          <w:szCs w:val="24"/>
        </w:rPr>
        <w:t>Moorview Developments Ltd v First Active plc</w:t>
      </w:r>
      <w:r w:rsidR="001B32C5">
        <w:rPr>
          <w:rFonts w:ascii="Times New Roman" w:hAnsi="Times New Roman" w:cs="Times New Roman"/>
          <w:sz w:val="24"/>
          <w:szCs w:val="24"/>
        </w:rPr>
        <w:t xml:space="preserve"> [2008] IEHC 274, [2009] 2 IR 788, at para 3.23. </w:t>
      </w:r>
      <w:r>
        <w:rPr>
          <w:rFonts w:ascii="Times New Roman" w:hAnsi="Times New Roman" w:cs="Times New Roman"/>
          <w:sz w:val="24"/>
          <w:szCs w:val="24"/>
        </w:rPr>
        <w:t xml:space="preserve"> </w:t>
      </w:r>
      <w:r w:rsidR="0027474F">
        <w:rPr>
          <w:rFonts w:ascii="Times New Roman" w:hAnsi="Times New Roman" w:cs="Times New Roman"/>
          <w:sz w:val="24"/>
          <w:szCs w:val="24"/>
        </w:rPr>
        <w:t xml:space="preserve">In its Respondent’s Notice, the Bank explains that on Day 9 of the hearing the Judge made an order setting aside the subpoenas on the basis that the persons subpoenaed </w:t>
      </w:r>
      <w:r w:rsidR="008E0DC4">
        <w:rPr>
          <w:rFonts w:ascii="Times New Roman" w:hAnsi="Times New Roman" w:cs="Times New Roman"/>
          <w:sz w:val="24"/>
          <w:szCs w:val="24"/>
        </w:rPr>
        <w:t>were not in a position to give relevant evidence. That has not been challenged nor any effort made to demonstrate that the Judge erred in so ruling. In fact, quite r</w:t>
      </w:r>
      <w:r w:rsidR="001B32C5">
        <w:rPr>
          <w:rFonts w:ascii="Times New Roman" w:hAnsi="Times New Roman" w:cs="Times New Roman"/>
          <w:sz w:val="24"/>
          <w:szCs w:val="24"/>
        </w:rPr>
        <w:t>emarkably, while complaining of the unfair exclusion of this “</w:t>
      </w:r>
      <w:r w:rsidR="001B32C5" w:rsidRPr="001B32C5">
        <w:rPr>
          <w:rFonts w:ascii="Times New Roman" w:hAnsi="Times New Roman" w:cs="Times New Roman"/>
          <w:i/>
          <w:sz w:val="24"/>
          <w:szCs w:val="24"/>
        </w:rPr>
        <w:t>crucial evidence</w:t>
      </w:r>
      <w:r w:rsidR="001B32C5">
        <w:rPr>
          <w:rFonts w:ascii="Times New Roman" w:hAnsi="Times New Roman" w:cs="Times New Roman"/>
          <w:sz w:val="24"/>
          <w:szCs w:val="24"/>
        </w:rPr>
        <w:t>” by the Judge, the First Defendant has not brought us to the Judge’s ruling</w:t>
      </w:r>
      <w:r w:rsidR="008E0DC4">
        <w:rPr>
          <w:rFonts w:ascii="Times New Roman" w:hAnsi="Times New Roman" w:cs="Times New Roman"/>
          <w:sz w:val="24"/>
          <w:szCs w:val="24"/>
        </w:rPr>
        <w:t xml:space="preserve">. </w:t>
      </w:r>
      <w:r w:rsidR="004344FB">
        <w:rPr>
          <w:rFonts w:ascii="Times New Roman" w:hAnsi="Times New Roman" w:cs="Times New Roman"/>
          <w:sz w:val="24"/>
          <w:szCs w:val="24"/>
        </w:rPr>
        <w:t xml:space="preserve">In any event, </w:t>
      </w:r>
      <w:r w:rsidR="002323F2">
        <w:rPr>
          <w:rFonts w:ascii="Times New Roman" w:hAnsi="Times New Roman" w:cs="Times New Roman"/>
          <w:sz w:val="24"/>
          <w:szCs w:val="24"/>
        </w:rPr>
        <w:t>a</w:t>
      </w:r>
      <w:r w:rsidR="00A27D0D">
        <w:rPr>
          <w:rFonts w:ascii="Times New Roman" w:hAnsi="Times New Roman" w:cs="Times New Roman"/>
          <w:sz w:val="24"/>
          <w:szCs w:val="24"/>
        </w:rPr>
        <w:t xml:space="preserve">s to what has been </w:t>
      </w:r>
      <w:r w:rsidR="004344FB">
        <w:rPr>
          <w:rFonts w:ascii="Times New Roman" w:hAnsi="Times New Roman" w:cs="Times New Roman"/>
          <w:sz w:val="24"/>
          <w:szCs w:val="24"/>
        </w:rPr>
        <w:t>asserted</w:t>
      </w:r>
      <w:r w:rsidR="00A27D0D">
        <w:rPr>
          <w:rFonts w:ascii="Times New Roman" w:hAnsi="Times New Roman" w:cs="Times New Roman"/>
          <w:sz w:val="24"/>
          <w:szCs w:val="24"/>
        </w:rPr>
        <w:t xml:space="preserve"> as why the First Defendant was “</w:t>
      </w:r>
      <w:r w:rsidR="00A27D0D" w:rsidRPr="00A27D0D">
        <w:rPr>
          <w:rFonts w:ascii="Times New Roman" w:hAnsi="Times New Roman" w:cs="Times New Roman"/>
          <w:i/>
          <w:sz w:val="24"/>
          <w:szCs w:val="24"/>
        </w:rPr>
        <w:t>entitled</w:t>
      </w:r>
      <w:r w:rsidR="00A27D0D">
        <w:rPr>
          <w:rFonts w:ascii="Times New Roman" w:hAnsi="Times New Roman" w:cs="Times New Roman"/>
          <w:sz w:val="24"/>
          <w:szCs w:val="24"/>
        </w:rPr>
        <w:t xml:space="preserve">” to examine Mr McGinley, that reflects a fundamental misconception of </w:t>
      </w:r>
      <w:r w:rsidR="004344FB">
        <w:rPr>
          <w:rFonts w:ascii="Times New Roman" w:hAnsi="Times New Roman" w:cs="Times New Roman"/>
          <w:sz w:val="24"/>
          <w:szCs w:val="24"/>
        </w:rPr>
        <w:t xml:space="preserve">the effect of CBRE’s terms of engagement, an issue that is addressed further below. </w:t>
      </w:r>
    </w:p>
    <w:p w14:paraId="7385F6E7" w14:textId="77777777" w:rsidR="00A27D0D" w:rsidRDefault="00A27D0D" w:rsidP="00CB5C7B">
      <w:pPr>
        <w:pStyle w:val="ListParagraph"/>
        <w:spacing w:after="0" w:line="480" w:lineRule="auto"/>
        <w:ind w:hanging="436"/>
        <w:jc w:val="both"/>
        <w:rPr>
          <w:rFonts w:ascii="Times New Roman" w:hAnsi="Times New Roman" w:cs="Times New Roman"/>
          <w:sz w:val="24"/>
          <w:szCs w:val="24"/>
        </w:rPr>
      </w:pPr>
    </w:p>
    <w:p w14:paraId="4DFEBCF2" w14:textId="22255AE1" w:rsidR="00F95F4D" w:rsidRDefault="001B32C5"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The onus is, of course, on the First Defendant to establish some material error on the part of the Judge</w:t>
      </w:r>
      <w:r w:rsidR="004344FB">
        <w:rPr>
          <w:rFonts w:ascii="Times New Roman" w:hAnsi="Times New Roman" w:cs="Times New Roman"/>
          <w:sz w:val="24"/>
          <w:szCs w:val="24"/>
        </w:rPr>
        <w:t>. I</w:t>
      </w:r>
      <w:r>
        <w:rPr>
          <w:rFonts w:ascii="Times New Roman" w:hAnsi="Times New Roman" w:cs="Times New Roman"/>
          <w:sz w:val="24"/>
          <w:szCs w:val="24"/>
        </w:rPr>
        <w:t>n the circumstances</w:t>
      </w:r>
      <w:r w:rsidR="004344FB">
        <w:rPr>
          <w:rFonts w:ascii="Times New Roman" w:hAnsi="Times New Roman" w:cs="Times New Roman"/>
          <w:sz w:val="24"/>
          <w:szCs w:val="24"/>
        </w:rPr>
        <w:t>,</w:t>
      </w:r>
      <w:r>
        <w:rPr>
          <w:rFonts w:ascii="Times New Roman" w:hAnsi="Times New Roman" w:cs="Times New Roman"/>
          <w:sz w:val="24"/>
          <w:szCs w:val="24"/>
        </w:rPr>
        <w:t xml:space="preserve"> he has manifestly failed to do so</w:t>
      </w:r>
      <w:r w:rsidR="004344FB">
        <w:rPr>
          <w:rFonts w:ascii="Times New Roman" w:hAnsi="Times New Roman" w:cs="Times New Roman"/>
          <w:sz w:val="24"/>
          <w:szCs w:val="24"/>
        </w:rPr>
        <w:t xml:space="preserve"> under this heading.</w:t>
      </w:r>
    </w:p>
    <w:p w14:paraId="0E1C31F9" w14:textId="77777777" w:rsidR="002323F2" w:rsidRDefault="002323F2" w:rsidP="00CB5C7B">
      <w:pPr>
        <w:pStyle w:val="ListParagraph"/>
        <w:spacing w:after="0" w:line="480" w:lineRule="auto"/>
        <w:ind w:hanging="436"/>
        <w:jc w:val="both"/>
        <w:rPr>
          <w:rFonts w:ascii="Times New Roman" w:hAnsi="Times New Roman" w:cs="Times New Roman"/>
          <w:sz w:val="24"/>
          <w:szCs w:val="24"/>
        </w:rPr>
      </w:pPr>
    </w:p>
    <w:p w14:paraId="4AFE8AF3" w14:textId="460CF9EB" w:rsidR="002323F2" w:rsidRDefault="002323F2"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The Judge’s refusal to permit the First Defendant to examine “</w:t>
      </w:r>
      <w:r w:rsidRPr="002323F2">
        <w:rPr>
          <w:rFonts w:ascii="Times New Roman" w:hAnsi="Times New Roman" w:cs="Times New Roman"/>
          <w:i/>
          <w:sz w:val="24"/>
          <w:szCs w:val="24"/>
        </w:rPr>
        <w:t>witnesses</w:t>
      </w:r>
      <w:r>
        <w:rPr>
          <w:rFonts w:ascii="Times New Roman" w:hAnsi="Times New Roman" w:cs="Times New Roman"/>
          <w:sz w:val="24"/>
          <w:szCs w:val="24"/>
        </w:rPr>
        <w:t xml:space="preserve">” of the Bank is also said to demonstrate an </w:t>
      </w:r>
      <w:r w:rsidRPr="002323F2">
        <w:rPr>
          <w:rFonts w:ascii="Times New Roman" w:hAnsi="Times New Roman" w:cs="Times New Roman"/>
          <w:i/>
          <w:sz w:val="24"/>
          <w:szCs w:val="24"/>
        </w:rPr>
        <w:t>“inherent prejudice</w:t>
      </w:r>
      <w:r>
        <w:rPr>
          <w:rFonts w:ascii="Times New Roman" w:hAnsi="Times New Roman" w:cs="Times New Roman"/>
          <w:sz w:val="24"/>
          <w:szCs w:val="24"/>
        </w:rPr>
        <w:t xml:space="preserve">” </w:t>
      </w:r>
      <w:r w:rsidR="004922A4">
        <w:rPr>
          <w:rFonts w:ascii="Times New Roman" w:hAnsi="Times New Roman" w:cs="Times New Roman"/>
          <w:sz w:val="24"/>
          <w:szCs w:val="24"/>
        </w:rPr>
        <w:t xml:space="preserve">against </w:t>
      </w:r>
      <w:r>
        <w:rPr>
          <w:rFonts w:ascii="Times New Roman" w:hAnsi="Times New Roman" w:cs="Times New Roman"/>
          <w:sz w:val="24"/>
          <w:szCs w:val="24"/>
        </w:rPr>
        <w:t>him as a lay litigant (Notice of Appeal, para 10). The First Defendant was not, in fact, refused leave to examine the witnesses called by the Bank. He was instead refused leave to call additional Bank personnel/former personnel as witnesses</w:t>
      </w:r>
      <w:r w:rsidR="00DB5353">
        <w:rPr>
          <w:rFonts w:ascii="Times New Roman" w:hAnsi="Times New Roman" w:cs="Times New Roman"/>
          <w:sz w:val="24"/>
          <w:szCs w:val="24"/>
        </w:rPr>
        <w:t xml:space="preserve"> (he would not in </w:t>
      </w:r>
      <w:r w:rsidR="004922A4">
        <w:rPr>
          <w:rFonts w:ascii="Times New Roman" w:hAnsi="Times New Roman" w:cs="Times New Roman"/>
          <w:sz w:val="24"/>
          <w:szCs w:val="24"/>
        </w:rPr>
        <w:t xml:space="preserve">the </w:t>
      </w:r>
      <w:r w:rsidR="00DB5353">
        <w:rPr>
          <w:rFonts w:ascii="Times New Roman" w:hAnsi="Times New Roman" w:cs="Times New Roman"/>
          <w:sz w:val="24"/>
          <w:szCs w:val="24"/>
        </w:rPr>
        <w:t xml:space="preserve">ordinary course have been </w:t>
      </w:r>
      <w:r w:rsidR="00DB5353">
        <w:rPr>
          <w:rFonts w:ascii="Times New Roman" w:hAnsi="Times New Roman" w:cs="Times New Roman"/>
          <w:sz w:val="24"/>
          <w:szCs w:val="24"/>
        </w:rPr>
        <w:lastRenderedPageBreak/>
        <w:t>entitled to cross-examine</w:t>
      </w:r>
      <w:r w:rsidR="004922A4">
        <w:rPr>
          <w:rFonts w:ascii="Times New Roman" w:hAnsi="Times New Roman" w:cs="Times New Roman"/>
          <w:sz w:val="24"/>
          <w:szCs w:val="24"/>
        </w:rPr>
        <w:t xml:space="preserve"> these persons had they been called</w:t>
      </w:r>
      <w:r w:rsidR="00DB5353">
        <w:rPr>
          <w:rFonts w:ascii="Times New Roman" w:hAnsi="Times New Roman" w:cs="Times New Roman"/>
          <w:sz w:val="24"/>
          <w:szCs w:val="24"/>
        </w:rPr>
        <w:t>)</w:t>
      </w:r>
      <w:r>
        <w:rPr>
          <w:rFonts w:ascii="Times New Roman" w:hAnsi="Times New Roman" w:cs="Times New Roman"/>
          <w:sz w:val="24"/>
          <w:szCs w:val="24"/>
        </w:rPr>
        <w:t>. No error in that ruling has been identified and the fact that it was adverse to the First Defendant does not provide any basis for the suggestion that the Judge was prejudiced towards him.</w:t>
      </w:r>
      <w:r w:rsidR="0026224F">
        <w:rPr>
          <w:rFonts w:ascii="Times New Roman" w:hAnsi="Times New Roman" w:cs="Times New Roman"/>
          <w:sz w:val="24"/>
          <w:szCs w:val="24"/>
        </w:rPr>
        <w:t xml:space="preserve"> At various other points in the Notice of Appeal and/or in the First Defendant’s written submissions allegations of bias are made against the Judge. No basis for any of those allegations has been established and they ought never to have been made.</w:t>
      </w:r>
    </w:p>
    <w:p w14:paraId="4BA8A9ED" w14:textId="208BC93C" w:rsidR="001B32C5" w:rsidRDefault="001B32C5" w:rsidP="001B32C5">
      <w:pPr>
        <w:pStyle w:val="ListParagraph"/>
        <w:spacing w:after="0" w:line="480" w:lineRule="auto"/>
        <w:jc w:val="both"/>
        <w:rPr>
          <w:rFonts w:ascii="Times New Roman" w:hAnsi="Times New Roman" w:cs="Times New Roman"/>
          <w:sz w:val="24"/>
          <w:szCs w:val="24"/>
        </w:rPr>
      </w:pPr>
    </w:p>
    <w:p w14:paraId="2DB3B7FF" w14:textId="7ADC7413" w:rsidR="001B32C5" w:rsidRDefault="001B32C5" w:rsidP="00272396">
      <w:pPr>
        <w:pStyle w:val="Heading2"/>
      </w:pPr>
      <w:r>
        <w:t xml:space="preserve">The </w:t>
      </w:r>
      <w:r w:rsidR="001F7A10">
        <w:t>Judge</w:t>
      </w:r>
      <w:r w:rsidR="00B67C7D">
        <w:t>’</w:t>
      </w:r>
      <w:r w:rsidR="001F7A10">
        <w:t>s refusal to allow the First Defendant to call an expert graphologist</w:t>
      </w:r>
    </w:p>
    <w:p w14:paraId="668B02B1" w14:textId="77777777" w:rsidR="001F7A10" w:rsidRDefault="001F7A10" w:rsidP="001B32C5">
      <w:pPr>
        <w:pStyle w:val="ListParagraph"/>
        <w:spacing w:after="0" w:line="480" w:lineRule="auto"/>
        <w:jc w:val="both"/>
        <w:rPr>
          <w:rFonts w:ascii="Times New Roman" w:hAnsi="Times New Roman" w:cs="Times New Roman"/>
          <w:sz w:val="24"/>
          <w:szCs w:val="24"/>
        </w:rPr>
      </w:pPr>
    </w:p>
    <w:p w14:paraId="0F4CC888" w14:textId="4574ADAA" w:rsidR="001B32C5" w:rsidRDefault="001F7A10"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This issue requires a little explanation.</w:t>
      </w:r>
    </w:p>
    <w:p w14:paraId="28371D77" w14:textId="77777777" w:rsidR="001F7A10" w:rsidRDefault="001F7A10" w:rsidP="00CB5C7B">
      <w:pPr>
        <w:pStyle w:val="ListParagraph"/>
        <w:spacing w:after="0" w:line="480" w:lineRule="auto"/>
        <w:ind w:hanging="436"/>
        <w:jc w:val="both"/>
        <w:rPr>
          <w:rFonts w:ascii="Times New Roman" w:hAnsi="Times New Roman" w:cs="Times New Roman"/>
          <w:sz w:val="24"/>
          <w:szCs w:val="24"/>
        </w:rPr>
      </w:pPr>
    </w:p>
    <w:p w14:paraId="0671591F" w14:textId="0EDE36DC" w:rsidR="001F7A10" w:rsidRDefault="001F7A10" w:rsidP="00CB5C7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One of the major issues in dispute in the High Court was whether Granja was effectively a front for the First Defendant and whether the monies available to Granja to fund the purchase of the Kilpeddar Lands were actually provided by the First Defendant. These issues were the subject of very close analysis by the Judge.</w:t>
      </w:r>
    </w:p>
    <w:p w14:paraId="42153D83" w14:textId="77777777" w:rsidR="001F7A10" w:rsidRDefault="001F7A10" w:rsidP="001F7A10">
      <w:pPr>
        <w:pStyle w:val="ListParagraph"/>
        <w:spacing w:after="0" w:line="480" w:lineRule="auto"/>
        <w:jc w:val="both"/>
        <w:rPr>
          <w:rFonts w:ascii="Times New Roman" w:hAnsi="Times New Roman" w:cs="Times New Roman"/>
          <w:sz w:val="24"/>
          <w:szCs w:val="24"/>
        </w:rPr>
      </w:pPr>
    </w:p>
    <w:p w14:paraId="17CCFD49" w14:textId="0DC9B1BC" w:rsidR="001F7A10" w:rsidRDefault="001F7A10"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In order to dispute the Bank’s claim that the purchase monies had been provided by him, the First Defendant produced in evidence two Declarations of Trust. The first, dated 22 February 2000, purported to state that the entire shareholding in Balcora </w:t>
      </w:r>
      <w:r w:rsidR="006C09E9">
        <w:rPr>
          <w:rFonts w:ascii="Times New Roman" w:hAnsi="Times New Roman" w:cs="Times New Roman"/>
          <w:sz w:val="24"/>
          <w:szCs w:val="24"/>
        </w:rPr>
        <w:t xml:space="preserve">Holdings </w:t>
      </w:r>
      <w:r>
        <w:rPr>
          <w:rFonts w:ascii="Times New Roman" w:hAnsi="Times New Roman" w:cs="Times New Roman"/>
          <w:sz w:val="24"/>
          <w:szCs w:val="24"/>
        </w:rPr>
        <w:t xml:space="preserve">Limited </w:t>
      </w:r>
      <w:r w:rsidR="006C09E9">
        <w:rPr>
          <w:rFonts w:ascii="Times New Roman" w:hAnsi="Times New Roman" w:cs="Times New Roman"/>
          <w:sz w:val="24"/>
          <w:szCs w:val="24"/>
        </w:rPr>
        <w:t>(“</w:t>
      </w:r>
      <w:r w:rsidR="006C09E9" w:rsidRPr="006C09E9">
        <w:rPr>
          <w:rFonts w:ascii="Times New Roman" w:hAnsi="Times New Roman" w:cs="Times New Roman"/>
          <w:i/>
          <w:sz w:val="24"/>
          <w:szCs w:val="24"/>
        </w:rPr>
        <w:t>Balcora</w:t>
      </w:r>
      <w:r w:rsidR="006C09E9">
        <w:rPr>
          <w:rFonts w:ascii="Times New Roman" w:hAnsi="Times New Roman" w:cs="Times New Roman"/>
          <w:sz w:val="24"/>
          <w:szCs w:val="24"/>
        </w:rPr>
        <w:t xml:space="preserve">”) </w:t>
      </w:r>
      <w:r>
        <w:rPr>
          <w:rFonts w:ascii="Times New Roman" w:hAnsi="Times New Roman" w:cs="Times New Roman"/>
          <w:sz w:val="24"/>
          <w:szCs w:val="24"/>
        </w:rPr>
        <w:t>was held in trust by the First Defendant for</w:t>
      </w:r>
      <w:r w:rsidR="006C09E9">
        <w:rPr>
          <w:rFonts w:ascii="Times New Roman" w:hAnsi="Times New Roman" w:cs="Times New Roman"/>
          <w:sz w:val="24"/>
          <w:szCs w:val="24"/>
        </w:rPr>
        <w:t xml:space="preserve"> his brother-in-law, </w:t>
      </w:r>
      <w:r>
        <w:rPr>
          <w:rFonts w:ascii="Times New Roman" w:hAnsi="Times New Roman" w:cs="Times New Roman"/>
          <w:sz w:val="24"/>
          <w:szCs w:val="24"/>
        </w:rPr>
        <w:t xml:space="preserve"> </w:t>
      </w:r>
      <w:r w:rsidR="006C09E9">
        <w:rPr>
          <w:rFonts w:ascii="Times New Roman" w:hAnsi="Times New Roman" w:cs="Times New Roman"/>
          <w:sz w:val="24"/>
          <w:szCs w:val="24"/>
        </w:rPr>
        <w:t xml:space="preserve">Mr Tian </w:t>
      </w:r>
      <w:proofErr w:type="spellStart"/>
      <w:r w:rsidR="006C09E9">
        <w:rPr>
          <w:rFonts w:ascii="Times New Roman" w:hAnsi="Times New Roman" w:cs="Times New Roman"/>
          <w:sz w:val="24"/>
          <w:szCs w:val="24"/>
        </w:rPr>
        <w:t>Su</w:t>
      </w:r>
      <w:proofErr w:type="spellEnd"/>
      <w:r w:rsidR="006C09E9">
        <w:rPr>
          <w:rFonts w:ascii="Times New Roman" w:hAnsi="Times New Roman" w:cs="Times New Roman"/>
          <w:sz w:val="24"/>
          <w:szCs w:val="24"/>
        </w:rPr>
        <w:t xml:space="preserve"> </w:t>
      </w:r>
      <w:proofErr w:type="spellStart"/>
      <w:r w:rsidR="006C09E9">
        <w:rPr>
          <w:rFonts w:ascii="Times New Roman" w:hAnsi="Times New Roman" w:cs="Times New Roman"/>
          <w:sz w:val="24"/>
          <w:szCs w:val="24"/>
        </w:rPr>
        <w:t>Ooi</w:t>
      </w:r>
      <w:proofErr w:type="spellEnd"/>
      <w:r w:rsidR="006C09E9">
        <w:rPr>
          <w:rFonts w:ascii="Times New Roman" w:hAnsi="Times New Roman" w:cs="Times New Roman"/>
          <w:sz w:val="24"/>
          <w:szCs w:val="24"/>
        </w:rPr>
        <w:t xml:space="preserve">. Balcora was a English company. The First Defendant had been a director and was its sole shareholder until a transfer of his shareholding to his secretary which was effected shortly before the execution of the Compromise Agreement. Balcora held cash of </w:t>
      </w:r>
      <w:r w:rsidR="00444A6D">
        <w:rPr>
          <w:rFonts w:ascii="Times New Roman" w:hAnsi="Times New Roman" w:cs="Times New Roman"/>
          <w:sz w:val="24"/>
          <w:szCs w:val="24"/>
        </w:rPr>
        <w:t>STG</w:t>
      </w:r>
      <w:r w:rsidR="006C09E9">
        <w:rPr>
          <w:rFonts w:ascii="Times New Roman" w:hAnsi="Times New Roman" w:cs="Times New Roman"/>
          <w:sz w:val="24"/>
          <w:szCs w:val="24"/>
        </w:rPr>
        <w:t>£274,34</w:t>
      </w:r>
      <w:r w:rsidR="00A751C8">
        <w:rPr>
          <w:rFonts w:ascii="Times New Roman" w:hAnsi="Times New Roman" w:cs="Times New Roman"/>
          <w:sz w:val="24"/>
          <w:szCs w:val="24"/>
        </w:rPr>
        <w:t>0</w:t>
      </w:r>
      <w:r w:rsidR="00444A6D">
        <w:rPr>
          <w:rFonts w:ascii="Times New Roman" w:hAnsi="Times New Roman" w:cs="Times New Roman"/>
          <w:sz w:val="24"/>
          <w:szCs w:val="24"/>
        </w:rPr>
        <w:t xml:space="preserve"> (Judgment, para 90).</w:t>
      </w:r>
      <w:r w:rsidR="006C09E9">
        <w:rPr>
          <w:rFonts w:ascii="Times New Roman" w:hAnsi="Times New Roman" w:cs="Times New Roman"/>
          <w:sz w:val="24"/>
          <w:szCs w:val="24"/>
        </w:rPr>
        <w:t xml:space="preserve"> The second </w:t>
      </w:r>
      <w:r w:rsidR="006C09E9">
        <w:rPr>
          <w:rFonts w:ascii="Times New Roman" w:hAnsi="Times New Roman" w:cs="Times New Roman"/>
          <w:sz w:val="24"/>
          <w:szCs w:val="24"/>
        </w:rPr>
        <w:lastRenderedPageBreak/>
        <w:t xml:space="preserve">Declaration of Trust, dated 9 April 2007, related to another English company </w:t>
      </w:r>
      <w:proofErr w:type="spellStart"/>
      <w:r w:rsidR="006C09E9">
        <w:rPr>
          <w:rFonts w:ascii="Times New Roman" w:hAnsi="Times New Roman" w:cs="Times New Roman"/>
          <w:sz w:val="24"/>
          <w:szCs w:val="24"/>
        </w:rPr>
        <w:t>Cleverpeople</w:t>
      </w:r>
      <w:proofErr w:type="spellEnd"/>
      <w:r w:rsidR="006C09E9">
        <w:rPr>
          <w:rFonts w:ascii="Times New Roman" w:hAnsi="Times New Roman" w:cs="Times New Roman"/>
          <w:sz w:val="24"/>
          <w:szCs w:val="24"/>
        </w:rPr>
        <w:t xml:space="preserve"> Limited (“</w:t>
      </w:r>
      <w:proofErr w:type="spellStart"/>
      <w:r w:rsidR="006C09E9" w:rsidRPr="006C09E9">
        <w:rPr>
          <w:rFonts w:ascii="Times New Roman" w:hAnsi="Times New Roman" w:cs="Times New Roman"/>
          <w:i/>
          <w:sz w:val="24"/>
          <w:szCs w:val="24"/>
        </w:rPr>
        <w:t>Cleverpeople</w:t>
      </w:r>
      <w:proofErr w:type="spellEnd"/>
      <w:r w:rsidR="006C09E9">
        <w:rPr>
          <w:rFonts w:ascii="Times New Roman" w:hAnsi="Times New Roman" w:cs="Times New Roman"/>
          <w:sz w:val="24"/>
          <w:szCs w:val="24"/>
        </w:rPr>
        <w:t xml:space="preserve">”). </w:t>
      </w:r>
      <w:proofErr w:type="spellStart"/>
      <w:r w:rsidR="006C09E9">
        <w:rPr>
          <w:rFonts w:ascii="Times New Roman" w:hAnsi="Times New Roman" w:cs="Times New Roman"/>
          <w:sz w:val="24"/>
          <w:szCs w:val="24"/>
        </w:rPr>
        <w:t>Cleverpeople</w:t>
      </w:r>
      <w:proofErr w:type="spellEnd"/>
      <w:r w:rsidR="006C09E9">
        <w:rPr>
          <w:rFonts w:ascii="Times New Roman" w:hAnsi="Times New Roman" w:cs="Times New Roman"/>
          <w:sz w:val="24"/>
          <w:szCs w:val="24"/>
        </w:rPr>
        <w:t xml:space="preserve"> was a subsidiary of Balcora. </w:t>
      </w:r>
      <w:proofErr w:type="spellStart"/>
      <w:r w:rsidR="006C09E9">
        <w:rPr>
          <w:rFonts w:ascii="Times New Roman" w:hAnsi="Times New Roman" w:cs="Times New Roman"/>
          <w:sz w:val="24"/>
          <w:szCs w:val="24"/>
        </w:rPr>
        <w:t>Cleverpeople</w:t>
      </w:r>
      <w:proofErr w:type="spellEnd"/>
      <w:r w:rsidR="006C09E9">
        <w:rPr>
          <w:rFonts w:ascii="Times New Roman" w:hAnsi="Times New Roman" w:cs="Times New Roman"/>
          <w:sz w:val="24"/>
          <w:szCs w:val="24"/>
        </w:rPr>
        <w:t xml:space="preserve"> owed </w:t>
      </w:r>
      <w:r w:rsidR="00444A6D">
        <w:rPr>
          <w:rFonts w:ascii="Times New Roman" w:hAnsi="Times New Roman" w:cs="Times New Roman"/>
          <w:sz w:val="24"/>
          <w:szCs w:val="24"/>
        </w:rPr>
        <w:t>STG</w:t>
      </w:r>
      <w:r w:rsidR="006C09E9">
        <w:rPr>
          <w:rFonts w:ascii="Times New Roman" w:hAnsi="Times New Roman" w:cs="Times New Roman"/>
          <w:sz w:val="24"/>
          <w:szCs w:val="24"/>
        </w:rPr>
        <w:t>£915,441 to the First Defendant but the Declaration of Trust declared that this sum was held on trust by the First Defendant for Mr Ooi</w:t>
      </w:r>
      <w:r w:rsidR="00444A6D">
        <w:rPr>
          <w:rFonts w:ascii="Times New Roman" w:hAnsi="Times New Roman" w:cs="Times New Roman"/>
          <w:sz w:val="24"/>
          <w:szCs w:val="24"/>
        </w:rPr>
        <w:t xml:space="preserve"> (Judgment, para 91). </w:t>
      </w:r>
    </w:p>
    <w:p w14:paraId="510229C8" w14:textId="77777777" w:rsidR="00444A6D" w:rsidRDefault="00444A6D" w:rsidP="009D4536">
      <w:pPr>
        <w:pStyle w:val="ListParagraph"/>
        <w:spacing w:after="0" w:line="480" w:lineRule="auto"/>
        <w:ind w:hanging="436"/>
        <w:jc w:val="both"/>
        <w:rPr>
          <w:rFonts w:ascii="Times New Roman" w:hAnsi="Times New Roman" w:cs="Times New Roman"/>
          <w:sz w:val="24"/>
          <w:szCs w:val="24"/>
        </w:rPr>
      </w:pPr>
    </w:p>
    <w:p w14:paraId="20C4656B" w14:textId="42A8FF7C" w:rsidR="00444A6D" w:rsidRDefault="00444A6D"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That the sums held by </w:t>
      </w:r>
      <w:proofErr w:type="spellStart"/>
      <w:r>
        <w:rPr>
          <w:rFonts w:ascii="Times New Roman" w:hAnsi="Times New Roman" w:cs="Times New Roman"/>
          <w:sz w:val="24"/>
          <w:szCs w:val="24"/>
        </w:rPr>
        <w:t>Balcora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Cleverpeople</w:t>
      </w:r>
      <w:proofErr w:type="spellEnd"/>
      <w:r>
        <w:rPr>
          <w:rFonts w:ascii="Times New Roman" w:hAnsi="Times New Roman" w:cs="Times New Roman"/>
          <w:sz w:val="24"/>
          <w:szCs w:val="24"/>
        </w:rPr>
        <w:t xml:space="preserve"> were the source of the funds in Granja’s client account with its solicitors appears not to have been in dispute (Judgment, para 79). The Judge also found that, when the sale of the Kilpeddar Lands to Granja did not proceed, the </w:t>
      </w:r>
      <w:r w:rsidR="00685B30">
        <w:rPr>
          <w:rFonts w:ascii="Times New Roman" w:hAnsi="Times New Roman" w:cs="Times New Roman"/>
          <w:sz w:val="24"/>
          <w:szCs w:val="24"/>
        </w:rPr>
        <w:t>balance held by the solicitors, after deduction of litigation and legal costs (which appear to have been significant) was paid to the First Defendant, rather than to Mr Ooi (Judgment, para 106).</w:t>
      </w:r>
    </w:p>
    <w:p w14:paraId="7E6F2E75" w14:textId="77777777" w:rsidR="00444A6D" w:rsidRDefault="00444A6D" w:rsidP="009D4536">
      <w:pPr>
        <w:pStyle w:val="ListParagraph"/>
        <w:spacing w:after="0" w:line="480" w:lineRule="auto"/>
        <w:ind w:hanging="436"/>
        <w:jc w:val="both"/>
        <w:rPr>
          <w:rFonts w:ascii="Times New Roman" w:hAnsi="Times New Roman" w:cs="Times New Roman"/>
          <w:sz w:val="24"/>
          <w:szCs w:val="24"/>
        </w:rPr>
      </w:pPr>
    </w:p>
    <w:p w14:paraId="76B790D6" w14:textId="52EF9DC0" w:rsidR="00672511" w:rsidRPr="00570A53" w:rsidRDefault="00444A6D" w:rsidP="00570A53">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The two Declarations of Trust were signed by the First Defendant (though not by Mr Ooi) and purportedly witnessed by a solicitor, Earl Gallogly. Mr Gallogly had died in September 2013. </w:t>
      </w:r>
      <w:r w:rsidR="000E44E8">
        <w:rPr>
          <w:rFonts w:ascii="Times New Roman" w:hAnsi="Times New Roman" w:cs="Times New Roman"/>
          <w:sz w:val="24"/>
          <w:szCs w:val="24"/>
        </w:rPr>
        <w:t xml:space="preserve">The Bank </w:t>
      </w:r>
      <w:r w:rsidR="0027474F">
        <w:rPr>
          <w:rFonts w:ascii="Times New Roman" w:hAnsi="Times New Roman" w:cs="Times New Roman"/>
          <w:sz w:val="24"/>
          <w:szCs w:val="24"/>
        </w:rPr>
        <w:t xml:space="preserve">asserted that </w:t>
      </w:r>
      <w:r w:rsidR="008E0DC4">
        <w:rPr>
          <w:rFonts w:ascii="Times New Roman" w:hAnsi="Times New Roman" w:cs="Times New Roman"/>
          <w:sz w:val="24"/>
          <w:szCs w:val="24"/>
        </w:rPr>
        <w:t xml:space="preserve">the purported signatures of </w:t>
      </w:r>
      <w:r w:rsidR="0027474F">
        <w:rPr>
          <w:rFonts w:ascii="Times New Roman" w:hAnsi="Times New Roman" w:cs="Times New Roman"/>
          <w:sz w:val="24"/>
          <w:szCs w:val="24"/>
        </w:rPr>
        <w:t>Mr Gallogly on the Declarations of Trust were forgeries</w:t>
      </w:r>
      <w:r w:rsidR="008E0DC4">
        <w:rPr>
          <w:rFonts w:ascii="Times New Roman" w:hAnsi="Times New Roman" w:cs="Times New Roman"/>
          <w:sz w:val="24"/>
          <w:szCs w:val="24"/>
        </w:rPr>
        <w:t xml:space="preserve">. In order to make that case, the Bank relied on the evidence of an expert graphologist, Sean Lynch. We were told </w:t>
      </w:r>
      <w:r w:rsidR="00672511">
        <w:rPr>
          <w:rFonts w:ascii="Times New Roman" w:hAnsi="Times New Roman" w:cs="Times New Roman"/>
          <w:sz w:val="24"/>
          <w:szCs w:val="24"/>
        </w:rPr>
        <w:t xml:space="preserve">by the Bank </w:t>
      </w:r>
      <w:r w:rsidR="008E0DC4">
        <w:rPr>
          <w:rFonts w:ascii="Times New Roman" w:hAnsi="Times New Roman" w:cs="Times New Roman"/>
          <w:sz w:val="24"/>
          <w:szCs w:val="24"/>
        </w:rPr>
        <w:t>that Mr Lynch prepared a report which</w:t>
      </w:r>
      <w:r w:rsidR="004344FB">
        <w:rPr>
          <w:rFonts w:ascii="Times New Roman" w:hAnsi="Times New Roman" w:cs="Times New Roman"/>
          <w:sz w:val="24"/>
          <w:szCs w:val="24"/>
        </w:rPr>
        <w:t>, we were told,</w:t>
      </w:r>
      <w:r w:rsidR="008E0DC4">
        <w:rPr>
          <w:rFonts w:ascii="Times New Roman" w:hAnsi="Times New Roman" w:cs="Times New Roman"/>
          <w:sz w:val="24"/>
          <w:szCs w:val="24"/>
        </w:rPr>
        <w:t xml:space="preserve"> was furnished to the Defendants </w:t>
      </w:r>
      <w:r w:rsidR="004344FB">
        <w:rPr>
          <w:rFonts w:ascii="Times New Roman" w:hAnsi="Times New Roman" w:cs="Times New Roman"/>
          <w:sz w:val="24"/>
          <w:szCs w:val="24"/>
        </w:rPr>
        <w:t xml:space="preserve">long </w:t>
      </w:r>
      <w:r w:rsidR="008E0DC4">
        <w:rPr>
          <w:rFonts w:ascii="Times New Roman" w:hAnsi="Times New Roman" w:cs="Times New Roman"/>
          <w:sz w:val="24"/>
          <w:szCs w:val="24"/>
        </w:rPr>
        <w:t xml:space="preserve">in advance of the hearing. </w:t>
      </w:r>
      <w:r w:rsidR="00672511">
        <w:rPr>
          <w:rFonts w:ascii="Times New Roman" w:hAnsi="Times New Roman" w:cs="Times New Roman"/>
          <w:sz w:val="24"/>
          <w:szCs w:val="24"/>
        </w:rPr>
        <w:t xml:space="preserve">The First Respondent did not give notice of any intention to call a graphologist as a witness or deliver a statement or report from a graphologist. </w:t>
      </w:r>
      <w:r w:rsidR="008E0DC4">
        <w:rPr>
          <w:rFonts w:ascii="Times New Roman" w:hAnsi="Times New Roman" w:cs="Times New Roman"/>
          <w:sz w:val="24"/>
          <w:szCs w:val="24"/>
        </w:rPr>
        <w:t>We were also told</w:t>
      </w:r>
      <w:r w:rsidR="00672511">
        <w:rPr>
          <w:rFonts w:ascii="Times New Roman" w:hAnsi="Times New Roman" w:cs="Times New Roman"/>
          <w:sz w:val="24"/>
          <w:szCs w:val="24"/>
        </w:rPr>
        <w:t xml:space="preserve"> by the Bank</w:t>
      </w:r>
      <w:r w:rsidR="008E0DC4">
        <w:rPr>
          <w:rFonts w:ascii="Times New Roman" w:hAnsi="Times New Roman" w:cs="Times New Roman"/>
          <w:sz w:val="24"/>
          <w:szCs w:val="24"/>
        </w:rPr>
        <w:t xml:space="preserve"> that Mr Ly</w:t>
      </w:r>
      <w:r w:rsidR="00672511">
        <w:rPr>
          <w:rFonts w:ascii="Times New Roman" w:hAnsi="Times New Roman" w:cs="Times New Roman"/>
          <w:sz w:val="24"/>
          <w:szCs w:val="24"/>
        </w:rPr>
        <w:t>nch</w:t>
      </w:r>
      <w:r w:rsidR="008E0DC4">
        <w:rPr>
          <w:rFonts w:ascii="Times New Roman" w:hAnsi="Times New Roman" w:cs="Times New Roman"/>
          <w:sz w:val="24"/>
          <w:szCs w:val="24"/>
        </w:rPr>
        <w:t xml:space="preserve"> was tendered as a witness </w:t>
      </w:r>
      <w:r w:rsidR="00672511">
        <w:rPr>
          <w:rFonts w:ascii="Times New Roman" w:hAnsi="Times New Roman" w:cs="Times New Roman"/>
          <w:sz w:val="24"/>
          <w:szCs w:val="24"/>
        </w:rPr>
        <w:t>on Day 8 of the trial (13 December 2019) but that the First Defendant did not seek to cross-examine him. None of this was disputed by the First Defendant.</w:t>
      </w:r>
    </w:p>
    <w:p w14:paraId="3AD93630" w14:textId="050705C8" w:rsidR="00672511" w:rsidRDefault="00947073"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lastRenderedPageBreak/>
        <w:t xml:space="preserve">As we understand the position (and in this context </w:t>
      </w:r>
      <w:r w:rsidR="005B0800">
        <w:rPr>
          <w:rFonts w:ascii="Times New Roman" w:hAnsi="Times New Roman" w:cs="Times New Roman"/>
          <w:sz w:val="24"/>
          <w:szCs w:val="24"/>
        </w:rPr>
        <w:t xml:space="preserve">we rely </w:t>
      </w:r>
      <w:r>
        <w:rPr>
          <w:rFonts w:ascii="Times New Roman" w:hAnsi="Times New Roman" w:cs="Times New Roman"/>
          <w:sz w:val="24"/>
          <w:szCs w:val="24"/>
        </w:rPr>
        <w:t xml:space="preserve">on the narrative in the </w:t>
      </w:r>
      <w:r w:rsidR="005B0800">
        <w:rPr>
          <w:rFonts w:ascii="Times New Roman" w:hAnsi="Times New Roman" w:cs="Times New Roman"/>
          <w:sz w:val="24"/>
          <w:szCs w:val="24"/>
        </w:rPr>
        <w:t xml:space="preserve">Respondent’s Notice filed by the </w:t>
      </w:r>
      <w:r>
        <w:rPr>
          <w:rFonts w:ascii="Times New Roman" w:hAnsi="Times New Roman" w:cs="Times New Roman"/>
          <w:sz w:val="24"/>
          <w:szCs w:val="24"/>
        </w:rPr>
        <w:t>Bank</w:t>
      </w:r>
      <w:r w:rsidR="00E35562">
        <w:rPr>
          <w:rFonts w:ascii="Times New Roman" w:hAnsi="Times New Roman" w:cs="Times New Roman"/>
          <w:sz w:val="24"/>
          <w:szCs w:val="24"/>
        </w:rPr>
        <w:t>,</w:t>
      </w:r>
      <w:r>
        <w:rPr>
          <w:rFonts w:ascii="Times New Roman" w:hAnsi="Times New Roman" w:cs="Times New Roman"/>
          <w:sz w:val="24"/>
          <w:szCs w:val="24"/>
        </w:rPr>
        <w:t xml:space="preserve"> which has not been challenged in any way) </w:t>
      </w:r>
      <w:r w:rsidR="00672511">
        <w:rPr>
          <w:rFonts w:ascii="Times New Roman" w:hAnsi="Times New Roman" w:cs="Times New Roman"/>
          <w:sz w:val="24"/>
          <w:szCs w:val="24"/>
        </w:rPr>
        <w:t xml:space="preserve">Mr Lynch examined documents filed in the Companies Registration Office which purported to be signed by Mr Gallogly and compared the signature on those documents with the form of signature on the two Declarations of Trust. In Mr Lynch’s opinion, the signatures on the Declarations of Trust were not written by the same person </w:t>
      </w:r>
      <w:r w:rsidR="00F200EA">
        <w:rPr>
          <w:rFonts w:ascii="Times New Roman" w:hAnsi="Times New Roman" w:cs="Times New Roman"/>
          <w:sz w:val="24"/>
          <w:szCs w:val="24"/>
        </w:rPr>
        <w:t>who</w:t>
      </w:r>
      <w:r w:rsidR="00672511">
        <w:rPr>
          <w:rFonts w:ascii="Times New Roman" w:hAnsi="Times New Roman" w:cs="Times New Roman"/>
          <w:sz w:val="24"/>
          <w:szCs w:val="24"/>
        </w:rPr>
        <w:t xml:space="preserve"> signed the CRO documents. Mr Lynch did not give evidence to the effect that the First Defendant had forged the signatures of Mr Gallogly on the Declarations of Trust. </w:t>
      </w:r>
      <w:r>
        <w:rPr>
          <w:rFonts w:ascii="Times New Roman" w:hAnsi="Times New Roman" w:cs="Times New Roman"/>
          <w:sz w:val="24"/>
          <w:szCs w:val="24"/>
        </w:rPr>
        <w:t>At the request of the Judge, Mr Lynch examined a copy of Mr Gallogly’s will and produced an addendum report which concluded that the signature on the will was also at variance with the signatures on the Declarations of Trust</w:t>
      </w:r>
      <w:r w:rsidR="000A29B8">
        <w:rPr>
          <w:rFonts w:ascii="Times New Roman" w:hAnsi="Times New Roman" w:cs="Times New Roman"/>
          <w:sz w:val="24"/>
          <w:szCs w:val="24"/>
        </w:rPr>
        <w:t xml:space="preserve">. </w:t>
      </w:r>
      <w:r w:rsidR="00A27D0D">
        <w:rPr>
          <w:rFonts w:ascii="Times New Roman" w:hAnsi="Times New Roman" w:cs="Times New Roman"/>
          <w:sz w:val="24"/>
          <w:szCs w:val="24"/>
        </w:rPr>
        <w:t>Again, it appears, the First Defendant did not seek to challenge that opinion.</w:t>
      </w:r>
    </w:p>
    <w:p w14:paraId="426771E3" w14:textId="77777777" w:rsidR="000A29B8" w:rsidRDefault="000A29B8" w:rsidP="009D4536">
      <w:pPr>
        <w:pStyle w:val="ListParagraph"/>
        <w:spacing w:after="0" w:line="480" w:lineRule="auto"/>
        <w:ind w:hanging="436"/>
        <w:jc w:val="both"/>
        <w:rPr>
          <w:rFonts w:ascii="Times New Roman" w:hAnsi="Times New Roman" w:cs="Times New Roman"/>
          <w:sz w:val="24"/>
          <w:szCs w:val="24"/>
        </w:rPr>
      </w:pPr>
    </w:p>
    <w:p w14:paraId="10D71856" w14:textId="09740F2E" w:rsidR="00787A7F" w:rsidRDefault="00787A7F"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On</w:t>
      </w:r>
      <w:r w:rsidR="00A27D0D">
        <w:rPr>
          <w:rFonts w:ascii="Times New Roman" w:hAnsi="Times New Roman" w:cs="Times New Roman"/>
          <w:sz w:val="24"/>
          <w:szCs w:val="24"/>
        </w:rPr>
        <w:t xml:space="preserve"> Day 18</w:t>
      </w:r>
      <w:r w:rsidR="004344FB">
        <w:rPr>
          <w:rFonts w:ascii="Times New Roman" w:hAnsi="Times New Roman" w:cs="Times New Roman"/>
          <w:sz w:val="24"/>
          <w:szCs w:val="24"/>
        </w:rPr>
        <w:t xml:space="preserve"> </w:t>
      </w:r>
      <w:r>
        <w:rPr>
          <w:rFonts w:ascii="Times New Roman" w:hAnsi="Times New Roman" w:cs="Times New Roman"/>
          <w:sz w:val="24"/>
          <w:szCs w:val="24"/>
        </w:rPr>
        <w:t xml:space="preserve">of the High Court hearing </w:t>
      </w:r>
      <w:r w:rsidR="004344FB">
        <w:rPr>
          <w:rFonts w:ascii="Times New Roman" w:hAnsi="Times New Roman" w:cs="Times New Roman"/>
          <w:sz w:val="24"/>
          <w:szCs w:val="24"/>
        </w:rPr>
        <w:t>- after the conclusion of the evidence – the First Defendant sought to call a graphologist to rebut the evidence of Mr Lynch. Quite apart from the timing of that application, it was clearly irregular in circumstances where the evidence of Mr Lynch had not been challenged by the First Defendant</w:t>
      </w:r>
      <w:r w:rsidR="00EF057E">
        <w:rPr>
          <w:rFonts w:ascii="Times New Roman" w:hAnsi="Times New Roman" w:cs="Times New Roman"/>
          <w:sz w:val="24"/>
          <w:szCs w:val="24"/>
        </w:rPr>
        <w:t xml:space="preserve">. In any event, it is apparent from the transcript extract relied on by the First Defendant </w:t>
      </w:r>
      <w:r w:rsidR="00A2171D">
        <w:rPr>
          <w:rFonts w:ascii="Times New Roman" w:hAnsi="Times New Roman" w:cs="Times New Roman"/>
          <w:sz w:val="24"/>
          <w:szCs w:val="24"/>
        </w:rPr>
        <w:t xml:space="preserve">in this context </w:t>
      </w:r>
      <w:r w:rsidR="00EF057E">
        <w:rPr>
          <w:rFonts w:ascii="Times New Roman" w:hAnsi="Times New Roman" w:cs="Times New Roman"/>
          <w:sz w:val="24"/>
          <w:szCs w:val="24"/>
        </w:rPr>
        <w:t xml:space="preserve">(Day 18, </w:t>
      </w:r>
      <w:r w:rsidR="00A2171D">
        <w:rPr>
          <w:rFonts w:ascii="Times New Roman" w:hAnsi="Times New Roman" w:cs="Times New Roman"/>
          <w:sz w:val="24"/>
          <w:szCs w:val="24"/>
        </w:rPr>
        <w:t>pages 15-18) that the stated basis on which the First Defendant wished to call a graphologist was to refute any allegation that he (the First Defendant) had forged Mr Gallogly’s signature on the Declarations of Trust. The Bank made it clear in discussion with the Court that it was not making such an allegation or asking the Court to make such a finding to that effect. The Judge in turn stated clearly that “</w:t>
      </w:r>
      <w:r w:rsidR="00A2171D" w:rsidRPr="00A2171D">
        <w:rPr>
          <w:rFonts w:ascii="Times New Roman" w:hAnsi="Times New Roman" w:cs="Times New Roman"/>
          <w:i/>
          <w:sz w:val="24"/>
          <w:szCs w:val="24"/>
        </w:rPr>
        <w:t>whatever happens, I will not or this Court will not be making a finding that you forged that signature</w:t>
      </w:r>
      <w:r w:rsidR="00A2171D">
        <w:rPr>
          <w:rFonts w:ascii="Times New Roman" w:hAnsi="Times New Roman" w:cs="Times New Roman"/>
          <w:sz w:val="24"/>
          <w:szCs w:val="24"/>
        </w:rPr>
        <w:t xml:space="preserve">” (Day </w:t>
      </w:r>
      <w:r w:rsidR="00A2171D">
        <w:rPr>
          <w:rFonts w:ascii="Times New Roman" w:hAnsi="Times New Roman" w:cs="Times New Roman"/>
          <w:sz w:val="24"/>
          <w:szCs w:val="24"/>
        </w:rPr>
        <w:lastRenderedPageBreak/>
        <w:t>18, page 8)</w:t>
      </w:r>
      <w:r w:rsidR="00AA3ECF">
        <w:rPr>
          <w:rFonts w:ascii="Times New Roman" w:hAnsi="Times New Roman" w:cs="Times New Roman"/>
          <w:sz w:val="24"/>
          <w:szCs w:val="24"/>
        </w:rPr>
        <w:t xml:space="preserve">. </w:t>
      </w:r>
      <w:r>
        <w:rPr>
          <w:rFonts w:ascii="Times New Roman" w:hAnsi="Times New Roman" w:cs="Times New Roman"/>
          <w:sz w:val="24"/>
          <w:szCs w:val="24"/>
        </w:rPr>
        <w:t>On that basis the Judge ruled that it was unnecessary to allow the graphologist to be called (</w:t>
      </w:r>
      <w:r w:rsidRPr="00787A7F">
        <w:rPr>
          <w:rFonts w:ascii="Times New Roman" w:hAnsi="Times New Roman" w:cs="Times New Roman"/>
          <w:i/>
          <w:sz w:val="24"/>
          <w:szCs w:val="24"/>
        </w:rPr>
        <w:t>Ibid</w:t>
      </w:r>
      <w:r>
        <w:rPr>
          <w:rFonts w:ascii="Times New Roman" w:hAnsi="Times New Roman" w:cs="Times New Roman"/>
          <w:sz w:val="24"/>
          <w:szCs w:val="24"/>
        </w:rPr>
        <w:t>).</w:t>
      </w:r>
    </w:p>
    <w:p w14:paraId="0132200A" w14:textId="77777777" w:rsidR="00787A7F" w:rsidRDefault="00787A7F" w:rsidP="009D4536">
      <w:pPr>
        <w:pStyle w:val="ListParagraph"/>
        <w:spacing w:after="0" w:line="480" w:lineRule="auto"/>
        <w:ind w:hanging="436"/>
        <w:jc w:val="both"/>
        <w:rPr>
          <w:rFonts w:ascii="Times New Roman" w:hAnsi="Times New Roman" w:cs="Times New Roman"/>
          <w:sz w:val="24"/>
          <w:szCs w:val="24"/>
        </w:rPr>
      </w:pPr>
    </w:p>
    <w:p w14:paraId="16FDFA2D" w14:textId="0DB439AA" w:rsidR="00E1220C" w:rsidRDefault="00E1220C"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The lateness of the application and the fact that Mr Lynch’s evidence had not been challenged were weighty factors against permitting the graphologist to be called. </w:t>
      </w:r>
      <w:r w:rsidR="00331FFC">
        <w:rPr>
          <w:rFonts w:ascii="Times New Roman" w:hAnsi="Times New Roman" w:cs="Times New Roman"/>
          <w:sz w:val="24"/>
          <w:szCs w:val="24"/>
        </w:rPr>
        <w:t xml:space="preserve">These proceedings had been case managed in the Commercial List and were subject to the specific regime set out in Order 63A RSC. </w:t>
      </w:r>
      <w:r w:rsidR="0001515A">
        <w:rPr>
          <w:rFonts w:ascii="Times New Roman" w:hAnsi="Times New Roman" w:cs="Times New Roman"/>
          <w:sz w:val="24"/>
          <w:szCs w:val="24"/>
        </w:rPr>
        <w:t xml:space="preserve">The First Defendant had had ample opportunity to retain a graphologist if he wished to challenge Mr Lynch’s opinion. Acceding to the First Defendant’s application </w:t>
      </w:r>
      <w:r>
        <w:rPr>
          <w:rFonts w:ascii="Times New Roman" w:hAnsi="Times New Roman" w:cs="Times New Roman"/>
          <w:sz w:val="24"/>
          <w:szCs w:val="24"/>
        </w:rPr>
        <w:t xml:space="preserve">would </w:t>
      </w:r>
      <w:r w:rsidR="00331FFC">
        <w:rPr>
          <w:rFonts w:ascii="Times New Roman" w:hAnsi="Times New Roman" w:cs="Times New Roman"/>
          <w:sz w:val="24"/>
          <w:szCs w:val="24"/>
        </w:rPr>
        <w:t>inevitably</w:t>
      </w:r>
      <w:r>
        <w:rPr>
          <w:rFonts w:ascii="Times New Roman" w:hAnsi="Times New Roman" w:cs="Times New Roman"/>
          <w:sz w:val="24"/>
          <w:szCs w:val="24"/>
        </w:rPr>
        <w:t xml:space="preserve"> have resulted in delay and additional costs</w:t>
      </w:r>
      <w:r w:rsidR="0001515A">
        <w:rPr>
          <w:rFonts w:ascii="Times New Roman" w:hAnsi="Times New Roman" w:cs="Times New Roman"/>
          <w:sz w:val="24"/>
          <w:szCs w:val="24"/>
        </w:rPr>
        <w:t xml:space="preserve">. </w:t>
      </w:r>
      <w:r>
        <w:rPr>
          <w:rFonts w:ascii="Times New Roman" w:hAnsi="Times New Roman" w:cs="Times New Roman"/>
          <w:sz w:val="24"/>
          <w:szCs w:val="24"/>
        </w:rPr>
        <w:t>The stated concern of the First Defendant – that a finding would be made that he forged the signatures – was addressed by the Judge and he was entitled to take the view that no useful purpose would therefore be served by permitting the evidence to be called. In the</w:t>
      </w:r>
      <w:r w:rsidR="007E5A6F">
        <w:rPr>
          <w:rFonts w:ascii="Times New Roman" w:hAnsi="Times New Roman" w:cs="Times New Roman"/>
          <w:sz w:val="24"/>
          <w:szCs w:val="24"/>
        </w:rPr>
        <w:t xml:space="preserve">se </w:t>
      </w:r>
      <w:r>
        <w:rPr>
          <w:rFonts w:ascii="Times New Roman" w:hAnsi="Times New Roman" w:cs="Times New Roman"/>
          <w:sz w:val="24"/>
          <w:szCs w:val="24"/>
        </w:rPr>
        <w:t xml:space="preserve">circumstances, we do not consider that there is any basis on which this Court could properly conclude that the Judge erred in not permitting the First Defendant to call a graphologist to give evidence or that any injustice was caused to the First Defendant. </w:t>
      </w:r>
      <w:r w:rsidR="007E5A6F">
        <w:rPr>
          <w:rFonts w:ascii="Times New Roman" w:hAnsi="Times New Roman" w:cs="Times New Roman"/>
          <w:sz w:val="24"/>
          <w:szCs w:val="24"/>
        </w:rPr>
        <w:t>Accordingly. t</w:t>
      </w:r>
      <w:r>
        <w:rPr>
          <w:rFonts w:ascii="Times New Roman" w:hAnsi="Times New Roman" w:cs="Times New Roman"/>
          <w:sz w:val="24"/>
          <w:szCs w:val="24"/>
        </w:rPr>
        <w:t>his ground of appeal fails.</w:t>
      </w:r>
    </w:p>
    <w:p w14:paraId="7CE9352D" w14:textId="77777777" w:rsidR="0001515A" w:rsidRDefault="0001515A" w:rsidP="009D4536">
      <w:pPr>
        <w:pStyle w:val="ListParagraph"/>
        <w:spacing w:after="0" w:line="480" w:lineRule="auto"/>
        <w:ind w:hanging="436"/>
        <w:jc w:val="both"/>
        <w:rPr>
          <w:rFonts w:ascii="Times New Roman" w:hAnsi="Times New Roman" w:cs="Times New Roman"/>
          <w:sz w:val="24"/>
          <w:szCs w:val="24"/>
        </w:rPr>
      </w:pPr>
    </w:p>
    <w:p w14:paraId="541C09F3" w14:textId="48016E34" w:rsidR="00E35562" w:rsidRDefault="0001515A"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We would point out in any event that the Judge’s finding that the purported signatures of Mr Gallogly on the Declarations of Trust </w:t>
      </w:r>
      <w:r w:rsidR="00696917">
        <w:rPr>
          <w:rFonts w:ascii="Times New Roman" w:hAnsi="Times New Roman" w:cs="Times New Roman"/>
          <w:sz w:val="24"/>
          <w:szCs w:val="24"/>
        </w:rPr>
        <w:t xml:space="preserve">were forgeries </w:t>
      </w:r>
      <w:r>
        <w:rPr>
          <w:rFonts w:ascii="Times New Roman" w:hAnsi="Times New Roman" w:cs="Times New Roman"/>
          <w:sz w:val="24"/>
          <w:szCs w:val="24"/>
        </w:rPr>
        <w:t xml:space="preserve">was </w:t>
      </w:r>
      <w:r w:rsidR="00696917">
        <w:rPr>
          <w:rFonts w:ascii="Times New Roman" w:hAnsi="Times New Roman" w:cs="Times New Roman"/>
          <w:sz w:val="24"/>
          <w:szCs w:val="24"/>
        </w:rPr>
        <w:t>but</w:t>
      </w:r>
      <w:r>
        <w:rPr>
          <w:rFonts w:ascii="Times New Roman" w:hAnsi="Times New Roman" w:cs="Times New Roman"/>
          <w:sz w:val="24"/>
          <w:szCs w:val="24"/>
        </w:rPr>
        <w:t xml:space="preserve"> one part of a much </w:t>
      </w:r>
      <w:r w:rsidR="00331FFC">
        <w:rPr>
          <w:rFonts w:ascii="Times New Roman" w:hAnsi="Times New Roman" w:cs="Times New Roman"/>
          <w:sz w:val="24"/>
          <w:szCs w:val="24"/>
        </w:rPr>
        <w:t>broader</w:t>
      </w:r>
      <w:r>
        <w:rPr>
          <w:rFonts w:ascii="Times New Roman" w:hAnsi="Times New Roman" w:cs="Times New Roman"/>
          <w:sz w:val="24"/>
          <w:szCs w:val="24"/>
        </w:rPr>
        <w:t xml:space="preserve"> analysis of the evidence that led the Judge to conclude that Granja was a front for </w:t>
      </w:r>
      <w:r w:rsidR="00331FFC">
        <w:rPr>
          <w:rFonts w:ascii="Times New Roman" w:hAnsi="Times New Roman" w:cs="Times New Roman"/>
          <w:sz w:val="24"/>
          <w:szCs w:val="24"/>
        </w:rPr>
        <w:t xml:space="preserve">the First Defendant and that the monies made available to Granja’s solicitors to fund the purchase of the Kilpeddar Lands were provided by him. It is a striking and significant feature of the First Defendant’s appeal that the other elements of the Judge’s analysis are unchallenged. Even if there had been any merit in this grounds of appeal – </w:t>
      </w:r>
      <w:r w:rsidR="00331FFC">
        <w:rPr>
          <w:rFonts w:ascii="Times New Roman" w:hAnsi="Times New Roman" w:cs="Times New Roman"/>
          <w:sz w:val="24"/>
          <w:szCs w:val="24"/>
        </w:rPr>
        <w:lastRenderedPageBreak/>
        <w:t xml:space="preserve">and in our view there is none - that would not provide a sufficient basis for interfering with the Judge’s conclusions about the First Defendant’s relationship with Granja and the fact that the funds for the purchase of the Kilpeddar Lands were provided by him. </w:t>
      </w:r>
    </w:p>
    <w:p w14:paraId="79ED98A1" w14:textId="77777777" w:rsidR="001628B5" w:rsidRPr="001628B5" w:rsidRDefault="001628B5" w:rsidP="001628B5">
      <w:pPr>
        <w:pStyle w:val="ListParagraph"/>
        <w:spacing w:after="0" w:line="480" w:lineRule="auto"/>
        <w:jc w:val="both"/>
        <w:rPr>
          <w:rFonts w:ascii="Times New Roman" w:hAnsi="Times New Roman" w:cs="Times New Roman"/>
          <w:sz w:val="24"/>
          <w:szCs w:val="24"/>
        </w:rPr>
      </w:pPr>
    </w:p>
    <w:p w14:paraId="7D1EF53D" w14:textId="64AC1B35" w:rsidR="00CF7DEE" w:rsidRDefault="00CF7DEE" w:rsidP="00272396">
      <w:pPr>
        <w:pStyle w:val="Heading2"/>
      </w:pPr>
      <w:r>
        <w:t>The Contention that the Bank was not entitled to require Joint Selling Agents</w:t>
      </w:r>
    </w:p>
    <w:p w14:paraId="399C9F0A" w14:textId="77777777" w:rsidR="00CF7DEE" w:rsidRDefault="00CF7DEE" w:rsidP="00E35562">
      <w:pPr>
        <w:pStyle w:val="ListParagraph"/>
        <w:spacing w:after="0" w:line="480" w:lineRule="auto"/>
        <w:jc w:val="both"/>
        <w:rPr>
          <w:rFonts w:ascii="Times New Roman" w:hAnsi="Times New Roman" w:cs="Times New Roman"/>
          <w:sz w:val="24"/>
          <w:szCs w:val="24"/>
        </w:rPr>
      </w:pPr>
    </w:p>
    <w:p w14:paraId="7CA175CE" w14:textId="294592CF" w:rsidR="00E35562" w:rsidRDefault="00D71FAF"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Clause 3.6.1(a) of the Compromise Agreement provided that:</w:t>
      </w:r>
    </w:p>
    <w:p w14:paraId="6D1DD867" w14:textId="2D03D304" w:rsidR="00D71FAF" w:rsidRDefault="00D71FAF" w:rsidP="00D71FAF">
      <w:pPr>
        <w:pStyle w:val="ListParagraph"/>
        <w:spacing w:after="0" w:line="480" w:lineRule="auto"/>
        <w:jc w:val="both"/>
        <w:rPr>
          <w:rFonts w:ascii="Times New Roman" w:hAnsi="Times New Roman" w:cs="Times New Roman"/>
          <w:sz w:val="24"/>
          <w:szCs w:val="24"/>
        </w:rPr>
      </w:pPr>
    </w:p>
    <w:p w14:paraId="06C31401" w14:textId="0BEA7F1A" w:rsidR="00D71FAF" w:rsidRPr="00D71FAF" w:rsidRDefault="00D71FAF" w:rsidP="00D71FAF">
      <w:pPr>
        <w:pStyle w:val="ListParagraph"/>
        <w:spacing w:after="0" w:line="480" w:lineRule="auto"/>
        <w:ind w:left="1418"/>
        <w:jc w:val="both"/>
        <w:rPr>
          <w:rFonts w:ascii="Times New Roman" w:hAnsi="Times New Roman" w:cs="Times New Roman"/>
          <w:i/>
          <w:sz w:val="24"/>
          <w:szCs w:val="24"/>
        </w:rPr>
      </w:pPr>
      <w:r w:rsidRPr="00D71FAF">
        <w:rPr>
          <w:rFonts w:ascii="Times New Roman" w:hAnsi="Times New Roman" w:cs="Times New Roman"/>
          <w:i/>
          <w:sz w:val="24"/>
          <w:szCs w:val="24"/>
        </w:rPr>
        <w:t>“The Borrowers shall appoint the Agents for each of the Properties who shall, in the absolute discretion of the Bank and without requirement for giving reasons for its decision, be acceptable to the Bank”.</w:t>
      </w:r>
    </w:p>
    <w:p w14:paraId="3E1AC331" w14:textId="77777777" w:rsidR="00D71FAF" w:rsidRDefault="00D71FAF" w:rsidP="00D71FAF">
      <w:pPr>
        <w:pStyle w:val="ListParagraph"/>
        <w:spacing w:after="0" w:line="480" w:lineRule="auto"/>
        <w:jc w:val="both"/>
        <w:rPr>
          <w:rFonts w:ascii="Times New Roman" w:hAnsi="Times New Roman" w:cs="Times New Roman"/>
          <w:sz w:val="24"/>
          <w:szCs w:val="24"/>
        </w:rPr>
      </w:pPr>
    </w:p>
    <w:p w14:paraId="086BC3DC" w14:textId="2F277FBB" w:rsidR="00D71FAF" w:rsidRDefault="00D71FAF"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In the Judge’s view, the effect of this provision was to give the Bank “</w:t>
      </w:r>
      <w:r w:rsidRPr="00D71FAF">
        <w:rPr>
          <w:rFonts w:ascii="Times New Roman" w:hAnsi="Times New Roman" w:cs="Times New Roman"/>
          <w:i/>
          <w:sz w:val="24"/>
          <w:szCs w:val="24"/>
        </w:rPr>
        <w:t>a veto over who the agent would be for the sale of the Kilpeddar site</w:t>
      </w:r>
      <w:r>
        <w:rPr>
          <w:rFonts w:ascii="Times New Roman" w:hAnsi="Times New Roman" w:cs="Times New Roman"/>
          <w:sz w:val="24"/>
          <w:szCs w:val="24"/>
        </w:rPr>
        <w:t>” and that entitled the Bank to require the appointment of joint agent, given that it was the Bank that “</w:t>
      </w:r>
      <w:r w:rsidRPr="00D71FAF">
        <w:rPr>
          <w:rFonts w:ascii="Times New Roman" w:hAnsi="Times New Roman" w:cs="Times New Roman"/>
          <w:i/>
          <w:sz w:val="24"/>
          <w:szCs w:val="24"/>
        </w:rPr>
        <w:t>was taking all of the market risk</w:t>
      </w:r>
      <w:r>
        <w:rPr>
          <w:rFonts w:ascii="Times New Roman" w:hAnsi="Times New Roman" w:cs="Times New Roman"/>
          <w:sz w:val="24"/>
          <w:szCs w:val="24"/>
        </w:rPr>
        <w:t xml:space="preserve">” because </w:t>
      </w:r>
      <w:r w:rsidR="007F0C1E">
        <w:rPr>
          <w:rFonts w:ascii="Times New Roman" w:hAnsi="Times New Roman" w:cs="Times New Roman"/>
          <w:sz w:val="24"/>
          <w:szCs w:val="24"/>
        </w:rPr>
        <w:t>it, rather than the McDonaghs, was to receive the  proceeds of any sale of the Kilpeddar Lands (Judgment, para  286).</w:t>
      </w:r>
    </w:p>
    <w:p w14:paraId="195BF7E9" w14:textId="77777777" w:rsidR="007F0C1E" w:rsidRDefault="007F0C1E" w:rsidP="009D4536">
      <w:pPr>
        <w:pStyle w:val="ListParagraph"/>
        <w:spacing w:after="0" w:line="480" w:lineRule="auto"/>
        <w:ind w:hanging="436"/>
        <w:jc w:val="both"/>
        <w:rPr>
          <w:rFonts w:ascii="Times New Roman" w:hAnsi="Times New Roman" w:cs="Times New Roman"/>
          <w:sz w:val="24"/>
          <w:szCs w:val="24"/>
        </w:rPr>
      </w:pPr>
    </w:p>
    <w:p w14:paraId="0634B59A" w14:textId="2BB5CE5F" w:rsidR="007F0C1E" w:rsidRDefault="007F0C1E"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As the Judge explains, the McDonaghs initially appointed Mr Dooley, a local agent based in County Wicklow as sole agent. However, the Bank </w:t>
      </w:r>
      <w:r w:rsidR="00BC32FA">
        <w:rPr>
          <w:rFonts w:ascii="Times New Roman" w:hAnsi="Times New Roman" w:cs="Times New Roman"/>
          <w:sz w:val="24"/>
          <w:szCs w:val="24"/>
        </w:rPr>
        <w:t>sought the appointment of</w:t>
      </w:r>
      <w:r>
        <w:rPr>
          <w:rFonts w:ascii="Times New Roman" w:hAnsi="Times New Roman" w:cs="Times New Roman"/>
          <w:sz w:val="24"/>
          <w:szCs w:val="24"/>
        </w:rPr>
        <w:t xml:space="preserve"> an estate agent with national reach, Mr Ganly of Ganly Walters, as joint agent with Mr Dooley. </w:t>
      </w:r>
      <w:r w:rsidR="00BC32FA">
        <w:rPr>
          <w:rFonts w:ascii="Times New Roman" w:hAnsi="Times New Roman" w:cs="Times New Roman"/>
          <w:sz w:val="24"/>
          <w:szCs w:val="24"/>
        </w:rPr>
        <w:t xml:space="preserve">The McDonaghs agreed to appoint Mr Ganly pursuant to an agreement of 7 February 2014 which provided that the appointment would last until 31 May 2014 (Judgment, para </w:t>
      </w:r>
      <w:r w:rsidR="00092D16">
        <w:rPr>
          <w:rFonts w:ascii="Times New Roman" w:hAnsi="Times New Roman" w:cs="Times New Roman"/>
          <w:sz w:val="24"/>
          <w:szCs w:val="24"/>
        </w:rPr>
        <w:t xml:space="preserve">287). Although the Bank wished to have Mr Ganly re-appointed the </w:t>
      </w:r>
      <w:r w:rsidR="00092D16">
        <w:rPr>
          <w:rFonts w:ascii="Times New Roman" w:hAnsi="Times New Roman" w:cs="Times New Roman"/>
          <w:sz w:val="24"/>
          <w:szCs w:val="24"/>
        </w:rPr>
        <w:lastRenderedPageBreak/>
        <w:t>Defendants would not do so because (so the Judge found at para 294 of the Judgment) the removal of Mr Ganly increased the chan</w:t>
      </w:r>
      <w:r w:rsidR="00F200EA">
        <w:rPr>
          <w:rFonts w:ascii="Times New Roman" w:hAnsi="Times New Roman" w:cs="Times New Roman"/>
          <w:sz w:val="24"/>
          <w:szCs w:val="24"/>
        </w:rPr>
        <w:t>c</w:t>
      </w:r>
      <w:r w:rsidR="00092D16">
        <w:rPr>
          <w:rFonts w:ascii="Times New Roman" w:hAnsi="Times New Roman" w:cs="Times New Roman"/>
          <w:sz w:val="24"/>
          <w:szCs w:val="24"/>
        </w:rPr>
        <w:t>es of Granja (the front for the First Defendant) being the winning bid (which was how events transpired).</w:t>
      </w:r>
    </w:p>
    <w:p w14:paraId="1A099D62" w14:textId="77777777" w:rsidR="00092D16" w:rsidRDefault="00092D16" w:rsidP="009D4536">
      <w:pPr>
        <w:pStyle w:val="ListParagraph"/>
        <w:spacing w:after="0" w:line="480" w:lineRule="auto"/>
        <w:ind w:hanging="436"/>
        <w:jc w:val="both"/>
        <w:rPr>
          <w:rFonts w:ascii="Times New Roman" w:hAnsi="Times New Roman" w:cs="Times New Roman"/>
          <w:sz w:val="24"/>
          <w:szCs w:val="24"/>
        </w:rPr>
      </w:pPr>
    </w:p>
    <w:p w14:paraId="4DE1F6AB" w14:textId="04D69CF6" w:rsidR="00DB4653" w:rsidRDefault="00092D16"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In our view, clause 3.6.1(a) </w:t>
      </w:r>
      <w:r w:rsidR="00B703E5">
        <w:rPr>
          <w:rFonts w:ascii="Times New Roman" w:hAnsi="Times New Roman" w:cs="Times New Roman"/>
          <w:sz w:val="24"/>
          <w:szCs w:val="24"/>
        </w:rPr>
        <w:t xml:space="preserve">of the Compromise Agreement </w:t>
      </w:r>
      <w:r>
        <w:rPr>
          <w:rFonts w:ascii="Times New Roman" w:hAnsi="Times New Roman" w:cs="Times New Roman"/>
          <w:sz w:val="24"/>
          <w:szCs w:val="24"/>
        </w:rPr>
        <w:t xml:space="preserve">was broad enough in its terms to permit the Bank to require the McDonaghs to appoint Mr Ganly as a condition for the Bank’s consent to the appointment </w:t>
      </w:r>
      <w:r w:rsidR="00B703E5">
        <w:rPr>
          <w:rFonts w:ascii="Times New Roman" w:hAnsi="Times New Roman" w:cs="Times New Roman"/>
          <w:sz w:val="24"/>
          <w:szCs w:val="24"/>
        </w:rPr>
        <w:t xml:space="preserve">and ongoing retainer </w:t>
      </w:r>
      <w:r>
        <w:rPr>
          <w:rFonts w:ascii="Times New Roman" w:hAnsi="Times New Roman" w:cs="Times New Roman"/>
          <w:sz w:val="24"/>
          <w:szCs w:val="24"/>
        </w:rPr>
        <w:t xml:space="preserve">of Mr Dooley. </w:t>
      </w:r>
      <w:r w:rsidR="00D91713">
        <w:rPr>
          <w:rFonts w:ascii="Times New Roman" w:hAnsi="Times New Roman" w:cs="Times New Roman"/>
          <w:sz w:val="24"/>
          <w:szCs w:val="24"/>
        </w:rPr>
        <w:t>Furthermore, and i</w:t>
      </w:r>
      <w:r>
        <w:rPr>
          <w:rFonts w:ascii="Times New Roman" w:hAnsi="Times New Roman" w:cs="Times New Roman"/>
          <w:sz w:val="24"/>
          <w:szCs w:val="24"/>
        </w:rPr>
        <w:t xml:space="preserve">n any event, the McDonaghs </w:t>
      </w:r>
      <w:r w:rsidR="00D91713">
        <w:rPr>
          <w:rFonts w:ascii="Times New Roman" w:hAnsi="Times New Roman" w:cs="Times New Roman"/>
          <w:sz w:val="24"/>
          <w:szCs w:val="24"/>
        </w:rPr>
        <w:t>in fact a</w:t>
      </w:r>
      <w:r>
        <w:rPr>
          <w:rFonts w:ascii="Times New Roman" w:hAnsi="Times New Roman" w:cs="Times New Roman"/>
          <w:sz w:val="24"/>
          <w:szCs w:val="24"/>
        </w:rPr>
        <w:t xml:space="preserve">greed to appoint Mr Ganly as joint agent. As the Judge correctly observed, the success or otherwise of the marketing of the Kilpeddar Lands was a matter of huge concern to the Bank given that it </w:t>
      </w:r>
      <w:r w:rsidR="00B703E5">
        <w:rPr>
          <w:rFonts w:ascii="Times New Roman" w:hAnsi="Times New Roman" w:cs="Times New Roman"/>
          <w:sz w:val="24"/>
          <w:szCs w:val="24"/>
        </w:rPr>
        <w:t>was taking all of the market risk. That fact is reflected in the provisions of clause 3.6.1(a), as well as in the reporting and disclosure obligations imposed by clause 3.6.1(a).</w:t>
      </w:r>
      <w:r w:rsidR="00D91713">
        <w:rPr>
          <w:rFonts w:ascii="Times New Roman" w:hAnsi="Times New Roman" w:cs="Times New Roman"/>
          <w:sz w:val="24"/>
          <w:szCs w:val="24"/>
        </w:rPr>
        <w:t xml:space="preserve"> It is also reflected in the obligation imposed on the McDonaghs to dispose of the Properties for the “</w:t>
      </w:r>
      <w:r w:rsidR="00D91713" w:rsidRPr="00D91713">
        <w:rPr>
          <w:rFonts w:ascii="Times New Roman" w:hAnsi="Times New Roman" w:cs="Times New Roman"/>
          <w:i/>
          <w:sz w:val="24"/>
          <w:szCs w:val="24"/>
        </w:rPr>
        <w:t>best price reasonably obtainable</w:t>
      </w:r>
      <w:r w:rsidR="00D91713">
        <w:rPr>
          <w:rFonts w:ascii="Times New Roman" w:hAnsi="Times New Roman" w:cs="Times New Roman"/>
          <w:sz w:val="24"/>
          <w:szCs w:val="24"/>
        </w:rPr>
        <w:t xml:space="preserve">”. </w:t>
      </w:r>
      <w:r w:rsidR="00B703E5">
        <w:rPr>
          <w:rFonts w:ascii="Times New Roman" w:hAnsi="Times New Roman" w:cs="Times New Roman"/>
          <w:sz w:val="24"/>
          <w:szCs w:val="24"/>
        </w:rPr>
        <w:t xml:space="preserve"> In the circumstances described by the Judge in his Judgment, the Bank was, in our view, entitled to take the view that</w:t>
      </w:r>
      <w:r w:rsidR="00D91713">
        <w:rPr>
          <w:rFonts w:ascii="Times New Roman" w:hAnsi="Times New Roman" w:cs="Times New Roman"/>
          <w:sz w:val="24"/>
          <w:szCs w:val="24"/>
        </w:rPr>
        <w:t xml:space="preserve"> the McDonagh’s decision not to re-appoint Mr Ganley was inconsistent with clause 3.6.1(a). </w:t>
      </w:r>
      <w:r w:rsidR="00B703E5">
        <w:rPr>
          <w:rFonts w:ascii="Times New Roman" w:hAnsi="Times New Roman" w:cs="Times New Roman"/>
          <w:sz w:val="24"/>
          <w:szCs w:val="24"/>
        </w:rPr>
        <w:t xml:space="preserve"> </w:t>
      </w:r>
      <w:r w:rsidR="00D91713">
        <w:rPr>
          <w:rFonts w:ascii="Times New Roman" w:hAnsi="Times New Roman" w:cs="Times New Roman"/>
          <w:sz w:val="24"/>
          <w:szCs w:val="24"/>
        </w:rPr>
        <w:t>But even if that was not the case, it was entirely reasonable for the Bank to take the view that the exclusion of Mr Ganly was seriously prejudicial to its legitimate interests under the Compromise Agreement and to assert its rights under the Agre</w:t>
      </w:r>
      <w:r w:rsidR="00DB4653">
        <w:rPr>
          <w:rFonts w:ascii="Times New Roman" w:hAnsi="Times New Roman" w:cs="Times New Roman"/>
          <w:sz w:val="24"/>
          <w:szCs w:val="24"/>
        </w:rPr>
        <w:t>ement, as it continued to do in the June 2014 correspondence and subsequently in the appointment of the Joint Receivers.</w:t>
      </w:r>
    </w:p>
    <w:p w14:paraId="385035CD" w14:textId="77777777" w:rsidR="00A6325B" w:rsidRPr="009D4536" w:rsidRDefault="00A6325B" w:rsidP="00A6325B">
      <w:pPr>
        <w:pStyle w:val="ListParagraph"/>
        <w:spacing w:after="0" w:line="480" w:lineRule="auto"/>
        <w:jc w:val="both"/>
        <w:rPr>
          <w:rFonts w:ascii="Times New Roman" w:hAnsi="Times New Roman" w:cs="Times New Roman"/>
          <w:sz w:val="24"/>
          <w:szCs w:val="24"/>
        </w:rPr>
      </w:pPr>
    </w:p>
    <w:p w14:paraId="7F18FCD1" w14:textId="5614E35B" w:rsidR="00DB4653" w:rsidRDefault="00DB4653"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Accordingly, no error has been demonstrated in the Judge’s constriction of clause 3.6.1(a). In any event, even if the Judge had been wrong to conclude that the Bank had </w:t>
      </w:r>
      <w:r>
        <w:rPr>
          <w:rFonts w:ascii="Times New Roman" w:hAnsi="Times New Roman" w:cs="Times New Roman"/>
          <w:sz w:val="24"/>
          <w:szCs w:val="24"/>
        </w:rPr>
        <w:lastRenderedPageBreak/>
        <w:t>power to insist on the appointment of Mr Ganly as joint agent, that would not have any material effect on the Judge’s analysis or conclusions. Mr Ganley was, in fact, appointed by the McDonaghs. There is no basis for the assertion that they were “</w:t>
      </w:r>
      <w:r w:rsidRPr="00DB4653">
        <w:rPr>
          <w:rFonts w:ascii="Times New Roman" w:hAnsi="Times New Roman" w:cs="Times New Roman"/>
          <w:i/>
          <w:sz w:val="24"/>
          <w:szCs w:val="24"/>
        </w:rPr>
        <w:t>coerced</w:t>
      </w:r>
      <w:r>
        <w:rPr>
          <w:rFonts w:ascii="Times New Roman" w:hAnsi="Times New Roman" w:cs="Times New Roman"/>
          <w:sz w:val="24"/>
          <w:szCs w:val="24"/>
        </w:rPr>
        <w:t xml:space="preserve">” into such </w:t>
      </w:r>
      <w:r w:rsidR="00A751C8">
        <w:rPr>
          <w:rFonts w:ascii="Times New Roman" w:hAnsi="Times New Roman" w:cs="Times New Roman"/>
          <w:sz w:val="24"/>
          <w:szCs w:val="24"/>
        </w:rPr>
        <w:t xml:space="preserve">an </w:t>
      </w:r>
      <w:r>
        <w:rPr>
          <w:rFonts w:ascii="Times New Roman" w:hAnsi="Times New Roman" w:cs="Times New Roman"/>
          <w:sz w:val="24"/>
          <w:szCs w:val="24"/>
        </w:rPr>
        <w:t xml:space="preserve">appointment. The McDonaghs must have anticipated that their refusal to re-appoint Mr Ganly – a position that appears to have been driven largely by Brian McDonagh – would have an immediate and significant impact on the Bank’s confidence in the sales process relating to the Kilpeddar Lands and, more generally, in the McDonagh’s ability and willingness to perform the </w:t>
      </w:r>
      <w:r w:rsidR="00D50973">
        <w:rPr>
          <w:rFonts w:ascii="Times New Roman" w:hAnsi="Times New Roman" w:cs="Times New Roman"/>
          <w:sz w:val="24"/>
          <w:szCs w:val="24"/>
        </w:rPr>
        <w:t xml:space="preserve">Compromise Agreement. That is what occurred. Even if the refusal to re-appoint Mr Ganly did not in itself constitute a breach of the Compromise Agreement– and, for the avoidance of doubt, we re-iterate that, in our view, the terms of clause 3.6.1(a) were sufficiently broad to entitle the Bank to make its acceptance of Mr Dooley conditional on the appointment of Mr Ganly as a joint agent – the Bank was clearly entitled to take the view that, in the circumstances, it could no longer trust the McDonaghs to perform their obligations. </w:t>
      </w:r>
    </w:p>
    <w:p w14:paraId="51FEA1C0" w14:textId="77777777" w:rsidR="00D50973" w:rsidRDefault="00D50973" w:rsidP="009D4536">
      <w:pPr>
        <w:pStyle w:val="ListParagraph"/>
        <w:spacing w:after="0" w:line="480" w:lineRule="auto"/>
        <w:ind w:hanging="436"/>
        <w:jc w:val="both"/>
        <w:rPr>
          <w:rFonts w:ascii="Times New Roman" w:hAnsi="Times New Roman" w:cs="Times New Roman"/>
          <w:sz w:val="24"/>
          <w:szCs w:val="24"/>
        </w:rPr>
      </w:pPr>
    </w:p>
    <w:p w14:paraId="0C44BE3D" w14:textId="1B433755" w:rsidR="00D50973" w:rsidRDefault="00D50973"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Accordingly, this ground of appeal fails.</w:t>
      </w:r>
    </w:p>
    <w:p w14:paraId="32646F6B" w14:textId="7CAE7B16" w:rsidR="00D50973" w:rsidRDefault="00D50973" w:rsidP="00D50973">
      <w:pPr>
        <w:pStyle w:val="ListParagraph"/>
        <w:spacing w:after="0" w:line="480" w:lineRule="auto"/>
        <w:jc w:val="both"/>
        <w:rPr>
          <w:rFonts w:ascii="Times New Roman" w:hAnsi="Times New Roman" w:cs="Times New Roman"/>
          <w:sz w:val="24"/>
          <w:szCs w:val="24"/>
        </w:rPr>
      </w:pPr>
    </w:p>
    <w:p w14:paraId="4CB4F892" w14:textId="71688848" w:rsidR="00D50973" w:rsidRDefault="00D50973" w:rsidP="00272396">
      <w:pPr>
        <w:pStyle w:val="Heading2"/>
      </w:pPr>
      <w:r>
        <w:tab/>
        <w:t>The Refusal of the Judge to Review his Judgment/The Registration Point</w:t>
      </w:r>
    </w:p>
    <w:p w14:paraId="52411583" w14:textId="77777777" w:rsidR="00D50973" w:rsidRPr="00D50973" w:rsidRDefault="00D50973" w:rsidP="00D50973"/>
    <w:p w14:paraId="78BA4655" w14:textId="4424AE58" w:rsidR="00434D69" w:rsidRDefault="00D50973" w:rsidP="009D4536">
      <w:pPr>
        <w:pStyle w:val="ListParagraph"/>
        <w:numPr>
          <w:ilvl w:val="0"/>
          <w:numId w:val="1"/>
        </w:numPr>
        <w:spacing w:after="0" w:line="480" w:lineRule="auto"/>
        <w:ind w:hanging="436"/>
        <w:jc w:val="both"/>
        <w:rPr>
          <w:rFonts w:ascii="Times New Roman" w:hAnsi="Times New Roman" w:cs="Times New Roman"/>
          <w:sz w:val="24"/>
          <w:szCs w:val="24"/>
        </w:rPr>
      </w:pPr>
      <w:r w:rsidRPr="00723FBC">
        <w:rPr>
          <w:rFonts w:ascii="Times New Roman" w:hAnsi="Times New Roman" w:cs="Times New Roman"/>
          <w:sz w:val="24"/>
          <w:szCs w:val="24"/>
        </w:rPr>
        <w:t xml:space="preserve">Under this heading the First Defendant </w:t>
      </w:r>
      <w:r w:rsidR="00723FBC" w:rsidRPr="00723FBC">
        <w:rPr>
          <w:rFonts w:ascii="Times New Roman" w:hAnsi="Times New Roman" w:cs="Times New Roman"/>
          <w:sz w:val="24"/>
          <w:szCs w:val="24"/>
        </w:rPr>
        <w:t xml:space="preserve">contends that, by reason of the fact that the Bank had no registered charge over the Kilpeddar Lands when the Compromise Agreement was executed on 13 March 2013, it </w:t>
      </w:r>
      <w:r w:rsidR="00723FBC" w:rsidRPr="00723FBC">
        <w:rPr>
          <w:rFonts w:ascii="Times New Roman" w:hAnsi="Times New Roman" w:cs="Times New Roman"/>
          <w:i/>
          <w:sz w:val="24"/>
          <w:szCs w:val="24"/>
        </w:rPr>
        <w:t xml:space="preserve">“had no </w:t>
      </w:r>
      <w:r w:rsidR="00B67C7D">
        <w:rPr>
          <w:rFonts w:ascii="Times New Roman" w:hAnsi="Times New Roman" w:cs="Times New Roman"/>
          <w:i/>
          <w:sz w:val="24"/>
          <w:szCs w:val="24"/>
        </w:rPr>
        <w:t>‘</w:t>
      </w:r>
      <w:r w:rsidR="00723FBC" w:rsidRPr="00723FBC">
        <w:rPr>
          <w:rFonts w:ascii="Times New Roman" w:hAnsi="Times New Roman" w:cs="Times New Roman"/>
          <w:i/>
          <w:sz w:val="24"/>
          <w:szCs w:val="24"/>
        </w:rPr>
        <w:t>interest</w:t>
      </w:r>
      <w:r w:rsidR="00B67C7D">
        <w:rPr>
          <w:rFonts w:ascii="Times New Roman" w:hAnsi="Times New Roman" w:cs="Times New Roman"/>
          <w:i/>
          <w:sz w:val="24"/>
          <w:szCs w:val="24"/>
        </w:rPr>
        <w:t>’</w:t>
      </w:r>
      <w:r w:rsidR="00723FBC" w:rsidRPr="00723FBC">
        <w:rPr>
          <w:rFonts w:ascii="Times New Roman" w:hAnsi="Times New Roman" w:cs="Times New Roman"/>
          <w:i/>
          <w:sz w:val="24"/>
          <w:szCs w:val="24"/>
        </w:rPr>
        <w:t xml:space="preserve"> in the lands sufficient to demand </w:t>
      </w:r>
      <w:r w:rsidR="00723FBC" w:rsidRPr="00723FBC">
        <w:rPr>
          <w:rFonts w:ascii="Times New Roman" w:hAnsi="Times New Roman" w:cs="Times New Roman"/>
          <w:i/>
          <w:sz w:val="24"/>
          <w:szCs w:val="24"/>
        </w:rPr>
        <w:lastRenderedPageBreak/>
        <w:t>the consent of sale by the appellants”</w:t>
      </w:r>
      <w:r w:rsidR="00723FBC" w:rsidRPr="00723FBC">
        <w:rPr>
          <w:rFonts w:ascii="Times New Roman" w:hAnsi="Times New Roman" w:cs="Times New Roman"/>
          <w:sz w:val="24"/>
          <w:szCs w:val="24"/>
        </w:rPr>
        <w:t>.</w:t>
      </w:r>
      <w:r w:rsidR="00723FBC">
        <w:rPr>
          <w:rStyle w:val="FootnoteReference"/>
          <w:rFonts w:ascii="Times New Roman" w:hAnsi="Times New Roman" w:cs="Times New Roman"/>
          <w:sz w:val="24"/>
          <w:szCs w:val="24"/>
        </w:rPr>
        <w:footnoteReference w:id="25"/>
      </w:r>
      <w:r w:rsidR="00723FBC" w:rsidRPr="00723FBC">
        <w:rPr>
          <w:rFonts w:ascii="Times New Roman" w:hAnsi="Times New Roman" w:cs="Times New Roman"/>
          <w:sz w:val="24"/>
          <w:szCs w:val="24"/>
        </w:rPr>
        <w:t xml:space="preserve"> The Bank, it is said, “</w:t>
      </w:r>
      <w:r w:rsidR="00723FBC" w:rsidRPr="00723FBC">
        <w:rPr>
          <w:rFonts w:ascii="Times New Roman" w:hAnsi="Times New Roman" w:cs="Times New Roman"/>
          <w:i/>
          <w:sz w:val="24"/>
          <w:szCs w:val="24"/>
        </w:rPr>
        <w:t>made a representation on the 13</w:t>
      </w:r>
      <w:r w:rsidR="00723FBC" w:rsidRPr="00723FBC">
        <w:rPr>
          <w:rFonts w:ascii="Times New Roman" w:hAnsi="Times New Roman" w:cs="Times New Roman"/>
          <w:i/>
          <w:sz w:val="24"/>
          <w:szCs w:val="24"/>
          <w:vertAlign w:val="superscript"/>
        </w:rPr>
        <w:t>th</w:t>
      </w:r>
      <w:r w:rsidR="00723FBC" w:rsidRPr="00723FBC">
        <w:rPr>
          <w:rFonts w:ascii="Times New Roman" w:hAnsi="Times New Roman" w:cs="Times New Roman"/>
          <w:i/>
          <w:sz w:val="24"/>
          <w:szCs w:val="24"/>
        </w:rPr>
        <w:t xml:space="preserve"> of March 2013 that it was entitled to force a sale of the lands when clearly it was not at that conferred with any interest in the lands under Section 62(2) of the Registration of Title Act</w:t>
      </w:r>
      <w:r w:rsidR="00723FBC" w:rsidRPr="00723FBC">
        <w:rPr>
          <w:rFonts w:ascii="Times New Roman" w:hAnsi="Times New Roman" w:cs="Times New Roman"/>
          <w:sz w:val="24"/>
          <w:szCs w:val="24"/>
        </w:rPr>
        <w:t>.”</w:t>
      </w:r>
      <w:r w:rsidR="00723FBC">
        <w:rPr>
          <w:rStyle w:val="FootnoteReference"/>
          <w:rFonts w:ascii="Times New Roman" w:hAnsi="Times New Roman" w:cs="Times New Roman"/>
          <w:sz w:val="24"/>
          <w:szCs w:val="24"/>
        </w:rPr>
        <w:footnoteReference w:id="26"/>
      </w:r>
      <w:r w:rsidR="00723FBC" w:rsidRPr="00723FBC">
        <w:rPr>
          <w:rFonts w:ascii="Times New Roman" w:hAnsi="Times New Roman" w:cs="Times New Roman"/>
          <w:sz w:val="24"/>
          <w:szCs w:val="24"/>
        </w:rPr>
        <w:t xml:space="preserve"> That is said to have involved </w:t>
      </w:r>
      <w:r w:rsidR="00723FBC">
        <w:rPr>
          <w:rFonts w:ascii="Times New Roman" w:hAnsi="Times New Roman" w:cs="Times New Roman"/>
          <w:sz w:val="24"/>
          <w:szCs w:val="24"/>
        </w:rPr>
        <w:t>knowing</w:t>
      </w:r>
      <w:r w:rsidR="00723FBC" w:rsidRPr="00723FBC">
        <w:rPr>
          <w:rFonts w:ascii="Times New Roman" w:hAnsi="Times New Roman" w:cs="Times New Roman"/>
          <w:sz w:val="24"/>
          <w:szCs w:val="24"/>
        </w:rPr>
        <w:t xml:space="preserve"> </w:t>
      </w:r>
      <w:r w:rsidR="00723FBC">
        <w:rPr>
          <w:rFonts w:ascii="Times New Roman" w:hAnsi="Times New Roman" w:cs="Times New Roman"/>
          <w:sz w:val="24"/>
          <w:szCs w:val="24"/>
        </w:rPr>
        <w:t>“</w:t>
      </w:r>
      <w:r w:rsidR="00723FBC" w:rsidRPr="00723FBC">
        <w:rPr>
          <w:rFonts w:ascii="Times New Roman" w:hAnsi="Times New Roman" w:cs="Times New Roman"/>
          <w:i/>
          <w:sz w:val="24"/>
          <w:szCs w:val="24"/>
        </w:rPr>
        <w:t>deceit</w:t>
      </w:r>
      <w:r w:rsidR="00723FBC">
        <w:rPr>
          <w:rFonts w:ascii="Times New Roman" w:hAnsi="Times New Roman" w:cs="Times New Roman"/>
          <w:sz w:val="24"/>
          <w:szCs w:val="24"/>
        </w:rPr>
        <w:t xml:space="preserve">” on the part of </w:t>
      </w:r>
      <w:r w:rsidR="00723FBC" w:rsidRPr="00723FBC">
        <w:rPr>
          <w:rFonts w:ascii="Times New Roman" w:hAnsi="Times New Roman" w:cs="Times New Roman"/>
          <w:sz w:val="24"/>
          <w:szCs w:val="24"/>
        </w:rPr>
        <w:t>the Bank.</w:t>
      </w:r>
    </w:p>
    <w:p w14:paraId="181DFDC4" w14:textId="77777777" w:rsidR="00652752" w:rsidRDefault="00652752" w:rsidP="009D4536">
      <w:pPr>
        <w:pStyle w:val="ListParagraph"/>
        <w:spacing w:after="0" w:line="480" w:lineRule="auto"/>
        <w:ind w:hanging="436"/>
        <w:jc w:val="both"/>
        <w:rPr>
          <w:rFonts w:ascii="Times New Roman" w:hAnsi="Times New Roman" w:cs="Times New Roman"/>
          <w:sz w:val="24"/>
          <w:szCs w:val="24"/>
        </w:rPr>
      </w:pPr>
    </w:p>
    <w:p w14:paraId="2BE5EA9D" w14:textId="059F4F95" w:rsidR="00E53726" w:rsidRDefault="00652752"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This argument was not advanced by the First Defendant at trial but, as explained earlier, was the subject of a</w:t>
      </w:r>
      <w:r w:rsidR="0026724D">
        <w:rPr>
          <w:rFonts w:ascii="Times New Roman" w:hAnsi="Times New Roman" w:cs="Times New Roman"/>
          <w:sz w:val="24"/>
          <w:szCs w:val="24"/>
        </w:rPr>
        <w:t xml:space="preserve"> motion</w:t>
      </w:r>
      <w:r w:rsidR="00E53726">
        <w:rPr>
          <w:rFonts w:ascii="Times New Roman" w:hAnsi="Times New Roman" w:cs="Times New Roman"/>
          <w:sz w:val="24"/>
          <w:szCs w:val="24"/>
        </w:rPr>
        <w:t xml:space="preserve"> which the First Defendant sought leave to issue following delivery of the Supplementary Judgment. After hearing submissions on 16 July 2020, </w:t>
      </w:r>
      <w:r>
        <w:rPr>
          <w:rFonts w:ascii="Times New Roman" w:hAnsi="Times New Roman" w:cs="Times New Roman"/>
          <w:sz w:val="24"/>
          <w:szCs w:val="24"/>
        </w:rPr>
        <w:t xml:space="preserve">the Judge </w:t>
      </w:r>
      <w:r w:rsidR="00E53726">
        <w:rPr>
          <w:rFonts w:ascii="Times New Roman" w:hAnsi="Times New Roman" w:cs="Times New Roman"/>
          <w:sz w:val="24"/>
          <w:szCs w:val="24"/>
        </w:rPr>
        <w:t>refused to give leave to issue the motion, on the basis that the material on which the First Defendant sought to rely was material that was raised in the course of the trial or which could have raised. Either way, in the Judge’s view, there was no basis for revisiting the Judgment.</w:t>
      </w:r>
    </w:p>
    <w:p w14:paraId="4BBCAFAA" w14:textId="77777777" w:rsidR="00E53726" w:rsidRDefault="00E53726" w:rsidP="009D4536">
      <w:pPr>
        <w:pStyle w:val="ListParagraph"/>
        <w:spacing w:after="0" w:line="480" w:lineRule="auto"/>
        <w:ind w:hanging="436"/>
        <w:jc w:val="both"/>
        <w:rPr>
          <w:rFonts w:ascii="Times New Roman" w:hAnsi="Times New Roman" w:cs="Times New Roman"/>
          <w:sz w:val="24"/>
          <w:szCs w:val="24"/>
        </w:rPr>
      </w:pPr>
    </w:p>
    <w:p w14:paraId="6BEC82BC" w14:textId="4E4139D0" w:rsidR="00DC2770" w:rsidRDefault="00E53726"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The First Defendant complains that the Judge did not provide any reasoning for refusing to re-visit the Judgment. That complaint is manifestly unfounded. As we have already noted, it is evident from the Judge’s ruling that he accepted that he should approach the First Defendant’s application on the basis of the test set out </w:t>
      </w:r>
      <w:r w:rsidR="00DC2770">
        <w:rPr>
          <w:rFonts w:ascii="Times New Roman" w:hAnsi="Times New Roman" w:cs="Times New Roman"/>
          <w:sz w:val="24"/>
          <w:szCs w:val="24"/>
        </w:rPr>
        <w:t xml:space="preserve">by </w:t>
      </w:r>
      <w:r>
        <w:rPr>
          <w:rFonts w:ascii="Times New Roman" w:hAnsi="Times New Roman" w:cs="Times New Roman"/>
          <w:sz w:val="24"/>
          <w:szCs w:val="24"/>
        </w:rPr>
        <w:t xml:space="preserve">Clarke J in </w:t>
      </w:r>
      <w:r w:rsidRPr="00DC2770">
        <w:rPr>
          <w:rFonts w:ascii="Times New Roman" w:hAnsi="Times New Roman" w:cs="Times New Roman"/>
          <w:i/>
          <w:sz w:val="24"/>
          <w:szCs w:val="24"/>
        </w:rPr>
        <w:t>In re McInerney Homes Limited</w:t>
      </w:r>
      <w:r w:rsidR="00DC2770">
        <w:rPr>
          <w:rFonts w:ascii="Times New Roman" w:hAnsi="Times New Roman" w:cs="Times New Roman"/>
          <w:sz w:val="24"/>
          <w:szCs w:val="24"/>
        </w:rPr>
        <w:t>.  No argument was advanced to this Court to the effect that the Judge erred in adopting that approach. The Judge then made it clear why</w:t>
      </w:r>
      <w:r w:rsidR="00EB5164">
        <w:rPr>
          <w:rFonts w:ascii="Times New Roman" w:hAnsi="Times New Roman" w:cs="Times New Roman"/>
          <w:sz w:val="24"/>
          <w:szCs w:val="24"/>
        </w:rPr>
        <w:t xml:space="preserve">, by </w:t>
      </w:r>
      <w:r w:rsidR="00EB5164">
        <w:rPr>
          <w:rFonts w:ascii="Times New Roman" w:hAnsi="Times New Roman" w:cs="Times New Roman"/>
          <w:sz w:val="24"/>
          <w:szCs w:val="24"/>
        </w:rPr>
        <w:lastRenderedPageBreak/>
        <w:t>a</w:t>
      </w:r>
      <w:r w:rsidR="00DC2770">
        <w:rPr>
          <w:rFonts w:ascii="Times New Roman" w:hAnsi="Times New Roman" w:cs="Times New Roman"/>
          <w:sz w:val="24"/>
          <w:szCs w:val="24"/>
        </w:rPr>
        <w:t>pplying that approach, he had concluded that the application ought to refused. In the circumstances, the Judge’s decision was more than adequately explained.</w:t>
      </w:r>
    </w:p>
    <w:p w14:paraId="6C462E73" w14:textId="77777777" w:rsidR="00DC2770" w:rsidRDefault="00DC2770" w:rsidP="009D4536">
      <w:pPr>
        <w:pStyle w:val="ListParagraph"/>
        <w:spacing w:after="0" w:line="480" w:lineRule="auto"/>
        <w:ind w:hanging="436"/>
        <w:jc w:val="both"/>
        <w:rPr>
          <w:rFonts w:ascii="Times New Roman" w:hAnsi="Times New Roman" w:cs="Times New Roman"/>
          <w:sz w:val="24"/>
          <w:szCs w:val="24"/>
        </w:rPr>
      </w:pPr>
    </w:p>
    <w:p w14:paraId="1ADC0457" w14:textId="7E002248" w:rsidR="00E53726" w:rsidRPr="00E53726" w:rsidRDefault="00DC2770"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The First Defendant has not disputed the Judge’s finding that the material that he sought to rely on in support of his application to have the Judgment re-opened had been available to him. To the contrary, in his notice of appeal the First Defendant asserts that the “</w:t>
      </w:r>
      <w:r w:rsidRPr="00DC2770">
        <w:rPr>
          <w:rFonts w:ascii="Times New Roman" w:hAnsi="Times New Roman" w:cs="Times New Roman"/>
          <w:i/>
          <w:sz w:val="24"/>
          <w:szCs w:val="24"/>
        </w:rPr>
        <w:t>the documents presented were in the pleadings</w:t>
      </w:r>
      <w:r w:rsidR="00CC2DA5">
        <w:rPr>
          <w:rFonts w:ascii="Times New Roman" w:hAnsi="Times New Roman" w:cs="Times New Roman"/>
          <w:i/>
          <w:sz w:val="24"/>
          <w:szCs w:val="24"/>
        </w:rPr>
        <w:t>”.</w:t>
      </w:r>
      <w:r>
        <w:rPr>
          <w:rStyle w:val="FootnoteReference"/>
          <w:rFonts w:ascii="Times New Roman" w:hAnsi="Times New Roman" w:cs="Times New Roman"/>
          <w:sz w:val="24"/>
          <w:szCs w:val="24"/>
        </w:rPr>
        <w:footnoteReference w:id="27"/>
      </w:r>
      <w:r w:rsidR="00CC2DA5">
        <w:rPr>
          <w:rFonts w:ascii="Times New Roman" w:hAnsi="Times New Roman" w:cs="Times New Roman"/>
          <w:sz w:val="24"/>
          <w:szCs w:val="24"/>
        </w:rPr>
        <w:t xml:space="preserve"> Whether</w:t>
      </w:r>
      <w:r w:rsidR="00EB5164">
        <w:rPr>
          <w:rFonts w:ascii="Times New Roman" w:hAnsi="Times New Roman" w:cs="Times New Roman"/>
          <w:sz w:val="24"/>
          <w:szCs w:val="24"/>
        </w:rPr>
        <w:t xml:space="preserve"> or</w:t>
      </w:r>
      <w:r w:rsidR="00CC2DA5">
        <w:rPr>
          <w:rFonts w:ascii="Times New Roman" w:hAnsi="Times New Roman" w:cs="Times New Roman"/>
          <w:sz w:val="24"/>
          <w:szCs w:val="24"/>
        </w:rPr>
        <w:t xml:space="preserve"> not the Bank’s charge over the Kilpeddar Lands was or was not registered in the relevant Land Registry folios as 13 March 2013 was, in any event, a matter of public record, readily ascertainable from the Land Registry. If there was any merit in the arguments that the First Defendant sought to make in support of his application to have the Compromise Agreement voided and the Judgment set aside (the principal relie</w:t>
      </w:r>
      <w:r w:rsidR="00EB5164">
        <w:rPr>
          <w:rFonts w:ascii="Times New Roman" w:hAnsi="Times New Roman" w:cs="Times New Roman"/>
          <w:sz w:val="24"/>
          <w:szCs w:val="24"/>
        </w:rPr>
        <w:t>f</w:t>
      </w:r>
      <w:r w:rsidR="00CC2DA5">
        <w:rPr>
          <w:rFonts w:ascii="Times New Roman" w:hAnsi="Times New Roman" w:cs="Times New Roman"/>
          <w:sz w:val="24"/>
          <w:szCs w:val="24"/>
        </w:rPr>
        <w:t>s sought in the review motion) – and, as we shall explain, those arguments are, in our view, entirely devoid of merit – those arguments could and should have been advanced at trial. In the circumstances, no error on the part of the Judge in refusing leave to bring the review motion has been identified.</w:t>
      </w:r>
    </w:p>
    <w:p w14:paraId="735E96BE" w14:textId="77777777" w:rsidR="00723FBC" w:rsidRDefault="00723FBC" w:rsidP="009D4536">
      <w:pPr>
        <w:pStyle w:val="ListParagraph"/>
        <w:spacing w:after="0" w:line="480" w:lineRule="auto"/>
        <w:ind w:hanging="436"/>
        <w:jc w:val="both"/>
        <w:rPr>
          <w:rFonts w:ascii="Times New Roman" w:hAnsi="Times New Roman" w:cs="Times New Roman"/>
          <w:sz w:val="24"/>
          <w:szCs w:val="24"/>
        </w:rPr>
      </w:pPr>
    </w:p>
    <w:p w14:paraId="313B5CA8" w14:textId="4CC6226C" w:rsidR="00CC2DA5" w:rsidRDefault="00723FBC"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That is</w:t>
      </w:r>
      <w:r w:rsidR="00CC2DA5">
        <w:rPr>
          <w:rFonts w:ascii="Times New Roman" w:hAnsi="Times New Roman" w:cs="Times New Roman"/>
          <w:sz w:val="24"/>
          <w:szCs w:val="24"/>
        </w:rPr>
        <w:t xml:space="preserve"> sufficient to deal with this ground of appeal. However, given the </w:t>
      </w:r>
      <w:r w:rsidR="001076FE">
        <w:rPr>
          <w:rFonts w:ascii="Times New Roman" w:hAnsi="Times New Roman" w:cs="Times New Roman"/>
          <w:sz w:val="24"/>
          <w:szCs w:val="24"/>
        </w:rPr>
        <w:t>tenor of the allegations made against the Bank, we think it appropriate to explain briefly why the allegations are groundless.</w:t>
      </w:r>
    </w:p>
    <w:p w14:paraId="48A547DC" w14:textId="77777777" w:rsidR="0096059D" w:rsidRDefault="0096059D" w:rsidP="009D4536">
      <w:pPr>
        <w:pStyle w:val="ListParagraph"/>
        <w:spacing w:after="0" w:line="480" w:lineRule="auto"/>
        <w:ind w:hanging="436"/>
        <w:jc w:val="both"/>
        <w:rPr>
          <w:rFonts w:ascii="Times New Roman" w:hAnsi="Times New Roman" w:cs="Times New Roman"/>
          <w:sz w:val="24"/>
          <w:szCs w:val="24"/>
        </w:rPr>
      </w:pPr>
    </w:p>
    <w:p w14:paraId="5CCAF9B0" w14:textId="6AFC9598" w:rsidR="0096059D" w:rsidRDefault="0096059D"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lastRenderedPageBreak/>
        <w:t xml:space="preserve">The starting point is the Facility Letter of 20 July 2007 which provided that the facility was to be secured by a </w:t>
      </w:r>
      <w:r w:rsidRPr="0096059D">
        <w:rPr>
          <w:rFonts w:ascii="Times New Roman" w:hAnsi="Times New Roman" w:cs="Times New Roman"/>
          <w:i/>
          <w:sz w:val="24"/>
          <w:szCs w:val="24"/>
        </w:rPr>
        <w:t>“First Legal Charge over the [Kilpeddar] Site”</w:t>
      </w:r>
      <w:r>
        <w:rPr>
          <w:rFonts w:ascii="Times New Roman" w:hAnsi="Times New Roman" w:cs="Times New Roman"/>
          <w:i/>
          <w:sz w:val="24"/>
          <w:szCs w:val="24"/>
        </w:rPr>
        <w:t xml:space="preserve">. </w:t>
      </w:r>
      <w:r>
        <w:rPr>
          <w:rFonts w:ascii="Times New Roman" w:hAnsi="Times New Roman" w:cs="Times New Roman"/>
          <w:sz w:val="24"/>
          <w:szCs w:val="24"/>
        </w:rPr>
        <w:t>That was followed by the Mortgage</w:t>
      </w:r>
      <w:r w:rsidR="000675CE">
        <w:rPr>
          <w:rFonts w:ascii="Times New Roman" w:hAnsi="Times New Roman" w:cs="Times New Roman"/>
          <w:sz w:val="24"/>
          <w:szCs w:val="24"/>
        </w:rPr>
        <w:t xml:space="preserve"> (dated 3 August 2007) </w:t>
      </w:r>
      <w:r>
        <w:rPr>
          <w:rFonts w:ascii="Times New Roman" w:hAnsi="Times New Roman" w:cs="Times New Roman"/>
          <w:sz w:val="24"/>
          <w:szCs w:val="24"/>
        </w:rPr>
        <w:t xml:space="preserve">clause 3(a) of which provided that the Borrowers </w:t>
      </w:r>
      <w:r w:rsidRPr="0096059D">
        <w:rPr>
          <w:rFonts w:ascii="Times New Roman" w:hAnsi="Times New Roman" w:cs="Times New Roman"/>
          <w:i/>
          <w:sz w:val="24"/>
          <w:szCs w:val="24"/>
        </w:rPr>
        <w:t>“as registered owner or as person entitled to be registered as owner</w:t>
      </w:r>
      <w:r>
        <w:rPr>
          <w:rFonts w:ascii="Times New Roman" w:hAnsi="Times New Roman" w:cs="Times New Roman"/>
          <w:sz w:val="24"/>
          <w:szCs w:val="24"/>
        </w:rPr>
        <w:t>” charged the registered lands specified in the Third Schedule</w:t>
      </w:r>
      <w:r w:rsidR="000675CE">
        <w:rPr>
          <w:rFonts w:ascii="Times New Roman" w:hAnsi="Times New Roman" w:cs="Times New Roman"/>
          <w:sz w:val="24"/>
          <w:szCs w:val="24"/>
        </w:rPr>
        <w:t xml:space="preserve">. The Third Schedule in turn referred to </w:t>
      </w:r>
      <w:r w:rsidR="000675CE" w:rsidRPr="000675CE">
        <w:rPr>
          <w:rFonts w:ascii="Times New Roman" w:hAnsi="Times New Roman" w:cs="Times New Roman"/>
          <w:i/>
          <w:sz w:val="24"/>
          <w:szCs w:val="24"/>
        </w:rPr>
        <w:t>“</w:t>
      </w:r>
      <w:r w:rsidR="000675CE" w:rsidRPr="000675CE">
        <w:rPr>
          <w:rFonts w:ascii="Times New Roman" w:hAnsi="Times New Roman" w:cs="Times New Roman"/>
          <w:b/>
          <w:i/>
          <w:sz w:val="24"/>
          <w:szCs w:val="24"/>
        </w:rPr>
        <w:t xml:space="preserve">ALL THAT AND THOSE </w:t>
      </w:r>
      <w:r w:rsidR="000675CE" w:rsidRPr="000675CE">
        <w:rPr>
          <w:rFonts w:ascii="Times New Roman" w:hAnsi="Times New Roman" w:cs="Times New Roman"/>
          <w:i/>
          <w:sz w:val="24"/>
          <w:szCs w:val="24"/>
        </w:rPr>
        <w:t>the lands the subject of Deed and Conveyance and Transfer dated the 3</w:t>
      </w:r>
      <w:r w:rsidR="000675CE" w:rsidRPr="000675CE">
        <w:rPr>
          <w:rFonts w:ascii="Times New Roman" w:hAnsi="Times New Roman" w:cs="Times New Roman"/>
          <w:i/>
          <w:sz w:val="24"/>
          <w:szCs w:val="24"/>
          <w:vertAlign w:val="superscript"/>
        </w:rPr>
        <w:t>rd</w:t>
      </w:r>
      <w:r w:rsidR="000675CE" w:rsidRPr="000675CE">
        <w:rPr>
          <w:rFonts w:ascii="Times New Roman" w:hAnsi="Times New Roman" w:cs="Times New Roman"/>
          <w:i/>
          <w:sz w:val="24"/>
          <w:szCs w:val="24"/>
        </w:rPr>
        <w:t xml:space="preserve"> August 2007 between Dryfield Limited of the one part and [the McDonaghs] of the other part”.</w:t>
      </w:r>
      <w:r w:rsidR="000675CE">
        <w:rPr>
          <w:rFonts w:ascii="Times New Roman" w:hAnsi="Times New Roman" w:cs="Times New Roman"/>
          <w:sz w:val="24"/>
          <w:szCs w:val="24"/>
        </w:rPr>
        <w:t xml:space="preserve"> In other words, the Mortgage was executed on the same day as the deed of sale to the McDonaghs and therefore in advance of the McDonaghs being registered as owners of the Kilpeddar Lands in the Land Registry.</w:t>
      </w:r>
    </w:p>
    <w:p w14:paraId="7703C8E0" w14:textId="77777777" w:rsidR="00522C32" w:rsidRDefault="00522C32" w:rsidP="009D4536">
      <w:pPr>
        <w:pStyle w:val="ListParagraph"/>
        <w:spacing w:after="0" w:line="480" w:lineRule="auto"/>
        <w:ind w:hanging="436"/>
        <w:jc w:val="both"/>
        <w:rPr>
          <w:rFonts w:ascii="Times New Roman" w:hAnsi="Times New Roman" w:cs="Times New Roman"/>
          <w:sz w:val="24"/>
          <w:szCs w:val="24"/>
        </w:rPr>
      </w:pPr>
    </w:p>
    <w:p w14:paraId="0454C79C" w14:textId="2E10BC15" w:rsidR="00B41B67" w:rsidRDefault="0062314D"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Nothing in the material provided to the Court </w:t>
      </w:r>
      <w:r w:rsidR="00B41B67">
        <w:rPr>
          <w:rFonts w:ascii="Times New Roman" w:hAnsi="Times New Roman" w:cs="Times New Roman"/>
          <w:sz w:val="24"/>
          <w:szCs w:val="24"/>
        </w:rPr>
        <w:t xml:space="preserve">raised any </w:t>
      </w:r>
      <w:r>
        <w:rPr>
          <w:rFonts w:ascii="Times New Roman" w:hAnsi="Times New Roman" w:cs="Times New Roman"/>
          <w:sz w:val="24"/>
          <w:szCs w:val="24"/>
        </w:rPr>
        <w:t xml:space="preserve">question </w:t>
      </w:r>
      <w:r w:rsidR="00B41B67">
        <w:rPr>
          <w:rFonts w:ascii="Times New Roman" w:hAnsi="Times New Roman" w:cs="Times New Roman"/>
          <w:sz w:val="24"/>
          <w:szCs w:val="24"/>
        </w:rPr>
        <w:t xml:space="preserve">or doubt as to </w:t>
      </w:r>
      <w:r>
        <w:rPr>
          <w:rFonts w:ascii="Times New Roman" w:hAnsi="Times New Roman" w:cs="Times New Roman"/>
          <w:sz w:val="24"/>
          <w:szCs w:val="24"/>
        </w:rPr>
        <w:t xml:space="preserve">the Bank’s entitlement to a </w:t>
      </w:r>
      <w:r w:rsidR="00B41B67">
        <w:rPr>
          <w:rFonts w:ascii="Times New Roman" w:hAnsi="Times New Roman" w:cs="Times New Roman"/>
          <w:sz w:val="24"/>
          <w:szCs w:val="24"/>
        </w:rPr>
        <w:t>charge over the entirety of the registered lands to be transferred from Dryfield Limited to the McDonaghs.</w:t>
      </w:r>
    </w:p>
    <w:p w14:paraId="48C0A50E" w14:textId="77777777" w:rsidR="00B41B67" w:rsidRDefault="00B41B67" w:rsidP="009D4536">
      <w:pPr>
        <w:pStyle w:val="ListParagraph"/>
        <w:spacing w:after="0" w:line="480" w:lineRule="auto"/>
        <w:ind w:hanging="436"/>
        <w:jc w:val="both"/>
        <w:rPr>
          <w:rFonts w:ascii="Times New Roman" w:hAnsi="Times New Roman" w:cs="Times New Roman"/>
          <w:sz w:val="24"/>
          <w:szCs w:val="24"/>
        </w:rPr>
      </w:pPr>
    </w:p>
    <w:p w14:paraId="3BE4FF50" w14:textId="3753C438" w:rsidR="00B41B67" w:rsidRDefault="00B41B67"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It appears from the material available to the Court that there may have been a delay in the McDonaghs being registered as owners of</w:t>
      </w:r>
      <w:r w:rsidR="00522C32">
        <w:rPr>
          <w:rFonts w:ascii="Times New Roman" w:hAnsi="Times New Roman" w:cs="Times New Roman"/>
          <w:sz w:val="24"/>
          <w:szCs w:val="24"/>
        </w:rPr>
        <w:t xml:space="preserve"> </w:t>
      </w:r>
      <w:r>
        <w:rPr>
          <w:rFonts w:ascii="Times New Roman" w:hAnsi="Times New Roman" w:cs="Times New Roman"/>
          <w:sz w:val="24"/>
          <w:szCs w:val="24"/>
        </w:rPr>
        <w:t xml:space="preserve">one of the parcels of land included in the transfer from </w:t>
      </w:r>
      <w:r w:rsidR="00522C32">
        <w:rPr>
          <w:rFonts w:ascii="Times New Roman" w:hAnsi="Times New Roman" w:cs="Times New Roman"/>
          <w:sz w:val="24"/>
          <w:szCs w:val="24"/>
        </w:rPr>
        <w:t>Dryfield</w:t>
      </w:r>
      <w:r>
        <w:rPr>
          <w:rFonts w:ascii="Times New Roman" w:hAnsi="Times New Roman" w:cs="Times New Roman"/>
          <w:sz w:val="24"/>
          <w:szCs w:val="24"/>
        </w:rPr>
        <w:t xml:space="preserve">, namely the lands in Folio 21790F. The copy folio furnished to the Court appears to record the registration of the </w:t>
      </w:r>
      <w:r w:rsidR="00522C32">
        <w:rPr>
          <w:rFonts w:ascii="Times New Roman" w:hAnsi="Times New Roman" w:cs="Times New Roman"/>
          <w:sz w:val="24"/>
          <w:szCs w:val="24"/>
        </w:rPr>
        <w:t xml:space="preserve">McDonaghs as owners </w:t>
      </w:r>
      <w:r w:rsidR="00DC034D">
        <w:rPr>
          <w:rFonts w:ascii="Times New Roman" w:hAnsi="Times New Roman" w:cs="Times New Roman"/>
          <w:sz w:val="24"/>
          <w:szCs w:val="24"/>
        </w:rPr>
        <w:t>on 12 November 2007</w:t>
      </w:r>
      <w:r>
        <w:rPr>
          <w:rFonts w:ascii="Times New Roman" w:hAnsi="Times New Roman" w:cs="Times New Roman"/>
          <w:sz w:val="24"/>
          <w:szCs w:val="24"/>
        </w:rPr>
        <w:t xml:space="preserve"> and the registration of the Bank’s charge o</w:t>
      </w:r>
      <w:r w:rsidR="00DC034D">
        <w:rPr>
          <w:rFonts w:ascii="Times New Roman" w:hAnsi="Times New Roman" w:cs="Times New Roman"/>
          <w:sz w:val="24"/>
          <w:szCs w:val="24"/>
        </w:rPr>
        <w:t xml:space="preserve">n the same day. </w:t>
      </w:r>
      <w:r>
        <w:rPr>
          <w:rFonts w:ascii="Times New Roman" w:hAnsi="Times New Roman" w:cs="Times New Roman"/>
          <w:sz w:val="24"/>
          <w:szCs w:val="24"/>
        </w:rPr>
        <w:t xml:space="preserve">However, we were </w:t>
      </w:r>
      <w:r w:rsidR="001B7498">
        <w:rPr>
          <w:rFonts w:ascii="Times New Roman" w:hAnsi="Times New Roman" w:cs="Times New Roman"/>
          <w:sz w:val="24"/>
          <w:szCs w:val="24"/>
        </w:rPr>
        <w:t xml:space="preserve">also </w:t>
      </w:r>
      <w:r>
        <w:rPr>
          <w:rFonts w:ascii="Times New Roman" w:hAnsi="Times New Roman" w:cs="Times New Roman"/>
          <w:sz w:val="24"/>
          <w:szCs w:val="24"/>
        </w:rPr>
        <w:t>furnished with correspondence between McDowell Purcell (for the Bank) and the Land Registry</w:t>
      </w:r>
      <w:r w:rsidR="00B14F69">
        <w:rPr>
          <w:rFonts w:ascii="Times New Roman" w:hAnsi="Times New Roman" w:cs="Times New Roman"/>
          <w:sz w:val="24"/>
          <w:szCs w:val="24"/>
        </w:rPr>
        <w:t xml:space="preserve">/Property Registration Authority </w:t>
      </w:r>
      <w:r>
        <w:rPr>
          <w:rFonts w:ascii="Times New Roman" w:hAnsi="Times New Roman" w:cs="Times New Roman"/>
          <w:sz w:val="24"/>
          <w:szCs w:val="24"/>
        </w:rPr>
        <w:t>which indicate</w:t>
      </w:r>
      <w:r w:rsidR="00B14F69">
        <w:rPr>
          <w:rFonts w:ascii="Times New Roman" w:hAnsi="Times New Roman" w:cs="Times New Roman"/>
          <w:sz w:val="24"/>
          <w:szCs w:val="24"/>
        </w:rPr>
        <w:t>s</w:t>
      </w:r>
      <w:r>
        <w:rPr>
          <w:rFonts w:ascii="Times New Roman" w:hAnsi="Times New Roman" w:cs="Times New Roman"/>
          <w:sz w:val="24"/>
          <w:szCs w:val="24"/>
        </w:rPr>
        <w:t xml:space="preserve"> that there was an issue regarding the registration of the McDonaghs as owners of the lands in that folio </w:t>
      </w:r>
      <w:r>
        <w:rPr>
          <w:rFonts w:ascii="Times New Roman" w:hAnsi="Times New Roman" w:cs="Times New Roman"/>
          <w:sz w:val="24"/>
          <w:szCs w:val="24"/>
        </w:rPr>
        <w:lastRenderedPageBreak/>
        <w:t xml:space="preserve">which was not finally resolved until December 2013. The issue was as to whether the 2007 transfer to the McDonaghs included the entirety of the lands in Folio 21790F or only part of those lands. </w:t>
      </w:r>
      <w:r w:rsidR="00B14F69">
        <w:rPr>
          <w:rFonts w:ascii="Times New Roman" w:hAnsi="Times New Roman" w:cs="Times New Roman"/>
          <w:sz w:val="24"/>
          <w:szCs w:val="24"/>
        </w:rPr>
        <w:t xml:space="preserve">Ultimately, </w:t>
      </w:r>
      <w:r>
        <w:rPr>
          <w:rFonts w:ascii="Times New Roman" w:hAnsi="Times New Roman" w:cs="Times New Roman"/>
          <w:sz w:val="24"/>
          <w:szCs w:val="24"/>
        </w:rPr>
        <w:t>the Land Registry’s concerns were addressed to its satisfaction</w:t>
      </w:r>
      <w:r w:rsidR="00B14F69">
        <w:rPr>
          <w:rFonts w:ascii="Times New Roman" w:hAnsi="Times New Roman" w:cs="Times New Roman"/>
          <w:sz w:val="24"/>
          <w:szCs w:val="24"/>
        </w:rPr>
        <w:t xml:space="preserve"> and the McDonaghs were registered as owners of the entirety of the lands</w:t>
      </w:r>
      <w:r>
        <w:rPr>
          <w:rFonts w:ascii="Times New Roman" w:hAnsi="Times New Roman" w:cs="Times New Roman"/>
          <w:sz w:val="24"/>
          <w:szCs w:val="24"/>
        </w:rPr>
        <w:t xml:space="preserve">. Insofar as there was delay in registering the McDonaghs as owners of the Folio 21790F lands, that obviously had a knock-on impact on the registration of the Bank’s charge but </w:t>
      </w:r>
      <w:bookmarkStart w:id="5" w:name="_Hlk98945655"/>
      <w:r>
        <w:rPr>
          <w:rFonts w:ascii="Times New Roman" w:hAnsi="Times New Roman" w:cs="Times New Roman"/>
          <w:sz w:val="24"/>
          <w:szCs w:val="24"/>
        </w:rPr>
        <w:t>there is no suggestion in the material provided to the Court that any separate issue arose as to the Bank’s entitlement to have its charge registered on the</w:t>
      </w:r>
      <w:r w:rsidR="00B14F69">
        <w:rPr>
          <w:rFonts w:ascii="Times New Roman" w:hAnsi="Times New Roman" w:cs="Times New Roman"/>
          <w:sz w:val="24"/>
          <w:szCs w:val="24"/>
        </w:rPr>
        <w:t>se</w:t>
      </w:r>
      <w:r>
        <w:rPr>
          <w:rFonts w:ascii="Times New Roman" w:hAnsi="Times New Roman" w:cs="Times New Roman"/>
          <w:sz w:val="24"/>
          <w:szCs w:val="24"/>
        </w:rPr>
        <w:t xml:space="preserve"> land</w:t>
      </w:r>
      <w:r w:rsidR="00B14F69">
        <w:rPr>
          <w:rFonts w:ascii="Times New Roman" w:hAnsi="Times New Roman" w:cs="Times New Roman"/>
          <w:sz w:val="24"/>
          <w:szCs w:val="24"/>
        </w:rPr>
        <w:t>s</w:t>
      </w:r>
      <w:r>
        <w:rPr>
          <w:rFonts w:ascii="Times New Roman" w:hAnsi="Times New Roman" w:cs="Times New Roman"/>
          <w:sz w:val="24"/>
          <w:szCs w:val="24"/>
        </w:rPr>
        <w:t>.</w:t>
      </w:r>
      <w:bookmarkEnd w:id="5"/>
    </w:p>
    <w:p w14:paraId="080136FB" w14:textId="77777777" w:rsidR="00B41B67" w:rsidRDefault="00B41B67" w:rsidP="009D4536">
      <w:pPr>
        <w:pStyle w:val="ListParagraph"/>
        <w:spacing w:after="0" w:line="480" w:lineRule="auto"/>
        <w:ind w:hanging="436"/>
        <w:jc w:val="both"/>
        <w:rPr>
          <w:rFonts w:ascii="Times New Roman" w:hAnsi="Times New Roman" w:cs="Times New Roman"/>
          <w:sz w:val="24"/>
          <w:szCs w:val="24"/>
        </w:rPr>
      </w:pPr>
    </w:p>
    <w:p w14:paraId="23189B43" w14:textId="239B6226" w:rsidR="00DC034D" w:rsidRPr="00B14F69" w:rsidRDefault="00B14F69" w:rsidP="009D4536">
      <w:pPr>
        <w:pStyle w:val="ListParagraph"/>
        <w:numPr>
          <w:ilvl w:val="0"/>
          <w:numId w:val="1"/>
        </w:numPr>
        <w:spacing w:after="0" w:line="480" w:lineRule="auto"/>
        <w:ind w:hanging="436"/>
        <w:jc w:val="both"/>
        <w:rPr>
          <w:rFonts w:ascii="Times New Roman" w:hAnsi="Times New Roman" w:cs="Times New Roman"/>
          <w:sz w:val="24"/>
          <w:szCs w:val="24"/>
        </w:rPr>
      </w:pPr>
      <w:r w:rsidRPr="00B14F69">
        <w:rPr>
          <w:rFonts w:ascii="Times New Roman" w:hAnsi="Times New Roman" w:cs="Times New Roman"/>
          <w:sz w:val="24"/>
          <w:szCs w:val="24"/>
        </w:rPr>
        <w:t xml:space="preserve">The other relevant folio appears to have been Folio 36738F, which contains lands transferred from </w:t>
      </w:r>
      <w:r w:rsidR="00DC034D" w:rsidRPr="00B14F69">
        <w:rPr>
          <w:rFonts w:ascii="Times New Roman" w:hAnsi="Times New Roman" w:cs="Times New Roman"/>
          <w:sz w:val="24"/>
          <w:szCs w:val="24"/>
        </w:rPr>
        <w:t>Folio 10117F (under the Deed of Sale from Dryfield, only a portion of the lands in Folio 10117F were transferred to the McDonaghs).</w:t>
      </w:r>
      <w:r w:rsidRPr="00B14F69">
        <w:rPr>
          <w:rFonts w:ascii="Times New Roman" w:hAnsi="Times New Roman" w:cs="Times New Roman"/>
          <w:sz w:val="24"/>
          <w:szCs w:val="24"/>
        </w:rPr>
        <w:t xml:space="preserve"> Again, that folio appears to indicate that </w:t>
      </w:r>
      <w:r>
        <w:rPr>
          <w:rFonts w:ascii="Times New Roman" w:hAnsi="Times New Roman" w:cs="Times New Roman"/>
          <w:sz w:val="24"/>
          <w:szCs w:val="24"/>
        </w:rPr>
        <w:t>t</w:t>
      </w:r>
      <w:r w:rsidR="00DC034D" w:rsidRPr="00B14F69">
        <w:rPr>
          <w:rFonts w:ascii="Times New Roman" w:hAnsi="Times New Roman" w:cs="Times New Roman"/>
          <w:sz w:val="24"/>
          <w:szCs w:val="24"/>
        </w:rPr>
        <w:t xml:space="preserve">he McDonaghs </w:t>
      </w:r>
      <w:r>
        <w:rPr>
          <w:rFonts w:ascii="Times New Roman" w:hAnsi="Times New Roman" w:cs="Times New Roman"/>
          <w:sz w:val="24"/>
          <w:szCs w:val="24"/>
        </w:rPr>
        <w:t>were</w:t>
      </w:r>
      <w:r w:rsidR="00DC034D" w:rsidRPr="00B14F69">
        <w:rPr>
          <w:rFonts w:ascii="Times New Roman" w:hAnsi="Times New Roman" w:cs="Times New Roman"/>
          <w:sz w:val="24"/>
          <w:szCs w:val="24"/>
        </w:rPr>
        <w:t xml:space="preserve"> registered as owners of the lands in </w:t>
      </w:r>
      <w:r>
        <w:rPr>
          <w:rFonts w:ascii="Times New Roman" w:hAnsi="Times New Roman" w:cs="Times New Roman"/>
          <w:sz w:val="24"/>
          <w:szCs w:val="24"/>
        </w:rPr>
        <w:t>it</w:t>
      </w:r>
      <w:r w:rsidR="00DC034D" w:rsidRPr="00B14F69">
        <w:rPr>
          <w:rFonts w:ascii="Times New Roman" w:hAnsi="Times New Roman" w:cs="Times New Roman"/>
          <w:sz w:val="24"/>
          <w:szCs w:val="24"/>
        </w:rPr>
        <w:t xml:space="preserve"> on 12 November 2007 and</w:t>
      </w:r>
      <w:r>
        <w:rPr>
          <w:rFonts w:ascii="Times New Roman" w:hAnsi="Times New Roman" w:cs="Times New Roman"/>
          <w:sz w:val="24"/>
          <w:szCs w:val="24"/>
        </w:rPr>
        <w:t xml:space="preserve"> that</w:t>
      </w:r>
      <w:r w:rsidR="00DC034D" w:rsidRPr="00B14F69">
        <w:rPr>
          <w:rFonts w:ascii="Times New Roman" w:hAnsi="Times New Roman" w:cs="Times New Roman"/>
          <w:sz w:val="24"/>
          <w:szCs w:val="24"/>
        </w:rPr>
        <w:t xml:space="preserve"> a charge in favour of the Bank was registered on the same day. </w:t>
      </w:r>
      <w:r>
        <w:rPr>
          <w:rFonts w:ascii="Times New Roman" w:hAnsi="Times New Roman" w:cs="Times New Roman"/>
          <w:sz w:val="24"/>
          <w:szCs w:val="24"/>
        </w:rPr>
        <w:t>It is possible, however, that any delay in the registration of the dealing in respect of Folio 21790F also impacted on the registration of the McDonaghs as registered owners of the lands in this folio. Again, there is no suggestion in the material provided to the Court that any separate issue arose as to the Bank’s entitlement to have its charge registered on these lands.</w:t>
      </w:r>
    </w:p>
    <w:p w14:paraId="7492A0B5" w14:textId="77777777" w:rsidR="00856669" w:rsidRDefault="00856669" w:rsidP="009D4536">
      <w:pPr>
        <w:pStyle w:val="ListParagraph"/>
        <w:spacing w:after="0" w:line="480" w:lineRule="auto"/>
        <w:ind w:hanging="436"/>
        <w:jc w:val="both"/>
        <w:rPr>
          <w:rFonts w:ascii="Times New Roman" w:hAnsi="Times New Roman" w:cs="Times New Roman"/>
          <w:sz w:val="24"/>
          <w:szCs w:val="24"/>
        </w:rPr>
      </w:pPr>
    </w:p>
    <w:p w14:paraId="05CDA840" w14:textId="7CB4EBDF" w:rsidR="00625788" w:rsidRPr="00625788" w:rsidRDefault="00B14F69"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Even if one </w:t>
      </w:r>
      <w:r w:rsidR="001B7498">
        <w:rPr>
          <w:rFonts w:ascii="Times New Roman" w:hAnsi="Times New Roman" w:cs="Times New Roman"/>
          <w:sz w:val="24"/>
          <w:szCs w:val="24"/>
        </w:rPr>
        <w:t xml:space="preserve">assumes (in favour of the First Defendant) </w:t>
      </w:r>
      <w:r>
        <w:rPr>
          <w:rFonts w:ascii="Times New Roman" w:hAnsi="Times New Roman" w:cs="Times New Roman"/>
          <w:sz w:val="24"/>
          <w:szCs w:val="24"/>
        </w:rPr>
        <w:t xml:space="preserve">that the Bank’s charge </w:t>
      </w:r>
      <w:r w:rsidR="001B7498">
        <w:rPr>
          <w:rFonts w:ascii="Times New Roman" w:hAnsi="Times New Roman" w:cs="Times New Roman"/>
          <w:sz w:val="24"/>
          <w:szCs w:val="24"/>
        </w:rPr>
        <w:t xml:space="preserve">had not been </w:t>
      </w:r>
      <w:r>
        <w:rPr>
          <w:rFonts w:ascii="Times New Roman" w:hAnsi="Times New Roman" w:cs="Times New Roman"/>
          <w:sz w:val="24"/>
          <w:szCs w:val="24"/>
        </w:rPr>
        <w:t xml:space="preserve">registered </w:t>
      </w:r>
      <w:r w:rsidR="001628B5">
        <w:rPr>
          <w:rFonts w:ascii="Times New Roman" w:hAnsi="Times New Roman" w:cs="Times New Roman"/>
          <w:sz w:val="24"/>
          <w:szCs w:val="24"/>
        </w:rPr>
        <w:t xml:space="preserve">on either folio </w:t>
      </w:r>
      <w:r w:rsidR="001243B8">
        <w:rPr>
          <w:rFonts w:ascii="Times New Roman" w:hAnsi="Times New Roman" w:cs="Times New Roman"/>
          <w:sz w:val="24"/>
          <w:szCs w:val="24"/>
        </w:rPr>
        <w:t xml:space="preserve">when the </w:t>
      </w:r>
      <w:r w:rsidR="001628B5">
        <w:rPr>
          <w:rFonts w:ascii="Times New Roman" w:hAnsi="Times New Roman" w:cs="Times New Roman"/>
          <w:sz w:val="24"/>
          <w:szCs w:val="24"/>
        </w:rPr>
        <w:t>Compromise Agreement was signe</w:t>
      </w:r>
      <w:r w:rsidR="001B7498">
        <w:rPr>
          <w:rFonts w:ascii="Times New Roman" w:hAnsi="Times New Roman" w:cs="Times New Roman"/>
          <w:sz w:val="24"/>
          <w:szCs w:val="24"/>
        </w:rPr>
        <w:t>d</w:t>
      </w:r>
      <w:r w:rsidR="001243B8">
        <w:rPr>
          <w:rFonts w:ascii="Times New Roman" w:hAnsi="Times New Roman" w:cs="Times New Roman"/>
          <w:sz w:val="24"/>
          <w:szCs w:val="24"/>
        </w:rPr>
        <w:t xml:space="preserve"> (which, as already noted, did not happen until sometime after 13 March 2013)</w:t>
      </w:r>
      <w:r w:rsidR="001B7498">
        <w:rPr>
          <w:rFonts w:ascii="Times New Roman" w:hAnsi="Times New Roman" w:cs="Times New Roman"/>
          <w:sz w:val="24"/>
          <w:szCs w:val="24"/>
        </w:rPr>
        <w:t xml:space="preserve">, it gets the First Defendant nowhere. </w:t>
      </w:r>
      <w:r w:rsidR="00257B79">
        <w:rPr>
          <w:rFonts w:ascii="Times New Roman" w:hAnsi="Times New Roman" w:cs="Times New Roman"/>
          <w:sz w:val="24"/>
          <w:szCs w:val="24"/>
        </w:rPr>
        <w:t xml:space="preserve"> The Mortgage gave the Bank a </w:t>
      </w:r>
      <w:r w:rsidR="00626712">
        <w:rPr>
          <w:rFonts w:ascii="Times New Roman" w:hAnsi="Times New Roman" w:cs="Times New Roman"/>
          <w:sz w:val="24"/>
          <w:szCs w:val="24"/>
        </w:rPr>
        <w:t xml:space="preserve">charge over the Lands which it </w:t>
      </w:r>
      <w:r w:rsidR="00626712">
        <w:rPr>
          <w:rFonts w:ascii="Times New Roman" w:hAnsi="Times New Roman" w:cs="Times New Roman"/>
          <w:sz w:val="24"/>
          <w:szCs w:val="24"/>
        </w:rPr>
        <w:lastRenderedPageBreak/>
        <w:t xml:space="preserve">was entitled to </w:t>
      </w:r>
      <w:r w:rsidR="00257B79">
        <w:rPr>
          <w:rFonts w:ascii="Times New Roman" w:hAnsi="Times New Roman" w:cs="Times New Roman"/>
          <w:sz w:val="24"/>
          <w:szCs w:val="24"/>
        </w:rPr>
        <w:t>have charge registered and it had made the appropriate application</w:t>
      </w:r>
      <w:r w:rsidR="00626712">
        <w:rPr>
          <w:rFonts w:ascii="Times New Roman" w:hAnsi="Times New Roman" w:cs="Times New Roman"/>
          <w:sz w:val="24"/>
          <w:szCs w:val="24"/>
        </w:rPr>
        <w:t xml:space="preserve"> for registration</w:t>
      </w:r>
      <w:r w:rsidR="00257B79">
        <w:rPr>
          <w:rFonts w:ascii="Times New Roman" w:hAnsi="Times New Roman" w:cs="Times New Roman"/>
          <w:sz w:val="24"/>
          <w:szCs w:val="24"/>
        </w:rPr>
        <w:t xml:space="preserve"> to the Land Registry. </w:t>
      </w:r>
      <w:r w:rsidR="009E60EF">
        <w:rPr>
          <w:rFonts w:ascii="Times New Roman" w:hAnsi="Times New Roman" w:cs="Times New Roman"/>
          <w:sz w:val="24"/>
          <w:szCs w:val="24"/>
        </w:rPr>
        <w:t xml:space="preserve">Any delay in registration appears to have resulted from issues </w:t>
      </w:r>
      <w:r w:rsidR="00626712">
        <w:rPr>
          <w:rFonts w:ascii="Times New Roman" w:hAnsi="Times New Roman" w:cs="Times New Roman"/>
          <w:sz w:val="24"/>
          <w:szCs w:val="24"/>
        </w:rPr>
        <w:t>relating to</w:t>
      </w:r>
      <w:r w:rsidR="009E60EF">
        <w:rPr>
          <w:rFonts w:ascii="Times New Roman" w:hAnsi="Times New Roman" w:cs="Times New Roman"/>
          <w:sz w:val="24"/>
          <w:szCs w:val="24"/>
        </w:rPr>
        <w:t xml:space="preserve"> the transfer from Dryfield to the McDonaghs, </w:t>
      </w:r>
      <w:r w:rsidR="00626712">
        <w:rPr>
          <w:rFonts w:ascii="Times New Roman" w:hAnsi="Times New Roman" w:cs="Times New Roman"/>
          <w:sz w:val="24"/>
          <w:szCs w:val="24"/>
        </w:rPr>
        <w:t>rather than</w:t>
      </w:r>
      <w:r w:rsidR="009E60EF">
        <w:rPr>
          <w:rFonts w:ascii="Times New Roman" w:hAnsi="Times New Roman" w:cs="Times New Roman"/>
          <w:sz w:val="24"/>
          <w:szCs w:val="24"/>
        </w:rPr>
        <w:t xml:space="preserve"> any difficult about the Bank’s entitlement to a charge. </w:t>
      </w:r>
      <w:r w:rsidR="001243B8">
        <w:rPr>
          <w:rFonts w:ascii="Times New Roman" w:hAnsi="Times New Roman" w:cs="Times New Roman"/>
          <w:sz w:val="24"/>
          <w:szCs w:val="24"/>
        </w:rPr>
        <w:t xml:space="preserve">True it is that, until </w:t>
      </w:r>
      <w:r w:rsidR="00625788">
        <w:rPr>
          <w:rFonts w:ascii="Times New Roman" w:hAnsi="Times New Roman" w:cs="Times New Roman"/>
          <w:sz w:val="24"/>
          <w:szCs w:val="24"/>
        </w:rPr>
        <w:t>the registration of its</w:t>
      </w:r>
      <w:r w:rsidR="001243B8">
        <w:rPr>
          <w:rFonts w:ascii="Times New Roman" w:hAnsi="Times New Roman" w:cs="Times New Roman"/>
          <w:sz w:val="24"/>
          <w:szCs w:val="24"/>
        </w:rPr>
        <w:t xml:space="preserve"> charge, the Bank </w:t>
      </w:r>
      <w:r w:rsidR="00625788">
        <w:rPr>
          <w:rFonts w:ascii="Times New Roman" w:hAnsi="Times New Roman" w:cs="Times New Roman"/>
          <w:sz w:val="24"/>
          <w:szCs w:val="24"/>
        </w:rPr>
        <w:t xml:space="preserve">could not rely on the provisions of section 62 (or section 64) of the Registration of Title Act 1964: </w:t>
      </w:r>
      <w:bookmarkStart w:id="6" w:name="_Hlk99289411"/>
      <w:r w:rsidR="00625788" w:rsidRPr="00625788">
        <w:rPr>
          <w:rFonts w:ascii="Times New Roman" w:hAnsi="Times New Roman" w:cs="Times New Roman"/>
          <w:i/>
          <w:sz w:val="24"/>
          <w:szCs w:val="24"/>
        </w:rPr>
        <w:t>Kavanagh v McLaughlin</w:t>
      </w:r>
      <w:r w:rsidR="00625788">
        <w:rPr>
          <w:rFonts w:ascii="Times New Roman" w:hAnsi="Times New Roman" w:cs="Times New Roman"/>
          <w:sz w:val="24"/>
          <w:szCs w:val="24"/>
        </w:rPr>
        <w:t xml:space="preserve"> </w:t>
      </w:r>
      <w:bookmarkEnd w:id="6"/>
      <w:r w:rsidR="00625788">
        <w:rPr>
          <w:rFonts w:ascii="Times New Roman" w:hAnsi="Times New Roman" w:cs="Times New Roman"/>
          <w:sz w:val="24"/>
          <w:szCs w:val="24"/>
        </w:rPr>
        <w:t xml:space="preserve">[2015] IESC 27, [2015] 3 IR 555. But that is </w:t>
      </w:r>
      <w:r w:rsidR="00625788" w:rsidRPr="00625788">
        <w:rPr>
          <w:rFonts w:ascii="Times New Roman" w:hAnsi="Times New Roman" w:cs="Times New Roman"/>
          <w:i/>
          <w:sz w:val="24"/>
          <w:szCs w:val="24"/>
        </w:rPr>
        <w:t>nihil ad rem.</w:t>
      </w:r>
      <w:r w:rsidR="00625788">
        <w:rPr>
          <w:rFonts w:ascii="Times New Roman" w:hAnsi="Times New Roman" w:cs="Times New Roman"/>
          <w:sz w:val="24"/>
          <w:szCs w:val="24"/>
        </w:rPr>
        <w:t xml:space="preserve"> The Bank had the protection of the Mortgage.</w:t>
      </w:r>
      <w:r w:rsidR="00626712">
        <w:rPr>
          <w:rFonts w:ascii="Times New Roman" w:hAnsi="Times New Roman" w:cs="Times New Roman"/>
          <w:sz w:val="24"/>
          <w:szCs w:val="24"/>
        </w:rPr>
        <w:t xml:space="preserve"> It gave significant rights to the Bank, including the right, </w:t>
      </w:r>
      <w:r w:rsidR="00625788">
        <w:rPr>
          <w:rFonts w:ascii="Times New Roman" w:hAnsi="Times New Roman" w:cs="Times New Roman"/>
          <w:sz w:val="24"/>
          <w:szCs w:val="24"/>
        </w:rPr>
        <w:t xml:space="preserve">in clause </w:t>
      </w:r>
      <w:r w:rsidR="00466BB4">
        <w:rPr>
          <w:rFonts w:ascii="Times New Roman" w:hAnsi="Times New Roman" w:cs="Times New Roman"/>
          <w:sz w:val="24"/>
          <w:szCs w:val="24"/>
        </w:rPr>
        <w:t>5(i), to appoint a receiver over the mortgaged property (of which the Kilpeddar Lands formed part) in the event of a breach, non-performance or non-observance by the Borrowers of their obligations to the Bank</w:t>
      </w:r>
      <w:r w:rsidR="00625788">
        <w:rPr>
          <w:rFonts w:ascii="Times New Roman" w:hAnsi="Times New Roman" w:cs="Times New Roman"/>
          <w:sz w:val="24"/>
          <w:szCs w:val="24"/>
        </w:rPr>
        <w:t xml:space="preserve">. That contractual entitlement was unaffected by the 1964 Act: </w:t>
      </w:r>
      <w:r w:rsidR="00625788" w:rsidRPr="00625788">
        <w:rPr>
          <w:rFonts w:ascii="Times New Roman" w:hAnsi="Times New Roman" w:cs="Times New Roman"/>
          <w:i/>
          <w:sz w:val="24"/>
          <w:szCs w:val="24"/>
        </w:rPr>
        <w:t>Kavanagh v McLaughlin</w:t>
      </w:r>
      <w:r w:rsidR="00625788">
        <w:rPr>
          <w:rFonts w:ascii="Times New Roman" w:hAnsi="Times New Roman" w:cs="Times New Roman"/>
          <w:i/>
          <w:sz w:val="24"/>
          <w:szCs w:val="24"/>
        </w:rPr>
        <w:t xml:space="preserve"> </w:t>
      </w:r>
      <w:r w:rsidR="00625788">
        <w:rPr>
          <w:rFonts w:ascii="Times New Roman" w:hAnsi="Times New Roman" w:cs="Times New Roman"/>
          <w:sz w:val="24"/>
          <w:szCs w:val="24"/>
        </w:rPr>
        <w:t>per Laffoy J at para 109. In fact, by the time that the Receivers were appointed by the Bank, its charge was registered and it had all of the powers flowing from section 62.</w:t>
      </w:r>
      <w:r w:rsidR="00257B79">
        <w:rPr>
          <w:rFonts w:ascii="Times New Roman" w:hAnsi="Times New Roman" w:cs="Times New Roman"/>
          <w:sz w:val="24"/>
          <w:szCs w:val="24"/>
        </w:rPr>
        <w:t xml:space="preserve"> </w:t>
      </w:r>
      <w:r w:rsidR="00625788">
        <w:rPr>
          <w:rFonts w:ascii="Times New Roman" w:hAnsi="Times New Roman" w:cs="Times New Roman"/>
          <w:sz w:val="24"/>
          <w:szCs w:val="24"/>
        </w:rPr>
        <w:t xml:space="preserve"> </w:t>
      </w:r>
      <w:r w:rsidR="00B2526F">
        <w:rPr>
          <w:rFonts w:ascii="Times New Roman" w:hAnsi="Times New Roman" w:cs="Times New Roman"/>
          <w:sz w:val="24"/>
          <w:szCs w:val="24"/>
        </w:rPr>
        <w:t>Nothing in</w:t>
      </w:r>
      <w:r w:rsidR="009C0586">
        <w:rPr>
          <w:rFonts w:ascii="Times New Roman" w:hAnsi="Times New Roman" w:cs="Times New Roman"/>
          <w:sz w:val="24"/>
          <w:szCs w:val="24"/>
        </w:rPr>
        <w:t xml:space="preserve"> </w:t>
      </w:r>
      <w:r w:rsidR="009C0586" w:rsidRPr="00625788">
        <w:rPr>
          <w:rFonts w:ascii="Times New Roman" w:hAnsi="Times New Roman" w:cs="Times New Roman"/>
          <w:i/>
          <w:sz w:val="24"/>
          <w:szCs w:val="24"/>
        </w:rPr>
        <w:t>Kavanagh v McLaughlin</w:t>
      </w:r>
      <w:r w:rsidR="009C0586">
        <w:rPr>
          <w:rFonts w:ascii="Times New Roman" w:hAnsi="Times New Roman" w:cs="Times New Roman"/>
          <w:i/>
          <w:sz w:val="24"/>
          <w:szCs w:val="24"/>
        </w:rPr>
        <w:t xml:space="preserve"> </w:t>
      </w:r>
      <w:r w:rsidR="009C0586">
        <w:rPr>
          <w:rFonts w:ascii="Times New Roman" w:hAnsi="Times New Roman" w:cs="Times New Roman"/>
          <w:sz w:val="24"/>
          <w:szCs w:val="24"/>
        </w:rPr>
        <w:t xml:space="preserve">assists the position of the First Defendant or </w:t>
      </w:r>
      <w:r w:rsidR="00B2526F">
        <w:rPr>
          <w:rFonts w:ascii="Times New Roman" w:hAnsi="Times New Roman" w:cs="Times New Roman"/>
          <w:sz w:val="24"/>
          <w:szCs w:val="24"/>
        </w:rPr>
        <w:t>provides any support for</w:t>
      </w:r>
      <w:r w:rsidR="009C0586">
        <w:rPr>
          <w:rFonts w:ascii="Times New Roman" w:hAnsi="Times New Roman" w:cs="Times New Roman"/>
          <w:sz w:val="24"/>
          <w:szCs w:val="24"/>
        </w:rPr>
        <w:t xml:space="preserve"> his contention that the Judgment ought to have been reviewed</w:t>
      </w:r>
      <w:r w:rsidR="00B2526F">
        <w:rPr>
          <w:rFonts w:ascii="Times New Roman" w:hAnsi="Times New Roman" w:cs="Times New Roman"/>
          <w:sz w:val="24"/>
          <w:szCs w:val="24"/>
        </w:rPr>
        <w:t>.</w:t>
      </w:r>
    </w:p>
    <w:p w14:paraId="49AD0143" w14:textId="77777777" w:rsidR="001243B8" w:rsidRDefault="001243B8" w:rsidP="009D4536">
      <w:pPr>
        <w:pStyle w:val="ListParagraph"/>
        <w:spacing w:after="0" w:line="480" w:lineRule="auto"/>
        <w:ind w:hanging="436"/>
        <w:jc w:val="both"/>
        <w:rPr>
          <w:rFonts w:ascii="Times New Roman" w:hAnsi="Times New Roman" w:cs="Times New Roman"/>
          <w:sz w:val="24"/>
          <w:szCs w:val="24"/>
        </w:rPr>
      </w:pPr>
    </w:p>
    <w:p w14:paraId="144CA8E7" w14:textId="0E7E15C2" w:rsidR="00CA476A" w:rsidRDefault="00626712"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It is said by the First Defendant that, by procuring the consent of the McDonaghs to the sale of the Kilpeddar Lands, the Bank acted in breach of Section 62(2) of the 1964 Act. Section 62(2) </w:t>
      </w:r>
      <w:r w:rsidR="00A53C27">
        <w:rPr>
          <w:rFonts w:ascii="Times New Roman" w:hAnsi="Times New Roman" w:cs="Times New Roman"/>
          <w:sz w:val="24"/>
          <w:szCs w:val="24"/>
        </w:rPr>
        <w:t xml:space="preserve">provides that the owner of a charge over land does not have any interest in that land until registration. How that provision might affect the </w:t>
      </w:r>
      <w:r w:rsidR="00466BB4">
        <w:rPr>
          <w:rFonts w:ascii="Times New Roman" w:hAnsi="Times New Roman" w:cs="Times New Roman"/>
          <w:sz w:val="24"/>
          <w:szCs w:val="24"/>
        </w:rPr>
        <w:t>entitlement</w:t>
      </w:r>
      <w:r w:rsidR="00A53C27">
        <w:rPr>
          <w:rFonts w:ascii="Times New Roman" w:hAnsi="Times New Roman" w:cs="Times New Roman"/>
          <w:sz w:val="24"/>
          <w:szCs w:val="24"/>
        </w:rPr>
        <w:t xml:space="preserve"> of the Bank to seek the </w:t>
      </w:r>
      <w:r w:rsidR="00A53C27" w:rsidRPr="00466BB4">
        <w:rPr>
          <w:rFonts w:ascii="Times New Roman" w:hAnsi="Times New Roman" w:cs="Times New Roman"/>
          <w:i/>
          <w:sz w:val="24"/>
          <w:szCs w:val="24"/>
        </w:rPr>
        <w:t>agreement</w:t>
      </w:r>
      <w:r w:rsidR="00A53C27">
        <w:rPr>
          <w:rFonts w:ascii="Times New Roman" w:hAnsi="Times New Roman" w:cs="Times New Roman"/>
          <w:sz w:val="24"/>
          <w:szCs w:val="24"/>
        </w:rPr>
        <w:t xml:space="preserve"> of the McDonaghs to sell the Lands, or the </w:t>
      </w:r>
      <w:r w:rsidR="00466BB4">
        <w:rPr>
          <w:rFonts w:ascii="Times New Roman" w:hAnsi="Times New Roman" w:cs="Times New Roman"/>
          <w:sz w:val="24"/>
          <w:szCs w:val="24"/>
        </w:rPr>
        <w:t>entitlement</w:t>
      </w:r>
      <w:r w:rsidR="00A53C27">
        <w:rPr>
          <w:rFonts w:ascii="Times New Roman" w:hAnsi="Times New Roman" w:cs="Times New Roman"/>
          <w:sz w:val="24"/>
          <w:szCs w:val="24"/>
        </w:rPr>
        <w:t xml:space="preserve"> of the McDonaghs to agree to their sale, </w:t>
      </w:r>
      <w:r w:rsidR="00466BB4">
        <w:rPr>
          <w:rFonts w:ascii="Times New Roman" w:hAnsi="Times New Roman" w:cs="Times New Roman"/>
          <w:sz w:val="24"/>
          <w:szCs w:val="24"/>
        </w:rPr>
        <w:t xml:space="preserve">was never </w:t>
      </w:r>
      <w:r w:rsidR="00A53C27">
        <w:rPr>
          <w:rFonts w:ascii="Times New Roman" w:hAnsi="Times New Roman" w:cs="Times New Roman"/>
          <w:sz w:val="24"/>
          <w:szCs w:val="24"/>
        </w:rPr>
        <w:t xml:space="preserve">explained. </w:t>
      </w:r>
      <w:r w:rsidR="00466BB4">
        <w:rPr>
          <w:rFonts w:ascii="Times New Roman" w:hAnsi="Times New Roman" w:cs="Times New Roman"/>
          <w:sz w:val="24"/>
          <w:szCs w:val="24"/>
        </w:rPr>
        <w:t xml:space="preserve">Indeed, no attempt was made to explain it. </w:t>
      </w:r>
      <w:r w:rsidR="00A53C27">
        <w:rPr>
          <w:rFonts w:ascii="Times New Roman" w:hAnsi="Times New Roman" w:cs="Times New Roman"/>
          <w:sz w:val="24"/>
          <w:szCs w:val="24"/>
        </w:rPr>
        <w:t>Even if there had n</w:t>
      </w:r>
      <w:r w:rsidR="00CA476A">
        <w:rPr>
          <w:rFonts w:ascii="Times New Roman" w:hAnsi="Times New Roman" w:cs="Times New Roman"/>
          <w:sz w:val="24"/>
          <w:szCs w:val="24"/>
        </w:rPr>
        <w:t xml:space="preserve">ever been a charge, the Bank would have been </w:t>
      </w:r>
      <w:r w:rsidR="00CA476A">
        <w:rPr>
          <w:rFonts w:ascii="Times New Roman" w:hAnsi="Times New Roman" w:cs="Times New Roman"/>
          <w:sz w:val="24"/>
          <w:szCs w:val="24"/>
        </w:rPr>
        <w:lastRenderedPageBreak/>
        <w:t xml:space="preserve">entitled to seek the sale by the McDonaghs of their assets, in circumstances where they were so heavily indebted to the Bank and where they were not in a position to service </w:t>
      </w:r>
      <w:r w:rsidR="00466BB4">
        <w:rPr>
          <w:rFonts w:ascii="Times New Roman" w:hAnsi="Times New Roman" w:cs="Times New Roman"/>
          <w:sz w:val="24"/>
          <w:szCs w:val="24"/>
        </w:rPr>
        <w:t>that</w:t>
      </w:r>
      <w:r w:rsidR="00CA476A">
        <w:rPr>
          <w:rFonts w:ascii="Times New Roman" w:hAnsi="Times New Roman" w:cs="Times New Roman"/>
          <w:sz w:val="24"/>
          <w:szCs w:val="24"/>
        </w:rPr>
        <w:t xml:space="preserve"> debt.</w:t>
      </w:r>
    </w:p>
    <w:p w14:paraId="6489C6D5" w14:textId="77777777" w:rsidR="00CA476A" w:rsidRDefault="00CA476A" w:rsidP="009D4536">
      <w:pPr>
        <w:pStyle w:val="ListParagraph"/>
        <w:spacing w:after="0" w:line="480" w:lineRule="auto"/>
        <w:ind w:hanging="436"/>
        <w:jc w:val="both"/>
        <w:rPr>
          <w:rFonts w:ascii="Times New Roman" w:hAnsi="Times New Roman" w:cs="Times New Roman"/>
          <w:sz w:val="24"/>
          <w:szCs w:val="24"/>
        </w:rPr>
      </w:pPr>
    </w:p>
    <w:p w14:paraId="76D0EA8A" w14:textId="55441A4F" w:rsidR="00E449D7" w:rsidRDefault="00CA476A"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It is also</w:t>
      </w:r>
      <w:r w:rsidR="009E60EF">
        <w:rPr>
          <w:rFonts w:ascii="Times New Roman" w:hAnsi="Times New Roman" w:cs="Times New Roman"/>
          <w:sz w:val="24"/>
          <w:szCs w:val="24"/>
        </w:rPr>
        <w:t xml:space="preserve"> said by the First Defendant is that the Bank was under a duty to disclose to the McDonaghs at the time that the Compromise Agreement was entered into that it did have any power of sale in relation to the Kilpeddar Lands. No basis for the existence of such a duty was identified in argument. </w:t>
      </w:r>
      <w:r w:rsidR="00B2526F">
        <w:rPr>
          <w:rFonts w:ascii="Times New Roman" w:hAnsi="Times New Roman" w:cs="Times New Roman"/>
          <w:sz w:val="24"/>
          <w:szCs w:val="24"/>
        </w:rPr>
        <w:t xml:space="preserve">In any event, it was at all times open to the Defendants and their legal advisers to check the position in the Land Registry. </w:t>
      </w:r>
      <w:r w:rsidR="009E60EF">
        <w:rPr>
          <w:rFonts w:ascii="Times New Roman" w:hAnsi="Times New Roman" w:cs="Times New Roman"/>
          <w:sz w:val="24"/>
          <w:szCs w:val="24"/>
        </w:rPr>
        <w:t xml:space="preserve">Whether the Bank had an existing power of sale was not relevant to any aspect of the Compromise Agreement. It provided for the sale </w:t>
      </w:r>
      <w:r w:rsidR="009E60EF" w:rsidRPr="009E60EF">
        <w:rPr>
          <w:rFonts w:ascii="Times New Roman" w:hAnsi="Times New Roman" w:cs="Times New Roman"/>
          <w:i/>
          <w:sz w:val="24"/>
          <w:szCs w:val="24"/>
        </w:rPr>
        <w:t>by the McDonaghs</w:t>
      </w:r>
      <w:r w:rsidR="009E60EF">
        <w:rPr>
          <w:rFonts w:ascii="Times New Roman" w:hAnsi="Times New Roman" w:cs="Times New Roman"/>
          <w:sz w:val="24"/>
          <w:szCs w:val="24"/>
        </w:rPr>
        <w:t xml:space="preserve"> of the various properties, including the Kilpeddar Lands. </w:t>
      </w:r>
      <w:r w:rsidR="002453D0">
        <w:rPr>
          <w:rFonts w:ascii="Times New Roman" w:hAnsi="Times New Roman" w:cs="Times New Roman"/>
          <w:sz w:val="24"/>
          <w:szCs w:val="24"/>
        </w:rPr>
        <w:t xml:space="preserve">Performance of that obligation by the McDonaghs (including the First Defendant) was not in any way contingent on the </w:t>
      </w:r>
      <w:r w:rsidR="00E449D7">
        <w:rPr>
          <w:rFonts w:ascii="Times New Roman" w:hAnsi="Times New Roman" w:cs="Times New Roman"/>
          <w:sz w:val="24"/>
          <w:szCs w:val="24"/>
        </w:rPr>
        <w:t xml:space="preserve">Bank being in a position to exercise a power of sale at that time. To the contrary, if the Agreement was performed, and the Properties sold, the Bank’s power of sale would not have to be exercised. It is </w:t>
      </w:r>
      <w:r w:rsidR="00B2526F">
        <w:rPr>
          <w:rFonts w:ascii="Times New Roman" w:hAnsi="Times New Roman" w:cs="Times New Roman"/>
          <w:sz w:val="24"/>
          <w:szCs w:val="24"/>
        </w:rPr>
        <w:t xml:space="preserve">next </w:t>
      </w:r>
      <w:r w:rsidR="00E449D7">
        <w:rPr>
          <w:rFonts w:ascii="Times New Roman" w:hAnsi="Times New Roman" w:cs="Times New Roman"/>
          <w:sz w:val="24"/>
          <w:szCs w:val="24"/>
        </w:rPr>
        <w:t xml:space="preserve">said that, had the Bank disclosed </w:t>
      </w:r>
      <w:r w:rsidR="00626712">
        <w:rPr>
          <w:rFonts w:ascii="Times New Roman" w:hAnsi="Times New Roman" w:cs="Times New Roman"/>
          <w:sz w:val="24"/>
          <w:szCs w:val="24"/>
        </w:rPr>
        <w:t xml:space="preserve">the fact that it did not have a power of sale, </w:t>
      </w:r>
      <w:r w:rsidR="00B2526F">
        <w:rPr>
          <w:rFonts w:ascii="Times New Roman" w:hAnsi="Times New Roman" w:cs="Times New Roman"/>
          <w:sz w:val="24"/>
          <w:szCs w:val="24"/>
        </w:rPr>
        <w:t xml:space="preserve">the First Defendant would not have entered into the Compromise Agreement (no such claim is made by the Second and Third Defendants). That assertion is not supported by any evidence and is, in any event, wholly implausible. The Compromise Agreement offered very significant benefits to the McDonaghs (or would have done if they had performed their obligations under it). </w:t>
      </w:r>
      <w:r w:rsidR="00272930">
        <w:rPr>
          <w:rFonts w:ascii="Times New Roman" w:hAnsi="Times New Roman" w:cs="Times New Roman"/>
          <w:sz w:val="24"/>
          <w:szCs w:val="24"/>
        </w:rPr>
        <w:t xml:space="preserve">The fact that the Bank was not registered as owner of the charge over the Kilpeddar Land at the time that the Agreement was negotiated and executed did not affect the relative advantages and disadvantages of the Agreement in any way. The delay in the registration of the charge </w:t>
      </w:r>
      <w:r w:rsidR="00272930">
        <w:rPr>
          <w:rFonts w:ascii="Times New Roman" w:hAnsi="Times New Roman" w:cs="Times New Roman"/>
          <w:sz w:val="24"/>
          <w:szCs w:val="24"/>
        </w:rPr>
        <w:lastRenderedPageBreak/>
        <w:t xml:space="preserve">arose from the delay in registering the title of the McDonaghs; once the McDonaghs were registered as owners, the Bank would be (and was) registered as owner of the charge. The implication – and that is all that it is – that the First Defendant might have refused to execute the Compromise Agreement on the basis that the McDonaghs would have been free to deal with the Kilpeddar Lands, without reference to the Bank, is manifestly groundless. </w:t>
      </w:r>
    </w:p>
    <w:p w14:paraId="52CDF539" w14:textId="77777777" w:rsidR="00E449D7" w:rsidRDefault="00E449D7" w:rsidP="009D4536">
      <w:pPr>
        <w:pStyle w:val="ListParagraph"/>
        <w:spacing w:after="0" w:line="480" w:lineRule="auto"/>
        <w:ind w:hanging="436"/>
        <w:jc w:val="both"/>
        <w:rPr>
          <w:rFonts w:ascii="Times New Roman" w:hAnsi="Times New Roman" w:cs="Times New Roman"/>
          <w:sz w:val="24"/>
          <w:szCs w:val="24"/>
        </w:rPr>
      </w:pPr>
    </w:p>
    <w:p w14:paraId="30F3A5C2" w14:textId="24D70F40" w:rsidR="002323F2" w:rsidRDefault="00E449D7" w:rsidP="009D4536">
      <w:pPr>
        <w:pStyle w:val="ListParagraph"/>
        <w:numPr>
          <w:ilvl w:val="0"/>
          <w:numId w:val="1"/>
        </w:numPr>
        <w:spacing w:after="0" w:line="480" w:lineRule="auto"/>
        <w:ind w:hanging="436"/>
        <w:jc w:val="both"/>
        <w:rPr>
          <w:rFonts w:ascii="Times New Roman" w:hAnsi="Times New Roman" w:cs="Times New Roman"/>
          <w:sz w:val="24"/>
          <w:szCs w:val="24"/>
        </w:rPr>
      </w:pPr>
      <w:r w:rsidRPr="002323F2">
        <w:rPr>
          <w:rFonts w:ascii="Times New Roman" w:hAnsi="Times New Roman" w:cs="Times New Roman"/>
          <w:sz w:val="24"/>
          <w:szCs w:val="24"/>
        </w:rPr>
        <w:t>In the circumstances, we are satisfied that there is nothing in this point, even if the First Defendant was entitled to advance it, which he is not.</w:t>
      </w:r>
    </w:p>
    <w:p w14:paraId="6970D27B" w14:textId="77777777" w:rsidR="002323F2" w:rsidRDefault="002323F2" w:rsidP="009D4536">
      <w:pPr>
        <w:pStyle w:val="ListParagraph"/>
        <w:spacing w:after="0" w:line="480" w:lineRule="auto"/>
        <w:ind w:hanging="436"/>
        <w:jc w:val="both"/>
        <w:rPr>
          <w:rFonts w:ascii="Times New Roman" w:hAnsi="Times New Roman" w:cs="Times New Roman"/>
          <w:sz w:val="24"/>
          <w:szCs w:val="24"/>
        </w:rPr>
      </w:pPr>
    </w:p>
    <w:p w14:paraId="2847966C" w14:textId="47B7F3A4" w:rsidR="002323F2" w:rsidRDefault="002323F2" w:rsidP="009D4536">
      <w:pPr>
        <w:pStyle w:val="ListParagraph"/>
        <w:numPr>
          <w:ilvl w:val="0"/>
          <w:numId w:val="1"/>
        </w:numPr>
        <w:spacing w:after="0" w:line="480" w:lineRule="auto"/>
        <w:ind w:hanging="436"/>
        <w:jc w:val="both"/>
        <w:rPr>
          <w:rFonts w:ascii="Times New Roman" w:hAnsi="Times New Roman" w:cs="Times New Roman"/>
          <w:sz w:val="24"/>
          <w:szCs w:val="24"/>
        </w:rPr>
      </w:pPr>
      <w:r w:rsidRPr="005D3EA8">
        <w:rPr>
          <w:rFonts w:ascii="Times New Roman" w:hAnsi="Times New Roman" w:cs="Times New Roman"/>
          <w:sz w:val="24"/>
          <w:szCs w:val="24"/>
        </w:rPr>
        <w:t>It follows that the suggestion that, in refusing to review his Judgment, the Judge failed to “</w:t>
      </w:r>
      <w:r w:rsidRPr="005D3EA8">
        <w:rPr>
          <w:rFonts w:ascii="Times New Roman" w:hAnsi="Times New Roman" w:cs="Times New Roman"/>
          <w:i/>
          <w:sz w:val="24"/>
          <w:szCs w:val="24"/>
        </w:rPr>
        <w:t>carry out his in</w:t>
      </w:r>
      <w:r w:rsidR="005D3EA8" w:rsidRPr="005D3EA8">
        <w:rPr>
          <w:rFonts w:ascii="Times New Roman" w:hAnsi="Times New Roman" w:cs="Times New Roman"/>
          <w:i/>
          <w:sz w:val="24"/>
          <w:szCs w:val="24"/>
        </w:rPr>
        <w:t>herent duty to protect the property right</w:t>
      </w:r>
      <w:r w:rsidR="005D3EA8" w:rsidRPr="005D3EA8">
        <w:rPr>
          <w:rFonts w:ascii="Times New Roman" w:hAnsi="Times New Roman" w:cs="Times New Roman"/>
          <w:sz w:val="24"/>
          <w:szCs w:val="24"/>
        </w:rPr>
        <w:t>” of the First Defendant (</w:t>
      </w:r>
      <w:r w:rsidRPr="005D3EA8">
        <w:rPr>
          <w:rFonts w:ascii="Times New Roman" w:hAnsi="Times New Roman" w:cs="Times New Roman"/>
          <w:sz w:val="24"/>
          <w:szCs w:val="24"/>
        </w:rPr>
        <w:t>Notice of Appeal, para 8</w:t>
      </w:r>
      <w:r w:rsidR="005D3EA8" w:rsidRPr="005D3EA8">
        <w:rPr>
          <w:rFonts w:ascii="Times New Roman" w:hAnsi="Times New Roman" w:cs="Times New Roman"/>
          <w:sz w:val="24"/>
          <w:szCs w:val="24"/>
        </w:rPr>
        <w:t>)</w:t>
      </w:r>
      <w:r w:rsidRPr="005D3EA8">
        <w:rPr>
          <w:rFonts w:ascii="Times New Roman" w:hAnsi="Times New Roman" w:cs="Times New Roman"/>
          <w:sz w:val="24"/>
          <w:szCs w:val="24"/>
        </w:rPr>
        <w:t xml:space="preserve"> </w:t>
      </w:r>
      <w:r w:rsidR="005D3EA8" w:rsidRPr="005D3EA8">
        <w:rPr>
          <w:rFonts w:ascii="Times New Roman" w:hAnsi="Times New Roman" w:cs="Times New Roman"/>
          <w:sz w:val="24"/>
          <w:szCs w:val="24"/>
        </w:rPr>
        <w:t xml:space="preserve">is baseless.  The property rights of the First Defendant </w:t>
      </w:r>
      <w:r w:rsidR="005D3EA8">
        <w:rPr>
          <w:rFonts w:ascii="Times New Roman" w:hAnsi="Times New Roman" w:cs="Times New Roman"/>
          <w:sz w:val="24"/>
          <w:szCs w:val="24"/>
        </w:rPr>
        <w:t xml:space="preserve">were at all times subject to the </w:t>
      </w:r>
      <w:r w:rsidR="00272930">
        <w:rPr>
          <w:rFonts w:ascii="Times New Roman" w:hAnsi="Times New Roman" w:cs="Times New Roman"/>
          <w:sz w:val="24"/>
          <w:szCs w:val="24"/>
        </w:rPr>
        <w:t>Bank’s security</w:t>
      </w:r>
      <w:r w:rsidR="005D3EA8">
        <w:rPr>
          <w:rFonts w:ascii="Times New Roman" w:hAnsi="Times New Roman" w:cs="Times New Roman"/>
          <w:sz w:val="24"/>
          <w:szCs w:val="24"/>
        </w:rPr>
        <w:t>. In any event, th</w:t>
      </w:r>
      <w:r w:rsidR="009C0586">
        <w:rPr>
          <w:rFonts w:ascii="Times New Roman" w:hAnsi="Times New Roman" w:cs="Times New Roman"/>
          <w:sz w:val="24"/>
          <w:szCs w:val="24"/>
        </w:rPr>
        <w:t>ey did not constitute some form of wildcard that allowed the First Defendant to circumvent the fundamental ground rules of civil litigation in this jurisdiction.</w:t>
      </w:r>
    </w:p>
    <w:p w14:paraId="3DC65F4F" w14:textId="770AAD85" w:rsidR="009C0586" w:rsidRDefault="009C0586" w:rsidP="009C0586">
      <w:pPr>
        <w:pStyle w:val="ListParagraph"/>
        <w:spacing w:after="0" w:line="480" w:lineRule="auto"/>
        <w:jc w:val="both"/>
        <w:rPr>
          <w:rFonts w:ascii="Times New Roman" w:hAnsi="Times New Roman" w:cs="Times New Roman"/>
          <w:sz w:val="24"/>
          <w:szCs w:val="24"/>
        </w:rPr>
      </w:pPr>
    </w:p>
    <w:p w14:paraId="6FAFCA70" w14:textId="019B0049" w:rsidR="00272930" w:rsidRPr="0026224F" w:rsidRDefault="0026224F" w:rsidP="00272396">
      <w:pPr>
        <w:pStyle w:val="Heading2"/>
      </w:pPr>
      <w:r w:rsidRPr="0026224F">
        <w:t>The Bank</w:t>
      </w:r>
      <w:r w:rsidR="00B67C7D">
        <w:t>’</w:t>
      </w:r>
      <w:r w:rsidRPr="0026224F">
        <w:t xml:space="preserve">s Entitlement to Sue/Redaction of the </w:t>
      </w:r>
      <w:r>
        <w:t>Loan Sale Documentation</w:t>
      </w:r>
    </w:p>
    <w:p w14:paraId="41E3252C" w14:textId="77777777" w:rsidR="0026224F" w:rsidRPr="005D3EA8" w:rsidRDefault="0026224F" w:rsidP="009C0586">
      <w:pPr>
        <w:pStyle w:val="ListParagraph"/>
        <w:spacing w:after="0" w:line="480" w:lineRule="auto"/>
        <w:jc w:val="both"/>
        <w:rPr>
          <w:rFonts w:ascii="Times New Roman" w:hAnsi="Times New Roman" w:cs="Times New Roman"/>
          <w:sz w:val="24"/>
          <w:szCs w:val="24"/>
        </w:rPr>
      </w:pPr>
    </w:p>
    <w:p w14:paraId="01C7C674" w14:textId="66302182" w:rsidR="00017C14" w:rsidRDefault="0026224F"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In the High Court an issue was raised as to the entitlement of the Bank to pursue a claim against the McDonaghs, in circumstances where Promontoria (Aran) Limited had acquired the economic interest in the Facility Letter and the underlying security pursuant to a Declaration of Trust dated 12 February 2015. </w:t>
      </w:r>
      <w:r w:rsidR="00017C14">
        <w:rPr>
          <w:rFonts w:ascii="Times New Roman" w:hAnsi="Times New Roman" w:cs="Times New Roman"/>
          <w:sz w:val="24"/>
          <w:szCs w:val="24"/>
        </w:rPr>
        <w:t xml:space="preserve">This transaction had been </w:t>
      </w:r>
      <w:r w:rsidR="00017C14">
        <w:rPr>
          <w:rFonts w:ascii="Times New Roman" w:hAnsi="Times New Roman" w:cs="Times New Roman"/>
          <w:sz w:val="24"/>
          <w:szCs w:val="24"/>
        </w:rPr>
        <w:lastRenderedPageBreak/>
        <w:t>disclosed in the witness statement of Ted Mahon, one of the Bank’s witnesses, and he also addressed</w:t>
      </w:r>
      <w:r w:rsidR="00017C14" w:rsidRPr="00017C14">
        <w:rPr>
          <w:rFonts w:ascii="Times New Roman" w:hAnsi="Times New Roman" w:cs="Times New Roman"/>
          <w:sz w:val="24"/>
          <w:szCs w:val="24"/>
        </w:rPr>
        <w:t xml:space="preserve"> it in his oral evidence.</w:t>
      </w:r>
    </w:p>
    <w:p w14:paraId="5F827415" w14:textId="77777777" w:rsidR="00EB5164" w:rsidRPr="009D4536" w:rsidRDefault="00EB5164" w:rsidP="008371B1">
      <w:pPr>
        <w:pStyle w:val="ListParagraph"/>
        <w:spacing w:after="0" w:line="480" w:lineRule="auto"/>
        <w:jc w:val="both"/>
        <w:rPr>
          <w:rFonts w:ascii="Times New Roman" w:hAnsi="Times New Roman" w:cs="Times New Roman"/>
          <w:sz w:val="24"/>
          <w:szCs w:val="24"/>
        </w:rPr>
      </w:pPr>
    </w:p>
    <w:p w14:paraId="602B43FB" w14:textId="46F30910" w:rsidR="00017C14" w:rsidRDefault="00017C14"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The Judge held that it was clear from the Declaration of Trust that the Bank had retained the legal interest in the Facility and the underlying security: Judgment, para 303. That had also been confirmed by the “</w:t>
      </w:r>
      <w:r w:rsidRPr="00017C14">
        <w:rPr>
          <w:rFonts w:ascii="Times New Roman" w:hAnsi="Times New Roman" w:cs="Times New Roman"/>
          <w:i/>
          <w:sz w:val="24"/>
          <w:szCs w:val="24"/>
        </w:rPr>
        <w:t>uncontroverted evidence</w:t>
      </w:r>
      <w:r>
        <w:rPr>
          <w:rFonts w:ascii="Times New Roman" w:hAnsi="Times New Roman" w:cs="Times New Roman"/>
          <w:sz w:val="24"/>
          <w:szCs w:val="24"/>
        </w:rPr>
        <w:t xml:space="preserve">” of Mr Mahon (Judgment, paras 303-304). </w:t>
      </w:r>
      <w:r w:rsidR="0021031D">
        <w:rPr>
          <w:rFonts w:ascii="Times New Roman" w:hAnsi="Times New Roman" w:cs="Times New Roman"/>
          <w:sz w:val="24"/>
          <w:szCs w:val="24"/>
        </w:rPr>
        <w:t>Having</w:t>
      </w:r>
      <w:r>
        <w:rPr>
          <w:rFonts w:ascii="Times New Roman" w:hAnsi="Times New Roman" w:cs="Times New Roman"/>
          <w:sz w:val="24"/>
          <w:szCs w:val="24"/>
        </w:rPr>
        <w:t xml:space="preserve"> </w:t>
      </w:r>
      <w:r w:rsidR="0021031D">
        <w:rPr>
          <w:rFonts w:ascii="Times New Roman" w:hAnsi="Times New Roman" w:cs="Times New Roman"/>
          <w:sz w:val="24"/>
          <w:szCs w:val="24"/>
        </w:rPr>
        <w:t>referred to Recital C and Clause 2.1 of the Declaration of Trust, the Judge concluded that:</w:t>
      </w:r>
    </w:p>
    <w:p w14:paraId="74AF937C" w14:textId="0EB9F2BD" w:rsidR="0021031D" w:rsidRDefault="0021031D" w:rsidP="0021031D">
      <w:pPr>
        <w:pStyle w:val="ListParagraph"/>
        <w:spacing w:after="0" w:line="480" w:lineRule="auto"/>
        <w:jc w:val="both"/>
        <w:rPr>
          <w:rFonts w:ascii="Times New Roman" w:hAnsi="Times New Roman" w:cs="Times New Roman"/>
          <w:sz w:val="24"/>
          <w:szCs w:val="24"/>
        </w:rPr>
      </w:pPr>
    </w:p>
    <w:p w14:paraId="0EA1E559" w14:textId="3921B1CF" w:rsidR="0021031D" w:rsidRPr="0021031D" w:rsidRDefault="0021031D" w:rsidP="009D4536">
      <w:pPr>
        <w:pStyle w:val="ListParagraph"/>
        <w:spacing w:after="0" w:line="480" w:lineRule="auto"/>
        <w:ind w:left="1418"/>
        <w:jc w:val="both"/>
        <w:rPr>
          <w:rFonts w:ascii="Times New Roman" w:hAnsi="Times New Roman" w:cs="Times New Roman"/>
          <w:i/>
          <w:sz w:val="24"/>
          <w:szCs w:val="24"/>
        </w:rPr>
      </w:pPr>
      <w:r w:rsidRPr="0021031D">
        <w:rPr>
          <w:rFonts w:ascii="Times New Roman" w:hAnsi="Times New Roman" w:cs="Times New Roman"/>
          <w:i/>
          <w:sz w:val="24"/>
          <w:szCs w:val="24"/>
        </w:rPr>
        <w:t>“It is clear that the Trust Assets referenced therein covers the Facility Letter and the Mortgage in this case and accordingly, this Court concludes that Ulster Bank retains the legal interest in the Facility Letter and underlying security and so is legally entitled to pursue this litigation as the legal owner of the Facility Letter and the underlying security.” (Judgment, para 305)</w:t>
      </w:r>
    </w:p>
    <w:p w14:paraId="395EBA4C" w14:textId="77777777" w:rsidR="00466BB4" w:rsidRPr="00466BB4" w:rsidRDefault="00466BB4" w:rsidP="009D4536">
      <w:pPr>
        <w:spacing w:line="480" w:lineRule="auto"/>
      </w:pPr>
    </w:p>
    <w:p w14:paraId="11E9035F" w14:textId="1DA428EA" w:rsidR="0021031D" w:rsidRDefault="0021031D"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That analysis has not been challenged in any way by the First Defendant. Rather, it is said that </w:t>
      </w:r>
      <w:r w:rsidR="00922CFB">
        <w:rPr>
          <w:rFonts w:ascii="Times New Roman" w:hAnsi="Times New Roman" w:cs="Times New Roman"/>
          <w:sz w:val="24"/>
          <w:szCs w:val="24"/>
        </w:rPr>
        <w:t>material put before the High Court by the First Defendant in July 2020</w:t>
      </w:r>
      <w:r w:rsidR="00850487">
        <w:rPr>
          <w:rFonts w:ascii="Times New Roman" w:hAnsi="Times New Roman" w:cs="Times New Roman"/>
          <w:sz w:val="24"/>
          <w:szCs w:val="24"/>
        </w:rPr>
        <w:t xml:space="preserve"> - </w:t>
      </w:r>
      <w:r w:rsidR="00922CFB" w:rsidRPr="00922CFB">
        <w:rPr>
          <w:rFonts w:ascii="Times New Roman" w:hAnsi="Times New Roman" w:cs="Times New Roman"/>
          <w:i/>
          <w:sz w:val="24"/>
          <w:szCs w:val="24"/>
        </w:rPr>
        <w:t>subsequent</w:t>
      </w:r>
      <w:r w:rsidR="00922CFB">
        <w:rPr>
          <w:rFonts w:ascii="Times New Roman" w:hAnsi="Times New Roman" w:cs="Times New Roman"/>
          <w:sz w:val="24"/>
          <w:szCs w:val="24"/>
        </w:rPr>
        <w:t xml:space="preserve"> to the Judgment and Supplemental Judgment</w:t>
      </w:r>
      <w:r w:rsidR="00850487">
        <w:rPr>
          <w:rFonts w:ascii="Times New Roman" w:hAnsi="Times New Roman" w:cs="Times New Roman"/>
          <w:sz w:val="24"/>
          <w:szCs w:val="24"/>
        </w:rPr>
        <w:t xml:space="preserve"> – proved that the Bank enjoyed no rights as plaintiff from 18 September 2017. At that stage, the only issue before the High Court was the amount of the judgment that the Bank was entitled to. A brief affidavit was sworn by Alan Monaghan, an employee of Link ASI Limited (formerly Capita Asset Services (Ireland) Limited</w:t>
      </w:r>
      <w:r w:rsidR="00BD5723">
        <w:rPr>
          <w:rFonts w:ascii="Times New Roman" w:hAnsi="Times New Roman" w:cs="Times New Roman"/>
          <w:sz w:val="24"/>
          <w:szCs w:val="24"/>
        </w:rPr>
        <w:t xml:space="preserve"> (“</w:t>
      </w:r>
      <w:r w:rsidR="00BD5723" w:rsidRPr="00BD5723">
        <w:rPr>
          <w:rFonts w:ascii="Times New Roman" w:hAnsi="Times New Roman" w:cs="Times New Roman"/>
          <w:i/>
          <w:sz w:val="24"/>
          <w:szCs w:val="24"/>
        </w:rPr>
        <w:t>Link</w:t>
      </w:r>
      <w:r w:rsidR="00BD5723">
        <w:rPr>
          <w:rFonts w:ascii="Times New Roman" w:hAnsi="Times New Roman" w:cs="Times New Roman"/>
          <w:sz w:val="24"/>
          <w:szCs w:val="24"/>
        </w:rPr>
        <w:t>”)</w:t>
      </w:r>
      <w:r w:rsidR="00850487">
        <w:rPr>
          <w:rFonts w:ascii="Times New Roman" w:hAnsi="Times New Roman" w:cs="Times New Roman"/>
          <w:sz w:val="24"/>
          <w:szCs w:val="24"/>
        </w:rPr>
        <w:t xml:space="preserve">, for the purpose of confirming the up to date indebtedness of the Defendants. </w:t>
      </w:r>
      <w:r w:rsidR="00BD5723">
        <w:rPr>
          <w:rFonts w:ascii="Times New Roman" w:hAnsi="Times New Roman" w:cs="Times New Roman"/>
          <w:sz w:val="24"/>
          <w:szCs w:val="24"/>
        </w:rPr>
        <w:t xml:space="preserve">Mr Monaghan referred to a witness statement that had been provided by </w:t>
      </w:r>
      <w:r w:rsidR="00850487">
        <w:rPr>
          <w:rFonts w:ascii="Times New Roman" w:hAnsi="Times New Roman" w:cs="Times New Roman"/>
          <w:sz w:val="24"/>
          <w:szCs w:val="24"/>
        </w:rPr>
        <w:t>Conor Maher</w:t>
      </w:r>
      <w:r w:rsidR="00BD5723">
        <w:rPr>
          <w:rFonts w:ascii="Times New Roman" w:hAnsi="Times New Roman" w:cs="Times New Roman"/>
          <w:sz w:val="24"/>
          <w:szCs w:val="24"/>
        </w:rPr>
        <w:t xml:space="preserve"> (also an employee of Link) </w:t>
      </w:r>
      <w:r w:rsidR="00BD5723">
        <w:rPr>
          <w:rFonts w:ascii="Times New Roman" w:hAnsi="Times New Roman" w:cs="Times New Roman"/>
          <w:sz w:val="24"/>
          <w:szCs w:val="24"/>
        </w:rPr>
        <w:lastRenderedPageBreak/>
        <w:t>which explained</w:t>
      </w:r>
      <w:r w:rsidR="00850487">
        <w:rPr>
          <w:rFonts w:ascii="Times New Roman" w:hAnsi="Times New Roman" w:cs="Times New Roman"/>
          <w:sz w:val="24"/>
          <w:szCs w:val="24"/>
        </w:rPr>
        <w:t xml:space="preserve"> that Link</w:t>
      </w:r>
      <w:r w:rsidR="00BD5723">
        <w:rPr>
          <w:rFonts w:ascii="Times New Roman" w:hAnsi="Times New Roman" w:cs="Times New Roman"/>
          <w:sz w:val="24"/>
          <w:szCs w:val="24"/>
        </w:rPr>
        <w:t xml:space="preserve"> </w:t>
      </w:r>
      <w:r w:rsidR="00850487">
        <w:rPr>
          <w:rFonts w:ascii="Times New Roman" w:hAnsi="Times New Roman" w:cs="Times New Roman"/>
          <w:sz w:val="24"/>
          <w:szCs w:val="24"/>
        </w:rPr>
        <w:t>had been appointed by the Bank to provide loan administration services.</w:t>
      </w:r>
      <w:r w:rsidR="00BF1998">
        <w:rPr>
          <w:rFonts w:ascii="Times New Roman" w:hAnsi="Times New Roman" w:cs="Times New Roman"/>
          <w:sz w:val="24"/>
          <w:szCs w:val="24"/>
        </w:rPr>
        <w:t xml:space="preserve"> We were told that </w:t>
      </w:r>
      <w:r w:rsidR="00BD5723">
        <w:rPr>
          <w:rFonts w:ascii="Times New Roman" w:hAnsi="Times New Roman" w:cs="Times New Roman"/>
          <w:sz w:val="24"/>
          <w:szCs w:val="24"/>
        </w:rPr>
        <w:t xml:space="preserve">Mr Maher </w:t>
      </w:r>
      <w:r w:rsidR="00BF1998">
        <w:rPr>
          <w:rFonts w:ascii="Times New Roman" w:hAnsi="Times New Roman" w:cs="Times New Roman"/>
          <w:sz w:val="24"/>
          <w:szCs w:val="24"/>
        </w:rPr>
        <w:t xml:space="preserve">gave evidence and had not been cross-examined by the First Defendant. </w:t>
      </w:r>
      <w:r w:rsidR="00BD5723">
        <w:rPr>
          <w:rFonts w:ascii="Times New Roman" w:hAnsi="Times New Roman" w:cs="Times New Roman"/>
          <w:sz w:val="24"/>
          <w:szCs w:val="24"/>
        </w:rPr>
        <w:t xml:space="preserve">Mr Mahon </w:t>
      </w:r>
      <w:r w:rsidR="00BF1998">
        <w:rPr>
          <w:rFonts w:ascii="Times New Roman" w:hAnsi="Times New Roman" w:cs="Times New Roman"/>
          <w:sz w:val="24"/>
          <w:szCs w:val="24"/>
        </w:rPr>
        <w:t xml:space="preserve">also gave </w:t>
      </w:r>
      <w:r w:rsidR="00BD5723">
        <w:rPr>
          <w:rFonts w:ascii="Times New Roman" w:hAnsi="Times New Roman" w:cs="Times New Roman"/>
          <w:sz w:val="24"/>
          <w:szCs w:val="24"/>
        </w:rPr>
        <w:t>evidence of the appointment of Link.</w:t>
      </w:r>
    </w:p>
    <w:p w14:paraId="6C6F75EE" w14:textId="77777777" w:rsidR="00BD5723" w:rsidRDefault="00BD5723" w:rsidP="009D4536">
      <w:pPr>
        <w:pStyle w:val="ListParagraph"/>
        <w:spacing w:after="0" w:line="480" w:lineRule="auto"/>
        <w:ind w:hanging="436"/>
        <w:jc w:val="both"/>
        <w:rPr>
          <w:rFonts w:ascii="Times New Roman" w:hAnsi="Times New Roman" w:cs="Times New Roman"/>
          <w:sz w:val="24"/>
          <w:szCs w:val="24"/>
        </w:rPr>
      </w:pPr>
    </w:p>
    <w:p w14:paraId="0718DDEC" w14:textId="5E855CB2" w:rsidR="00BD5723" w:rsidRDefault="00BD5723"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In any event, the First Defendant was given liberty to file an affidavit in reply to the affidavit of Mr Monaghan. </w:t>
      </w:r>
      <w:r w:rsidR="00DD6460">
        <w:rPr>
          <w:rFonts w:ascii="Times New Roman" w:hAnsi="Times New Roman" w:cs="Times New Roman"/>
          <w:sz w:val="24"/>
          <w:szCs w:val="24"/>
        </w:rPr>
        <w:t>In that affidavit he referred to, and exhibited, a number of emails passing between Link (then Capita Asset Services) and, it appears, Ger Fe</w:t>
      </w:r>
      <w:r w:rsidR="000F100E">
        <w:rPr>
          <w:rFonts w:ascii="Times New Roman" w:hAnsi="Times New Roman" w:cs="Times New Roman"/>
          <w:sz w:val="24"/>
          <w:szCs w:val="24"/>
        </w:rPr>
        <w:t>e</w:t>
      </w:r>
      <w:r w:rsidR="00DD6460">
        <w:rPr>
          <w:rFonts w:ascii="Times New Roman" w:hAnsi="Times New Roman" w:cs="Times New Roman"/>
          <w:sz w:val="24"/>
          <w:szCs w:val="24"/>
        </w:rPr>
        <w:t xml:space="preserve">hily (of Granja) and Granja’s solicitors. </w:t>
      </w:r>
      <w:r w:rsidR="00BF1998">
        <w:rPr>
          <w:rFonts w:ascii="Times New Roman" w:hAnsi="Times New Roman" w:cs="Times New Roman"/>
          <w:sz w:val="24"/>
          <w:szCs w:val="24"/>
        </w:rPr>
        <w:t>The affidavit does not disclose when or how this material had come into the possession of the First Defendant.</w:t>
      </w:r>
    </w:p>
    <w:p w14:paraId="3E10AB8D" w14:textId="77777777" w:rsidR="00DD6460" w:rsidRDefault="00DD6460" w:rsidP="009D4536">
      <w:pPr>
        <w:pStyle w:val="ListParagraph"/>
        <w:spacing w:after="0" w:line="480" w:lineRule="auto"/>
        <w:ind w:hanging="436"/>
        <w:jc w:val="both"/>
        <w:rPr>
          <w:rFonts w:ascii="Times New Roman" w:hAnsi="Times New Roman" w:cs="Times New Roman"/>
          <w:sz w:val="24"/>
          <w:szCs w:val="24"/>
        </w:rPr>
      </w:pPr>
    </w:p>
    <w:p w14:paraId="7CB4C1E0" w14:textId="362900DD" w:rsidR="00DD6460" w:rsidRDefault="00DD6460" w:rsidP="009D4536">
      <w:pPr>
        <w:pStyle w:val="ListParagraph"/>
        <w:numPr>
          <w:ilvl w:val="0"/>
          <w:numId w:val="1"/>
        </w:numPr>
        <w:spacing w:after="0" w:line="480" w:lineRule="auto"/>
        <w:ind w:hanging="436"/>
        <w:jc w:val="both"/>
        <w:rPr>
          <w:rFonts w:ascii="Times New Roman" w:hAnsi="Times New Roman" w:cs="Times New Roman"/>
          <w:sz w:val="24"/>
          <w:szCs w:val="24"/>
        </w:rPr>
      </w:pPr>
      <w:r w:rsidRPr="00DD6460">
        <w:rPr>
          <w:rFonts w:ascii="Times New Roman" w:hAnsi="Times New Roman" w:cs="Times New Roman"/>
          <w:sz w:val="24"/>
          <w:szCs w:val="24"/>
        </w:rPr>
        <w:t>In our view, this material is not properly in evidence in the proceedings and accordingly cannot be relied on by the First Defendant. No application was made to this Court for leave to adduce this material in evidence for the purposes of the First Defendants’ appeal.. While the material was before the High Court, that was only for the purpose of quantifying the judgment that the Judge had already held the Bank to be entitled.</w:t>
      </w:r>
    </w:p>
    <w:p w14:paraId="5E130084" w14:textId="77777777" w:rsidR="00DD6460" w:rsidRDefault="00DD6460" w:rsidP="009D4536">
      <w:pPr>
        <w:pStyle w:val="ListParagraph"/>
        <w:spacing w:after="0" w:line="480" w:lineRule="auto"/>
        <w:ind w:hanging="436"/>
        <w:jc w:val="both"/>
        <w:rPr>
          <w:rFonts w:ascii="Times New Roman" w:hAnsi="Times New Roman" w:cs="Times New Roman"/>
          <w:sz w:val="24"/>
          <w:szCs w:val="24"/>
        </w:rPr>
      </w:pPr>
    </w:p>
    <w:p w14:paraId="591C850C" w14:textId="4A13392D" w:rsidR="00DD6460" w:rsidRDefault="00DD6460"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In any event, the material is not probative of anything. Reference is made to a loan sale deed but it is not at all clear what that relates to (reference is made to the deed being signed by Granja) and it is not suggested that any such deed had been </w:t>
      </w:r>
      <w:r w:rsidR="00520ECE">
        <w:rPr>
          <w:rFonts w:ascii="Times New Roman" w:hAnsi="Times New Roman" w:cs="Times New Roman"/>
          <w:sz w:val="24"/>
          <w:szCs w:val="24"/>
        </w:rPr>
        <w:t>executed in any event. The material does not provide a</w:t>
      </w:r>
      <w:r w:rsidR="000F100E">
        <w:rPr>
          <w:rFonts w:ascii="Times New Roman" w:hAnsi="Times New Roman" w:cs="Times New Roman"/>
          <w:sz w:val="24"/>
          <w:szCs w:val="24"/>
        </w:rPr>
        <w:t>n</w:t>
      </w:r>
      <w:r w:rsidR="00520ECE">
        <w:rPr>
          <w:rFonts w:ascii="Times New Roman" w:hAnsi="Times New Roman" w:cs="Times New Roman"/>
          <w:sz w:val="24"/>
          <w:szCs w:val="24"/>
        </w:rPr>
        <w:t xml:space="preserve"> adequate basis for impugning the evidence given by the Bank that it had retained the legal interest in the loans which was accepted by the Judge.</w:t>
      </w:r>
    </w:p>
    <w:p w14:paraId="725BDB15" w14:textId="77777777" w:rsidR="00520ECE" w:rsidRDefault="00520ECE" w:rsidP="009D4536">
      <w:pPr>
        <w:pStyle w:val="ListParagraph"/>
        <w:spacing w:after="0" w:line="480" w:lineRule="auto"/>
        <w:ind w:hanging="436"/>
        <w:jc w:val="both"/>
        <w:rPr>
          <w:rFonts w:ascii="Times New Roman" w:hAnsi="Times New Roman" w:cs="Times New Roman"/>
          <w:sz w:val="24"/>
          <w:szCs w:val="24"/>
        </w:rPr>
      </w:pPr>
    </w:p>
    <w:p w14:paraId="3DC1F2AD" w14:textId="14839630" w:rsidR="00520ECE" w:rsidRDefault="00520ECE"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lastRenderedPageBreak/>
        <w:t xml:space="preserve">At the same stage of the proceedings – that is say </w:t>
      </w:r>
      <w:r w:rsidRPr="00520ECE">
        <w:rPr>
          <w:rFonts w:ascii="Times New Roman" w:hAnsi="Times New Roman" w:cs="Times New Roman"/>
          <w:i/>
          <w:sz w:val="24"/>
          <w:szCs w:val="24"/>
        </w:rPr>
        <w:t>after</w:t>
      </w:r>
      <w:r>
        <w:rPr>
          <w:rFonts w:ascii="Times New Roman" w:hAnsi="Times New Roman" w:cs="Times New Roman"/>
          <w:sz w:val="24"/>
          <w:szCs w:val="24"/>
        </w:rPr>
        <w:t xml:space="preserve"> </w:t>
      </w:r>
      <w:r w:rsidR="006B4752">
        <w:rPr>
          <w:rFonts w:ascii="Times New Roman" w:hAnsi="Times New Roman" w:cs="Times New Roman"/>
          <w:sz w:val="24"/>
          <w:szCs w:val="24"/>
        </w:rPr>
        <w:t xml:space="preserve">delivery pf </w:t>
      </w:r>
      <w:r>
        <w:rPr>
          <w:rFonts w:ascii="Times New Roman" w:hAnsi="Times New Roman" w:cs="Times New Roman"/>
          <w:sz w:val="24"/>
          <w:szCs w:val="24"/>
        </w:rPr>
        <w:t xml:space="preserve">the Judgment and Supplemental Judgment -  the First Defendant sought to make a complaint about the fact that the Declaration of Trust produced by the Bank was in redacted form, relying on a decision of the Chancery Division, </w:t>
      </w:r>
      <w:r w:rsidRPr="001A1856">
        <w:rPr>
          <w:rFonts w:ascii="Times New Roman" w:hAnsi="Times New Roman" w:cs="Times New Roman"/>
          <w:i/>
          <w:sz w:val="24"/>
          <w:szCs w:val="24"/>
        </w:rPr>
        <w:t>Promontoria (Oak) Ltd v Emanuel</w:t>
      </w:r>
      <w:r>
        <w:rPr>
          <w:rFonts w:ascii="Times New Roman" w:hAnsi="Times New Roman" w:cs="Times New Roman"/>
          <w:sz w:val="24"/>
          <w:szCs w:val="24"/>
        </w:rPr>
        <w:t xml:space="preserve"> </w:t>
      </w:r>
      <w:r w:rsidR="001A1856">
        <w:rPr>
          <w:rFonts w:ascii="Times New Roman" w:hAnsi="Times New Roman" w:cs="Times New Roman"/>
          <w:sz w:val="24"/>
          <w:szCs w:val="24"/>
        </w:rPr>
        <w:t xml:space="preserve">[2020] EWHC 104 (Ch) to submit that the Bank had been obliged to produce unredacted documentation as proof of its title to sue. That argument was agitated once again before this Court and extensive reference was made to the judgment of Smith J in </w:t>
      </w:r>
      <w:r w:rsidR="001A1856" w:rsidRPr="001A1856">
        <w:rPr>
          <w:rFonts w:ascii="Times New Roman" w:hAnsi="Times New Roman" w:cs="Times New Roman"/>
          <w:i/>
          <w:sz w:val="24"/>
          <w:szCs w:val="24"/>
        </w:rPr>
        <w:t>Promontoria (Oak) Ltd v Emanuel</w:t>
      </w:r>
      <w:r w:rsidR="001A1856">
        <w:rPr>
          <w:rFonts w:ascii="Times New Roman" w:hAnsi="Times New Roman" w:cs="Times New Roman"/>
          <w:i/>
          <w:sz w:val="24"/>
          <w:szCs w:val="24"/>
        </w:rPr>
        <w:t>.</w:t>
      </w:r>
    </w:p>
    <w:p w14:paraId="557B19F4" w14:textId="77777777" w:rsidR="001A1856" w:rsidRDefault="001A1856" w:rsidP="009D4536">
      <w:pPr>
        <w:pStyle w:val="ListParagraph"/>
        <w:spacing w:after="0" w:line="480" w:lineRule="auto"/>
        <w:ind w:hanging="436"/>
        <w:jc w:val="both"/>
        <w:rPr>
          <w:rFonts w:ascii="Times New Roman" w:hAnsi="Times New Roman" w:cs="Times New Roman"/>
          <w:sz w:val="24"/>
          <w:szCs w:val="24"/>
        </w:rPr>
      </w:pPr>
    </w:p>
    <w:p w14:paraId="547A0DF3" w14:textId="23F0DEDE" w:rsidR="00B7168D" w:rsidRDefault="001A1856" w:rsidP="0093356E">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Before addressing this argument further</w:t>
      </w:r>
      <w:r w:rsidR="00BF1998">
        <w:rPr>
          <w:rFonts w:ascii="Times New Roman" w:hAnsi="Times New Roman" w:cs="Times New Roman"/>
          <w:sz w:val="24"/>
          <w:szCs w:val="24"/>
        </w:rPr>
        <w:t>, we would observe that no issue appears to have been raised at trial regarding the production of</w:t>
      </w:r>
      <w:r w:rsidR="00F200EA">
        <w:rPr>
          <w:rFonts w:ascii="Times New Roman" w:hAnsi="Times New Roman" w:cs="Times New Roman"/>
          <w:sz w:val="24"/>
          <w:szCs w:val="24"/>
        </w:rPr>
        <w:t xml:space="preserve"> a</w:t>
      </w:r>
      <w:r w:rsidR="00BF1998">
        <w:rPr>
          <w:rFonts w:ascii="Times New Roman" w:hAnsi="Times New Roman" w:cs="Times New Roman"/>
          <w:sz w:val="24"/>
          <w:szCs w:val="24"/>
        </w:rPr>
        <w:t xml:space="preserve"> redacted Declaration of Trust</w:t>
      </w:r>
      <w:r w:rsidR="00F200EA">
        <w:rPr>
          <w:rFonts w:ascii="Times New Roman" w:hAnsi="Times New Roman" w:cs="Times New Roman"/>
          <w:sz w:val="24"/>
          <w:szCs w:val="24"/>
        </w:rPr>
        <w:t>.</w:t>
      </w:r>
      <w:r w:rsidR="00BF1998">
        <w:rPr>
          <w:rFonts w:ascii="Times New Roman" w:hAnsi="Times New Roman" w:cs="Times New Roman"/>
          <w:sz w:val="24"/>
          <w:szCs w:val="24"/>
        </w:rPr>
        <w:t xml:space="preserve"> </w:t>
      </w:r>
      <w:r w:rsidR="005967FB">
        <w:rPr>
          <w:rFonts w:ascii="Times New Roman" w:hAnsi="Times New Roman" w:cs="Times New Roman"/>
          <w:sz w:val="24"/>
          <w:szCs w:val="24"/>
        </w:rPr>
        <w:t>Counsel for the Second and Third Defendants express</w:t>
      </w:r>
      <w:r w:rsidR="00B7168D">
        <w:rPr>
          <w:rFonts w:ascii="Times New Roman" w:hAnsi="Times New Roman" w:cs="Times New Roman"/>
          <w:sz w:val="24"/>
          <w:szCs w:val="24"/>
        </w:rPr>
        <w:t xml:space="preserve">ly </w:t>
      </w:r>
      <w:r w:rsidR="005967FB">
        <w:rPr>
          <w:rFonts w:ascii="Times New Roman" w:hAnsi="Times New Roman" w:cs="Times New Roman"/>
          <w:sz w:val="24"/>
          <w:szCs w:val="24"/>
        </w:rPr>
        <w:t>confirmed that he was making no objections on the redactions.</w:t>
      </w:r>
      <w:r w:rsidR="005967FB">
        <w:rPr>
          <w:rStyle w:val="FootnoteReference"/>
          <w:rFonts w:ascii="Times New Roman" w:hAnsi="Times New Roman" w:cs="Times New Roman"/>
          <w:sz w:val="24"/>
          <w:szCs w:val="24"/>
        </w:rPr>
        <w:footnoteReference w:id="28"/>
      </w:r>
      <w:r w:rsidR="005967FB">
        <w:rPr>
          <w:rFonts w:ascii="Times New Roman" w:hAnsi="Times New Roman" w:cs="Times New Roman"/>
          <w:sz w:val="24"/>
          <w:szCs w:val="24"/>
        </w:rPr>
        <w:t xml:space="preserve"> The issue was raised by the First Defendant at the conclusion of the Bank’s </w:t>
      </w:r>
      <w:r w:rsidR="00B7168D">
        <w:rPr>
          <w:rFonts w:ascii="Times New Roman" w:hAnsi="Times New Roman" w:cs="Times New Roman"/>
          <w:sz w:val="24"/>
          <w:szCs w:val="24"/>
        </w:rPr>
        <w:t xml:space="preserve">substantive </w:t>
      </w:r>
      <w:r w:rsidR="005967FB">
        <w:rPr>
          <w:rFonts w:ascii="Times New Roman" w:hAnsi="Times New Roman" w:cs="Times New Roman"/>
          <w:sz w:val="24"/>
          <w:szCs w:val="24"/>
        </w:rPr>
        <w:t xml:space="preserve">evidence. In response the Bank made it clear that it would produce an unredacted copy of the Declaration of Trust if directed to do so but also </w:t>
      </w:r>
      <w:r w:rsidR="00B7168D">
        <w:rPr>
          <w:rFonts w:ascii="Times New Roman" w:hAnsi="Times New Roman" w:cs="Times New Roman"/>
          <w:sz w:val="24"/>
          <w:szCs w:val="24"/>
        </w:rPr>
        <w:t>submitted</w:t>
      </w:r>
      <w:r w:rsidR="005967FB">
        <w:rPr>
          <w:rFonts w:ascii="Times New Roman" w:hAnsi="Times New Roman" w:cs="Times New Roman"/>
          <w:sz w:val="24"/>
          <w:szCs w:val="24"/>
        </w:rPr>
        <w:t xml:space="preserve"> that authority indicated that the burden is on the person seeking the production of an unredacted copy to establish that such was necessary.</w:t>
      </w:r>
      <w:r w:rsidR="005967FB">
        <w:rPr>
          <w:rStyle w:val="FootnoteReference"/>
          <w:rFonts w:ascii="Times New Roman" w:hAnsi="Times New Roman" w:cs="Times New Roman"/>
          <w:sz w:val="24"/>
          <w:szCs w:val="24"/>
        </w:rPr>
        <w:footnoteReference w:id="29"/>
      </w:r>
      <w:r w:rsidR="00B7168D">
        <w:rPr>
          <w:rFonts w:ascii="Times New Roman" w:hAnsi="Times New Roman" w:cs="Times New Roman"/>
          <w:sz w:val="24"/>
          <w:szCs w:val="24"/>
        </w:rPr>
        <w:t xml:space="preserve"> Counsel for the Bank submitted that, if he wished to pursue the issues, the First Defendant would have to make a formal application and suggested that, if such an application was to be made, the time to deal with it might be when a further Bank witness, a Mr Hanley, came </w:t>
      </w:r>
      <w:r w:rsidR="00B7168D">
        <w:rPr>
          <w:rFonts w:ascii="Times New Roman" w:hAnsi="Times New Roman" w:cs="Times New Roman"/>
          <w:sz w:val="24"/>
          <w:szCs w:val="24"/>
        </w:rPr>
        <w:lastRenderedPageBreak/>
        <w:t>to give evidence regarding the execution of the Declaration of Trust (proof of execution having been required by the Second and Third Defendants).</w:t>
      </w:r>
      <w:r w:rsidR="00B7168D">
        <w:rPr>
          <w:rStyle w:val="FootnoteReference"/>
          <w:rFonts w:ascii="Times New Roman" w:hAnsi="Times New Roman" w:cs="Times New Roman"/>
          <w:sz w:val="24"/>
          <w:szCs w:val="24"/>
        </w:rPr>
        <w:footnoteReference w:id="30"/>
      </w:r>
    </w:p>
    <w:p w14:paraId="65BD728E" w14:textId="77777777" w:rsidR="00EB5164" w:rsidRPr="002C49B3" w:rsidRDefault="00EB5164" w:rsidP="002C49B3">
      <w:pPr>
        <w:pStyle w:val="ListParagraph"/>
        <w:rPr>
          <w:rFonts w:ascii="Times New Roman" w:hAnsi="Times New Roman" w:cs="Times New Roman"/>
          <w:sz w:val="24"/>
          <w:szCs w:val="24"/>
        </w:rPr>
      </w:pPr>
    </w:p>
    <w:p w14:paraId="0A9A8A6F" w14:textId="77777777" w:rsidR="00EB5164" w:rsidRPr="0093356E" w:rsidRDefault="00EB5164" w:rsidP="002C49B3">
      <w:pPr>
        <w:pStyle w:val="ListParagraph"/>
        <w:spacing w:after="0" w:line="480" w:lineRule="auto"/>
        <w:jc w:val="both"/>
        <w:rPr>
          <w:rFonts w:ascii="Times New Roman" w:hAnsi="Times New Roman" w:cs="Times New Roman"/>
          <w:sz w:val="24"/>
          <w:szCs w:val="24"/>
        </w:rPr>
      </w:pPr>
    </w:p>
    <w:p w14:paraId="50851379" w14:textId="5E1C8ED9" w:rsidR="00B7168D" w:rsidRDefault="00B7168D"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The Court was told, without contradiction </w:t>
      </w:r>
      <w:r w:rsidR="00223FDA">
        <w:rPr>
          <w:rFonts w:ascii="Times New Roman" w:hAnsi="Times New Roman" w:cs="Times New Roman"/>
          <w:sz w:val="24"/>
          <w:szCs w:val="24"/>
        </w:rPr>
        <w:t>from</w:t>
      </w:r>
      <w:r>
        <w:rPr>
          <w:rFonts w:ascii="Times New Roman" w:hAnsi="Times New Roman" w:cs="Times New Roman"/>
          <w:sz w:val="24"/>
          <w:szCs w:val="24"/>
        </w:rPr>
        <w:t xml:space="preserve"> the First Defendant, that no such application was subsequently made. In our view, that is a fatal impediment to any </w:t>
      </w:r>
      <w:r w:rsidR="00223FDA">
        <w:rPr>
          <w:rFonts w:ascii="Times New Roman" w:hAnsi="Times New Roman" w:cs="Times New Roman"/>
          <w:sz w:val="24"/>
          <w:szCs w:val="24"/>
        </w:rPr>
        <w:t>complaint</w:t>
      </w:r>
      <w:r>
        <w:rPr>
          <w:rFonts w:ascii="Times New Roman" w:hAnsi="Times New Roman" w:cs="Times New Roman"/>
          <w:sz w:val="24"/>
          <w:szCs w:val="24"/>
        </w:rPr>
        <w:t xml:space="preserve"> being </w:t>
      </w:r>
      <w:r w:rsidR="00223FDA">
        <w:rPr>
          <w:rFonts w:ascii="Times New Roman" w:hAnsi="Times New Roman" w:cs="Times New Roman"/>
          <w:sz w:val="24"/>
          <w:szCs w:val="24"/>
        </w:rPr>
        <w:t>advanced</w:t>
      </w:r>
      <w:r>
        <w:rPr>
          <w:rFonts w:ascii="Times New Roman" w:hAnsi="Times New Roman" w:cs="Times New Roman"/>
          <w:sz w:val="24"/>
          <w:szCs w:val="24"/>
        </w:rPr>
        <w:t xml:space="preserve"> </w:t>
      </w:r>
      <w:r w:rsidR="00223FDA">
        <w:rPr>
          <w:rFonts w:ascii="Times New Roman" w:hAnsi="Times New Roman" w:cs="Times New Roman"/>
          <w:sz w:val="24"/>
          <w:szCs w:val="24"/>
        </w:rPr>
        <w:t xml:space="preserve">by the First Defendant </w:t>
      </w:r>
      <w:r>
        <w:rPr>
          <w:rFonts w:ascii="Times New Roman" w:hAnsi="Times New Roman" w:cs="Times New Roman"/>
          <w:sz w:val="24"/>
          <w:szCs w:val="24"/>
        </w:rPr>
        <w:t xml:space="preserve">on appeal concerning the redaction of the Declaration of Trust. </w:t>
      </w:r>
      <w:r w:rsidR="00223FDA">
        <w:rPr>
          <w:rFonts w:ascii="Times New Roman" w:hAnsi="Times New Roman" w:cs="Times New Roman"/>
          <w:sz w:val="24"/>
          <w:szCs w:val="24"/>
        </w:rPr>
        <w:t xml:space="preserve">This is a court of </w:t>
      </w:r>
      <w:r w:rsidR="00223FDA" w:rsidRPr="00223FDA">
        <w:rPr>
          <w:rFonts w:ascii="Times New Roman" w:hAnsi="Times New Roman" w:cs="Times New Roman"/>
          <w:i/>
          <w:sz w:val="24"/>
          <w:szCs w:val="24"/>
        </w:rPr>
        <w:t>appeal</w:t>
      </w:r>
      <w:r w:rsidR="00223FDA">
        <w:rPr>
          <w:rFonts w:ascii="Times New Roman" w:hAnsi="Times New Roman" w:cs="Times New Roman"/>
          <w:sz w:val="24"/>
          <w:szCs w:val="24"/>
        </w:rPr>
        <w:t>. It is not a forum for agitating issues that could and should have been agitated</w:t>
      </w:r>
      <w:r w:rsidR="00223FDA" w:rsidRPr="00223FDA">
        <w:rPr>
          <w:rFonts w:ascii="Times New Roman" w:hAnsi="Times New Roman" w:cs="Times New Roman"/>
          <w:sz w:val="24"/>
          <w:szCs w:val="24"/>
        </w:rPr>
        <w:t xml:space="preserve"> </w:t>
      </w:r>
      <w:r w:rsidR="00223FDA">
        <w:rPr>
          <w:rFonts w:ascii="Times New Roman" w:hAnsi="Times New Roman" w:cs="Times New Roman"/>
          <w:sz w:val="24"/>
          <w:szCs w:val="24"/>
        </w:rPr>
        <w:t xml:space="preserve">in advance of or in the course of a very lengthy hearing in the High Court but which (for whatever reason) were not pursued. </w:t>
      </w:r>
    </w:p>
    <w:p w14:paraId="235FD045" w14:textId="77777777" w:rsidR="00223FDA" w:rsidRDefault="00223FDA" w:rsidP="009D4536">
      <w:pPr>
        <w:pStyle w:val="ListParagraph"/>
        <w:spacing w:after="0" w:line="480" w:lineRule="auto"/>
        <w:ind w:hanging="436"/>
        <w:jc w:val="both"/>
        <w:rPr>
          <w:rFonts w:ascii="Times New Roman" w:hAnsi="Times New Roman" w:cs="Times New Roman"/>
          <w:sz w:val="24"/>
          <w:szCs w:val="24"/>
        </w:rPr>
      </w:pPr>
    </w:p>
    <w:p w14:paraId="296F496E" w14:textId="2D60D2EF" w:rsidR="006B5AEF" w:rsidRDefault="00223FDA"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Even </w:t>
      </w:r>
      <w:r w:rsidR="00822AE1">
        <w:rPr>
          <w:rFonts w:ascii="Times New Roman" w:hAnsi="Times New Roman" w:cs="Times New Roman"/>
          <w:sz w:val="24"/>
          <w:szCs w:val="24"/>
        </w:rPr>
        <w:t>at this stage</w:t>
      </w:r>
      <w:r>
        <w:rPr>
          <w:rFonts w:ascii="Times New Roman" w:hAnsi="Times New Roman" w:cs="Times New Roman"/>
          <w:sz w:val="24"/>
          <w:szCs w:val="24"/>
        </w:rPr>
        <w:t xml:space="preserve">, it has not been </w:t>
      </w:r>
      <w:r w:rsidRPr="00223FDA">
        <w:rPr>
          <w:rFonts w:ascii="Times New Roman" w:hAnsi="Times New Roman" w:cs="Times New Roman"/>
          <w:sz w:val="24"/>
          <w:szCs w:val="24"/>
        </w:rPr>
        <w:t xml:space="preserve">suggested by the First Defendant that he was prejudiced in any way by the redactions or that the nature and extent of the redactions </w:t>
      </w:r>
      <w:r w:rsidR="00822AE1">
        <w:rPr>
          <w:rFonts w:ascii="Times New Roman" w:hAnsi="Times New Roman" w:cs="Times New Roman"/>
          <w:sz w:val="24"/>
          <w:szCs w:val="24"/>
        </w:rPr>
        <w:t>undermine or casts any doubt on</w:t>
      </w:r>
      <w:r w:rsidRPr="00223FDA">
        <w:rPr>
          <w:rFonts w:ascii="Times New Roman" w:hAnsi="Times New Roman" w:cs="Times New Roman"/>
          <w:sz w:val="24"/>
          <w:szCs w:val="24"/>
        </w:rPr>
        <w:t xml:space="preserve"> the Judge’ finding</w:t>
      </w:r>
      <w:r>
        <w:rPr>
          <w:rFonts w:ascii="Times New Roman" w:hAnsi="Times New Roman" w:cs="Times New Roman"/>
          <w:sz w:val="24"/>
          <w:szCs w:val="24"/>
        </w:rPr>
        <w:t xml:space="preserve"> that the Bank was</w:t>
      </w:r>
      <w:r w:rsidRPr="00223FDA">
        <w:rPr>
          <w:rFonts w:ascii="Times New Roman" w:hAnsi="Times New Roman" w:cs="Times New Roman"/>
          <w:sz w:val="24"/>
          <w:szCs w:val="24"/>
        </w:rPr>
        <w:t xml:space="preserve"> legally entitled to pursue this litigation as the legal owner of the Facility Letter and the underlying security.</w:t>
      </w:r>
      <w:r>
        <w:rPr>
          <w:rFonts w:ascii="Times New Roman" w:hAnsi="Times New Roman" w:cs="Times New Roman"/>
          <w:sz w:val="24"/>
          <w:szCs w:val="24"/>
        </w:rPr>
        <w:t xml:space="preserve"> </w:t>
      </w:r>
      <w:r w:rsidR="00822AE1">
        <w:rPr>
          <w:rFonts w:ascii="Times New Roman" w:hAnsi="Times New Roman" w:cs="Times New Roman"/>
          <w:sz w:val="24"/>
          <w:szCs w:val="24"/>
        </w:rPr>
        <w:t>On</w:t>
      </w:r>
      <w:r>
        <w:rPr>
          <w:rFonts w:ascii="Times New Roman" w:hAnsi="Times New Roman" w:cs="Times New Roman"/>
          <w:sz w:val="24"/>
          <w:szCs w:val="24"/>
        </w:rPr>
        <w:t xml:space="preserve"> the contrary, </w:t>
      </w:r>
      <w:r w:rsidRPr="00223FDA">
        <w:rPr>
          <w:rFonts w:ascii="Times New Roman" w:hAnsi="Times New Roman" w:cs="Times New Roman"/>
          <w:sz w:val="24"/>
          <w:szCs w:val="24"/>
        </w:rPr>
        <w:t xml:space="preserve">no challenge has been made to the Judge’s analysis of the effect of the Declaration of Trust </w:t>
      </w:r>
      <w:r w:rsidR="00822AE1">
        <w:rPr>
          <w:rFonts w:ascii="Times New Roman" w:hAnsi="Times New Roman" w:cs="Times New Roman"/>
          <w:sz w:val="24"/>
          <w:szCs w:val="24"/>
        </w:rPr>
        <w:t>or to the findings made by him.</w:t>
      </w:r>
    </w:p>
    <w:p w14:paraId="7688E9B9" w14:textId="77777777" w:rsidR="006B5AEF" w:rsidRDefault="006B5AEF" w:rsidP="009D4536">
      <w:pPr>
        <w:pStyle w:val="ListParagraph"/>
        <w:spacing w:after="0" w:line="480" w:lineRule="auto"/>
        <w:ind w:hanging="436"/>
        <w:jc w:val="both"/>
        <w:rPr>
          <w:rFonts w:ascii="Times New Roman" w:hAnsi="Times New Roman" w:cs="Times New Roman"/>
          <w:sz w:val="24"/>
          <w:szCs w:val="24"/>
        </w:rPr>
      </w:pPr>
    </w:p>
    <w:p w14:paraId="1ACD984D" w14:textId="6AA2B144" w:rsidR="0064313C" w:rsidRDefault="00822AE1" w:rsidP="009D4536">
      <w:pPr>
        <w:pStyle w:val="ListParagraph"/>
        <w:numPr>
          <w:ilvl w:val="0"/>
          <w:numId w:val="1"/>
        </w:numPr>
        <w:spacing w:after="0" w:line="480" w:lineRule="auto"/>
        <w:ind w:hanging="436"/>
        <w:jc w:val="both"/>
        <w:rPr>
          <w:rFonts w:ascii="Times New Roman" w:hAnsi="Times New Roman" w:cs="Times New Roman"/>
          <w:sz w:val="24"/>
          <w:szCs w:val="24"/>
        </w:rPr>
      </w:pPr>
      <w:r w:rsidRPr="006B5AEF">
        <w:rPr>
          <w:rFonts w:ascii="Times New Roman" w:hAnsi="Times New Roman" w:cs="Times New Roman"/>
          <w:sz w:val="24"/>
          <w:szCs w:val="24"/>
        </w:rPr>
        <w:t xml:space="preserve">That is sufficient to dispose of this ground of appeal. However, we will make some comments </w:t>
      </w:r>
      <w:r w:rsidR="009509D6">
        <w:rPr>
          <w:rFonts w:ascii="Times New Roman" w:hAnsi="Times New Roman" w:cs="Times New Roman"/>
          <w:sz w:val="24"/>
          <w:szCs w:val="24"/>
        </w:rPr>
        <w:t>regarding the decision in</w:t>
      </w:r>
      <w:r w:rsidR="00F200EA">
        <w:rPr>
          <w:rFonts w:ascii="Times New Roman" w:hAnsi="Times New Roman" w:cs="Times New Roman"/>
          <w:sz w:val="24"/>
          <w:szCs w:val="24"/>
        </w:rPr>
        <w:t xml:space="preserve"> </w:t>
      </w:r>
      <w:r w:rsidRPr="006B5AEF">
        <w:rPr>
          <w:rFonts w:ascii="Times New Roman" w:hAnsi="Times New Roman" w:cs="Times New Roman"/>
          <w:i/>
          <w:sz w:val="24"/>
          <w:szCs w:val="24"/>
        </w:rPr>
        <w:t xml:space="preserve">Promontoria (Oak) Ltd v Emanuel. </w:t>
      </w:r>
      <w:r w:rsidRPr="006B5AEF">
        <w:rPr>
          <w:rFonts w:ascii="Times New Roman" w:hAnsi="Times New Roman" w:cs="Times New Roman"/>
          <w:sz w:val="24"/>
          <w:szCs w:val="24"/>
        </w:rPr>
        <w:t xml:space="preserve">It involved a claim by Promontoria (Oak) Ltd as assignee of the original lender, Clydesdale Bank. Here, of course, the Bank was not suing as assignee of the original lender: rather, it was the lender. The Facility Letter was in its name and it was the mortgagee/charge under </w:t>
      </w:r>
      <w:r w:rsidRPr="006B5AEF">
        <w:rPr>
          <w:rFonts w:ascii="Times New Roman" w:hAnsi="Times New Roman" w:cs="Times New Roman"/>
          <w:sz w:val="24"/>
          <w:szCs w:val="24"/>
        </w:rPr>
        <w:lastRenderedPageBreak/>
        <w:t xml:space="preserve">the Mortgage (and the registered owner of the charges in the relevant Land Registry folios). </w:t>
      </w:r>
      <w:r w:rsidR="00B82DB6" w:rsidRPr="006B5AEF">
        <w:rPr>
          <w:rFonts w:ascii="Times New Roman" w:hAnsi="Times New Roman" w:cs="Times New Roman"/>
          <w:sz w:val="24"/>
          <w:szCs w:val="24"/>
        </w:rPr>
        <w:t xml:space="preserve">In any event, in order to establish its title to sue, the claimant relied on redacted copy deed of assignment. A number of other potentially relevant documents were not produced at all (including a sales and purchase agreement which the Judge considered to be </w:t>
      </w:r>
      <w:r w:rsidR="00B82DB6" w:rsidRPr="006B5AEF">
        <w:rPr>
          <w:rFonts w:ascii="Times New Roman" w:hAnsi="Times New Roman" w:cs="Times New Roman"/>
          <w:i/>
          <w:sz w:val="24"/>
          <w:szCs w:val="24"/>
        </w:rPr>
        <w:t>“obviously relevant</w:t>
      </w:r>
      <w:r w:rsidR="00B82DB6" w:rsidRPr="006B5AEF">
        <w:rPr>
          <w:rFonts w:ascii="Times New Roman" w:hAnsi="Times New Roman" w:cs="Times New Roman"/>
          <w:sz w:val="24"/>
          <w:szCs w:val="24"/>
        </w:rPr>
        <w:t xml:space="preserve">”). Before </w:t>
      </w:r>
      <w:r w:rsidR="004568AD" w:rsidRPr="006B5AEF">
        <w:rPr>
          <w:rFonts w:ascii="Times New Roman" w:hAnsi="Times New Roman" w:cs="Times New Roman"/>
          <w:sz w:val="24"/>
          <w:szCs w:val="24"/>
        </w:rPr>
        <w:t xml:space="preserve">the </w:t>
      </w:r>
      <w:r w:rsidR="00B82DB6" w:rsidRPr="006B5AEF">
        <w:rPr>
          <w:rFonts w:ascii="Times New Roman" w:hAnsi="Times New Roman" w:cs="Times New Roman"/>
          <w:sz w:val="24"/>
          <w:szCs w:val="24"/>
        </w:rPr>
        <w:t>r</w:t>
      </w:r>
      <w:r w:rsidR="004568AD" w:rsidRPr="006B5AEF">
        <w:rPr>
          <w:rFonts w:ascii="Times New Roman" w:hAnsi="Times New Roman" w:cs="Times New Roman"/>
          <w:sz w:val="24"/>
          <w:szCs w:val="24"/>
        </w:rPr>
        <w:t xml:space="preserve">ecorder, vehement objection was taken to the admission of the redacted deed of assignment. That of course was not the case here. However, the recorder rejected the objection and gave judgment in favour of the claimant. On appeal to the Chancery Division, Smith J held that the recorder had erred in admitting the redacted deed. His reasons for reaching that conclusion are </w:t>
      </w:r>
      <w:r w:rsidR="00EB5164">
        <w:rPr>
          <w:rFonts w:ascii="Times New Roman" w:hAnsi="Times New Roman" w:cs="Times New Roman"/>
          <w:sz w:val="24"/>
          <w:szCs w:val="24"/>
        </w:rPr>
        <w:t>set</w:t>
      </w:r>
      <w:r w:rsidR="00EB5164" w:rsidRPr="006B5AEF">
        <w:rPr>
          <w:rFonts w:ascii="Times New Roman" w:hAnsi="Times New Roman" w:cs="Times New Roman"/>
          <w:sz w:val="24"/>
          <w:szCs w:val="24"/>
        </w:rPr>
        <w:t xml:space="preserve"> </w:t>
      </w:r>
      <w:r w:rsidR="004568AD" w:rsidRPr="006B5AEF">
        <w:rPr>
          <w:rFonts w:ascii="Times New Roman" w:hAnsi="Times New Roman" w:cs="Times New Roman"/>
          <w:sz w:val="24"/>
          <w:szCs w:val="24"/>
        </w:rPr>
        <w:t xml:space="preserve">out in some detail in his judgment (paras 54-75). </w:t>
      </w:r>
      <w:r w:rsidR="00F2044A">
        <w:rPr>
          <w:rFonts w:ascii="Times New Roman" w:hAnsi="Times New Roman" w:cs="Times New Roman"/>
          <w:sz w:val="24"/>
          <w:szCs w:val="24"/>
        </w:rPr>
        <w:t>The result was that the judgment in favour of the claimant was set aside.</w:t>
      </w:r>
    </w:p>
    <w:p w14:paraId="115B65E6" w14:textId="77777777" w:rsidR="00F2044A" w:rsidRDefault="00F2044A" w:rsidP="009D4536">
      <w:pPr>
        <w:pStyle w:val="ListParagraph"/>
        <w:spacing w:after="0" w:line="480" w:lineRule="auto"/>
        <w:ind w:hanging="436"/>
        <w:jc w:val="both"/>
        <w:rPr>
          <w:rFonts w:ascii="Times New Roman" w:hAnsi="Times New Roman" w:cs="Times New Roman"/>
          <w:sz w:val="24"/>
          <w:szCs w:val="24"/>
        </w:rPr>
      </w:pPr>
    </w:p>
    <w:p w14:paraId="0FC66904" w14:textId="744800D2" w:rsidR="00B94828" w:rsidRPr="00A6325B" w:rsidRDefault="00F2044A" w:rsidP="00A6325B">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We </w:t>
      </w:r>
      <w:r w:rsidR="0065719A">
        <w:rPr>
          <w:rFonts w:ascii="Times New Roman" w:hAnsi="Times New Roman" w:cs="Times New Roman"/>
          <w:sz w:val="24"/>
          <w:szCs w:val="24"/>
        </w:rPr>
        <w:t>would observe</w:t>
      </w:r>
      <w:r>
        <w:rPr>
          <w:rFonts w:ascii="Times New Roman" w:hAnsi="Times New Roman" w:cs="Times New Roman"/>
          <w:sz w:val="24"/>
          <w:szCs w:val="24"/>
        </w:rPr>
        <w:t xml:space="preserve"> that the decision of the Chancery Division was subsequently </w:t>
      </w:r>
      <w:r w:rsidR="0065719A">
        <w:rPr>
          <w:rFonts w:ascii="Times New Roman" w:hAnsi="Times New Roman" w:cs="Times New Roman"/>
          <w:sz w:val="24"/>
          <w:szCs w:val="24"/>
        </w:rPr>
        <w:t>doubted</w:t>
      </w:r>
      <w:r>
        <w:rPr>
          <w:rFonts w:ascii="Times New Roman" w:hAnsi="Times New Roman" w:cs="Times New Roman"/>
          <w:sz w:val="24"/>
          <w:szCs w:val="24"/>
        </w:rPr>
        <w:t xml:space="preserve"> by the Court of Appeal in </w:t>
      </w:r>
      <w:r w:rsidRPr="00F2044A">
        <w:rPr>
          <w:rFonts w:ascii="Times New Roman" w:hAnsi="Times New Roman" w:cs="Times New Roman"/>
          <w:i/>
          <w:sz w:val="24"/>
          <w:szCs w:val="24"/>
        </w:rPr>
        <w:t>Hancock v Promontoria (Chestnut) Limited</w:t>
      </w:r>
      <w:r>
        <w:rPr>
          <w:rFonts w:ascii="Times New Roman" w:hAnsi="Times New Roman" w:cs="Times New Roman"/>
          <w:sz w:val="24"/>
          <w:szCs w:val="24"/>
        </w:rPr>
        <w:t xml:space="preserve"> [2020] EWCA </w:t>
      </w:r>
      <w:proofErr w:type="spellStart"/>
      <w:r>
        <w:rPr>
          <w:rFonts w:ascii="Times New Roman" w:hAnsi="Times New Roman" w:cs="Times New Roman"/>
          <w:sz w:val="24"/>
          <w:szCs w:val="24"/>
        </w:rPr>
        <w:t>Civ</w:t>
      </w:r>
      <w:proofErr w:type="spellEnd"/>
      <w:r>
        <w:rPr>
          <w:rFonts w:ascii="Times New Roman" w:hAnsi="Times New Roman" w:cs="Times New Roman"/>
          <w:sz w:val="24"/>
          <w:szCs w:val="24"/>
        </w:rPr>
        <w:t xml:space="preserve"> 907 and when </w:t>
      </w:r>
      <w:r w:rsidRPr="00F2044A">
        <w:rPr>
          <w:rFonts w:ascii="Times New Roman" w:hAnsi="Times New Roman" w:cs="Times New Roman"/>
          <w:i/>
          <w:sz w:val="24"/>
          <w:szCs w:val="24"/>
        </w:rPr>
        <w:t>Emanuel</w:t>
      </w:r>
      <w:r>
        <w:rPr>
          <w:rFonts w:ascii="Times New Roman" w:hAnsi="Times New Roman" w:cs="Times New Roman"/>
          <w:sz w:val="24"/>
          <w:szCs w:val="24"/>
        </w:rPr>
        <w:t xml:space="preserve"> itself came before the Court of Appeal, </w:t>
      </w:r>
      <w:r w:rsidR="00D5664B">
        <w:rPr>
          <w:rFonts w:ascii="Times New Roman" w:hAnsi="Times New Roman" w:cs="Times New Roman"/>
          <w:sz w:val="24"/>
          <w:szCs w:val="24"/>
        </w:rPr>
        <w:t xml:space="preserve">as one of a number of related appeals raising issues about redaction, </w:t>
      </w:r>
      <w:r>
        <w:rPr>
          <w:rFonts w:ascii="Times New Roman" w:hAnsi="Times New Roman" w:cs="Times New Roman"/>
          <w:sz w:val="24"/>
          <w:szCs w:val="24"/>
        </w:rPr>
        <w:t xml:space="preserve">Promontoria’s appeal succeeded </w:t>
      </w:r>
      <w:r w:rsidR="00D5664B">
        <w:rPr>
          <w:rFonts w:ascii="Times New Roman" w:hAnsi="Times New Roman" w:cs="Times New Roman"/>
          <w:sz w:val="24"/>
          <w:szCs w:val="24"/>
        </w:rPr>
        <w:t xml:space="preserve">[2021] EWCA </w:t>
      </w:r>
      <w:proofErr w:type="spellStart"/>
      <w:r w:rsidR="00D5664B">
        <w:rPr>
          <w:rFonts w:ascii="Times New Roman" w:hAnsi="Times New Roman" w:cs="Times New Roman"/>
          <w:sz w:val="24"/>
          <w:szCs w:val="24"/>
        </w:rPr>
        <w:t>Civ</w:t>
      </w:r>
      <w:proofErr w:type="spellEnd"/>
      <w:r w:rsidR="00D5664B">
        <w:rPr>
          <w:rFonts w:ascii="Times New Roman" w:hAnsi="Times New Roman" w:cs="Times New Roman"/>
          <w:sz w:val="24"/>
          <w:szCs w:val="24"/>
        </w:rPr>
        <w:t xml:space="preserve"> 1682. In the Court of Appeal’s view, the resolution of </w:t>
      </w:r>
      <w:r w:rsidR="0065719A">
        <w:rPr>
          <w:rFonts w:ascii="Times New Roman" w:hAnsi="Times New Roman" w:cs="Times New Roman"/>
          <w:sz w:val="24"/>
          <w:szCs w:val="24"/>
        </w:rPr>
        <w:t xml:space="preserve">the </w:t>
      </w:r>
      <w:r w:rsidR="00D5664B">
        <w:rPr>
          <w:rFonts w:ascii="Times New Roman" w:hAnsi="Times New Roman" w:cs="Times New Roman"/>
          <w:sz w:val="24"/>
          <w:szCs w:val="24"/>
        </w:rPr>
        <w:t xml:space="preserve">appeals turned on the question identified in </w:t>
      </w:r>
      <w:r w:rsidR="00D5664B" w:rsidRPr="0065719A">
        <w:rPr>
          <w:rFonts w:ascii="Times New Roman" w:hAnsi="Times New Roman" w:cs="Times New Roman"/>
          <w:i/>
          <w:sz w:val="24"/>
          <w:szCs w:val="24"/>
        </w:rPr>
        <w:t>Hanco</w:t>
      </w:r>
      <w:r w:rsidR="0065719A" w:rsidRPr="0065719A">
        <w:rPr>
          <w:rFonts w:ascii="Times New Roman" w:hAnsi="Times New Roman" w:cs="Times New Roman"/>
          <w:i/>
          <w:sz w:val="24"/>
          <w:szCs w:val="24"/>
        </w:rPr>
        <w:t>c</w:t>
      </w:r>
      <w:r w:rsidR="00D5664B" w:rsidRPr="0065719A">
        <w:rPr>
          <w:rFonts w:ascii="Times New Roman" w:hAnsi="Times New Roman" w:cs="Times New Roman"/>
          <w:i/>
          <w:sz w:val="24"/>
          <w:szCs w:val="24"/>
        </w:rPr>
        <w:t>k</w:t>
      </w:r>
      <w:r w:rsidR="0065719A">
        <w:rPr>
          <w:rFonts w:ascii="Times New Roman" w:hAnsi="Times New Roman" w:cs="Times New Roman"/>
          <w:sz w:val="24"/>
          <w:szCs w:val="24"/>
        </w:rPr>
        <w:t>: “</w:t>
      </w:r>
      <w:r w:rsidR="0065719A" w:rsidRPr="0065719A">
        <w:rPr>
          <w:rFonts w:ascii="Times New Roman" w:hAnsi="Times New Roman" w:cs="Times New Roman"/>
          <w:i/>
          <w:sz w:val="24"/>
          <w:szCs w:val="24"/>
        </w:rPr>
        <w:t>can the Court in the circumstances safely resolve the question of construction (or in the present cases the question whether the instrument is effect as an assignment) on the material before it?”</w:t>
      </w:r>
      <w:r w:rsidR="0065719A">
        <w:rPr>
          <w:rFonts w:ascii="Times New Roman" w:hAnsi="Times New Roman" w:cs="Times New Roman"/>
          <w:i/>
          <w:sz w:val="24"/>
          <w:szCs w:val="24"/>
        </w:rPr>
        <w:t xml:space="preserve"> </w:t>
      </w:r>
      <w:r w:rsidR="0065719A">
        <w:rPr>
          <w:rFonts w:ascii="Times New Roman" w:hAnsi="Times New Roman" w:cs="Times New Roman"/>
          <w:sz w:val="24"/>
          <w:szCs w:val="24"/>
        </w:rPr>
        <w:t>(at para 48). If it can, the Court of Appeal saw no reason why it should not do so (</w:t>
      </w:r>
      <w:r w:rsidR="0065719A" w:rsidRPr="0065719A">
        <w:rPr>
          <w:rFonts w:ascii="Times New Roman" w:hAnsi="Times New Roman" w:cs="Times New Roman"/>
          <w:i/>
          <w:sz w:val="24"/>
          <w:szCs w:val="24"/>
        </w:rPr>
        <w:t>ibid</w:t>
      </w:r>
      <w:r w:rsidR="0065719A">
        <w:rPr>
          <w:rFonts w:ascii="Times New Roman" w:hAnsi="Times New Roman" w:cs="Times New Roman"/>
          <w:sz w:val="24"/>
          <w:szCs w:val="24"/>
        </w:rPr>
        <w:t xml:space="preserve">). In </w:t>
      </w:r>
      <w:r w:rsidR="0065719A" w:rsidRPr="0065719A">
        <w:rPr>
          <w:rFonts w:ascii="Times New Roman" w:hAnsi="Times New Roman" w:cs="Times New Roman"/>
          <w:i/>
          <w:sz w:val="24"/>
          <w:szCs w:val="24"/>
        </w:rPr>
        <w:t>Emanuel</w:t>
      </w:r>
      <w:r w:rsidR="0065719A">
        <w:rPr>
          <w:rFonts w:ascii="Times New Roman" w:hAnsi="Times New Roman" w:cs="Times New Roman"/>
          <w:sz w:val="24"/>
          <w:szCs w:val="24"/>
        </w:rPr>
        <w:t xml:space="preserve">, the </w:t>
      </w:r>
      <w:r w:rsidR="001061E2">
        <w:rPr>
          <w:rFonts w:ascii="Times New Roman" w:hAnsi="Times New Roman" w:cs="Times New Roman"/>
          <w:sz w:val="24"/>
          <w:szCs w:val="24"/>
        </w:rPr>
        <w:t>R</w:t>
      </w:r>
      <w:r w:rsidR="0065719A">
        <w:rPr>
          <w:rFonts w:ascii="Times New Roman" w:hAnsi="Times New Roman" w:cs="Times New Roman"/>
          <w:sz w:val="24"/>
          <w:szCs w:val="24"/>
        </w:rPr>
        <w:t>ecorde</w:t>
      </w:r>
      <w:r w:rsidR="001061E2">
        <w:rPr>
          <w:rFonts w:ascii="Times New Roman" w:hAnsi="Times New Roman" w:cs="Times New Roman"/>
          <w:sz w:val="24"/>
          <w:szCs w:val="24"/>
        </w:rPr>
        <w:t>r</w:t>
      </w:r>
      <w:r w:rsidR="0065719A">
        <w:rPr>
          <w:rFonts w:ascii="Times New Roman" w:hAnsi="Times New Roman" w:cs="Times New Roman"/>
          <w:sz w:val="24"/>
          <w:szCs w:val="24"/>
        </w:rPr>
        <w:t xml:space="preserve"> had been entitled to accept that the redactions to the deed of assignment were justifiable and he had been entitled to conclude that he could safely resolve the issue of Promontoria’s title to sue (paragraphs </w:t>
      </w:r>
      <w:r w:rsidR="00B94828">
        <w:rPr>
          <w:rFonts w:ascii="Times New Roman" w:hAnsi="Times New Roman" w:cs="Times New Roman"/>
          <w:sz w:val="24"/>
          <w:szCs w:val="24"/>
        </w:rPr>
        <w:t>86 and 87).</w:t>
      </w:r>
    </w:p>
    <w:p w14:paraId="23241873" w14:textId="7E777240" w:rsidR="00B94828" w:rsidRPr="006B5AEF" w:rsidRDefault="00B94828"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lastRenderedPageBreak/>
        <w:t xml:space="preserve">The decisions of the Court of Appeal in </w:t>
      </w:r>
      <w:r w:rsidRPr="00B94828">
        <w:rPr>
          <w:rFonts w:ascii="Times New Roman" w:hAnsi="Times New Roman" w:cs="Times New Roman"/>
          <w:i/>
          <w:sz w:val="24"/>
          <w:szCs w:val="24"/>
        </w:rPr>
        <w:t>Hancock</w:t>
      </w:r>
      <w:r>
        <w:rPr>
          <w:rFonts w:ascii="Times New Roman" w:hAnsi="Times New Roman" w:cs="Times New Roman"/>
          <w:sz w:val="24"/>
          <w:szCs w:val="24"/>
        </w:rPr>
        <w:t xml:space="preserve"> and </w:t>
      </w:r>
      <w:r w:rsidRPr="00B94828">
        <w:rPr>
          <w:rFonts w:ascii="Times New Roman" w:hAnsi="Times New Roman" w:cs="Times New Roman"/>
          <w:i/>
          <w:sz w:val="24"/>
          <w:szCs w:val="24"/>
        </w:rPr>
        <w:t>Emanuel</w:t>
      </w:r>
      <w:r>
        <w:rPr>
          <w:rFonts w:ascii="Times New Roman" w:hAnsi="Times New Roman" w:cs="Times New Roman"/>
          <w:sz w:val="24"/>
          <w:szCs w:val="24"/>
        </w:rPr>
        <w:t xml:space="preserve"> provide useful guidance as to the appropriate approach to issues of redaction in this context, while emphasising that the approach in any particular case will be heavily dependent on the context: </w:t>
      </w:r>
      <w:r w:rsidRPr="00B94828">
        <w:rPr>
          <w:rFonts w:ascii="Times New Roman" w:hAnsi="Times New Roman" w:cs="Times New Roman"/>
          <w:i/>
          <w:sz w:val="24"/>
          <w:szCs w:val="24"/>
        </w:rPr>
        <w:t>Emanuel</w:t>
      </w:r>
      <w:r>
        <w:rPr>
          <w:rFonts w:ascii="Times New Roman" w:hAnsi="Times New Roman" w:cs="Times New Roman"/>
          <w:sz w:val="24"/>
          <w:szCs w:val="24"/>
        </w:rPr>
        <w:t xml:space="preserve">, paragraphs 44-46. The Court in </w:t>
      </w:r>
      <w:r w:rsidRPr="00B94828">
        <w:rPr>
          <w:rFonts w:ascii="Times New Roman" w:hAnsi="Times New Roman" w:cs="Times New Roman"/>
          <w:i/>
          <w:sz w:val="24"/>
          <w:szCs w:val="24"/>
        </w:rPr>
        <w:t>Emanuel</w:t>
      </w:r>
      <w:r>
        <w:rPr>
          <w:rFonts w:ascii="Times New Roman" w:hAnsi="Times New Roman" w:cs="Times New Roman"/>
          <w:sz w:val="24"/>
          <w:szCs w:val="24"/>
        </w:rPr>
        <w:t xml:space="preserve"> also expressed the view that it was in general unsatisfactory for questions as to the extent of redactions to be first raised at trial: para 47. We agree. We were told, without contradiction, that the Declaration of Trust was produced on discovery in redacted form. </w:t>
      </w:r>
      <w:r w:rsidR="00127BE6">
        <w:rPr>
          <w:rFonts w:ascii="Times New Roman" w:hAnsi="Times New Roman" w:cs="Times New Roman"/>
          <w:sz w:val="24"/>
          <w:szCs w:val="24"/>
        </w:rPr>
        <w:t xml:space="preserve">If any of the Defendants considered that they were entitled to see the document in unredacted form, or otherwise sought to object to the Bank relying on the redacted document in evidence, that issue should have been raised in advance of the hearing. </w:t>
      </w:r>
    </w:p>
    <w:p w14:paraId="198AA58B" w14:textId="77777777" w:rsidR="006B5AEF" w:rsidRPr="00BD67B4" w:rsidRDefault="006B5AEF" w:rsidP="009D4536">
      <w:pPr>
        <w:pStyle w:val="ListParagraph"/>
        <w:spacing w:after="0" w:line="480" w:lineRule="auto"/>
        <w:ind w:left="1417" w:hanging="436"/>
        <w:jc w:val="both"/>
        <w:rPr>
          <w:rFonts w:ascii="Times New Roman" w:eastAsia="Times New Roman" w:hAnsi="Times New Roman" w:cs="Times New Roman"/>
          <w:i/>
          <w:color w:val="000000"/>
          <w:sz w:val="24"/>
          <w:szCs w:val="24"/>
          <w:lang w:eastAsia="en-IE"/>
        </w:rPr>
      </w:pPr>
    </w:p>
    <w:p w14:paraId="7217C2EA" w14:textId="3D43BBC8" w:rsidR="00822AE1" w:rsidRDefault="00127BE6"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This ground of appeal fails.</w:t>
      </w:r>
    </w:p>
    <w:p w14:paraId="6A87BF65" w14:textId="74C67A6D" w:rsidR="00127BE6" w:rsidRDefault="00127BE6" w:rsidP="00127BE6">
      <w:pPr>
        <w:pStyle w:val="ListParagraph"/>
        <w:spacing w:after="0" w:line="480" w:lineRule="auto"/>
        <w:jc w:val="both"/>
        <w:rPr>
          <w:rFonts w:ascii="Times New Roman" w:hAnsi="Times New Roman" w:cs="Times New Roman"/>
          <w:sz w:val="24"/>
          <w:szCs w:val="24"/>
        </w:rPr>
      </w:pPr>
    </w:p>
    <w:p w14:paraId="7D53A7A6" w14:textId="47670307" w:rsidR="00127BE6" w:rsidRDefault="00127BE6" w:rsidP="00272396">
      <w:pPr>
        <w:pStyle w:val="Heading2"/>
      </w:pPr>
      <w:r>
        <w:t>The Bank</w:t>
      </w:r>
      <w:r w:rsidR="00B67C7D">
        <w:t>’</w:t>
      </w:r>
      <w:r>
        <w:t>s failure to join the Receivers as plaintiffs in the claim against CBRE</w:t>
      </w:r>
    </w:p>
    <w:p w14:paraId="216A6009" w14:textId="77777777" w:rsidR="00127BE6" w:rsidRDefault="00127BE6" w:rsidP="00127BE6">
      <w:pPr>
        <w:pStyle w:val="ListParagraph"/>
        <w:spacing w:after="0" w:line="480" w:lineRule="auto"/>
        <w:jc w:val="both"/>
        <w:rPr>
          <w:rFonts w:ascii="Times New Roman" w:hAnsi="Times New Roman" w:cs="Times New Roman"/>
          <w:sz w:val="24"/>
          <w:szCs w:val="24"/>
        </w:rPr>
      </w:pPr>
    </w:p>
    <w:p w14:paraId="65E839E3" w14:textId="55EBEE18" w:rsidR="007C7E96" w:rsidRPr="008371B1" w:rsidRDefault="0003659A"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Ground 15 of the First Defendant’s Notice of Appeal refers to the terms of engagement between the Bank and CBRE whereby (so it is said) that CBRE accepted that it had a duty of care to the Bank and its receivers in the carrying out if its professional duties. It is then said that the Receivers appointed by the Bank were agents of the Borrowers (the McDonaghs) and the First Defendant then complains of the Bank’s failure to “</w:t>
      </w:r>
      <w:r w:rsidRPr="0003659A">
        <w:rPr>
          <w:rFonts w:ascii="Times New Roman" w:hAnsi="Times New Roman" w:cs="Times New Roman"/>
          <w:i/>
          <w:sz w:val="24"/>
          <w:szCs w:val="24"/>
        </w:rPr>
        <w:t>involve the Receivers as parties to the litigation with CBRE notwithstanding the duty of care bestowed on the receivers as agents of the borrowers to which said receivers were entitled to invoke by contract</w:t>
      </w:r>
      <w:r>
        <w:rPr>
          <w:rFonts w:ascii="Times New Roman" w:hAnsi="Times New Roman" w:cs="Times New Roman"/>
          <w:sz w:val="24"/>
          <w:szCs w:val="24"/>
        </w:rPr>
        <w:t xml:space="preserve">”. Ground 16 </w:t>
      </w:r>
      <w:r w:rsidR="007C7E96">
        <w:rPr>
          <w:rFonts w:ascii="Times New Roman" w:hAnsi="Times New Roman" w:cs="Times New Roman"/>
          <w:sz w:val="24"/>
          <w:szCs w:val="24"/>
        </w:rPr>
        <w:t>then asserts that the Judge erred in failing to take into account “</w:t>
      </w:r>
      <w:r w:rsidR="007C7E96" w:rsidRPr="007C7E96">
        <w:rPr>
          <w:rFonts w:ascii="Times New Roman" w:hAnsi="Times New Roman" w:cs="Times New Roman"/>
          <w:i/>
          <w:sz w:val="24"/>
          <w:szCs w:val="24"/>
        </w:rPr>
        <w:t xml:space="preserve">that the omission of the Receivers from the Litigation </w:t>
      </w:r>
      <w:r w:rsidR="007C7E96" w:rsidRPr="007C7E96">
        <w:rPr>
          <w:rFonts w:ascii="Times New Roman" w:hAnsi="Times New Roman" w:cs="Times New Roman"/>
          <w:i/>
          <w:sz w:val="24"/>
          <w:szCs w:val="24"/>
        </w:rPr>
        <w:lastRenderedPageBreak/>
        <w:t>denied the borrowers through their agents the Receivers, the right to be heard and was an abuse of the Power of Attorney clause in the Mortgage Deed, contrary to the Interests of Justice and proportionality.”</w:t>
      </w:r>
    </w:p>
    <w:p w14:paraId="1C674EFB" w14:textId="77777777" w:rsidR="007E2783" w:rsidRPr="009D4536" w:rsidRDefault="007E2783" w:rsidP="007E2783">
      <w:pPr>
        <w:pStyle w:val="ListParagraph"/>
        <w:spacing w:after="0" w:line="480" w:lineRule="auto"/>
        <w:jc w:val="both"/>
        <w:rPr>
          <w:rFonts w:ascii="Times New Roman" w:hAnsi="Times New Roman" w:cs="Times New Roman"/>
          <w:sz w:val="24"/>
          <w:szCs w:val="24"/>
        </w:rPr>
      </w:pPr>
    </w:p>
    <w:p w14:paraId="5C6E5252" w14:textId="222F1AED" w:rsidR="007C7E96" w:rsidRDefault="007C7E96"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The First Defendant’s written submissions are to similar effect, suggest</w:t>
      </w:r>
      <w:r w:rsidR="00794B1D">
        <w:rPr>
          <w:rFonts w:ascii="Times New Roman" w:hAnsi="Times New Roman" w:cs="Times New Roman"/>
          <w:sz w:val="24"/>
          <w:szCs w:val="24"/>
        </w:rPr>
        <w:t>ing</w:t>
      </w:r>
      <w:r>
        <w:rPr>
          <w:rFonts w:ascii="Times New Roman" w:hAnsi="Times New Roman" w:cs="Times New Roman"/>
          <w:sz w:val="24"/>
          <w:szCs w:val="24"/>
        </w:rPr>
        <w:t xml:space="preserve"> (at para 12) that “</w:t>
      </w:r>
      <w:r w:rsidRPr="00794B1D">
        <w:rPr>
          <w:rFonts w:ascii="Times New Roman" w:hAnsi="Times New Roman" w:cs="Times New Roman"/>
          <w:i/>
          <w:sz w:val="24"/>
          <w:szCs w:val="24"/>
        </w:rPr>
        <w:t>t</w:t>
      </w:r>
      <w:r w:rsidRPr="003C3607">
        <w:rPr>
          <w:rFonts w:ascii="Times New Roman" w:hAnsi="Times New Roman" w:cs="Times New Roman"/>
          <w:i/>
          <w:sz w:val="24"/>
          <w:szCs w:val="24"/>
        </w:rPr>
        <w:t xml:space="preserve">he actions of Ulster Bank had prevented the Borrowers from pursuing [a]  remedy  </w:t>
      </w:r>
      <w:r w:rsidR="003C3607" w:rsidRPr="003C3607">
        <w:rPr>
          <w:rFonts w:ascii="Times New Roman" w:hAnsi="Times New Roman" w:cs="Times New Roman"/>
          <w:i/>
          <w:sz w:val="24"/>
          <w:szCs w:val="24"/>
        </w:rPr>
        <w:t>as against CBRE who had pledged a duty of care to their agents, the receivers.”</w:t>
      </w:r>
      <w:r w:rsidR="003C3607">
        <w:rPr>
          <w:rFonts w:ascii="Times New Roman" w:hAnsi="Times New Roman" w:cs="Times New Roman"/>
          <w:sz w:val="24"/>
          <w:szCs w:val="24"/>
        </w:rPr>
        <w:t xml:space="preserve"> </w:t>
      </w:r>
      <w:r w:rsidR="007002E9">
        <w:rPr>
          <w:rFonts w:ascii="Times New Roman" w:hAnsi="Times New Roman" w:cs="Times New Roman"/>
          <w:sz w:val="24"/>
          <w:szCs w:val="24"/>
        </w:rPr>
        <w:t xml:space="preserve"> The Borrowers, it is said, were, by contract, “</w:t>
      </w:r>
      <w:r w:rsidR="007002E9" w:rsidRPr="007002E9">
        <w:rPr>
          <w:rFonts w:ascii="Times New Roman" w:hAnsi="Times New Roman" w:cs="Times New Roman"/>
          <w:i/>
          <w:sz w:val="24"/>
          <w:szCs w:val="24"/>
        </w:rPr>
        <w:t>indemnified under a duty of care confirmed by CBRE in the event of erroneous valuations presented to the Bank</w:t>
      </w:r>
      <w:r w:rsidR="007002E9">
        <w:rPr>
          <w:rFonts w:ascii="Times New Roman" w:hAnsi="Times New Roman" w:cs="Times New Roman"/>
          <w:i/>
          <w:sz w:val="24"/>
          <w:szCs w:val="24"/>
        </w:rPr>
        <w:t xml:space="preserve">” </w:t>
      </w:r>
      <w:r w:rsidR="007002E9">
        <w:rPr>
          <w:rFonts w:ascii="Times New Roman" w:hAnsi="Times New Roman" w:cs="Times New Roman"/>
          <w:sz w:val="24"/>
          <w:szCs w:val="24"/>
        </w:rPr>
        <w:t>(</w:t>
      </w:r>
      <w:r w:rsidR="007002E9" w:rsidRPr="007002E9">
        <w:rPr>
          <w:rFonts w:ascii="Times New Roman" w:hAnsi="Times New Roman" w:cs="Times New Roman"/>
          <w:i/>
          <w:sz w:val="24"/>
          <w:szCs w:val="24"/>
        </w:rPr>
        <w:t>ibid</w:t>
      </w:r>
      <w:r w:rsidR="007002E9">
        <w:rPr>
          <w:rFonts w:ascii="Times New Roman" w:hAnsi="Times New Roman" w:cs="Times New Roman"/>
          <w:sz w:val="24"/>
          <w:szCs w:val="24"/>
        </w:rPr>
        <w:t xml:space="preserve">). </w:t>
      </w:r>
    </w:p>
    <w:p w14:paraId="0428C84C" w14:textId="77777777" w:rsidR="00737F62" w:rsidRDefault="00737F62" w:rsidP="009D4536">
      <w:pPr>
        <w:pStyle w:val="ListParagraph"/>
        <w:spacing w:after="0" w:line="480" w:lineRule="auto"/>
        <w:ind w:hanging="436"/>
        <w:jc w:val="both"/>
        <w:rPr>
          <w:rFonts w:ascii="Times New Roman" w:hAnsi="Times New Roman" w:cs="Times New Roman"/>
          <w:sz w:val="24"/>
          <w:szCs w:val="24"/>
        </w:rPr>
      </w:pPr>
    </w:p>
    <w:p w14:paraId="3273DE97" w14:textId="02394780" w:rsidR="00737F62" w:rsidRDefault="00737F62"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In her oral submissions, Counsel for the First Defendant referred to </w:t>
      </w:r>
      <w:proofErr w:type="spellStart"/>
      <w:r w:rsidRPr="00737F62">
        <w:rPr>
          <w:rFonts w:ascii="Times New Roman" w:hAnsi="Times New Roman" w:cs="Times New Roman"/>
          <w:i/>
          <w:sz w:val="24"/>
          <w:szCs w:val="24"/>
        </w:rPr>
        <w:t>Coulston</w:t>
      </w:r>
      <w:proofErr w:type="spellEnd"/>
      <w:r w:rsidRPr="00737F62">
        <w:rPr>
          <w:rFonts w:ascii="Times New Roman" w:hAnsi="Times New Roman" w:cs="Times New Roman"/>
          <w:i/>
          <w:sz w:val="24"/>
          <w:szCs w:val="24"/>
        </w:rPr>
        <w:t xml:space="preserve"> v Doyle</w:t>
      </w:r>
      <w:r>
        <w:rPr>
          <w:rFonts w:ascii="Times New Roman" w:hAnsi="Times New Roman" w:cs="Times New Roman"/>
          <w:sz w:val="24"/>
          <w:szCs w:val="24"/>
        </w:rPr>
        <w:t xml:space="preserve"> [2020] IEHC 619 – as it happens a decision of Twomey J – where consideration was given to the tripartite agency between bank, receiver and borrower and the special character of the receiver’s agency was discussed. Counsel said that the Bank’s security was not confined to the Kilpeddar Lands but also included CBRE’s confirmation that the Bank could rely on its valuation report. The Receivers were also entitled to rely on that confirmation. The Bank, it was said, was not “</w:t>
      </w:r>
      <w:r w:rsidRPr="0008007B">
        <w:rPr>
          <w:rFonts w:ascii="Times New Roman" w:hAnsi="Times New Roman" w:cs="Times New Roman"/>
          <w:i/>
          <w:sz w:val="24"/>
          <w:szCs w:val="24"/>
        </w:rPr>
        <w:t xml:space="preserve">entitled to prevent or inhibit the primary duties of the receiver to </w:t>
      </w:r>
      <w:r w:rsidR="0008007B" w:rsidRPr="0008007B">
        <w:rPr>
          <w:rFonts w:ascii="Times New Roman" w:hAnsi="Times New Roman" w:cs="Times New Roman"/>
          <w:i/>
          <w:sz w:val="24"/>
          <w:szCs w:val="24"/>
        </w:rPr>
        <w:t>try to bring about a situation in which the secured debt was repaid</w:t>
      </w:r>
      <w:r w:rsidR="0008007B">
        <w:rPr>
          <w:rFonts w:ascii="Times New Roman" w:hAnsi="Times New Roman" w:cs="Times New Roman"/>
          <w:sz w:val="24"/>
          <w:szCs w:val="24"/>
        </w:rPr>
        <w:t xml:space="preserve">”, reference being made to the decision of the Court of Appeal of England and Wales in </w:t>
      </w:r>
      <w:bookmarkStart w:id="7" w:name="_Hlk99545001"/>
      <w:r w:rsidR="0008007B" w:rsidRPr="0008007B">
        <w:rPr>
          <w:rFonts w:ascii="Times New Roman" w:hAnsi="Times New Roman" w:cs="Times New Roman"/>
          <w:i/>
          <w:sz w:val="24"/>
          <w:szCs w:val="24"/>
        </w:rPr>
        <w:t>Silven Properties Ltd v Royal Bank of Scotland plc</w:t>
      </w:r>
      <w:r w:rsidR="0008007B">
        <w:rPr>
          <w:rFonts w:ascii="Times New Roman" w:hAnsi="Times New Roman" w:cs="Times New Roman"/>
          <w:sz w:val="24"/>
          <w:szCs w:val="24"/>
        </w:rPr>
        <w:t xml:space="preserve"> </w:t>
      </w:r>
      <w:bookmarkEnd w:id="7"/>
      <w:r w:rsidR="0008007B">
        <w:rPr>
          <w:rFonts w:ascii="Times New Roman" w:hAnsi="Times New Roman" w:cs="Times New Roman"/>
          <w:sz w:val="24"/>
          <w:szCs w:val="24"/>
        </w:rPr>
        <w:t xml:space="preserve">[2003] EWCA </w:t>
      </w:r>
      <w:proofErr w:type="spellStart"/>
      <w:r w:rsidR="0008007B">
        <w:rPr>
          <w:rFonts w:ascii="Times New Roman" w:hAnsi="Times New Roman" w:cs="Times New Roman"/>
          <w:sz w:val="24"/>
          <w:szCs w:val="24"/>
        </w:rPr>
        <w:t>Civ</w:t>
      </w:r>
      <w:proofErr w:type="spellEnd"/>
      <w:r w:rsidR="0008007B">
        <w:rPr>
          <w:rFonts w:ascii="Times New Roman" w:hAnsi="Times New Roman" w:cs="Times New Roman"/>
          <w:sz w:val="24"/>
          <w:szCs w:val="24"/>
        </w:rPr>
        <w:t xml:space="preserve"> 1409, [2004] 1 WLR 997. Counsel relied on </w:t>
      </w:r>
      <w:r w:rsidR="0008007B" w:rsidRPr="0008007B">
        <w:rPr>
          <w:rFonts w:ascii="Times New Roman" w:hAnsi="Times New Roman" w:cs="Times New Roman"/>
          <w:i/>
          <w:sz w:val="24"/>
          <w:szCs w:val="24"/>
        </w:rPr>
        <w:t>Medforth v Blake</w:t>
      </w:r>
      <w:r w:rsidR="0008007B">
        <w:rPr>
          <w:rFonts w:ascii="Times New Roman" w:hAnsi="Times New Roman" w:cs="Times New Roman"/>
          <w:sz w:val="24"/>
          <w:szCs w:val="24"/>
        </w:rPr>
        <w:t xml:space="preserve"> [2000] Ch 86 as authority for the position that the Receivers owed a duty of good faith to the Borrowers. The </w:t>
      </w:r>
      <w:bookmarkStart w:id="8" w:name="_Hlk99545837"/>
      <w:r w:rsidR="0008007B">
        <w:rPr>
          <w:rFonts w:ascii="Times New Roman" w:hAnsi="Times New Roman" w:cs="Times New Roman"/>
          <w:sz w:val="24"/>
          <w:szCs w:val="24"/>
        </w:rPr>
        <w:lastRenderedPageBreak/>
        <w:t>Receivers had (so it was said) “</w:t>
      </w:r>
      <w:r w:rsidR="0008007B" w:rsidRPr="0008007B">
        <w:rPr>
          <w:rFonts w:ascii="Times New Roman" w:hAnsi="Times New Roman" w:cs="Times New Roman"/>
          <w:i/>
          <w:sz w:val="24"/>
          <w:szCs w:val="24"/>
        </w:rPr>
        <w:t>absconded from their primary duties</w:t>
      </w:r>
      <w:r w:rsidR="0008007B">
        <w:rPr>
          <w:rFonts w:ascii="Times New Roman" w:hAnsi="Times New Roman" w:cs="Times New Roman"/>
          <w:sz w:val="24"/>
          <w:szCs w:val="24"/>
        </w:rPr>
        <w:t xml:space="preserve">” </w:t>
      </w:r>
      <w:r w:rsidR="0008007B" w:rsidRPr="0008007B">
        <w:rPr>
          <w:rFonts w:ascii="Times New Roman" w:hAnsi="Times New Roman" w:cs="Times New Roman"/>
          <w:sz w:val="24"/>
          <w:szCs w:val="24"/>
        </w:rPr>
        <w:t>by walking away</w:t>
      </w:r>
      <w:r w:rsidR="0008007B" w:rsidRPr="0008007B">
        <w:rPr>
          <w:rFonts w:ascii="Times New Roman" w:hAnsi="Times New Roman" w:cs="Times New Roman"/>
          <w:i/>
          <w:sz w:val="24"/>
          <w:szCs w:val="24"/>
        </w:rPr>
        <w:t xml:space="preserve"> </w:t>
      </w:r>
      <w:r w:rsidR="0008007B" w:rsidRPr="0008007B">
        <w:rPr>
          <w:rFonts w:ascii="Times New Roman" w:hAnsi="Times New Roman" w:cs="Times New Roman"/>
          <w:sz w:val="24"/>
          <w:szCs w:val="24"/>
        </w:rPr>
        <w:t>from</w:t>
      </w:r>
      <w:r w:rsidR="0008007B" w:rsidRPr="0008007B">
        <w:rPr>
          <w:rFonts w:ascii="Times New Roman" w:hAnsi="Times New Roman" w:cs="Times New Roman"/>
          <w:i/>
          <w:sz w:val="24"/>
          <w:szCs w:val="24"/>
        </w:rPr>
        <w:t xml:space="preserve"> </w:t>
      </w:r>
      <w:r w:rsidR="0008007B">
        <w:rPr>
          <w:rFonts w:ascii="Times New Roman" w:hAnsi="Times New Roman" w:cs="Times New Roman"/>
          <w:i/>
          <w:sz w:val="24"/>
          <w:szCs w:val="24"/>
        </w:rPr>
        <w:t>“</w:t>
      </w:r>
      <w:r w:rsidR="0008007B" w:rsidRPr="0008007B">
        <w:rPr>
          <w:rFonts w:ascii="Times New Roman" w:hAnsi="Times New Roman" w:cs="Times New Roman"/>
          <w:i/>
          <w:sz w:val="24"/>
          <w:szCs w:val="24"/>
        </w:rPr>
        <w:t>the legitimate right to [a] remedy in contract as against CBRE</w:t>
      </w:r>
      <w:r w:rsidR="0008007B">
        <w:rPr>
          <w:rFonts w:ascii="Times New Roman" w:hAnsi="Times New Roman" w:cs="Times New Roman"/>
          <w:sz w:val="24"/>
          <w:szCs w:val="24"/>
        </w:rPr>
        <w:t>.”</w:t>
      </w:r>
      <w:r w:rsidR="0008007B">
        <w:rPr>
          <w:rStyle w:val="FootnoteReference"/>
          <w:rFonts w:ascii="Times New Roman" w:hAnsi="Times New Roman" w:cs="Times New Roman"/>
          <w:sz w:val="24"/>
          <w:szCs w:val="24"/>
        </w:rPr>
        <w:footnoteReference w:id="31"/>
      </w:r>
      <w:bookmarkEnd w:id="8"/>
    </w:p>
    <w:p w14:paraId="6A78A482" w14:textId="77777777" w:rsidR="0008007B" w:rsidRDefault="0008007B" w:rsidP="0008007B">
      <w:pPr>
        <w:pStyle w:val="ListParagraph"/>
        <w:spacing w:after="0" w:line="480" w:lineRule="auto"/>
        <w:jc w:val="both"/>
        <w:rPr>
          <w:rFonts w:ascii="Times New Roman" w:hAnsi="Times New Roman" w:cs="Times New Roman"/>
          <w:sz w:val="24"/>
          <w:szCs w:val="24"/>
        </w:rPr>
      </w:pPr>
    </w:p>
    <w:p w14:paraId="62192497" w14:textId="26BB5D7A" w:rsidR="0008007B" w:rsidRDefault="0008007B"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This ground of appeal is, in our view, specious </w:t>
      </w:r>
      <w:r w:rsidR="004A08E2">
        <w:rPr>
          <w:rFonts w:ascii="Times New Roman" w:hAnsi="Times New Roman" w:cs="Times New Roman"/>
          <w:sz w:val="24"/>
          <w:szCs w:val="24"/>
        </w:rPr>
        <w:t>and without merit. Extended analysis is not warranted. Instead, we make the following observations:</w:t>
      </w:r>
    </w:p>
    <w:p w14:paraId="7F64DBF0" w14:textId="210140FE" w:rsidR="004A08E2" w:rsidRDefault="004A08E2" w:rsidP="004A08E2">
      <w:pPr>
        <w:pStyle w:val="ListParagraph"/>
        <w:spacing w:after="0" w:line="480" w:lineRule="auto"/>
        <w:jc w:val="both"/>
        <w:rPr>
          <w:rFonts w:ascii="Times New Roman" w:hAnsi="Times New Roman" w:cs="Times New Roman"/>
          <w:sz w:val="24"/>
          <w:szCs w:val="24"/>
        </w:rPr>
      </w:pPr>
    </w:p>
    <w:p w14:paraId="48270D6A" w14:textId="571A04A8" w:rsidR="004A08E2" w:rsidRDefault="004A08E2" w:rsidP="004A08E2">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CBRE provided its valuation report to the Bank. It did so pursuant to a letter of instruction which made it clear that the Bank intended to rely on CBRE’s valuation “</w:t>
      </w:r>
      <w:r w:rsidRPr="004A08E2">
        <w:rPr>
          <w:rFonts w:ascii="Times New Roman" w:hAnsi="Times New Roman" w:cs="Times New Roman"/>
          <w:i/>
          <w:sz w:val="24"/>
          <w:szCs w:val="24"/>
        </w:rPr>
        <w:t>for the purposes of evaluating both the [Borrowers</w:t>
      </w:r>
      <w:r w:rsidR="00B67C7D">
        <w:rPr>
          <w:rFonts w:ascii="Times New Roman" w:hAnsi="Times New Roman" w:cs="Times New Roman"/>
          <w:i/>
          <w:sz w:val="24"/>
          <w:szCs w:val="24"/>
        </w:rPr>
        <w:t>’</w:t>
      </w:r>
      <w:r w:rsidRPr="004A08E2">
        <w:rPr>
          <w:rFonts w:ascii="Times New Roman" w:hAnsi="Times New Roman" w:cs="Times New Roman"/>
          <w:i/>
          <w:sz w:val="24"/>
          <w:szCs w:val="24"/>
        </w:rPr>
        <w:t>] proposal and the security value of the [Kilpeddar Lands]”.</w:t>
      </w:r>
      <w:r>
        <w:rPr>
          <w:rFonts w:ascii="Times New Roman" w:hAnsi="Times New Roman" w:cs="Times New Roman"/>
          <w:sz w:val="24"/>
          <w:szCs w:val="24"/>
        </w:rPr>
        <w:t xml:space="preserve"> In the circumstances, absent any contractual exclusion of duty (and there was none), CBRE clearly owed a duty of care to the Bank in preparing its valuation of the Lands.</w:t>
      </w:r>
    </w:p>
    <w:p w14:paraId="46163842" w14:textId="77777777" w:rsidR="004A08E2" w:rsidRDefault="004A08E2" w:rsidP="004A08E2">
      <w:pPr>
        <w:pStyle w:val="ListParagraph"/>
        <w:spacing w:after="0" w:line="480" w:lineRule="auto"/>
        <w:ind w:left="1440"/>
        <w:jc w:val="both"/>
        <w:rPr>
          <w:rFonts w:ascii="Times New Roman" w:hAnsi="Times New Roman" w:cs="Times New Roman"/>
          <w:sz w:val="24"/>
          <w:szCs w:val="24"/>
        </w:rPr>
      </w:pPr>
    </w:p>
    <w:p w14:paraId="6AFCED3D" w14:textId="58CA35BE" w:rsidR="004A08E2" w:rsidRDefault="004A08E2" w:rsidP="004A08E2">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Notwithstanding CBRE’s apparent conf</w:t>
      </w:r>
      <w:r w:rsidR="001061E2">
        <w:rPr>
          <w:rFonts w:ascii="Times New Roman" w:hAnsi="Times New Roman" w:cs="Times New Roman"/>
          <w:sz w:val="24"/>
          <w:szCs w:val="24"/>
        </w:rPr>
        <w:t>i</w:t>
      </w:r>
      <w:r>
        <w:rPr>
          <w:rFonts w:ascii="Times New Roman" w:hAnsi="Times New Roman" w:cs="Times New Roman"/>
          <w:sz w:val="24"/>
          <w:szCs w:val="24"/>
        </w:rPr>
        <w:t xml:space="preserve">rmation that </w:t>
      </w:r>
      <w:r w:rsidR="00B616EC" w:rsidRPr="00B616EC">
        <w:rPr>
          <w:rFonts w:ascii="Times New Roman" w:hAnsi="Times New Roman" w:cs="Times New Roman"/>
          <w:i/>
          <w:sz w:val="24"/>
          <w:szCs w:val="24"/>
        </w:rPr>
        <w:t>“any receiver  appointed by the Bank to realise its security</w:t>
      </w:r>
      <w:r w:rsidR="00B616EC">
        <w:rPr>
          <w:rFonts w:ascii="Times New Roman" w:hAnsi="Times New Roman" w:cs="Times New Roman"/>
          <w:sz w:val="24"/>
          <w:szCs w:val="24"/>
        </w:rPr>
        <w:t xml:space="preserve">” might rely on the terms of its report and that the </w:t>
      </w:r>
      <w:r>
        <w:rPr>
          <w:rFonts w:ascii="Times New Roman" w:hAnsi="Times New Roman" w:cs="Times New Roman"/>
          <w:sz w:val="24"/>
          <w:szCs w:val="24"/>
        </w:rPr>
        <w:t xml:space="preserve">duty of care owed by it extended to </w:t>
      </w:r>
      <w:r w:rsidR="00B616EC">
        <w:rPr>
          <w:rFonts w:ascii="Times New Roman" w:hAnsi="Times New Roman" w:cs="Times New Roman"/>
          <w:sz w:val="24"/>
          <w:szCs w:val="24"/>
        </w:rPr>
        <w:t>such a receiver, it is difficult to see how the Receivers – who were appointed in excess of 7 years after CBRE furnished its valuation report – could have had any cause of action in the circumstances here, given that any loss arising from any breach of duty by CBRE was suffered by the Bank and not by the Receivers.</w:t>
      </w:r>
    </w:p>
    <w:p w14:paraId="461A689C" w14:textId="77777777" w:rsidR="00B616EC" w:rsidRDefault="00B616EC" w:rsidP="00B616EC">
      <w:pPr>
        <w:pStyle w:val="ListParagraph"/>
        <w:spacing w:after="0" w:line="480" w:lineRule="auto"/>
        <w:ind w:left="1440"/>
        <w:jc w:val="both"/>
        <w:rPr>
          <w:rFonts w:ascii="Times New Roman" w:hAnsi="Times New Roman" w:cs="Times New Roman"/>
          <w:sz w:val="24"/>
          <w:szCs w:val="24"/>
        </w:rPr>
      </w:pPr>
    </w:p>
    <w:p w14:paraId="7567540C" w14:textId="2D0E8F71" w:rsidR="00B616EC" w:rsidRDefault="00B616EC" w:rsidP="004A08E2">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Insofar as it may be said that .that the “</w:t>
      </w:r>
      <w:r w:rsidRPr="00B616EC">
        <w:rPr>
          <w:rFonts w:ascii="Times New Roman" w:hAnsi="Times New Roman" w:cs="Times New Roman"/>
          <w:i/>
          <w:sz w:val="24"/>
          <w:szCs w:val="24"/>
        </w:rPr>
        <w:t>primary duty</w:t>
      </w:r>
      <w:r>
        <w:rPr>
          <w:rFonts w:ascii="Times New Roman" w:hAnsi="Times New Roman" w:cs="Times New Roman"/>
          <w:sz w:val="24"/>
          <w:szCs w:val="24"/>
        </w:rPr>
        <w:t>” of the Receivers “</w:t>
      </w:r>
      <w:r w:rsidRPr="00B616EC">
        <w:rPr>
          <w:rFonts w:ascii="Times New Roman" w:hAnsi="Times New Roman" w:cs="Times New Roman"/>
          <w:i/>
          <w:sz w:val="24"/>
          <w:szCs w:val="24"/>
        </w:rPr>
        <w:t>to bring about a situation where the secured debt is repaid</w:t>
      </w:r>
      <w:r>
        <w:rPr>
          <w:rFonts w:ascii="Times New Roman" w:hAnsi="Times New Roman" w:cs="Times New Roman"/>
          <w:sz w:val="24"/>
          <w:szCs w:val="24"/>
        </w:rPr>
        <w:t>” (</w:t>
      </w:r>
      <w:r w:rsidRPr="0008007B">
        <w:rPr>
          <w:rFonts w:ascii="Times New Roman" w:hAnsi="Times New Roman" w:cs="Times New Roman"/>
          <w:i/>
          <w:sz w:val="24"/>
          <w:szCs w:val="24"/>
        </w:rPr>
        <w:t>Silven Properties Ltd v Royal Bank of Scotland plc</w:t>
      </w:r>
      <w:r>
        <w:rPr>
          <w:rFonts w:ascii="Times New Roman" w:hAnsi="Times New Roman" w:cs="Times New Roman"/>
          <w:sz w:val="24"/>
          <w:szCs w:val="24"/>
        </w:rPr>
        <w:t xml:space="preserve">, para 28) entitled them to sue CBRE, any such action </w:t>
      </w:r>
      <w:r w:rsidR="00333369">
        <w:rPr>
          <w:rFonts w:ascii="Times New Roman" w:hAnsi="Times New Roman" w:cs="Times New Roman"/>
          <w:sz w:val="24"/>
          <w:szCs w:val="24"/>
        </w:rPr>
        <w:t>could only have been brought on behalf of the Bank.</w:t>
      </w:r>
    </w:p>
    <w:p w14:paraId="22A1A3FD" w14:textId="77777777" w:rsidR="00333369" w:rsidRDefault="00333369" w:rsidP="00333369">
      <w:pPr>
        <w:pStyle w:val="ListParagraph"/>
        <w:spacing w:after="0" w:line="480" w:lineRule="auto"/>
        <w:ind w:left="1440"/>
        <w:jc w:val="both"/>
        <w:rPr>
          <w:rFonts w:ascii="Times New Roman" w:hAnsi="Times New Roman" w:cs="Times New Roman"/>
          <w:sz w:val="24"/>
          <w:szCs w:val="24"/>
        </w:rPr>
      </w:pPr>
    </w:p>
    <w:p w14:paraId="3B0D94F7" w14:textId="49908AA9" w:rsidR="00333369" w:rsidRDefault="00333369" w:rsidP="00333369">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suggestion that CBRE’s confirmation that the Bank’s receiver could rely on the valuation report and was owed a duty of care effectively constituted an assurance to the Borrowers and extended CBRE’s duty of care to the Borrowers on the basis that the Receivers were appointed as their agents, is </w:t>
      </w:r>
      <w:r w:rsidRPr="00333369">
        <w:rPr>
          <w:rFonts w:ascii="Times New Roman" w:hAnsi="Times New Roman" w:cs="Times New Roman"/>
          <w:sz w:val="24"/>
          <w:szCs w:val="24"/>
        </w:rPr>
        <w:t>baseless</w:t>
      </w:r>
      <w:r>
        <w:rPr>
          <w:rFonts w:ascii="Times New Roman" w:hAnsi="Times New Roman" w:cs="Times New Roman"/>
          <w:sz w:val="24"/>
          <w:szCs w:val="24"/>
        </w:rPr>
        <w:t xml:space="preserve">. The Receivers are not the general agents of the Borrowers. Their agency is primarily a </w:t>
      </w:r>
      <w:r w:rsidR="00F200EA">
        <w:rPr>
          <w:rFonts w:ascii="Times New Roman" w:hAnsi="Times New Roman" w:cs="Times New Roman"/>
          <w:sz w:val="24"/>
          <w:szCs w:val="24"/>
        </w:rPr>
        <w:t>mechanism</w:t>
      </w:r>
      <w:r>
        <w:rPr>
          <w:rFonts w:ascii="Times New Roman" w:hAnsi="Times New Roman" w:cs="Times New Roman"/>
          <w:sz w:val="24"/>
          <w:szCs w:val="24"/>
        </w:rPr>
        <w:t xml:space="preserve"> to protect the Bank: </w:t>
      </w:r>
      <w:r w:rsidRPr="00333369">
        <w:rPr>
          <w:rFonts w:ascii="Times New Roman" w:hAnsi="Times New Roman" w:cs="Times New Roman"/>
          <w:i/>
          <w:sz w:val="24"/>
          <w:szCs w:val="24"/>
        </w:rPr>
        <w:t>Bula Ltd v Crowley (No 3)</w:t>
      </w:r>
      <w:r>
        <w:rPr>
          <w:rFonts w:ascii="Times New Roman" w:hAnsi="Times New Roman" w:cs="Times New Roman"/>
          <w:sz w:val="24"/>
          <w:szCs w:val="24"/>
        </w:rPr>
        <w:t xml:space="preserve"> [2003] 1 IR 396, per Denham J at 424, citing </w:t>
      </w:r>
      <w:proofErr w:type="spellStart"/>
      <w:r w:rsidRPr="00333369">
        <w:rPr>
          <w:rFonts w:ascii="Times New Roman" w:hAnsi="Times New Roman" w:cs="Times New Roman"/>
          <w:i/>
          <w:sz w:val="24"/>
          <w:szCs w:val="24"/>
        </w:rPr>
        <w:t>Gomba</w:t>
      </w:r>
      <w:proofErr w:type="spellEnd"/>
      <w:r w:rsidRPr="00333369">
        <w:rPr>
          <w:rFonts w:ascii="Times New Roman" w:hAnsi="Times New Roman" w:cs="Times New Roman"/>
          <w:i/>
          <w:sz w:val="24"/>
          <w:szCs w:val="24"/>
        </w:rPr>
        <w:t xml:space="preserve"> Holdings Ltd v </w:t>
      </w:r>
      <w:proofErr w:type="spellStart"/>
      <w:r w:rsidRPr="00333369">
        <w:rPr>
          <w:rFonts w:ascii="Times New Roman" w:hAnsi="Times New Roman" w:cs="Times New Roman"/>
          <w:i/>
          <w:sz w:val="24"/>
          <w:szCs w:val="24"/>
        </w:rPr>
        <w:t>Minories</w:t>
      </w:r>
      <w:proofErr w:type="spellEnd"/>
      <w:r w:rsidRPr="00333369">
        <w:rPr>
          <w:rFonts w:ascii="Times New Roman" w:hAnsi="Times New Roman" w:cs="Times New Roman"/>
          <w:i/>
          <w:sz w:val="24"/>
          <w:szCs w:val="24"/>
        </w:rPr>
        <w:t xml:space="preserve"> Finance Ltd</w:t>
      </w:r>
      <w:r>
        <w:rPr>
          <w:rFonts w:ascii="Times New Roman" w:hAnsi="Times New Roman" w:cs="Times New Roman"/>
          <w:sz w:val="24"/>
          <w:szCs w:val="24"/>
        </w:rPr>
        <w:t xml:space="preserve"> [1988] 1 WLR 1231, at 1233. </w:t>
      </w:r>
    </w:p>
    <w:p w14:paraId="2519943C" w14:textId="77777777" w:rsidR="0067448D" w:rsidRDefault="0067448D" w:rsidP="0067448D">
      <w:pPr>
        <w:pStyle w:val="ListParagraph"/>
        <w:spacing w:after="0" w:line="480" w:lineRule="auto"/>
        <w:ind w:left="1440"/>
        <w:jc w:val="both"/>
        <w:rPr>
          <w:rFonts w:ascii="Times New Roman" w:hAnsi="Times New Roman" w:cs="Times New Roman"/>
          <w:sz w:val="24"/>
          <w:szCs w:val="24"/>
        </w:rPr>
      </w:pPr>
    </w:p>
    <w:p w14:paraId="76DAE1DB" w14:textId="52B81E78" w:rsidR="0067448D" w:rsidRDefault="0067448D" w:rsidP="00333369">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Insofar as the First Defendant suggests that the Receivers were under a duty to sue CBRE, either such duty was owed to the Bank (in which case any breach of that duty is a matter for the Bank to pursue with the Receivers) or, alternatively, the duty was owed to the Borrowers (in which case any breach of that duty is a matter for the Borrowers to pursue with the Receivers). In neither </w:t>
      </w:r>
      <w:r w:rsidR="00AD23B6">
        <w:rPr>
          <w:rFonts w:ascii="Times New Roman" w:hAnsi="Times New Roman" w:cs="Times New Roman"/>
          <w:sz w:val="24"/>
          <w:szCs w:val="24"/>
        </w:rPr>
        <w:t xml:space="preserve">scenario would </w:t>
      </w:r>
      <w:r>
        <w:rPr>
          <w:rFonts w:ascii="Times New Roman" w:hAnsi="Times New Roman" w:cs="Times New Roman"/>
          <w:sz w:val="24"/>
          <w:szCs w:val="24"/>
        </w:rPr>
        <w:t>any alleged breach of duty by the Receivers give the Defendants a defence against the Bank’s claim against them.</w:t>
      </w:r>
    </w:p>
    <w:p w14:paraId="2936AD7C" w14:textId="77777777" w:rsidR="0067448D" w:rsidRPr="00333369" w:rsidRDefault="0067448D" w:rsidP="0067448D">
      <w:pPr>
        <w:pStyle w:val="ListParagraph"/>
        <w:spacing w:after="0" w:line="480" w:lineRule="auto"/>
        <w:ind w:left="1440"/>
        <w:jc w:val="both"/>
        <w:rPr>
          <w:rFonts w:ascii="Times New Roman" w:hAnsi="Times New Roman" w:cs="Times New Roman"/>
          <w:sz w:val="24"/>
          <w:szCs w:val="24"/>
        </w:rPr>
      </w:pPr>
    </w:p>
    <w:p w14:paraId="1252B213" w14:textId="179E3C8E" w:rsidR="004A08E2" w:rsidRDefault="0067448D"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It follows that this ground of appeal fails.</w:t>
      </w:r>
    </w:p>
    <w:p w14:paraId="2C85CCAF" w14:textId="77777777" w:rsidR="0067448D" w:rsidRDefault="0067448D" w:rsidP="009D4536">
      <w:pPr>
        <w:pStyle w:val="ListParagraph"/>
        <w:spacing w:after="0" w:line="480" w:lineRule="auto"/>
        <w:ind w:hanging="436"/>
        <w:jc w:val="both"/>
        <w:rPr>
          <w:rFonts w:ascii="Times New Roman" w:hAnsi="Times New Roman" w:cs="Times New Roman"/>
          <w:sz w:val="24"/>
          <w:szCs w:val="24"/>
        </w:rPr>
      </w:pPr>
    </w:p>
    <w:p w14:paraId="4375C1F2" w14:textId="26D6D03C" w:rsidR="0067448D" w:rsidRDefault="0067448D"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lastRenderedPageBreak/>
        <w:t>A related ground of appeal advanced by the First Defendant relates to the Bank’s alleged failure to account for the payment received from CBRE in settlement of the Bank’s claim against it. That complaint does not raise any cognisable issue in circumstances where the payment has now been fully credited against the Defendants’ liabilities to the Bank</w:t>
      </w:r>
      <w:r w:rsidR="001061E2">
        <w:rPr>
          <w:rFonts w:ascii="Times New Roman" w:hAnsi="Times New Roman" w:cs="Times New Roman"/>
          <w:sz w:val="24"/>
          <w:szCs w:val="24"/>
        </w:rPr>
        <w:t xml:space="preserve"> (aside entirely from the view we have previously expressed that there was, in fact, no legal duty on the Bank to make such a credit).</w:t>
      </w:r>
    </w:p>
    <w:p w14:paraId="2E5A8D81" w14:textId="77777777" w:rsidR="001061E2" w:rsidRPr="00BE660C" w:rsidRDefault="001061E2" w:rsidP="009D4536">
      <w:pPr>
        <w:pStyle w:val="ListParagraph"/>
        <w:ind w:hanging="436"/>
        <w:rPr>
          <w:rFonts w:ascii="Times New Roman" w:hAnsi="Times New Roman" w:cs="Times New Roman"/>
          <w:sz w:val="24"/>
          <w:szCs w:val="24"/>
        </w:rPr>
      </w:pPr>
    </w:p>
    <w:p w14:paraId="5EBA5BA4" w14:textId="77777777" w:rsidR="001061E2" w:rsidRDefault="001061E2" w:rsidP="009D4536">
      <w:pPr>
        <w:pStyle w:val="ListParagraph"/>
        <w:spacing w:after="0" w:line="480" w:lineRule="auto"/>
        <w:ind w:hanging="436"/>
        <w:jc w:val="both"/>
        <w:rPr>
          <w:rFonts w:ascii="Times New Roman" w:hAnsi="Times New Roman" w:cs="Times New Roman"/>
          <w:sz w:val="24"/>
          <w:szCs w:val="24"/>
        </w:rPr>
      </w:pPr>
    </w:p>
    <w:p w14:paraId="63260792" w14:textId="7F3B1323" w:rsidR="006475A2" w:rsidRPr="006475A2" w:rsidRDefault="006475A2"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Thus, all of the remaining grounds relied on by the First Defendant are rejected.</w:t>
      </w:r>
    </w:p>
    <w:p w14:paraId="2EA01124" w14:textId="57EE46FA" w:rsidR="0067448D" w:rsidRPr="009D4536" w:rsidRDefault="0067448D" w:rsidP="009D453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33C8EE9" w14:textId="0C40E279" w:rsidR="0067448D" w:rsidRDefault="0067448D" w:rsidP="0067448D">
      <w:pPr>
        <w:pStyle w:val="Heading1"/>
      </w:pPr>
      <w:r>
        <w:lastRenderedPageBreak/>
        <w:t>CONCLUSIONS AND ORDER</w:t>
      </w:r>
    </w:p>
    <w:p w14:paraId="027584F2" w14:textId="7179E385" w:rsidR="0067448D" w:rsidRDefault="0067448D" w:rsidP="00B8321D">
      <w:pPr>
        <w:spacing w:after="0" w:line="480" w:lineRule="auto"/>
      </w:pPr>
    </w:p>
    <w:p w14:paraId="3D0488A0" w14:textId="71FA397D" w:rsidR="00F200EA" w:rsidRDefault="00472BD9" w:rsidP="009D4536">
      <w:pPr>
        <w:pStyle w:val="ListParagraph"/>
        <w:numPr>
          <w:ilvl w:val="0"/>
          <w:numId w:val="1"/>
        </w:numPr>
        <w:spacing w:after="0" w:line="480" w:lineRule="auto"/>
        <w:ind w:hanging="436"/>
        <w:rPr>
          <w:rFonts w:ascii="Times New Roman" w:hAnsi="Times New Roman" w:cs="Times New Roman"/>
          <w:sz w:val="24"/>
          <w:szCs w:val="24"/>
        </w:rPr>
      </w:pPr>
      <w:r>
        <w:rPr>
          <w:rFonts w:ascii="Times New Roman" w:hAnsi="Times New Roman" w:cs="Times New Roman"/>
          <w:sz w:val="24"/>
          <w:szCs w:val="24"/>
        </w:rPr>
        <w:t>We summarise our conclusions as follows:</w:t>
      </w:r>
    </w:p>
    <w:p w14:paraId="277C68AC" w14:textId="77777777" w:rsidR="00F200EA" w:rsidRDefault="00F200EA" w:rsidP="009D4536">
      <w:pPr>
        <w:pStyle w:val="ListParagraph"/>
        <w:spacing w:after="0" w:line="480" w:lineRule="auto"/>
        <w:ind w:hanging="436"/>
        <w:rPr>
          <w:rFonts w:ascii="Times New Roman" w:hAnsi="Times New Roman" w:cs="Times New Roman"/>
          <w:sz w:val="24"/>
          <w:szCs w:val="24"/>
        </w:rPr>
      </w:pPr>
    </w:p>
    <w:p w14:paraId="42E18089" w14:textId="600CD16C" w:rsidR="00F200EA" w:rsidRDefault="00F200EA"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w:t>
      </w:r>
      <w:r w:rsidRPr="00F200EA">
        <w:rPr>
          <w:rFonts w:ascii="Times New Roman" w:hAnsi="Times New Roman" w:cs="Times New Roman"/>
          <w:sz w:val="24"/>
          <w:szCs w:val="24"/>
        </w:rPr>
        <w:t xml:space="preserve">he provisions in the </w:t>
      </w:r>
      <w:r>
        <w:rPr>
          <w:rFonts w:ascii="Times New Roman" w:hAnsi="Times New Roman" w:cs="Times New Roman"/>
          <w:sz w:val="24"/>
          <w:szCs w:val="24"/>
        </w:rPr>
        <w:t>CLA</w:t>
      </w:r>
      <w:r w:rsidRPr="00F200EA">
        <w:rPr>
          <w:rFonts w:ascii="Times New Roman" w:hAnsi="Times New Roman" w:cs="Times New Roman"/>
          <w:sz w:val="24"/>
          <w:szCs w:val="24"/>
        </w:rPr>
        <w:t xml:space="preserve"> governing concurrent wrongdoers are concerned exclusively with the allocation of responsibility between wrongdoers facing legal action for the recovery of damages.</w:t>
      </w:r>
    </w:p>
    <w:p w14:paraId="66CB0B47" w14:textId="77777777" w:rsidR="00F200EA" w:rsidRDefault="00F200EA" w:rsidP="009D4536">
      <w:pPr>
        <w:pStyle w:val="ListParagraph"/>
        <w:spacing w:after="0" w:line="480" w:lineRule="auto"/>
        <w:ind w:hanging="436"/>
        <w:rPr>
          <w:rFonts w:ascii="Times New Roman" w:hAnsi="Times New Roman" w:cs="Times New Roman"/>
          <w:sz w:val="24"/>
          <w:szCs w:val="24"/>
        </w:rPr>
      </w:pPr>
    </w:p>
    <w:p w14:paraId="1B9C9729" w14:textId="615FCEA4" w:rsidR="00F200EA" w:rsidRDefault="00F200EA" w:rsidP="009D4536">
      <w:pPr>
        <w:pStyle w:val="ListParagraph"/>
        <w:numPr>
          <w:ilvl w:val="0"/>
          <w:numId w:val="1"/>
        </w:numPr>
        <w:spacing w:after="0" w:line="480" w:lineRule="auto"/>
        <w:ind w:hanging="436"/>
        <w:jc w:val="both"/>
        <w:rPr>
          <w:rFonts w:ascii="Times New Roman" w:hAnsi="Times New Roman" w:cs="Times New Roman"/>
          <w:sz w:val="24"/>
          <w:szCs w:val="24"/>
        </w:rPr>
      </w:pPr>
      <w:r w:rsidRPr="00F200EA">
        <w:rPr>
          <w:rFonts w:ascii="Times New Roman" w:hAnsi="Times New Roman" w:cs="Times New Roman"/>
          <w:sz w:val="24"/>
          <w:szCs w:val="24"/>
        </w:rPr>
        <w:t>A claim for recovery of a debt is not an action for the recovery of damages, but an order in the nature of specific performance of a contractual obligation.  The law governing contribution as between or claims as against concurrent wrongdoers has never applied to an action for the recovery of a debt and nothing in the CLA changes that.</w:t>
      </w:r>
    </w:p>
    <w:p w14:paraId="3387661C" w14:textId="77777777" w:rsidR="00F200EA" w:rsidRDefault="00F200EA" w:rsidP="009D4536">
      <w:pPr>
        <w:pStyle w:val="ListParagraph"/>
        <w:spacing w:after="0" w:line="480" w:lineRule="auto"/>
        <w:ind w:hanging="436"/>
        <w:rPr>
          <w:rFonts w:ascii="Times New Roman" w:hAnsi="Times New Roman" w:cs="Times New Roman"/>
          <w:sz w:val="24"/>
          <w:szCs w:val="24"/>
        </w:rPr>
      </w:pPr>
    </w:p>
    <w:p w14:paraId="72D5E67A" w14:textId="7968A8D0" w:rsidR="00F200EA" w:rsidRDefault="00F200EA" w:rsidP="009D4536">
      <w:pPr>
        <w:pStyle w:val="ListParagraph"/>
        <w:numPr>
          <w:ilvl w:val="0"/>
          <w:numId w:val="1"/>
        </w:numPr>
        <w:spacing w:after="0" w:line="480" w:lineRule="auto"/>
        <w:ind w:hanging="436"/>
        <w:jc w:val="both"/>
        <w:rPr>
          <w:rFonts w:ascii="Times New Roman" w:hAnsi="Times New Roman" w:cs="Times New Roman"/>
          <w:sz w:val="24"/>
          <w:szCs w:val="24"/>
        </w:rPr>
      </w:pPr>
      <w:r w:rsidRPr="00F200EA">
        <w:rPr>
          <w:rFonts w:ascii="Times New Roman" w:hAnsi="Times New Roman" w:cs="Times New Roman"/>
          <w:sz w:val="24"/>
          <w:szCs w:val="24"/>
        </w:rPr>
        <w:t>Even if the CLA could be interpreted in such a way that an action for the recovery of a debt and an action for damages for breach of contract are to be equated so that debt recovery proceedings come within Part III CLA, a claim against a debtor on foot of a loan instrument and a claim against a valuer whose negligence is alleged to have resulted in the granting of the loan are not actions to recover the same ‘damage’. The debtor’s liability is for the whole of the debt while the valuer’s liability is (at most) only for the amount of the loan that the lender is unable to recover from the debtor.  The liability of the debtor and the debtor are not therefore concurrent.</w:t>
      </w:r>
    </w:p>
    <w:p w14:paraId="746D5EBF" w14:textId="77777777" w:rsidR="009D4536" w:rsidRPr="009D4536" w:rsidRDefault="009D4536" w:rsidP="009D4536">
      <w:pPr>
        <w:pStyle w:val="ListParagraph"/>
        <w:rPr>
          <w:rFonts w:ascii="Times New Roman" w:hAnsi="Times New Roman" w:cs="Times New Roman"/>
          <w:sz w:val="24"/>
          <w:szCs w:val="24"/>
        </w:rPr>
      </w:pPr>
    </w:p>
    <w:p w14:paraId="3F211D49" w14:textId="77777777" w:rsidR="009D4536" w:rsidRDefault="009D4536" w:rsidP="009D4536">
      <w:pPr>
        <w:pStyle w:val="ListParagraph"/>
        <w:spacing w:after="0" w:line="480" w:lineRule="auto"/>
        <w:jc w:val="both"/>
        <w:rPr>
          <w:rFonts w:ascii="Times New Roman" w:hAnsi="Times New Roman" w:cs="Times New Roman"/>
          <w:sz w:val="24"/>
          <w:szCs w:val="24"/>
        </w:rPr>
      </w:pPr>
    </w:p>
    <w:p w14:paraId="2F3967F1" w14:textId="4855477E" w:rsidR="00F200EA" w:rsidRDefault="00F200EA" w:rsidP="009D4536">
      <w:pPr>
        <w:pStyle w:val="ListParagraph"/>
        <w:numPr>
          <w:ilvl w:val="0"/>
          <w:numId w:val="1"/>
        </w:numPr>
        <w:spacing w:after="0" w:line="480" w:lineRule="auto"/>
        <w:ind w:hanging="436"/>
        <w:jc w:val="both"/>
        <w:rPr>
          <w:rFonts w:ascii="Times New Roman" w:hAnsi="Times New Roman" w:cs="Times New Roman"/>
          <w:sz w:val="24"/>
          <w:szCs w:val="24"/>
        </w:rPr>
      </w:pPr>
      <w:r w:rsidRPr="00F200EA">
        <w:rPr>
          <w:rFonts w:ascii="Times New Roman" w:hAnsi="Times New Roman" w:cs="Times New Roman"/>
          <w:sz w:val="24"/>
          <w:szCs w:val="24"/>
        </w:rPr>
        <w:lastRenderedPageBreak/>
        <w:t>We agree with the contention of the Bank that if the defendants wished to make a case that CBRE was a wrongdoer it was incumbent on them to adduce some expert evidence that that firm had acted negligently as alleged by the defendants.</w:t>
      </w:r>
    </w:p>
    <w:p w14:paraId="0AA4766E" w14:textId="77777777" w:rsidR="00F200EA" w:rsidRDefault="00F200EA" w:rsidP="009D4536">
      <w:pPr>
        <w:pStyle w:val="ListParagraph"/>
        <w:spacing w:after="0" w:line="480" w:lineRule="auto"/>
        <w:ind w:hanging="436"/>
        <w:rPr>
          <w:rFonts w:ascii="Times New Roman" w:hAnsi="Times New Roman" w:cs="Times New Roman"/>
          <w:sz w:val="24"/>
          <w:szCs w:val="24"/>
        </w:rPr>
      </w:pPr>
    </w:p>
    <w:p w14:paraId="6F88836A" w14:textId="41352781" w:rsidR="00F200EA" w:rsidRPr="00F200EA" w:rsidRDefault="00F200EA" w:rsidP="009D4536">
      <w:pPr>
        <w:pStyle w:val="ListParagraph"/>
        <w:numPr>
          <w:ilvl w:val="0"/>
          <w:numId w:val="1"/>
        </w:numPr>
        <w:spacing w:after="0" w:line="480" w:lineRule="auto"/>
        <w:ind w:hanging="436"/>
        <w:jc w:val="both"/>
        <w:rPr>
          <w:rFonts w:ascii="Times New Roman" w:hAnsi="Times New Roman" w:cs="Times New Roman"/>
          <w:sz w:val="24"/>
          <w:szCs w:val="24"/>
        </w:rPr>
      </w:pPr>
      <w:r w:rsidRPr="00F200EA">
        <w:rPr>
          <w:rFonts w:ascii="Times New Roman" w:hAnsi="Times New Roman" w:cs="Times New Roman"/>
          <w:iCs/>
          <w:color w:val="000000"/>
          <w:sz w:val="24"/>
          <w:szCs w:val="24"/>
        </w:rPr>
        <w:t>It is only if CBRE would have had a contribution liability in excess of €5 million that any reduction to the Bank’s claim against the Defendants would arise. In our view, there is absolutely no basis on which it could be suggested that CBRE could have any such liability to the Defendants. Indeed, we find it impossible to see a basis on which CBRE could be required to make any contribution to the Defendants, given that the effect of such contribution would be to relieve the Defendants of a contractual obligation freely undertaken by them and confer a windfall benefit on them insofar as they would be relieved, at least in part, from the obligation to repay monies of which they had had the benefit.</w:t>
      </w:r>
    </w:p>
    <w:p w14:paraId="422A73A4" w14:textId="77777777" w:rsidR="00F200EA" w:rsidRPr="00F200EA" w:rsidRDefault="00F200EA" w:rsidP="00F200EA"/>
    <w:p w14:paraId="26358AC6" w14:textId="1C317720" w:rsidR="00472BD9" w:rsidRPr="00472BD9" w:rsidRDefault="00472BD9" w:rsidP="00B8321D">
      <w:pPr>
        <w:pStyle w:val="Heading2"/>
      </w:pPr>
      <w:r w:rsidRPr="00472BD9">
        <w:t>The Non-CLA Issues – Second and Third Defendants</w:t>
      </w:r>
      <w:r w:rsidR="00B67C7D">
        <w:t>’</w:t>
      </w:r>
      <w:r>
        <w:t xml:space="preserve"> Appeal</w:t>
      </w:r>
    </w:p>
    <w:p w14:paraId="590A89D5" w14:textId="77777777" w:rsidR="00472BD9" w:rsidRDefault="00472BD9" w:rsidP="00B8321D">
      <w:pPr>
        <w:pStyle w:val="ListParagraph"/>
        <w:spacing w:after="0" w:line="480" w:lineRule="auto"/>
        <w:rPr>
          <w:rFonts w:ascii="Times New Roman" w:hAnsi="Times New Roman" w:cs="Times New Roman"/>
          <w:sz w:val="24"/>
          <w:szCs w:val="24"/>
        </w:rPr>
      </w:pPr>
    </w:p>
    <w:p w14:paraId="56AE7C4A" w14:textId="22AEFDBC" w:rsidR="00472BD9" w:rsidRDefault="00B8321D"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In our view, the Judge erred in concluding that the effect of clause 5(c) of the Mortgage required the prior written consent of the Bank to the sale of the Kilpeddar Lands. However, that has no impact on the conclusions ultimately reached by the Judge.</w:t>
      </w:r>
    </w:p>
    <w:p w14:paraId="2E48C926" w14:textId="77777777" w:rsidR="00B8321D" w:rsidRDefault="00B8321D" w:rsidP="009D4536">
      <w:pPr>
        <w:pStyle w:val="ListParagraph"/>
        <w:spacing w:after="0" w:line="480" w:lineRule="auto"/>
        <w:ind w:hanging="436"/>
        <w:jc w:val="both"/>
        <w:rPr>
          <w:rFonts w:ascii="Times New Roman" w:hAnsi="Times New Roman" w:cs="Times New Roman"/>
          <w:sz w:val="24"/>
          <w:szCs w:val="24"/>
        </w:rPr>
      </w:pPr>
    </w:p>
    <w:p w14:paraId="6739779F" w14:textId="0E72385E" w:rsidR="00B8321D" w:rsidRDefault="00B8321D"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The Compromise Agreement did not constitute a consent by the Bank to the sale of the Lands.</w:t>
      </w:r>
    </w:p>
    <w:p w14:paraId="4EE9249F" w14:textId="77777777" w:rsidR="00B8321D" w:rsidRDefault="00B8321D" w:rsidP="00B8321D">
      <w:pPr>
        <w:pStyle w:val="ListParagraph"/>
        <w:spacing w:after="0" w:line="480" w:lineRule="auto"/>
        <w:jc w:val="both"/>
        <w:rPr>
          <w:rFonts w:ascii="Times New Roman" w:hAnsi="Times New Roman" w:cs="Times New Roman"/>
          <w:sz w:val="24"/>
          <w:szCs w:val="24"/>
        </w:rPr>
      </w:pPr>
    </w:p>
    <w:p w14:paraId="10116A68" w14:textId="505335F3" w:rsidR="00472BD9" w:rsidRDefault="00B8321D"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lastRenderedPageBreak/>
        <w:t>No basis has been shown for impugning the Judge’s conclusion that the Heads of Agreement of 13 June 20</w:t>
      </w:r>
      <w:r w:rsidR="009852B7">
        <w:rPr>
          <w:rFonts w:ascii="Times New Roman" w:hAnsi="Times New Roman" w:cs="Times New Roman"/>
          <w:sz w:val="24"/>
          <w:szCs w:val="24"/>
        </w:rPr>
        <w:t>1</w:t>
      </w:r>
      <w:r>
        <w:rPr>
          <w:rFonts w:ascii="Times New Roman" w:hAnsi="Times New Roman" w:cs="Times New Roman"/>
          <w:sz w:val="24"/>
          <w:szCs w:val="24"/>
        </w:rPr>
        <w:t xml:space="preserve">4 did not constitute a binding agreement for the sale of the Kilpeddar Lands to Granja. We reject the argument that the Bank was not entitled to question the Heads of Agreement or somehow obliged to </w:t>
      </w:r>
      <w:r w:rsidR="009D4536">
        <w:rPr>
          <w:rFonts w:ascii="Times New Roman" w:hAnsi="Times New Roman" w:cs="Times New Roman"/>
          <w:sz w:val="24"/>
          <w:szCs w:val="24"/>
        </w:rPr>
        <w:t>concede</w:t>
      </w:r>
      <w:r>
        <w:rPr>
          <w:rFonts w:ascii="Times New Roman" w:hAnsi="Times New Roman" w:cs="Times New Roman"/>
          <w:sz w:val="24"/>
          <w:szCs w:val="24"/>
        </w:rPr>
        <w:t xml:space="preserve"> that it was a legitimate and enforceable agreement.</w:t>
      </w:r>
    </w:p>
    <w:p w14:paraId="20E4CE8F" w14:textId="77777777" w:rsidR="00B8321D" w:rsidRDefault="00B8321D" w:rsidP="009D4536">
      <w:pPr>
        <w:pStyle w:val="ListParagraph"/>
        <w:spacing w:after="0" w:line="480" w:lineRule="auto"/>
        <w:ind w:hanging="436"/>
        <w:jc w:val="both"/>
        <w:rPr>
          <w:rFonts w:ascii="Times New Roman" w:hAnsi="Times New Roman" w:cs="Times New Roman"/>
          <w:sz w:val="24"/>
          <w:szCs w:val="24"/>
        </w:rPr>
      </w:pPr>
    </w:p>
    <w:p w14:paraId="54E69842" w14:textId="52CB84CE" w:rsidR="00B8321D" w:rsidRDefault="001570A9"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We reject these Defendants’ contention that the Bank breached the Compromise Agreement by effecting a set-off of monies of the First Defendant in March 2013. We also reject the contention that the Bank rendered it impossible for the Defendants to comply with the Agreement by withdrawing its consent to the sale of the Kilpeddar Lands.</w:t>
      </w:r>
    </w:p>
    <w:p w14:paraId="64B2C27A" w14:textId="77777777" w:rsidR="001570A9" w:rsidRDefault="001570A9" w:rsidP="009D4536">
      <w:pPr>
        <w:pStyle w:val="ListParagraph"/>
        <w:spacing w:after="0" w:line="480" w:lineRule="auto"/>
        <w:ind w:hanging="436"/>
        <w:jc w:val="both"/>
        <w:rPr>
          <w:rFonts w:ascii="Times New Roman" w:hAnsi="Times New Roman" w:cs="Times New Roman"/>
          <w:sz w:val="24"/>
          <w:szCs w:val="24"/>
        </w:rPr>
      </w:pPr>
    </w:p>
    <w:p w14:paraId="3CB04ECB" w14:textId="3B3734EF" w:rsidR="001570A9" w:rsidRDefault="001570A9"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The Second and Third Defendants have failed to establish that the Bank breached the Compromise Agreement and the breaches of the Agreement by the Defendants on which the Bank relies cannot be attributed to any breach by the Bank.</w:t>
      </w:r>
    </w:p>
    <w:p w14:paraId="4FF69854" w14:textId="77777777" w:rsidR="001570A9" w:rsidRDefault="001570A9" w:rsidP="009D4536">
      <w:pPr>
        <w:pStyle w:val="ListParagraph"/>
        <w:spacing w:after="0" w:line="480" w:lineRule="auto"/>
        <w:ind w:hanging="436"/>
        <w:jc w:val="both"/>
        <w:rPr>
          <w:rFonts w:ascii="Times New Roman" w:hAnsi="Times New Roman" w:cs="Times New Roman"/>
          <w:sz w:val="24"/>
          <w:szCs w:val="24"/>
        </w:rPr>
      </w:pPr>
    </w:p>
    <w:p w14:paraId="6242E424" w14:textId="6D435C7D" w:rsidR="001570A9" w:rsidRDefault="001570A9"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The principle in </w:t>
      </w:r>
      <w:r w:rsidRPr="001570A9">
        <w:rPr>
          <w:rFonts w:ascii="Times New Roman" w:hAnsi="Times New Roman" w:cs="Times New Roman"/>
          <w:i/>
          <w:sz w:val="24"/>
          <w:szCs w:val="24"/>
        </w:rPr>
        <w:t>Allen v Allen</w:t>
      </w:r>
      <w:r>
        <w:rPr>
          <w:rFonts w:ascii="Times New Roman" w:hAnsi="Times New Roman" w:cs="Times New Roman"/>
          <w:sz w:val="24"/>
          <w:szCs w:val="24"/>
        </w:rPr>
        <w:t xml:space="preserve"> is not engaged in the circumstances here and the contention that the Judgment should be set aside because the Judge wrongly deployed findings made in respect of the First Defendant against the Second and Third Defendant is without basis.</w:t>
      </w:r>
    </w:p>
    <w:p w14:paraId="135D0549" w14:textId="626022A4" w:rsidR="00472BD9" w:rsidRDefault="00472BD9" w:rsidP="00B8321D">
      <w:pPr>
        <w:pStyle w:val="ListParagraph"/>
        <w:spacing w:after="0" w:line="480" w:lineRule="auto"/>
        <w:rPr>
          <w:rFonts w:ascii="Times New Roman" w:hAnsi="Times New Roman" w:cs="Times New Roman"/>
          <w:sz w:val="24"/>
          <w:szCs w:val="24"/>
        </w:rPr>
      </w:pPr>
    </w:p>
    <w:p w14:paraId="1D1DCEC3" w14:textId="1B91D8DF" w:rsidR="00F200EA" w:rsidRDefault="00F200EA" w:rsidP="00B8321D">
      <w:pPr>
        <w:pStyle w:val="ListParagraph"/>
        <w:spacing w:after="0" w:line="480" w:lineRule="auto"/>
        <w:rPr>
          <w:rFonts w:ascii="Times New Roman" w:hAnsi="Times New Roman" w:cs="Times New Roman"/>
          <w:sz w:val="24"/>
          <w:szCs w:val="24"/>
        </w:rPr>
      </w:pPr>
    </w:p>
    <w:p w14:paraId="4539A82C" w14:textId="77777777" w:rsidR="00F200EA" w:rsidRDefault="00F200EA" w:rsidP="00B8321D">
      <w:pPr>
        <w:pStyle w:val="ListParagraph"/>
        <w:spacing w:after="0" w:line="480" w:lineRule="auto"/>
        <w:rPr>
          <w:rFonts w:ascii="Times New Roman" w:hAnsi="Times New Roman" w:cs="Times New Roman"/>
          <w:sz w:val="24"/>
          <w:szCs w:val="24"/>
        </w:rPr>
      </w:pPr>
    </w:p>
    <w:p w14:paraId="3C23F0E1" w14:textId="30B3D527" w:rsidR="00472BD9" w:rsidRDefault="00472BD9" w:rsidP="00B8321D">
      <w:pPr>
        <w:pStyle w:val="Heading2"/>
      </w:pPr>
      <w:r w:rsidRPr="00472BD9">
        <w:lastRenderedPageBreak/>
        <w:t xml:space="preserve">The Non-CLA Issues – </w:t>
      </w:r>
      <w:r>
        <w:t>First D</w:t>
      </w:r>
      <w:r w:rsidRPr="00472BD9">
        <w:t>efendant</w:t>
      </w:r>
      <w:r w:rsidR="00B67C7D">
        <w:t>’</w:t>
      </w:r>
      <w:r>
        <w:t>s Appeal</w:t>
      </w:r>
    </w:p>
    <w:p w14:paraId="2EF4D131" w14:textId="77777777" w:rsidR="00472BD9" w:rsidRDefault="00472BD9" w:rsidP="00B8321D">
      <w:pPr>
        <w:pStyle w:val="ListParagraph"/>
        <w:spacing w:after="0" w:line="480" w:lineRule="auto"/>
        <w:rPr>
          <w:rFonts w:ascii="Times New Roman" w:hAnsi="Times New Roman" w:cs="Times New Roman"/>
          <w:sz w:val="24"/>
          <w:szCs w:val="24"/>
        </w:rPr>
      </w:pPr>
    </w:p>
    <w:p w14:paraId="07FF2F19" w14:textId="1033B534" w:rsidR="001570A9" w:rsidRDefault="004D2898"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We unhesitating</w:t>
      </w:r>
      <w:r w:rsidR="009D4536">
        <w:rPr>
          <w:rFonts w:ascii="Times New Roman" w:hAnsi="Times New Roman" w:cs="Times New Roman"/>
          <w:sz w:val="24"/>
          <w:szCs w:val="24"/>
        </w:rPr>
        <w:t>ly</w:t>
      </w:r>
      <w:r>
        <w:rPr>
          <w:rFonts w:ascii="Times New Roman" w:hAnsi="Times New Roman" w:cs="Times New Roman"/>
          <w:sz w:val="24"/>
          <w:szCs w:val="24"/>
        </w:rPr>
        <w:t xml:space="preserve"> reject the First Defendant’s complaints that he was wrongfully excluded from calling </w:t>
      </w:r>
      <w:r w:rsidR="00024FBA">
        <w:rPr>
          <w:rFonts w:ascii="Times New Roman" w:hAnsi="Times New Roman" w:cs="Times New Roman"/>
          <w:sz w:val="24"/>
          <w:szCs w:val="24"/>
        </w:rPr>
        <w:t>evidence either from employees of the Bank or from a graphologist.</w:t>
      </w:r>
    </w:p>
    <w:p w14:paraId="78C05739" w14:textId="77777777" w:rsidR="00024FBA" w:rsidRDefault="00024FBA" w:rsidP="009D4536">
      <w:pPr>
        <w:pStyle w:val="ListParagraph"/>
        <w:spacing w:after="0" w:line="480" w:lineRule="auto"/>
        <w:ind w:hanging="436"/>
        <w:jc w:val="both"/>
        <w:rPr>
          <w:rFonts w:ascii="Times New Roman" w:hAnsi="Times New Roman" w:cs="Times New Roman"/>
          <w:sz w:val="24"/>
          <w:szCs w:val="24"/>
        </w:rPr>
      </w:pPr>
    </w:p>
    <w:p w14:paraId="4CBD4F77" w14:textId="69086706" w:rsidR="00024FBA" w:rsidRDefault="00024FBA" w:rsidP="0093356E">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We are not persuaded that the Judge erred in concluding that the Bank was entitled to require Joint Selling Agents in relation to the proposed sale of the Kilpeddar Lands.</w:t>
      </w:r>
    </w:p>
    <w:p w14:paraId="026541BA" w14:textId="77777777" w:rsidR="0093356E" w:rsidRPr="0093356E" w:rsidRDefault="0093356E" w:rsidP="0093356E">
      <w:pPr>
        <w:spacing w:after="0" w:line="480" w:lineRule="auto"/>
        <w:jc w:val="both"/>
        <w:rPr>
          <w:rFonts w:ascii="Times New Roman" w:hAnsi="Times New Roman" w:cs="Times New Roman"/>
          <w:sz w:val="24"/>
          <w:szCs w:val="24"/>
        </w:rPr>
      </w:pPr>
    </w:p>
    <w:p w14:paraId="200F4BC3" w14:textId="3A335E07" w:rsidR="00472BD9" w:rsidRDefault="00024FBA" w:rsidP="0093356E">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The Judge was correct to refuse to review his Judgment when the First Defendant sought such a review following the conclusion of the hearing and the giving of the Judgment and Supplemental Judgment. In any event, the argument that the Defendants or any of them were deceived into signing the Compromise Agreement by the Bank’s failure to disclose to them that, as of that time, the Bank’s charge over the Kilpeddar Lands had not been registered in the Land Registry is devoid of merit.   </w:t>
      </w:r>
    </w:p>
    <w:p w14:paraId="5FAB0F87" w14:textId="77777777" w:rsidR="00024FBA" w:rsidRDefault="00024FBA" w:rsidP="009D4536">
      <w:pPr>
        <w:pStyle w:val="ListParagraph"/>
        <w:spacing w:after="0" w:line="480" w:lineRule="auto"/>
        <w:ind w:hanging="436"/>
        <w:jc w:val="both"/>
        <w:rPr>
          <w:rFonts w:ascii="Times New Roman" w:hAnsi="Times New Roman" w:cs="Times New Roman"/>
          <w:sz w:val="24"/>
          <w:szCs w:val="24"/>
        </w:rPr>
      </w:pPr>
    </w:p>
    <w:p w14:paraId="1E622929" w14:textId="207B0BAB" w:rsidR="00024FBA" w:rsidRDefault="00024FBA"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 xml:space="preserve">The Judge was entitled to find that the Bank was entitled to sue on the basis that it remained the legal owner of the facilities and the underlying security. No challenge was made to the Judge’s analysis of the effect of the Declaration of Trust of 12 February 2015. </w:t>
      </w:r>
    </w:p>
    <w:p w14:paraId="2B7B5C30" w14:textId="77777777" w:rsidR="00024FBA" w:rsidRDefault="00024FBA" w:rsidP="009D4536">
      <w:pPr>
        <w:pStyle w:val="ListParagraph"/>
        <w:spacing w:after="0" w:line="480" w:lineRule="auto"/>
        <w:ind w:hanging="436"/>
        <w:jc w:val="both"/>
        <w:rPr>
          <w:rFonts w:ascii="Times New Roman" w:hAnsi="Times New Roman" w:cs="Times New Roman"/>
          <w:sz w:val="24"/>
          <w:szCs w:val="24"/>
        </w:rPr>
      </w:pPr>
    </w:p>
    <w:p w14:paraId="14BFE32E" w14:textId="53CF9273" w:rsidR="00024FBA" w:rsidRDefault="00024FBA"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The First Defendant is not entitled to</w:t>
      </w:r>
      <w:r w:rsidR="003F6A06">
        <w:rPr>
          <w:rFonts w:ascii="Times New Roman" w:hAnsi="Times New Roman" w:cs="Times New Roman"/>
          <w:sz w:val="24"/>
          <w:szCs w:val="24"/>
        </w:rPr>
        <w:t xml:space="preserve"> raise issues relating to the redaction of the Declaration of Trust for the first time on appeal to this Court. </w:t>
      </w:r>
    </w:p>
    <w:p w14:paraId="5D3216D9" w14:textId="77777777" w:rsidR="003F6A06" w:rsidRDefault="003F6A06" w:rsidP="009D4536">
      <w:pPr>
        <w:pStyle w:val="ListParagraph"/>
        <w:spacing w:after="0" w:line="480" w:lineRule="auto"/>
        <w:ind w:hanging="436"/>
        <w:jc w:val="both"/>
        <w:rPr>
          <w:rFonts w:ascii="Times New Roman" w:hAnsi="Times New Roman" w:cs="Times New Roman"/>
          <w:sz w:val="24"/>
          <w:szCs w:val="24"/>
        </w:rPr>
      </w:pPr>
    </w:p>
    <w:p w14:paraId="2785D1D5" w14:textId="02DFD26B" w:rsidR="003F6A06" w:rsidRDefault="003F6A06"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contention that the Bank’s failure to join the Receivers as co-plaintiffs in the claim against CBRE gave rise to some defence against the Bank’s claim was specious and without merit. </w:t>
      </w:r>
    </w:p>
    <w:p w14:paraId="5F981482" w14:textId="77777777" w:rsidR="003F6A06" w:rsidRDefault="003F6A06" w:rsidP="009D4536">
      <w:pPr>
        <w:pStyle w:val="ListParagraph"/>
        <w:spacing w:after="0" w:line="480" w:lineRule="auto"/>
        <w:ind w:hanging="436"/>
        <w:jc w:val="both"/>
        <w:rPr>
          <w:rFonts w:ascii="Times New Roman" w:hAnsi="Times New Roman" w:cs="Times New Roman"/>
          <w:sz w:val="24"/>
          <w:szCs w:val="24"/>
        </w:rPr>
      </w:pPr>
    </w:p>
    <w:p w14:paraId="0E8441DF" w14:textId="324B00D5" w:rsidR="003F6A06" w:rsidRDefault="003F6A06" w:rsidP="009D4536">
      <w:pPr>
        <w:pStyle w:val="ListParagraph"/>
        <w:numPr>
          <w:ilvl w:val="0"/>
          <w:numId w:val="1"/>
        </w:numPr>
        <w:spacing w:after="0" w:line="480" w:lineRule="auto"/>
        <w:ind w:hanging="436"/>
        <w:jc w:val="both"/>
        <w:rPr>
          <w:rFonts w:ascii="Times New Roman" w:hAnsi="Times New Roman" w:cs="Times New Roman"/>
          <w:sz w:val="24"/>
          <w:szCs w:val="24"/>
        </w:rPr>
      </w:pPr>
      <w:r>
        <w:rPr>
          <w:rFonts w:ascii="Times New Roman" w:hAnsi="Times New Roman" w:cs="Times New Roman"/>
          <w:sz w:val="24"/>
          <w:szCs w:val="24"/>
        </w:rPr>
        <w:t>It follows from these conclusions that both of the appeals must be dismissed.</w:t>
      </w:r>
    </w:p>
    <w:p w14:paraId="026BC0A7" w14:textId="77777777" w:rsidR="00F200EA" w:rsidRDefault="00F200EA" w:rsidP="009D4536">
      <w:pPr>
        <w:pStyle w:val="ListParagraph"/>
        <w:spacing w:after="0" w:line="480" w:lineRule="auto"/>
        <w:ind w:hanging="436"/>
        <w:jc w:val="both"/>
        <w:rPr>
          <w:rFonts w:ascii="Times New Roman" w:hAnsi="Times New Roman" w:cs="Times New Roman"/>
          <w:sz w:val="24"/>
          <w:szCs w:val="24"/>
        </w:rPr>
      </w:pPr>
    </w:p>
    <w:p w14:paraId="7854D066" w14:textId="15C1E24C" w:rsidR="00F200EA" w:rsidRPr="00F200EA" w:rsidRDefault="00F200EA" w:rsidP="009D4536">
      <w:pPr>
        <w:pStyle w:val="ListParagraph"/>
        <w:numPr>
          <w:ilvl w:val="0"/>
          <w:numId w:val="1"/>
        </w:numPr>
        <w:spacing w:after="0" w:line="480" w:lineRule="auto"/>
        <w:ind w:hanging="436"/>
        <w:jc w:val="both"/>
        <w:rPr>
          <w:rFonts w:ascii="Times New Roman" w:hAnsi="Times New Roman" w:cs="Times New Roman"/>
          <w:sz w:val="24"/>
          <w:szCs w:val="24"/>
        </w:rPr>
      </w:pPr>
      <w:r w:rsidRPr="00F200EA">
        <w:rPr>
          <w:rFonts w:ascii="Times New Roman" w:hAnsi="Times New Roman" w:cs="Times New Roman"/>
          <w:sz w:val="24"/>
          <w:szCs w:val="24"/>
        </w:rPr>
        <w:t>In light of the conclusions we have reached and the failure of the appeals, it is our provisional view that the unsuccessful appellants should have to pay the costs of the Bank. If either the First Defendant or the Second and Third Defendants wish to contend for any different order, they will have 21 days in which to make a written submission (not to exceed 1,500 words) setting out the grounds for objecting to the proposed order and the Bank will then have 7 days in which to respond (again, subject to a maximum word count of 1,500 words)</w:t>
      </w:r>
      <w:r>
        <w:rPr>
          <w:rFonts w:ascii="Times New Roman" w:hAnsi="Times New Roman" w:cs="Times New Roman"/>
          <w:sz w:val="24"/>
          <w:szCs w:val="24"/>
        </w:rPr>
        <w:t xml:space="preserve">. In that event, the Court will consider the submissions and issue a written ruling. </w:t>
      </w:r>
    </w:p>
    <w:p w14:paraId="1D3FC3E6" w14:textId="125F6CC3" w:rsidR="00F200EA" w:rsidRDefault="00F200EA" w:rsidP="00F200EA">
      <w:pPr>
        <w:pStyle w:val="ListParagraph"/>
        <w:spacing w:after="0" w:line="480" w:lineRule="auto"/>
        <w:jc w:val="both"/>
        <w:rPr>
          <w:rFonts w:ascii="Times New Roman" w:hAnsi="Times New Roman" w:cs="Times New Roman"/>
          <w:sz w:val="24"/>
          <w:szCs w:val="24"/>
        </w:rPr>
      </w:pPr>
    </w:p>
    <w:p w14:paraId="71DC3A4C" w14:textId="65EB1C83" w:rsidR="00F200EA" w:rsidRPr="00F200EA" w:rsidRDefault="00F200EA" w:rsidP="00F200EA">
      <w:pPr>
        <w:pStyle w:val="ListParagraph"/>
        <w:spacing w:after="0" w:line="480" w:lineRule="auto"/>
        <w:jc w:val="both"/>
        <w:rPr>
          <w:rFonts w:ascii="Times New Roman" w:hAnsi="Times New Roman" w:cs="Times New Roman"/>
          <w:i/>
          <w:sz w:val="24"/>
          <w:szCs w:val="24"/>
        </w:rPr>
      </w:pPr>
      <w:r w:rsidRPr="00F200EA">
        <w:rPr>
          <w:rFonts w:ascii="Times New Roman" w:hAnsi="Times New Roman" w:cs="Times New Roman"/>
          <w:i/>
          <w:sz w:val="24"/>
          <w:szCs w:val="24"/>
        </w:rPr>
        <w:t>Pilkington J has indicated her agreement with this judgment and the orders proposed.</w:t>
      </w:r>
    </w:p>
    <w:p w14:paraId="2151A1D9" w14:textId="77777777" w:rsidR="00472BD9" w:rsidRDefault="00472BD9" w:rsidP="00B8321D">
      <w:pPr>
        <w:pStyle w:val="ListParagraph"/>
        <w:spacing w:after="0" w:line="480" w:lineRule="auto"/>
        <w:rPr>
          <w:rFonts w:ascii="Times New Roman" w:hAnsi="Times New Roman" w:cs="Times New Roman"/>
          <w:sz w:val="24"/>
          <w:szCs w:val="24"/>
        </w:rPr>
      </w:pPr>
    </w:p>
    <w:p w14:paraId="2841CF48" w14:textId="77777777" w:rsidR="0067448D" w:rsidRPr="0067448D" w:rsidRDefault="0067448D" w:rsidP="0067448D">
      <w:pPr>
        <w:spacing w:after="0" w:line="480" w:lineRule="auto"/>
      </w:pPr>
    </w:p>
    <w:sectPr w:rsidR="0067448D" w:rsidRPr="0067448D" w:rsidSect="003C6587">
      <w:headerReference w:type="default" r:id="rId9"/>
      <w:headerReference w:type="first" r:id="rId10"/>
      <w:pgSz w:w="11906" w:h="16838"/>
      <w:pgMar w:top="1814" w:right="1440" w:bottom="181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7E5EE" w14:textId="77777777" w:rsidR="00DB5E1E" w:rsidRDefault="00DB5E1E" w:rsidP="00C530D9">
      <w:pPr>
        <w:spacing w:after="0" w:line="240" w:lineRule="auto"/>
      </w:pPr>
      <w:r>
        <w:separator/>
      </w:r>
    </w:p>
  </w:endnote>
  <w:endnote w:type="continuationSeparator" w:id="0">
    <w:p w14:paraId="16C97090" w14:textId="77777777" w:rsidR="00DB5E1E" w:rsidRDefault="00DB5E1E" w:rsidP="00C53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A50B5" w14:textId="77777777" w:rsidR="00DB5E1E" w:rsidRDefault="00DB5E1E" w:rsidP="00C530D9">
      <w:pPr>
        <w:spacing w:after="0" w:line="240" w:lineRule="auto"/>
      </w:pPr>
      <w:r>
        <w:separator/>
      </w:r>
    </w:p>
  </w:footnote>
  <w:footnote w:type="continuationSeparator" w:id="0">
    <w:p w14:paraId="2F1D8D14" w14:textId="77777777" w:rsidR="00DB5E1E" w:rsidRDefault="00DB5E1E" w:rsidP="00C530D9">
      <w:pPr>
        <w:spacing w:after="0" w:line="240" w:lineRule="auto"/>
      </w:pPr>
      <w:r>
        <w:continuationSeparator/>
      </w:r>
    </w:p>
  </w:footnote>
  <w:footnote w:id="1">
    <w:p w14:paraId="73083356" w14:textId="10824B23" w:rsidR="00DB5E1E" w:rsidRDefault="00DB5E1E" w:rsidP="00AD23B6">
      <w:pPr>
        <w:pStyle w:val="FootnoteText"/>
      </w:pPr>
      <w:r>
        <w:rPr>
          <w:rStyle w:val="FootnoteReference"/>
        </w:rPr>
        <w:footnoteRef/>
      </w:r>
      <w:r>
        <w:t xml:space="preserve"> There were two other parties to the Compromise Agreement. They appear to have been joined because they had an interest in certain of the properties which the Agreement required to be sold and in order to ensure that the commitments given to the Bank could be enforced. It will not be necessary to say anything further about those parties here.</w:t>
      </w:r>
    </w:p>
  </w:footnote>
  <w:footnote w:id="2">
    <w:p w14:paraId="325C84B8" w14:textId="586EE8F2" w:rsidR="00DB5E1E" w:rsidRPr="008F789D" w:rsidRDefault="00DB5E1E" w:rsidP="00AD23B6">
      <w:pPr>
        <w:pStyle w:val="FootnoteText"/>
      </w:pPr>
      <w:r w:rsidRPr="008F789D">
        <w:rPr>
          <w:rStyle w:val="FootnoteReference"/>
          <w:rFonts w:cs="Times New Roman"/>
        </w:rPr>
        <w:footnoteRef/>
      </w:r>
      <w:r w:rsidRPr="008F789D">
        <w:t xml:space="preserve"> The settlement amount paid</w:t>
      </w:r>
      <w:r>
        <w:t xml:space="preserve"> by</w:t>
      </w:r>
      <w:r w:rsidRPr="008F789D">
        <w:t xml:space="preserve"> CBRE </w:t>
      </w:r>
      <w:r>
        <w:t>totalled €5,350,000 but €350,000 was in respect of legal costs.</w:t>
      </w:r>
    </w:p>
  </w:footnote>
  <w:footnote w:id="3">
    <w:p w14:paraId="71415FB4" w14:textId="513DF4E1" w:rsidR="00DB5E1E" w:rsidRDefault="00DB5E1E" w:rsidP="00AD23B6">
      <w:pPr>
        <w:pStyle w:val="FootnoteText"/>
      </w:pPr>
      <w:r>
        <w:rPr>
          <w:rStyle w:val="FootnoteReference"/>
        </w:rPr>
        <w:footnoteRef/>
      </w:r>
      <w:r>
        <w:t xml:space="preserve"> Transcript of 16 July 2020, at page 30.</w:t>
      </w:r>
    </w:p>
  </w:footnote>
  <w:footnote w:id="4">
    <w:p w14:paraId="05546D45" w14:textId="7E04FA6D" w:rsidR="00DB5E1E" w:rsidRPr="00996ADD" w:rsidRDefault="00DB5E1E" w:rsidP="00495078">
      <w:pPr>
        <w:pStyle w:val="ListParagraph"/>
        <w:spacing w:after="0" w:line="480" w:lineRule="auto"/>
        <w:ind w:left="0"/>
        <w:jc w:val="both"/>
        <w:rPr>
          <w:rFonts w:ascii="Times New Roman" w:hAnsi="Times New Roman" w:cs="Times New Roman"/>
          <w:sz w:val="20"/>
          <w:szCs w:val="20"/>
        </w:rPr>
      </w:pPr>
      <w:r w:rsidRPr="00495078">
        <w:rPr>
          <w:rStyle w:val="FootnoteReference"/>
          <w:sz w:val="20"/>
          <w:szCs w:val="20"/>
        </w:rPr>
        <w:footnoteRef/>
      </w:r>
      <w:r w:rsidRPr="00495078">
        <w:rPr>
          <w:sz w:val="20"/>
          <w:szCs w:val="20"/>
        </w:rPr>
        <w:t xml:space="preserve"> </w:t>
      </w:r>
      <w:r w:rsidRPr="00996ADD">
        <w:rPr>
          <w:rFonts w:ascii="Times New Roman" w:hAnsi="Times New Roman" w:cs="Times New Roman"/>
          <w:sz w:val="20"/>
          <w:szCs w:val="20"/>
        </w:rPr>
        <w:t>Rule 2(2) provides that  ‘</w:t>
      </w:r>
      <w:r w:rsidRPr="00996ADD">
        <w:rPr>
          <w:rFonts w:ascii="Times New Roman" w:hAnsi="Times New Roman" w:cs="Times New Roman"/>
          <w:i/>
          <w:sz w:val="20"/>
          <w:szCs w:val="20"/>
        </w:rPr>
        <w:t>The powers of the Court of Appeal may be exercised by the Court of Appeal, notwithstanding that the notice of appeal asks that part only of the decision of the court below be reversed or varied, and those powers may also be exercised in favour of all or any of the respondents or parties, although particular respondents or parties may not have appealed from or complained of the decision</w:t>
      </w:r>
      <w:r>
        <w:rPr>
          <w:rFonts w:ascii="Times New Roman" w:hAnsi="Times New Roman" w:cs="Times New Roman"/>
          <w:i/>
          <w:sz w:val="20"/>
          <w:szCs w:val="20"/>
        </w:rPr>
        <w:t>’</w:t>
      </w:r>
      <w:r w:rsidRPr="00996ADD">
        <w:rPr>
          <w:rFonts w:ascii="Times New Roman" w:hAnsi="Times New Roman" w:cs="Times New Roman"/>
          <w:sz w:val="20"/>
          <w:szCs w:val="20"/>
        </w:rPr>
        <w:t xml:space="preserve">.  </w:t>
      </w:r>
    </w:p>
    <w:p w14:paraId="045A0A53" w14:textId="09447AE3" w:rsidR="00DB5E1E" w:rsidRPr="00996ADD" w:rsidRDefault="00DB5E1E">
      <w:pPr>
        <w:pStyle w:val="FootnoteText"/>
        <w:rPr>
          <w:rFonts w:cs="Times New Roman"/>
        </w:rPr>
      </w:pPr>
    </w:p>
  </w:footnote>
  <w:footnote w:id="5">
    <w:p w14:paraId="3E5A7CA4" w14:textId="77777777" w:rsidR="00DB5E1E" w:rsidRPr="00A45B15" w:rsidRDefault="00DB5E1E" w:rsidP="00B94296">
      <w:pPr>
        <w:pStyle w:val="ListParagraph"/>
        <w:spacing w:after="0" w:line="480" w:lineRule="auto"/>
        <w:ind w:left="0"/>
        <w:jc w:val="both"/>
        <w:rPr>
          <w:rFonts w:ascii="Times New Roman" w:hAnsi="Times New Roman" w:cs="Times New Roman"/>
        </w:rPr>
      </w:pPr>
      <w:r w:rsidRPr="00A45B15">
        <w:rPr>
          <w:rStyle w:val="FootnoteReference"/>
        </w:rPr>
        <w:footnoteRef/>
      </w:r>
      <w:r w:rsidRPr="00A45B15">
        <w:t xml:space="preserve"> </w:t>
      </w:r>
      <w:r w:rsidRPr="006A50CF">
        <w:rPr>
          <w:rFonts w:ascii="Times New Roman" w:hAnsi="Times New Roman" w:cs="Times New Roman"/>
          <w:sz w:val="20"/>
          <w:szCs w:val="20"/>
        </w:rPr>
        <w:t xml:space="preserve">Unusually in construing a statute in this jurisdiction, Williams’ analysis in </w:t>
      </w:r>
      <w:r w:rsidRPr="006A50CF">
        <w:rPr>
          <w:rFonts w:ascii="Times New Roman" w:hAnsi="Times New Roman" w:cs="Times New Roman"/>
          <w:i/>
          <w:sz w:val="20"/>
          <w:szCs w:val="20"/>
        </w:rPr>
        <w:t xml:space="preserve">Joint Torts and Contributory Negligence </w:t>
      </w:r>
      <w:r w:rsidRPr="006A50CF">
        <w:rPr>
          <w:rFonts w:ascii="Times New Roman" w:hAnsi="Times New Roman" w:cs="Times New Roman"/>
          <w:sz w:val="20"/>
          <w:szCs w:val="20"/>
        </w:rPr>
        <w:t xml:space="preserve">is regularly referred to in interpreting the 1961 Act, and most recently was heavily relied upon by O’Donnell J. in his judgment in </w:t>
      </w:r>
      <w:r w:rsidRPr="006A50CF">
        <w:rPr>
          <w:rFonts w:ascii="Times New Roman" w:hAnsi="Times New Roman" w:cs="Times New Roman"/>
          <w:i/>
          <w:sz w:val="20"/>
          <w:szCs w:val="20"/>
        </w:rPr>
        <w:t xml:space="preserve">Defender.  </w:t>
      </w:r>
      <w:r w:rsidRPr="006A50CF">
        <w:rPr>
          <w:rFonts w:ascii="Times New Roman" w:hAnsi="Times New Roman" w:cs="Times New Roman"/>
          <w:sz w:val="20"/>
          <w:szCs w:val="20"/>
        </w:rPr>
        <w:t>The CLA very closely follows the draft statute prepared by Williams and appended to the substantive text of this work.</w:t>
      </w:r>
    </w:p>
    <w:p w14:paraId="306C6AA8" w14:textId="77777777" w:rsidR="00DB5E1E" w:rsidRDefault="00DB5E1E" w:rsidP="00AD23B6">
      <w:pPr>
        <w:pStyle w:val="FootnoteText"/>
      </w:pPr>
    </w:p>
  </w:footnote>
  <w:footnote w:id="6">
    <w:p w14:paraId="4A448905" w14:textId="579560BE" w:rsidR="00DB5E1E" w:rsidRPr="00A465A1" w:rsidRDefault="00DB5E1E" w:rsidP="00AD23B6">
      <w:pPr>
        <w:pStyle w:val="FootnoteText"/>
      </w:pPr>
      <w:r w:rsidRPr="00A465A1">
        <w:rPr>
          <w:rStyle w:val="FootnoteReference"/>
          <w:rFonts w:cs="Times New Roman"/>
        </w:rPr>
        <w:footnoteRef/>
      </w:r>
      <w:r w:rsidRPr="00A465A1">
        <w:t xml:space="preserve"> In </w:t>
      </w:r>
      <w:r>
        <w:t>‘</w:t>
      </w:r>
      <w:r w:rsidRPr="00A465A1">
        <w:t>Joint Torts and Concurrent Wrongdoers</w:t>
      </w:r>
      <w:r>
        <w:t>’</w:t>
      </w:r>
      <w:r w:rsidRPr="00A465A1">
        <w:t xml:space="preserve"> Williams says of a similar provision appearing in his draft statute ‘The section means that if D1 converts P’s property, and as a result of his sale or gift the property comes directly or indirectly into the hands of D2 who restores it to P, D2 has a claim for contribution (probably for indemnity) against D1 to the same extent as if he had paid damages for conversion, and this whether D2 committed conversion or not’ (at p.510).</w:t>
      </w:r>
    </w:p>
  </w:footnote>
  <w:footnote w:id="7">
    <w:p w14:paraId="36010CA7" w14:textId="116A8CF6" w:rsidR="00DB5E1E" w:rsidRDefault="00DB5E1E">
      <w:pPr>
        <w:pStyle w:val="FootnoteText"/>
      </w:pPr>
      <w:r>
        <w:rPr>
          <w:rStyle w:val="FootnoteReference"/>
        </w:rPr>
        <w:footnoteRef/>
      </w:r>
      <w:r>
        <w:t xml:space="preserve"> See paragraph 6 of the Bank’s Replies to Particulars of 12 August 2014 in the CBRE proceedings</w:t>
      </w:r>
    </w:p>
  </w:footnote>
  <w:footnote w:id="8">
    <w:p w14:paraId="25C074C5" w14:textId="0CF910CF" w:rsidR="00DB5E1E" w:rsidRDefault="00DB5E1E" w:rsidP="00AD23B6">
      <w:pPr>
        <w:pStyle w:val="FootnoteText"/>
      </w:pPr>
      <w:r>
        <w:rPr>
          <w:rStyle w:val="FootnoteReference"/>
        </w:rPr>
        <w:footnoteRef/>
      </w:r>
      <w:r>
        <w:t xml:space="preserve"> Core Booklet 1, tabs 16 &amp; 17)</w:t>
      </w:r>
    </w:p>
  </w:footnote>
  <w:footnote w:id="9">
    <w:p w14:paraId="5AFE72D0" w14:textId="5D7B361D" w:rsidR="00DB5E1E" w:rsidRDefault="00DB5E1E" w:rsidP="00AD23B6">
      <w:pPr>
        <w:pStyle w:val="FootnoteText"/>
      </w:pPr>
      <w:r>
        <w:rPr>
          <w:rStyle w:val="FootnoteReference"/>
        </w:rPr>
        <w:footnoteRef/>
      </w:r>
      <w:r>
        <w:t xml:space="preserve"> See eg letter of 22 May 2014 (Core Booklet 1, tab 50)</w:t>
      </w:r>
    </w:p>
  </w:footnote>
  <w:footnote w:id="10">
    <w:p w14:paraId="39FA14EE" w14:textId="4AA44E92" w:rsidR="00DB5E1E" w:rsidRDefault="00DB5E1E" w:rsidP="00AD23B6">
      <w:pPr>
        <w:pStyle w:val="FootnoteText"/>
      </w:pPr>
      <w:r>
        <w:rPr>
          <w:rStyle w:val="FootnoteReference"/>
        </w:rPr>
        <w:footnoteRef/>
      </w:r>
      <w:r>
        <w:t xml:space="preserve"> See eg letter of 28 May 2014 (Core Booklet 1, tab 54)</w:t>
      </w:r>
    </w:p>
  </w:footnote>
  <w:footnote w:id="11">
    <w:p w14:paraId="2AB37B46" w14:textId="73C5CB3C" w:rsidR="00DB5E1E" w:rsidRDefault="00DB5E1E" w:rsidP="00AD23B6">
      <w:pPr>
        <w:pStyle w:val="FootnoteText"/>
      </w:pPr>
      <w:r>
        <w:rPr>
          <w:rStyle w:val="FootnoteReference"/>
        </w:rPr>
        <w:footnoteRef/>
      </w:r>
      <w:r>
        <w:t xml:space="preserve"> Transcript of the Granja proceedings, 19 July 2018, page 68.</w:t>
      </w:r>
    </w:p>
  </w:footnote>
  <w:footnote w:id="12">
    <w:p w14:paraId="5E7BF5AE" w14:textId="7338D0E2" w:rsidR="00DB5E1E" w:rsidRDefault="00DB5E1E" w:rsidP="00AD23B6">
      <w:pPr>
        <w:pStyle w:val="FootnoteText"/>
      </w:pPr>
      <w:r>
        <w:rPr>
          <w:rStyle w:val="FootnoteReference"/>
        </w:rPr>
        <w:footnoteRef/>
      </w:r>
      <w:r>
        <w:t xml:space="preserve"> The Kilpeddar Lands were listed in Part One of the Second Schedule and thus were one of the properties within the scope of clause 3.6. The “</w:t>
      </w:r>
      <w:r w:rsidRPr="004822FE">
        <w:rPr>
          <w:i/>
        </w:rPr>
        <w:t>Site</w:t>
      </w:r>
      <w:r>
        <w:t>” is also the subject of specific provision in clause 3.7, which provides for sale not later than “</w:t>
      </w:r>
      <w:r w:rsidRPr="009048C0">
        <w:rPr>
          <w:i/>
        </w:rPr>
        <w:t>Target Date 2</w:t>
      </w:r>
      <w:r>
        <w:t>” which was 31 July 2014.</w:t>
      </w:r>
    </w:p>
  </w:footnote>
  <w:footnote w:id="13">
    <w:p w14:paraId="527606F4" w14:textId="7F8C0804" w:rsidR="00DB5E1E" w:rsidRDefault="00DB5E1E" w:rsidP="00AD23B6">
      <w:pPr>
        <w:pStyle w:val="FootnoteText"/>
      </w:pPr>
      <w:r>
        <w:rPr>
          <w:rStyle w:val="FootnoteReference"/>
        </w:rPr>
        <w:footnoteRef/>
      </w:r>
      <w:r>
        <w:t xml:space="preserve"> Letter of 17 November from the Receivers to Cathal L Flynn &amp; Co, solicitors for Granja (Core Booklet 2, tab 104).</w:t>
      </w:r>
    </w:p>
  </w:footnote>
  <w:footnote w:id="14">
    <w:p w14:paraId="0FB52764" w14:textId="266E5FD1" w:rsidR="00DB5E1E" w:rsidRDefault="00DB5E1E" w:rsidP="00AD23B6">
      <w:pPr>
        <w:pStyle w:val="FootnoteText"/>
      </w:pPr>
      <w:r>
        <w:rPr>
          <w:rStyle w:val="FootnoteReference"/>
        </w:rPr>
        <w:footnoteRef/>
      </w:r>
      <w:r>
        <w:t xml:space="preserve"> Transcript of 14 June 2018, page 17.</w:t>
      </w:r>
    </w:p>
  </w:footnote>
  <w:footnote w:id="15">
    <w:p w14:paraId="00B19D84" w14:textId="3CF30F0F" w:rsidR="00DB5E1E" w:rsidRDefault="00DB5E1E" w:rsidP="00AD23B6">
      <w:pPr>
        <w:pStyle w:val="FootnoteText"/>
      </w:pPr>
      <w:r>
        <w:rPr>
          <w:rStyle w:val="FootnoteReference"/>
        </w:rPr>
        <w:footnoteRef/>
      </w:r>
      <w:r>
        <w:t xml:space="preserve"> Day 15, page 28.</w:t>
      </w:r>
    </w:p>
  </w:footnote>
  <w:footnote w:id="16">
    <w:p w14:paraId="5951F0CE" w14:textId="7D657090" w:rsidR="00DB5E1E" w:rsidRDefault="00DB5E1E" w:rsidP="00AD23B6">
      <w:pPr>
        <w:pStyle w:val="FootnoteText"/>
      </w:pPr>
      <w:r>
        <w:rPr>
          <w:rStyle w:val="FootnoteReference"/>
        </w:rPr>
        <w:footnoteRef/>
      </w:r>
      <w:r>
        <w:t xml:space="preserve"> Letter of 23 July 2007 (Core Book 1, tab 5)</w:t>
      </w:r>
    </w:p>
  </w:footnote>
  <w:footnote w:id="17">
    <w:p w14:paraId="0FB445F4" w14:textId="54C8F158" w:rsidR="00DB5E1E" w:rsidRDefault="00DB5E1E" w:rsidP="00AD23B6">
      <w:pPr>
        <w:pStyle w:val="FootnoteText"/>
      </w:pPr>
      <w:r>
        <w:rPr>
          <w:rStyle w:val="FootnoteReference"/>
        </w:rPr>
        <w:footnoteRef/>
      </w:r>
      <w:r>
        <w:t xml:space="preserve"> Email of 28 May 2013 from Gallagher &amp; Co to the Bank (Core Book 1, tab 10)</w:t>
      </w:r>
    </w:p>
  </w:footnote>
  <w:footnote w:id="18">
    <w:p w14:paraId="0D85DF12" w14:textId="31A288D7" w:rsidR="00DB5E1E" w:rsidRDefault="00DB5E1E" w:rsidP="00AD23B6">
      <w:pPr>
        <w:pStyle w:val="FootnoteText"/>
      </w:pPr>
      <w:r>
        <w:rPr>
          <w:rStyle w:val="FootnoteReference"/>
        </w:rPr>
        <w:footnoteRef/>
      </w:r>
      <w:r>
        <w:t xml:space="preserve"> Email of 29 May 2013 from the Bank to Gallagher &amp; Co (</w:t>
      </w:r>
      <w:r w:rsidRPr="00900A91">
        <w:rPr>
          <w:i/>
        </w:rPr>
        <w:t>ibid</w:t>
      </w:r>
      <w:r>
        <w:t>)</w:t>
      </w:r>
    </w:p>
  </w:footnote>
  <w:footnote w:id="19">
    <w:p w14:paraId="6E473905" w14:textId="15733038" w:rsidR="00DB5E1E" w:rsidRPr="00AD23B6" w:rsidRDefault="00DB5E1E" w:rsidP="00AD23B6">
      <w:pPr>
        <w:pStyle w:val="FootnoteText"/>
      </w:pPr>
      <w:r w:rsidRPr="00AD23B6">
        <w:rPr>
          <w:rStyle w:val="FootnoteReference"/>
        </w:rPr>
        <w:footnoteRef/>
      </w:r>
      <w:r w:rsidRPr="00AD23B6">
        <w:t xml:space="preserve"> </w:t>
      </w:r>
      <w:r>
        <w:t>In</w:t>
      </w:r>
      <w:r w:rsidRPr="00AD23B6">
        <w:t xml:space="preserve"> July 2014 (after the Bank had appointed receivers over properties of the First Defendant in London) English solicitors acting for the First Defendant wrote to the Bank to say that they were “astounded” to note</w:t>
      </w:r>
      <w:r>
        <w:t xml:space="preserve"> the set-off that had been effected in March 2013 and making the self-same complaints as had been raised in May 2013 and addressed by the Bank. </w:t>
      </w:r>
    </w:p>
  </w:footnote>
  <w:footnote w:id="20">
    <w:p w14:paraId="4A2C7B94" w14:textId="26142749" w:rsidR="00DB5E1E" w:rsidRDefault="00DB5E1E" w:rsidP="00AD23B6">
      <w:pPr>
        <w:pStyle w:val="FootnoteText"/>
      </w:pPr>
      <w:r>
        <w:rPr>
          <w:rStyle w:val="FootnoteReference"/>
        </w:rPr>
        <w:footnoteRef/>
      </w:r>
      <w:r>
        <w:t xml:space="preserve"> Day 15, page 146.</w:t>
      </w:r>
    </w:p>
  </w:footnote>
  <w:footnote w:id="21">
    <w:p w14:paraId="0BA9887A" w14:textId="25CC96B6" w:rsidR="00DB5E1E" w:rsidRDefault="00DB5E1E" w:rsidP="00AD23B6">
      <w:pPr>
        <w:pStyle w:val="FootnoteText"/>
      </w:pPr>
      <w:r>
        <w:rPr>
          <w:rStyle w:val="FootnoteReference"/>
        </w:rPr>
        <w:footnoteRef/>
      </w:r>
      <w:r>
        <w:t xml:space="preserve"> Day 15, page 1689.</w:t>
      </w:r>
    </w:p>
  </w:footnote>
  <w:footnote w:id="22">
    <w:p w14:paraId="43C6F760" w14:textId="27F1ECED" w:rsidR="00DB5E1E" w:rsidRDefault="00DB5E1E" w:rsidP="00AD23B6">
      <w:pPr>
        <w:pStyle w:val="FootnoteText"/>
      </w:pPr>
      <w:r>
        <w:rPr>
          <w:rStyle w:val="FootnoteReference"/>
        </w:rPr>
        <w:footnoteRef/>
      </w:r>
      <w:r>
        <w:t xml:space="preserve"> Day 1 of Appeal hearing, at page 103. </w:t>
      </w:r>
    </w:p>
  </w:footnote>
  <w:footnote w:id="23">
    <w:p w14:paraId="4DD9F691" w14:textId="0326264D" w:rsidR="00DB5E1E" w:rsidRDefault="00DB5E1E" w:rsidP="00AD23B6">
      <w:pPr>
        <w:pStyle w:val="FootnoteText"/>
      </w:pPr>
      <w:r>
        <w:rPr>
          <w:rStyle w:val="FootnoteReference"/>
        </w:rPr>
        <w:footnoteRef/>
      </w:r>
      <w:r>
        <w:t xml:space="preserve"> </w:t>
      </w:r>
      <w:r w:rsidRPr="008F71E7">
        <w:t>Ibid</w:t>
      </w:r>
      <w:r>
        <w:t>.</w:t>
      </w:r>
    </w:p>
  </w:footnote>
  <w:footnote w:id="24">
    <w:p w14:paraId="5C40E49E" w14:textId="2AAFDF61" w:rsidR="00DB5E1E" w:rsidRDefault="00DB5E1E" w:rsidP="00AD23B6">
      <w:pPr>
        <w:pStyle w:val="FootnoteText"/>
      </w:pPr>
      <w:r>
        <w:rPr>
          <w:rStyle w:val="FootnoteReference"/>
        </w:rPr>
        <w:footnoteRef/>
      </w:r>
      <w:r>
        <w:t xml:space="preserve"> Day 1 of appeal hearing, page 125. </w:t>
      </w:r>
    </w:p>
  </w:footnote>
  <w:footnote w:id="25">
    <w:p w14:paraId="73AEB766" w14:textId="18F3337A" w:rsidR="00DB5E1E" w:rsidRDefault="00DB5E1E" w:rsidP="00AD23B6">
      <w:pPr>
        <w:pStyle w:val="FootnoteText"/>
      </w:pPr>
      <w:r>
        <w:rPr>
          <w:rStyle w:val="FootnoteReference"/>
        </w:rPr>
        <w:footnoteRef/>
      </w:r>
      <w:r>
        <w:t xml:space="preserve"> First Defendant’s written submissions, para 18, at page 17.</w:t>
      </w:r>
    </w:p>
  </w:footnote>
  <w:footnote w:id="26">
    <w:p w14:paraId="115A05E9" w14:textId="5BAEBB99" w:rsidR="00DB5E1E" w:rsidRDefault="00DB5E1E" w:rsidP="00AD23B6">
      <w:pPr>
        <w:pStyle w:val="FootnoteText"/>
      </w:pPr>
      <w:r>
        <w:rPr>
          <w:rStyle w:val="FootnoteReference"/>
        </w:rPr>
        <w:footnoteRef/>
      </w:r>
      <w:r>
        <w:t xml:space="preserve"> </w:t>
      </w:r>
      <w:r w:rsidRPr="00723FBC">
        <w:rPr>
          <w:i/>
        </w:rPr>
        <w:t>Ibid</w:t>
      </w:r>
      <w:r>
        <w:t>, at page 18.</w:t>
      </w:r>
    </w:p>
  </w:footnote>
  <w:footnote w:id="27">
    <w:p w14:paraId="24904A64" w14:textId="746EAC0E" w:rsidR="00DB5E1E" w:rsidRDefault="00DB5E1E" w:rsidP="00AD23B6">
      <w:pPr>
        <w:pStyle w:val="FootnoteText"/>
      </w:pPr>
      <w:r>
        <w:rPr>
          <w:rStyle w:val="FootnoteReference"/>
        </w:rPr>
        <w:footnoteRef/>
      </w:r>
      <w:r>
        <w:t xml:space="preserve"> Notice of Appeal, para 9.</w:t>
      </w:r>
    </w:p>
  </w:footnote>
  <w:footnote w:id="28">
    <w:p w14:paraId="71D609F7" w14:textId="3F25EA27" w:rsidR="00DB5E1E" w:rsidRDefault="00DB5E1E" w:rsidP="00AD23B6">
      <w:pPr>
        <w:pStyle w:val="FootnoteText"/>
      </w:pPr>
      <w:r>
        <w:rPr>
          <w:rStyle w:val="FootnoteReference"/>
        </w:rPr>
        <w:footnoteRef/>
      </w:r>
      <w:r>
        <w:t xml:space="preserve"> Day 7, page 6. </w:t>
      </w:r>
    </w:p>
  </w:footnote>
  <w:footnote w:id="29">
    <w:p w14:paraId="676CC215" w14:textId="32CDB860" w:rsidR="00DB5E1E" w:rsidRDefault="00DB5E1E" w:rsidP="00AD23B6">
      <w:pPr>
        <w:pStyle w:val="FootnoteText"/>
      </w:pPr>
      <w:r>
        <w:rPr>
          <w:rStyle w:val="FootnoteReference"/>
        </w:rPr>
        <w:footnoteRef/>
      </w:r>
      <w:r>
        <w:t xml:space="preserve"> Day 10, page 143, referring to the decision of McDonald J in </w:t>
      </w:r>
      <w:r w:rsidRPr="005967FB">
        <w:rPr>
          <w:i/>
        </w:rPr>
        <w:t>Everyday Finance Limited v Woods</w:t>
      </w:r>
      <w:r>
        <w:t xml:space="preserve"> [2019] IEHC  605</w:t>
      </w:r>
    </w:p>
  </w:footnote>
  <w:footnote w:id="30">
    <w:p w14:paraId="7C7D0F35" w14:textId="3E5B8BA8" w:rsidR="00DB5E1E" w:rsidRDefault="00DB5E1E" w:rsidP="00AD23B6">
      <w:pPr>
        <w:pStyle w:val="FootnoteText"/>
      </w:pPr>
      <w:r>
        <w:rPr>
          <w:rStyle w:val="FootnoteReference"/>
        </w:rPr>
        <w:footnoteRef/>
      </w:r>
      <w:r>
        <w:t xml:space="preserve"> Day 10, pages 142-144.</w:t>
      </w:r>
    </w:p>
  </w:footnote>
  <w:footnote w:id="31">
    <w:p w14:paraId="7BFDCE7C" w14:textId="642F360C" w:rsidR="00DB5E1E" w:rsidRDefault="00DB5E1E" w:rsidP="00AD23B6">
      <w:pPr>
        <w:pStyle w:val="FootnoteText"/>
      </w:pPr>
      <w:r>
        <w:rPr>
          <w:rStyle w:val="FootnoteReference"/>
        </w:rPr>
        <w:footnoteRef/>
      </w:r>
      <w:r>
        <w:t xml:space="preserve"> Transcript, pages 143-144.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878970"/>
      <w:docPartObj>
        <w:docPartGallery w:val="Page Numbers (Top of Page)"/>
        <w:docPartUnique/>
      </w:docPartObj>
    </w:sdtPr>
    <w:sdtEndPr>
      <w:rPr>
        <w:noProof/>
      </w:rPr>
    </w:sdtEndPr>
    <w:sdtContent>
      <w:p w14:paraId="2137E46A" w14:textId="77777777" w:rsidR="00DB5E1E" w:rsidRDefault="00DB5E1E">
        <w:pPr>
          <w:pStyle w:val="Header"/>
          <w:jc w:val="center"/>
        </w:pPr>
        <w:r>
          <w:t xml:space="preserve">- </w:t>
        </w:r>
        <w:r w:rsidRPr="00434D69">
          <w:rPr>
            <w:rFonts w:ascii="Times New Roman" w:hAnsi="Times New Roman" w:cs="Times New Roman"/>
            <w:sz w:val="24"/>
            <w:szCs w:val="24"/>
          </w:rPr>
          <w:fldChar w:fldCharType="begin"/>
        </w:r>
        <w:r w:rsidRPr="00434D69">
          <w:rPr>
            <w:rFonts w:ascii="Times New Roman" w:hAnsi="Times New Roman" w:cs="Times New Roman"/>
            <w:sz w:val="24"/>
            <w:szCs w:val="24"/>
          </w:rPr>
          <w:instrText xml:space="preserve"> PAGE   \* MERGEFORMAT </w:instrText>
        </w:r>
        <w:r w:rsidRPr="00434D69">
          <w:rPr>
            <w:rFonts w:ascii="Times New Roman" w:hAnsi="Times New Roman" w:cs="Times New Roman"/>
            <w:sz w:val="24"/>
            <w:szCs w:val="24"/>
          </w:rPr>
          <w:fldChar w:fldCharType="separate"/>
        </w:r>
        <w:r w:rsidRPr="00434D69">
          <w:rPr>
            <w:rFonts w:ascii="Times New Roman" w:hAnsi="Times New Roman" w:cs="Times New Roman"/>
            <w:noProof/>
            <w:sz w:val="24"/>
            <w:szCs w:val="24"/>
          </w:rPr>
          <w:t>2</w:t>
        </w:r>
        <w:r w:rsidRPr="00434D69">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w:t>
        </w:r>
      </w:p>
    </w:sdtContent>
  </w:sdt>
  <w:p w14:paraId="78428B40" w14:textId="77777777" w:rsidR="00DB5E1E" w:rsidRDefault="00DB5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07E75" w14:textId="248EA71F" w:rsidR="00DB5E1E" w:rsidRPr="005D0736" w:rsidRDefault="00DB5E1E" w:rsidP="005D0736">
    <w:pPr>
      <w:pStyle w:val="Header"/>
      <w:rPr>
        <w:rFonts w:ascii="Times New Roman" w:hAnsi="Times New Roman" w:cs="Times New Roman"/>
        <w:b/>
        <w:i/>
        <w:sz w:val="28"/>
        <w:szCs w:val="28"/>
      </w:rPr>
    </w:pPr>
    <w:r w:rsidRPr="005D0736">
      <w:rPr>
        <w:rFonts w:ascii="Times New Roman" w:hAnsi="Times New Roman" w:cs="Times New Roman"/>
        <w:b/>
        <w:i/>
        <w:sz w:val="28"/>
        <w:szCs w:val="28"/>
      </w:rPr>
      <w:t>Unapproved</w:t>
    </w:r>
  </w:p>
  <w:p w14:paraId="3190A498" w14:textId="66926E08" w:rsidR="00DB5E1E" w:rsidRPr="005D0736" w:rsidRDefault="00DB5E1E" w:rsidP="005D0736">
    <w:pPr>
      <w:pStyle w:val="Header"/>
      <w:spacing w:line="360" w:lineRule="auto"/>
      <w:rPr>
        <w:rFonts w:ascii="Times New Roman" w:hAnsi="Times New Roman" w:cs="Times New Roman"/>
        <w:b/>
        <w:i/>
        <w:sz w:val="28"/>
        <w:szCs w:val="28"/>
      </w:rPr>
    </w:pPr>
    <w:r w:rsidRPr="005D0736">
      <w:rPr>
        <w:rFonts w:ascii="Times New Roman" w:hAnsi="Times New Roman" w:cs="Times New Roman"/>
        <w:b/>
        <w:i/>
        <w:sz w:val="28"/>
        <w:szCs w:val="28"/>
      </w:rPr>
      <w:t>No redactions required</w:t>
    </w:r>
  </w:p>
  <w:p w14:paraId="0B5C7757" w14:textId="7A67BE67" w:rsidR="00DB5E1E" w:rsidRDefault="00DB5E1E" w:rsidP="00434D69">
    <w:pPr>
      <w:pStyle w:val="Header"/>
      <w:jc w:val="center"/>
    </w:pPr>
    <w:r>
      <w:rPr>
        <w:noProof/>
      </w:rPr>
      <w:drawing>
        <wp:inline distT="0" distB="0" distL="0" distR="0" wp14:anchorId="15E9CE3F" wp14:editId="4599F50B">
          <wp:extent cx="384175" cy="59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9753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3FE2"/>
    <w:multiLevelType w:val="hybridMultilevel"/>
    <w:tmpl w:val="F7147A8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3DB0764"/>
    <w:multiLevelType w:val="hybridMultilevel"/>
    <w:tmpl w:val="F6CA6CB2"/>
    <w:lvl w:ilvl="0" w:tplc="AB6CFE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485CF0"/>
    <w:multiLevelType w:val="hybridMultilevel"/>
    <w:tmpl w:val="288C0380"/>
    <w:lvl w:ilvl="0" w:tplc="BDBA0328">
      <w:start w:val="1"/>
      <w:numFmt w:val="decimal"/>
      <w:lvlText w:val="%1."/>
      <w:lvlJc w:val="left"/>
      <w:pPr>
        <w:ind w:left="720" w:hanging="360"/>
      </w:pPr>
      <w:rPr>
        <w:b/>
        <w:bCs/>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09663D5E"/>
    <w:multiLevelType w:val="hybridMultilevel"/>
    <w:tmpl w:val="535C7EA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0B1B3326"/>
    <w:multiLevelType w:val="hybridMultilevel"/>
    <w:tmpl w:val="C64AACF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C455E01"/>
    <w:multiLevelType w:val="hybridMultilevel"/>
    <w:tmpl w:val="E6143D1A"/>
    <w:lvl w:ilvl="0" w:tplc="DB6E9F9E">
      <w:start w:val="1"/>
      <w:numFmt w:val="lowerRoman"/>
      <w:lvlText w:val="(%1)"/>
      <w:lvlJc w:val="left"/>
      <w:pPr>
        <w:ind w:left="2160" w:hanging="720"/>
      </w:pPr>
    </w:lvl>
    <w:lvl w:ilvl="1" w:tplc="18090019">
      <w:start w:val="1"/>
      <w:numFmt w:val="lowerLetter"/>
      <w:lvlText w:val="%2."/>
      <w:lvlJc w:val="left"/>
      <w:pPr>
        <w:ind w:left="2520" w:hanging="360"/>
      </w:pPr>
    </w:lvl>
    <w:lvl w:ilvl="2" w:tplc="1809001B">
      <w:start w:val="1"/>
      <w:numFmt w:val="lowerRoman"/>
      <w:lvlText w:val="%3."/>
      <w:lvlJc w:val="right"/>
      <w:pPr>
        <w:ind w:left="3240" w:hanging="180"/>
      </w:pPr>
    </w:lvl>
    <w:lvl w:ilvl="3" w:tplc="1809000F">
      <w:start w:val="1"/>
      <w:numFmt w:val="decimal"/>
      <w:lvlText w:val="%4."/>
      <w:lvlJc w:val="left"/>
      <w:pPr>
        <w:ind w:left="3960" w:hanging="360"/>
      </w:pPr>
    </w:lvl>
    <w:lvl w:ilvl="4" w:tplc="18090019">
      <w:start w:val="1"/>
      <w:numFmt w:val="lowerLetter"/>
      <w:lvlText w:val="%5."/>
      <w:lvlJc w:val="left"/>
      <w:pPr>
        <w:ind w:left="4680" w:hanging="360"/>
      </w:pPr>
    </w:lvl>
    <w:lvl w:ilvl="5" w:tplc="1809001B">
      <w:start w:val="1"/>
      <w:numFmt w:val="lowerRoman"/>
      <w:lvlText w:val="%6."/>
      <w:lvlJc w:val="right"/>
      <w:pPr>
        <w:ind w:left="5400" w:hanging="180"/>
      </w:pPr>
    </w:lvl>
    <w:lvl w:ilvl="6" w:tplc="1809000F">
      <w:start w:val="1"/>
      <w:numFmt w:val="decimal"/>
      <w:lvlText w:val="%7."/>
      <w:lvlJc w:val="left"/>
      <w:pPr>
        <w:ind w:left="6120" w:hanging="360"/>
      </w:pPr>
    </w:lvl>
    <w:lvl w:ilvl="7" w:tplc="18090019">
      <w:start w:val="1"/>
      <w:numFmt w:val="lowerLetter"/>
      <w:lvlText w:val="%8."/>
      <w:lvlJc w:val="left"/>
      <w:pPr>
        <w:ind w:left="6840" w:hanging="360"/>
      </w:pPr>
    </w:lvl>
    <w:lvl w:ilvl="8" w:tplc="1809001B">
      <w:start w:val="1"/>
      <w:numFmt w:val="lowerRoman"/>
      <w:lvlText w:val="%9."/>
      <w:lvlJc w:val="right"/>
      <w:pPr>
        <w:ind w:left="7560" w:hanging="180"/>
      </w:pPr>
    </w:lvl>
  </w:abstractNum>
  <w:abstractNum w:abstractNumId="6" w15:restartNumberingAfterBreak="0">
    <w:nsid w:val="1C663A0A"/>
    <w:multiLevelType w:val="hybridMultilevel"/>
    <w:tmpl w:val="8D522318"/>
    <w:lvl w:ilvl="0" w:tplc="1809000F">
      <w:start w:val="1"/>
      <w:numFmt w:val="decimal"/>
      <w:lvlText w:val="%1."/>
      <w:lvlJc w:val="left"/>
      <w:pPr>
        <w:ind w:left="2138" w:hanging="360"/>
      </w:pPr>
    </w:lvl>
    <w:lvl w:ilvl="1" w:tplc="18090019" w:tentative="1">
      <w:start w:val="1"/>
      <w:numFmt w:val="lowerLetter"/>
      <w:lvlText w:val="%2."/>
      <w:lvlJc w:val="left"/>
      <w:pPr>
        <w:ind w:left="2858" w:hanging="360"/>
      </w:pPr>
    </w:lvl>
    <w:lvl w:ilvl="2" w:tplc="1809001B" w:tentative="1">
      <w:start w:val="1"/>
      <w:numFmt w:val="lowerRoman"/>
      <w:lvlText w:val="%3."/>
      <w:lvlJc w:val="right"/>
      <w:pPr>
        <w:ind w:left="3578" w:hanging="180"/>
      </w:pPr>
    </w:lvl>
    <w:lvl w:ilvl="3" w:tplc="1809000F" w:tentative="1">
      <w:start w:val="1"/>
      <w:numFmt w:val="decimal"/>
      <w:lvlText w:val="%4."/>
      <w:lvlJc w:val="left"/>
      <w:pPr>
        <w:ind w:left="4298" w:hanging="360"/>
      </w:pPr>
    </w:lvl>
    <w:lvl w:ilvl="4" w:tplc="18090019" w:tentative="1">
      <w:start w:val="1"/>
      <w:numFmt w:val="lowerLetter"/>
      <w:lvlText w:val="%5."/>
      <w:lvlJc w:val="left"/>
      <w:pPr>
        <w:ind w:left="5018" w:hanging="360"/>
      </w:pPr>
    </w:lvl>
    <w:lvl w:ilvl="5" w:tplc="1809001B" w:tentative="1">
      <w:start w:val="1"/>
      <w:numFmt w:val="lowerRoman"/>
      <w:lvlText w:val="%6."/>
      <w:lvlJc w:val="right"/>
      <w:pPr>
        <w:ind w:left="5738" w:hanging="180"/>
      </w:pPr>
    </w:lvl>
    <w:lvl w:ilvl="6" w:tplc="1809000F" w:tentative="1">
      <w:start w:val="1"/>
      <w:numFmt w:val="decimal"/>
      <w:lvlText w:val="%7."/>
      <w:lvlJc w:val="left"/>
      <w:pPr>
        <w:ind w:left="6458" w:hanging="360"/>
      </w:pPr>
    </w:lvl>
    <w:lvl w:ilvl="7" w:tplc="18090019" w:tentative="1">
      <w:start w:val="1"/>
      <w:numFmt w:val="lowerLetter"/>
      <w:lvlText w:val="%8."/>
      <w:lvlJc w:val="left"/>
      <w:pPr>
        <w:ind w:left="7178" w:hanging="360"/>
      </w:pPr>
    </w:lvl>
    <w:lvl w:ilvl="8" w:tplc="1809001B" w:tentative="1">
      <w:start w:val="1"/>
      <w:numFmt w:val="lowerRoman"/>
      <w:lvlText w:val="%9."/>
      <w:lvlJc w:val="right"/>
      <w:pPr>
        <w:ind w:left="7898" w:hanging="180"/>
      </w:pPr>
    </w:lvl>
  </w:abstractNum>
  <w:abstractNum w:abstractNumId="7" w15:restartNumberingAfterBreak="0">
    <w:nsid w:val="1C801F17"/>
    <w:multiLevelType w:val="hybridMultilevel"/>
    <w:tmpl w:val="13AE4CC4"/>
    <w:lvl w:ilvl="0" w:tplc="0BD43DEC">
      <w:start w:val="1"/>
      <w:numFmt w:val="lowerRoman"/>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59D3642"/>
    <w:multiLevelType w:val="multilevel"/>
    <w:tmpl w:val="9DDA1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F00031"/>
    <w:multiLevelType w:val="multilevel"/>
    <w:tmpl w:val="FBCC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6554C4"/>
    <w:multiLevelType w:val="hybridMultilevel"/>
    <w:tmpl w:val="CB4E03F8"/>
    <w:lvl w:ilvl="0" w:tplc="4622F348">
      <w:start w:val="1"/>
      <w:numFmt w:val="lowerRoman"/>
      <w:lvlText w:val="(%1)"/>
      <w:lvlJc w:val="left"/>
      <w:pPr>
        <w:ind w:left="2160" w:hanging="72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1" w15:restartNumberingAfterBreak="0">
    <w:nsid w:val="3CA720BD"/>
    <w:multiLevelType w:val="hybridMultilevel"/>
    <w:tmpl w:val="F6827804"/>
    <w:lvl w:ilvl="0" w:tplc="EACAEF38">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3E465519"/>
    <w:multiLevelType w:val="hybridMultilevel"/>
    <w:tmpl w:val="A4284402"/>
    <w:lvl w:ilvl="0" w:tplc="8BE208B0">
      <w:start w:val="1"/>
      <w:numFmt w:val="decimal"/>
      <w:lvlText w:val="%1."/>
      <w:lvlJc w:val="left"/>
      <w:pPr>
        <w:ind w:left="720" w:hanging="360"/>
      </w:pPr>
      <w:rPr>
        <w:b/>
        <w:bCs/>
        <w:color w:val="auto"/>
        <w:u w:val="none"/>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3" w15:restartNumberingAfterBreak="0">
    <w:nsid w:val="4A112A06"/>
    <w:multiLevelType w:val="hybridMultilevel"/>
    <w:tmpl w:val="AF1A0DD2"/>
    <w:lvl w:ilvl="0" w:tplc="BDBA0328">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1E8731A"/>
    <w:multiLevelType w:val="hybridMultilevel"/>
    <w:tmpl w:val="88B89D82"/>
    <w:lvl w:ilvl="0" w:tplc="9AA67A9E">
      <w:start w:val="1"/>
      <w:numFmt w:val="lowerRoman"/>
      <w:lvlText w:val="(%1)"/>
      <w:lvlJc w:val="left"/>
      <w:pPr>
        <w:ind w:left="2160" w:hanging="72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5" w15:restartNumberingAfterBreak="0">
    <w:nsid w:val="5E663812"/>
    <w:multiLevelType w:val="hybridMultilevel"/>
    <w:tmpl w:val="929E2E3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607C3088"/>
    <w:multiLevelType w:val="hybridMultilevel"/>
    <w:tmpl w:val="987E9F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7" w15:restartNumberingAfterBreak="0">
    <w:nsid w:val="62EF2A6B"/>
    <w:multiLevelType w:val="hybridMultilevel"/>
    <w:tmpl w:val="1F74E916"/>
    <w:lvl w:ilvl="0" w:tplc="D84C55BA">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68F83206"/>
    <w:multiLevelType w:val="hybridMultilevel"/>
    <w:tmpl w:val="A442EA30"/>
    <w:lvl w:ilvl="0" w:tplc="80F49408">
      <w:start w:val="1"/>
      <w:numFmt w:val="lowerLetter"/>
      <w:lvlText w:val="(%1)"/>
      <w:lvlJc w:val="left"/>
      <w:pPr>
        <w:ind w:left="1800" w:hanging="360"/>
      </w:pPr>
      <w:rPr>
        <w:rFonts w:hint="default"/>
        <w:i/>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9" w15:restartNumberingAfterBreak="0">
    <w:nsid w:val="791979F0"/>
    <w:multiLevelType w:val="hybridMultilevel"/>
    <w:tmpl w:val="225204F2"/>
    <w:lvl w:ilvl="0" w:tplc="D09EF92E">
      <w:start w:val="1"/>
      <w:numFmt w:val="lowerRoman"/>
      <w:lvlText w:val="(%1)"/>
      <w:lvlJc w:val="left"/>
      <w:pPr>
        <w:ind w:left="2160" w:hanging="72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0" w15:restartNumberingAfterBreak="0">
    <w:nsid w:val="799C2F21"/>
    <w:multiLevelType w:val="hybridMultilevel"/>
    <w:tmpl w:val="535C7EA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1" w15:restartNumberingAfterBreak="0">
    <w:nsid w:val="7D087958"/>
    <w:multiLevelType w:val="hybridMultilevel"/>
    <w:tmpl w:val="824C35D8"/>
    <w:lvl w:ilvl="0" w:tplc="A7D06860">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12"/>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8"/>
  </w:num>
  <w:num w:numId="5">
    <w:abstractNumId w:val="17"/>
  </w:num>
  <w:num w:numId="6">
    <w:abstractNumId w:val="14"/>
  </w:num>
  <w:num w:numId="7">
    <w:abstractNumId w:val="10"/>
  </w:num>
  <w:num w:numId="8">
    <w:abstractNumId w:val="21"/>
  </w:num>
  <w:num w:numId="9">
    <w:abstractNumId w:val="5"/>
  </w:num>
  <w:num w:numId="10">
    <w:abstractNumId w:val="19"/>
  </w:num>
  <w:num w:numId="11">
    <w:abstractNumId w:val="1"/>
  </w:num>
  <w:num w:numId="12">
    <w:abstractNumId w:val="7"/>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8"/>
  </w:num>
  <w:num w:numId="17">
    <w:abstractNumId w:val="20"/>
  </w:num>
  <w:num w:numId="18">
    <w:abstractNumId w:val="3"/>
  </w:num>
  <w:num w:numId="19">
    <w:abstractNumId w:val="6"/>
  </w:num>
  <w:num w:numId="20">
    <w:abstractNumId w:val="9"/>
    <w:lvlOverride w:ilvl="0">
      <w:startOverride w:val="60"/>
    </w:lvlOverride>
  </w:num>
  <w:num w:numId="21">
    <w:abstractNumId w:val="9"/>
    <w:lvlOverride w:ilvl="0">
      <w:startOverride w:val="61"/>
    </w:lvlOverride>
  </w:num>
  <w:num w:numId="22">
    <w:abstractNumId w:val="9"/>
    <w:lvlOverride w:ilvl="0">
      <w:startOverride w:val="62"/>
    </w:lvlOverride>
  </w:num>
  <w:num w:numId="23">
    <w:abstractNumId w:val="9"/>
    <w:lvlOverride w:ilvl="0">
      <w:startOverride w:val="63"/>
    </w:lvlOverride>
  </w:num>
  <w:num w:numId="24">
    <w:abstractNumId w:val="9"/>
    <w:lvlOverride w:ilvl="0">
      <w:startOverride w:val="64"/>
    </w:lvlOverride>
  </w:num>
  <w:num w:numId="25">
    <w:abstractNumId w:val="15"/>
  </w:num>
  <w:num w:numId="26">
    <w:abstractNumId w:val="13"/>
  </w:num>
  <w:num w:numId="27">
    <w:abstractNumId w:val="0"/>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43"/>
    <w:rsid w:val="00000517"/>
    <w:rsid w:val="00001BD8"/>
    <w:rsid w:val="00006738"/>
    <w:rsid w:val="00007356"/>
    <w:rsid w:val="000108C7"/>
    <w:rsid w:val="00013EDC"/>
    <w:rsid w:val="0001515A"/>
    <w:rsid w:val="0001669C"/>
    <w:rsid w:val="00016783"/>
    <w:rsid w:val="00016C4F"/>
    <w:rsid w:val="00017C14"/>
    <w:rsid w:val="000202B4"/>
    <w:rsid w:val="000234A2"/>
    <w:rsid w:val="00023D1C"/>
    <w:rsid w:val="000241BA"/>
    <w:rsid w:val="00024FBA"/>
    <w:rsid w:val="0003297D"/>
    <w:rsid w:val="000341A5"/>
    <w:rsid w:val="00035308"/>
    <w:rsid w:val="0003659A"/>
    <w:rsid w:val="00037435"/>
    <w:rsid w:val="0004461C"/>
    <w:rsid w:val="00047F6E"/>
    <w:rsid w:val="0005134A"/>
    <w:rsid w:val="0005607C"/>
    <w:rsid w:val="00056A56"/>
    <w:rsid w:val="00060BF0"/>
    <w:rsid w:val="00060F67"/>
    <w:rsid w:val="00062217"/>
    <w:rsid w:val="000675CE"/>
    <w:rsid w:val="00070737"/>
    <w:rsid w:val="00074144"/>
    <w:rsid w:val="0008007B"/>
    <w:rsid w:val="00081B0B"/>
    <w:rsid w:val="00084FB8"/>
    <w:rsid w:val="00092D16"/>
    <w:rsid w:val="00093F47"/>
    <w:rsid w:val="00095BA9"/>
    <w:rsid w:val="000A0858"/>
    <w:rsid w:val="000A29B8"/>
    <w:rsid w:val="000A3157"/>
    <w:rsid w:val="000A54EA"/>
    <w:rsid w:val="000B0A35"/>
    <w:rsid w:val="000C0BE5"/>
    <w:rsid w:val="000C22B0"/>
    <w:rsid w:val="000D0593"/>
    <w:rsid w:val="000D1928"/>
    <w:rsid w:val="000D5240"/>
    <w:rsid w:val="000E44E8"/>
    <w:rsid w:val="000E4BA0"/>
    <w:rsid w:val="000F0CF7"/>
    <w:rsid w:val="000F100E"/>
    <w:rsid w:val="001010CF"/>
    <w:rsid w:val="00101FFB"/>
    <w:rsid w:val="00105BD9"/>
    <w:rsid w:val="001061E2"/>
    <w:rsid w:val="00106D12"/>
    <w:rsid w:val="001076FE"/>
    <w:rsid w:val="00117536"/>
    <w:rsid w:val="00121CF9"/>
    <w:rsid w:val="00123AC7"/>
    <w:rsid w:val="001243B8"/>
    <w:rsid w:val="00124F62"/>
    <w:rsid w:val="00127BE6"/>
    <w:rsid w:val="0013090E"/>
    <w:rsid w:val="00131361"/>
    <w:rsid w:val="00132DC9"/>
    <w:rsid w:val="00156F21"/>
    <w:rsid w:val="001570A9"/>
    <w:rsid w:val="001628B5"/>
    <w:rsid w:val="00164A9D"/>
    <w:rsid w:val="001653F0"/>
    <w:rsid w:val="0017303A"/>
    <w:rsid w:val="00177888"/>
    <w:rsid w:val="0018451F"/>
    <w:rsid w:val="001875AE"/>
    <w:rsid w:val="00191818"/>
    <w:rsid w:val="0019201A"/>
    <w:rsid w:val="001A1856"/>
    <w:rsid w:val="001A4136"/>
    <w:rsid w:val="001B1A5B"/>
    <w:rsid w:val="001B26F1"/>
    <w:rsid w:val="001B32C5"/>
    <w:rsid w:val="001B3BAC"/>
    <w:rsid w:val="001B7498"/>
    <w:rsid w:val="001D58EE"/>
    <w:rsid w:val="001D70AE"/>
    <w:rsid w:val="001D7A1C"/>
    <w:rsid w:val="001E21F8"/>
    <w:rsid w:val="001E3361"/>
    <w:rsid w:val="001F26B8"/>
    <w:rsid w:val="001F27F0"/>
    <w:rsid w:val="001F33D2"/>
    <w:rsid w:val="001F35BA"/>
    <w:rsid w:val="001F3C40"/>
    <w:rsid w:val="001F420F"/>
    <w:rsid w:val="001F65DE"/>
    <w:rsid w:val="001F6954"/>
    <w:rsid w:val="001F7A10"/>
    <w:rsid w:val="00204420"/>
    <w:rsid w:val="0021031D"/>
    <w:rsid w:val="00213C4A"/>
    <w:rsid w:val="00213F6C"/>
    <w:rsid w:val="00214A42"/>
    <w:rsid w:val="0022071E"/>
    <w:rsid w:val="00221C14"/>
    <w:rsid w:val="00223FDA"/>
    <w:rsid w:val="002260A0"/>
    <w:rsid w:val="002264B9"/>
    <w:rsid w:val="002323F2"/>
    <w:rsid w:val="00235D1D"/>
    <w:rsid w:val="002453D0"/>
    <w:rsid w:val="00245777"/>
    <w:rsid w:val="00257B79"/>
    <w:rsid w:val="0026161D"/>
    <w:rsid w:val="0026224F"/>
    <w:rsid w:val="002630FF"/>
    <w:rsid w:val="0026724D"/>
    <w:rsid w:val="0026733A"/>
    <w:rsid w:val="00272396"/>
    <w:rsid w:val="00272930"/>
    <w:rsid w:val="0027474F"/>
    <w:rsid w:val="002772B3"/>
    <w:rsid w:val="002800C6"/>
    <w:rsid w:val="002808AD"/>
    <w:rsid w:val="00281D7C"/>
    <w:rsid w:val="002834F8"/>
    <w:rsid w:val="00284213"/>
    <w:rsid w:val="00285BA5"/>
    <w:rsid w:val="002865ED"/>
    <w:rsid w:val="00286B9A"/>
    <w:rsid w:val="00296919"/>
    <w:rsid w:val="002A13CF"/>
    <w:rsid w:val="002A145A"/>
    <w:rsid w:val="002A3EB6"/>
    <w:rsid w:val="002A6544"/>
    <w:rsid w:val="002B6D0D"/>
    <w:rsid w:val="002B7CE7"/>
    <w:rsid w:val="002B7E5B"/>
    <w:rsid w:val="002C0786"/>
    <w:rsid w:val="002C33AD"/>
    <w:rsid w:val="002C49B3"/>
    <w:rsid w:val="002C6FCA"/>
    <w:rsid w:val="002D11D7"/>
    <w:rsid w:val="002D68A4"/>
    <w:rsid w:val="002D7E5B"/>
    <w:rsid w:val="002E191D"/>
    <w:rsid w:val="00304D8A"/>
    <w:rsid w:val="00305CFD"/>
    <w:rsid w:val="003064B9"/>
    <w:rsid w:val="00314EF3"/>
    <w:rsid w:val="00316B66"/>
    <w:rsid w:val="003170BB"/>
    <w:rsid w:val="0031787D"/>
    <w:rsid w:val="0032022A"/>
    <w:rsid w:val="00320C41"/>
    <w:rsid w:val="003232A0"/>
    <w:rsid w:val="00326F11"/>
    <w:rsid w:val="00331FFC"/>
    <w:rsid w:val="00333369"/>
    <w:rsid w:val="00334533"/>
    <w:rsid w:val="003423C1"/>
    <w:rsid w:val="00344246"/>
    <w:rsid w:val="003500D8"/>
    <w:rsid w:val="00351B94"/>
    <w:rsid w:val="0035368F"/>
    <w:rsid w:val="003554DC"/>
    <w:rsid w:val="0036248A"/>
    <w:rsid w:val="003633A4"/>
    <w:rsid w:val="00366AEC"/>
    <w:rsid w:val="003716E9"/>
    <w:rsid w:val="003735BA"/>
    <w:rsid w:val="003751A6"/>
    <w:rsid w:val="00381BAF"/>
    <w:rsid w:val="003822C7"/>
    <w:rsid w:val="00385D9A"/>
    <w:rsid w:val="003A1491"/>
    <w:rsid w:val="003A247E"/>
    <w:rsid w:val="003A2B8D"/>
    <w:rsid w:val="003A5AB1"/>
    <w:rsid w:val="003A6DA3"/>
    <w:rsid w:val="003B5C6E"/>
    <w:rsid w:val="003B7DBD"/>
    <w:rsid w:val="003C137E"/>
    <w:rsid w:val="003C1E14"/>
    <w:rsid w:val="003C3607"/>
    <w:rsid w:val="003C4E1C"/>
    <w:rsid w:val="003C503B"/>
    <w:rsid w:val="003C6587"/>
    <w:rsid w:val="003D08F4"/>
    <w:rsid w:val="003D5574"/>
    <w:rsid w:val="003D6E35"/>
    <w:rsid w:val="003D703A"/>
    <w:rsid w:val="003E07D5"/>
    <w:rsid w:val="003E26C1"/>
    <w:rsid w:val="003F080D"/>
    <w:rsid w:val="003F646B"/>
    <w:rsid w:val="003F6A06"/>
    <w:rsid w:val="003F7030"/>
    <w:rsid w:val="00401583"/>
    <w:rsid w:val="00415499"/>
    <w:rsid w:val="00422030"/>
    <w:rsid w:val="00424D8E"/>
    <w:rsid w:val="00433F33"/>
    <w:rsid w:val="004344FB"/>
    <w:rsid w:val="00434D69"/>
    <w:rsid w:val="00437C12"/>
    <w:rsid w:val="004416AB"/>
    <w:rsid w:val="00441D61"/>
    <w:rsid w:val="00444883"/>
    <w:rsid w:val="00444A6D"/>
    <w:rsid w:val="00445D2E"/>
    <w:rsid w:val="00446B4A"/>
    <w:rsid w:val="004501E0"/>
    <w:rsid w:val="00451281"/>
    <w:rsid w:val="00453977"/>
    <w:rsid w:val="00454A08"/>
    <w:rsid w:val="004568AD"/>
    <w:rsid w:val="0046000C"/>
    <w:rsid w:val="00461FFB"/>
    <w:rsid w:val="00463498"/>
    <w:rsid w:val="0046442A"/>
    <w:rsid w:val="0046532A"/>
    <w:rsid w:val="004656B7"/>
    <w:rsid w:val="00465BDC"/>
    <w:rsid w:val="00466BB4"/>
    <w:rsid w:val="00467F53"/>
    <w:rsid w:val="00471848"/>
    <w:rsid w:val="00472194"/>
    <w:rsid w:val="00472AC0"/>
    <w:rsid w:val="00472BD9"/>
    <w:rsid w:val="004739B7"/>
    <w:rsid w:val="0047413C"/>
    <w:rsid w:val="00474B7C"/>
    <w:rsid w:val="00477C44"/>
    <w:rsid w:val="004818C0"/>
    <w:rsid w:val="004822FE"/>
    <w:rsid w:val="00483267"/>
    <w:rsid w:val="004849E0"/>
    <w:rsid w:val="00484B81"/>
    <w:rsid w:val="00485936"/>
    <w:rsid w:val="00491816"/>
    <w:rsid w:val="004922A4"/>
    <w:rsid w:val="00495078"/>
    <w:rsid w:val="004A08E2"/>
    <w:rsid w:val="004B1F6B"/>
    <w:rsid w:val="004B3189"/>
    <w:rsid w:val="004B37F2"/>
    <w:rsid w:val="004B772A"/>
    <w:rsid w:val="004C27ED"/>
    <w:rsid w:val="004C2B52"/>
    <w:rsid w:val="004C7329"/>
    <w:rsid w:val="004D2898"/>
    <w:rsid w:val="004D649D"/>
    <w:rsid w:val="004E0225"/>
    <w:rsid w:val="004E26AB"/>
    <w:rsid w:val="004F08BA"/>
    <w:rsid w:val="004F1E70"/>
    <w:rsid w:val="004F21F1"/>
    <w:rsid w:val="004F313B"/>
    <w:rsid w:val="004F65F7"/>
    <w:rsid w:val="004F772F"/>
    <w:rsid w:val="0050435A"/>
    <w:rsid w:val="00504EFC"/>
    <w:rsid w:val="00505E42"/>
    <w:rsid w:val="0050719E"/>
    <w:rsid w:val="00513261"/>
    <w:rsid w:val="00515F3F"/>
    <w:rsid w:val="00515F6B"/>
    <w:rsid w:val="0052065A"/>
    <w:rsid w:val="00520ECE"/>
    <w:rsid w:val="00522C32"/>
    <w:rsid w:val="00525B95"/>
    <w:rsid w:val="0053089F"/>
    <w:rsid w:val="005364AC"/>
    <w:rsid w:val="005405C2"/>
    <w:rsid w:val="0054097D"/>
    <w:rsid w:val="00546784"/>
    <w:rsid w:val="00556D89"/>
    <w:rsid w:val="005627B2"/>
    <w:rsid w:val="0057006B"/>
    <w:rsid w:val="00570A53"/>
    <w:rsid w:val="00571E8D"/>
    <w:rsid w:val="00572229"/>
    <w:rsid w:val="00575EE5"/>
    <w:rsid w:val="00577FCE"/>
    <w:rsid w:val="00580985"/>
    <w:rsid w:val="00580C3B"/>
    <w:rsid w:val="00587FBA"/>
    <w:rsid w:val="00590EE0"/>
    <w:rsid w:val="005967FB"/>
    <w:rsid w:val="005A21CA"/>
    <w:rsid w:val="005A5FB6"/>
    <w:rsid w:val="005B0800"/>
    <w:rsid w:val="005B15F5"/>
    <w:rsid w:val="005B3E52"/>
    <w:rsid w:val="005B561F"/>
    <w:rsid w:val="005C1F58"/>
    <w:rsid w:val="005D0736"/>
    <w:rsid w:val="005D0F21"/>
    <w:rsid w:val="005D12E8"/>
    <w:rsid w:val="005D3EA8"/>
    <w:rsid w:val="005D475E"/>
    <w:rsid w:val="005D50CB"/>
    <w:rsid w:val="005E0330"/>
    <w:rsid w:val="005E6549"/>
    <w:rsid w:val="005E6A54"/>
    <w:rsid w:val="005F4F10"/>
    <w:rsid w:val="005F712A"/>
    <w:rsid w:val="005F728E"/>
    <w:rsid w:val="005F7B0F"/>
    <w:rsid w:val="006040FA"/>
    <w:rsid w:val="00604F91"/>
    <w:rsid w:val="00605A1E"/>
    <w:rsid w:val="00605DBC"/>
    <w:rsid w:val="0060762D"/>
    <w:rsid w:val="00612AD1"/>
    <w:rsid w:val="00616339"/>
    <w:rsid w:val="00620105"/>
    <w:rsid w:val="00622390"/>
    <w:rsid w:val="0062314D"/>
    <w:rsid w:val="00624914"/>
    <w:rsid w:val="00625788"/>
    <w:rsid w:val="00626712"/>
    <w:rsid w:val="0063591C"/>
    <w:rsid w:val="0064313C"/>
    <w:rsid w:val="00644C84"/>
    <w:rsid w:val="006475A2"/>
    <w:rsid w:val="006478CA"/>
    <w:rsid w:val="00650335"/>
    <w:rsid w:val="006510DD"/>
    <w:rsid w:val="00651EC8"/>
    <w:rsid w:val="00652752"/>
    <w:rsid w:val="00653016"/>
    <w:rsid w:val="006565A4"/>
    <w:rsid w:val="0065719A"/>
    <w:rsid w:val="00657514"/>
    <w:rsid w:val="00664FDF"/>
    <w:rsid w:val="0067064F"/>
    <w:rsid w:val="00672070"/>
    <w:rsid w:val="00672511"/>
    <w:rsid w:val="006737B2"/>
    <w:rsid w:val="00673A92"/>
    <w:rsid w:val="0067448D"/>
    <w:rsid w:val="00676DB4"/>
    <w:rsid w:val="006815BF"/>
    <w:rsid w:val="00685B30"/>
    <w:rsid w:val="006877FB"/>
    <w:rsid w:val="00691A92"/>
    <w:rsid w:val="006946CC"/>
    <w:rsid w:val="006952AA"/>
    <w:rsid w:val="00696917"/>
    <w:rsid w:val="00697B81"/>
    <w:rsid w:val="006A3DE0"/>
    <w:rsid w:val="006A3DE1"/>
    <w:rsid w:val="006A50CF"/>
    <w:rsid w:val="006B04F3"/>
    <w:rsid w:val="006B193A"/>
    <w:rsid w:val="006B1A74"/>
    <w:rsid w:val="006B4752"/>
    <w:rsid w:val="006B54CF"/>
    <w:rsid w:val="006B5AEF"/>
    <w:rsid w:val="006B6701"/>
    <w:rsid w:val="006C09E9"/>
    <w:rsid w:val="006C3EAC"/>
    <w:rsid w:val="006D04B0"/>
    <w:rsid w:val="006D4CA9"/>
    <w:rsid w:val="006D71CC"/>
    <w:rsid w:val="006E4D08"/>
    <w:rsid w:val="006E59D0"/>
    <w:rsid w:val="006E6BB8"/>
    <w:rsid w:val="006F4D85"/>
    <w:rsid w:val="006F61FC"/>
    <w:rsid w:val="006F637A"/>
    <w:rsid w:val="006F7391"/>
    <w:rsid w:val="007002E9"/>
    <w:rsid w:val="00700D7E"/>
    <w:rsid w:val="00700F97"/>
    <w:rsid w:val="007019C0"/>
    <w:rsid w:val="007026E5"/>
    <w:rsid w:val="0071127E"/>
    <w:rsid w:val="00723FBC"/>
    <w:rsid w:val="00727818"/>
    <w:rsid w:val="00731510"/>
    <w:rsid w:val="00731F48"/>
    <w:rsid w:val="00732896"/>
    <w:rsid w:val="007344AA"/>
    <w:rsid w:val="00737150"/>
    <w:rsid w:val="00737F62"/>
    <w:rsid w:val="0074024A"/>
    <w:rsid w:val="00741832"/>
    <w:rsid w:val="0075119A"/>
    <w:rsid w:val="007575E7"/>
    <w:rsid w:val="00762E4B"/>
    <w:rsid w:val="0076489C"/>
    <w:rsid w:val="00770C45"/>
    <w:rsid w:val="007714F0"/>
    <w:rsid w:val="00772CAB"/>
    <w:rsid w:val="00773ACE"/>
    <w:rsid w:val="00774275"/>
    <w:rsid w:val="00776D62"/>
    <w:rsid w:val="00777203"/>
    <w:rsid w:val="0078405A"/>
    <w:rsid w:val="00787A7F"/>
    <w:rsid w:val="007910A0"/>
    <w:rsid w:val="00792FE3"/>
    <w:rsid w:val="00794B1D"/>
    <w:rsid w:val="00795D21"/>
    <w:rsid w:val="007A35C1"/>
    <w:rsid w:val="007A39F8"/>
    <w:rsid w:val="007A58E2"/>
    <w:rsid w:val="007B01F4"/>
    <w:rsid w:val="007C06CF"/>
    <w:rsid w:val="007C2A12"/>
    <w:rsid w:val="007C3934"/>
    <w:rsid w:val="007C3AC3"/>
    <w:rsid w:val="007C42B8"/>
    <w:rsid w:val="007C469C"/>
    <w:rsid w:val="007C6639"/>
    <w:rsid w:val="007C6944"/>
    <w:rsid w:val="007C6C84"/>
    <w:rsid w:val="007C7E96"/>
    <w:rsid w:val="007D2B2D"/>
    <w:rsid w:val="007D51C0"/>
    <w:rsid w:val="007D66B7"/>
    <w:rsid w:val="007E2783"/>
    <w:rsid w:val="007E4F8C"/>
    <w:rsid w:val="007E5552"/>
    <w:rsid w:val="007E5A6F"/>
    <w:rsid w:val="007E70B8"/>
    <w:rsid w:val="007E7D10"/>
    <w:rsid w:val="007F0C1E"/>
    <w:rsid w:val="007F22A1"/>
    <w:rsid w:val="008011C8"/>
    <w:rsid w:val="00805079"/>
    <w:rsid w:val="00807B6E"/>
    <w:rsid w:val="008107C7"/>
    <w:rsid w:val="00812D01"/>
    <w:rsid w:val="00821B3C"/>
    <w:rsid w:val="00822AE1"/>
    <w:rsid w:val="00823AD3"/>
    <w:rsid w:val="0083055F"/>
    <w:rsid w:val="00831BDA"/>
    <w:rsid w:val="00835139"/>
    <w:rsid w:val="008371B1"/>
    <w:rsid w:val="0083795B"/>
    <w:rsid w:val="00840CEC"/>
    <w:rsid w:val="008463C5"/>
    <w:rsid w:val="008470CC"/>
    <w:rsid w:val="00850487"/>
    <w:rsid w:val="00852FDA"/>
    <w:rsid w:val="00856669"/>
    <w:rsid w:val="00857431"/>
    <w:rsid w:val="00861E8F"/>
    <w:rsid w:val="00864BA4"/>
    <w:rsid w:val="00866561"/>
    <w:rsid w:val="00872717"/>
    <w:rsid w:val="008764D3"/>
    <w:rsid w:val="008804A7"/>
    <w:rsid w:val="00886F45"/>
    <w:rsid w:val="00893758"/>
    <w:rsid w:val="00893B98"/>
    <w:rsid w:val="00896339"/>
    <w:rsid w:val="008A6C5D"/>
    <w:rsid w:val="008B0792"/>
    <w:rsid w:val="008B2EBD"/>
    <w:rsid w:val="008B658C"/>
    <w:rsid w:val="008D3D39"/>
    <w:rsid w:val="008D3D54"/>
    <w:rsid w:val="008D465B"/>
    <w:rsid w:val="008D5437"/>
    <w:rsid w:val="008E0DC4"/>
    <w:rsid w:val="008E3201"/>
    <w:rsid w:val="008E6F38"/>
    <w:rsid w:val="008F383C"/>
    <w:rsid w:val="008F3AEE"/>
    <w:rsid w:val="008F432B"/>
    <w:rsid w:val="008F519D"/>
    <w:rsid w:val="008F71E7"/>
    <w:rsid w:val="008F789D"/>
    <w:rsid w:val="00900A91"/>
    <w:rsid w:val="0090179D"/>
    <w:rsid w:val="00903CEF"/>
    <w:rsid w:val="009048C0"/>
    <w:rsid w:val="009101E5"/>
    <w:rsid w:val="00911386"/>
    <w:rsid w:val="00912957"/>
    <w:rsid w:val="009155A4"/>
    <w:rsid w:val="009165FD"/>
    <w:rsid w:val="00917322"/>
    <w:rsid w:val="00920652"/>
    <w:rsid w:val="0092108D"/>
    <w:rsid w:val="009210E7"/>
    <w:rsid w:val="00922CFB"/>
    <w:rsid w:val="0093356E"/>
    <w:rsid w:val="00935B42"/>
    <w:rsid w:val="0094394C"/>
    <w:rsid w:val="009439DB"/>
    <w:rsid w:val="00946247"/>
    <w:rsid w:val="00947073"/>
    <w:rsid w:val="00950787"/>
    <w:rsid w:val="009509D6"/>
    <w:rsid w:val="009557F0"/>
    <w:rsid w:val="00960506"/>
    <w:rsid w:val="0096059D"/>
    <w:rsid w:val="0096156B"/>
    <w:rsid w:val="009637BC"/>
    <w:rsid w:val="00970E34"/>
    <w:rsid w:val="00970F87"/>
    <w:rsid w:val="00971B07"/>
    <w:rsid w:val="009759FB"/>
    <w:rsid w:val="009807E7"/>
    <w:rsid w:val="009852B7"/>
    <w:rsid w:val="00992D92"/>
    <w:rsid w:val="00996ADD"/>
    <w:rsid w:val="00997022"/>
    <w:rsid w:val="009A0E41"/>
    <w:rsid w:val="009A29B9"/>
    <w:rsid w:val="009A7F08"/>
    <w:rsid w:val="009B1849"/>
    <w:rsid w:val="009B1DDB"/>
    <w:rsid w:val="009C0586"/>
    <w:rsid w:val="009C2186"/>
    <w:rsid w:val="009C22F4"/>
    <w:rsid w:val="009C50FE"/>
    <w:rsid w:val="009D0591"/>
    <w:rsid w:val="009D1969"/>
    <w:rsid w:val="009D2758"/>
    <w:rsid w:val="009D4536"/>
    <w:rsid w:val="009D75C0"/>
    <w:rsid w:val="009E2C3D"/>
    <w:rsid w:val="009E54FD"/>
    <w:rsid w:val="009E5AF0"/>
    <w:rsid w:val="009E60EF"/>
    <w:rsid w:val="009E79D2"/>
    <w:rsid w:val="009F0A26"/>
    <w:rsid w:val="009F618A"/>
    <w:rsid w:val="00A07A19"/>
    <w:rsid w:val="00A107D8"/>
    <w:rsid w:val="00A11002"/>
    <w:rsid w:val="00A13565"/>
    <w:rsid w:val="00A14DF9"/>
    <w:rsid w:val="00A15FB6"/>
    <w:rsid w:val="00A2171D"/>
    <w:rsid w:val="00A25305"/>
    <w:rsid w:val="00A254D6"/>
    <w:rsid w:val="00A27D0D"/>
    <w:rsid w:val="00A32531"/>
    <w:rsid w:val="00A331DD"/>
    <w:rsid w:val="00A3744E"/>
    <w:rsid w:val="00A42F73"/>
    <w:rsid w:val="00A45B15"/>
    <w:rsid w:val="00A465A1"/>
    <w:rsid w:val="00A5005C"/>
    <w:rsid w:val="00A53C27"/>
    <w:rsid w:val="00A6325B"/>
    <w:rsid w:val="00A674DA"/>
    <w:rsid w:val="00A70236"/>
    <w:rsid w:val="00A70D3A"/>
    <w:rsid w:val="00A711B9"/>
    <w:rsid w:val="00A74EAF"/>
    <w:rsid w:val="00A751C8"/>
    <w:rsid w:val="00A82512"/>
    <w:rsid w:val="00A82AAF"/>
    <w:rsid w:val="00A846E0"/>
    <w:rsid w:val="00A847EB"/>
    <w:rsid w:val="00A94B8E"/>
    <w:rsid w:val="00A96375"/>
    <w:rsid w:val="00AA001C"/>
    <w:rsid w:val="00AA2048"/>
    <w:rsid w:val="00AA2A6E"/>
    <w:rsid w:val="00AA3ECF"/>
    <w:rsid w:val="00AA4E7C"/>
    <w:rsid w:val="00AB0C50"/>
    <w:rsid w:val="00AB188B"/>
    <w:rsid w:val="00AC137D"/>
    <w:rsid w:val="00AC3DCA"/>
    <w:rsid w:val="00AC79FC"/>
    <w:rsid w:val="00AD1A98"/>
    <w:rsid w:val="00AD23B6"/>
    <w:rsid w:val="00AD2B7A"/>
    <w:rsid w:val="00AD4109"/>
    <w:rsid w:val="00AE06F3"/>
    <w:rsid w:val="00AE1E3B"/>
    <w:rsid w:val="00AE2F6A"/>
    <w:rsid w:val="00AE47F7"/>
    <w:rsid w:val="00AE69E1"/>
    <w:rsid w:val="00AF17E6"/>
    <w:rsid w:val="00AF3CE5"/>
    <w:rsid w:val="00B0344B"/>
    <w:rsid w:val="00B04289"/>
    <w:rsid w:val="00B075DC"/>
    <w:rsid w:val="00B07ED5"/>
    <w:rsid w:val="00B100AE"/>
    <w:rsid w:val="00B138E6"/>
    <w:rsid w:val="00B14110"/>
    <w:rsid w:val="00B14F69"/>
    <w:rsid w:val="00B22B1D"/>
    <w:rsid w:val="00B23832"/>
    <w:rsid w:val="00B2526F"/>
    <w:rsid w:val="00B2622D"/>
    <w:rsid w:val="00B313A5"/>
    <w:rsid w:val="00B320D1"/>
    <w:rsid w:val="00B3422B"/>
    <w:rsid w:val="00B35D75"/>
    <w:rsid w:val="00B41B67"/>
    <w:rsid w:val="00B45024"/>
    <w:rsid w:val="00B459CA"/>
    <w:rsid w:val="00B53D0E"/>
    <w:rsid w:val="00B6169D"/>
    <w:rsid w:val="00B616EC"/>
    <w:rsid w:val="00B62803"/>
    <w:rsid w:val="00B62864"/>
    <w:rsid w:val="00B67C7D"/>
    <w:rsid w:val="00B703E5"/>
    <w:rsid w:val="00B7168D"/>
    <w:rsid w:val="00B7700B"/>
    <w:rsid w:val="00B772DC"/>
    <w:rsid w:val="00B81353"/>
    <w:rsid w:val="00B82DB6"/>
    <w:rsid w:val="00B8321D"/>
    <w:rsid w:val="00B86545"/>
    <w:rsid w:val="00B9347C"/>
    <w:rsid w:val="00B94296"/>
    <w:rsid w:val="00B94828"/>
    <w:rsid w:val="00B95013"/>
    <w:rsid w:val="00BA22CE"/>
    <w:rsid w:val="00BA3DFA"/>
    <w:rsid w:val="00BA3FC2"/>
    <w:rsid w:val="00BA49B7"/>
    <w:rsid w:val="00BA6DB8"/>
    <w:rsid w:val="00BB3926"/>
    <w:rsid w:val="00BB4777"/>
    <w:rsid w:val="00BB57A9"/>
    <w:rsid w:val="00BB6771"/>
    <w:rsid w:val="00BC0839"/>
    <w:rsid w:val="00BC14ED"/>
    <w:rsid w:val="00BC1631"/>
    <w:rsid w:val="00BC32FA"/>
    <w:rsid w:val="00BC36E5"/>
    <w:rsid w:val="00BD0186"/>
    <w:rsid w:val="00BD13BB"/>
    <w:rsid w:val="00BD301E"/>
    <w:rsid w:val="00BD4301"/>
    <w:rsid w:val="00BD5723"/>
    <w:rsid w:val="00BD67B4"/>
    <w:rsid w:val="00BE660C"/>
    <w:rsid w:val="00BE7108"/>
    <w:rsid w:val="00BF1998"/>
    <w:rsid w:val="00C00A66"/>
    <w:rsid w:val="00C00DE4"/>
    <w:rsid w:val="00C0479E"/>
    <w:rsid w:val="00C05270"/>
    <w:rsid w:val="00C15A14"/>
    <w:rsid w:val="00C208DE"/>
    <w:rsid w:val="00C2193D"/>
    <w:rsid w:val="00C262E8"/>
    <w:rsid w:val="00C32E59"/>
    <w:rsid w:val="00C34E8D"/>
    <w:rsid w:val="00C356DE"/>
    <w:rsid w:val="00C4220C"/>
    <w:rsid w:val="00C45812"/>
    <w:rsid w:val="00C5177C"/>
    <w:rsid w:val="00C530D9"/>
    <w:rsid w:val="00C5355A"/>
    <w:rsid w:val="00C5680D"/>
    <w:rsid w:val="00C6269F"/>
    <w:rsid w:val="00C63AB6"/>
    <w:rsid w:val="00C63BF7"/>
    <w:rsid w:val="00C67989"/>
    <w:rsid w:val="00C73EF8"/>
    <w:rsid w:val="00C87327"/>
    <w:rsid w:val="00C92D81"/>
    <w:rsid w:val="00CA0469"/>
    <w:rsid w:val="00CA476A"/>
    <w:rsid w:val="00CB020D"/>
    <w:rsid w:val="00CB06BF"/>
    <w:rsid w:val="00CB5C7B"/>
    <w:rsid w:val="00CB5E8F"/>
    <w:rsid w:val="00CB786F"/>
    <w:rsid w:val="00CC2DA5"/>
    <w:rsid w:val="00CC4398"/>
    <w:rsid w:val="00CD16DC"/>
    <w:rsid w:val="00CD5F2D"/>
    <w:rsid w:val="00CD71C2"/>
    <w:rsid w:val="00CE3642"/>
    <w:rsid w:val="00CE7DF5"/>
    <w:rsid w:val="00CF2154"/>
    <w:rsid w:val="00CF6513"/>
    <w:rsid w:val="00CF7419"/>
    <w:rsid w:val="00CF7DEE"/>
    <w:rsid w:val="00D018E2"/>
    <w:rsid w:val="00D0555D"/>
    <w:rsid w:val="00D1302C"/>
    <w:rsid w:val="00D15B9E"/>
    <w:rsid w:val="00D17144"/>
    <w:rsid w:val="00D21524"/>
    <w:rsid w:val="00D50973"/>
    <w:rsid w:val="00D5460C"/>
    <w:rsid w:val="00D54B82"/>
    <w:rsid w:val="00D5664B"/>
    <w:rsid w:val="00D63F6F"/>
    <w:rsid w:val="00D704DE"/>
    <w:rsid w:val="00D7072A"/>
    <w:rsid w:val="00D71FAF"/>
    <w:rsid w:val="00D7417D"/>
    <w:rsid w:val="00D77A32"/>
    <w:rsid w:val="00D80379"/>
    <w:rsid w:val="00D91163"/>
    <w:rsid w:val="00D91713"/>
    <w:rsid w:val="00D928C0"/>
    <w:rsid w:val="00D92C27"/>
    <w:rsid w:val="00D93037"/>
    <w:rsid w:val="00DA0652"/>
    <w:rsid w:val="00DA48CE"/>
    <w:rsid w:val="00DA6C04"/>
    <w:rsid w:val="00DA7152"/>
    <w:rsid w:val="00DB05CA"/>
    <w:rsid w:val="00DB0817"/>
    <w:rsid w:val="00DB4653"/>
    <w:rsid w:val="00DB5353"/>
    <w:rsid w:val="00DB5E1E"/>
    <w:rsid w:val="00DC034D"/>
    <w:rsid w:val="00DC0A12"/>
    <w:rsid w:val="00DC2770"/>
    <w:rsid w:val="00DC59B4"/>
    <w:rsid w:val="00DC7537"/>
    <w:rsid w:val="00DD0C65"/>
    <w:rsid w:val="00DD6460"/>
    <w:rsid w:val="00DE3A90"/>
    <w:rsid w:val="00DE55F3"/>
    <w:rsid w:val="00DE6242"/>
    <w:rsid w:val="00DE6F03"/>
    <w:rsid w:val="00DE7CE3"/>
    <w:rsid w:val="00DF576B"/>
    <w:rsid w:val="00E045F2"/>
    <w:rsid w:val="00E057A9"/>
    <w:rsid w:val="00E06837"/>
    <w:rsid w:val="00E0772D"/>
    <w:rsid w:val="00E1220C"/>
    <w:rsid w:val="00E2519F"/>
    <w:rsid w:val="00E27EC3"/>
    <w:rsid w:val="00E35562"/>
    <w:rsid w:val="00E36E44"/>
    <w:rsid w:val="00E37E31"/>
    <w:rsid w:val="00E449D7"/>
    <w:rsid w:val="00E47DAB"/>
    <w:rsid w:val="00E51CDD"/>
    <w:rsid w:val="00E51D93"/>
    <w:rsid w:val="00E52810"/>
    <w:rsid w:val="00E53726"/>
    <w:rsid w:val="00E542A6"/>
    <w:rsid w:val="00E60AAF"/>
    <w:rsid w:val="00E67F80"/>
    <w:rsid w:val="00E725F1"/>
    <w:rsid w:val="00E725F9"/>
    <w:rsid w:val="00E82B7E"/>
    <w:rsid w:val="00E83621"/>
    <w:rsid w:val="00E83CA8"/>
    <w:rsid w:val="00E86B2A"/>
    <w:rsid w:val="00E94E59"/>
    <w:rsid w:val="00EA13A5"/>
    <w:rsid w:val="00EB1BF6"/>
    <w:rsid w:val="00EB1CD0"/>
    <w:rsid w:val="00EB5164"/>
    <w:rsid w:val="00EC3AF7"/>
    <w:rsid w:val="00ED2D94"/>
    <w:rsid w:val="00ED2E40"/>
    <w:rsid w:val="00ED3549"/>
    <w:rsid w:val="00ED4529"/>
    <w:rsid w:val="00EE5DAC"/>
    <w:rsid w:val="00EF057E"/>
    <w:rsid w:val="00EF2BDD"/>
    <w:rsid w:val="00F01A93"/>
    <w:rsid w:val="00F06030"/>
    <w:rsid w:val="00F1260A"/>
    <w:rsid w:val="00F15179"/>
    <w:rsid w:val="00F151BA"/>
    <w:rsid w:val="00F15F4B"/>
    <w:rsid w:val="00F160C7"/>
    <w:rsid w:val="00F17B41"/>
    <w:rsid w:val="00F200EA"/>
    <w:rsid w:val="00F2044A"/>
    <w:rsid w:val="00F237CF"/>
    <w:rsid w:val="00F2474E"/>
    <w:rsid w:val="00F27884"/>
    <w:rsid w:val="00F31D5E"/>
    <w:rsid w:val="00F353BF"/>
    <w:rsid w:val="00F36346"/>
    <w:rsid w:val="00F4071B"/>
    <w:rsid w:val="00F47B12"/>
    <w:rsid w:val="00F5302C"/>
    <w:rsid w:val="00F540DF"/>
    <w:rsid w:val="00F56097"/>
    <w:rsid w:val="00F60DB3"/>
    <w:rsid w:val="00F61819"/>
    <w:rsid w:val="00F655CE"/>
    <w:rsid w:val="00F75594"/>
    <w:rsid w:val="00F75AB0"/>
    <w:rsid w:val="00F76A72"/>
    <w:rsid w:val="00F77DCE"/>
    <w:rsid w:val="00F81221"/>
    <w:rsid w:val="00F81BDE"/>
    <w:rsid w:val="00F857AA"/>
    <w:rsid w:val="00F86D43"/>
    <w:rsid w:val="00F956EC"/>
    <w:rsid w:val="00F959CE"/>
    <w:rsid w:val="00F95F4D"/>
    <w:rsid w:val="00FA33E6"/>
    <w:rsid w:val="00FA3CCC"/>
    <w:rsid w:val="00FA4259"/>
    <w:rsid w:val="00FA5622"/>
    <w:rsid w:val="00FA6179"/>
    <w:rsid w:val="00FB1CC9"/>
    <w:rsid w:val="00FB63CE"/>
    <w:rsid w:val="00FC239E"/>
    <w:rsid w:val="00FC60A6"/>
    <w:rsid w:val="00FD40EF"/>
    <w:rsid w:val="00FD56C4"/>
    <w:rsid w:val="00FD6D43"/>
    <w:rsid w:val="00FE5A52"/>
    <w:rsid w:val="00FF2743"/>
    <w:rsid w:val="00FF3E83"/>
    <w:rsid w:val="00FF5B6A"/>
    <w:rsid w:val="00FF5B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5FB74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743"/>
    <w:pPr>
      <w:spacing w:line="256" w:lineRule="auto"/>
    </w:pPr>
  </w:style>
  <w:style w:type="paragraph" w:styleId="Heading1">
    <w:name w:val="heading 1"/>
    <w:basedOn w:val="Normal"/>
    <w:next w:val="Normal"/>
    <w:link w:val="Heading1Char"/>
    <w:autoRedefine/>
    <w:uiPriority w:val="9"/>
    <w:qFormat/>
    <w:rsid w:val="0096156B"/>
    <w:pPr>
      <w:keepNext/>
      <w:keepLines/>
      <w:spacing w:after="0" w:line="480" w:lineRule="auto"/>
      <w:jc w:val="center"/>
      <w:outlineLvl w:val="0"/>
    </w:pPr>
    <w:rPr>
      <w:rFonts w:ascii="Times New Roman" w:hAnsi="Times New Roman" w:cs="Times New Roman"/>
      <w:b/>
      <w:sz w:val="24"/>
      <w:szCs w:val="24"/>
    </w:rPr>
  </w:style>
  <w:style w:type="paragraph" w:styleId="Heading2">
    <w:name w:val="heading 2"/>
    <w:basedOn w:val="Normal"/>
    <w:next w:val="Normal"/>
    <w:link w:val="Heading2Char"/>
    <w:autoRedefine/>
    <w:uiPriority w:val="9"/>
    <w:unhideWhenUsed/>
    <w:qFormat/>
    <w:rsid w:val="00272396"/>
    <w:pPr>
      <w:keepNext/>
      <w:keepLines/>
      <w:spacing w:after="0" w:line="480" w:lineRule="auto"/>
      <w:ind w:left="624"/>
      <w:contextualSpacing/>
      <w:jc w:val="both"/>
      <w:outlineLvl w:val="1"/>
    </w:pPr>
    <w:rPr>
      <w:rFonts w:ascii="Times New Roman" w:eastAsiaTheme="majorEastAsia" w:hAnsi="Times New Roman" w:cstheme="majorBidi"/>
      <w:b/>
      <w:i/>
      <w:color w:val="000000" w:themeColor="text1"/>
      <w:sz w:val="24"/>
      <w:szCs w:val="26"/>
    </w:rPr>
  </w:style>
  <w:style w:type="paragraph" w:styleId="Heading3">
    <w:name w:val="heading 3"/>
    <w:basedOn w:val="Normal"/>
    <w:link w:val="Heading3Char"/>
    <w:autoRedefine/>
    <w:uiPriority w:val="9"/>
    <w:qFormat/>
    <w:rsid w:val="0096156B"/>
    <w:pPr>
      <w:spacing w:before="100" w:beforeAutospacing="1" w:after="100" w:afterAutospacing="1" w:line="480" w:lineRule="auto"/>
      <w:ind w:left="624"/>
      <w:outlineLvl w:val="2"/>
    </w:pPr>
    <w:rPr>
      <w:rFonts w:ascii="Times New Roman" w:eastAsia="Times New Roman" w:hAnsi="Times New Roman" w:cs="Times New Roman"/>
      <w:b/>
      <w:bCs/>
      <w:i/>
      <w:sz w:val="24"/>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743"/>
    <w:pPr>
      <w:ind w:left="720"/>
      <w:contextualSpacing/>
    </w:pPr>
  </w:style>
  <w:style w:type="paragraph" w:styleId="FootnoteText">
    <w:name w:val="footnote text"/>
    <w:basedOn w:val="Normal"/>
    <w:link w:val="FootnoteTextChar"/>
    <w:autoRedefine/>
    <w:uiPriority w:val="99"/>
    <w:unhideWhenUsed/>
    <w:qFormat/>
    <w:rsid w:val="00AD23B6"/>
    <w:pPr>
      <w:spacing w:after="0" w:line="480" w:lineRule="auto"/>
      <w:jc w:val="both"/>
    </w:pPr>
    <w:rPr>
      <w:rFonts w:ascii="Times New Roman" w:hAnsi="Times New Roman"/>
      <w:sz w:val="20"/>
      <w:szCs w:val="20"/>
    </w:rPr>
  </w:style>
  <w:style w:type="character" w:customStyle="1" w:styleId="FootnoteTextChar">
    <w:name w:val="Footnote Text Char"/>
    <w:basedOn w:val="DefaultParagraphFont"/>
    <w:link w:val="FootnoteText"/>
    <w:uiPriority w:val="99"/>
    <w:rsid w:val="00AD23B6"/>
    <w:rPr>
      <w:rFonts w:ascii="Times New Roman" w:hAnsi="Times New Roman"/>
      <w:sz w:val="20"/>
      <w:szCs w:val="20"/>
    </w:rPr>
  </w:style>
  <w:style w:type="character" w:styleId="FootnoteReference">
    <w:name w:val="footnote reference"/>
    <w:basedOn w:val="DefaultParagraphFont"/>
    <w:uiPriority w:val="99"/>
    <w:semiHidden/>
    <w:unhideWhenUsed/>
    <w:rsid w:val="00C530D9"/>
    <w:rPr>
      <w:vertAlign w:val="superscript"/>
    </w:rPr>
  </w:style>
  <w:style w:type="paragraph" w:styleId="Header">
    <w:name w:val="header"/>
    <w:basedOn w:val="Normal"/>
    <w:link w:val="HeaderChar"/>
    <w:uiPriority w:val="99"/>
    <w:unhideWhenUsed/>
    <w:rsid w:val="00434D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D69"/>
  </w:style>
  <w:style w:type="paragraph" w:styleId="Footer">
    <w:name w:val="footer"/>
    <w:basedOn w:val="Normal"/>
    <w:link w:val="FooterChar"/>
    <w:uiPriority w:val="99"/>
    <w:unhideWhenUsed/>
    <w:rsid w:val="00434D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D69"/>
  </w:style>
  <w:style w:type="paragraph" w:styleId="NormalWeb">
    <w:name w:val="Normal (Web)"/>
    <w:basedOn w:val="Normal"/>
    <w:uiPriority w:val="99"/>
    <w:unhideWhenUsed/>
    <w:rsid w:val="00FD4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40EF"/>
  </w:style>
  <w:style w:type="paragraph" w:styleId="BalloonText">
    <w:name w:val="Balloon Text"/>
    <w:basedOn w:val="Normal"/>
    <w:link w:val="BalloonTextChar"/>
    <w:uiPriority w:val="99"/>
    <w:semiHidden/>
    <w:unhideWhenUsed/>
    <w:rsid w:val="00CC4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398"/>
    <w:rPr>
      <w:rFonts w:ascii="Segoe UI" w:hAnsi="Segoe UI" w:cs="Segoe UI"/>
      <w:sz w:val="18"/>
      <w:szCs w:val="18"/>
    </w:rPr>
  </w:style>
  <w:style w:type="character" w:styleId="CommentReference">
    <w:name w:val="annotation reference"/>
    <w:basedOn w:val="DefaultParagraphFont"/>
    <w:uiPriority w:val="99"/>
    <w:semiHidden/>
    <w:unhideWhenUsed/>
    <w:rsid w:val="00903CEF"/>
    <w:rPr>
      <w:sz w:val="16"/>
      <w:szCs w:val="16"/>
    </w:rPr>
  </w:style>
  <w:style w:type="paragraph" w:styleId="CommentText">
    <w:name w:val="annotation text"/>
    <w:basedOn w:val="Normal"/>
    <w:link w:val="CommentTextChar"/>
    <w:uiPriority w:val="99"/>
    <w:semiHidden/>
    <w:unhideWhenUsed/>
    <w:rsid w:val="00903CEF"/>
    <w:pPr>
      <w:spacing w:line="240" w:lineRule="auto"/>
    </w:pPr>
    <w:rPr>
      <w:sz w:val="20"/>
      <w:szCs w:val="20"/>
    </w:rPr>
  </w:style>
  <w:style w:type="character" w:customStyle="1" w:styleId="CommentTextChar">
    <w:name w:val="Comment Text Char"/>
    <w:basedOn w:val="DefaultParagraphFont"/>
    <w:link w:val="CommentText"/>
    <w:uiPriority w:val="99"/>
    <w:semiHidden/>
    <w:rsid w:val="00903CEF"/>
    <w:rPr>
      <w:sz w:val="20"/>
      <w:szCs w:val="20"/>
    </w:rPr>
  </w:style>
  <w:style w:type="paragraph" w:styleId="CommentSubject">
    <w:name w:val="annotation subject"/>
    <w:basedOn w:val="CommentText"/>
    <w:next w:val="CommentText"/>
    <w:link w:val="CommentSubjectChar"/>
    <w:uiPriority w:val="99"/>
    <w:semiHidden/>
    <w:unhideWhenUsed/>
    <w:rsid w:val="00903CEF"/>
    <w:rPr>
      <w:b/>
      <w:bCs/>
    </w:rPr>
  </w:style>
  <w:style w:type="character" w:customStyle="1" w:styleId="CommentSubjectChar">
    <w:name w:val="Comment Subject Char"/>
    <w:basedOn w:val="CommentTextChar"/>
    <w:link w:val="CommentSubject"/>
    <w:uiPriority w:val="99"/>
    <w:semiHidden/>
    <w:rsid w:val="00903CEF"/>
    <w:rPr>
      <w:b/>
      <w:bCs/>
      <w:sz w:val="20"/>
      <w:szCs w:val="20"/>
    </w:rPr>
  </w:style>
  <w:style w:type="character" w:styleId="Hyperlink">
    <w:name w:val="Hyperlink"/>
    <w:basedOn w:val="DefaultParagraphFont"/>
    <w:uiPriority w:val="99"/>
    <w:unhideWhenUsed/>
    <w:rsid w:val="00316B66"/>
    <w:rPr>
      <w:color w:val="0563C1" w:themeColor="hyperlink"/>
      <w:u w:val="single"/>
    </w:rPr>
  </w:style>
  <w:style w:type="character" w:styleId="UnresolvedMention">
    <w:name w:val="Unresolved Mention"/>
    <w:basedOn w:val="DefaultParagraphFont"/>
    <w:uiPriority w:val="99"/>
    <w:semiHidden/>
    <w:unhideWhenUsed/>
    <w:rsid w:val="00316B66"/>
    <w:rPr>
      <w:color w:val="605E5C"/>
      <w:shd w:val="clear" w:color="auto" w:fill="E1DFDD"/>
    </w:rPr>
  </w:style>
  <w:style w:type="character" w:styleId="Emphasis">
    <w:name w:val="Emphasis"/>
    <w:basedOn w:val="DefaultParagraphFont"/>
    <w:uiPriority w:val="20"/>
    <w:qFormat/>
    <w:rsid w:val="0067064F"/>
    <w:rPr>
      <w:i/>
      <w:iCs/>
    </w:rPr>
  </w:style>
  <w:style w:type="character" w:customStyle="1" w:styleId="Heading3Char">
    <w:name w:val="Heading 3 Char"/>
    <w:basedOn w:val="DefaultParagraphFont"/>
    <w:link w:val="Heading3"/>
    <w:uiPriority w:val="9"/>
    <w:rsid w:val="0096156B"/>
    <w:rPr>
      <w:rFonts w:ascii="Times New Roman" w:eastAsia="Times New Roman" w:hAnsi="Times New Roman" w:cs="Times New Roman"/>
      <w:b/>
      <w:bCs/>
      <w:i/>
      <w:sz w:val="24"/>
      <w:szCs w:val="27"/>
      <w:lang w:eastAsia="en-IE"/>
    </w:rPr>
  </w:style>
  <w:style w:type="character" w:customStyle="1" w:styleId="cite-as">
    <w:name w:val="cite-as"/>
    <w:basedOn w:val="DefaultParagraphFont"/>
    <w:rsid w:val="008A6C5D"/>
  </w:style>
  <w:style w:type="character" w:customStyle="1" w:styleId="Heading1Char">
    <w:name w:val="Heading 1 Char"/>
    <w:basedOn w:val="DefaultParagraphFont"/>
    <w:link w:val="Heading1"/>
    <w:uiPriority w:val="9"/>
    <w:rsid w:val="0096156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272396"/>
    <w:rPr>
      <w:rFonts w:ascii="Times New Roman" w:eastAsiaTheme="majorEastAsia" w:hAnsi="Times New Roman" w:cstheme="majorBidi"/>
      <w:b/>
      <w:i/>
      <w:color w:val="000000" w:themeColor="text1"/>
      <w:sz w:val="24"/>
      <w:szCs w:val="26"/>
    </w:rPr>
  </w:style>
  <w:style w:type="paragraph" w:styleId="EndnoteText">
    <w:name w:val="endnote text"/>
    <w:basedOn w:val="Normal"/>
    <w:link w:val="EndnoteTextChar"/>
    <w:uiPriority w:val="99"/>
    <w:semiHidden/>
    <w:unhideWhenUsed/>
    <w:rsid w:val="00AD23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23B6"/>
    <w:rPr>
      <w:sz w:val="20"/>
      <w:szCs w:val="20"/>
    </w:rPr>
  </w:style>
  <w:style w:type="character" w:styleId="EndnoteReference">
    <w:name w:val="endnote reference"/>
    <w:basedOn w:val="DefaultParagraphFont"/>
    <w:uiPriority w:val="99"/>
    <w:semiHidden/>
    <w:unhideWhenUsed/>
    <w:rsid w:val="00AD23B6"/>
    <w:rPr>
      <w:vertAlign w:val="superscript"/>
    </w:rPr>
  </w:style>
  <w:style w:type="paragraph" w:styleId="TOCHeading">
    <w:name w:val="TOC Heading"/>
    <w:basedOn w:val="Heading1"/>
    <w:next w:val="Normal"/>
    <w:uiPriority w:val="39"/>
    <w:unhideWhenUsed/>
    <w:qFormat/>
    <w:rsid w:val="00304D8A"/>
    <w:pP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304D8A"/>
    <w:pPr>
      <w:spacing w:after="100"/>
    </w:pPr>
  </w:style>
  <w:style w:type="paragraph" w:styleId="TOC2">
    <w:name w:val="toc 2"/>
    <w:basedOn w:val="Normal"/>
    <w:next w:val="Normal"/>
    <w:autoRedefine/>
    <w:uiPriority w:val="39"/>
    <w:unhideWhenUsed/>
    <w:rsid w:val="00304D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4350">
      <w:bodyDiv w:val="1"/>
      <w:marLeft w:val="0"/>
      <w:marRight w:val="0"/>
      <w:marTop w:val="0"/>
      <w:marBottom w:val="0"/>
      <w:divBdr>
        <w:top w:val="none" w:sz="0" w:space="0" w:color="auto"/>
        <w:left w:val="none" w:sz="0" w:space="0" w:color="auto"/>
        <w:bottom w:val="none" w:sz="0" w:space="0" w:color="auto"/>
        <w:right w:val="none" w:sz="0" w:space="0" w:color="auto"/>
      </w:divBdr>
    </w:div>
    <w:div w:id="581331624">
      <w:bodyDiv w:val="1"/>
      <w:marLeft w:val="0"/>
      <w:marRight w:val="0"/>
      <w:marTop w:val="0"/>
      <w:marBottom w:val="0"/>
      <w:divBdr>
        <w:top w:val="none" w:sz="0" w:space="0" w:color="auto"/>
        <w:left w:val="none" w:sz="0" w:space="0" w:color="auto"/>
        <w:bottom w:val="none" w:sz="0" w:space="0" w:color="auto"/>
        <w:right w:val="none" w:sz="0" w:space="0" w:color="auto"/>
      </w:divBdr>
    </w:div>
    <w:div w:id="686714268">
      <w:bodyDiv w:val="1"/>
      <w:marLeft w:val="0"/>
      <w:marRight w:val="0"/>
      <w:marTop w:val="0"/>
      <w:marBottom w:val="0"/>
      <w:divBdr>
        <w:top w:val="none" w:sz="0" w:space="0" w:color="auto"/>
        <w:left w:val="none" w:sz="0" w:space="0" w:color="auto"/>
        <w:bottom w:val="none" w:sz="0" w:space="0" w:color="auto"/>
        <w:right w:val="none" w:sz="0" w:space="0" w:color="auto"/>
      </w:divBdr>
    </w:div>
    <w:div w:id="883367352">
      <w:bodyDiv w:val="1"/>
      <w:marLeft w:val="0"/>
      <w:marRight w:val="0"/>
      <w:marTop w:val="0"/>
      <w:marBottom w:val="0"/>
      <w:divBdr>
        <w:top w:val="none" w:sz="0" w:space="0" w:color="auto"/>
        <w:left w:val="none" w:sz="0" w:space="0" w:color="auto"/>
        <w:bottom w:val="none" w:sz="0" w:space="0" w:color="auto"/>
        <w:right w:val="none" w:sz="0" w:space="0" w:color="auto"/>
      </w:divBdr>
      <w:divsChild>
        <w:div w:id="2125735203">
          <w:marLeft w:val="0"/>
          <w:marRight w:val="0"/>
          <w:marTop w:val="0"/>
          <w:marBottom w:val="0"/>
          <w:divBdr>
            <w:top w:val="none" w:sz="0" w:space="0" w:color="auto"/>
            <w:left w:val="none" w:sz="0" w:space="0" w:color="auto"/>
            <w:bottom w:val="none" w:sz="0" w:space="0" w:color="auto"/>
            <w:right w:val="none" w:sz="0" w:space="0" w:color="auto"/>
          </w:divBdr>
          <w:divsChild>
            <w:div w:id="702053618">
              <w:marLeft w:val="0"/>
              <w:marRight w:val="0"/>
              <w:marTop w:val="0"/>
              <w:marBottom w:val="0"/>
              <w:divBdr>
                <w:top w:val="none" w:sz="0" w:space="0" w:color="auto"/>
                <w:left w:val="none" w:sz="0" w:space="0" w:color="auto"/>
                <w:bottom w:val="none" w:sz="0" w:space="0" w:color="auto"/>
                <w:right w:val="none" w:sz="0" w:space="0" w:color="auto"/>
              </w:divBdr>
              <w:divsChild>
                <w:div w:id="14815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18467">
      <w:bodyDiv w:val="1"/>
      <w:marLeft w:val="0"/>
      <w:marRight w:val="0"/>
      <w:marTop w:val="0"/>
      <w:marBottom w:val="0"/>
      <w:divBdr>
        <w:top w:val="none" w:sz="0" w:space="0" w:color="auto"/>
        <w:left w:val="none" w:sz="0" w:space="0" w:color="auto"/>
        <w:bottom w:val="none" w:sz="0" w:space="0" w:color="auto"/>
        <w:right w:val="none" w:sz="0" w:space="0" w:color="auto"/>
      </w:divBdr>
    </w:div>
    <w:div w:id="1922255742">
      <w:bodyDiv w:val="1"/>
      <w:marLeft w:val="0"/>
      <w:marRight w:val="0"/>
      <w:marTop w:val="0"/>
      <w:marBottom w:val="0"/>
      <w:divBdr>
        <w:top w:val="none" w:sz="0" w:space="0" w:color="auto"/>
        <w:left w:val="none" w:sz="0" w:space="0" w:color="auto"/>
        <w:bottom w:val="none" w:sz="0" w:space="0" w:color="auto"/>
        <w:right w:val="none" w:sz="0" w:space="0" w:color="auto"/>
      </w:divBdr>
    </w:div>
    <w:div w:id="1940065946">
      <w:bodyDiv w:val="1"/>
      <w:marLeft w:val="0"/>
      <w:marRight w:val="0"/>
      <w:marTop w:val="0"/>
      <w:marBottom w:val="0"/>
      <w:divBdr>
        <w:top w:val="none" w:sz="0" w:space="0" w:color="auto"/>
        <w:left w:val="none" w:sz="0" w:space="0" w:color="auto"/>
        <w:bottom w:val="none" w:sz="0" w:space="0" w:color="auto"/>
        <w:right w:val="none" w:sz="0" w:space="0" w:color="auto"/>
      </w:divBdr>
    </w:div>
    <w:div w:id="19611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estlaw.com/Document/I231897D1E42811DA8FC2A0F0355337E9/View/FullText.html?navigationPath=Search%2Fv1%2Fresults%2Fnavigation%2Fi0ad740350000017d9f0b001c77e5257f%3Fppcid%3D28f00ba07aa94a909a7b1e684f92b5df%26Nav%3DRESEARCH_COMBINED_WLUK%26fragmentIdentifier%3DI231897D1E42811DA8FC2A0F0355337E9%26parentRank%3D0%26startIndex%3D1%26contextData%3D%2528sc.Search%2529%26transitionType%3DSearchItem&amp;listSource=Search&amp;listPageSource=d43578d90c37d10912e927b62fa3334d&amp;list=RESEARCH_COMBINED_WLUK&amp;rank=2&amp;sessionScopeId=24e55ecac98146da52d351368b90a73c1fb531caf4941b0b2c9d217abb722048&amp;ppcid=28f00ba07aa94a909a7b1e684f92b5df&amp;originationContext=Search%20Result&amp;transitionType=SearchItem&amp;contextData=(sc.Search)&amp;comp=wl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47945-6D2F-4493-9A07-0951D2220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127</Pages>
  <Words>30061</Words>
  <Characters>171349</Characters>
  <Application>Microsoft Office Word</Application>
  <DocSecurity>0</DocSecurity>
  <Lines>1427</Lines>
  <Paragraphs>402</Paragraphs>
  <ScaleCrop>false</ScaleCrop>
  <Company/>
  <LinksUpToDate>false</LinksUpToDate>
  <CharactersWithSpaces>201008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2022-04-07T10:24:00Z</dcterms:created>
  <dcterms:modified xsi:type="dcterms:W3CDTF">2022-04-07T10:25:00Z</dcterms:modified>
</cp:coreProperties>
</file>