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C9A7" w14:textId="77777777" w:rsidR="00B075C2" w:rsidRPr="00E902F2" w:rsidRDefault="00E062E3" w:rsidP="002C7B0B">
      <w:pPr>
        <w:spacing w:line="360" w:lineRule="auto"/>
        <w:contextualSpacing/>
        <w:jc w:val="center"/>
        <w:rPr>
          <w:b/>
          <w:sz w:val="32"/>
          <w:szCs w:val="32"/>
        </w:rPr>
      </w:pPr>
      <w:r w:rsidRPr="00E902F2">
        <w:rPr>
          <w:b/>
          <w:sz w:val="32"/>
          <w:szCs w:val="32"/>
        </w:rPr>
        <w:t>THE HIGH COURT</w:t>
      </w:r>
    </w:p>
    <w:p w14:paraId="6B88F730" w14:textId="77777777" w:rsidR="00402800" w:rsidRPr="00354280" w:rsidRDefault="00B075C2" w:rsidP="00354280">
      <w:pPr>
        <w:spacing w:line="360" w:lineRule="auto"/>
        <w:contextualSpacing/>
        <w:jc w:val="center"/>
        <w:rPr>
          <w:b/>
          <w:sz w:val="32"/>
          <w:szCs w:val="32"/>
        </w:rPr>
      </w:pPr>
      <w:r w:rsidRPr="00E902F2">
        <w:rPr>
          <w:b/>
          <w:sz w:val="32"/>
          <w:szCs w:val="32"/>
        </w:rPr>
        <w:t>JUDICIAL REVIEW</w:t>
      </w:r>
    </w:p>
    <w:p w14:paraId="007FDF62" w14:textId="77777777" w:rsidR="00476091" w:rsidRDefault="00476091" w:rsidP="00354280">
      <w:pPr>
        <w:spacing w:line="360" w:lineRule="auto"/>
        <w:contextualSpacing/>
        <w:jc w:val="right"/>
        <w:rPr>
          <w:b/>
          <w:sz w:val="28"/>
          <w:szCs w:val="28"/>
        </w:rPr>
      </w:pPr>
      <w:r>
        <w:rPr>
          <w:b/>
          <w:sz w:val="28"/>
          <w:szCs w:val="28"/>
        </w:rPr>
        <w:t>[2022] IEHC 329</w:t>
      </w:r>
    </w:p>
    <w:p w14:paraId="44A9584A" w14:textId="77777777" w:rsidR="00354280" w:rsidRPr="00354280" w:rsidRDefault="00354280" w:rsidP="00354280">
      <w:pPr>
        <w:spacing w:line="360" w:lineRule="auto"/>
        <w:contextualSpacing/>
        <w:jc w:val="right"/>
        <w:rPr>
          <w:b/>
          <w:sz w:val="28"/>
          <w:szCs w:val="28"/>
          <w:u w:val="single"/>
        </w:rPr>
      </w:pPr>
      <w:r>
        <w:rPr>
          <w:b/>
          <w:sz w:val="28"/>
          <w:szCs w:val="28"/>
        </w:rPr>
        <w:t>[</w:t>
      </w:r>
      <w:r w:rsidRPr="00072595">
        <w:rPr>
          <w:b/>
          <w:sz w:val="28"/>
          <w:szCs w:val="28"/>
        </w:rPr>
        <w:t>Record No: 2020/616</w:t>
      </w:r>
      <w:r>
        <w:rPr>
          <w:b/>
          <w:sz w:val="28"/>
          <w:szCs w:val="28"/>
        </w:rPr>
        <w:t xml:space="preserve"> </w:t>
      </w:r>
      <w:r w:rsidRPr="00072595">
        <w:rPr>
          <w:b/>
          <w:sz w:val="28"/>
          <w:szCs w:val="28"/>
        </w:rPr>
        <w:t>JR</w:t>
      </w:r>
      <w:r>
        <w:rPr>
          <w:b/>
          <w:sz w:val="28"/>
          <w:szCs w:val="28"/>
        </w:rPr>
        <w:t>]</w:t>
      </w:r>
    </w:p>
    <w:p w14:paraId="2FACF6BC" w14:textId="77777777" w:rsidR="00402800" w:rsidRPr="00072595" w:rsidRDefault="00402800" w:rsidP="002C7B0B">
      <w:pPr>
        <w:spacing w:line="360" w:lineRule="auto"/>
        <w:contextualSpacing/>
        <w:jc w:val="center"/>
        <w:rPr>
          <w:b/>
          <w:sz w:val="28"/>
          <w:szCs w:val="28"/>
        </w:rPr>
      </w:pPr>
      <w:r w:rsidRPr="00072595">
        <w:rPr>
          <w:b/>
          <w:sz w:val="28"/>
          <w:szCs w:val="28"/>
        </w:rPr>
        <w:t>IN THE MATTER OF SECTION 50 OF THE PLANNING AND DEVELOPMENT ACT</w:t>
      </w:r>
      <w:r w:rsidR="002B692D">
        <w:rPr>
          <w:b/>
          <w:sz w:val="28"/>
          <w:szCs w:val="28"/>
        </w:rPr>
        <w:t>,</w:t>
      </w:r>
      <w:r w:rsidRPr="00072595">
        <w:rPr>
          <w:b/>
          <w:sz w:val="28"/>
          <w:szCs w:val="28"/>
        </w:rPr>
        <w:t xml:space="preserve"> 2000</w:t>
      </w:r>
      <w:r w:rsidR="006632D4" w:rsidRPr="00072595">
        <w:rPr>
          <w:b/>
          <w:sz w:val="28"/>
          <w:szCs w:val="28"/>
        </w:rPr>
        <w:t xml:space="preserve"> (</w:t>
      </w:r>
      <w:r w:rsidRPr="00072595">
        <w:rPr>
          <w:b/>
          <w:sz w:val="28"/>
          <w:szCs w:val="28"/>
        </w:rPr>
        <w:t>AS AMENDED</w:t>
      </w:r>
      <w:r w:rsidR="006632D4" w:rsidRPr="00072595">
        <w:rPr>
          <w:b/>
          <w:sz w:val="28"/>
          <w:szCs w:val="28"/>
        </w:rPr>
        <w:t>)</w:t>
      </w:r>
    </w:p>
    <w:p w14:paraId="19826629" w14:textId="77777777" w:rsidR="00354280" w:rsidRDefault="00354280" w:rsidP="00354280">
      <w:pPr>
        <w:spacing w:line="360" w:lineRule="auto"/>
        <w:contextualSpacing/>
        <w:jc w:val="right"/>
        <w:rPr>
          <w:b/>
          <w:sz w:val="28"/>
          <w:szCs w:val="28"/>
        </w:rPr>
      </w:pPr>
    </w:p>
    <w:p w14:paraId="3A9600E5" w14:textId="77777777" w:rsidR="002C7B0B" w:rsidRPr="00072595" w:rsidRDefault="00402800" w:rsidP="002C7B0B">
      <w:pPr>
        <w:spacing w:line="360" w:lineRule="auto"/>
        <w:contextualSpacing/>
        <w:rPr>
          <w:b/>
          <w:sz w:val="28"/>
          <w:szCs w:val="28"/>
        </w:rPr>
      </w:pPr>
      <w:r w:rsidRPr="00072595">
        <w:rPr>
          <w:b/>
          <w:sz w:val="28"/>
          <w:szCs w:val="28"/>
        </w:rPr>
        <w:t>BETWEEN</w:t>
      </w:r>
      <w:r w:rsidR="00072595">
        <w:rPr>
          <w:b/>
          <w:sz w:val="28"/>
          <w:szCs w:val="28"/>
        </w:rPr>
        <w:t>:</w:t>
      </w:r>
    </w:p>
    <w:p w14:paraId="27AD2E67" w14:textId="77777777" w:rsidR="00B075C2" w:rsidRPr="00072595" w:rsidRDefault="006632D4" w:rsidP="002C7B0B">
      <w:pPr>
        <w:spacing w:line="360" w:lineRule="auto"/>
        <w:contextualSpacing/>
        <w:jc w:val="center"/>
        <w:rPr>
          <w:b/>
          <w:sz w:val="28"/>
          <w:szCs w:val="28"/>
        </w:rPr>
      </w:pPr>
      <w:r w:rsidRPr="00072595">
        <w:rPr>
          <w:b/>
          <w:sz w:val="28"/>
          <w:szCs w:val="28"/>
        </w:rPr>
        <w:t>BARFORD HOLDINGS LIMITED</w:t>
      </w:r>
    </w:p>
    <w:p w14:paraId="39D9FDC2" w14:textId="77777777" w:rsidR="00B075C2" w:rsidRPr="00072595" w:rsidRDefault="00072595" w:rsidP="002C7B0B">
      <w:pPr>
        <w:spacing w:line="360" w:lineRule="auto"/>
        <w:contextualSpacing/>
        <w:jc w:val="right"/>
        <w:rPr>
          <w:b/>
          <w:sz w:val="28"/>
          <w:szCs w:val="28"/>
        </w:rPr>
      </w:pPr>
      <w:r w:rsidRPr="00072595">
        <w:rPr>
          <w:b/>
          <w:sz w:val="28"/>
          <w:szCs w:val="28"/>
        </w:rPr>
        <w:t>APPLICANT</w:t>
      </w:r>
    </w:p>
    <w:p w14:paraId="7AE8DB3B" w14:textId="77777777" w:rsidR="00B075C2" w:rsidRPr="00072595" w:rsidRDefault="00402800" w:rsidP="002C7B0B">
      <w:pPr>
        <w:spacing w:line="360" w:lineRule="auto"/>
        <w:contextualSpacing/>
        <w:jc w:val="center"/>
        <w:rPr>
          <w:b/>
          <w:sz w:val="28"/>
          <w:szCs w:val="28"/>
        </w:rPr>
      </w:pPr>
      <w:r w:rsidRPr="00072595">
        <w:rPr>
          <w:b/>
          <w:sz w:val="28"/>
          <w:szCs w:val="28"/>
        </w:rPr>
        <w:t>A</w:t>
      </w:r>
      <w:r w:rsidR="00B075C2" w:rsidRPr="00072595">
        <w:rPr>
          <w:b/>
          <w:sz w:val="28"/>
          <w:szCs w:val="28"/>
        </w:rPr>
        <w:t>ND</w:t>
      </w:r>
    </w:p>
    <w:p w14:paraId="522F6BE1" w14:textId="77777777" w:rsidR="00B075C2" w:rsidRPr="00072595" w:rsidRDefault="00B075C2" w:rsidP="002C7B0B">
      <w:pPr>
        <w:spacing w:line="360" w:lineRule="auto"/>
        <w:contextualSpacing/>
        <w:rPr>
          <w:b/>
          <w:sz w:val="28"/>
          <w:szCs w:val="28"/>
        </w:rPr>
      </w:pPr>
    </w:p>
    <w:p w14:paraId="004A83EA" w14:textId="77777777" w:rsidR="00B075C2" w:rsidRPr="00072595" w:rsidRDefault="00B075C2" w:rsidP="002C7B0B">
      <w:pPr>
        <w:spacing w:line="360" w:lineRule="auto"/>
        <w:contextualSpacing/>
        <w:jc w:val="center"/>
        <w:rPr>
          <w:b/>
          <w:sz w:val="28"/>
          <w:szCs w:val="28"/>
        </w:rPr>
      </w:pPr>
      <w:r w:rsidRPr="00072595">
        <w:rPr>
          <w:b/>
          <w:sz w:val="28"/>
          <w:szCs w:val="28"/>
        </w:rPr>
        <w:t>FINGAL COUNTY COUNCIL</w:t>
      </w:r>
    </w:p>
    <w:p w14:paraId="45B34E12" w14:textId="77777777" w:rsidR="00B075C2" w:rsidRPr="00072595" w:rsidRDefault="00072595" w:rsidP="002C7B0B">
      <w:pPr>
        <w:spacing w:line="360" w:lineRule="auto"/>
        <w:contextualSpacing/>
        <w:jc w:val="right"/>
        <w:rPr>
          <w:b/>
          <w:sz w:val="28"/>
          <w:szCs w:val="28"/>
        </w:rPr>
      </w:pPr>
      <w:r w:rsidRPr="00072595">
        <w:rPr>
          <w:b/>
          <w:sz w:val="28"/>
          <w:szCs w:val="28"/>
        </w:rPr>
        <w:t>RESPONDENT</w:t>
      </w:r>
    </w:p>
    <w:p w14:paraId="0AC6ECE0" w14:textId="77777777" w:rsidR="00C50F62" w:rsidRDefault="00C50F62" w:rsidP="002C7B0B">
      <w:pPr>
        <w:spacing w:line="360" w:lineRule="auto"/>
        <w:jc w:val="both"/>
        <w:rPr>
          <w:rFonts w:eastAsia="Arial Unicode MS"/>
        </w:rPr>
      </w:pPr>
    </w:p>
    <w:p w14:paraId="0C79F132" w14:textId="77777777" w:rsidR="002C7B0B" w:rsidRPr="002D34F0" w:rsidRDefault="002D34F0" w:rsidP="00A8798C">
      <w:pPr>
        <w:spacing w:line="360" w:lineRule="auto"/>
        <w:jc w:val="both"/>
        <w:rPr>
          <w:rFonts w:eastAsia="Arial Unicode MS"/>
          <w:b/>
        </w:rPr>
      </w:pPr>
      <w:r w:rsidRPr="002D34F0">
        <w:rPr>
          <w:rFonts w:eastAsia="Arial Unicode MS"/>
          <w:b/>
        </w:rPr>
        <w:t xml:space="preserve">JUDGMENT </w:t>
      </w:r>
      <w:r w:rsidR="00072595" w:rsidRPr="00072595">
        <w:rPr>
          <w:rFonts w:eastAsia="Arial Unicode MS"/>
          <w:b/>
        </w:rPr>
        <w:t>of Ms. Justice Siobh</w:t>
      </w:r>
      <w:r w:rsidR="00412B11">
        <w:rPr>
          <w:rFonts w:eastAsia="Arial Unicode MS"/>
          <w:b/>
        </w:rPr>
        <w:t>á</w:t>
      </w:r>
      <w:r w:rsidR="00072595" w:rsidRPr="00072595">
        <w:rPr>
          <w:rFonts w:eastAsia="Arial Unicode MS"/>
          <w:b/>
        </w:rPr>
        <w:t xml:space="preserve">n Phelan </w:t>
      </w:r>
      <w:r w:rsidR="00072595" w:rsidRPr="002D34F0">
        <w:rPr>
          <w:rFonts w:eastAsia="Arial Unicode MS"/>
          <w:b/>
        </w:rPr>
        <w:t xml:space="preserve">delivered on the </w:t>
      </w:r>
      <w:r w:rsidR="00070241">
        <w:rPr>
          <w:rFonts w:eastAsia="Arial Unicode MS"/>
          <w:b/>
        </w:rPr>
        <w:t>26</w:t>
      </w:r>
      <w:r w:rsidR="00070241" w:rsidRPr="00070241">
        <w:rPr>
          <w:rFonts w:eastAsia="Arial Unicode MS"/>
          <w:b/>
          <w:vertAlign w:val="superscript"/>
        </w:rPr>
        <w:t>th</w:t>
      </w:r>
      <w:r w:rsidR="00070241">
        <w:rPr>
          <w:rFonts w:eastAsia="Arial Unicode MS"/>
          <w:b/>
        </w:rPr>
        <w:t xml:space="preserve"> </w:t>
      </w:r>
      <w:r w:rsidR="00072595" w:rsidRPr="002D34F0">
        <w:rPr>
          <w:rFonts w:eastAsia="Arial Unicode MS"/>
          <w:b/>
        </w:rPr>
        <w:t>day of</w:t>
      </w:r>
      <w:r w:rsidR="00B04847">
        <w:rPr>
          <w:rFonts w:eastAsia="Arial Unicode MS"/>
          <w:b/>
        </w:rPr>
        <w:t xml:space="preserve"> April,</w:t>
      </w:r>
      <w:r w:rsidR="00072595" w:rsidRPr="002D34F0">
        <w:rPr>
          <w:rFonts w:eastAsia="Arial Unicode MS"/>
          <w:b/>
        </w:rPr>
        <w:t xml:space="preserve"> 2022</w:t>
      </w:r>
    </w:p>
    <w:p w14:paraId="3D26B7E6" w14:textId="77777777" w:rsidR="002D34F0" w:rsidRDefault="002D34F0" w:rsidP="00A8798C">
      <w:pPr>
        <w:spacing w:line="360" w:lineRule="auto"/>
        <w:jc w:val="both"/>
        <w:rPr>
          <w:rFonts w:eastAsia="Arial Unicode MS"/>
        </w:rPr>
      </w:pPr>
    </w:p>
    <w:p w14:paraId="1169B6E4" w14:textId="77777777" w:rsidR="007633FC" w:rsidRPr="00933E6D" w:rsidRDefault="007633FC" w:rsidP="00E2277A">
      <w:pPr>
        <w:spacing w:line="360" w:lineRule="auto"/>
        <w:rPr>
          <w:rFonts w:eastAsia="Arial Unicode MS"/>
          <w:b/>
          <w:bCs/>
          <w:caps/>
        </w:rPr>
      </w:pPr>
      <w:r w:rsidRPr="00933E6D">
        <w:rPr>
          <w:rFonts w:eastAsia="Arial Unicode MS"/>
          <w:b/>
          <w:bCs/>
          <w:caps/>
        </w:rPr>
        <w:t>Introduction</w:t>
      </w:r>
    </w:p>
    <w:p w14:paraId="1F9A157B" w14:textId="77777777" w:rsidR="007633FC" w:rsidRPr="007633FC" w:rsidRDefault="007633FC" w:rsidP="00A8798C">
      <w:pPr>
        <w:spacing w:line="360" w:lineRule="auto"/>
        <w:jc w:val="both"/>
        <w:rPr>
          <w:rFonts w:eastAsia="Arial Unicode MS"/>
          <w:b/>
          <w:bCs/>
          <w:u w:val="single"/>
        </w:rPr>
      </w:pPr>
    </w:p>
    <w:p w14:paraId="7536E28D" w14:textId="77777777" w:rsidR="00706452" w:rsidRPr="00A41ED4" w:rsidRDefault="006632D4" w:rsidP="00B04847">
      <w:pPr>
        <w:numPr>
          <w:ilvl w:val="0"/>
          <w:numId w:val="1"/>
        </w:numPr>
        <w:spacing w:line="360" w:lineRule="auto"/>
        <w:ind w:left="0" w:firstLine="0"/>
        <w:jc w:val="both"/>
        <w:rPr>
          <w:rFonts w:eastAsia="Arial Unicode MS"/>
          <w:lang w:val="en-GB"/>
        </w:rPr>
      </w:pPr>
      <w:r w:rsidRPr="004E5F36">
        <w:rPr>
          <w:rFonts w:eastAsia="Arial Unicode MS"/>
        </w:rPr>
        <w:t xml:space="preserve">The </w:t>
      </w:r>
      <w:r w:rsidR="00F011F3">
        <w:rPr>
          <w:rFonts w:eastAsia="Arial Unicode MS"/>
        </w:rPr>
        <w:t>applicant</w:t>
      </w:r>
      <w:r w:rsidRPr="004E5F36">
        <w:rPr>
          <w:rFonts w:eastAsia="Arial Unicode MS"/>
        </w:rPr>
        <w:t xml:space="preserve"> challenges </w:t>
      </w:r>
      <w:r w:rsidR="008C54A9">
        <w:rPr>
          <w:rFonts w:eastAsia="Arial Unicode MS"/>
        </w:rPr>
        <w:t xml:space="preserve">a decision </w:t>
      </w:r>
      <w:r w:rsidR="007633FC">
        <w:rPr>
          <w:rFonts w:eastAsia="Arial Unicode MS"/>
        </w:rPr>
        <w:t xml:space="preserve">of </w:t>
      </w:r>
      <w:r w:rsidR="00501D9D">
        <w:rPr>
          <w:rFonts w:eastAsia="Arial Unicode MS"/>
        </w:rPr>
        <w:t xml:space="preserve">the </w:t>
      </w:r>
      <w:r w:rsidR="00F011F3">
        <w:rPr>
          <w:rFonts w:eastAsia="Arial Unicode MS"/>
        </w:rPr>
        <w:t>respondent</w:t>
      </w:r>
      <w:r w:rsidR="00501D9D">
        <w:rPr>
          <w:rFonts w:eastAsia="Arial Unicode MS"/>
        </w:rPr>
        <w:t xml:space="preserve"> </w:t>
      </w:r>
      <w:r w:rsidR="00A8798C">
        <w:rPr>
          <w:rFonts w:eastAsia="Arial Unicode MS"/>
        </w:rPr>
        <w:t>made on the 20</w:t>
      </w:r>
      <w:r w:rsidR="00A8798C" w:rsidRPr="00A8798C">
        <w:rPr>
          <w:rFonts w:eastAsia="Arial Unicode MS"/>
          <w:vertAlign w:val="superscript"/>
        </w:rPr>
        <w:t>th</w:t>
      </w:r>
      <w:r w:rsidR="00A8798C">
        <w:rPr>
          <w:rFonts w:eastAsia="Arial Unicode MS"/>
        </w:rPr>
        <w:t xml:space="preserve"> </w:t>
      </w:r>
      <w:r w:rsidR="00412B11">
        <w:rPr>
          <w:rFonts w:eastAsia="Arial Unicode MS"/>
        </w:rPr>
        <w:t xml:space="preserve">of </w:t>
      </w:r>
      <w:r w:rsidR="00A8798C">
        <w:rPr>
          <w:rFonts w:eastAsia="Arial Unicode MS"/>
        </w:rPr>
        <w:t>July 2020</w:t>
      </w:r>
      <w:r w:rsidR="000F65B8">
        <w:rPr>
          <w:rFonts w:eastAsia="Arial Unicode MS"/>
        </w:rPr>
        <w:t xml:space="preserve"> </w:t>
      </w:r>
      <w:r w:rsidR="005E5203">
        <w:rPr>
          <w:rFonts w:eastAsia="Arial Unicode MS"/>
        </w:rPr>
        <w:t xml:space="preserve">and </w:t>
      </w:r>
      <w:r w:rsidR="000F65B8">
        <w:rPr>
          <w:rFonts w:eastAsia="Arial Unicode MS"/>
        </w:rPr>
        <w:t xml:space="preserve">recorded in the </w:t>
      </w:r>
      <w:r w:rsidR="005E5203">
        <w:rPr>
          <w:rFonts w:eastAsia="Arial Unicode MS"/>
        </w:rPr>
        <w:t>‘</w:t>
      </w:r>
      <w:r w:rsidR="00C420A9">
        <w:rPr>
          <w:rFonts w:eastAsia="Arial Unicode MS"/>
        </w:rPr>
        <w:t>Record of Executive Business and Chief Executive’s Order</w:t>
      </w:r>
      <w:r w:rsidR="005E5203">
        <w:rPr>
          <w:rFonts w:eastAsia="Arial Unicode MS"/>
        </w:rPr>
        <w:t xml:space="preserve">’ </w:t>
      </w:r>
      <w:r w:rsidR="000F65B8">
        <w:rPr>
          <w:rFonts w:eastAsia="Arial Unicode MS"/>
        </w:rPr>
        <w:t xml:space="preserve">Order No. </w:t>
      </w:r>
      <w:r w:rsidR="00A8798C">
        <w:rPr>
          <w:rFonts w:eastAsia="Arial Unicode MS"/>
        </w:rPr>
        <w:t>PF/0930</w:t>
      </w:r>
      <w:r w:rsidR="00C420A9">
        <w:rPr>
          <w:rFonts w:eastAsia="Arial Unicode MS"/>
        </w:rPr>
        <w:t>/20</w:t>
      </w:r>
      <w:r w:rsidR="00A8798C">
        <w:rPr>
          <w:rFonts w:eastAsia="Arial Unicode MS"/>
        </w:rPr>
        <w:t xml:space="preserve"> </w:t>
      </w:r>
      <w:r w:rsidR="000F65B8">
        <w:rPr>
          <w:rFonts w:eastAsia="Arial Unicode MS"/>
        </w:rPr>
        <w:t>and Register Reference F14/0109/E1, not to extend the duration of planning permission register reference F14/0109 (</w:t>
      </w:r>
      <w:r w:rsidR="00501D9D">
        <w:rPr>
          <w:rFonts w:eastAsia="Arial Unicode MS"/>
        </w:rPr>
        <w:t xml:space="preserve">hereinafter </w:t>
      </w:r>
      <w:r w:rsidR="00102210">
        <w:rPr>
          <w:rFonts w:eastAsia="Arial Unicode MS"/>
        </w:rPr>
        <w:t xml:space="preserve">the </w:t>
      </w:r>
      <w:r w:rsidR="000F65B8">
        <w:rPr>
          <w:rFonts w:eastAsia="Arial Unicode MS"/>
        </w:rPr>
        <w:t>“</w:t>
      </w:r>
      <w:r w:rsidR="006F382B">
        <w:rPr>
          <w:rFonts w:eastAsia="Arial Unicode MS"/>
        </w:rPr>
        <w:t>D</w:t>
      </w:r>
      <w:r w:rsidR="000F65B8">
        <w:rPr>
          <w:rFonts w:eastAsia="Arial Unicode MS"/>
        </w:rPr>
        <w:t>ecision”)</w:t>
      </w:r>
      <w:r w:rsidR="00A8798C">
        <w:rPr>
          <w:rFonts w:eastAsia="Arial Unicode MS"/>
        </w:rPr>
        <w:t>.</w:t>
      </w:r>
    </w:p>
    <w:p w14:paraId="559E3761" w14:textId="77777777" w:rsidR="00A41ED4" w:rsidRPr="00A41ED4" w:rsidRDefault="00A41ED4" w:rsidP="00B04847">
      <w:pPr>
        <w:spacing w:line="360" w:lineRule="auto"/>
        <w:jc w:val="both"/>
        <w:rPr>
          <w:rFonts w:eastAsia="Arial Unicode MS"/>
          <w:lang w:val="en-GB"/>
        </w:rPr>
      </w:pPr>
    </w:p>
    <w:p w14:paraId="31BF5D54" w14:textId="77777777" w:rsidR="0089251B" w:rsidRDefault="00A41ED4" w:rsidP="00B04847">
      <w:pPr>
        <w:numPr>
          <w:ilvl w:val="0"/>
          <w:numId w:val="1"/>
        </w:numPr>
        <w:spacing w:line="360" w:lineRule="auto"/>
        <w:ind w:left="0" w:firstLine="0"/>
        <w:jc w:val="both"/>
        <w:rPr>
          <w:rFonts w:eastAsia="Arial Unicode MS"/>
        </w:rPr>
      </w:pPr>
      <w:r w:rsidRPr="00146726">
        <w:rPr>
          <w:rFonts w:eastAsia="Arial Unicode MS"/>
        </w:rPr>
        <w:t xml:space="preserve">The </w:t>
      </w:r>
      <w:r w:rsidR="006F382B">
        <w:rPr>
          <w:rFonts w:eastAsia="Arial Unicode MS"/>
        </w:rPr>
        <w:t xml:space="preserve">Decision </w:t>
      </w:r>
      <w:r w:rsidR="00933E6D" w:rsidRPr="00146726">
        <w:rPr>
          <w:rFonts w:eastAsia="Arial Unicode MS"/>
        </w:rPr>
        <w:t>was consequent upon</w:t>
      </w:r>
      <w:r w:rsidRPr="00146726">
        <w:rPr>
          <w:rFonts w:eastAsia="Arial Unicode MS"/>
        </w:rPr>
        <w:t xml:space="preserve"> </w:t>
      </w:r>
      <w:r w:rsidR="00933E6D" w:rsidRPr="00146726">
        <w:rPr>
          <w:rFonts w:eastAsia="Arial Unicode MS"/>
        </w:rPr>
        <w:t>an</w:t>
      </w:r>
      <w:r w:rsidRPr="00146726">
        <w:rPr>
          <w:rFonts w:eastAsia="Arial Unicode MS"/>
        </w:rPr>
        <w:t xml:space="preserve"> application made by the </w:t>
      </w:r>
      <w:r w:rsidR="00F011F3">
        <w:rPr>
          <w:rFonts w:eastAsia="Arial Unicode MS"/>
        </w:rPr>
        <w:t>applicant</w:t>
      </w:r>
      <w:r w:rsidRPr="00146726">
        <w:rPr>
          <w:rFonts w:eastAsia="Arial Unicode MS"/>
        </w:rPr>
        <w:t xml:space="preserve"> on</w:t>
      </w:r>
      <w:r w:rsidR="00412B11">
        <w:rPr>
          <w:rFonts w:eastAsia="Arial Unicode MS"/>
        </w:rPr>
        <w:t xml:space="preserve"> the</w:t>
      </w:r>
      <w:r w:rsidRPr="00146726">
        <w:rPr>
          <w:rFonts w:eastAsia="Arial Unicode MS"/>
        </w:rPr>
        <w:t xml:space="preserve"> 2</w:t>
      </w:r>
      <w:r w:rsidR="006F6958" w:rsidRPr="00146726">
        <w:rPr>
          <w:rFonts w:eastAsia="Arial Unicode MS"/>
        </w:rPr>
        <w:t>9</w:t>
      </w:r>
      <w:r w:rsidR="006F6958" w:rsidRPr="00146726">
        <w:rPr>
          <w:rFonts w:eastAsia="Arial Unicode MS"/>
          <w:vertAlign w:val="superscript"/>
        </w:rPr>
        <w:t>th</w:t>
      </w:r>
      <w:r w:rsidR="006F6958" w:rsidRPr="00146726">
        <w:rPr>
          <w:rFonts w:eastAsia="Arial Unicode MS"/>
        </w:rPr>
        <w:t xml:space="preserve"> </w:t>
      </w:r>
      <w:r w:rsidR="00412B11">
        <w:rPr>
          <w:rFonts w:eastAsia="Arial Unicode MS"/>
        </w:rPr>
        <w:t xml:space="preserve">of </w:t>
      </w:r>
      <w:r w:rsidRPr="00146726">
        <w:rPr>
          <w:rFonts w:eastAsia="Arial Unicode MS"/>
        </w:rPr>
        <w:t>May 2020</w:t>
      </w:r>
      <w:r w:rsidR="00A00829" w:rsidRPr="00146726">
        <w:rPr>
          <w:rFonts w:eastAsia="Arial Unicode MS"/>
        </w:rPr>
        <w:t>,</w:t>
      </w:r>
      <w:r w:rsidRPr="00146726">
        <w:rPr>
          <w:rFonts w:eastAsia="Arial Unicode MS"/>
        </w:rPr>
        <w:t xml:space="preserve"> pursuant to s</w:t>
      </w:r>
      <w:r w:rsidR="006F382B">
        <w:rPr>
          <w:rFonts w:eastAsia="Arial Unicode MS"/>
        </w:rPr>
        <w:t>.</w:t>
      </w:r>
      <w:r w:rsidRPr="00146726">
        <w:rPr>
          <w:rFonts w:eastAsia="Arial Unicode MS"/>
        </w:rPr>
        <w:t xml:space="preserve"> 42(1)(a)(ii)</w:t>
      </w:r>
      <w:r w:rsidR="006F382B">
        <w:rPr>
          <w:rFonts w:eastAsia="Arial Unicode MS"/>
        </w:rPr>
        <w:t xml:space="preserve"> </w:t>
      </w:r>
      <w:r w:rsidRPr="00146726">
        <w:rPr>
          <w:rFonts w:eastAsia="Arial Unicode MS"/>
        </w:rPr>
        <w:t>of the Planning and Development Act</w:t>
      </w:r>
      <w:r w:rsidR="006F382B">
        <w:rPr>
          <w:rFonts w:eastAsia="Arial Unicode MS"/>
        </w:rPr>
        <w:t>,</w:t>
      </w:r>
      <w:r w:rsidRPr="00146726">
        <w:rPr>
          <w:rFonts w:eastAsia="Arial Unicode MS"/>
        </w:rPr>
        <w:t xml:space="preserve"> 2000 </w:t>
      </w:r>
      <w:r w:rsidR="006F382B">
        <w:rPr>
          <w:rFonts w:eastAsia="Arial Unicode MS"/>
        </w:rPr>
        <w:t>(</w:t>
      </w:r>
      <w:r w:rsidRPr="00146726">
        <w:rPr>
          <w:rFonts w:eastAsia="Arial Unicode MS"/>
        </w:rPr>
        <w:t>as amended</w:t>
      </w:r>
      <w:r w:rsidR="006F382B">
        <w:rPr>
          <w:rFonts w:eastAsia="Arial Unicode MS"/>
        </w:rPr>
        <w:t>)</w:t>
      </w:r>
      <w:r w:rsidRPr="00146726">
        <w:rPr>
          <w:rFonts w:eastAsia="Arial Unicode MS"/>
        </w:rPr>
        <w:t xml:space="preserve"> (the “PDA”)</w:t>
      </w:r>
      <w:r w:rsidR="00A00829" w:rsidRPr="00146726">
        <w:rPr>
          <w:rFonts w:eastAsia="Arial Unicode MS"/>
        </w:rPr>
        <w:t>,</w:t>
      </w:r>
      <w:r w:rsidRPr="00146726">
        <w:rPr>
          <w:rFonts w:eastAsia="Arial Unicode MS"/>
        </w:rPr>
        <w:t xml:space="preserve"> </w:t>
      </w:r>
      <w:r w:rsidR="00A00829" w:rsidRPr="00146726">
        <w:rPr>
          <w:rFonts w:eastAsia="Arial Unicode MS"/>
        </w:rPr>
        <w:t xml:space="preserve">seeking </w:t>
      </w:r>
      <w:r w:rsidRPr="00146726">
        <w:rPr>
          <w:rFonts w:eastAsia="Arial Unicode MS"/>
        </w:rPr>
        <w:t xml:space="preserve">to </w:t>
      </w:r>
      <w:r w:rsidR="006F6958" w:rsidRPr="00146726">
        <w:rPr>
          <w:rFonts w:eastAsia="Arial Unicode MS"/>
        </w:rPr>
        <w:t>extend</w:t>
      </w:r>
      <w:r w:rsidRPr="00146726">
        <w:rPr>
          <w:rFonts w:eastAsia="Arial Unicode MS"/>
        </w:rPr>
        <w:t xml:space="preserve"> the duration of planning permission register reference F14/0109 (the “</w:t>
      </w:r>
      <w:r w:rsidR="006F6958" w:rsidRPr="00146726">
        <w:rPr>
          <w:rFonts w:eastAsia="Arial Unicode MS"/>
        </w:rPr>
        <w:t>Planning</w:t>
      </w:r>
      <w:r w:rsidRPr="00146726">
        <w:rPr>
          <w:rFonts w:eastAsia="Arial Unicode MS"/>
        </w:rPr>
        <w:t xml:space="preserve"> </w:t>
      </w:r>
      <w:r w:rsidR="006F6958" w:rsidRPr="00146726">
        <w:rPr>
          <w:rFonts w:eastAsia="Arial Unicode MS"/>
        </w:rPr>
        <w:t>Permission</w:t>
      </w:r>
      <w:r w:rsidRPr="00146726">
        <w:rPr>
          <w:rFonts w:eastAsia="Arial Unicode MS"/>
        </w:rPr>
        <w:t>”) to</w:t>
      </w:r>
      <w:r w:rsidR="00C50F62" w:rsidRPr="00146726">
        <w:rPr>
          <w:rFonts w:eastAsia="Arial Unicode MS"/>
        </w:rPr>
        <w:t xml:space="preserve"> </w:t>
      </w:r>
      <w:r w:rsidR="00412B11">
        <w:rPr>
          <w:rFonts w:eastAsia="Arial Unicode MS"/>
        </w:rPr>
        <w:t xml:space="preserve">the </w:t>
      </w:r>
      <w:r w:rsidRPr="00146726">
        <w:rPr>
          <w:rFonts w:eastAsia="Arial Unicode MS"/>
        </w:rPr>
        <w:t>11</w:t>
      </w:r>
      <w:r w:rsidR="006F6958" w:rsidRPr="00146726">
        <w:rPr>
          <w:rFonts w:eastAsia="Arial Unicode MS"/>
          <w:vertAlign w:val="superscript"/>
        </w:rPr>
        <w:t>th</w:t>
      </w:r>
      <w:r w:rsidR="006F6958" w:rsidRPr="00146726">
        <w:rPr>
          <w:rFonts w:eastAsia="Arial Unicode MS"/>
        </w:rPr>
        <w:t xml:space="preserve"> </w:t>
      </w:r>
      <w:r w:rsidR="00412B11">
        <w:rPr>
          <w:rFonts w:eastAsia="Arial Unicode MS"/>
        </w:rPr>
        <w:t xml:space="preserve">of </w:t>
      </w:r>
      <w:r w:rsidR="00E42231" w:rsidRPr="00146726">
        <w:rPr>
          <w:rFonts w:eastAsia="Arial Unicode MS"/>
        </w:rPr>
        <w:t>September</w:t>
      </w:r>
      <w:r w:rsidRPr="00146726">
        <w:rPr>
          <w:rFonts w:eastAsia="Arial Unicode MS"/>
        </w:rPr>
        <w:t xml:space="preserve"> 2025.</w:t>
      </w:r>
      <w:r w:rsidR="006F6958" w:rsidRPr="00146726">
        <w:rPr>
          <w:rFonts w:eastAsia="Arial Unicode MS"/>
        </w:rPr>
        <w:t xml:space="preserve"> </w:t>
      </w:r>
    </w:p>
    <w:p w14:paraId="156C383C" w14:textId="77777777" w:rsidR="00146726" w:rsidRPr="00146726" w:rsidRDefault="00146726" w:rsidP="00B04847">
      <w:pPr>
        <w:spacing w:line="360" w:lineRule="auto"/>
        <w:jc w:val="both"/>
        <w:rPr>
          <w:rFonts w:eastAsia="Arial Unicode MS"/>
        </w:rPr>
      </w:pPr>
    </w:p>
    <w:p w14:paraId="73B60BAB" w14:textId="77777777" w:rsidR="002C7B0B" w:rsidRPr="0089251B" w:rsidRDefault="00E42231" w:rsidP="00B04847">
      <w:pPr>
        <w:numPr>
          <w:ilvl w:val="0"/>
          <w:numId w:val="1"/>
        </w:numPr>
        <w:spacing w:line="360" w:lineRule="auto"/>
        <w:ind w:left="0" w:firstLine="0"/>
        <w:jc w:val="both"/>
        <w:rPr>
          <w:rFonts w:eastAsia="Arial Unicode MS"/>
          <w:lang w:val="en-GB"/>
        </w:rPr>
      </w:pPr>
      <w:r w:rsidRPr="0089251B">
        <w:rPr>
          <w:rFonts w:eastAsia="Arial Unicode MS"/>
        </w:rPr>
        <w:t>In accordance with s</w:t>
      </w:r>
      <w:r w:rsidR="006F382B">
        <w:rPr>
          <w:rFonts w:eastAsia="Arial Unicode MS"/>
        </w:rPr>
        <w:t>.</w:t>
      </w:r>
      <w:r w:rsidRPr="0089251B">
        <w:rPr>
          <w:rFonts w:eastAsia="Arial Unicode MS"/>
        </w:rPr>
        <w:t xml:space="preserve"> 42(1)(ii), the </w:t>
      </w:r>
      <w:r w:rsidR="00F011F3">
        <w:rPr>
          <w:rFonts w:eastAsia="Arial Unicode MS"/>
        </w:rPr>
        <w:t>respondent</w:t>
      </w:r>
      <w:r w:rsidRPr="0089251B">
        <w:rPr>
          <w:rFonts w:eastAsia="Arial Unicode MS"/>
        </w:rPr>
        <w:t xml:space="preserve"> was </w:t>
      </w:r>
      <w:r w:rsidR="0003135B" w:rsidRPr="0089251B">
        <w:rPr>
          <w:rFonts w:eastAsia="Arial Unicode MS"/>
        </w:rPr>
        <w:t>required</w:t>
      </w:r>
      <w:r w:rsidRPr="0089251B">
        <w:rPr>
          <w:rFonts w:eastAsia="Arial Unicode MS"/>
        </w:rPr>
        <w:t xml:space="preserve"> to extend the duration of the Planning Permission </w:t>
      </w:r>
      <w:r w:rsidR="00AC3954">
        <w:rPr>
          <w:rFonts w:eastAsia="Arial Unicode MS"/>
        </w:rPr>
        <w:t xml:space="preserve">upon compliance with prescribed conditions including, in material part, </w:t>
      </w:r>
      <w:r w:rsidRPr="0089251B">
        <w:rPr>
          <w:rFonts w:eastAsia="Arial Unicode MS"/>
        </w:rPr>
        <w:t>if it w</w:t>
      </w:r>
      <w:r w:rsidR="00AC3954">
        <w:rPr>
          <w:rFonts w:eastAsia="Arial Unicode MS"/>
        </w:rPr>
        <w:t>ere</w:t>
      </w:r>
      <w:r w:rsidRPr="0089251B">
        <w:rPr>
          <w:rFonts w:eastAsia="Arial Unicode MS"/>
        </w:rPr>
        <w:t xml:space="preserve"> “</w:t>
      </w:r>
      <w:r w:rsidRPr="0089251B">
        <w:rPr>
          <w:rFonts w:eastAsia="Arial Unicode MS"/>
          <w:i/>
          <w:iCs/>
        </w:rPr>
        <w:t>satisfied</w:t>
      </w:r>
      <w:r w:rsidRPr="0089251B">
        <w:rPr>
          <w:rFonts w:eastAsia="Arial Unicode MS"/>
        </w:rPr>
        <w:t>” that “</w:t>
      </w:r>
      <w:r w:rsidRPr="0089251B">
        <w:rPr>
          <w:rFonts w:eastAsia="Arial Unicode MS"/>
          <w:i/>
          <w:iCs/>
        </w:rPr>
        <w:t>there have been no significant changes in the development objectives in the development plan … for the area of the planning authority since the date of the permission such that the development would no longer be consistent with the proper planning and sustainable development of the area</w:t>
      </w:r>
      <w:r w:rsidRPr="0089251B">
        <w:rPr>
          <w:rFonts w:eastAsia="Arial Unicode MS"/>
        </w:rPr>
        <w:t xml:space="preserve">” </w:t>
      </w:r>
      <w:r w:rsidR="002C7B0B" w:rsidRPr="0089251B">
        <w:rPr>
          <w:rFonts w:eastAsia="Arial Unicode MS"/>
          <w:lang w:val="en-GB"/>
        </w:rPr>
        <w:t>(</w:t>
      </w:r>
      <w:r w:rsidR="006F382B">
        <w:rPr>
          <w:rFonts w:eastAsia="Arial Unicode MS"/>
          <w:lang w:val="en-GB"/>
        </w:rPr>
        <w:t>s</w:t>
      </w:r>
      <w:r w:rsidR="006F382B">
        <w:rPr>
          <w:rFonts w:eastAsia="Arial Unicode MS"/>
        </w:rPr>
        <w:t>.</w:t>
      </w:r>
      <w:r w:rsidR="002C7B0B" w:rsidRPr="0089251B">
        <w:rPr>
          <w:rFonts w:eastAsia="Arial Unicode MS"/>
        </w:rPr>
        <w:t xml:space="preserve"> 42 PDA was amended on</w:t>
      </w:r>
      <w:r w:rsidR="00A67B59">
        <w:rPr>
          <w:rFonts w:eastAsia="Arial Unicode MS"/>
        </w:rPr>
        <w:t xml:space="preserve"> the</w:t>
      </w:r>
      <w:r w:rsidR="002C7B0B" w:rsidRPr="0089251B">
        <w:rPr>
          <w:rFonts w:eastAsia="Arial Unicode MS"/>
        </w:rPr>
        <w:t xml:space="preserve"> 9</w:t>
      </w:r>
      <w:r w:rsidR="002C7B0B" w:rsidRPr="0089251B">
        <w:rPr>
          <w:rFonts w:eastAsia="Arial Unicode MS"/>
          <w:vertAlign w:val="superscript"/>
        </w:rPr>
        <w:t>th</w:t>
      </w:r>
      <w:r w:rsidR="002C7B0B" w:rsidRPr="0089251B">
        <w:rPr>
          <w:rFonts w:eastAsia="Arial Unicode MS"/>
        </w:rPr>
        <w:t xml:space="preserve"> </w:t>
      </w:r>
      <w:r w:rsidR="00A67B59">
        <w:rPr>
          <w:rFonts w:eastAsia="Arial Unicode MS"/>
        </w:rPr>
        <w:t xml:space="preserve">of </w:t>
      </w:r>
      <w:r w:rsidR="002C7B0B" w:rsidRPr="0089251B">
        <w:rPr>
          <w:rFonts w:eastAsia="Arial Unicode MS"/>
        </w:rPr>
        <w:t>September 2021 and no longer includes section 42(1)(a)(ii)</w:t>
      </w:r>
      <w:r w:rsidR="00B0658B">
        <w:rPr>
          <w:rFonts w:eastAsia="Arial Unicode MS"/>
        </w:rPr>
        <w:t xml:space="preserve"> </w:t>
      </w:r>
      <w:r w:rsidR="006F382B">
        <w:rPr>
          <w:rFonts w:eastAsia="Arial Unicode MS"/>
        </w:rPr>
        <w:t>II</w:t>
      </w:r>
      <w:r w:rsidR="002C7B0B" w:rsidRPr="0089251B">
        <w:rPr>
          <w:rFonts w:eastAsia="Arial Unicode MS"/>
        </w:rPr>
        <w:t>)</w:t>
      </w:r>
      <w:r w:rsidR="002C7B0B" w:rsidRPr="002C7B0B">
        <w:t>.</w:t>
      </w:r>
      <w:r w:rsidR="0089251B">
        <w:t xml:space="preserve">  </w:t>
      </w:r>
    </w:p>
    <w:p w14:paraId="29EA8FF7" w14:textId="77777777" w:rsidR="0089251B" w:rsidRDefault="0089251B" w:rsidP="00E902F2">
      <w:pPr>
        <w:rPr>
          <w:rFonts w:eastAsia="Arial Unicode MS"/>
          <w:lang w:val="en-GB"/>
        </w:rPr>
      </w:pPr>
    </w:p>
    <w:p w14:paraId="26A1BF7D" w14:textId="77777777" w:rsidR="0003135B" w:rsidRPr="00AD5948" w:rsidRDefault="0089251B" w:rsidP="00B04847">
      <w:pPr>
        <w:numPr>
          <w:ilvl w:val="0"/>
          <w:numId w:val="1"/>
        </w:numPr>
        <w:spacing w:line="360" w:lineRule="auto"/>
        <w:ind w:left="0" w:firstLine="0"/>
        <w:jc w:val="both"/>
        <w:rPr>
          <w:rFonts w:eastAsia="Arial Unicode MS"/>
          <w:lang w:val="en-GB"/>
        </w:rPr>
      </w:pPr>
      <w:r>
        <w:rPr>
          <w:rFonts w:eastAsia="Arial Unicode MS"/>
          <w:lang w:val="en-GB"/>
        </w:rPr>
        <w:t xml:space="preserve">The core issue for determination is whether the </w:t>
      </w:r>
      <w:r w:rsidR="00F011F3">
        <w:rPr>
          <w:rFonts w:eastAsia="Arial Unicode MS"/>
          <w:lang w:val="en-GB"/>
        </w:rPr>
        <w:t>respondent</w:t>
      </w:r>
      <w:r>
        <w:rPr>
          <w:rFonts w:eastAsia="Arial Unicode MS"/>
          <w:lang w:val="en-GB"/>
        </w:rPr>
        <w:t xml:space="preserve"> erred in law in its interpretation and application of </w:t>
      </w:r>
      <w:r w:rsidR="00A67B59">
        <w:rPr>
          <w:rFonts w:eastAsia="Arial Unicode MS"/>
          <w:lang w:val="en-GB"/>
        </w:rPr>
        <w:t xml:space="preserve">s. </w:t>
      </w:r>
      <w:r w:rsidRPr="0089251B">
        <w:rPr>
          <w:rFonts w:eastAsia="Arial Unicode MS"/>
        </w:rPr>
        <w:t>42(1)(a)(ii)</w:t>
      </w:r>
      <w:r w:rsidR="006F382B">
        <w:rPr>
          <w:rFonts w:eastAsia="Arial Unicode MS"/>
        </w:rPr>
        <w:t>(II)</w:t>
      </w:r>
      <w:r>
        <w:rPr>
          <w:rFonts w:eastAsia="Arial Unicode MS"/>
        </w:rPr>
        <w:t xml:space="preserve"> and consequent upon this error of law failed to </w:t>
      </w:r>
      <w:r w:rsidR="00F63F78">
        <w:rPr>
          <w:rFonts w:eastAsia="Arial Unicode MS"/>
        </w:rPr>
        <w:t xml:space="preserve">otherwise </w:t>
      </w:r>
      <w:r>
        <w:rPr>
          <w:rFonts w:eastAsia="Arial Unicode MS"/>
        </w:rPr>
        <w:t>determine the application in accordance with law.</w:t>
      </w:r>
      <w:r w:rsidR="00AD5948">
        <w:rPr>
          <w:rFonts w:eastAsia="Arial Unicode MS"/>
        </w:rPr>
        <w:t xml:space="preserve">  Specifically, the question which </w:t>
      </w:r>
      <w:r w:rsidR="006F382B">
        <w:rPr>
          <w:rFonts w:eastAsia="Arial Unicode MS"/>
        </w:rPr>
        <w:t>I</w:t>
      </w:r>
      <w:r w:rsidR="00AD5948">
        <w:rPr>
          <w:rFonts w:eastAsia="Arial Unicode MS"/>
        </w:rPr>
        <w:t xml:space="preserve"> must determine is whether the </w:t>
      </w:r>
      <w:r w:rsidR="00F011F3">
        <w:rPr>
          <w:rFonts w:eastAsia="Arial Unicode MS"/>
        </w:rPr>
        <w:t>respondent</w:t>
      </w:r>
      <w:r w:rsidR="00AD5948">
        <w:rPr>
          <w:rFonts w:eastAsia="Arial Unicode MS"/>
        </w:rPr>
        <w:t xml:space="preserve"> is entitled to have regard to </w:t>
      </w:r>
      <w:r w:rsidR="0051387E">
        <w:rPr>
          <w:rFonts w:eastAsia="Arial Unicode MS"/>
        </w:rPr>
        <w:t xml:space="preserve">the relevant </w:t>
      </w:r>
      <w:r w:rsidR="00146726">
        <w:rPr>
          <w:rFonts w:eastAsia="Arial Unicode MS"/>
        </w:rPr>
        <w:t>l</w:t>
      </w:r>
      <w:r w:rsidR="0051387E">
        <w:rPr>
          <w:rFonts w:eastAsia="Arial Unicode MS"/>
        </w:rPr>
        <w:t xml:space="preserve">ocal </w:t>
      </w:r>
      <w:r w:rsidR="00146726">
        <w:rPr>
          <w:rFonts w:eastAsia="Arial Unicode MS"/>
        </w:rPr>
        <w:t>a</w:t>
      </w:r>
      <w:r w:rsidR="0051387E">
        <w:rPr>
          <w:rFonts w:eastAsia="Arial Unicode MS"/>
        </w:rPr>
        <w:t xml:space="preserve">rea </w:t>
      </w:r>
      <w:r w:rsidR="00146726">
        <w:rPr>
          <w:rFonts w:eastAsia="Arial Unicode MS"/>
        </w:rPr>
        <w:t>p</w:t>
      </w:r>
      <w:r w:rsidR="0051387E">
        <w:rPr>
          <w:rFonts w:eastAsia="Arial Unicode MS"/>
        </w:rPr>
        <w:t xml:space="preserve">lan </w:t>
      </w:r>
      <w:r w:rsidR="003D4C24">
        <w:rPr>
          <w:rFonts w:eastAsia="Arial Unicode MS"/>
        </w:rPr>
        <w:t>(</w:t>
      </w:r>
      <w:r w:rsidR="00AC3954">
        <w:rPr>
          <w:rFonts w:eastAsia="Arial Unicode MS"/>
        </w:rPr>
        <w:t xml:space="preserve">being the Baldoyle-Stapolin Local Area Plan </w:t>
      </w:r>
      <w:r w:rsidR="008C54A9">
        <w:rPr>
          <w:rFonts w:eastAsia="Arial Unicode MS"/>
        </w:rPr>
        <w:t xml:space="preserve">for the time being </w:t>
      </w:r>
      <w:r w:rsidR="009F4994">
        <w:rPr>
          <w:rFonts w:eastAsia="Arial Unicode MS"/>
        </w:rPr>
        <w:t>in force</w:t>
      </w:r>
      <w:r w:rsidR="006815CF">
        <w:rPr>
          <w:rFonts w:eastAsia="Arial Unicode MS"/>
        </w:rPr>
        <w:t>-</w:t>
      </w:r>
      <w:r w:rsidR="003D4C24">
        <w:rPr>
          <w:rFonts w:eastAsia="Arial Unicode MS"/>
        </w:rPr>
        <w:t xml:space="preserve"> </w:t>
      </w:r>
      <w:r w:rsidR="0051387E">
        <w:rPr>
          <w:rFonts w:eastAsia="Arial Unicode MS"/>
        </w:rPr>
        <w:t>in considering whether or not there have been “</w:t>
      </w:r>
      <w:r w:rsidR="0051387E" w:rsidRPr="0051387E">
        <w:rPr>
          <w:rFonts w:eastAsia="Arial Unicode MS"/>
          <w:i/>
        </w:rPr>
        <w:t>significant changes in the development objectives of the development plan</w:t>
      </w:r>
      <w:r w:rsidR="0051387E">
        <w:rPr>
          <w:rFonts w:eastAsia="Arial Unicode MS"/>
        </w:rPr>
        <w:t xml:space="preserve">” when determining an application under </w:t>
      </w:r>
      <w:r w:rsidR="0051387E" w:rsidRPr="0089251B">
        <w:rPr>
          <w:rFonts w:eastAsia="Arial Unicode MS"/>
        </w:rPr>
        <w:t>section 42(1)(ii)</w:t>
      </w:r>
      <w:r w:rsidR="0051387E">
        <w:rPr>
          <w:rFonts w:eastAsia="Arial Unicode MS"/>
        </w:rPr>
        <w:t xml:space="preserve"> of the PDA.</w:t>
      </w:r>
    </w:p>
    <w:p w14:paraId="263BE033" w14:textId="77777777" w:rsidR="002C7B0B" w:rsidRDefault="002C7B0B" w:rsidP="00E902F2">
      <w:pPr>
        <w:spacing w:line="360" w:lineRule="auto"/>
        <w:jc w:val="both"/>
        <w:rPr>
          <w:rFonts w:eastAsia="Arial Unicode MS"/>
        </w:rPr>
      </w:pPr>
    </w:p>
    <w:p w14:paraId="6214CA6F" w14:textId="77777777" w:rsidR="00E64275" w:rsidRDefault="0003135B" w:rsidP="006F382B">
      <w:pPr>
        <w:spacing w:line="360" w:lineRule="auto"/>
        <w:jc w:val="both"/>
        <w:rPr>
          <w:rFonts w:eastAsia="Arial Unicode MS"/>
          <w:b/>
        </w:rPr>
      </w:pPr>
      <w:r w:rsidRPr="007770BA">
        <w:rPr>
          <w:rFonts w:eastAsia="Arial Unicode MS"/>
          <w:b/>
        </w:rPr>
        <w:t>FACTUAL BACKGROUND</w:t>
      </w:r>
    </w:p>
    <w:p w14:paraId="52A6F038" w14:textId="77777777" w:rsidR="006F382B" w:rsidRPr="006F382B" w:rsidRDefault="006F382B" w:rsidP="006F382B">
      <w:pPr>
        <w:spacing w:line="360" w:lineRule="auto"/>
        <w:jc w:val="both"/>
        <w:rPr>
          <w:rFonts w:eastAsia="Arial Unicode MS"/>
          <w:b/>
        </w:rPr>
      </w:pPr>
    </w:p>
    <w:p w14:paraId="695A83C3" w14:textId="77777777" w:rsidR="00E64275" w:rsidRDefault="009A1D16" w:rsidP="00B04847">
      <w:pPr>
        <w:pStyle w:val="ListParagraph"/>
        <w:numPr>
          <w:ilvl w:val="0"/>
          <w:numId w:val="1"/>
        </w:numPr>
        <w:spacing w:after="240" w:line="360" w:lineRule="auto"/>
        <w:ind w:left="0" w:firstLine="0"/>
        <w:jc w:val="both"/>
      </w:pPr>
      <w:r>
        <w:rPr>
          <w:rFonts w:eastAsia="Arial Unicode MS"/>
        </w:rPr>
        <w:t xml:space="preserve">The </w:t>
      </w:r>
      <w:r w:rsidR="00F011F3">
        <w:rPr>
          <w:rFonts w:eastAsia="Arial Unicode MS"/>
        </w:rPr>
        <w:t>applicant</w:t>
      </w:r>
      <w:r>
        <w:rPr>
          <w:rFonts w:eastAsia="Arial Unicode MS"/>
        </w:rPr>
        <w:t xml:space="preserve"> is a company engaged in the business </w:t>
      </w:r>
      <w:r w:rsidR="00E64275">
        <w:rPr>
          <w:rFonts w:eastAsia="Arial Unicode MS"/>
        </w:rPr>
        <w:t xml:space="preserve">of </w:t>
      </w:r>
      <w:r>
        <w:rPr>
          <w:rFonts w:eastAsia="Arial Unicode MS"/>
        </w:rPr>
        <w:t>development</w:t>
      </w:r>
      <w:r w:rsidR="00E64275">
        <w:rPr>
          <w:rFonts w:eastAsia="Arial Unicode MS"/>
        </w:rPr>
        <w:t>.  It</w:t>
      </w:r>
      <w:r w:rsidR="00E64275" w:rsidRPr="00FE00FF">
        <w:t xml:space="preserve"> is the owner of lands at Main Street / Coast Road, Baldoyle, Dublin 13, where the Baldoyle Racecourse was formerly located (the “</w:t>
      </w:r>
      <w:r w:rsidR="00E64275" w:rsidRPr="003D4C24">
        <w:rPr>
          <w:bCs/>
        </w:rPr>
        <w:t>Lands</w:t>
      </w:r>
      <w:r w:rsidR="00E64275" w:rsidRPr="00FE00FF">
        <w:t>”).</w:t>
      </w:r>
    </w:p>
    <w:p w14:paraId="507DAD80" w14:textId="77777777" w:rsidR="00737BAE" w:rsidRPr="00FE00FF" w:rsidRDefault="00737BAE" w:rsidP="00E902F2"/>
    <w:p w14:paraId="0075E34B" w14:textId="77777777" w:rsidR="001273D7" w:rsidRPr="001273D7" w:rsidRDefault="00C91942" w:rsidP="00B04847">
      <w:pPr>
        <w:numPr>
          <w:ilvl w:val="0"/>
          <w:numId w:val="1"/>
        </w:numPr>
        <w:spacing w:line="360" w:lineRule="auto"/>
        <w:ind w:left="0" w:firstLine="0"/>
        <w:jc w:val="both"/>
        <w:rPr>
          <w:rFonts w:eastAsia="Arial Unicode MS"/>
        </w:rPr>
      </w:pPr>
      <w:r>
        <w:rPr>
          <w:rFonts w:eastAsia="Arial Unicode MS"/>
        </w:rPr>
        <w:t xml:space="preserve">On the </w:t>
      </w:r>
      <w:r w:rsidRPr="003D4C24">
        <w:rPr>
          <w:bCs/>
        </w:rPr>
        <w:t>24</w:t>
      </w:r>
      <w:r w:rsidRPr="003D4C24">
        <w:rPr>
          <w:bCs/>
          <w:vertAlign w:val="superscript"/>
        </w:rPr>
        <w:t>th</w:t>
      </w:r>
      <w:r w:rsidRPr="003D4C24">
        <w:rPr>
          <w:bCs/>
        </w:rPr>
        <w:t xml:space="preserve"> </w:t>
      </w:r>
      <w:r w:rsidR="00AC6599">
        <w:rPr>
          <w:bCs/>
        </w:rPr>
        <w:t xml:space="preserve">of </w:t>
      </w:r>
      <w:r w:rsidRPr="003D4C24">
        <w:rPr>
          <w:bCs/>
        </w:rPr>
        <w:t>February 2011</w:t>
      </w:r>
      <w:r>
        <w:t xml:space="preserve"> </w:t>
      </w:r>
      <w:r w:rsidR="00AC6599">
        <w:t xml:space="preserve">the applicant </w:t>
      </w:r>
      <w:r>
        <w:t xml:space="preserve">was granted planning permission </w:t>
      </w:r>
      <w:r w:rsidR="001273D7">
        <w:t xml:space="preserve">for the development of </w:t>
      </w:r>
      <w:r w:rsidR="00B0658B">
        <w:t>a residential retirement care facility comprising 150 en suite bedrooms, treatment rooms and ancillary facilities together with a hotel (</w:t>
      </w:r>
      <w:r w:rsidR="001273D7">
        <w:t xml:space="preserve">hereinafter “the </w:t>
      </w:r>
      <w:r>
        <w:t>Development</w:t>
      </w:r>
      <w:r w:rsidR="001273D7">
        <w:t>”</w:t>
      </w:r>
      <w:r w:rsidR="00B0658B">
        <w:t>)</w:t>
      </w:r>
      <w:r>
        <w:t xml:space="preserve">. </w:t>
      </w:r>
    </w:p>
    <w:p w14:paraId="459D54EA" w14:textId="77777777" w:rsidR="001273D7" w:rsidRPr="001273D7" w:rsidRDefault="001273D7" w:rsidP="00B04847">
      <w:pPr>
        <w:spacing w:line="360" w:lineRule="auto"/>
        <w:jc w:val="both"/>
        <w:rPr>
          <w:rFonts w:eastAsia="Arial Unicode MS"/>
        </w:rPr>
      </w:pPr>
    </w:p>
    <w:p w14:paraId="3FCF7657" w14:textId="77777777" w:rsidR="009A1D16" w:rsidRDefault="001273D7" w:rsidP="00B04847">
      <w:pPr>
        <w:numPr>
          <w:ilvl w:val="0"/>
          <w:numId w:val="1"/>
        </w:numPr>
        <w:spacing w:line="360" w:lineRule="auto"/>
        <w:ind w:left="0" w:firstLine="0"/>
        <w:jc w:val="both"/>
        <w:rPr>
          <w:rFonts w:eastAsia="Arial Unicode MS"/>
        </w:rPr>
      </w:pPr>
      <w:r>
        <w:rPr>
          <w:rFonts w:eastAsia="Arial Unicode MS"/>
        </w:rPr>
        <w:t>The grant of permission was the subject of an appeal to An Bord Plean</w:t>
      </w:r>
      <w:r w:rsidR="00AC6599">
        <w:rPr>
          <w:rFonts w:eastAsia="Arial Unicode MS"/>
        </w:rPr>
        <w:t>á</w:t>
      </w:r>
      <w:r>
        <w:rPr>
          <w:rFonts w:eastAsia="Arial Unicode MS"/>
        </w:rPr>
        <w:t xml:space="preserve">la </w:t>
      </w:r>
      <w:r w:rsidR="006F382B">
        <w:rPr>
          <w:rFonts w:eastAsia="Arial Unicode MS"/>
        </w:rPr>
        <w:t xml:space="preserve">(hereinafter </w:t>
      </w:r>
      <w:r w:rsidR="00306629">
        <w:rPr>
          <w:rFonts w:eastAsia="Arial Unicode MS"/>
        </w:rPr>
        <w:t>“</w:t>
      </w:r>
      <w:r w:rsidR="006F382B">
        <w:rPr>
          <w:rFonts w:eastAsia="Arial Unicode MS"/>
        </w:rPr>
        <w:t>ABP</w:t>
      </w:r>
      <w:r w:rsidR="00306629">
        <w:rPr>
          <w:rFonts w:eastAsia="Arial Unicode MS"/>
        </w:rPr>
        <w:t>”</w:t>
      </w:r>
      <w:r w:rsidR="006F382B">
        <w:rPr>
          <w:rFonts w:eastAsia="Arial Unicode MS"/>
        </w:rPr>
        <w:t xml:space="preserve">) </w:t>
      </w:r>
      <w:r>
        <w:rPr>
          <w:rFonts w:eastAsia="Arial Unicode MS"/>
        </w:rPr>
        <w:t>and on the</w:t>
      </w:r>
      <w:r w:rsidR="006D5266" w:rsidRPr="001273D7">
        <w:rPr>
          <w:rFonts w:eastAsia="Arial Unicode MS"/>
        </w:rPr>
        <w:t xml:space="preserve"> 20</w:t>
      </w:r>
      <w:r w:rsidRPr="001273D7">
        <w:rPr>
          <w:rFonts w:eastAsia="Arial Unicode MS"/>
          <w:vertAlign w:val="superscript"/>
        </w:rPr>
        <w:t>th</w:t>
      </w:r>
      <w:r>
        <w:rPr>
          <w:rFonts w:eastAsia="Arial Unicode MS"/>
        </w:rPr>
        <w:t xml:space="preserve"> of</w:t>
      </w:r>
      <w:r w:rsidR="006D5266" w:rsidRPr="001273D7">
        <w:rPr>
          <w:rFonts w:eastAsia="Arial Unicode MS"/>
        </w:rPr>
        <w:t xml:space="preserve"> April 2015</w:t>
      </w:r>
      <w:r w:rsidR="006E5CCA">
        <w:rPr>
          <w:rFonts w:eastAsia="Arial Unicode MS"/>
        </w:rPr>
        <w:t>,</w:t>
      </w:r>
      <w:r w:rsidR="006D5266" w:rsidRPr="001273D7">
        <w:rPr>
          <w:rFonts w:eastAsia="Arial Unicode MS"/>
        </w:rPr>
        <w:t xml:space="preserve"> </w:t>
      </w:r>
      <w:r w:rsidR="006F382B">
        <w:rPr>
          <w:rFonts w:eastAsia="Arial Unicode MS"/>
        </w:rPr>
        <w:t xml:space="preserve">ABP </w:t>
      </w:r>
      <w:r w:rsidR="006D5266" w:rsidRPr="001273D7">
        <w:rPr>
          <w:rFonts w:eastAsia="Arial Unicode MS"/>
        </w:rPr>
        <w:t xml:space="preserve">granted </w:t>
      </w:r>
      <w:r w:rsidR="00306629">
        <w:rPr>
          <w:rFonts w:eastAsia="Arial Unicode MS"/>
        </w:rPr>
        <w:t>the Planning P</w:t>
      </w:r>
      <w:r w:rsidR="006D5266" w:rsidRPr="001273D7">
        <w:rPr>
          <w:rFonts w:eastAsia="Arial Unicode MS"/>
        </w:rPr>
        <w:t xml:space="preserve">ermission </w:t>
      </w:r>
      <w:r w:rsidR="006D5266" w:rsidRPr="001273D7">
        <w:rPr>
          <w:rFonts w:eastAsia="Arial Unicode MS"/>
        </w:rPr>
        <w:lastRenderedPageBreak/>
        <w:t>(ABP Ref. No. PL  06 F.243832) (Reg ref 14A/0109)</w:t>
      </w:r>
      <w:r w:rsidR="00306629">
        <w:rPr>
          <w:rFonts w:eastAsia="Arial Unicode MS"/>
        </w:rPr>
        <w:t xml:space="preserve">.  </w:t>
      </w:r>
      <w:r>
        <w:rPr>
          <w:rFonts w:eastAsia="Arial Unicode MS"/>
        </w:rPr>
        <w:t xml:space="preserve">The </w:t>
      </w:r>
      <w:r w:rsidR="00AC3954">
        <w:rPr>
          <w:rFonts w:eastAsia="Arial Unicode MS"/>
        </w:rPr>
        <w:t xml:space="preserve">Development for which </w:t>
      </w:r>
      <w:r w:rsidR="00306629">
        <w:rPr>
          <w:rFonts w:eastAsia="Arial Unicode MS"/>
        </w:rPr>
        <w:t xml:space="preserve">Planning </w:t>
      </w:r>
      <w:r w:rsidR="006F382B">
        <w:rPr>
          <w:rFonts w:eastAsia="Arial Unicode MS"/>
        </w:rPr>
        <w:t>P</w:t>
      </w:r>
      <w:r>
        <w:rPr>
          <w:rFonts w:eastAsia="Arial Unicode MS"/>
        </w:rPr>
        <w:t xml:space="preserve">ermission </w:t>
      </w:r>
      <w:r w:rsidR="00AC3954">
        <w:rPr>
          <w:rFonts w:eastAsia="Arial Unicode MS"/>
        </w:rPr>
        <w:t xml:space="preserve">was </w:t>
      </w:r>
      <w:r>
        <w:rPr>
          <w:rFonts w:eastAsia="Arial Unicode MS"/>
        </w:rPr>
        <w:t>granted</w:t>
      </w:r>
      <w:r w:rsidR="006D5266" w:rsidRPr="001273D7">
        <w:rPr>
          <w:rFonts w:eastAsia="Arial Unicode MS"/>
        </w:rPr>
        <w:t xml:space="preserve"> </w:t>
      </w:r>
      <w:r w:rsidR="00AC3954">
        <w:rPr>
          <w:rFonts w:eastAsia="Arial Unicode MS"/>
        </w:rPr>
        <w:t>wa</w:t>
      </w:r>
      <w:r w:rsidR="00146726">
        <w:rPr>
          <w:rFonts w:eastAsia="Arial Unicode MS"/>
        </w:rPr>
        <w:t>s</w:t>
      </w:r>
      <w:r w:rsidR="006D5266" w:rsidRPr="001273D7">
        <w:rPr>
          <w:rFonts w:eastAsia="Arial Unicode MS"/>
        </w:rPr>
        <w:t xml:space="preserve"> described in the public notices and </w:t>
      </w:r>
      <w:r w:rsidR="00AD5948">
        <w:rPr>
          <w:rFonts w:eastAsia="Arial Unicode MS"/>
        </w:rPr>
        <w:t>o</w:t>
      </w:r>
      <w:r w:rsidR="006D5266" w:rsidRPr="001273D7">
        <w:rPr>
          <w:rFonts w:eastAsia="Arial Unicode MS"/>
        </w:rPr>
        <w:t>n large plans and particulars as follows:</w:t>
      </w:r>
    </w:p>
    <w:p w14:paraId="14FBCB0A" w14:textId="77777777" w:rsidR="001273D7" w:rsidRDefault="001273D7" w:rsidP="001273D7">
      <w:pPr>
        <w:pStyle w:val="ListParagraph"/>
        <w:rPr>
          <w:rFonts w:eastAsia="Arial Unicode MS"/>
        </w:rPr>
      </w:pPr>
    </w:p>
    <w:p w14:paraId="1AA8F389" w14:textId="77777777" w:rsidR="001273D7" w:rsidRPr="001273D7" w:rsidRDefault="001273D7" w:rsidP="001273D7">
      <w:pPr>
        <w:spacing w:line="360" w:lineRule="auto"/>
        <w:ind w:left="501"/>
        <w:jc w:val="both"/>
        <w:rPr>
          <w:rFonts w:eastAsia="Arial Unicode MS"/>
        </w:rPr>
      </w:pPr>
    </w:p>
    <w:p w14:paraId="5E938B63" w14:textId="77777777" w:rsidR="006D5266" w:rsidRPr="00992A97" w:rsidRDefault="006D5266" w:rsidP="00B04847">
      <w:pPr>
        <w:spacing w:line="360" w:lineRule="auto"/>
        <w:ind w:left="720"/>
        <w:jc w:val="both"/>
        <w:rPr>
          <w:rFonts w:eastAsia="Arial Unicode MS"/>
          <w:i/>
          <w:iCs/>
        </w:rPr>
      </w:pPr>
      <w:r w:rsidRPr="00992A97">
        <w:rPr>
          <w:rFonts w:eastAsia="Arial Unicode MS"/>
          <w:i/>
          <w:iCs/>
        </w:rPr>
        <w:t xml:space="preserve">“Permission Consequent on the Grant of Planning Permission (Reg. Ref. No. FLA/0328) for (i) part 2, part three-storey retirement home (total gross area of 10,157 m²) with respite care including 150 No. en-suite bedrooms, 6 no. consultation </w:t>
      </w:r>
      <w:r w:rsidR="00486248" w:rsidRPr="00992A97">
        <w:rPr>
          <w:rFonts w:eastAsia="Arial Unicode MS"/>
          <w:i/>
          <w:iCs/>
        </w:rPr>
        <w:t>o</w:t>
      </w:r>
      <w:r w:rsidRPr="00992A97">
        <w:rPr>
          <w:rFonts w:eastAsia="Arial Unicode MS"/>
          <w:i/>
          <w:iCs/>
        </w:rPr>
        <w:t>utpatient treatment rooms</w:t>
      </w:r>
      <w:r w:rsidR="00486248" w:rsidRPr="00992A97">
        <w:rPr>
          <w:rFonts w:eastAsia="Arial Unicode MS"/>
          <w:i/>
          <w:iCs/>
        </w:rPr>
        <w:t>,</w:t>
      </w:r>
      <w:r w:rsidRPr="00992A97">
        <w:rPr>
          <w:rFonts w:eastAsia="Arial Unicode MS"/>
          <w:i/>
          <w:iCs/>
        </w:rPr>
        <w:t xml:space="preserve"> physiotherapist </w:t>
      </w:r>
      <w:r w:rsidR="00486248" w:rsidRPr="00992A97">
        <w:rPr>
          <w:rFonts w:eastAsia="Arial Unicode MS"/>
          <w:i/>
          <w:iCs/>
        </w:rPr>
        <w:t>room,</w:t>
      </w:r>
      <w:r w:rsidRPr="00992A97">
        <w:rPr>
          <w:rFonts w:eastAsia="Arial Unicode MS"/>
          <w:i/>
          <w:iCs/>
        </w:rPr>
        <w:t xml:space="preserve"> reception and main offices and ancillary patient facilities such as </w:t>
      </w:r>
      <w:r w:rsidR="00486248" w:rsidRPr="00992A97">
        <w:rPr>
          <w:rFonts w:eastAsia="Arial Unicode MS"/>
          <w:i/>
          <w:iCs/>
        </w:rPr>
        <w:t>common room,</w:t>
      </w:r>
      <w:r w:rsidRPr="00992A97">
        <w:rPr>
          <w:rFonts w:eastAsia="Arial Unicode MS"/>
          <w:i/>
          <w:iCs/>
        </w:rPr>
        <w:t xml:space="preserve"> quiet rooms</w:t>
      </w:r>
      <w:r w:rsidR="00486248" w:rsidRPr="00992A97">
        <w:rPr>
          <w:rFonts w:eastAsia="Arial Unicode MS"/>
          <w:i/>
          <w:iCs/>
        </w:rPr>
        <w:t>, 2 no.</w:t>
      </w:r>
      <w:r w:rsidRPr="00992A97">
        <w:rPr>
          <w:rFonts w:eastAsia="Arial Unicode MS"/>
          <w:i/>
          <w:iCs/>
        </w:rPr>
        <w:t xml:space="preserve"> libraries</w:t>
      </w:r>
      <w:r w:rsidR="00486248" w:rsidRPr="00992A97">
        <w:rPr>
          <w:rFonts w:eastAsia="Arial Unicode MS"/>
          <w:i/>
          <w:iCs/>
        </w:rPr>
        <w:t>,</w:t>
      </w:r>
      <w:r w:rsidRPr="00992A97">
        <w:rPr>
          <w:rFonts w:eastAsia="Arial Unicode MS"/>
          <w:i/>
          <w:iCs/>
        </w:rPr>
        <w:t xml:space="preserve"> lounges</w:t>
      </w:r>
      <w:r w:rsidR="00486248" w:rsidRPr="00992A97">
        <w:rPr>
          <w:rFonts w:eastAsia="Arial Unicode MS"/>
          <w:i/>
          <w:iCs/>
        </w:rPr>
        <w:t>,</w:t>
      </w:r>
      <w:r w:rsidRPr="00992A97">
        <w:rPr>
          <w:rFonts w:eastAsia="Arial Unicode MS"/>
          <w:i/>
          <w:iCs/>
        </w:rPr>
        <w:t xml:space="preserve"> roof terraces et</w:t>
      </w:r>
      <w:r w:rsidR="00306629">
        <w:rPr>
          <w:rFonts w:eastAsia="Arial Unicode MS"/>
          <w:i/>
          <w:iCs/>
        </w:rPr>
        <w:t>c</w:t>
      </w:r>
      <w:r w:rsidR="00486248" w:rsidRPr="00992A97">
        <w:rPr>
          <w:rFonts w:eastAsia="Arial Unicode MS"/>
          <w:i/>
          <w:iCs/>
        </w:rPr>
        <w:t>; (ii) a part two, part three storey with basement hotel (total gross floor area including basement areas 14,081 m²), comprising 130 no. Bedroom and 16 no. suites, reception, bar and café,</w:t>
      </w:r>
      <w:r w:rsidR="00C57857" w:rsidRPr="00992A97">
        <w:rPr>
          <w:rFonts w:eastAsia="Arial Unicode MS"/>
          <w:i/>
          <w:iCs/>
        </w:rPr>
        <w:t xml:space="preserve"> restaurant/dining area, a conference/banquet room (c. 720 m²), a business centre incl. 8 no. meeting rooms, and a leisure centre (c. 2,500 m²),  including 25 m swimming pool and gymnasium, spa and beauty treatment studios; hotel kitchen, staff areas, cold and dry storage, plant etc. all at basement level; (iii) 303 no. car parking spaces (226 at surface level and 77 at basement level under the hotel only); (iv) Vehicular access at Red Arches Road, landscaping and all ancillary site development works on 5.1 hectares site at the site of the Strands, Stables and Parade Ring of the former Baldoyle Racecourse, Main Street/Coast Road, Dublin 13.”</w:t>
      </w:r>
    </w:p>
    <w:p w14:paraId="5D572CC8" w14:textId="77777777" w:rsidR="001273D7" w:rsidRDefault="001273D7" w:rsidP="00E902F2">
      <w:pPr>
        <w:rPr>
          <w:rFonts w:eastAsia="Arial Unicode MS"/>
        </w:rPr>
      </w:pPr>
    </w:p>
    <w:p w14:paraId="745DC9FF" w14:textId="77777777" w:rsidR="001273D7" w:rsidRPr="00DA7296" w:rsidRDefault="006E5CCA" w:rsidP="00B04847">
      <w:pPr>
        <w:pStyle w:val="ListParagraph"/>
        <w:numPr>
          <w:ilvl w:val="0"/>
          <w:numId w:val="1"/>
        </w:numPr>
        <w:spacing w:after="240" w:line="360" w:lineRule="auto"/>
        <w:ind w:left="0" w:firstLine="0"/>
        <w:jc w:val="both"/>
      </w:pPr>
      <w:r>
        <w:rPr>
          <w:rFonts w:eastAsia="Arial Unicode MS"/>
        </w:rPr>
        <w:t>The Planning Permission was due to expire on the 29</w:t>
      </w:r>
      <w:r w:rsidRPr="006E5CCA">
        <w:rPr>
          <w:rFonts w:eastAsia="Arial Unicode MS"/>
          <w:vertAlign w:val="superscript"/>
        </w:rPr>
        <w:t>th</w:t>
      </w:r>
      <w:r>
        <w:rPr>
          <w:rFonts w:eastAsia="Arial Unicode MS"/>
        </w:rPr>
        <w:t xml:space="preserve"> of July, 2020.  </w:t>
      </w:r>
      <w:r w:rsidR="00A12E22">
        <w:rPr>
          <w:rFonts w:eastAsia="Arial Unicode MS"/>
        </w:rPr>
        <w:t xml:space="preserve">At the time that </w:t>
      </w:r>
      <w:r w:rsidR="00992A97">
        <w:rPr>
          <w:rFonts w:eastAsia="Arial Unicode MS"/>
        </w:rPr>
        <w:t>the</w:t>
      </w:r>
      <w:r w:rsidR="00306629">
        <w:rPr>
          <w:rFonts w:eastAsia="Arial Unicode MS"/>
        </w:rPr>
        <w:t xml:space="preserve"> Planning</w:t>
      </w:r>
      <w:r w:rsidR="00992A97">
        <w:rPr>
          <w:rFonts w:eastAsia="Arial Unicode MS"/>
        </w:rPr>
        <w:t xml:space="preserve"> P</w:t>
      </w:r>
      <w:r w:rsidR="00A12E22">
        <w:rPr>
          <w:rFonts w:eastAsia="Arial Unicode MS"/>
        </w:rPr>
        <w:t>ermission was granted</w:t>
      </w:r>
      <w:r w:rsidR="001273D7">
        <w:rPr>
          <w:rFonts w:eastAsia="Arial Unicode MS"/>
        </w:rPr>
        <w:t xml:space="preserve"> in 2015</w:t>
      </w:r>
      <w:r w:rsidR="00A12E22">
        <w:rPr>
          <w:rFonts w:eastAsia="Arial Unicode MS"/>
        </w:rPr>
        <w:t xml:space="preserve">, </w:t>
      </w:r>
      <w:r w:rsidR="001273D7" w:rsidRPr="00524A9A">
        <w:t>the Final County Development Plan 2011-2017 was in force</w:t>
      </w:r>
      <w:r w:rsidR="003D4C24">
        <w:t xml:space="preserve"> (hereinafter “</w:t>
      </w:r>
      <w:r w:rsidR="003D4C24" w:rsidRPr="00E902F2">
        <w:t>the 2017 Development Plan</w:t>
      </w:r>
      <w:r w:rsidR="003D4C24">
        <w:t>”)</w:t>
      </w:r>
      <w:r w:rsidR="001273D7" w:rsidRPr="00524A9A">
        <w:t xml:space="preserve">, which included </w:t>
      </w:r>
      <w:r>
        <w:t>S</w:t>
      </w:r>
      <w:r w:rsidR="003D4C24">
        <w:t xml:space="preserve">pecific </w:t>
      </w:r>
      <w:r>
        <w:t>L</w:t>
      </w:r>
      <w:r w:rsidR="001273D7" w:rsidRPr="00524A9A">
        <w:t xml:space="preserve">ocal </w:t>
      </w:r>
      <w:r>
        <w:t>O</w:t>
      </w:r>
      <w:r w:rsidR="001273D7" w:rsidRPr="00524A9A">
        <w:t>bjective 469</w:t>
      </w:r>
      <w:r w:rsidR="003D4C24">
        <w:t xml:space="preserve"> </w:t>
      </w:r>
      <w:r w:rsidR="009F4994">
        <w:t>(</w:t>
      </w:r>
      <w:r w:rsidR="003D4C24">
        <w:t>hereinafter “SLO 469”</w:t>
      </w:r>
      <w:r w:rsidR="009F4994">
        <w:t>)</w:t>
      </w:r>
      <w:r w:rsidR="001273D7" w:rsidRPr="00524A9A">
        <w:t>.</w:t>
      </w:r>
      <w:r w:rsidR="001273D7">
        <w:t xml:space="preserve">  T</w:t>
      </w:r>
      <w:r w:rsidR="00A12E22" w:rsidRPr="001273D7">
        <w:rPr>
          <w:rFonts w:eastAsia="Arial Unicode MS"/>
        </w:rPr>
        <w:t>he subject lands were zoned High Amenity (</w:t>
      </w:r>
      <w:r w:rsidR="003D4C24">
        <w:rPr>
          <w:rFonts w:eastAsia="Arial Unicode MS"/>
        </w:rPr>
        <w:t>hereinafter “</w:t>
      </w:r>
      <w:r w:rsidR="00A12E22" w:rsidRPr="001273D7">
        <w:rPr>
          <w:rFonts w:eastAsia="Arial Unicode MS"/>
        </w:rPr>
        <w:t>HA</w:t>
      </w:r>
      <w:r w:rsidR="003D4C24">
        <w:rPr>
          <w:rFonts w:eastAsia="Arial Unicode MS"/>
        </w:rPr>
        <w:t>”</w:t>
      </w:r>
      <w:r w:rsidR="00A12E22" w:rsidRPr="001273D7">
        <w:rPr>
          <w:rFonts w:eastAsia="Arial Unicode MS"/>
        </w:rPr>
        <w:t>)</w:t>
      </w:r>
      <w:r w:rsidR="001273D7">
        <w:rPr>
          <w:rFonts w:eastAsia="Arial Unicode MS"/>
        </w:rPr>
        <w:t>.</w:t>
      </w:r>
      <w:r w:rsidR="00A12E22" w:rsidRPr="001273D7">
        <w:rPr>
          <w:rFonts w:eastAsia="Arial Unicode MS"/>
        </w:rPr>
        <w:t xml:space="preserve">  </w:t>
      </w:r>
      <w:r w:rsidR="001273D7">
        <w:rPr>
          <w:rFonts w:eastAsia="Arial Unicode MS"/>
        </w:rPr>
        <w:t>S</w:t>
      </w:r>
      <w:r w:rsidR="003D4C24">
        <w:rPr>
          <w:rFonts w:eastAsia="Arial Unicode MS"/>
        </w:rPr>
        <w:t xml:space="preserve">LO </w:t>
      </w:r>
      <w:r w:rsidR="001273D7">
        <w:rPr>
          <w:rFonts w:eastAsia="Arial Unicode MS"/>
        </w:rPr>
        <w:t>469 stated</w:t>
      </w:r>
      <w:r w:rsidR="00DA7296">
        <w:rPr>
          <w:rFonts w:eastAsia="Arial Unicode MS"/>
        </w:rPr>
        <w:t>:</w:t>
      </w:r>
    </w:p>
    <w:p w14:paraId="4D1B3791" w14:textId="77777777" w:rsidR="001E3CCD" w:rsidRDefault="001E3CCD" w:rsidP="00E902F2">
      <w:pPr>
        <w:rPr>
          <w:rFonts w:eastAsia="Arial Unicode MS"/>
        </w:rPr>
      </w:pPr>
    </w:p>
    <w:p w14:paraId="282FA04D" w14:textId="77777777" w:rsidR="00DA7296" w:rsidRDefault="00DA7296" w:rsidP="00B04847">
      <w:pPr>
        <w:pStyle w:val="ListParagraph"/>
        <w:spacing w:after="240" w:line="360" w:lineRule="auto"/>
        <w:jc w:val="both"/>
        <w:rPr>
          <w:rFonts w:eastAsia="Arial Unicode MS"/>
          <w:i/>
          <w:iCs/>
        </w:rPr>
      </w:pPr>
      <w:r w:rsidRPr="00DA7296">
        <w:rPr>
          <w:rFonts w:eastAsia="Arial Unicode MS"/>
          <w:i/>
          <w:iCs/>
        </w:rPr>
        <w:t>“Provide for a public park and sensitively designed retirement village subject to screening for assessment under the Habitats Directive.”</w:t>
      </w:r>
    </w:p>
    <w:p w14:paraId="46256FA8" w14:textId="77777777" w:rsidR="001E3CCD" w:rsidRPr="00E902F2" w:rsidRDefault="001E3CCD" w:rsidP="00E902F2"/>
    <w:p w14:paraId="25395706" w14:textId="77777777" w:rsidR="00DA7296" w:rsidRDefault="00306629" w:rsidP="00B04847">
      <w:pPr>
        <w:pStyle w:val="ListParagraph"/>
        <w:numPr>
          <w:ilvl w:val="0"/>
          <w:numId w:val="1"/>
        </w:numPr>
        <w:spacing w:after="240" w:line="360" w:lineRule="auto"/>
        <w:ind w:left="0" w:firstLine="0"/>
        <w:jc w:val="both"/>
      </w:pPr>
      <w:r>
        <w:t xml:space="preserve">When </w:t>
      </w:r>
      <w:r w:rsidR="00DA7296">
        <w:t>the</w:t>
      </w:r>
      <w:r w:rsidR="001273D7">
        <w:t xml:space="preserve"> </w:t>
      </w:r>
      <w:r>
        <w:t xml:space="preserve">Planning </w:t>
      </w:r>
      <w:r w:rsidR="00DA7296">
        <w:t>P</w:t>
      </w:r>
      <w:r w:rsidR="001273D7">
        <w:t>ermission was granted t</w:t>
      </w:r>
      <w:r w:rsidR="001273D7" w:rsidRPr="00524A9A">
        <w:t>he Baldoyle-Stapolin L</w:t>
      </w:r>
      <w:r w:rsidR="003D4C24">
        <w:t>AP</w:t>
      </w:r>
      <w:r w:rsidR="001273D7" w:rsidRPr="00524A9A">
        <w:t xml:space="preserve"> </w:t>
      </w:r>
      <w:r w:rsidR="00DA7296">
        <w:t xml:space="preserve">2013 </w:t>
      </w:r>
      <w:r w:rsidR="008C54A9">
        <w:t xml:space="preserve">(hereinafter “the 2013 LAP”) </w:t>
      </w:r>
      <w:r w:rsidR="001273D7" w:rsidRPr="00524A9A">
        <w:t>was in force</w:t>
      </w:r>
      <w:r w:rsidR="003D4C24">
        <w:t xml:space="preserve"> for the area where the </w:t>
      </w:r>
      <w:r w:rsidR="006815CF">
        <w:t>L</w:t>
      </w:r>
      <w:r w:rsidR="003D4C24">
        <w:t>and</w:t>
      </w:r>
      <w:r w:rsidR="006815CF">
        <w:t>s</w:t>
      </w:r>
      <w:r w:rsidR="003D4C24">
        <w:t xml:space="preserve"> w</w:t>
      </w:r>
      <w:r w:rsidR="006815CF">
        <w:t>ere</w:t>
      </w:r>
      <w:r w:rsidR="003D4C24">
        <w:t xml:space="preserve"> located</w:t>
      </w:r>
      <w:r w:rsidR="001273D7">
        <w:t xml:space="preserve">.  It included several references to </w:t>
      </w:r>
      <w:r w:rsidR="00146726">
        <w:t>the proposed retirement village/hotel development</w:t>
      </w:r>
      <w:r w:rsidR="003D4C24">
        <w:t xml:space="preserve"> (more fully set out at para</w:t>
      </w:r>
      <w:r w:rsidR="00D63132">
        <w:t>.</w:t>
      </w:r>
      <w:r w:rsidR="003D4C24">
        <w:t xml:space="preserve"> 13 below)</w:t>
      </w:r>
      <w:r w:rsidR="001273D7">
        <w:t xml:space="preserve"> and referred to</w:t>
      </w:r>
      <w:r w:rsidR="001273D7" w:rsidRPr="007F3B3B">
        <w:t xml:space="preserve"> </w:t>
      </w:r>
      <w:r w:rsidR="00F11C65">
        <w:t>“</w:t>
      </w:r>
      <w:r w:rsidR="001273D7" w:rsidRPr="007F3B3B">
        <w:t>Map Objective 4</w:t>
      </w:r>
      <w:r w:rsidR="00F11C65">
        <w:t>”</w:t>
      </w:r>
      <w:r w:rsidR="00504199">
        <w:t xml:space="preserve"> as follows</w:t>
      </w:r>
      <w:r w:rsidR="001273D7" w:rsidRPr="007F3B3B">
        <w:t xml:space="preserve">: </w:t>
      </w:r>
    </w:p>
    <w:p w14:paraId="23CC569A" w14:textId="77777777" w:rsidR="00737BAE" w:rsidRDefault="00737BAE" w:rsidP="00E902F2"/>
    <w:p w14:paraId="7123081E" w14:textId="77777777" w:rsidR="001273D7" w:rsidRDefault="001273D7" w:rsidP="00B04847">
      <w:pPr>
        <w:pStyle w:val="ListParagraph"/>
        <w:spacing w:after="240" w:line="360" w:lineRule="auto"/>
        <w:jc w:val="both"/>
      </w:pPr>
      <w:r w:rsidRPr="007F3B3B">
        <w:t>“</w:t>
      </w:r>
      <w:r w:rsidRPr="007F3B3B">
        <w:rPr>
          <w:i/>
          <w:iCs/>
        </w:rPr>
        <w:t>Provide for a public park and sensitively designed retirement village subject to screening for assessment under the Habitats Directive as per Local Objective 469 in the 2011-2017 Fingal Development Plan or as may be revised in any future Development Plan</w:t>
      </w:r>
      <w:r w:rsidRPr="007F3B3B">
        <w:t>.”</w:t>
      </w:r>
    </w:p>
    <w:p w14:paraId="67FB4D40" w14:textId="77777777" w:rsidR="00D63132" w:rsidRDefault="00D63132" w:rsidP="00E902F2"/>
    <w:p w14:paraId="2ECF6EE3" w14:textId="77777777" w:rsidR="00D63132" w:rsidRPr="00E902F2" w:rsidRDefault="00AD5948" w:rsidP="00B04847">
      <w:pPr>
        <w:pStyle w:val="ListParagraph"/>
        <w:numPr>
          <w:ilvl w:val="0"/>
          <w:numId w:val="1"/>
        </w:numPr>
        <w:spacing w:after="240" w:line="360" w:lineRule="auto"/>
        <w:ind w:left="0" w:firstLine="0"/>
        <w:jc w:val="both"/>
      </w:pPr>
      <w:r w:rsidRPr="00AD5948">
        <w:rPr>
          <w:rFonts w:eastAsia="Arial Unicode MS"/>
        </w:rPr>
        <w:t>In accordance with the provisions of ss</w:t>
      </w:r>
      <w:r w:rsidR="007E69C0">
        <w:rPr>
          <w:rFonts w:eastAsia="Arial Unicode MS"/>
        </w:rPr>
        <w:t>.</w:t>
      </w:r>
      <w:r w:rsidRPr="00AD5948">
        <w:rPr>
          <w:rFonts w:eastAsia="Arial Unicode MS"/>
        </w:rPr>
        <w:t xml:space="preserve"> 40(3), 251 and 251A of the </w:t>
      </w:r>
      <w:r w:rsidR="00E64275">
        <w:rPr>
          <w:rFonts w:eastAsia="Arial Unicode MS"/>
        </w:rPr>
        <w:t xml:space="preserve">PDA the </w:t>
      </w:r>
      <w:r w:rsidR="00306629">
        <w:rPr>
          <w:rFonts w:eastAsia="Arial Unicode MS"/>
        </w:rPr>
        <w:t>Planning P</w:t>
      </w:r>
      <w:r w:rsidRPr="00AD5948">
        <w:rPr>
          <w:rFonts w:eastAsia="Arial Unicode MS"/>
        </w:rPr>
        <w:t>ermission was due to expire on the 29</w:t>
      </w:r>
      <w:r w:rsidRPr="00AD5948">
        <w:rPr>
          <w:rFonts w:eastAsia="Arial Unicode MS"/>
          <w:vertAlign w:val="superscript"/>
        </w:rPr>
        <w:t>th</w:t>
      </w:r>
      <w:r w:rsidRPr="00AD5948">
        <w:rPr>
          <w:rFonts w:eastAsia="Arial Unicode MS"/>
        </w:rPr>
        <w:t xml:space="preserve"> of July, 2020.</w:t>
      </w:r>
    </w:p>
    <w:p w14:paraId="66DDBDC0" w14:textId="77777777" w:rsidR="00AD5948" w:rsidRDefault="00AD5948" w:rsidP="00E902F2"/>
    <w:p w14:paraId="63C54CEF" w14:textId="77777777" w:rsidR="00504199" w:rsidRDefault="00306629" w:rsidP="00B04847">
      <w:pPr>
        <w:pStyle w:val="ListParagraph"/>
        <w:numPr>
          <w:ilvl w:val="0"/>
          <w:numId w:val="1"/>
        </w:numPr>
        <w:spacing w:after="240" w:line="360" w:lineRule="auto"/>
        <w:ind w:left="0" w:firstLine="0"/>
        <w:jc w:val="both"/>
      </w:pPr>
      <w:r>
        <w:t>During the currency of the Planning Permission, t</w:t>
      </w:r>
      <w:r w:rsidR="00E64275" w:rsidRPr="00FE00FF">
        <w:t>he Fingal Development Plan 2017 – 23 (the “</w:t>
      </w:r>
      <w:r w:rsidR="00E64275" w:rsidRPr="003D4C24">
        <w:rPr>
          <w:bCs/>
        </w:rPr>
        <w:t>2023 Development Plan</w:t>
      </w:r>
      <w:r w:rsidR="00E64275" w:rsidRPr="00FE00FF">
        <w:t xml:space="preserve">”) was made by </w:t>
      </w:r>
      <w:r w:rsidR="00737BAE" w:rsidRPr="00FE00FF">
        <w:t xml:space="preserve">the elected members </w:t>
      </w:r>
      <w:r w:rsidR="00E64275" w:rsidRPr="00FE00FF">
        <w:t>on</w:t>
      </w:r>
      <w:r w:rsidR="00737BAE">
        <w:t xml:space="preserve"> the</w:t>
      </w:r>
      <w:r w:rsidR="00E64275" w:rsidRPr="00FE00FF">
        <w:t xml:space="preserve"> 16</w:t>
      </w:r>
      <w:r w:rsidR="00E64275" w:rsidRPr="00FE00FF">
        <w:rPr>
          <w:vertAlign w:val="superscript"/>
        </w:rPr>
        <w:t>th</w:t>
      </w:r>
      <w:r w:rsidR="00E64275" w:rsidRPr="00FE00FF">
        <w:t xml:space="preserve"> </w:t>
      </w:r>
      <w:r w:rsidR="00737BAE">
        <w:t xml:space="preserve">of </w:t>
      </w:r>
      <w:r w:rsidR="00E64275" w:rsidRPr="00FE00FF">
        <w:t xml:space="preserve">February 2017 and came into effect </w:t>
      </w:r>
      <w:r w:rsidR="00F11C65">
        <w:t>four</w:t>
      </w:r>
      <w:r w:rsidR="00E64275" w:rsidRPr="00FE00FF">
        <w:t xml:space="preserve"> weeks later, on </w:t>
      </w:r>
      <w:r w:rsidR="00737BAE">
        <w:t xml:space="preserve">the </w:t>
      </w:r>
      <w:r w:rsidR="00E64275" w:rsidRPr="00FE00FF">
        <w:t>16</w:t>
      </w:r>
      <w:r w:rsidR="00E64275" w:rsidRPr="00FE00FF">
        <w:rPr>
          <w:vertAlign w:val="superscript"/>
        </w:rPr>
        <w:t>th</w:t>
      </w:r>
      <w:r w:rsidR="00E64275" w:rsidRPr="00FE00FF">
        <w:t xml:space="preserve"> </w:t>
      </w:r>
      <w:r w:rsidR="00737BAE">
        <w:t xml:space="preserve">of </w:t>
      </w:r>
      <w:r w:rsidR="00E64275" w:rsidRPr="00FE00FF">
        <w:t>March 2017.</w:t>
      </w:r>
      <w:r w:rsidR="00E64275">
        <w:t xml:space="preserve">  </w:t>
      </w:r>
      <w:r w:rsidR="00504199">
        <w:t xml:space="preserve">While the zoning for the subject lands remained unchanged, </w:t>
      </w:r>
      <w:r w:rsidR="004E70A2">
        <w:t xml:space="preserve">SLO </w:t>
      </w:r>
      <w:r w:rsidR="001273D7" w:rsidRPr="00524A9A">
        <w:t xml:space="preserve">469 </w:t>
      </w:r>
      <w:r w:rsidR="001273D7">
        <w:t>was</w:t>
      </w:r>
      <w:r w:rsidR="001273D7" w:rsidRPr="00524A9A">
        <w:t xml:space="preserve"> no longer included in the</w:t>
      </w:r>
      <w:r w:rsidR="003D4C24">
        <w:t xml:space="preserve"> 2023</w:t>
      </w:r>
      <w:r w:rsidR="001273D7" w:rsidRPr="00524A9A">
        <w:t xml:space="preserve"> Development Plan</w:t>
      </w:r>
      <w:r>
        <w:t>, although no record has been produced to evidence any discussion or debate in this regard</w:t>
      </w:r>
      <w:r w:rsidR="00E64275">
        <w:t>.</w:t>
      </w:r>
      <w:r w:rsidR="001273D7">
        <w:t xml:space="preserve"> </w:t>
      </w:r>
      <w:r w:rsidR="001273D7" w:rsidRPr="00524A9A">
        <w:t xml:space="preserve">Objective Z02 of the </w:t>
      </w:r>
      <w:r w:rsidR="003D4C24">
        <w:t>2023</w:t>
      </w:r>
      <w:r w:rsidR="001273D7" w:rsidRPr="00524A9A">
        <w:t xml:space="preserve"> Development Plan </w:t>
      </w:r>
      <w:r w:rsidR="00D408B0">
        <w:t>states as an objective</w:t>
      </w:r>
      <w:r w:rsidR="001273D7" w:rsidRPr="00524A9A">
        <w:t xml:space="preserve"> “</w:t>
      </w:r>
      <w:r w:rsidR="001273D7" w:rsidRPr="00E64275">
        <w:rPr>
          <w:i/>
          <w:iCs/>
        </w:rPr>
        <w:t>Prepare and implement Local Area Plans where required</w:t>
      </w:r>
      <w:r w:rsidR="001273D7" w:rsidRPr="00524A9A">
        <w:t>.”</w:t>
      </w:r>
      <w:r w:rsidR="001273D7">
        <w:t xml:space="preserve">  </w:t>
      </w:r>
      <w:r w:rsidR="00D408B0">
        <w:t>The 2023 Development Plan</w:t>
      </w:r>
      <w:r w:rsidR="001273D7">
        <w:t xml:space="preserve"> further provided a number of special objectives for Baldoyle</w:t>
      </w:r>
      <w:r w:rsidR="00DB76C2">
        <w:t>,</w:t>
      </w:r>
      <w:r w:rsidR="001273D7">
        <w:t xml:space="preserve"> </w:t>
      </w:r>
      <w:r w:rsidR="00F11C65">
        <w:t>w</w:t>
      </w:r>
      <w:r w:rsidR="003D4C24">
        <w:t xml:space="preserve">here the </w:t>
      </w:r>
      <w:r w:rsidR="006815CF">
        <w:t>L</w:t>
      </w:r>
      <w:r w:rsidR="003D4C24">
        <w:t>and</w:t>
      </w:r>
      <w:r w:rsidR="006815CF">
        <w:t>s</w:t>
      </w:r>
      <w:r w:rsidR="003D4C24">
        <w:t xml:space="preserve"> </w:t>
      </w:r>
      <w:r w:rsidR="006815CF">
        <w:t>are</w:t>
      </w:r>
      <w:r w:rsidR="003D4C24">
        <w:t xml:space="preserve"> located</w:t>
      </w:r>
      <w:r w:rsidR="00DB76C2">
        <w:t>,</w:t>
      </w:r>
      <w:r w:rsidR="003D4C24">
        <w:t xml:space="preserve"> </w:t>
      </w:r>
      <w:r w:rsidR="001273D7">
        <w:t xml:space="preserve">including in relevant part </w:t>
      </w:r>
      <w:r w:rsidR="001273D7" w:rsidRPr="00524A9A">
        <w:t>‘</w:t>
      </w:r>
      <w:r w:rsidR="001273D7" w:rsidRPr="00DB76C2">
        <w:rPr>
          <w:i/>
          <w:iCs/>
        </w:rPr>
        <w:t>Objective 3 Baldoyle’</w:t>
      </w:r>
      <w:r w:rsidR="00504199">
        <w:t>.</w:t>
      </w:r>
      <w:r w:rsidR="001273D7" w:rsidRPr="00524A9A">
        <w:t xml:space="preserve"> </w:t>
      </w:r>
      <w:r w:rsidR="00504199" w:rsidRPr="00524A9A">
        <w:t>‘</w:t>
      </w:r>
      <w:r w:rsidR="00504199" w:rsidRPr="00DB76C2">
        <w:rPr>
          <w:i/>
          <w:iCs/>
        </w:rPr>
        <w:t>Objective 3 Baldoyle’</w:t>
      </w:r>
      <w:r w:rsidR="00504199">
        <w:t xml:space="preserve"> </w:t>
      </w:r>
      <w:r w:rsidR="001273D7" w:rsidRPr="00524A9A">
        <w:t>states</w:t>
      </w:r>
      <w:r w:rsidR="00504199">
        <w:t>:</w:t>
      </w:r>
      <w:r w:rsidR="001273D7" w:rsidRPr="00524A9A">
        <w:t xml:space="preserve">  </w:t>
      </w:r>
    </w:p>
    <w:p w14:paraId="23255307" w14:textId="77777777" w:rsidR="00737BAE" w:rsidRDefault="00737BAE" w:rsidP="00E902F2"/>
    <w:p w14:paraId="69EF0417" w14:textId="77777777" w:rsidR="00AD5948" w:rsidRDefault="001273D7" w:rsidP="00B04847">
      <w:pPr>
        <w:pStyle w:val="ListParagraph"/>
        <w:spacing w:after="240" w:line="360" w:lineRule="auto"/>
        <w:jc w:val="both"/>
        <w:rPr>
          <w:i/>
          <w:iCs/>
        </w:rPr>
      </w:pPr>
      <w:r w:rsidRPr="00524A9A">
        <w:t>“</w:t>
      </w:r>
      <w:r w:rsidRPr="001273D7">
        <w:rPr>
          <w:i/>
          <w:iCs/>
        </w:rPr>
        <w:t>Prepare and/or implement a Local Area Plan for lands at Baldoyle/Stapolin to provide for the strategic development of the area as a planned sustainable mixed use residential development subject to the delivery of the necessary infrastructure. (Refer to Map Sheet No. 10, LAP l0.A)”</w:t>
      </w:r>
    </w:p>
    <w:p w14:paraId="117CCA50" w14:textId="77777777" w:rsidR="00737BAE" w:rsidRPr="00E902F2" w:rsidRDefault="00737BAE" w:rsidP="00E902F2">
      <w:pPr>
        <w:rPr>
          <w:rStyle w:val="Emphasis"/>
          <w:i w:val="0"/>
          <w:iCs w:val="0"/>
        </w:rPr>
      </w:pPr>
    </w:p>
    <w:p w14:paraId="7B6A1E60" w14:textId="77777777" w:rsidR="00CB2C78" w:rsidRDefault="00C30DD0" w:rsidP="00B04847">
      <w:pPr>
        <w:pStyle w:val="ListParagraph"/>
        <w:numPr>
          <w:ilvl w:val="0"/>
          <w:numId w:val="1"/>
        </w:numPr>
        <w:spacing w:after="240" w:line="360" w:lineRule="auto"/>
        <w:ind w:left="0" w:firstLine="0"/>
        <w:jc w:val="both"/>
      </w:pPr>
      <w:r>
        <w:lastRenderedPageBreak/>
        <w:t>During the course of the hearing</w:t>
      </w:r>
      <w:r w:rsidR="007E69C0">
        <w:t>,</w:t>
      </w:r>
      <w:r>
        <w:t xml:space="preserve"> </w:t>
      </w:r>
      <w:r w:rsidR="003D4C24">
        <w:t xml:space="preserve">I </w:t>
      </w:r>
      <w:r>
        <w:t xml:space="preserve">requested the parties to identify which map was referred to as Map Sheet No. 10, LAP 10.A.  While Map Sheet No. 10 shows the area in which the subject site is located, LAP 10.A </w:t>
      </w:r>
      <w:r w:rsidR="003D4C24">
        <w:t xml:space="preserve">appears to </w:t>
      </w:r>
      <w:r>
        <w:t>refer to a portion of the lands in the area which is separate from and away from the subject lands.</w:t>
      </w:r>
    </w:p>
    <w:p w14:paraId="311C355F" w14:textId="77777777" w:rsidR="00737BAE" w:rsidRDefault="00737BAE" w:rsidP="00E902F2"/>
    <w:p w14:paraId="223857F4" w14:textId="77777777" w:rsidR="001529F7" w:rsidRPr="00E902F2" w:rsidRDefault="00AD5948" w:rsidP="00B04847">
      <w:pPr>
        <w:pStyle w:val="ListParagraph"/>
        <w:numPr>
          <w:ilvl w:val="0"/>
          <w:numId w:val="1"/>
        </w:numPr>
        <w:spacing w:after="240" w:line="360" w:lineRule="auto"/>
        <w:ind w:left="0" w:firstLine="0"/>
        <w:jc w:val="both"/>
      </w:pPr>
      <w:r w:rsidRPr="00CB2C78">
        <w:rPr>
          <w:bCs/>
        </w:rPr>
        <w:t>On the 12</w:t>
      </w:r>
      <w:r w:rsidRPr="00CB2C78">
        <w:rPr>
          <w:bCs/>
          <w:vertAlign w:val="superscript"/>
        </w:rPr>
        <w:t>th</w:t>
      </w:r>
      <w:r w:rsidRPr="00CB2C78">
        <w:rPr>
          <w:bCs/>
        </w:rPr>
        <w:t xml:space="preserve"> </w:t>
      </w:r>
      <w:r w:rsidR="00892D6D">
        <w:rPr>
          <w:bCs/>
        </w:rPr>
        <w:t xml:space="preserve">of </w:t>
      </w:r>
      <w:r w:rsidRPr="00CB2C78">
        <w:rPr>
          <w:bCs/>
        </w:rPr>
        <w:t>March 2018, t</w:t>
      </w:r>
      <w:r w:rsidRPr="00AD5948">
        <w:t>he</w:t>
      </w:r>
      <w:r w:rsidRPr="00524A9A">
        <w:t xml:space="preserve"> Baldoyle-Stapolin L</w:t>
      </w:r>
      <w:r w:rsidR="003D4C24">
        <w:t>AP</w:t>
      </w:r>
      <w:r w:rsidRPr="00524A9A">
        <w:t xml:space="preserve"> </w:t>
      </w:r>
      <w:r w:rsidR="00F11C65">
        <w:t xml:space="preserve">2013 </w:t>
      </w:r>
      <w:r w:rsidRPr="00524A9A">
        <w:t xml:space="preserve">was extended for a further period of 5 years to </w:t>
      </w:r>
      <w:r w:rsidR="00892D6D">
        <w:t xml:space="preserve">the </w:t>
      </w:r>
      <w:r w:rsidRPr="00524A9A">
        <w:t>11</w:t>
      </w:r>
      <w:r w:rsidRPr="00CB2C78">
        <w:rPr>
          <w:vertAlign w:val="superscript"/>
        </w:rPr>
        <w:t>th</w:t>
      </w:r>
      <w:r w:rsidRPr="00524A9A">
        <w:t xml:space="preserve"> </w:t>
      </w:r>
      <w:r w:rsidR="00892D6D">
        <w:t xml:space="preserve">of </w:t>
      </w:r>
      <w:r w:rsidRPr="00524A9A">
        <w:t xml:space="preserve">May 2023 by a resolution of the elected members of the </w:t>
      </w:r>
      <w:r w:rsidR="00F011F3">
        <w:t>respondent</w:t>
      </w:r>
      <w:r w:rsidR="009F4994">
        <w:t xml:space="preserve"> (the “2013 LAP as extended”)</w:t>
      </w:r>
      <w:r w:rsidRPr="00524A9A">
        <w:t xml:space="preserve">. </w:t>
      </w:r>
      <w:r w:rsidR="00DB76C2">
        <w:t xml:space="preserve"> </w:t>
      </w:r>
      <w:r w:rsidR="001529F7" w:rsidRPr="00CB2C78">
        <w:rPr>
          <w:rFonts w:eastAsia="Arial Unicode MS"/>
        </w:rPr>
        <w:t xml:space="preserve">The resolution of the elected members of the </w:t>
      </w:r>
      <w:r w:rsidR="00F011F3">
        <w:rPr>
          <w:rFonts w:eastAsia="Arial Unicode MS"/>
        </w:rPr>
        <w:t>respondent</w:t>
      </w:r>
      <w:r w:rsidR="001529F7" w:rsidRPr="00CB2C78">
        <w:rPr>
          <w:rFonts w:eastAsia="Arial Unicode MS"/>
        </w:rPr>
        <w:t xml:space="preserve"> extending the </w:t>
      </w:r>
      <w:r w:rsidR="009F4994">
        <w:rPr>
          <w:rFonts w:eastAsia="Arial Unicode MS"/>
        </w:rPr>
        <w:t xml:space="preserve">2013 </w:t>
      </w:r>
      <w:r w:rsidR="001529F7" w:rsidRPr="00CB2C78">
        <w:rPr>
          <w:rFonts w:eastAsia="Arial Unicode MS"/>
        </w:rPr>
        <w:t>LAP was based on</w:t>
      </w:r>
      <w:r w:rsidR="00F11C65">
        <w:rPr>
          <w:rFonts w:eastAsia="Arial Unicode MS"/>
        </w:rPr>
        <w:t xml:space="preserve"> </w:t>
      </w:r>
      <w:r w:rsidR="001529F7" w:rsidRPr="00CB2C78">
        <w:rPr>
          <w:rFonts w:eastAsia="Arial Unicode MS"/>
        </w:rPr>
        <w:t>advice</w:t>
      </w:r>
      <w:r w:rsidR="00F11C65">
        <w:rPr>
          <w:rFonts w:eastAsia="Arial Unicode MS"/>
        </w:rPr>
        <w:t>, in accordance with statutory requirements,</w:t>
      </w:r>
      <w:r w:rsidR="001529F7" w:rsidRPr="00CB2C78">
        <w:rPr>
          <w:rFonts w:eastAsia="Arial Unicode MS"/>
        </w:rPr>
        <w:t xml:space="preserve"> to the elected members which included confirmation that it was the chief executive of the </w:t>
      </w:r>
      <w:r w:rsidR="00F011F3">
        <w:rPr>
          <w:rFonts w:eastAsia="Arial Unicode MS"/>
        </w:rPr>
        <w:t>respondent</w:t>
      </w:r>
      <w:r w:rsidR="001529F7" w:rsidRPr="00CB2C78">
        <w:rPr>
          <w:rFonts w:eastAsia="Arial Unicode MS"/>
        </w:rPr>
        <w:t xml:space="preserve">’s opinion that the </w:t>
      </w:r>
      <w:r w:rsidR="009F4994">
        <w:rPr>
          <w:rFonts w:eastAsia="Arial Unicode MS"/>
        </w:rPr>
        <w:t xml:space="preserve">2013 </w:t>
      </w:r>
      <w:r w:rsidR="001529F7" w:rsidRPr="00CB2C78">
        <w:rPr>
          <w:rFonts w:eastAsia="Arial Unicode MS"/>
        </w:rPr>
        <w:t xml:space="preserve">LAP  </w:t>
      </w:r>
      <w:r w:rsidR="006815CF">
        <w:rPr>
          <w:rFonts w:eastAsia="Arial Unicode MS"/>
        </w:rPr>
        <w:t>was</w:t>
      </w:r>
      <w:r w:rsidR="001529F7" w:rsidRPr="00CB2C78">
        <w:rPr>
          <w:rFonts w:eastAsia="Arial Unicode MS"/>
        </w:rPr>
        <w:t xml:space="preserve"> consistent with the objectives and core strategy for the 2023 Development Plan. </w:t>
      </w:r>
    </w:p>
    <w:p w14:paraId="6692E855" w14:textId="77777777" w:rsidR="00641120" w:rsidRPr="007E69C0" w:rsidRDefault="00641120" w:rsidP="00E902F2"/>
    <w:p w14:paraId="2CE7E3AA" w14:textId="77777777" w:rsidR="009A7AAD" w:rsidRDefault="00F11C65" w:rsidP="00B04847">
      <w:pPr>
        <w:pStyle w:val="ListParagraph"/>
        <w:numPr>
          <w:ilvl w:val="0"/>
          <w:numId w:val="1"/>
        </w:numPr>
        <w:spacing w:after="240" w:line="360" w:lineRule="auto"/>
        <w:ind w:left="0" w:firstLine="0"/>
        <w:jc w:val="both"/>
      </w:pPr>
      <w:r>
        <w:t>R</w:t>
      </w:r>
      <w:r w:rsidR="009A7AAD">
        <w:t xml:space="preserve">eferences in the </w:t>
      </w:r>
      <w:r w:rsidR="009F4994">
        <w:t xml:space="preserve">2013 </w:t>
      </w:r>
      <w:r w:rsidR="009A7AAD">
        <w:t>LAP</w:t>
      </w:r>
      <w:r>
        <w:t xml:space="preserve">  (as now extended to May, 2023)</w:t>
      </w:r>
      <w:r w:rsidR="003D4C24">
        <w:t xml:space="preserve"> to local objectives</w:t>
      </w:r>
      <w:r w:rsidR="009A7AAD">
        <w:t xml:space="preserve"> include: </w:t>
      </w:r>
    </w:p>
    <w:p w14:paraId="5715C1FB" w14:textId="77777777" w:rsidR="004E2222" w:rsidRDefault="003D4C24" w:rsidP="002057CB">
      <w:pPr>
        <w:pStyle w:val="ListParagraph"/>
        <w:numPr>
          <w:ilvl w:val="0"/>
          <w:numId w:val="18"/>
        </w:numPr>
        <w:spacing w:after="240" w:line="360" w:lineRule="auto"/>
        <w:jc w:val="both"/>
      </w:pPr>
      <w:r>
        <w:t xml:space="preserve">At p. i reference to “local objectives” applying appears </w:t>
      </w:r>
      <w:r w:rsidR="00A9795D">
        <w:t xml:space="preserve">as follows: </w:t>
      </w:r>
    </w:p>
    <w:p w14:paraId="78BF9020" w14:textId="77777777" w:rsidR="004E2222" w:rsidRDefault="00A9795D" w:rsidP="00E902F2">
      <w:pPr>
        <w:pStyle w:val="ListParagraph"/>
        <w:spacing w:after="240" w:line="360" w:lineRule="auto"/>
        <w:ind w:left="1440"/>
        <w:jc w:val="both"/>
        <w:rPr>
          <w:i/>
          <w:iCs/>
        </w:rPr>
      </w:pPr>
      <w:r w:rsidRPr="004E2222">
        <w:rPr>
          <w:i/>
          <w:iCs/>
        </w:rPr>
        <w:t xml:space="preserve">“Within the Development Plan, the Baldoyle-Stapolin Local Area Plan comprises land with the following zoning objectives: </w:t>
      </w:r>
    </w:p>
    <w:p w14:paraId="68090293" w14:textId="77777777" w:rsidR="001D1A4A" w:rsidRDefault="00A9795D" w:rsidP="00E902F2">
      <w:pPr>
        <w:pStyle w:val="ListParagraph"/>
        <w:numPr>
          <w:ilvl w:val="0"/>
          <w:numId w:val="27"/>
        </w:numPr>
        <w:spacing w:after="240" w:line="360" w:lineRule="auto"/>
        <w:jc w:val="both"/>
        <w:rPr>
          <w:i/>
          <w:iCs/>
        </w:rPr>
      </w:pPr>
      <w:r w:rsidRPr="004E2222">
        <w:rPr>
          <w:i/>
          <w:iCs/>
        </w:rPr>
        <w:t xml:space="preserve">c. 41 hectares of land zoned Objective RA – Provide for new residential communities in accordance with approved local </w:t>
      </w:r>
      <w:r w:rsidR="004E2222" w:rsidRPr="004E2222">
        <w:rPr>
          <w:i/>
          <w:iCs/>
        </w:rPr>
        <w:t xml:space="preserve">area plans and subject to the provision of the necessary social and physical infrastructure.  This area, known as The Coast, includes the existing residential communities of Myrtle and Red Arches. </w:t>
      </w:r>
    </w:p>
    <w:p w14:paraId="3CB4B16C" w14:textId="77777777" w:rsidR="004E2222" w:rsidRDefault="004E2222" w:rsidP="00E902F2">
      <w:pPr>
        <w:pStyle w:val="ListParagraph"/>
        <w:numPr>
          <w:ilvl w:val="0"/>
          <w:numId w:val="27"/>
        </w:numPr>
        <w:spacing w:after="240" w:line="360" w:lineRule="auto"/>
        <w:jc w:val="both"/>
        <w:rPr>
          <w:i/>
          <w:iCs/>
        </w:rPr>
      </w:pPr>
      <w:r>
        <w:rPr>
          <w:i/>
          <w:iCs/>
        </w:rPr>
        <w:t>c</w:t>
      </w:r>
      <w:r w:rsidRPr="004E2222">
        <w:rPr>
          <w:i/>
          <w:iCs/>
        </w:rPr>
        <w:t xml:space="preserve">. 81 hectares of land zoned Objective HA – Protect and enhance high amenity areas.  </w:t>
      </w:r>
    </w:p>
    <w:p w14:paraId="7B0744E9" w14:textId="77777777" w:rsidR="003D4C24" w:rsidRPr="004E2222" w:rsidRDefault="002057CB" w:rsidP="00E902F2">
      <w:pPr>
        <w:pStyle w:val="ListParagraph"/>
        <w:spacing w:after="240" w:line="360" w:lineRule="auto"/>
        <w:ind w:left="1440"/>
        <w:jc w:val="both"/>
        <w:rPr>
          <w:i/>
          <w:iCs/>
        </w:rPr>
      </w:pPr>
      <w:r>
        <w:rPr>
          <w:i/>
          <w:iCs/>
        </w:rPr>
        <w:t>“</w:t>
      </w:r>
      <w:r w:rsidR="004E2222" w:rsidRPr="004E2222">
        <w:rPr>
          <w:i/>
          <w:iCs/>
        </w:rPr>
        <w:t>The area zoned for residential development in the Baldoyle-Stapolin Plan lands also contains a number of Local Objectives within its boundaries.”</w:t>
      </w:r>
    </w:p>
    <w:p w14:paraId="60EBA630" w14:textId="77777777" w:rsidR="009A7AAD" w:rsidRPr="002057CB" w:rsidRDefault="009A7AAD" w:rsidP="00E902F2">
      <w:pPr>
        <w:pStyle w:val="ListParagraph"/>
        <w:numPr>
          <w:ilvl w:val="0"/>
          <w:numId w:val="18"/>
        </w:numPr>
        <w:spacing w:after="240" w:line="360" w:lineRule="auto"/>
        <w:jc w:val="both"/>
        <w:rPr>
          <w:i/>
          <w:iCs/>
        </w:rPr>
      </w:pPr>
      <w:r>
        <w:lastRenderedPageBreak/>
        <w:t>At p. 03</w:t>
      </w:r>
      <w:r w:rsidR="001D1A4A">
        <w:t xml:space="preserve"> further reference is made to the zoning objectives as above but with specific reference to specific local area objectives within its boundaries including</w:t>
      </w:r>
      <w:r w:rsidR="002057CB">
        <w:t xml:space="preserve">: </w:t>
      </w:r>
      <w:r w:rsidRPr="001D1A4A">
        <w:t>O</w:t>
      </w:r>
      <w:r w:rsidR="000715C1" w:rsidRPr="001D1A4A">
        <w:t>bjective 469</w:t>
      </w:r>
      <w:r w:rsidRPr="001D1A4A">
        <w:t xml:space="preserve"> </w:t>
      </w:r>
      <w:r w:rsidR="001D1A4A" w:rsidRPr="001D1A4A">
        <w:t xml:space="preserve">which is set out </w:t>
      </w:r>
      <w:r w:rsidRPr="001D1A4A">
        <w:t>in the following terms</w:t>
      </w:r>
      <w:r w:rsidRPr="002057CB">
        <w:rPr>
          <w:i/>
          <w:iCs/>
        </w:rPr>
        <w:t>:</w:t>
      </w:r>
    </w:p>
    <w:p w14:paraId="4B536FE8" w14:textId="77777777" w:rsidR="009A7AAD" w:rsidRPr="001D1A4A" w:rsidRDefault="009A7AAD" w:rsidP="00E902F2">
      <w:pPr>
        <w:pStyle w:val="ListParagraph"/>
        <w:spacing w:after="240" w:line="360" w:lineRule="auto"/>
        <w:ind w:left="1080"/>
        <w:jc w:val="both"/>
        <w:rPr>
          <w:i/>
          <w:iCs/>
        </w:rPr>
      </w:pPr>
      <w:r w:rsidRPr="001D1A4A">
        <w:rPr>
          <w:i/>
          <w:iCs/>
        </w:rPr>
        <w:t>“</w:t>
      </w:r>
      <w:r w:rsidR="000715C1" w:rsidRPr="001D1A4A">
        <w:rPr>
          <w:i/>
          <w:iCs/>
        </w:rPr>
        <w:t>provide for a public park and sensitively designed retirement village subject to screening for assessment under the habitats directive</w:t>
      </w:r>
      <w:r w:rsidRPr="001D1A4A">
        <w:rPr>
          <w:i/>
          <w:iCs/>
        </w:rPr>
        <w:t>.”</w:t>
      </w:r>
    </w:p>
    <w:p w14:paraId="5AF8E368" w14:textId="77777777" w:rsidR="00B1441B" w:rsidRDefault="009A7AAD" w:rsidP="002057CB">
      <w:pPr>
        <w:pStyle w:val="ListParagraph"/>
        <w:numPr>
          <w:ilvl w:val="0"/>
          <w:numId w:val="18"/>
        </w:numPr>
        <w:spacing w:after="240" w:line="360" w:lineRule="auto"/>
        <w:jc w:val="both"/>
      </w:pPr>
      <w:r>
        <w:t>T</w:t>
      </w:r>
      <w:r w:rsidR="00AD5948" w:rsidRPr="00524A9A">
        <w:t>he LAP Map include</w:t>
      </w:r>
      <w:r w:rsidR="00AD5948" w:rsidRPr="007F3B3B">
        <w:t>s Map Objective 4</w:t>
      </w:r>
      <w:r w:rsidR="00E92B3D">
        <w:t xml:space="preserve"> (p. v)</w:t>
      </w:r>
      <w:r w:rsidR="001D1A4A">
        <w:t xml:space="preserve"> by identifying on the map the area concerned and stating in the legend on the face of the map as follows</w:t>
      </w:r>
      <w:r w:rsidR="00B1441B">
        <w:t>:</w:t>
      </w:r>
    </w:p>
    <w:p w14:paraId="1938FB9A" w14:textId="77777777" w:rsidR="009A7AAD" w:rsidRPr="00621301" w:rsidRDefault="00B1441B" w:rsidP="00E902F2">
      <w:pPr>
        <w:pStyle w:val="ListParagraph"/>
        <w:spacing w:after="240" w:line="360" w:lineRule="auto"/>
        <w:ind w:left="1080"/>
        <w:jc w:val="both"/>
        <w:rPr>
          <w:i/>
          <w:iCs/>
        </w:rPr>
      </w:pPr>
      <w:r w:rsidRPr="001D1A4A">
        <w:rPr>
          <w:i/>
          <w:iCs/>
        </w:rPr>
        <w:t>“provide for public park and</w:t>
      </w:r>
      <w:r w:rsidR="007402AA" w:rsidRPr="001D1A4A">
        <w:rPr>
          <w:i/>
          <w:iCs/>
        </w:rPr>
        <w:t xml:space="preserve"> are </w:t>
      </w:r>
      <w:r w:rsidRPr="001D1A4A">
        <w:rPr>
          <w:i/>
          <w:iCs/>
        </w:rPr>
        <w:t>2011</w:t>
      </w:r>
      <w:r w:rsidR="00E92B3D" w:rsidRPr="001D1A4A">
        <w:rPr>
          <w:i/>
          <w:iCs/>
        </w:rPr>
        <w:t>-</w:t>
      </w:r>
      <w:r w:rsidRPr="001D1A4A">
        <w:rPr>
          <w:i/>
          <w:iCs/>
        </w:rPr>
        <w:t xml:space="preserve">2017 Fingal </w:t>
      </w:r>
      <w:r w:rsidR="00E92B3D" w:rsidRPr="001D1A4A">
        <w:rPr>
          <w:i/>
          <w:iCs/>
        </w:rPr>
        <w:t>D</w:t>
      </w:r>
      <w:r w:rsidRPr="001D1A4A">
        <w:rPr>
          <w:i/>
          <w:iCs/>
        </w:rPr>
        <w:t xml:space="preserve">evelopment </w:t>
      </w:r>
      <w:r w:rsidR="00E92B3D" w:rsidRPr="001D1A4A">
        <w:rPr>
          <w:i/>
          <w:iCs/>
        </w:rPr>
        <w:t>P</w:t>
      </w:r>
      <w:r w:rsidRPr="001D1A4A">
        <w:rPr>
          <w:i/>
          <w:iCs/>
        </w:rPr>
        <w:t xml:space="preserve">lan or as may be revised in any future </w:t>
      </w:r>
      <w:r w:rsidR="00E92B3D" w:rsidRPr="001D1A4A">
        <w:rPr>
          <w:i/>
          <w:iCs/>
        </w:rPr>
        <w:t>D</w:t>
      </w:r>
      <w:r w:rsidRPr="001D1A4A">
        <w:rPr>
          <w:i/>
          <w:iCs/>
        </w:rPr>
        <w:t xml:space="preserve">evelopment </w:t>
      </w:r>
      <w:r w:rsidR="00E92B3D" w:rsidRPr="001D1A4A">
        <w:rPr>
          <w:i/>
          <w:iCs/>
        </w:rPr>
        <w:t>Plan</w:t>
      </w:r>
      <w:r w:rsidR="007402AA" w:rsidRPr="001D1A4A">
        <w:rPr>
          <w:i/>
          <w:iCs/>
        </w:rPr>
        <w:t>.</w:t>
      </w:r>
      <w:r w:rsidRPr="001D1A4A">
        <w:rPr>
          <w:i/>
          <w:iCs/>
        </w:rPr>
        <w:t>”</w:t>
      </w:r>
    </w:p>
    <w:p w14:paraId="3A190F39" w14:textId="77777777" w:rsidR="009A7AAD" w:rsidRDefault="009A7AAD" w:rsidP="002057CB">
      <w:pPr>
        <w:pStyle w:val="ListParagraph"/>
        <w:numPr>
          <w:ilvl w:val="0"/>
          <w:numId w:val="18"/>
        </w:numPr>
        <w:spacing w:after="240" w:line="360" w:lineRule="auto"/>
        <w:jc w:val="both"/>
      </w:pPr>
      <w:r>
        <w:t>At p. 08 under the heading “</w:t>
      </w:r>
      <w:r w:rsidRPr="00621301">
        <w:rPr>
          <w:i/>
          <w:iCs/>
        </w:rPr>
        <w:t>Retirement Village Site</w:t>
      </w:r>
      <w:r>
        <w:t>” the LAP states:</w:t>
      </w:r>
    </w:p>
    <w:p w14:paraId="6E69D419" w14:textId="77777777" w:rsidR="009A7AAD" w:rsidRDefault="009A7AAD" w:rsidP="00A06FB3">
      <w:pPr>
        <w:pStyle w:val="ListParagraph"/>
        <w:spacing w:after="240" w:line="360" w:lineRule="auto"/>
        <w:ind w:left="1080"/>
        <w:jc w:val="both"/>
        <w:rPr>
          <w:i/>
          <w:iCs/>
        </w:rPr>
      </w:pPr>
      <w:r w:rsidRPr="00621301">
        <w:rPr>
          <w:i/>
          <w:iCs/>
        </w:rPr>
        <w:t>“Local Objective 469 of the Fingal Development Plan 2011-2017 provides for the development of a public park and sensitively designed retirement village, subject to screening for assessment under the Habitats Directive, on a c.5ha site at the southeastern corner of the plan lands adjoining the Coast Road and the established built up area of Baldoyle Village.  This was the location of the stands, stables and parade ring of the former Baldoyle Racecourse and the eastern boundary of the site is marked by a stone, concrete and brick wall that contains the original brick ‘red arch’. There is an extant outline planning permission on these lands for the construction of a retirement home hotel and associated car parking car parking which is due to expire in 2016.”</w:t>
      </w:r>
    </w:p>
    <w:p w14:paraId="6CFAAD7A" w14:textId="77777777" w:rsidR="002057CB" w:rsidRPr="00621301" w:rsidRDefault="002057CB" w:rsidP="00E902F2"/>
    <w:p w14:paraId="67DE1ED3" w14:textId="77777777" w:rsidR="007E69C0" w:rsidRDefault="00501D9D" w:rsidP="00B04847">
      <w:pPr>
        <w:pStyle w:val="ListParagraph"/>
        <w:numPr>
          <w:ilvl w:val="0"/>
          <w:numId w:val="1"/>
        </w:numPr>
        <w:spacing w:after="240" w:line="360" w:lineRule="auto"/>
        <w:ind w:left="0" w:firstLine="0"/>
        <w:jc w:val="both"/>
      </w:pPr>
      <w:r>
        <w:t xml:space="preserve">It appears from the foregoing that while there are several references to </w:t>
      </w:r>
      <w:r w:rsidR="00DB76C2">
        <w:t>“</w:t>
      </w:r>
      <w:r w:rsidRPr="00E902F2">
        <w:rPr>
          <w:i/>
          <w:iCs/>
        </w:rPr>
        <w:t>Local Objective 469</w:t>
      </w:r>
      <w:r w:rsidR="00DB76C2" w:rsidRPr="00E902F2">
        <w:rPr>
          <w:i/>
          <w:iCs/>
        </w:rPr>
        <w:t>”</w:t>
      </w:r>
      <w:r w:rsidRPr="00E902F2">
        <w:rPr>
          <w:i/>
          <w:iCs/>
        </w:rPr>
        <w:t xml:space="preserve"> </w:t>
      </w:r>
      <w:r>
        <w:t xml:space="preserve">in the </w:t>
      </w:r>
      <w:r w:rsidR="009F4994">
        <w:t xml:space="preserve">2013 </w:t>
      </w:r>
      <w:r>
        <w:t xml:space="preserve">LAP, only the LAP map </w:t>
      </w:r>
      <w:r w:rsidR="00DB76C2">
        <w:t xml:space="preserve">legend </w:t>
      </w:r>
      <w:r>
        <w:t>reference</w:t>
      </w:r>
      <w:r w:rsidR="00AD5948" w:rsidRPr="007F3B3B">
        <w:t xml:space="preserve"> </w:t>
      </w:r>
      <w:r>
        <w:t>includes the words</w:t>
      </w:r>
      <w:r w:rsidR="007E69C0">
        <w:t>:</w:t>
      </w:r>
      <w:r>
        <w:t xml:space="preserve"> </w:t>
      </w:r>
    </w:p>
    <w:p w14:paraId="4F516815" w14:textId="77777777" w:rsidR="00DC48B2" w:rsidRDefault="00DC48B2" w:rsidP="00E902F2"/>
    <w:p w14:paraId="0112C8E5" w14:textId="77777777" w:rsidR="00501D9D" w:rsidRDefault="00501D9D" w:rsidP="00B04847">
      <w:pPr>
        <w:pStyle w:val="ListParagraph"/>
        <w:spacing w:after="240" w:line="360" w:lineRule="auto"/>
        <w:jc w:val="both"/>
      </w:pPr>
      <w:r>
        <w:t>“</w:t>
      </w:r>
      <w:r w:rsidRPr="00621301">
        <w:rPr>
          <w:i/>
          <w:iCs/>
        </w:rPr>
        <w:t>or as may be revised in any future Development Plan</w:t>
      </w:r>
      <w:r>
        <w:t>”.</w:t>
      </w:r>
    </w:p>
    <w:p w14:paraId="48B1B5CF" w14:textId="77777777" w:rsidR="00DC48B2" w:rsidRDefault="00DC48B2" w:rsidP="00E902F2"/>
    <w:p w14:paraId="64989E04" w14:textId="77777777" w:rsidR="00AD5948" w:rsidRDefault="00621301" w:rsidP="00B04847">
      <w:pPr>
        <w:pStyle w:val="ListParagraph"/>
        <w:numPr>
          <w:ilvl w:val="0"/>
          <w:numId w:val="1"/>
        </w:numPr>
        <w:spacing w:after="240" w:line="360" w:lineRule="auto"/>
        <w:ind w:left="0" w:firstLine="0"/>
        <w:jc w:val="both"/>
      </w:pPr>
      <w:r>
        <w:t>Accordingly,</w:t>
      </w:r>
      <w:r w:rsidR="00501D9D">
        <w:t xml:space="preserve"> while </w:t>
      </w:r>
      <w:r w:rsidR="00E64275">
        <w:t>S</w:t>
      </w:r>
      <w:r w:rsidR="00501D9D">
        <w:t>LO</w:t>
      </w:r>
      <w:r w:rsidR="00E64275" w:rsidRPr="00FE00FF">
        <w:t xml:space="preserve"> 469 was not carried into the 2023 Development Plan, </w:t>
      </w:r>
      <w:r w:rsidR="00501D9D">
        <w:t>reference to i</w:t>
      </w:r>
      <w:r w:rsidR="00E64275" w:rsidRPr="00FE00FF">
        <w:t>t</w:t>
      </w:r>
      <w:r w:rsidR="00501D9D">
        <w:t xml:space="preserve"> continued to be</w:t>
      </w:r>
      <w:r w:rsidR="00E64275" w:rsidRPr="00FE00FF">
        <w:t xml:space="preserve"> included in the </w:t>
      </w:r>
      <w:r w:rsidR="009F4994">
        <w:t xml:space="preserve">2013 </w:t>
      </w:r>
      <w:r w:rsidR="00501D9D">
        <w:t>LAP</w:t>
      </w:r>
      <w:r w:rsidR="009F4994">
        <w:t xml:space="preserve"> (as extended)</w:t>
      </w:r>
      <w:r w:rsidR="00E64275">
        <w:t xml:space="preserve"> </w:t>
      </w:r>
      <w:r w:rsidR="007402AA">
        <w:t>as seen above</w:t>
      </w:r>
      <w:r>
        <w:t xml:space="preserve"> by the continued incorporation of Local Objective/Map Objective 4</w:t>
      </w:r>
      <w:r w:rsidR="007402AA">
        <w:t>.  At the time of the adoption of the 2023 Development Plan</w:t>
      </w:r>
      <w:r w:rsidR="00501D9D">
        <w:t xml:space="preserve"> in March, 2017</w:t>
      </w:r>
      <w:r w:rsidR="007402AA">
        <w:t xml:space="preserve">, the </w:t>
      </w:r>
      <w:r w:rsidR="009F4994">
        <w:t xml:space="preserve">2013 </w:t>
      </w:r>
      <w:r w:rsidR="007402AA">
        <w:t>L</w:t>
      </w:r>
      <w:r w:rsidR="00501D9D">
        <w:t>AP</w:t>
      </w:r>
      <w:r w:rsidR="00E64275" w:rsidRPr="00FE00FF">
        <w:t xml:space="preserve"> was due to expire i</w:t>
      </w:r>
      <w:r w:rsidR="00501D9D">
        <w:t xml:space="preserve">n </w:t>
      </w:r>
      <w:r w:rsidR="00E64275" w:rsidRPr="00FE00FF">
        <w:t>2018</w:t>
      </w:r>
      <w:r w:rsidR="00E64275">
        <w:t xml:space="preserve"> but</w:t>
      </w:r>
      <w:r w:rsidR="00E64275" w:rsidRPr="00FE00FF">
        <w:t xml:space="preserve"> was</w:t>
      </w:r>
      <w:r w:rsidR="00E64275">
        <w:t xml:space="preserve"> then</w:t>
      </w:r>
      <w:r w:rsidR="00E64275" w:rsidRPr="00FE00FF">
        <w:t xml:space="preserve"> extended for a further period of 5 years to </w:t>
      </w:r>
      <w:r w:rsidR="00624EF1">
        <w:t xml:space="preserve">the </w:t>
      </w:r>
      <w:r w:rsidR="00E64275" w:rsidRPr="00FE00FF">
        <w:t>11</w:t>
      </w:r>
      <w:r w:rsidR="00E64275" w:rsidRPr="00E64275">
        <w:rPr>
          <w:vertAlign w:val="superscript"/>
        </w:rPr>
        <w:t>th</w:t>
      </w:r>
      <w:r w:rsidR="00E64275" w:rsidRPr="00FE00FF">
        <w:t xml:space="preserve"> </w:t>
      </w:r>
      <w:r w:rsidR="00624EF1">
        <w:t xml:space="preserve">of </w:t>
      </w:r>
      <w:r w:rsidR="00E64275" w:rsidRPr="00FE00FF">
        <w:t>May 2023</w:t>
      </w:r>
      <w:r w:rsidR="00E64275">
        <w:t>.</w:t>
      </w:r>
      <w:r w:rsidR="00DB76C2">
        <w:t xml:space="preserve">  At the time of extension of the Baldoyle-Stapolin LAP, the Planning Permission was </w:t>
      </w:r>
      <w:r w:rsidR="006E5CCA">
        <w:t xml:space="preserve">extant and not </w:t>
      </w:r>
      <w:r w:rsidR="00DB76C2">
        <w:t>due to expire</w:t>
      </w:r>
      <w:r w:rsidR="006E5CCA">
        <w:t xml:space="preserve"> for another 28 months or so</w:t>
      </w:r>
      <w:r w:rsidR="00DB76C2">
        <w:t>.</w:t>
      </w:r>
      <w:r w:rsidR="006E5CCA">
        <w:t xml:space="preserve">  Accordingly, when the</w:t>
      </w:r>
      <w:r w:rsidR="009F4994">
        <w:t xml:space="preserve"> 2023</w:t>
      </w:r>
      <w:r w:rsidR="006E5CCA">
        <w:t xml:space="preserve"> Development Plan was adopted and the LAP was extended, there </w:t>
      </w:r>
      <w:r w:rsidR="00A54994">
        <w:t xml:space="preserve">remained in place a valid, extant Planning Permission for a proposed development as already agreed following an appropriate statutory process and in line with planning objectives as determined by the </w:t>
      </w:r>
      <w:r w:rsidR="00F011F3">
        <w:t>respondent</w:t>
      </w:r>
      <w:r w:rsidR="00A54994">
        <w:t>.</w:t>
      </w:r>
      <w:r w:rsidR="009F4994">
        <w:t xml:space="preserve">  As far as the respondent was concerned provision had been made for the development of a retirement village to meet the proper planning requirements of the area</w:t>
      </w:r>
      <w:r w:rsidR="00283B17">
        <w:t xml:space="preserve"> by satisfying a local need for this type of accommodation.</w:t>
      </w:r>
    </w:p>
    <w:p w14:paraId="4DF2E043" w14:textId="77777777" w:rsidR="00624EF1" w:rsidRDefault="00624EF1" w:rsidP="00E902F2"/>
    <w:p w14:paraId="799237E3" w14:textId="77777777" w:rsidR="00501D9D" w:rsidRPr="00E902F2" w:rsidRDefault="0068706C" w:rsidP="00B04847">
      <w:pPr>
        <w:pStyle w:val="ListParagraph"/>
        <w:numPr>
          <w:ilvl w:val="0"/>
          <w:numId w:val="1"/>
        </w:numPr>
        <w:spacing w:after="240" w:line="360" w:lineRule="auto"/>
        <w:ind w:left="0" w:firstLine="0"/>
        <w:jc w:val="both"/>
      </w:pPr>
      <w:r w:rsidRPr="00501D9D">
        <w:rPr>
          <w:rFonts w:eastAsia="Arial Unicode MS"/>
        </w:rPr>
        <w:t>On</w:t>
      </w:r>
      <w:r w:rsidR="000F2672">
        <w:rPr>
          <w:rFonts w:eastAsia="Arial Unicode MS"/>
        </w:rPr>
        <w:t xml:space="preserve"> the</w:t>
      </w:r>
      <w:r w:rsidRPr="00501D9D">
        <w:rPr>
          <w:rFonts w:eastAsia="Arial Unicode MS"/>
        </w:rPr>
        <w:t xml:space="preserve"> 29</w:t>
      </w:r>
      <w:r w:rsidRPr="00501D9D">
        <w:rPr>
          <w:rFonts w:eastAsia="Arial Unicode MS"/>
          <w:vertAlign w:val="superscript"/>
        </w:rPr>
        <w:t>th</w:t>
      </w:r>
      <w:r w:rsidRPr="00501D9D">
        <w:rPr>
          <w:rFonts w:eastAsia="Arial Unicode MS"/>
        </w:rPr>
        <w:t xml:space="preserve"> of May 2020</w:t>
      </w:r>
      <w:r w:rsidR="00E64275" w:rsidRPr="00501D9D">
        <w:rPr>
          <w:rFonts w:eastAsia="Arial Unicode MS"/>
        </w:rPr>
        <w:t xml:space="preserve">, during the currency of both the </w:t>
      </w:r>
      <w:r w:rsidR="001776A7">
        <w:rPr>
          <w:rFonts w:eastAsia="Arial Unicode MS"/>
        </w:rPr>
        <w:t xml:space="preserve">2023 </w:t>
      </w:r>
      <w:r w:rsidR="00E64275" w:rsidRPr="00501D9D">
        <w:rPr>
          <w:rFonts w:eastAsia="Arial Unicode MS"/>
        </w:rPr>
        <w:t>Develo</w:t>
      </w:r>
      <w:r w:rsidR="007402AA" w:rsidRPr="00501D9D">
        <w:rPr>
          <w:rFonts w:eastAsia="Arial Unicode MS"/>
        </w:rPr>
        <w:t>p</w:t>
      </w:r>
      <w:r w:rsidR="00E64275" w:rsidRPr="00501D9D">
        <w:rPr>
          <w:rFonts w:eastAsia="Arial Unicode MS"/>
        </w:rPr>
        <w:t>ment Plan</w:t>
      </w:r>
      <w:r w:rsidR="00A54994">
        <w:rPr>
          <w:rFonts w:eastAsia="Arial Unicode MS"/>
        </w:rPr>
        <w:t xml:space="preserve"> </w:t>
      </w:r>
      <w:r w:rsidR="00E64275" w:rsidRPr="00501D9D">
        <w:rPr>
          <w:rFonts w:eastAsia="Arial Unicode MS"/>
        </w:rPr>
        <w:t xml:space="preserve">and the extended </w:t>
      </w:r>
      <w:r w:rsidR="00E64275" w:rsidRPr="00524A9A">
        <w:t>Baldoyle-Stapolin L</w:t>
      </w:r>
      <w:r w:rsidR="00501D9D">
        <w:t>AP</w:t>
      </w:r>
      <w:r w:rsidR="00E64275">
        <w:t>,</w:t>
      </w:r>
      <w:r w:rsidRPr="00501D9D">
        <w:rPr>
          <w:rFonts w:eastAsia="Arial Unicode MS"/>
        </w:rPr>
        <w:t xml:space="preserve"> </w:t>
      </w:r>
      <w:r w:rsidR="00DB191F" w:rsidRPr="00501D9D">
        <w:rPr>
          <w:rFonts w:eastAsia="Arial Unicode MS"/>
        </w:rPr>
        <w:t xml:space="preserve">the </w:t>
      </w:r>
      <w:r w:rsidR="00F011F3">
        <w:rPr>
          <w:rFonts w:eastAsia="Arial Unicode MS"/>
        </w:rPr>
        <w:t>applicant</w:t>
      </w:r>
      <w:r w:rsidR="00DB191F" w:rsidRPr="00501D9D">
        <w:rPr>
          <w:rFonts w:eastAsia="Arial Unicode MS"/>
        </w:rPr>
        <w:t xml:space="preserve"> </w:t>
      </w:r>
      <w:r w:rsidRPr="00501D9D">
        <w:rPr>
          <w:rFonts w:eastAsia="Arial Unicode MS"/>
        </w:rPr>
        <w:t xml:space="preserve">made an application to the </w:t>
      </w:r>
      <w:r w:rsidR="00F011F3">
        <w:rPr>
          <w:rFonts w:eastAsia="Arial Unicode MS"/>
        </w:rPr>
        <w:t>respondent</w:t>
      </w:r>
      <w:r w:rsidRPr="00501D9D">
        <w:rPr>
          <w:rFonts w:eastAsia="Arial Unicode MS"/>
        </w:rPr>
        <w:t xml:space="preserve"> pursuant to </w:t>
      </w:r>
      <w:r w:rsidR="000F2672">
        <w:rPr>
          <w:rFonts w:eastAsia="Arial Unicode MS"/>
        </w:rPr>
        <w:t>s.</w:t>
      </w:r>
      <w:r w:rsidR="000F2672" w:rsidRPr="00501D9D">
        <w:rPr>
          <w:rFonts w:eastAsia="Arial Unicode MS"/>
        </w:rPr>
        <w:t xml:space="preserve"> </w:t>
      </w:r>
      <w:r w:rsidRPr="00501D9D">
        <w:rPr>
          <w:rFonts w:eastAsia="Arial Unicode MS"/>
        </w:rPr>
        <w:t xml:space="preserve">42(1)(a)(ii) of the </w:t>
      </w:r>
      <w:r w:rsidR="00E64275" w:rsidRPr="00501D9D">
        <w:rPr>
          <w:rFonts w:eastAsia="Arial Unicode MS"/>
        </w:rPr>
        <w:t xml:space="preserve">PDA </w:t>
      </w:r>
      <w:r w:rsidRPr="00501D9D">
        <w:rPr>
          <w:rFonts w:eastAsia="Arial Unicode MS"/>
        </w:rPr>
        <w:t>to extend the life of the permission to the 11</w:t>
      </w:r>
      <w:r w:rsidRPr="00501D9D">
        <w:rPr>
          <w:rFonts w:eastAsia="Arial Unicode MS"/>
          <w:vertAlign w:val="superscript"/>
        </w:rPr>
        <w:t>th</w:t>
      </w:r>
      <w:r w:rsidRPr="00501D9D">
        <w:rPr>
          <w:rFonts w:eastAsia="Arial Unicode MS"/>
        </w:rPr>
        <w:t xml:space="preserve"> of September 2025 (“the </w:t>
      </w:r>
      <w:r w:rsidR="00621301">
        <w:rPr>
          <w:rFonts w:eastAsia="Arial Unicode MS"/>
        </w:rPr>
        <w:t>A</w:t>
      </w:r>
      <w:r w:rsidRPr="00501D9D">
        <w:rPr>
          <w:rFonts w:eastAsia="Arial Unicode MS"/>
        </w:rPr>
        <w:t>pplication”).</w:t>
      </w:r>
    </w:p>
    <w:p w14:paraId="7976FF97" w14:textId="77777777" w:rsidR="00624EF1" w:rsidRPr="00501D9D" w:rsidRDefault="00624EF1" w:rsidP="00E902F2"/>
    <w:p w14:paraId="65383512" w14:textId="77777777" w:rsidR="00BA3CFA" w:rsidRPr="00E902F2" w:rsidRDefault="0068706C" w:rsidP="00B04847">
      <w:pPr>
        <w:pStyle w:val="ListParagraph"/>
        <w:numPr>
          <w:ilvl w:val="0"/>
          <w:numId w:val="1"/>
        </w:numPr>
        <w:spacing w:after="240" w:line="360" w:lineRule="auto"/>
        <w:ind w:left="0" w:firstLine="0"/>
        <w:jc w:val="both"/>
      </w:pPr>
      <w:r w:rsidRPr="00501D9D">
        <w:rPr>
          <w:rFonts w:eastAsia="Arial Unicode MS"/>
        </w:rPr>
        <w:t xml:space="preserve">The </w:t>
      </w:r>
      <w:r w:rsidR="00621301">
        <w:rPr>
          <w:rFonts w:eastAsia="Arial Unicode MS"/>
        </w:rPr>
        <w:t>A</w:t>
      </w:r>
      <w:r w:rsidRPr="00501D9D">
        <w:rPr>
          <w:rFonts w:eastAsia="Arial Unicode MS"/>
        </w:rPr>
        <w:t xml:space="preserve">pplication was made on the basis that the development works had not commenced because of commercial and economic considerations beyond the control of the </w:t>
      </w:r>
      <w:r w:rsidR="00F011F3">
        <w:rPr>
          <w:rFonts w:eastAsia="Arial Unicode MS"/>
        </w:rPr>
        <w:t>applicant</w:t>
      </w:r>
      <w:r w:rsidRPr="00501D9D">
        <w:rPr>
          <w:rFonts w:eastAsia="Arial Unicode MS"/>
        </w:rPr>
        <w:t xml:space="preserve">, </w:t>
      </w:r>
      <w:r w:rsidR="00A82510">
        <w:rPr>
          <w:rFonts w:eastAsia="Arial Unicode MS"/>
        </w:rPr>
        <w:t xml:space="preserve">there had been no significant changes in the development objectives in the development plan, </w:t>
      </w:r>
      <w:r w:rsidRPr="00501D9D">
        <w:rPr>
          <w:rFonts w:eastAsia="Arial Unicode MS"/>
        </w:rPr>
        <w:t>the permitted development accord</w:t>
      </w:r>
      <w:r w:rsidR="00621301">
        <w:rPr>
          <w:rFonts w:eastAsia="Arial Unicode MS"/>
        </w:rPr>
        <w:t>ed</w:t>
      </w:r>
      <w:r w:rsidRPr="00501D9D">
        <w:rPr>
          <w:rFonts w:eastAsia="Arial Unicode MS"/>
        </w:rPr>
        <w:t xml:space="preserve"> with all Ministerial </w:t>
      </w:r>
      <w:r w:rsidR="008511A6" w:rsidRPr="00501D9D">
        <w:rPr>
          <w:rFonts w:eastAsia="Arial Unicode MS"/>
        </w:rPr>
        <w:t>guidelines</w:t>
      </w:r>
      <w:r w:rsidRPr="00501D9D">
        <w:rPr>
          <w:rFonts w:eastAsia="Arial Unicode MS"/>
        </w:rPr>
        <w:t>, planning policies and objectives the relevant national, regional and local development plans and the permitted development could be completed within the extension sought</w:t>
      </w:r>
      <w:r w:rsidR="00A82510">
        <w:rPr>
          <w:rFonts w:eastAsia="Arial Unicode MS"/>
        </w:rPr>
        <w:t xml:space="preserve"> (in accordance with the requirements of s.</w:t>
      </w:r>
      <w:r w:rsidR="00A82510" w:rsidRPr="00A82510">
        <w:rPr>
          <w:rFonts w:eastAsia="Arial Unicode MS"/>
        </w:rPr>
        <w:t xml:space="preserve"> </w:t>
      </w:r>
      <w:r w:rsidR="00A82510" w:rsidRPr="00501D9D">
        <w:rPr>
          <w:rFonts w:eastAsia="Arial Unicode MS"/>
        </w:rPr>
        <w:t>42(1)(a)(ii)</w:t>
      </w:r>
      <w:r w:rsidR="00A82510">
        <w:rPr>
          <w:rFonts w:eastAsia="Arial Unicode MS"/>
        </w:rPr>
        <w:t>)</w:t>
      </w:r>
      <w:r w:rsidRPr="00501D9D">
        <w:rPr>
          <w:rFonts w:eastAsia="Arial Unicode MS"/>
        </w:rPr>
        <w:t xml:space="preserve">. </w:t>
      </w:r>
    </w:p>
    <w:p w14:paraId="3858DF10" w14:textId="77777777" w:rsidR="00BA3CFA" w:rsidRDefault="00BA3CFA" w:rsidP="00E902F2">
      <w:pPr>
        <w:pStyle w:val="ListParagraph"/>
      </w:pPr>
    </w:p>
    <w:p w14:paraId="44723564" w14:textId="77777777" w:rsidR="00E64275" w:rsidRDefault="00E64275" w:rsidP="00B04847">
      <w:pPr>
        <w:pStyle w:val="ListParagraph"/>
        <w:numPr>
          <w:ilvl w:val="0"/>
          <w:numId w:val="1"/>
        </w:numPr>
        <w:spacing w:after="240" w:line="360" w:lineRule="auto"/>
        <w:ind w:left="0" w:firstLine="0"/>
        <w:jc w:val="both"/>
      </w:pPr>
      <w:r w:rsidRPr="00FE00FF">
        <w:t xml:space="preserve">The </w:t>
      </w:r>
      <w:r w:rsidR="00283B17">
        <w:t>A</w:t>
      </w:r>
      <w:r w:rsidRPr="00FE00FF">
        <w:t xml:space="preserve">pplication </w:t>
      </w:r>
      <w:r>
        <w:t xml:space="preserve">was directed to </w:t>
      </w:r>
      <w:r w:rsidRPr="00FE00FF">
        <w:t>demonstrat</w:t>
      </w:r>
      <w:r>
        <w:t>ing</w:t>
      </w:r>
      <w:r w:rsidRPr="00FE00FF">
        <w:t xml:space="preserve"> how each of the requirements specified in </w:t>
      </w:r>
      <w:r w:rsidR="008511A6">
        <w:t>s.</w:t>
      </w:r>
      <w:r w:rsidR="008511A6" w:rsidRPr="00FE00FF">
        <w:t xml:space="preserve"> </w:t>
      </w:r>
      <w:r w:rsidRPr="00FE00FF">
        <w:t>42(1)(a)(ii)(I)-(IV) were satisfied.</w:t>
      </w:r>
      <w:r w:rsidR="00F627AE">
        <w:t xml:space="preserve">  In the </w:t>
      </w:r>
      <w:r w:rsidR="00283B17">
        <w:t>A</w:t>
      </w:r>
      <w:r w:rsidR="00F627AE">
        <w:t>pplication the respondent was referred to the wider commercial and economic considerations in relation to the permitted retirement home and hotel with emphasis on the predicted requirement for additional nursing home places to meet the demands of an aging population and the failure to deliver the required additional capacity</w:t>
      </w:r>
      <w:r w:rsidR="00F53640">
        <w:t xml:space="preserve"> due to identified barriers including limited supply associated with prohibitive construction costs.</w:t>
      </w:r>
    </w:p>
    <w:p w14:paraId="6C77093A" w14:textId="77777777" w:rsidR="008511A6" w:rsidRDefault="008511A6" w:rsidP="00E902F2"/>
    <w:p w14:paraId="2DA9F659" w14:textId="77777777" w:rsidR="00E64275" w:rsidRPr="00FE00FF" w:rsidRDefault="00F53640" w:rsidP="00B04847">
      <w:pPr>
        <w:pStyle w:val="ListParagraph"/>
        <w:numPr>
          <w:ilvl w:val="0"/>
          <w:numId w:val="1"/>
        </w:numPr>
        <w:spacing w:after="240" w:line="360" w:lineRule="auto"/>
        <w:ind w:left="0" w:firstLine="0"/>
        <w:jc w:val="both"/>
      </w:pPr>
      <w:r>
        <w:t xml:space="preserve">The </w:t>
      </w:r>
      <w:r w:rsidR="00283B17">
        <w:t>A</w:t>
      </w:r>
      <w:r>
        <w:t xml:space="preserve">pplication also addressed the regional planning guidelines and regional spatial and economic strategy detailing how the permitted development remained fully compliant and consistent with the objectives set before turning to address the </w:t>
      </w:r>
      <w:r w:rsidR="00932D21">
        <w:t xml:space="preserve">development objectives for the area as set out in the </w:t>
      </w:r>
      <w:r w:rsidR="00BA3CFA">
        <w:t xml:space="preserve">2023 </w:t>
      </w:r>
      <w:r w:rsidR="00932D21">
        <w:t xml:space="preserve"> Development Plan in a manner directed to the requirements of s. </w:t>
      </w:r>
      <w:r w:rsidR="00932D21" w:rsidRPr="00501D9D">
        <w:rPr>
          <w:rFonts w:eastAsia="Arial Unicode MS"/>
        </w:rPr>
        <w:t>42(1)(a)(ii)</w:t>
      </w:r>
      <w:r w:rsidR="00932D21">
        <w:rPr>
          <w:rFonts w:eastAsia="Arial Unicode MS"/>
        </w:rPr>
        <w:t>II.</w:t>
      </w:r>
      <w:r w:rsidR="00932D21" w:rsidRPr="00501D9D">
        <w:rPr>
          <w:rFonts w:eastAsia="Arial Unicode MS"/>
        </w:rPr>
        <w:t xml:space="preserve"> </w:t>
      </w:r>
      <w:r w:rsidR="00E64275" w:rsidRPr="00FE00FF">
        <w:t xml:space="preserve">In particular, with regard to sub-paragraph (II), the </w:t>
      </w:r>
      <w:r w:rsidR="008511A6" w:rsidRPr="00FE00FF">
        <w:t xml:space="preserve">Application </w:t>
      </w:r>
      <w:r w:rsidR="00E64275" w:rsidRPr="00FE00FF">
        <w:t xml:space="preserve">stated as follows: </w:t>
      </w:r>
    </w:p>
    <w:p w14:paraId="6C5C8CF8" w14:textId="77777777" w:rsidR="00E64275" w:rsidRPr="00FE00FF" w:rsidRDefault="00E64275" w:rsidP="00B04847">
      <w:pPr>
        <w:pStyle w:val="ListParagraph"/>
        <w:spacing w:after="240" w:line="360" w:lineRule="auto"/>
        <w:ind w:left="1440" w:hanging="720"/>
        <w:jc w:val="both"/>
        <w:rPr>
          <w:i/>
          <w:iCs/>
        </w:rPr>
      </w:pPr>
      <w:r w:rsidRPr="00FE00FF">
        <w:t>“</w:t>
      </w:r>
      <w:r w:rsidRPr="00FE00FF">
        <w:rPr>
          <w:i/>
          <w:iCs/>
        </w:rPr>
        <w:t>4.27</w:t>
      </w:r>
      <w:r w:rsidRPr="00FE00FF">
        <w:rPr>
          <w:i/>
          <w:iCs/>
        </w:rPr>
        <w:tab/>
        <w:t xml:space="preserve">The subject site was zoned objective HA – “to protect and enhance high amenity areas” in the Fingal County Development Plan 2011-2017, which was the statutory development plan for the area when the application was approved in April 2015. </w:t>
      </w:r>
    </w:p>
    <w:p w14:paraId="359901BA" w14:textId="77777777" w:rsidR="00E64275" w:rsidRPr="00501D9D" w:rsidRDefault="00E64275" w:rsidP="00B04847">
      <w:pPr>
        <w:pStyle w:val="ListParagraph"/>
        <w:spacing w:after="240" w:line="360" w:lineRule="auto"/>
        <w:ind w:left="1440" w:hanging="720"/>
        <w:jc w:val="both"/>
        <w:rPr>
          <w:i/>
          <w:iCs/>
        </w:rPr>
      </w:pPr>
      <w:r w:rsidRPr="00FE00FF">
        <w:rPr>
          <w:i/>
          <w:iCs/>
        </w:rPr>
        <w:t>4.28</w:t>
      </w:r>
      <w:r w:rsidRPr="00FE00FF">
        <w:rPr>
          <w:i/>
          <w:iCs/>
        </w:rPr>
        <w:tab/>
        <w:t xml:space="preserve">The 2011 county development plan is replaced by the 2017-2023 County Development Plan, which retains the HA zoning objective on the site … </w:t>
      </w:r>
      <w:r w:rsidRPr="00501D9D">
        <w:rPr>
          <w:i/>
          <w:iCs/>
        </w:rPr>
        <w:t xml:space="preserve">There is no change in the zoning of the subject lands since permission was granted in 2015 and there has been no change to the status of hotel use within the zoning objective. </w:t>
      </w:r>
    </w:p>
    <w:p w14:paraId="49E40B52" w14:textId="77777777" w:rsidR="00E64275" w:rsidRPr="00501D9D" w:rsidRDefault="00E64275" w:rsidP="00B04847">
      <w:pPr>
        <w:pStyle w:val="ListParagraph"/>
        <w:spacing w:after="240" w:line="360" w:lineRule="auto"/>
        <w:ind w:left="1440" w:hanging="720"/>
        <w:jc w:val="both"/>
        <w:rPr>
          <w:i/>
          <w:iCs/>
        </w:rPr>
      </w:pPr>
      <w:r w:rsidRPr="00FE00FF">
        <w:rPr>
          <w:i/>
          <w:iCs/>
        </w:rPr>
        <w:t>4.29</w:t>
      </w:r>
      <w:r w:rsidRPr="00FE00FF">
        <w:rPr>
          <w:i/>
          <w:iCs/>
        </w:rPr>
        <w:tab/>
        <w:t xml:space="preserve">Specific local objective (SLO) 469 is identified on the subject site on Map 10 of the 2011 Plan which objective is to “provide for a public park and sensitively designed retirement village subject to screening under the Habitats Directive”. However, this objective is not included on the equivalent map in the 2017-2023 Development Plan. Instead, objective 469 along with objectives 459, 467 and 471 are incorporated into the Baldoyle Stapolin Local Area Plan 2013 … being specific objectives within the local plan area. </w:t>
      </w:r>
      <w:r w:rsidRPr="00501D9D">
        <w:rPr>
          <w:i/>
          <w:iCs/>
        </w:rPr>
        <w:t>The same objectives therefore apply to the site as when permission was granted.</w:t>
      </w:r>
    </w:p>
    <w:p w14:paraId="4C931EF5" w14:textId="77777777" w:rsidR="00E64275" w:rsidRPr="00FE00FF" w:rsidRDefault="00E64275" w:rsidP="00B04847">
      <w:pPr>
        <w:pStyle w:val="ListParagraph"/>
        <w:spacing w:after="240" w:line="360" w:lineRule="auto"/>
        <w:ind w:left="1440" w:hanging="720"/>
        <w:jc w:val="both"/>
        <w:rPr>
          <w:i/>
          <w:iCs/>
        </w:rPr>
      </w:pPr>
      <w:r w:rsidRPr="00FE00FF">
        <w:rPr>
          <w:i/>
          <w:iCs/>
        </w:rPr>
        <w:t>…</w:t>
      </w:r>
    </w:p>
    <w:p w14:paraId="4317727F" w14:textId="77777777" w:rsidR="00AD5948" w:rsidRPr="00E64275" w:rsidRDefault="00E64275" w:rsidP="00B04847">
      <w:pPr>
        <w:pStyle w:val="ListParagraph"/>
        <w:spacing w:after="240" w:line="360" w:lineRule="auto"/>
        <w:ind w:left="1440" w:hanging="720"/>
        <w:jc w:val="both"/>
        <w:rPr>
          <w:i/>
          <w:iCs/>
        </w:rPr>
      </w:pPr>
      <w:r w:rsidRPr="00FE00FF">
        <w:rPr>
          <w:i/>
          <w:iCs/>
        </w:rPr>
        <w:t>4.32</w:t>
      </w:r>
      <w:r w:rsidRPr="00FE00FF">
        <w:rPr>
          <w:i/>
          <w:iCs/>
        </w:rPr>
        <w:tab/>
        <w:t>There is no material change in the zoning objective and other development objectives pertaining to the proposed development of a retirement home, hotel and ancillary facilities at the site.</w:t>
      </w:r>
    </w:p>
    <w:p w14:paraId="759055A3" w14:textId="77777777" w:rsidR="00AD5948" w:rsidRDefault="00932D21" w:rsidP="00E902F2">
      <w:pPr>
        <w:numPr>
          <w:ilvl w:val="0"/>
          <w:numId w:val="1"/>
        </w:numPr>
        <w:spacing w:line="360" w:lineRule="auto"/>
        <w:ind w:left="0" w:firstLine="0"/>
        <w:jc w:val="both"/>
        <w:rPr>
          <w:rFonts w:eastAsia="Arial Unicode MS"/>
        </w:rPr>
      </w:pPr>
      <w:r>
        <w:rPr>
          <w:rFonts w:eastAsia="Arial Unicode MS"/>
        </w:rPr>
        <w:t xml:space="preserve">The Council was invited to agree that there had been no significant changes in the development objectives in the regional plan, development plan and the </w:t>
      </w:r>
      <w:r w:rsidR="00BA3CFA">
        <w:rPr>
          <w:rFonts w:eastAsia="Arial Unicode MS"/>
        </w:rPr>
        <w:t xml:space="preserve">2013 </w:t>
      </w:r>
      <w:r>
        <w:rPr>
          <w:rFonts w:eastAsia="Arial Unicode MS"/>
        </w:rPr>
        <w:t>LAP</w:t>
      </w:r>
      <w:r w:rsidR="00BA3CFA">
        <w:rPr>
          <w:rFonts w:eastAsia="Arial Unicode MS"/>
        </w:rPr>
        <w:t xml:space="preserve"> as contended</w:t>
      </w:r>
      <w:r>
        <w:rPr>
          <w:rFonts w:eastAsia="Arial Unicode MS"/>
        </w:rPr>
        <w:t xml:space="preserve"> since the date of the permission such that the development would no longer be consistent with the proper planning and sustainable development of the area.  Finally, the </w:t>
      </w:r>
      <w:r w:rsidR="00283B17">
        <w:rPr>
          <w:rFonts w:eastAsia="Arial Unicode MS"/>
        </w:rPr>
        <w:t>A</w:t>
      </w:r>
      <w:r>
        <w:rPr>
          <w:rFonts w:eastAsia="Arial Unicode MS"/>
        </w:rPr>
        <w:t xml:space="preserve">pplication also addressed the question of compliance with Ministerial Guidelines (in accordance with s. </w:t>
      </w:r>
      <w:r w:rsidRPr="00501D9D">
        <w:rPr>
          <w:rFonts w:eastAsia="Arial Unicode MS"/>
        </w:rPr>
        <w:t>42(1)(a)(ii)</w:t>
      </w:r>
      <w:r>
        <w:rPr>
          <w:rFonts w:eastAsia="Arial Unicode MS"/>
        </w:rPr>
        <w:t xml:space="preserve">III) and </w:t>
      </w:r>
      <w:r w:rsidR="009639CE">
        <w:rPr>
          <w:rFonts w:eastAsia="Arial Unicode MS"/>
        </w:rPr>
        <w:t xml:space="preserve">considerations of Environmental Impact Assessment and Appropriate Assessment (s. </w:t>
      </w:r>
      <w:r w:rsidR="009639CE" w:rsidRPr="00501D9D">
        <w:rPr>
          <w:rFonts w:eastAsia="Arial Unicode MS"/>
        </w:rPr>
        <w:t>42(1)(a)(ii)</w:t>
      </w:r>
      <w:r w:rsidR="009639CE">
        <w:rPr>
          <w:rFonts w:eastAsia="Arial Unicode MS"/>
        </w:rPr>
        <w:t xml:space="preserve">IV).  It was confirmed that a period of five years was sufficient to allow for the completion of the development.  </w:t>
      </w:r>
      <w:r w:rsidR="00283B17">
        <w:rPr>
          <w:rFonts w:eastAsia="Arial Unicode MS"/>
        </w:rPr>
        <w:t>Although the Application was addressed to each of the requirements of s. 42(1)(a)(ii), f</w:t>
      </w:r>
      <w:r w:rsidR="009639CE">
        <w:rPr>
          <w:rFonts w:eastAsia="Arial Unicode MS"/>
        </w:rPr>
        <w:t xml:space="preserve">or the purpose of these proceedings it is necessary only to consider the requirements of s. </w:t>
      </w:r>
      <w:r w:rsidR="009639CE" w:rsidRPr="00501D9D">
        <w:rPr>
          <w:rFonts w:eastAsia="Arial Unicode MS"/>
        </w:rPr>
        <w:t>42(1)(a)(ii)</w:t>
      </w:r>
      <w:r w:rsidR="009639CE">
        <w:rPr>
          <w:rFonts w:eastAsia="Arial Unicode MS"/>
        </w:rPr>
        <w:t>II as no issue arose as to compliance with the other prescribed statutory pre-conditions to the extension of the life of the Planning Permission.</w:t>
      </w:r>
    </w:p>
    <w:p w14:paraId="3D3256CF" w14:textId="77777777" w:rsidR="00932D21" w:rsidRDefault="00932D21" w:rsidP="00E902F2">
      <w:pPr>
        <w:rPr>
          <w:rFonts w:eastAsia="Arial Unicode MS"/>
        </w:rPr>
      </w:pPr>
    </w:p>
    <w:p w14:paraId="4F392222" w14:textId="77777777" w:rsidR="0068706C" w:rsidRPr="00AD5948" w:rsidRDefault="0068706C" w:rsidP="00B04847">
      <w:pPr>
        <w:pStyle w:val="ListParagraph"/>
        <w:numPr>
          <w:ilvl w:val="0"/>
          <w:numId w:val="1"/>
        </w:numPr>
        <w:spacing w:after="240" w:line="360" w:lineRule="auto"/>
        <w:ind w:left="0" w:firstLine="0"/>
        <w:jc w:val="both"/>
      </w:pPr>
      <w:r w:rsidRPr="00AD5948">
        <w:rPr>
          <w:rFonts w:eastAsia="Arial Unicode MS"/>
        </w:rPr>
        <w:t>On the 20</w:t>
      </w:r>
      <w:r w:rsidRPr="00AD5948">
        <w:rPr>
          <w:rFonts w:eastAsia="Arial Unicode MS"/>
          <w:vertAlign w:val="superscript"/>
        </w:rPr>
        <w:t>th</w:t>
      </w:r>
      <w:r w:rsidRPr="00AD5948">
        <w:rPr>
          <w:rFonts w:eastAsia="Arial Unicode MS"/>
        </w:rPr>
        <w:t xml:space="preserve"> of July, 2020 (Decision Order No. PF/0903/20) the </w:t>
      </w:r>
      <w:r w:rsidR="00F011F3">
        <w:rPr>
          <w:rFonts w:eastAsia="Arial Unicode MS"/>
        </w:rPr>
        <w:t>respondent</w:t>
      </w:r>
      <w:r w:rsidRPr="00AD5948">
        <w:rPr>
          <w:rFonts w:eastAsia="Arial Unicode MS"/>
        </w:rPr>
        <w:t xml:space="preserve"> made </w:t>
      </w:r>
      <w:r w:rsidR="006E3C74">
        <w:rPr>
          <w:rFonts w:eastAsia="Arial Unicode MS"/>
        </w:rPr>
        <w:t>the D</w:t>
      </w:r>
      <w:r w:rsidRPr="00AD5948">
        <w:rPr>
          <w:rFonts w:eastAsia="Arial Unicode MS"/>
        </w:rPr>
        <w:t xml:space="preserve">ecision not to extend the duration of the </w:t>
      </w:r>
      <w:r w:rsidR="00283B17">
        <w:rPr>
          <w:rFonts w:eastAsia="Arial Unicode MS"/>
        </w:rPr>
        <w:t xml:space="preserve">Planning </w:t>
      </w:r>
      <w:r w:rsidR="006E3C74">
        <w:rPr>
          <w:rFonts w:eastAsia="Arial Unicode MS"/>
        </w:rPr>
        <w:t>P</w:t>
      </w:r>
      <w:r w:rsidRPr="00AD5948">
        <w:rPr>
          <w:rFonts w:eastAsia="Arial Unicode MS"/>
        </w:rPr>
        <w:t>ermission</w:t>
      </w:r>
      <w:r w:rsidR="006E3C74">
        <w:rPr>
          <w:rFonts w:eastAsia="Arial Unicode MS"/>
        </w:rPr>
        <w:t xml:space="preserve">.  </w:t>
      </w:r>
      <w:r w:rsidRPr="00AD5948">
        <w:rPr>
          <w:rFonts w:eastAsia="Arial Unicode MS"/>
        </w:rPr>
        <w:t xml:space="preserve">The following reasons </w:t>
      </w:r>
      <w:r w:rsidR="00C31DE7" w:rsidRPr="00AD5948">
        <w:rPr>
          <w:rFonts w:eastAsia="Arial Unicode MS"/>
        </w:rPr>
        <w:t xml:space="preserve">were </w:t>
      </w:r>
      <w:r w:rsidRPr="00AD5948">
        <w:rPr>
          <w:rFonts w:eastAsia="Arial Unicode MS"/>
        </w:rPr>
        <w:t xml:space="preserve">given for the </w:t>
      </w:r>
      <w:r w:rsidR="006E3C74">
        <w:rPr>
          <w:rFonts w:eastAsia="Arial Unicode MS"/>
        </w:rPr>
        <w:t>D</w:t>
      </w:r>
      <w:r w:rsidRPr="00AD5948">
        <w:rPr>
          <w:rFonts w:eastAsia="Arial Unicode MS"/>
        </w:rPr>
        <w:t>ecision:</w:t>
      </w:r>
    </w:p>
    <w:p w14:paraId="5DDF5182" w14:textId="77777777" w:rsidR="00C31DE7" w:rsidRDefault="00C31DE7" w:rsidP="002C7B0B">
      <w:pPr>
        <w:spacing w:line="360" w:lineRule="auto"/>
        <w:jc w:val="both"/>
        <w:rPr>
          <w:rFonts w:eastAsia="Arial Unicode MS"/>
        </w:rPr>
      </w:pPr>
    </w:p>
    <w:p w14:paraId="5B46DC4A" w14:textId="77777777" w:rsidR="0068706C" w:rsidRDefault="0068706C" w:rsidP="00B04847">
      <w:pPr>
        <w:spacing w:line="360" w:lineRule="auto"/>
        <w:ind w:left="720"/>
        <w:jc w:val="both"/>
        <w:rPr>
          <w:rFonts w:eastAsia="Arial Unicode MS"/>
          <w:i/>
          <w:iCs/>
        </w:rPr>
      </w:pPr>
      <w:r w:rsidRPr="006E3C74">
        <w:rPr>
          <w:rFonts w:eastAsia="Arial Unicode MS"/>
          <w:i/>
          <w:iCs/>
        </w:rPr>
        <w:t>“the duration of permission associated with register reference</w:t>
      </w:r>
      <w:r w:rsidR="008A650F" w:rsidRPr="006E3C74">
        <w:rPr>
          <w:rFonts w:eastAsia="Arial Unicode MS"/>
          <w:i/>
          <w:iCs/>
        </w:rPr>
        <w:t xml:space="preserve"> </w:t>
      </w:r>
      <w:r w:rsidRPr="006E3C74">
        <w:rPr>
          <w:rFonts w:eastAsia="Arial Unicode MS"/>
          <w:i/>
          <w:iCs/>
        </w:rPr>
        <w:t xml:space="preserve">F14A/0174 </w:t>
      </w:r>
      <w:r w:rsidR="00C31DE7" w:rsidRPr="006E3C74">
        <w:rPr>
          <w:rFonts w:eastAsia="Arial Unicode MS"/>
          <w:i/>
          <w:iCs/>
        </w:rPr>
        <w:t>cannot be extended by reason of Section 42(1)(a)(ii) of the Planning and Development 2000 (as amended) as there has been a significant change in the development objectives in the development plan for the area of the planning authority since the date of the permission such a development would no longer be consistent with the land use zoning objective (HA) and the proper planning and sustainable development of the area.  The significant change in question is map-based local objective No. 469 which pertained to the subject site in the Fingal Development Plan 2011-2017 and sought to provide for a public park and sensitively designed retirement village subject to screening for assessment under the Habitats Directive is no longer applicable to the subject lands.  The proposed development would therefore contravene materially a development objective indicated in the Fingal Development Plan 2011-2017 for the zoning of High Amenity (HA) lands.”</w:t>
      </w:r>
    </w:p>
    <w:p w14:paraId="487DEA95" w14:textId="77777777" w:rsidR="008511A6" w:rsidRPr="006E3C74" w:rsidRDefault="008511A6" w:rsidP="00E902F2">
      <w:pPr>
        <w:rPr>
          <w:rFonts w:eastAsia="Arial Unicode MS"/>
        </w:rPr>
      </w:pPr>
    </w:p>
    <w:p w14:paraId="219D3EF5" w14:textId="77777777" w:rsidR="006E3C74" w:rsidRPr="00E902F2" w:rsidRDefault="00CB2C78" w:rsidP="00B04847">
      <w:pPr>
        <w:numPr>
          <w:ilvl w:val="0"/>
          <w:numId w:val="1"/>
        </w:numPr>
        <w:autoSpaceDE w:val="0"/>
        <w:autoSpaceDN w:val="0"/>
        <w:adjustRightInd w:val="0"/>
        <w:spacing w:before="240" w:line="360" w:lineRule="auto"/>
        <w:ind w:left="0" w:firstLine="0"/>
        <w:jc w:val="both"/>
        <w:rPr>
          <w:color w:val="000000"/>
          <w:lang w:eastAsia="en-IE"/>
        </w:rPr>
      </w:pPr>
      <w:r>
        <w:rPr>
          <w:rFonts w:eastAsia="Arial Unicode MS"/>
        </w:rPr>
        <w:t>Emphasis is placed in these proceedings</w:t>
      </w:r>
      <w:r w:rsidR="006E3C74">
        <w:rPr>
          <w:rFonts w:eastAsia="Arial Unicode MS"/>
        </w:rPr>
        <w:t xml:space="preserve"> on factual errors contained in the Decision.  Indeed,</w:t>
      </w:r>
      <w:r>
        <w:rPr>
          <w:rFonts w:eastAsia="Arial Unicode MS"/>
        </w:rPr>
        <w:t xml:space="preserve"> it is accepted that there are two errors in this part of the Decision.  Firstly, the reference to</w:t>
      </w:r>
      <w:r w:rsidRPr="00282ED4">
        <w:t xml:space="preserve"> </w:t>
      </w:r>
      <w:r w:rsidRPr="0082717F">
        <w:t>“F14A/0174” i</w:t>
      </w:r>
      <w:r>
        <w:t xml:space="preserve">n the operative part of the </w:t>
      </w:r>
      <w:r w:rsidR="001776A7">
        <w:t>D</w:t>
      </w:r>
      <w:r>
        <w:t>ecision is an error.  Secondly, the reference to the proposed development “</w:t>
      </w:r>
      <w:r w:rsidRPr="00E902F2">
        <w:rPr>
          <w:i/>
          <w:iCs/>
        </w:rPr>
        <w:t>would</w:t>
      </w:r>
      <w:r>
        <w:t xml:space="preserve">” contravene the Fingal Development Plan should identify the 2023 Development Plan </w:t>
      </w:r>
      <w:r w:rsidR="006E3C74">
        <w:t>but instead refers to</w:t>
      </w:r>
      <w:r>
        <w:t xml:space="preserve"> the 2017 </w:t>
      </w:r>
      <w:r w:rsidR="001776A7">
        <w:t xml:space="preserve">Development </w:t>
      </w:r>
      <w:r>
        <w:t xml:space="preserve">Plan.  </w:t>
      </w:r>
    </w:p>
    <w:p w14:paraId="2884F4E7" w14:textId="77777777" w:rsidR="008511A6" w:rsidRPr="006E3C74" w:rsidRDefault="008511A6" w:rsidP="00E902F2">
      <w:pPr>
        <w:rPr>
          <w:lang w:eastAsia="en-IE"/>
        </w:rPr>
      </w:pPr>
    </w:p>
    <w:p w14:paraId="0FB408BA" w14:textId="77777777" w:rsidR="00CB2C78" w:rsidRPr="00E90139" w:rsidRDefault="00CB2C78" w:rsidP="00B04847">
      <w:pPr>
        <w:numPr>
          <w:ilvl w:val="0"/>
          <w:numId w:val="1"/>
        </w:numPr>
        <w:autoSpaceDE w:val="0"/>
        <w:autoSpaceDN w:val="0"/>
        <w:adjustRightInd w:val="0"/>
        <w:spacing w:before="240" w:line="360" w:lineRule="auto"/>
        <w:ind w:left="0" w:firstLine="0"/>
        <w:jc w:val="both"/>
        <w:rPr>
          <w:color w:val="000000"/>
          <w:lang w:eastAsia="en-IE"/>
        </w:rPr>
      </w:pPr>
      <w:r>
        <w:t xml:space="preserve">In relation to the mistaken register reference number, a review of the full record of the </w:t>
      </w:r>
      <w:r w:rsidR="006E3C74">
        <w:t>D</w:t>
      </w:r>
      <w:r>
        <w:t>ecision shows that the correct reference number appears throughout including as follows:</w:t>
      </w:r>
    </w:p>
    <w:p w14:paraId="08BF9400" w14:textId="77777777" w:rsidR="00CB2C78" w:rsidRDefault="00CB2C78" w:rsidP="00CB2C78">
      <w:pPr>
        <w:pStyle w:val="ListParagraph"/>
      </w:pPr>
    </w:p>
    <w:p w14:paraId="389D81F7" w14:textId="77777777" w:rsidR="00CB2C78" w:rsidRDefault="00CB2C78" w:rsidP="00B04847">
      <w:pPr>
        <w:numPr>
          <w:ilvl w:val="1"/>
          <w:numId w:val="13"/>
        </w:numPr>
        <w:spacing w:line="360" w:lineRule="auto"/>
        <w:ind w:left="1134" w:hanging="425"/>
        <w:jc w:val="both"/>
        <w:rPr>
          <w:rFonts w:eastAsia="Arial Unicode MS"/>
        </w:rPr>
      </w:pPr>
      <w:r>
        <w:rPr>
          <w:rFonts w:eastAsia="Arial Unicode MS"/>
        </w:rPr>
        <w:t xml:space="preserve">the Register Reference cited at the start of the Council’s </w:t>
      </w:r>
      <w:r w:rsidR="006E3C74">
        <w:rPr>
          <w:rFonts w:eastAsia="Arial Unicode MS"/>
        </w:rPr>
        <w:t>D</w:t>
      </w:r>
      <w:r>
        <w:rPr>
          <w:rFonts w:eastAsia="Arial Unicode MS"/>
        </w:rPr>
        <w:t>ecision is “</w:t>
      </w:r>
      <w:r w:rsidRPr="00E902F2">
        <w:rPr>
          <w:rFonts w:eastAsia="Arial Unicode MS"/>
          <w:i/>
          <w:iCs/>
        </w:rPr>
        <w:t>F14A/0109/E1</w:t>
      </w:r>
      <w:r>
        <w:rPr>
          <w:rFonts w:eastAsia="Arial Unicode MS"/>
        </w:rPr>
        <w:t xml:space="preserve">” indicating the </w:t>
      </w:r>
      <w:r w:rsidR="006E3C74">
        <w:rPr>
          <w:rFonts w:eastAsia="Arial Unicode MS"/>
        </w:rPr>
        <w:t>D</w:t>
      </w:r>
      <w:r>
        <w:rPr>
          <w:rFonts w:eastAsia="Arial Unicode MS"/>
        </w:rPr>
        <w:t>ecision related to planning permission register reference “</w:t>
      </w:r>
      <w:r w:rsidRPr="00E902F2">
        <w:rPr>
          <w:rFonts w:eastAsia="Arial Unicode MS"/>
          <w:i/>
          <w:iCs/>
        </w:rPr>
        <w:t>F14A/0109</w:t>
      </w:r>
      <w:r>
        <w:rPr>
          <w:rFonts w:eastAsia="Arial Unicode MS"/>
        </w:rPr>
        <w:t>”;</w:t>
      </w:r>
    </w:p>
    <w:p w14:paraId="0D8FC2E4" w14:textId="77777777" w:rsidR="00CB2C78" w:rsidRPr="00E340DA" w:rsidRDefault="00CB2C78" w:rsidP="00B04847">
      <w:pPr>
        <w:numPr>
          <w:ilvl w:val="1"/>
          <w:numId w:val="13"/>
        </w:numPr>
        <w:spacing w:line="360" w:lineRule="auto"/>
        <w:ind w:left="1134" w:hanging="425"/>
        <w:jc w:val="both"/>
        <w:rPr>
          <w:rFonts w:eastAsia="Arial Unicode MS"/>
        </w:rPr>
      </w:pPr>
      <w:r>
        <w:rPr>
          <w:rFonts w:eastAsia="Arial Unicode MS"/>
        </w:rPr>
        <w:t>thereafter, that Register Reference “</w:t>
      </w:r>
      <w:r w:rsidRPr="00E902F2">
        <w:rPr>
          <w:rFonts w:eastAsia="Arial Unicode MS"/>
          <w:i/>
          <w:iCs/>
        </w:rPr>
        <w:t>F14A/0109/E1</w:t>
      </w:r>
      <w:r>
        <w:rPr>
          <w:rFonts w:eastAsia="Arial Unicode MS"/>
        </w:rPr>
        <w:t xml:space="preserve">” is repeated in the header (top right) of every one of the remaining six pages of the Council’s </w:t>
      </w:r>
      <w:r w:rsidR="006E3C74">
        <w:rPr>
          <w:rFonts w:eastAsia="Arial Unicode MS"/>
        </w:rPr>
        <w:t>D</w:t>
      </w:r>
      <w:r>
        <w:rPr>
          <w:rFonts w:eastAsia="Arial Unicode MS"/>
        </w:rPr>
        <w:t>ecision;</w:t>
      </w:r>
    </w:p>
    <w:p w14:paraId="5F34565B" w14:textId="77777777" w:rsidR="00CB2C78" w:rsidRPr="002E17BF" w:rsidRDefault="00CB2C78" w:rsidP="00B04847">
      <w:pPr>
        <w:numPr>
          <w:ilvl w:val="1"/>
          <w:numId w:val="13"/>
        </w:numPr>
        <w:spacing w:line="360" w:lineRule="auto"/>
        <w:ind w:left="1134" w:hanging="425"/>
        <w:jc w:val="both"/>
        <w:rPr>
          <w:rFonts w:eastAsia="Arial Unicode MS"/>
        </w:rPr>
      </w:pPr>
      <w:r>
        <w:t xml:space="preserve">page 2 of the Council’s </w:t>
      </w:r>
      <w:r w:rsidR="006E3C74">
        <w:t>D</w:t>
      </w:r>
      <w:r>
        <w:t xml:space="preserve">ecision confirms </w:t>
      </w:r>
      <w:r w:rsidRPr="00FA29EF">
        <w:rPr>
          <w:i/>
          <w:iCs/>
        </w:rPr>
        <w:t>“[t]his is an application for an EXTENSION OF DURA</w:t>
      </w:r>
      <w:r>
        <w:rPr>
          <w:i/>
          <w:iCs/>
        </w:rPr>
        <w:t>T</w:t>
      </w:r>
      <w:r w:rsidRPr="00FA29EF">
        <w:rPr>
          <w:i/>
          <w:iCs/>
        </w:rPr>
        <w:t>ION OF PERM</w:t>
      </w:r>
      <w:r>
        <w:rPr>
          <w:i/>
          <w:iCs/>
        </w:rPr>
        <w:t>I</w:t>
      </w:r>
      <w:r w:rsidRPr="00FA29EF">
        <w:rPr>
          <w:i/>
          <w:iCs/>
        </w:rPr>
        <w:t>SSION (Reg. Ref. F14A/0109)</w:t>
      </w:r>
      <w:r>
        <w:t>”;</w:t>
      </w:r>
    </w:p>
    <w:p w14:paraId="75E1BD5E" w14:textId="77777777" w:rsidR="00CB2C78" w:rsidRPr="002E17BF" w:rsidRDefault="00CB2C78" w:rsidP="00B04847">
      <w:pPr>
        <w:numPr>
          <w:ilvl w:val="1"/>
          <w:numId w:val="13"/>
        </w:numPr>
        <w:spacing w:line="360" w:lineRule="auto"/>
        <w:ind w:left="1134" w:hanging="425"/>
        <w:jc w:val="both"/>
        <w:rPr>
          <w:rFonts w:eastAsia="Arial Unicode MS"/>
        </w:rPr>
      </w:pPr>
      <w:r>
        <w:t xml:space="preserve">page 5 of the Council’s </w:t>
      </w:r>
      <w:r w:rsidR="006E3C74">
        <w:t>D</w:t>
      </w:r>
      <w:r>
        <w:t>ecision, describing the ‘</w:t>
      </w:r>
      <w:r w:rsidRPr="00E902F2">
        <w:rPr>
          <w:i/>
          <w:iCs/>
        </w:rPr>
        <w:t>Background’</w:t>
      </w:r>
      <w:r>
        <w:t xml:space="preserve"> to the application to extend duration, states “</w:t>
      </w:r>
      <w:r w:rsidRPr="008E7454">
        <w:rPr>
          <w:i/>
          <w:iCs/>
        </w:rPr>
        <w:t xml:space="preserve">Final </w:t>
      </w:r>
      <w:r>
        <w:rPr>
          <w:i/>
          <w:iCs/>
        </w:rPr>
        <w:t>G</w:t>
      </w:r>
      <w:r w:rsidRPr="008E7454">
        <w:rPr>
          <w:i/>
          <w:iCs/>
        </w:rPr>
        <w:t>rant of permission was issued for F14</w:t>
      </w:r>
      <w:r>
        <w:rPr>
          <w:i/>
          <w:iCs/>
        </w:rPr>
        <w:t>A</w:t>
      </w:r>
      <w:r w:rsidRPr="008E7454">
        <w:rPr>
          <w:i/>
          <w:iCs/>
        </w:rPr>
        <w:t>/0109 on the 2</w:t>
      </w:r>
      <w:r>
        <w:rPr>
          <w:i/>
          <w:iCs/>
        </w:rPr>
        <w:t>0</w:t>
      </w:r>
      <w:r w:rsidRPr="008E7454">
        <w:rPr>
          <w:i/>
          <w:iCs/>
          <w:vertAlign w:val="superscript"/>
        </w:rPr>
        <w:t>th</w:t>
      </w:r>
      <w:r>
        <w:rPr>
          <w:i/>
          <w:iCs/>
        </w:rPr>
        <w:t xml:space="preserve"> </w:t>
      </w:r>
      <w:r w:rsidRPr="008E7454">
        <w:rPr>
          <w:i/>
          <w:iCs/>
        </w:rPr>
        <w:t>April 2015</w:t>
      </w:r>
      <w:r>
        <w:t>”;</w:t>
      </w:r>
    </w:p>
    <w:p w14:paraId="702AB6F5" w14:textId="77777777" w:rsidR="00CB2C78" w:rsidRPr="002E17BF" w:rsidRDefault="00CB2C78" w:rsidP="00B04847">
      <w:pPr>
        <w:numPr>
          <w:ilvl w:val="1"/>
          <w:numId w:val="13"/>
        </w:numPr>
        <w:spacing w:line="360" w:lineRule="auto"/>
        <w:ind w:left="1134" w:hanging="425"/>
        <w:jc w:val="both"/>
        <w:rPr>
          <w:rFonts w:eastAsia="Arial Unicode MS"/>
        </w:rPr>
      </w:pPr>
      <w:r>
        <w:t xml:space="preserve">at the end of page 5 of the Council’s </w:t>
      </w:r>
      <w:r w:rsidR="006E3C74">
        <w:t>D</w:t>
      </w:r>
      <w:r>
        <w:t>ecision, having considered the relevant zoning objective, it states “</w:t>
      </w:r>
      <w:r w:rsidRPr="002E17BF">
        <w:rPr>
          <w:i/>
          <w:iCs/>
        </w:rPr>
        <w:t>Accordingly, the duration of Reg. Ref. F14A/0109 cannot be extended</w:t>
      </w:r>
      <w:r>
        <w:t>.”, and;</w:t>
      </w:r>
    </w:p>
    <w:p w14:paraId="31B9BFEE" w14:textId="77777777" w:rsidR="00CB2C78" w:rsidRPr="00FA29EF" w:rsidRDefault="00CB2C78" w:rsidP="00B04847">
      <w:pPr>
        <w:numPr>
          <w:ilvl w:val="1"/>
          <w:numId w:val="13"/>
        </w:numPr>
        <w:spacing w:line="360" w:lineRule="auto"/>
        <w:ind w:left="1134" w:hanging="425"/>
        <w:jc w:val="both"/>
        <w:rPr>
          <w:rFonts w:eastAsia="Arial Unicode MS"/>
        </w:rPr>
      </w:pPr>
      <w:r>
        <w:t>On the page 6 (the same page on which the ‘</w:t>
      </w:r>
      <w:r w:rsidRPr="006E3C74">
        <w:rPr>
          <w:i/>
          <w:iCs/>
        </w:rPr>
        <w:t>Reasons</w:t>
      </w:r>
      <w:r>
        <w:t>’ section with the mistaken reference is contained), the “</w:t>
      </w:r>
      <w:r w:rsidRPr="00356FC5">
        <w:rPr>
          <w:i/>
          <w:iCs/>
        </w:rPr>
        <w:t>Conclusion</w:t>
      </w:r>
      <w:r>
        <w:t>” states “</w:t>
      </w:r>
      <w:r w:rsidRPr="00356FC5">
        <w:rPr>
          <w:i/>
          <w:iCs/>
        </w:rPr>
        <w:t>it is recommended that duration of Reg. Ref. F14A/0109 shall not be extended</w:t>
      </w:r>
      <w:r>
        <w:t>.”</w:t>
      </w:r>
    </w:p>
    <w:p w14:paraId="3E04C8BB" w14:textId="77777777" w:rsidR="00CB2C78" w:rsidRDefault="00CB2C78" w:rsidP="00B04847">
      <w:pPr>
        <w:numPr>
          <w:ilvl w:val="1"/>
          <w:numId w:val="13"/>
        </w:numPr>
        <w:spacing w:line="360" w:lineRule="auto"/>
        <w:ind w:left="1134" w:hanging="425"/>
        <w:jc w:val="both"/>
        <w:rPr>
          <w:rFonts w:eastAsia="Arial Unicode MS"/>
        </w:rPr>
      </w:pPr>
      <w:r>
        <w:rPr>
          <w:rFonts w:eastAsia="Arial Unicode MS"/>
        </w:rPr>
        <w:t xml:space="preserve">Further, the notification sent to the </w:t>
      </w:r>
      <w:r w:rsidR="00F011F3">
        <w:rPr>
          <w:rFonts w:eastAsia="Arial Unicode MS"/>
        </w:rPr>
        <w:t>applicant</w:t>
      </w:r>
      <w:r>
        <w:rPr>
          <w:rFonts w:eastAsia="Arial Unicode MS"/>
        </w:rPr>
        <w:t>’s agent also refers to “</w:t>
      </w:r>
      <w:r w:rsidRPr="00356FC5">
        <w:rPr>
          <w:rFonts w:eastAsia="Arial Unicode MS"/>
          <w:i/>
          <w:iCs/>
        </w:rPr>
        <w:t>Register Ref F14A/010/E1</w:t>
      </w:r>
      <w:r>
        <w:rPr>
          <w:rFonts w:eastAsia="Arial Unicode MS"/>
        </w:rPr>
        <w:t xml:space="preserve">” and that reference is also included in the header on the other page of the notification. </w:t>
      </w:r>
    </w:p>
    <w:p w14:paraId="58957B69" w14:textId="77777777" w:rsidR="00CB2C78" w:rsidRDefault="00CB2C78" w:rsidP="00CB2C78">
      <w:pPr>
        <w:spacing w:line="360" w:lineRule="auto"/>
        <w:ind w:left="720"/>
        <w:jc w:val="both"/>
        <w:rPr>
          <w:rFonts w:eastAsia="Arial Unicode MS"/>
        </w:rPr>
      </w:pPr>
    </w:p>
    <w:p w14:paraId="79AC3DF0" w14:textId="77777777" w:rsidR="00A12E22" w:rsidRDefault="00A12E22" w:rsidP="00B04847">
      <w:pPr>
        <w:numPr>
          <w:ilvl w:val="0"/>
          <w:numId w:val="1"/>
        </w:numPr>
        <w:spacing w:line="360" w:lineRule="auto"/>
        <w:ind w:left="0" w:firstLine="0"/>
        <w:jc w:val="both"/>
        <w:rPr>
          <w:rFonts w:eastAsia="Arial Unicode MS"/>
        </w:rPr>
      </w:pPr>
      <w:r>
        <w:rPr>
          <w:rFonts w:eastAsia="Arial Unicode MS"/>
        </w:rPr>
        <w:t xml:space="preserve">Following the communication of the </w:t>
      </w:r>
      <w:r w:rsidR="006E3C74">
        <w:rPr>
          <w:rFonts w:eastAsia="Arial Unicode MS"/>
        </w:rPr>
        <w:t>D</w:t>
      </w:r>
      <w:r>
        <w:rPr>
          <w:rFonts w:eastAsia="Arial Unicode MS"/>
        </w:rPr>
        <w:t xml:space="preserve">ecision, the </w:t>
      </w:r>
      <w:r w:rsidR="00F011F3">
        <w:rPr>
          <w:rFonts w:eastAsia="Arial Unicode MS"/>
        </w:rPr>
        <w:t>applicant</w:t>
      </w:r>
      <w:r>
        <w:rPr>
          <w:rFonts w:eastAsia="Arial Unicode MS"/>
        </w:rPr>
        <w:t xml:space="preserve"> wrote </w:t>
      </w:r>
      <w:r w:rsidR="00D970AE">
        <w:rPr>
          <w:rFonts w:eastAsia="Arial Unicode MS"/>
        </w:rPr>
        <w:t>by letters dated the 27</w:t>
      </w:r>
      <w:r w:rsidR="00D970AE" w:rsidRPr="00D970AE">
        <w:rPr>
          <w:rFonts w:eastAsia="Arial Unicode MS"/>
          <w:vertAlign w:val="superscript"/>
        </w:rPr>
        <w:t>th</w:t>
      </w:r>
      <w:r w:rsidR="00D970AE">
        <w:rPr>
          <w:rFonts w:eastAsia="Arial Unicode MS"/>
        </w:rPr>
        <w:t xml:space="preserve"> of July, 2020 and the 2</w:t>
      </w:r>
      <w:r w:rsidR="00D970AE" w:rsidRPr="00D970AE">
        <w:rPr>
          <w:rFonts w:eastAsia="Arial Unicode MS"/>
          <w:vertAlign w:val="superscript"/>
        </w:rPr>
        <w:t>nd</w:t>
      </w:r>
      <w:r w:rsidR="00D970AE">
        <w:rPr>
          <w:rFonts w:eastAsia="Arial Unicode MS"/>
        </w:rPr>
        <w:t xml:space="preserve"> of September, 2020 to complain that the Decision was legally flawed.  In particular, it was pointed out that the LAP in respect of the </w:t>
      </w:r>
      <w:r w:rsidR="001776A7">
        <w:rPr>
          <w:rFonts w:eastAsia="Arial Unicode MS"/>
        </w:rPr>
        <w:t>area where the L</w:t>
      </w:r>
      <w:r w:rsidR="00D970AE">
        <w:rPr>
          <w:rFonts w:eastAsia="Arial Unicode MS"/>
        </w:rPr>
        <w:t xml:space="preserve">ands </w:t>
      </w:r>
      <w:r w:rsidR="001776A7">
        <w:rPr>
          <w:rFonts w:eastAsia="Arial Unicode MS"/>
        </w:rPr>
        <w:t xml:space="preserve">were located </w:t>
      </w:r>
      <w:r w:rsidR="00D970AE">
        <w:rPr>
          <w:rFonts w:eastAsia="Arial Unicode MS"/>
        </w:rPr>
        <w:t xml:space="preserve">had been extended by resolution of </w:t>
      </w:r>
      <w:r w:rsidR="001776A7">
        <w:rPr>
          <w:rFonts w:eastAsia="Arial Unicode MS"/>
        </w:rPr>
        <w:t xml:space="preserve">the respondent </w:t>
      </w:r>
      <w:r w:rsidR="00D970AE">
        <w:rPr>
          <w:rFonts w:eastAsia="Arial Unicode MS"/>
        </w:rPr>
        <w:t xml:space="preserve">in 2018 and remained in force.  </w:t>
      </w:r>
    </w:p>
    <w:p w14:paraId="5FD11560" w14:textId="77777777" w:rsidR="00A12E22" w:rsidRDefault="00A12E22" w:rsidP="00A12E22">
      <w:pPr>
        <w:spacing w:line="360" w:lineRule="auto"/>
        <w:jc w:val="both"/>
        <w:rPr>
          <w:rFonts w:eastAsia="Arial Unicode MS"/>
        </w:rPr>
      </w:pPr>
    </w:p>
    <w:p w14:paraId="732DE102" w14:textId="77777777" w:rsidR="00A12E22" w:rsidRPr="002D34F0" w:rsidRDefault="002D34F0" w:rsidP="00A12E22">
      <w:pPr>
        <w:spacing w:line="360" w:lineRule="auto"/>
        <w:jc w:val="both"/>
        <w:rPr>
          <w:rFonts w:eastAsia="Arial Unicode MS"/>
          <w:b/>
        </w:rPr>
      </w:pPr>
      <w:r w:rsidRPr="002D34F0">
        <w:rPr>
          <w:rFonts w:eastAsia="Arial Unicode MS"/>
          <w:b/>
        </w:rPr>
        <w:t xml:space="preserve">PRINCIPAL </w:t>
      </w:r>
      <w:r w:rsidR="00A12E22" w:rsidRPr="002D34F0">
        <w:rPr>
          <w:rFonts w:eastAsia="Arial Unicode MS"/>
          <w:b/>
        </w:rPr>
        <w:t>ISSUES</w:t>
      </w:r>
    </w:p>
    <w:p w14:paraId="421E0176" w14:textId="77777777" w:rsidR="00DB191F" w:rsidRPr="00A12E22" w:rsidRDefault="00DB191F" w:rsidP="00A12E22">
      <w:pPr>
        <w:spacing w:line="360" w:lineRule="auto"/>
        <w:jc w:val="both"/>
        <w:rPr>
          <w:rFonts w:eastAsia="Arial Unicode MS"/>
        </w:rPr>
      </w:pPr>
    </w:p>
    <w:p w14:paraId="142AEFE6" w14:textId="77777777" w:rsidR="00D970AE" w:rsidRDefault="002D34F0" w:rsidP="00B04847">
      <w:pPr>
        <w:numPr>
          <w:ilvl w:val="0"/>
          <w:numId w:val="1"/>
        </w:numPr>
        <w:spacing w:line="360" w:lineRule="auto"/>
        <w:ind w:left="0" w:firstLine="0"/>
        <w:jc w:val="both"/>
        <w:rPr>
          <w:rFonts w:eastAsia="Arial Unicode MS"/>
        </w:rPr>
      </w:pPr>
      <w:r>
        <w:rPr>
          <w:rFonts w:eastAsia="Arial Unicode MS"/>
        </w:rPr>
        <w:t xml:space="preserve">The </w:t>
      </w:r>
      <w:r w:rsidR="00F011F3">
        <w:rPr>
          <w:rFonts w:eastAsia="Arial Unicode MS"/>
        </w:rPr>
        <w:t>applicant</w:t>
      </w:r>
      <w:r>
        <w:rPr>
          <w:rFonts w:eastAsia="Arial Unicode MS"/>
        </w:rPr>
        <w:t xml:space="preserve"> contends that the </w:t>
      </w:r>
      <w:r w:rsidR="00D970AE">
        <w:rPr>
          <w:rFonts w:eastAsia="Arial Unicode MS"/>
        </w:rPr>
        <w:t>D</w:t>
      </w:r>
      <w:r>
        <w:rPr>
          <w:rFonts w:eastAsia="Arial Unicode MS"/>
        </w:rPr>
        <w:t>ecision contained an error of law on the face of the record in that it</w:t>
      </w:r>
      <w:r w:rsidR="00D970AE">
        <w:rPr>
          <w:rFonts w:eastAsia="Arial Unicode MS"/>
        </w:rPr>
        <w:t>:</w:t>
      </w:r>
    </w:p>
    <w:p w14:paraId="4E4210D6" w14:textId="77777777" w:rsidR="0076150D" w:rsidRDefault="0076150D" w:rsidP="00E902F2">
      <w:pPr>
        <w:spacing w:line="360" w:lineRule="auto"/>
        <w:jc w:val="both"/>
        <w:rPr>
          <w:rFonts w:eastAsia="Arial Unicode MS"/>
        </w:rPr>
      </w:pPr>
    </w:p>
    <w:p w14:paraId="578CCA1E" w14:textId="77777777" w:rsidR="00D970AE" w:rsidRDefault="002D34F0" w:rsidP="00B04847">
      <w:pPr>
        <w:spacing w:line="360" w:lineRule="auto"/>
        <w:ind w:left="720"/>
        <w:jc w:val="both"/>
        <w:rPr>
          <w:rFonts w:eastAsia="Arial Unicode MS"/>
        </w:rPr>
      </w:pPr>
      <w:r>
        <w:rPr>
          <w:rFonts w:eastAsia="Arial Unicode MS"/>
        </w:rPr>
        <w:t xml:space="preserve">(a) refers to a planning permission which is not the </w:t>
      </w:r>
      <w:r w:rsidR="001776A7">
        <w:rPr>
          <w:rFonts w:eastAsia="Arial Unicode MS"/>
        </w:rPr>
        <w:t xml:space="preserve">Planning </w:t>
      </w:r>
      <w:r>
        <w:rPr>
          <w:rFonts w:eastAsia="Arial Unicode MS"/>
        </w:rPr>
        <w:t xml:space="preserve">Permission, was not the subject of the Application and was not granted in respect of the Lands </w:t>
      </w:r>
      <w:r w:rsidR="00D970AE">
        <w:rPr>
          <w:rFonts w:eastAsia="Arial Unicode MS"/>
        </w:rPr>
        <w:t>and</w:t>
      </w:r>
      <w:r w:rsidR="0076150D">
        <w:rPr>
          <w:rFonts w:eastAsia="Arial Unicode MS"/>
        </w:rPr>
        <w:t>;</w:t>
      </w:r>
    </w:p>
    <w:p w14:paraId="4F32BBB6" w14:textId="77777777" w:rsidR="002D34F0" w:rsidRDefault="002D34F0" w:rsidP="00B04847">
      <w:pPr>
        <w:spacing w:line="360" w:lineRule="auto"/>
        <w:ind w:left="720"/>
        <w:jc w:val="both"/>
        <w:rPr>
          <w:rFonts w:eastAsia="Arial Unicode MS"/>
        </w:rPr>
      </w:pPr>
      <w:r>
        <w:rPr>
          <w:rFonts w:eastAsia="Arial Unicode MS"/>
        </w:rPr>
        <w:t>(b) refers to 2017</w:t>
      </w:r>
      <w:r w:rsidR="00C541A1">
        <w:rPr>
          <w:rFonts w:eastAsia="Arial Unicode MS"/>
        </w:rPr>
        <w:t xml:space="preserve"> Development Plan</w:t>
      </w:r>
      <w:r>
        <w:rPr>
          <w:rFonts w:eastAsia="Arial Unicode MS"/>
        </w:rPr>
        <w:t xml:space="preserve"> rather than the </w:t>
      </w:r>
      <w:r w:rsidR="00C541A1">
        <w:rPr>
          <w:rFonts w:eastAsia="Arial Unicode MS"/>
        </w:rPr>
        <w:t xml:space="preserve">2023 </w:t>
      </w:r>
      <w:r>
        <w:rPr>
          <w:rFonts w:eastAsia="Arial Unicode MS"/>
        </w:rPr>
        <w:t>Development Pla</w:t>
      </w:r>
      <w:r w:rsidR="00C541A1">
        <w:rPr>
          <w:rFonts w:eastAsia="Arial Unicode MS"/>
        </w:rPr>
        <w:t>n</w:t>
      </w:r>
      <w:r>
        <w:rPr>
          <w:rFonts w:eastAsia="Arial Unicode MS"/>
        </w:rPr>
        <w:t xml:space="preserve"> which replaced it and </w:t>
      </w:r>
      <w:r w:rsidR="001776A7">
        <w:rPr>
          <w:rFonts w:eastAsia="Arial Unicode MS"/>
        </w:rPr>
        <w:t xml:space="preserve">which </w:t>
      </w:r>
      <w:r>
        <w:rPr>
          <w:rFonts w:eastAsia="Arial Unicode MS"/>
        </w:rPr>
        <w:t xml:space="preserve">was in force at the time that the application and Decision were made.  </w:t>
      </w:r>
    </w:p>
    <w:p w14:paraId="685814A6" w14:textId="77777777" w:rsidR="002D34F0" w:rsidRDefault="002D34F0" w:rsidP="002D34F0">
      <w:pPr>
        <w:spacing w:line="360" w:lineRule="auto"/>
        <w:ind w:left="501"/>
        <w:jc w:val="both"/>
        <w:rPr>
          <w:rFonts w:eastAsia="Arial Unicode MS"/>
        </w:rPr>
      </w:pPr>
    </w:p>
    <w:p w14:paraId="161D14DA" w14:textId="77777777" w:rsidR="002E221F" w:rsidRDefault="008A650F" w:rsidP="00B04847">
      <w:pPr>
        <w:numPr>
          <w:ilvl w:val="0"/>
          <w:numId w:val="1"/>
        </w:numPr>
        <w:spacing w:line="360" w:lineRule="auto"/>
        <w:ind w:left="0" w:firstLine="0"/>
        <w:jc w:val="both"/>
        <w:rPr>
          <w:rFonts w:eastAsia="Arial Unicode MS"/>
        </w:rPr>
      </w:pPr>
      <w:r w:rsidRPr="002D34F0">
        <w:rPr>
          <w:rFonts w:eastAsia="Arial Unicode MS"/>
        </w:rPr>
        <w:t xml:space="preserve">It is further contended on behalf of the </w:t>
      </w:r>
      <w:r w:rsidR="00F011F3">
        <w:rPr>
          <w:rFonts w:eastAsia="Arial Unicode MS"/>
        </w:rPr>
        <w:t>applicant</w:t>
      </w:r>
      <w:r w:rsidRPr="002D34F0">
        <w:rPr>
          <w:rFonts w:eastAsia="Arial Unicode MS"/>
        </w:rPr>
        <w:t xml:space="preserve"> that a third error </w:t>
      </w:r>
      <w:r w:rsidR="0002242E" w:rsidRPr="002D34F0">
        <w:rPr>
          <w:rFonts w:eastAsia="Arial Unicode MS"/>
        </w:rPr>
        <w:t xml:space="preserve">of fact and law </w:t>
      </w:r>
      <w:r w:rsidRPr="002D34F0">
        <w:rPr>
          <w:rFonts w:eastAsia="Arial Unicode MS"/>
        </w:rPr>
        <w:t xml:space="preserve">permeates the </w:t>
      </w:r>
      <w:r w:rsidR="00D970AE">
        <w:rPr>
          <w:rFonts w:eastAsia="Arial Unicode MS"/>
        </w:rPr>
        <w:t>D</w:t>
      </w:r>
      <w:r w:rsidRPr="002D34F0">
        <w:rPr>
          <w:rFonts w:eastAsia="Arial Unicode MS"/>
        </w:rPr>
        <w:t>ecision in the</w:t>
      </w:r>
      <w:r w:rsidR="002E3656">
        <w:rPr>
          <w:rFonts w:eastAsia="Arial Unicode MS"/>
        </w:rPr>
        <w:t xml:space="preserve"> following</w:t>
      </w:r>
      <w:r w:rsidRPr="002D34F0">
        <w:rPr>
          <w:rFonts w:eastAsia="Arial Unicode MS"/>
        </w:rPr>
        <w:t xml:space="preserve"> statement</w:t>
      </w:r>
      <w:r w:rsidR="002E3656">
        <w:rPr>
          <w:rFonts w:eastAsia="Arial Unicode MS"/>
        </w:rPr>
        <w:t xml:space="preserve"> is wrong in fact, namely</w:t>
      </w:r>
      <w:r w:rsidR="002E221F">
        <w:rPr>
          <w:rFonts w:eastAsia="Arial Unicode MS"/>
        </w:rPr>
        <w:t>:</w:t>
      </w:r>
      <w:r w:rsidRPr="002D34F0">
        <w:rPr>
          <w:rFonts w:eastAsia="Arial Unicode MS"/>
        </w:rPr>
        <w:t xml:space="preserve"> </w:t>
      </w:r>
    </w:p>
    <w:p w14:paraId="74B59BED" w14:textId="77777777" w:rsidR="002E221F" w:rsidRDefault="002E221F" w:rsidP="002E221F">
      <w:pPr>
        <w:spacing w:line="360" w:lineRule="auto"/>
        <w:ind w:left="501"/>
        <w:jc w:val="both"/>
        <w:rPr>
          <w:rFonts w:eastAsia="Arial Unicode MS"/>
        </w:rPr>
      </w:pPr>
    </w:p>
    <w:p w14:paraId="762BBDCB" w14:textId="77777777" w:rsidR="002E221F" w:rsidRDefault="008A650F" w:rsidP="002E221F">
      <w:pPr>
        <w:spacing w:line="360" w:lineRule="auto"/>
        <w:ind w:left="501"/>
        <w:jc w:val="both"/>
        <w:rPr>
          <w:rFonts w:eastAsia="Arial Unicode MS"/>
        </w:rPr>
      </w:pPr>
      <w:r w:rsidRPr="002D34F0">
        <w:rPr>
          <w:rFonts w:eastAsia="Arial Unicode MS"/>
        </w:rPr>
        <w:t>“</w:t>
      </w:r>
      <w:r w:rsidRPr="00D970AE">
        <w:rPr>
          <w:rFonts w:eastAsia="Arial Unicode MS"/>
          <w:i/>
          <w:iCs/>
        </w:rPr>
        <w:t>map-based local objective No. 469 which pertained to the subject site in the Fingal Development Plan 2011-2017 and sought to provide for a public park and sensitively designed retirement village subject to screening for assessment under the Habitats Directive is no longer applicable to the subject lands</w:t>
      </w:r>
      <w:r w:rsidRPr="002D34F0">
        <w:rPr>
          <w:rFonts w:eastAsia="Arial Unicode MS"/>
        </w:rPr>
        <w:t xml:space="preserve">” </w:t>
      </w:r>
    </w:p>
    <w:p w14:paraId="071D07C4" w14:textId="77777777" w:rsidR="002E221F" w:rsidRDefault="002E221F" w:rsidP="002E221F">
      <w:pPr>
        <w:spacing w:line="360" w:lineRule="auto"/>
        <w:ind w:left="501"/>
        <w:jc w:val="both"/>
        <w:rPr>
          <w:rFonts w:eastAsia="Arial Unicode MS"/>
        </w:rPr>
      </w:pPr>
    </w:p>
    <w:p w14:paraId="7FBF96C8" w14:textId="77777777" w:rsidR="0051387E" w:rsidRDefault="002E221F" w:rsidP="00B04847">
      <w:pPr>
        <w:numPr>
          <w:ilvl w:val="0"/>
          <w:numId w:val="1"/>
        </w:numPr>
        <w:spacing w:line="360" w:lineRule="auto"/>
        <w:ind w:left="0" w:firstLine="0"/>
        <w:jc w:val="both"/>
        <w:rPr>
          <w:rFonts w:eastAsia="Arial Unicode MS"/>
        </w:rPr>
      </w:pPr>
      <w:r>
        <w:rPr>
          <w:rFonts w:eastAsia="Arial Unicode MS"/>
        </w:rPr>
        <w:t>It is</w:t>
      </w:r>
      <w:r w:rsidR="00AD5948">
        <w:rPr>
          <w:rFonts w:eastAsia="Arial Unicode MS"/>
        </w:rPr>
        <w:t xml:space="preserve"> contend</w:t>
      </w:r>
      <w:r>
        <w:rPr>
          <w:rFonts w:eastAsia="Arial Unicode MS"/>
        </w:rPr>
        <w:t>ed</w:t>
      </w:r>
      <w:r w:rsidR="002E3656">
        <w:rPr>
          <w:rFonts w:eastAsia="Arial Unicode MS"/>
        </w:rPr>
        <w:t xml:space="preserve"> that this statement is wrong in fact because</w:t>
      </w:r>
      <w:r w:rsidR="00AD5948">
        <w:rPr>
          <w:rFonts w:eastAsia="Arial Unicode MS"/>
        </w:rPr>
        <w:t xml:space="preserve"> </w:t>
      </w:r>
      <w:r w:rsidR="0002242E" w:rsidRPr="002D34F0">
        <w:rPr>
          <w:rFonts w:eastAsia="Arial Unicode MS"/>
        </w:rPr>
        <w:t xml:space="preserve"> </w:t>
      </w:r>
      <w:r w:rsidR="00A54994">
        <w:rPr>
          <w:rFonts w:eastAsia="Arial Unicode MS"/>
        </w:rPr>
        <w:t xml:space="preserve">SLO </w:t>
      </w:r>
      <w:r w:rsidR="0002242E" w:rsidRPr="002D34F0">
        <w:rPr>
          <w:rFonts w:eastAsia="Arial Unicode MS"/>
        </w:rPr>
        <w:t>469</w:t>
      </w:r>
      <w:r w:rsidR="008A650F" w:rsidRPr="002D34F0">
        <w:rPr>
          <w:rFonts w:eastAsia="Arial Unicode MS"/>
        </w:rPr>
        <w:t xml:space="preserve"> </w:t>
      </w:r>
      <w:r w:rsidR="0002242E" w:rsidRPr="002D34F0">
        <w:rPr>
          <w:rFonts w:eastAsia="Arial Unicode MS"/>
        </w:rPr>
        <w:t>continues to apply to the subject lands by reason of</w:t>
      </w:r>
      <w:r w:rsidR="008A650F" w:rsidRPr="002D34F0">
        <w:rPr>
          <w:rFonts w:eastAsia="Arial Unicode MS"/>
        </w:rPr>
        <w:t xml:space="preserve"> the extension of the </w:t>
      </w:r>
      <w:r w:rsidR="00C541A1">
        <w:rPr>
          <w:rFonts w:eastAsia="Arial Unicode MS"/>
        </w:rPr>
        <w:t>Baldoyle-Stapolin LAP</w:t>
      </w:r>
      <w:r w:rsidR="008A650F" w:rsidRPr="002D34F0">
        <w:rPr>
          <w:rFonts w:eastAsia="Arial Unicode MS"/>
        </w:rPr>
        <w:t xml:space="preserve"> which incorporates </w:t>
      </w:r>
      <w:r w:rsidR="00A54994">
        <w:rPr>
          <w:rFonts w:eastAsia="Arial Unicode MS"/>
        </w:rPr>
        <w:t xml:space="preserve">SLO </w:t>
      </w:r>
      <w:r w:rsidR="008A650F" w:rsidRPr="002D34F0">
        <w:rPr>
          <w:rFonts w:eastAsia="Arial Unicode MS"/>
        </w:rPr>
        <w:t>469 of the Development Plan as Objective No. 4</w:t>
      </w:r>
      <w:r w:rsidR="0002242E" w:rsidRPr="002D34F0">
        <w:rPr>
          <w:rFonts w:eastAsia="Arial Unicode MS"/>
        </w:rPr>
        <w:t xml:space="preserve"> of the Baldoyle-S</w:t>
      </w:r>
      <w:r w:rsidR="00AD5948">
        <w:rPr>
          <w:rFonts w:eastAsia="Arial Unicode MS"/>
        </w:rPr>
        <w:t>tapolin</w:t>
      </w:r>
      <w:r w:rsidR="0002242E" w:rsidRPr="002D34F0">
        <w:rPr>
          <w:rFonts w:eastAsia="Arial Unicode MS"/>
        </w:rPr>
        <w:t xml:space="preserve"> L</w:t>
      </w:r>
      <w:r w:rsidR="00C541A1">
        <w:rPr>
          <w:rFonts w:eastAsia="Arial Unicode MS"/>
        </w:rPr>
        <w:t>AP.</w:t>
      </w:r>
      <w:r w:rsidR="008A650F" w:rsidRPr="002D34F0">
        <w:rPr>
          <w:rFonts w:eastAsia="Arial Unicode MS"/>
        </w:rPr>
        <w:t xml:space="preserve">  </w:t>
      </w:r>
    </w:p>
    <w:p w14:paraId="740879C7" w14:textId="77777777" w:rsidR="002E221F" w:rsidRDefault="002E221F" w:rsidP="002E221F">
      <w:pPr>
        <w:spacing w:line="360" w:lineRule="auto"/>
        <w:ind w:left="501"/>
        <w:jc w:val="both"/>
        <w:rPr>
          <w:rFonts w:eastAsia="Arial Unicode MS"/>
        </w:rPr>
      </w:pPr>
    </w:p>
    <w:p w14:paraId="0434C2B4" w14:textId="77777777" w:rsidR="002E221F" w:rsidRPr="002E221F" w:rsidRDefault="002E221F" w:rsidP="00B04847">
      <w:pPr>
        <w:numPr>
          <w:ilvl w:val="0"/>
          <w:numId w:val="1"/>
        </w:numPr>
        <w:spacing w:line="360" w:lineRule="auto"/>
        <w:ind w:left="0" w:firstLine="0"/>
        <w:jc w:val="both"/>
        <w:rPr>
          <w:rFonts w:eastAsia="Arial Unicode MS"/>
        </w:rPr>
      </w:pPr>
      <w:r w:rsidRPr="00F63F78">
        <w:rPr>
          <w:rFonts w:eastAsia="Arial Unicode MS"/>
        </w:rPr>
        <w:t>It is</w:t>
      </w:r>
      <w:r w:rsidR="00BA3CFA">
        <w:rPr>
          <w:rFonts w:eastAsia="Arial Unicode MS"/>
        </w:rPr>
        <w:t xml:space="preserve">, in addition, </w:t>
      </w:r>
      <w:r w:rsidRPr="00F63F78">
        <w:rPr>
          <w:rFonts w:eastAsia="Arial Unicode MS"/>
        </w:rPr>
        <w:t xml:space="preserve">contended that the </w:t>
      </w:r>
      <w:r w:rsidR="00F011F3">
        <w:rPr>
          <w:rFonts w:eastAsia="Arial Unicode MS"/>
        </w:rPr>
        <w:t>respondent</w:t>
      </w:r>
      <w:r w:rsidRPr="00F63F78">
        <w:rPr>
          <w:rFonts w:eastAsia="Arial Unicode MS"/>
        </w:rPr>
        <w:t xml:space="preserve"> erred in law and acted contrary to fair procedures and natural and constitution</w:t>
      </w:r>
      <w:r>
        <w:rPr>
          <w:rFonts w:eastAsia="Arial Unicode MS"/>
        </w:rPr>
        <w:t>al</w:t>
      </w:r>
      <w:r w:rsidRPr="00F63F78">
        <w:rPr>
          <w:rFonts w:eastAsia="Arial Unicode MS"/>
        </w:rPr>
        <w:t xml:space="preserve"> justice in making the </w:t>
      </w:r>
      <w:r>
        <w:rPr>
          <w:rFonts w:eastAsia="Arial Unicode MS"/>
        </w:rPr>
        <w:t>d</w:t>
      </w:r>
      <w:r w:rsidRPr="00F63F78">
        <w:rPr>
          <w:rFonts w:eastAsia="Arial Unicode MS"/>
        </w:rPr>
        <w:t xml:space="preserve">ecision without giving the </w:t>
      </w:r>
      <w:r>
        <w:rPr>
          <w:rFonts w:eastAsia="Arial Unicode MS"/>
        </w:rPr>
        <w:t>a</w:t>
      </w:r>
      <w:r w:rsidRPr="00F63F78">
        <w:rPr>
          <w:rFonts w:eastAsia="Arial Unicode MS"/>
        </w:rPr>
        <w:t xml:space="preserve">pplicant notice of an intention to refuse the </w:t>
      </w:r>
      <w:r>
        <w:rPr>
          <w:rFonts w:eastAsia="Arial Unicode MS"/>
        </w:rPr>
        <w:t>a</w:t>
      </w:r>
      <w:r w:rsidRPr="00F63F78">
        <w:rPr>
          <w:rFonts w:eastAsia="Arial Unicode MS"/>
        </w:rPr>
        <w:t xml:space="preserve">pplication and </w:t>
      </w:r>
      <w:r w:rsidR="00B23909">
        <w:rPr>
          <w:rFonts w:eastAsia="Arial Unicode MS"/>
        </w:rPr>
        <w:t>providing</w:t>
      </w:r>
      <w:r w:rsidR="00B23909" w:rsidRPr="00F63F78">
        <w:rPr>
          <w:rFonts w:eastAsia="Arial Unicode MS"/>
        </w:rPr>
        <w:t xml:space="preserve"> </w:t>
      </w:r>
      <w:r w:rsidRPr="00F63F78">
        <w:rPr>
          <w:rFonts w:eastAsia="Arial Unicode MS"/>
        </w:rPr>
        <w:t xml:space="preserve">it </w:t>
      </w:r>
      <w:r w:rsidR="00B23909">
        <w:rPr>
          <w:rFonts w:eastAsia="Arial Unicode MS"/>
        </w:rPr>
        <w:t xml:space="preserve">with </w:t>
      </w:r>
      <w:r w:rsidRPr="00F63F78">
        <w:rPr>
          <w:rFonts w:eastAsia="Arial Unicode MS"/>
        </w:rPr>
        <w:t xml:space="preserve">an opportunity to make submissions as </w:t>
      </w:r>
      <w:r>
        <w:rPr>
          <w:rFonts w:eastAsia="Arial Unicode MS"/>
        </w:rPr>
        <w:t xml:space="preserve">to </w:t>
      </w:r>
      <w:r w:rsidRPr="00F63F78">
        <w:rPr>
          <w:rFonts w:eastAsia="Arial Unicode MS"/>
        </w:rPr>
        <w:t xml:space="preserve">whether the change in the development objectives in the </w:t>
      </w:r>
      <w:r w:rsidR="00B23909" w:rsidRPr="00F63F78">
        <w:rPr>
          <w:rFonts w:eastAsia="Arial Unicode MS"/>
        </w:rPr>
        <w:t>Dev</w:t>
      </w:r>
      <w:r w:rsidR="00B23909">
        <w:rPr>
          <w:rFonts w:eastAsia="Arial Unicode MS"/>
        </w:rPr>
        <w:t>e</w:t>
      </w:r>
      <w:r w:rsidR="00B23909" w:rsidRPr="00F63F78">
        <w:rPr>
          <w:rFonts w:eastAsia="Arial Unicode MS"/>
        </w:rPr>
        <w:t xml:space="preserve">lopment Plan </w:t>
      </w:r>
      <w:r w:rsidRPr="00F63F78">
        <w:rPr>
          <w:rFonts w:eastAsia="Arial Unicode MS"/>
        </w:rPr>
        <w:t xml:space="preserve">for the area of the </w:t>
      </w:r>
      <w:r w:rsidR="00F011F3">
        <w:rPr>
          <w:rFonts w:eastAsia="Arial Unicode MS"/>
        </w:rPr>
        <w:t>respondent</w:t>
      </w:r>
      <w:r w:rsidRPr="00F63F78">
        <w:rPr>
          <w:rFonts w:eastAsia="Arial Unicode MS"/>
        </w:rPr>
        <w:t xml:space="preserve"> since the date of the </w:t>
      </w:r>
      <w:r w:rsidR="00B23909">
        <w:rPr>
          <w:rFonts w:eastAsia="Arial Unicode MS"/>
        </w:rPr>
        <w:t xml:space="preserve">Planning </w:t>
      </w:r>
      <w:r w:rsidRPr="00F63F78">
        <w:rPr>
          <w:rFonts w:eastAsia="Arial Unicode MS"/>
        </w:rPr>
        <w:t>Permission was significant and/or the effect of the change was such that the development would no longer be consistent with the proper planning and sustainable development of the area.</w:t>
      </w:r>
    </w:p>
    <w:p w14:paraId="771E2D28" w14:textId="77777777" w:rsidR="0051387E" w:rsidRDefault="0051387E" w:rsidP="00B04847">
      <w:pPr>
        <w:pStyle w:val="ListParagraph"/>
        <w:ind w:left="0"/>
        <w:rPr>
          <w:rFonts w:eastAsia="Arial Unicode MS"/>
        </w:rPr>
      </w:pPr>
    </w:p>
    <w:p w14:paraId="5BB75975" w14:textId="77777777" w:rsidR="00E37F95" w:rsidRDefault="008A650F" w:rsidP="00B04847">
      <w:pPr>
        <w:numPr>
          <w:ilvl w:val="0"/>
          <w:numId w:val="1"/>
        </w:numPr>
        <w:spacing w:line="360" w:lineRule="auto"/>
        <w:ind w:left="0" w:firstLine="0"/>
        <w:jc w:val="both"/>
        <w:rPr>
          <w:rFonts w:eastAsia="Arial Unicode MS"/>
        </w:rPr>
      </w:pPr>
      <w:r w:rsidRPr="002D34F0">
        <w:rPr>
          <w:rFonts w:eastAsia="Arial Unicode MS"/>
        </w:rPr>
        <w:t xml:space="preserve">The </w:t>
      </w:r>
      <w:r w:rsidR="00F011F3">
        <w:rPr>
          <w:rFonts w:eastAsia="Arial Unicode MS"/>
        </w:rPr>
        <w:t>respondent</w:t>
      </w:r>
      <w:r w:rsidRPr="002D34F0">
        <w:rPr>
          <w:rFonts w:eastAsia="Arial Unicode MS"/>
        </w:rPr>
        <w:t xml:space="preserve"> </w:t>
      </w:r>
      <w:r w:rsidR="00AD5948">
        <w:rPr>
          <w:rFonts w:eastAsia="Arial Unicode MS"/>
        </w:rPr>
        <w:t>disputes</w:t>
      </w:r>
      <w:r w:rsidRPr="002D34F0">
        <w:rPr>
          <w:rFonts w:eastAsia="Arial Unicode MS"/>
        </w:rPr>
        <w:t xml:space="preserve"> that there is </w:t>
      </w:r>
      <w:r w:rsidR="00AD5948">
        <w:rPr>
          <w:rFonts w:eastAsia="Arial Unicode MS"/>
        </w:rPr>
        <w:t>any</w:t>
      </w:r>
      <w:r w:rsidRPr="002D34F0">
        <w:rPr>
          <w:rFonts w:eastAsia="Arial Unicode MS"/>
        </w:rPr>
        <w:t xml:space="preserve"> error </w:t>
      </w:r>
      <w:r w:rsidR="00AD5948">
        <w:rPr>
          <w:rFonts w:eastAsia="Arial Unicode MS"/>
        </w:rPr>
        <w:t>underpinning</w:t>
      </w:r>
      <w:r w:rsidRPr="002D34F0">
        <w:rPr>
          <w:rFonts w:eastAsia="Arial Unicode MS"/>
        </w:rPr>
        <w:t xml:space="preserve"> the conclusion that map-based local objective No. 469 no longer applies to the subject lands relying on the fact that it has been removed from the Fingal Development Plan in its 2017-2023 iteration.</w:t>
      </w:r>
      <w:r w:rsidR="0002242E" w:rsidRPr="002D34F0">
        <w:rPr>
          <w:rFonts w:eastAsia="Arial Unicode MS"/>
        </w:rPr>
        <w:t xml:space="preserve">  It is the </w:t>
      </w:r>
      <w:r w:rsidR="00F011F3">
        <w:rPr>
          <w:rFonts w:eastAsia="Arial Unicode MS"/>
        </w:rPr>
        <w:t>respondent</w:t>
      </w:r>
      <w:r w:rsidR="0002242E" w:rsidRPr="002D34F0">
        <w:rPr>
          <w:rFonts w:eastAsia="Arial Unicode MS"/>
        </w:rPr>
        <w:t xml:space="preserve">’s position that Objective No. 4 </w:t>
      </w:r>
      <w:r w:rsidR="00AD5948">
        <w:rPr>
          <w:rFonts w:eastAsia="Arial Unicode MS"/>
        </w:rPr>
        <w:t>o</w:t>
      </w:r>
      <w:r w:rsidR="00AD5948" w:rsidRPr="002D34F0">
        <w:rPr>
          <w:rFonts w:eastAsia="Arial Unicode MS"/>
        </w:rPr>
        <w:t>f the Baldoyle-S</w:t>
      </w:r>
      <w:r w:rsidR="00AD5948">
        <w:rPr>
          <w:rFonts w:eastAsia="Arial Unicode MS"/>
        </w:rPr>
        <w:t>tapolin</w:t>
      </w:r>
      <w:r w:rsidR="00AD5948" w:rsidRPr="002D34F0">
        <w:rPr>
          <w:rFonts w:eastAsia="Arial Unicode MS"/>
        </w:rPr>
        <w:t xml:space="preserve"> L</w:t>
      </w:r>
      <w:r w:rsidR="00C541A1">
        <w:rPr>
          <w:rFonts w:eastAsia="Arial Unicode MS"/>
        </w:rPr>
        <w:t>AP</w:t>
      </w:r>
      <w:r w:rsidR="00AD5948" w:rsidRPr="002D34F0">
        <w:rPr>
          <w:rFonts w:eastAsia="Arial Unicode MS"/>
        </w:rPr>
        <w:t xml:space="preserve"> </w:t>
      </w:r>
      <w:r w:rsidR="00F63F78" w:rsidRPr="002D34F0">
        <w:rPr>
          <w:rFonts w:eastAsia="Arial Unicode MS"/>
        </w:rPr>
        <w:t>(“</w:t>
      </w:r>
      <w:r w:rsidR="00F63F78" w:rsidRPr="00D970AE">
        <w:rPr>
          <w:rFonts w:eastAsia="Arial Unicode MS"/>
          <w:i/>
          <w:iCs/>
        </w:rPr>
        <w:t>Provide for a public park and sensitively designed retirement village subject to screening for assessment under the Habitats Directive as per local objective 469 in the 2011-2017 Fingal Development Plan or as may be revised future development plan”</w:t>
      </w:r>
      <w:r w:rsidR="00F63F78" w:rsidRPr="002D34F0">
        <w:rPr>
          <w:rFonts w:eastAsia="Arial Unicode MS"/>
        </w:rPr>
        <w:t xml:space="preserve">) </w:t>
      </w:r>
      <w:r w:rsidR="0002242E" w:rsidRPr="002D34F0">
        <w:rPr>
          <w:rFonts w:eastAsia="Arial Unicode MS"/>
        </w:rPr>
        <w:t xml:space="preserve">did not survive the removal of </w:t>
      </w:r>
      <w:r w:rsidR="00D970AE">
        <w:rPr>
          <w:rFonts w:eastAsia="Arial Unicode MS"/>
        </w:rPr>
        <w:t>L</w:t>
      </w:r>
      <w:r w:rsidR="0002242E" w:rsidRPr="002D34F0">
        <w:rPr>
          <w:rFonts w:eastAsia="Arial Unicode MS"/>
        </w:rPr>
        <w:t xml:space="preserve">ocal </w:t>
      </w:r>
      <w:r w:rsidR="00D970AE">
        <w:rPr>
          <w:rFonts w:eastAsia="Arial Unicode MS"/>
        </w:rPr>
        <w:t>A</w:t>
      </w:r>
      <w:r w:rsidR="0002242E" w:rsidRPr="002D34F0">
        <w:rPr>
          <w:rFonts w:eastAsia="Arial Unicode MS"/>
        </w:rPr>
        <w:t xml:space="preserve">rea </w:t>
      </w:r>
      <w:r w:rsidR="00D970AE">
        <w:rPr>
          <w:rFonts w:eastAsia="Arial Unicode MS"/>
        </w:rPr>
        <w:t>O</w:t>
      </w:r>
      <w:r w:rsidR="0002242E" w:rsidRPr="002D34F0">
        <w:rPr>
          <w:rFonts w:eastAsia="Arial Unicode MS"/>
        </w:rPr>
        <w:t>bjective 469 from the Fingal Development Plan</w:t>
      </w:r>
      <w:r w:rsidR="00510B5A">
        <w:rPr>
          <w:rFonts w:eastAsia="Arial Unicode MS"/>
        </w:rPr>
        <w:t xml:space="preserve">.  </w:t>
      </w:r>
    </w:p>
    <w:p w14:paraId="23EFB625" w14:textId="77777777" w:rsidR="00E37F95" w:rsidRDefault="00E37F95" w:rsidP="00E902F2">
      <w:pPr>
        <w:pStyle w:val="ListParagraph"/>
        <w:ind w:left="0"/>
        <w:rPr>
          <w:rFonts w:eastAsia="Arial Unicode MS"/>
        </w:rPr>
      </w:pPr>
    </w:p>
    <w:p w14:paraId="3E2B7EB6" w14:textId="77777777" w:rsidR="008A650F" w:rsidRPr="00510B5A" w:rsidRDefault="00510B5A" w:rsidP="00B04847">
      <w:pPr>
        <w:numPr>
          <w:ilvl w:val="0"/>
          <w:numId w:val="1"/>
        </w:numPr>
        <w:spacing w:line="360" w:lineRule="auto"/>
        <w:ind w:left="0" w:firstLine="0"/>
        <w:jc w:val="both"/>
        <w:rPr>
          <w:rFonts w:eastAsia="Arial Unicode MS"/>
        </w:rPr>
      </w:pPr>
      <w:r>
        <w:rPr>
          <w:rFonts w:eastAsia="Arial Unicode MS"/>
        </w:rPr>
        <w:t xml:space="preserve">More fundamentally, it is the </w:t>
      </w:r>
      <w:r w:rsidR="00F011F3">
        <w:rPr>
          <w:rFonts w:eastAsia="Arial Unicode MS"/>
        </w:rPr>
        <w:t>respondent</w:t>
      </w:r>
      <w:r>
        <w:rPr>
          <w:rFonts w:eastAsia="Arial Unicode MS"/>
        </w:rPr>
        <w:t>’s position</w:t>
      </w:r>
      <w:r w:rsidR="0002242E" w:rsidRPr="002D34F0">
        <w:rPr>
          <w:rFonts w:eastAsia="Arial Unicode MS"/>
        </w:rPr>
        <w:t xml:space="preserve"> that for the purpose of the </w:t>
      </w:r>
      <w:r w:rsidR="00D970AE">
        <w:rPr>
          <w:rFonts w:eastAsia="Arial Unicode MS"/>
        </w:rPr>
        <w:t>D</w:t>
      </w:r>
      <w:r w:rsidR="0002242E" w:rsidRPr="002D34F0">
        <w:rPr>
          <w:rFonts w:eastAsia="Arial Unicode MS"/>
        </w:rPr>
        <w:t>ecision under s</w:t>
      </w:r>
      <w:r w:rsidR="00D970AE">
        <w:rPr>
          <w:rFonts w:eastAsia="Arial Unicode MS"/>
        </w:rPr>
        <w:t>.</w:t>
      </w:r>
      <w:r w:rsidR="0002242E" w:rsidRPr="002D34F0">
        <w:rPr>
          <w:rFonts w:eastAsia="Arial Unicode MS"/>
        </w:rPr>
        <w:t xml:space="preserve"> 42, the </w:t>
      </w:r>
      <w:r w:rsidR="00F011F3">
        <w:rPr>
          <w:rFonts w:eastAsia="Arial Unicode MS"/>
        </w:rPr>
        <w:t>respondent</w:t>
      </w:r>
      <w:r w:rsidR="0002242E" w:rsidRPr="002D34F0">
        <w:rPr>
          <w:rFonts w:eastAsia="Arial Unicode MS"/>
        </w:rPr>
        <w:t xml:space="preserve"> </w:t>
      </w:r>
      <w:r>
        <w:rPr>
          <w:rFonts w:eastAsia="Arial Unicode MS"/>
        </w:rPr>
        <w:t>should</w:t>
      </w:r>
      <w:r w:rsidR="0002242E" w:rsidRPr="002D34F0">
        <w:rPr>
          <w:rFonts w:eastAsia="Arial Unicode MS"/>
        </w:rPr>
        <w:t xml:space="preserve"> not</w:t>
      </w:r>
      <w:r>
        <w:rPr>
          <w:rFonts w:eastAsia="Arial Unicode MS"/>
        </w:rPr>
        <w:t xml:space="preserve"> and did not</w:t>
      </w:r>
      <w:r w:rsidR="0002242E" w:rsidRPr="002D34F0">
        <w:rPr>
          <w:rFonts w:eastAsia="Arial Unicode MS"/>
        </w:rPr>
        <w:t xml:space="preserve"> have regard to the L</w:t>
      </w:r>
      <w:r w:rsidR="00C541A1">
        <w:rPr>
          <w:rFonts w:eastAsia="Arial Unicode MS"/>
        </w:rPr>
        <w:t>AP</w:t>
      </w:r>
      <w:r w:rsidR="0002242E" w:rsidRPr="002D34F0">
        <w:rPr>
          <w:rFonts w:eastAsia="Arial Unicode MS"/>
        </w:rPr>
        <w:t xml:space="preserve"> but is confined to a consideration of the Development Plan itself.</w:t>
      </w:r>
      <w:r>
        <w:rPr>
          <w:rFonts w:eastAsia="Arial Unicode MS"/>
        </w:rPr>
        <w:t xml:space="preserve">  Indeed, it is the </w:t>
      </w:r>
      <w:r w:rsidR="00F011F3">
        <w:rPr>
          <w:rFonts w:eastAsia="Arial Unicode MS"/>
        </w:rPr>
        <w:t>respondent</w:t>
      </w:r>
      <w:r>
        <w:rPr>
          <w:rFonts w:eastAsia="Arial Unicode MS"/>
        </w:rPr>
        <w:t>’s position that had they proceeded to consider the LAP they would have exceeded their jurisdiction under s</w:t>
      </w:r>
      <w:r w:rsidR="005B684C">
        <w:rPr>
          <w:rFonts w:eastAsia="Arial Unicode MS"/>
        </w:rPr>
        <w:t>.</w:t>
      </w:r>
      <w:r>
        <w:rPr>
          <w:rFonts w:eastAsia="Arial Unicode MS"/>
        </w:rPr>
        <w:t xml:space="preserve"> 42 and would have failed to apply the correct legal test.</w:t>
      </w:r>
    </w:p>
    <w:p w14:paraId="25A8DAB8" w14:textId="77777777" w:rsidR="002D34F0" w:rsidRDefault="002D34F0" w:rsidP="00B04847">
      <w:pPr>
        <w:spacing w:line="360" w:lineRule="auto"/>
        <w:jc w:val="both"/>
        <w:rPr>
          <w:rFonts w:eastAsia="Arial Unicode MS"/>
        </w:rPr>
      </w:pPr>
    </w:p>
    <w:p w14:paraId="59DB8D13" w14:textId="77777777" w:rsidR="00C541A1" w:rsidRDefault="00C541A1" w:rsidP="00B04847">
      <w:pPr>
        <w:numPr>
          <w:ilvl w:val="0"/>
          <w:numId w:val="1"/>
        </w:numPr>
        <w:spacing w:line="360" w:lineRule="auto"/>
        <w:ind w:left="0" w:firstLine="0"/>
        <w:jc w:val="both"/>
        <w:rPr>
          <w:rFonts w:eastAsia="Arial Unicode MS"/>
        </w:rPr>
      </w:pPr>
      <w:r>
        <w:rPr>
          <w:rFonts w:eastAsia="Arial Unicode MS"/>
        </w:rPr>
        <w:t xml:space="preserve">The </w:t>
      </w:r>
      <w:r w:rsidR="00F011F3">
        <w:rPr>
          <w:rFonts w:eastAsia="Arial Unicode MS"/>
        </w:rPr>
        <w:t>applicant</w:t>
      </w:r>
      <w:r>
        <w:rPr>
          <w:rFonts w:eastAsia="Arial Unicode MS"/>
        </w:rPr>
        <w:t xml:space="preserve"> contends that </w:t>
      </w:r>
      <w:r w:rsidR="00510B5A">
        <w:rPr>
          <w:rFonts w:eastAsia="Arial Unicode MS"/>
        </w:rPr>
        <w:t xml:space="preserve">the position adopted </w:t>
      </w:r>
      <w:r>
        <w:rPr>
          <w:rFonts w:eastAsia="Arial Unicode MS"/>
        </w:rPr>
        <w:t xml:space="preserve">by the </w:t>
      </w:r>
      <w:r w:rsidR="00F011F3">
        <w:rPr>
          <w:rFonts w:eastAsia="Arial Unicode MS"/>
        </w:rPr>
        <w:t>respondent</w:t>
      </w:r>
      <w:r>
        <w:rPr>
          <w:rFonts w:eastAsia="Arial Unicode MS"/>
        </w:rPr>
        <w:t xml:space="preserve"> that it does not have regard to the LAP but is confined to the Development Plan to identify whether there has been a significant change in development objectives reflects an error of law on the part of the </w:t>
      </w:r>
      <w:r w:rsidR="00F011F3">
        <w:rPr>
          <w:rFonts w:eastAsia="Arial Unicode MS"/>
        </w:rPr>
        <w:t>respondent</w:t>
      </w:r>
      <w:r>
        <w:rPr>
          <w:rFonts w:eastAsia="Arial Unicode MS"/>
        </w:rPr>
        <w:t xml:space="preserve"> </w:t>
      </w:r>
      <w:r w:rsidR="00743AB3">
        <w:rPr>
          <w:rFonts w:eastAsia="Arial Unicode MS"/>
        </w:rPr>
        <w:t>in its</w:t>
      </w:r>
      <w:r w:rsidR="002D34F0" w:rsidRPr="00F63F78">
        <w:rPr>
          <w:rFonts w:eastAsia="Arial Unicode MS"/>
        </w:rPr>
        <w:t xml:space="preserve"> interpretation and application of the requirements set out in </w:t>
      </w:r>
      <w:r w:rsidR="005D4A49">
        <w:rPr>
          <w:rFonts w:eastAsia="Arial Unicode MS"/>
        </w:rPr>
        <w:t>s.</w:t>
      </w:r>
      <w:r w:rsidR="005D4A49" w:rsidRPr="00F63F78">
        <w:rPr>
          <w:rFonts w:eastAsia="Arial Unicode MS"/>
        </w:rPr>
        <w:t xml:space="preserve"> </w:t>
      </w:r>
      <w:r w:rsidR="002D34F0" w:rsidRPr="00F63F78">
        <w:rPr>
          <w:rFonts w:eastAsia="Arial Unicode MS"/>
        </w:rPr>
        <w:t xml:space="preserve">42(1)(a)(ii) of the </w:t>
      </w:r>
      <w:r>
        <w:rPr>
          <w:rFonts w:eastAsia="Arial Unicode MS"/>
        </w:rPr>
        <w:t>PDA</w:t>
      </w:r>
      <w:r w:rsidR="002D34F0" w:rsidRPr="00F63F78">
        <w:rPr>
          <w:rFonts w:eastAsia="Arial Unicode MS"/>
        </w:rPr>
        <w:t xml:space="preserve">. Specifically, while it is accepted that there has been a change in the development objectives (through the removal of Local Objective 469 from the Development Plan), the </w:t>
      </w:r>
      <w:r w:rsidR="00F011F3">
        <w:rPr>
          <w:rFonts w:eastAsia="Arial Unicode MS"/>
        </w:rPr>
        <w:t>applicant</w:t>
      </w:r>
      <w:r w:rsidR="002D34F0" w:rsidRPr="00F63F78">
        <w:rPr>
          <w:rFonts w:eastAsia="Arial Unicode MS"/>
        </w:rPr>
        <w:t xml:space="preserve">’s position is that this </w:t>
      </w:r>
      <w:r w:rsidR="0051387E">
        <w:rPr>
          <w:rFonts w:eastAsia="Arial Unicode MS"/>
        </w:rPr>
        <w:t xml:space="preserve">does </w:t>
      </w:r>
      <w:r w:rsidR="002D34F0" w:rsidRPr="00F63F78">
        <w:rPr>
          <w:rFonts w:eastAsia="Arial Unicode MS"/>
        </w:rPr>
        <w:t xml:space="preserve">not </w:t>
      </w:r>
      <w:r w:rsidR="0051387E">
        <w:rPr>
          <w:rFonts w:eastAsia="Arial Unicode MS"/>
        </w:rPr>
        <w:t xml:space="preserve">constitute </w:t>
      </w:r>
      <w:r w:rsidR="002D34F0" w:rsidRPr="00F63F78">
        <w:rPr>
          <w:rFonts w:eastAsia="Arial Unicode MS"/>
        </w:rPr>
        <w:t>a significant change in the development objectives in the development plan for the area since the date of the</w:t>
      </w:r>
      <w:r w:rsidR="005D4A49">
        <w:rPr>
          <w:rFonts w:eastAsia="Arial Unicode MS"/>
        </w:rPr>
        <w:t xml:space="preserve"> Planning</w:t>
      </w:r>
      <w:r w:rsidR="002D34F0" w:rsidRPr="00F63F78">
        <w:rPr>
          <w:rFonts w:eastAsia="Arial Unicode MS"/>
        </w:rPr>
        <w:t xml:space="preserve"> </w:t>
      </w:r>
      <w:r w:rsidR="005B684C">
        <w:rPr>
          <w:rFonts w:eastAsia="Arial Unicode MS"/>
        </w:rPr>
        <w:t>P</w:t>
      </w:r>
      <w:r w:rsidR="002D34F0" w:rsidRPr="00F63F78">
        <w:rPr>
          <w:rFonts w:eastAsia="Arial Unicode MS"/>
        </w:rPr>
        <w:t xml:space="preserve">ermission such that the </w:t>
      </w:r>
      <w:r w:rsidR="005B684C">
        <w:rPr>
          <w:rFonts w:eastAsia="Arial Unicode MS"/>
        </w:rPr>
        <w:t>D</w:t>
      </w:r>
      <w:r w:rsidR="002D34F0" w:rsidRPr="00F63F78">
        <w:rPr>
          <w:rFonts w:eastAsia="Arial Unicode MS"/>
        </w:rPr>
        <w:t>evelopment would no longer be consistent with the proper planning and sustainable development of the area</w:t>
      </w:r>
      <w:r>
        <w:rPr>
          <w:rFonts w:eastAsia="Arial Unicode MS"/>
        </w:rPr>
        <w:t xml:space="preserve">.  It is the </w:t>
      </w:r>
      <w:r w:rsidR="00F011F3">
        <w:rPr>
          <w:rFonts w:eastAsia="Arial Unicode MS"/>
        </w:rPr>
        <w:t>applicant</w:t>
      </w:r>
      <w:r>
        <w:rPr>
          <w:rFonts w:eastAsia="Arial Unicode MS"/>
        </w:rPr>
        <w:t xml:space="preserve">’s case that the </w:t>
      </w:r>
      <w:r w:rsidR="00F011F3">
        <w:rPr>
          <w:rFonts w:eastAsia="Arial Unicode MS"/>
        </w:rPr>
        <w:t>respondent</w:t>
      </w:r>
      <w:r>
        <w:rPr>
          <w:rFonts w:eastAsia="Arial Unicode MS"/>
        </w:rPr>
        <w:t xml:space="preserve"> is entitled to have regard to the applicable LAP in determining whether the requirements of </w:t>
      </w:r>
      <w:r w:rsidR="005D4A49">
        <w:rPr>
          <w:rFonts w:eastAsia="Arial Unicode MS"/>
        </w:rPr>
        <w:t xml:space="preserve">s. </w:t>
      </w:r>
      <w:r>
        <w:rPr>
          <w:rFonts w:eastAsia="Arial Unicode MS"/>
        </w:rPr>
        <w:t>42(1)(a)(ii)</w:t>
      </w:r>
      <w:r w:rsidR="005D4A49">
        <w:rPr>
          <w:rFonts w:eastAsia="Arial Unicode MS"/>
        </w:rPr>
        <w:t>(</w:t>
      </w:r>
      <w:r>
        <w:rPr>
          <w:rFonts w:eastAsia="Arial Unicode MS"/>
        </w:rPr>
        <w:t>II</w:t>
      </w:r>
      <w:r w:rsidR="005D4A49">
        <w:rPr>
          <w:rFonts w:eastAsia="Arial Unicode MS"/>
        </w:rPr>
        <w:t>)</w:t>
      </w:r>
      <w:r>
        <w:rPr>
          <w:rFonts w:eastAsia="Arial Unicode MS"/>
        </w:rPr>
        <w:t xml:space="preserve"> are met</w:t>
      </w:r>
      <w:r w:rsidR="002D34F0" w:rsidRPr="00F63F78">
        <w:rPr>
          <w:rFonts w:eastAsia="Arial Unicode MS"/>
        </w:rPr>
        <w:t xml:space="preserve">.  </w:t>
      </w:r>
      <w:r>
        <w:rPr>
          <w:rFonts w:eastAsia="Arial Unicode MS"/>
        </w:rPr>
        <w:t xml:space="preserve">Further, it is contended that failure to </w:t>
      </w:r>
      <w:r w:rsidR="001529F7">
        <w:rPr>
          <w:rFonts w:eastAsia="Arial Unicode MS"/>
        </w:rPr>
        <w:t>have regard to the applicable LAP is a failure to have regard to relevant considerations.</w:t>
      </w:r>
    </w:p>
    <w:p w14:paraId="56BFEFA3" w14:textId="77777777" w:rsidR="00C541A1" w:rsidRDefault="00C541A1" w:rsidP="00B04847">
      <w:pPr>
        <w:pStyle w:val="ListParagraph"/>
        <w:ind w:left="0"/>
        <w:rPr>
          <w:rFonts w:eastAsia="Arial Unicode MS"/>
        </w:rPr>
      </w:pPr>
    </w:p>
    <w:p w14:paraId="1C5922F9" w14:textId="77777777" w:rsidR="00364AA0" w:rsidRPr="005B56BB" w:rsidRDefault="002D34F0" w:rsidP="00E902F2">
      <w:pPr>
        <w:numPr>
          <w:ilvl w:val="0"/>
          <w:numId w:val="1"/>
        </w:numPr>
        <w:spacing w:line="360" w:lineRule="auto"/>
        <w:ind w:left="0" w:firstLine="0"/>
        <w:jc w:val="both"/>
        <w:rPr>
          <w:rFonts w:eastAsia="Arial Unicode MS"/>
        </w:rPr>
      </w:pPr>
      <w:r w:rsidRPr="00364AA0">
        <w:rPr>
          <w:rFonts w:eastAsia="Arial Unicode MS"/>
        </w:rPr>
        <w:t>The</w:t>
      </w:r>
      <w:r w:rsidR="005B684C" w:rsidRPr="00364AA0">
        <w:rPr>
          <w:rFonts w:eastAsia="Arial Unicode MS"/>
        </w:rPr>
        <w:t xml:space="preserve"> </w:t>
      </w:r>
      <w:r w:rsidR="00F011F3">
        <w:rPr>
          <w:rFonts w:eastAsia="Arial Unicode MS"/>
        </w:rPr>
        <w:t>applicant</w:t>
      </w:r>
      <w:r w:rsidRPr="00364AA0">
        <w:rPr>
          <w:rFonts w:eastAsia="Arial Unicode MS"/>
        </w:rPr>
        <w:t xml:space="preserve"> adopt</w:t>
      </w:r>
      <w:r w:rsidR="005B684C" w:rsidRPr="00364AA0">
        <w:rPr>
          <w:rFonts w:eastAsia="Arial Unicode MS"/>
        </w:rPr>
        <w:t>s</w:t>
      </w:r>
      <w:r w:rsidRPr="00364AA0">
        <w:rPr>
          <w:rFonts w:eastAsia="Arial Unicode MS"/>
        </w:rPr>
        <w:t xml:space="preserve"> this position in circumstances where </w:t>
      </w:r>
      <w:r w:rsidR="005B684C" w:rsidRPr="00364AA0">
        <w:rPr>
          <w:rFonts w:eastAsia="Arial Unicode MS"/>
        </w:rPr>
        <w:t>it is</w:t>
      </w:r>
      <w:r w:rsidR="001529F7" w:rsidRPr="00364AA0">
        <w:rPr>
          <w:rFonts w:eastAsia="Arial Unicode MS"/>
        </w:rPr>
        <w:t xml:space="preserve"> contend</w:t>
      </w:r>
      <w:r w:rsidR="005B684C" w:rsidRPr="00364AA0">
        <w:rPr>
          <w:rFonts w:eastAsia="Arial Unicode MS"/>
        </w:rPr>
        <w:t>ed</w:t>
      </w:r>
      <w:r w:rsidR="001529F7" w:rsidRPr="00364AA0">
        <w:rPr>
          <w:rFonts w:eastAsia="Arial Unicode MS"/>
        </w:rPr>
        <w:t xml:space="preserve"> that </w:t>
      </w:r>
      <w:r w:rsidR="005B684C" w:rsidRPr="00364AA0">
        <w:rPr>
          <w:rFonts w:eastAsia="Arial Unicode MS"/>
        </w:rPr>
        <w:t>L</w:t>
      </w:r>
      <w:r w:rsidRPr="00364AA0">
        <w:rPr>
          <w:rFonts w:eastAsia="Arial Unicode MS"/>
        </w:rPr>
        <w:t xml:space="preserve">ocal </w:t>
      </w:r>
      <w:r w:rsidR="005B684C" w:rsidRPr="00364AA0">
        <w:rPr>
          <w:rFonts w:eastAsia="Arial Unicode MS"/>
        </w:rPr>
        <w:t>O</w:t>
      </w:r>
      <w:r w:rsidRPr="00364AA0">
        <w:rPr>
          <w:rFonts w:eastAsia="Arial Unicode MS"/>
        </w:rPr>
        <w:t xml:space="preserve">bjective No. 469 in the </w:t>
      </w:r>
      <w:r w:rsidR="00283B17">
        <w:rPr>
          <w:rFonts w:eastAsia="Arial Unicode MS"/>
        </w:rPr>
        <w:t xml:space="preserve">2017 </w:t>
      </w:r>
      <w:r w:rsidRPr="00364AA0">
        <w:rPr>
          <w:rFonts w:eastAsia="Arial Unicode MS"/>
        </w:rPr>
        <w:t>Development Plan 2011-2017 ha</w:t>
      </w:r>
      <w:r w:rsidR="0051387E" w:rsidRPr="00364AA0">
        <w:rPr>
          <w:rFonts w:eastAsia="Arial Unicode MS"/>
        </w:rPr>
        <w:t>s</w:t>
      </w:r>
      <w:r w:rsidRPr="00364AA0">
        <w:rPr>
          <w:rFonts w:eastAsia="Arial Unicode MS"/>
        </w:rPr>
        <w:t xml:space="preserve"> been incorporated into </w:t>
      </w:r>
      <w:r w:rsidR="005B684C" w:rsidRPr="00364AA0">
        <w:rPr>
          <w:rFonts w:eastAsia="Arial Unicode MS"/>
        </w:rPr>
        <w:t>O</w:t>
      </w:r>
      <w:r w:rsidRPr="00364AA0">
        <w:rPr>
          <w:rFonts w:eastAsia="Arial Unicode MS"/>
        </w:rPr>
        <w:t>bjective 4 (“</w:t>
      </w:r>
      <w:r w:rsidRPr="00364AA0">
        <w:rPr>
          <w:rFonts w:eastAsia="Arial Unicode MS"/>
          <w:i/>
          <w:iCs/>
        </w:rPr>
        <w:t>Provide for a public park and sensitively designed retirement village subject to screening for assessment under the Habitats Directive</w:t>
      </w:r>
      <w:r w:rsidR="005B684C" w:rsidRPr="00364AA0">
        <w:rPr>
          <w:rFonts w:eastAsia="Arial Unicode MS"/>
          <w:i/>
          <w:iCs/>
        </w:rPr>
        <w:t xml:space="preserve"> </w:t>
      </w:r>
      <w:r w:rsidRPr="00364AA0">
        <w:rPr>
          <w:rFonts w:eastAsia="Arial Unicode MS"/>
          <w:i/>
          <w:iCs/>
        </w:rPr>
        <w:t xml:space="preserve">as per </w:t>
      </w:r>
      <w:r w:rsidR="005B684C" w:rsidRPr="00364AA0">
        <w:rPr>
          <w:rFonts w:eastAsia="Arial Unicode MS"/>
          <w:i/>
          <w:iCs/>
        </w:rPr>
        <w:t>L</w:t>
      </w:r>
      <w:r w:rsidRPr="00364AA0">
        <w:rPr>
          <w:rFonts w:eastAsia="Arial Unicode MS"/>
          <w:i/>
          <w:iCs/>
        </w:rPr>
        <w:t xml:space="preserve">ocal </w:t>
      </w:r>
      <w:r w:rsidR="005B684C" w:rsidRPr="00364AA0">
        <w:rPr>
          <w:rFonts w:eastAsia="Arial Unicode MS"/>
          <w:i/>
          <w:iCs/>
        </w:rPr>
        <w:t>O</w:t>
      </w:r>
      <w:r w:rsidRPr="00364AA0">
        <w:rPr>
          <w:rFonts w:eastAsia="Arial Unicode MS"/>
          <w:i/>
          <w:iCs/>
        </w:rPr>
        <w:t>bjective 469 in the 2011-2017 Fingal Development Plan or as may be revised future development plan”)</w:t>
      </w:r>
      <w:r w:rsidRPr="00364AA0">
        <w:rPr>
          <w:rFonts w:eastAsia="Arial Unicode MS"/>
        </w:rPr>
        <w:t xml:space="preserve"> and</w:t>
      </w:r>
      <w:r w:rsidR="00C541A1" w:rsidRPr="00364AA0">
        <w:rPr>
          <w:rFonts w:eastAsia="Arial Unicode MS"/>
        </w:rPr>
        <w:t xml:space="preserve"> therefore, on the </w:t>
      </w:r>
      <w:r w:rsidR="00F011F3">
        <w:rPr>
          <w:rFonts w:eastAsia="Arial Unicode MS"/>
        </w:rPr>
        <w:t>applicant</w:t>
      </w:r>
      <w:r w:rsidR="00C541A1" w:rsidRPr="00364AA0">
        <w:rPr>
          <w:rFonts w:eastAsia="Arial Unicode MS"/>
        </w:rPr>
        <w:t>’s case,</w:t>
      </w:r>
      <w:r w:rsidRPr="00364AA0">
        <w:rPr>
          <w:rFonts w:eastAsia="Arial Unicode MS"/>
        </w:rPr>
        <w:t xml:space="preserve"> continue</w:t>
      </w:r>
      <w:r w:rsidR="0051387E" w:rsidRPr="00364AA0">
        <w:rPr>
          <w:rFonts w:eastAsia="Arial Unicode MS"/>
        </w:rPr>
        <w:t>s</w:t>
      </w:r>
      <w:r w:rsidRPr="00364AA0">
        <w:rPr>
          <w:rFonts w:eastAsia="Arial Unicode MS"/>
        </w:rPr>
        <w:t xml:space="preserve"> to apply to the lands by virtue of the </w:t>
      </w:r>
      <w:r w:rsidR="00283B17">
        <w:rPr>
          <w:rFonts w:eastAsia="Arial Unicode MS"/>
        </w:rPr>
        <w:t>2013 LAP</w:t>
      </w:r>
      <w:r w:rsidR="00BA3CFA">
        <w:rPr>
          <w:rFonts w:eastAsia="Arial Unicode MS"/>
        </w:rPr>
        <w:t xml:space="preserve"> </w:t>
      </w:r>
      <w:r w:rsidRPr="00364AA0">
        <w:rPr>
          <w:rFonts w:eastAsia="Arial Unicode MS"/>
        </w:rPr>
        <w:t>(which has been extended for a further period of five years to</w:t>
      </w:r>
      <w:r w:rsidR="005D4A49">
        <w:rPr>
          <w:rFonts w:eastAsia="Arial Unicode MS"/>
        </w:rPr>
        <w:t xml:space="preserve"> the</w:t>
      </w:r>
      <w:r w:rsidRPr="00364AA0">
        <w:rPr>
          <w:rFonts w:eastAsia="Arial Unicode MS"/>
        </w:rPr>
        <w:t xml:space="preserve"> 11</w:t>
      </w:r>
      <w:r w:rsidRPr="00364AA0">
        <w:rPr>
          <w:rFonts w:eastAsia="Arial Unicode MS"/>
          <w:vertAlign w:val="superscript"/>
        </w:rPr>
        <w:t>th</w:t>
      </w:r>
      <w:r w:rsidRPr="00364AA0">
        <w:rPr>
          <w:rFonts w:eastAsia="Arial Unicode MS"/>
        </w:rPr>
        <w:t xml:space="preserve"> of May 2023 by resolution of the elected members of the </w:t>
      </w:r>
      <w:r w:rsidR="00F011F3">
        <w:rPr>
          <w:rFonts w:eastAsia="Arial Unicode MS"/>
        </w:rPr>
        <w:t>respondent</w:t>
      </w:r>
      <w:r w:rsidRPr="00364AA0">
        <w:rPr>
          <w:rFonts w:eastAsia="Arial Unicode MS"/>
        </w:rPr>
        <w:t xml:space="preserve"> made on </w:t>
      </w:r>
      <w:r w:rsidR="005D4A49">
        <w:rPr>
          <w:rFonts w:eastAsia="Arial Unicode MS"/>
        </w:rPr>
        <w:t xml:space="preserve">the </w:t>
      </w:r>
      <w:r w:rsidRPr="00364AA0">
        <w:rPr>
          <w:rFonts w:eastAsia="Arial Unicode MS"/>
        </w:rPr>
        <w:t>12</w:t>
      </w:r>
      <w:r w:rsidR="005D4A49" w:rsidRPr="00E902F2">
        <w:rPr>
          <w:rFonts w:eastAsia="Arial Unicode MS"/>
          <w:vertAlign w:val="superscript"/>
        </w:rPr>
        <w:t>th</w:t>
      </w:r>
      <w:r w:rsidR="005D4A49">
        <w:rPr>
          <w:rFonts w:eastAsia="Arial Unicode MS"/>
        </w:rPr>
        <w:t xml:space="preserve"> of</w:t>
      </w:r>
      <w:r w:rsidRPr="00364AA0">
        <w:rPr>
          <w:rFonts w:eastAsia="Arial Unicode MS"/>
        </w:rPr>
        <w:t xml:space="preserve"> March 2018)</w:t>
      </w:r>
      <w:r w:rsidR="00364AA0">
        <w:rPr>
          <w:rFonts w:eastAsia="Arial Unicode MS"/>
        </w:rPr>
        <w:t>.</w:t>
      </w:r>
    </w:p>
    <w:p w14:paraId="229F6D5F" w14:textId="77777777" w:rsidR="00364AA0" w:rsidRDefault="00364AA0" w:rsidP="00364AA0">
      <w:pPr>
        <w:spacing w:line="360" w:lineRule="auto"/>
        <w:ind w:left="141"/>
        <w:jc w:val="both"/>
        <w:rPr>
          <w:rFonts w:eastAsia="Arial Unicode MS"/>
        </w:rPr>
      </w:pPr>
    </w:p>
    <w:p w14:paraId="593390DB" w14:textId="77777777" w:rsidR="00364AA0" w:rsidRPr="007770BA" w:rsidRDefault="00364AA0" w:rsidP="00364AA0">
      <w:pPr>
        <w:spacing w:line="360" w:lineRule="auto"/>
        <w:jc w:val="both"/>
        <w:rPr>
          <w:rFonts w:eastAsia="Arial Unicode MS"/>
          <w:b/>
        </w:rPr>
      </w:pPr>
      <w:r w:rsidRPr="007770BA">
        <w:rPr>
          <w:rFonts w:eastAsia="Arial Unicode MS"/>
          <w:b/>
        </w:rPr>
        <w:t>PROCEDURAL HISTORY</w:t>
      </w:r>
    </w:p>
    <w:p w14:paraId="2A48F601" w14:textId="77777777" w:rsidR="00364AA0" w:rsidRDefault="00364AA0" w:rsidP="00364AA0">
      <w:pPr>
        <w:spacing w:line="360" w:lineRule="auto"/>
        <w:ind w:left="141"/>
        <w:jc w:val="both"/>
        <w:rPr>
          <w:rFonts w:eastAsia="Arial Unicode MS"/>
        </w:rPr>
      </w:pPr>
    </w:p>
    <w:p w14:paraId="4C12530A" w14:textId="77777777" w:rsidR="00A54994" w:rsidRDefault="009A1D16" w:rsidP="00B04847">
      <w:pPr>
        <w:numPr>
          <w:ilvl w:val="0"/>
          <w:numId w:val="1"/>
        </w:numPr>
        <w:spacing w:line="360" w:lineRule="auto"/>
        <w:ind w:left="0" w:firstLine="0"/>
        <w:jc w:val="both"/>
        <w:rPr>
          <w:rFonts w:eastAsia="Arial Unicode MS"/>
        </w:rPr>
      </w:pPr>
      <w:r w:rsidRPr="00364AA0">
        <w:rPr>
          <w:rFonts w:eastAsia="Arial Unicode MS"/>
        </w:rPr>
        <w:t xml:space="preserve">Proceedings commenced by </w:t>
      </w:r>
      <w:r w:rsidR="005B684C" w:rsidRPr="00364AA0">
        <w:rPr>
          <w:rFonts w:eastAsia="Arial Unicode MS"/>
        </w:rPr>
        <w:t>issue</w:t>
      </w:r>
      <w:r w:rsidRPr="00364AA0">
        <w:rPr>
          <w:rFonts w:eastAsia="Arial Unicode MS"/>
        </w:rPr>
        <w:t xml:space="preserve"> of originating Notice of Motion issued on the 10</w:t>
      </w:r>
      <w:r w:rsidRPr="00364AA0">
        <w:rPr>
          <w:rFonts w:eastAsia="Arial Unicode MS"/>
          <w:vertAlign w:val="superscript"/>
        </w:rPr>
        <w:t>th</w:t>
      </w:r>
      <w:r w:rsidRPr="00364AA0">
        <w:rPr>
          <w:rFonts w:eastAsia="Arial Unicode MS"/>
        </w:rPr>
        <w:t xml:space="preserve"> of September, 2020 by way of </w:t>
      </w:r>
      <w:r w:rsidR="00B640FC">
        <w:rPr>
          <w:rFonts w:eastAsia="Arial Unicode MS"/>
        </w:rPr>
        <w:t xml:space="preserve">an </w:t>
      </w:r>
      <w:r w:rsidRPr="00364AA0">
        <w:rPr>
          <w:rFonts w:eastAsia="Arial Unicode MS"/>
        </w:rPr>
        <w:t>application for judicial review.</w:t>
      </w:r>
      <w:r w:rsidR="00977C0B" w:rsidRPr="00364AA0">
        <w:rPr>
          <w:rFonts w:eastAsia="Arial Unicode MS"/>
        </w:rPr>
        <w:t xml:space="preserve">  Leave was granted </w:t>
      </w:r>
      <w:r w:rsidR="00977C0B" w:rsidRPr="00E902F2">
        <w:rPr>
          <w:rFonts w:eastAsia="Arial Unicode MS"/>
          <w:i/>
          <w:iCs/>
        </w:rPr>
        <w:t>ex parte</w:t>
      </w:r>
      <w:r w:rsidR="00977C0B" w:rsidRPr="00364AA0">
        <w:rPr>
          <w:rFonts w:eastAsia="Arial Unicode MS"/>
        </w:rPr>
        <w:t xml:space="preserve"> by order of the High Court (Meenan J.) on the 10</w:t>
      </w:r>
      <w:r w:rsidR="00977C0B" w:rsidRPr="00364AA0">
        <w:rPr>
          <w:rFonts w:eastAsia="Arial Unicode MS"/>
          <w:vertAlign w:val="superscript"/>
        </w:rPr>
        <w:t>th</w:t>
      </w:r>
      <w:r w:rsidR="00977C0B" w:rsidRPr="00364AA0">
        <w:rPr>
          <w:rFonts w:eastAsia="Arial Unicode MS"/>
        </w:rPr>
        <w:t xml:space="preserve"> of September, 2020.  </w:t>
      </w:r>
      <w:r w:rsidR="005B684C" w:rsidRPr="00364AA0">
        <w:rPr>
          <w:rFonts w:eastAsia="Arial Unicode MS"/>
        </w:rPr>
        <w:t xml:space="preserve">The proceedings are grounded </w:t>
      </w:r>
      <w:r w:rsidR="00D84776" w:rsidRPr="00364AA0">
        <w:rPr>
          <w:rFonts w:eastAsia="Arial Unicode MS"/>
        </w:rPr>
        <w:t xml:space="preserve">on the affidavit of Antoinette Kennedy who is a director of the </w:t>
      </w:r>
      <w:r w:rsidR="00F011F3">
        <w:rPr>
          <w:rFonts w:eastAsia="Arial Unicode MS"/>
        </w:rPr>
        <w:t>applicant</w:t>
      </w:r>
      <w:r w:rsidR="00D84776" w:rsidRPr="00364AA0">
        <w:rPr>
          <w:rFonts w:eastAsia="Arial Unicode MS"/>
        </w:rPr>
        <w:t xml:space="preserve">.  She exhibits a map of the subject lands, a copy of the Notification of Grant of Planning Permission dated </w:t>
      </w:r>
      <w:r w:rsidR="00B640FC">
        <w:rPr>
          <w:rFonts w:eastAsia="Arial Unicode MS"/>
        </w:rPr>
        <w:t xml:space="preserve">the </w:t>
      </w:r>
      <w:r w:rsidR="00D84776" w:rsidRPr="00364AA0">
        <w:rPr>
          <w:rFonts w:eastAsia="Arial Unicode MS"/>
        </w:rPr>
        <w:t>24</w:t>
      </w:r>
      <w:r w:rsidR="00D84776" w:rsidRPr="00364AA0">
        <w:rPr>
          <w:rFonts w:eastAsia="Arial Unicode MS"/>
          <w:vertAlign w:val="superscript"/>
        </w:rPr>
        <w:t>th</w:t>
      </w:r>
      <w:r w:rsidR="00D84776" w:rsidRPr="00364AA0">
        <w:rPr>
          <w:rFonts w:eastAsia="Arial Unicode MS"/>
        </w:rPr>
        <w:t xml:space="preserve"> </w:t>
      </w:r>
      <w:r w:rsidR="00B640FC">
        <w:rPr>
          <w:rFonts w:eastAsia="Arial Unicode MS"/>
        </w:rPr>
        <w:t xml:space="preserve">of </w:t>
      </w:r>
      <w:r w:rsidR="00D84776" w:rsidRPr="00364AA0">
        <w:rPr>
          <w:rFonts w:eastAsia="Arial Unicode MS"/>
        </w:rPr>
        <w:t xml:space="preserve">February, 2011 from the </w:t>
      </w:r>
      <w:r w:rsidR="00F011F3">
        <w:rPr>
          <w:rFonts w:eastAsia="Arial Unicode MS"/>
        </w:rPr>
        <w:t>respondent</w:t>
      </w:r>
      <w:r w:rsidR="00D84776" w:rsidRPr="00364AA0">
        <w:rPr>
          <w:rFonts w:eastAsia="Arial Unicode MS"/>
        </w:rPr>
        <w:t>, a copy of the Order of ABP dated the 20</w:t>
      </w:r>
      <w:r w:rsidR="00D84776" w:rsidRPr="00364AA0">
        <w:rPr>
          <w:rFonts w:eastAsia="Arial Unicode MS"/>
          <w:vertAlign w:val="superscript"/>
        </w:rPr>
        <w:t>th</w:t>
      </w:r>
      <w:r w:rsidR="00D84776" w:rsidRPr="00364AA0">
        <w:rPr>
          <w:rFonts w:eastAsia="Arial Unicode MS"/>
        </w:rPr>
        <w:t xml:space="preserve"> </w:t>
      </w:r>
      <w:r w:rsidR="00B640FC">
        <w:rPr>
          <w:rFonts w:eastAsia="Arial Unicode MS"/>
        </w:rPr>
        <w:t xml:space="preserve">of </w:t>
      </w:r>
      <w:r w:rsidR="00D84776" w:rsidRPr="00364AA0">
        <w:rPr>
          <w:rFonts w:eastAsia="Arial Unicode MS"/>
        </w:rPr>
        <w:t xml:space="preserve">April, 2015, a copy of the Application to the </w:t>
      </w:r>
      <w:r w:rsidR="00F011F3">
        <w:rPr>
          <w:rFonts w:eastAsia="Arial Unicode MS"/>
        </w:rPr>
        <w:t>respondent</w:t>
      </w:r>
      <w:r w:rsidR="00D84776" w:rsidRPr="00364AA0">
        <w:rPr>
          <w:rFonts w:eastAsia="Arial Unicode MS"/>
        </w:rPr>
        <w:t xml:space="preserve"> to extend the life of the permission to</w:t>
      </w:r>
      <w:r w:rsidR="00B640FC">
        <w:rPr>
          <w:rFonts w:eastAsia="Arial Unicode MS"/>
        </w:rPr>
        <w:t xml:space="preserve"> the</w:t>
      </w:r>
      <w:r w:rsidR="00D84776" w:rsidRPr="00364AA0">
        <w:rPr>
          <w:rFonts w:eastAsia="Arial Unicode MS"/>
        </w:rPr>
        <w:t xml:space="preserve"> 11</w:t>
      </w:r>
      <w:r w:rsidR="00D84776" w:rsidRPr="00364AA0">
        <w:rPr>
          <w:rFonts w:eastAsia="Arial Unicode MS"/>
          <w:vertAlign w:val="superscript"/>
        </w:rPr>
        <w:t>th</w:t>
      </w:r>
      <w:r w:rsidR="00D84776" w:rsidRPr="00364AA0">
        <w:rPr>
          <w:rFonts w:eastAsia="Arial Unicode MS"/>
        </w:rPr>
        <w:t xml:space="preserve"> of September, 2025 pursuant to s. 42(1)(a)(ii), </w:t>
      </w:r>
      <w:r w:rsidR="00364AA0" w:rsidRPr="00364AA0">
        <w:rPr>
          <w:rFonts w:eastAsia="Arial Unicode MS"/>
        </w:rPr>
        <w:t xml:space="preserve">the Decision of the </w:t>
      </w:r>
      <w:r w:rsidR="00F011F3">
        <w:rPr>
          <w:rFonts w:eastAsia="Arial Unicode MS"/>
        </w:rPr>
        <w:t>respondent</w:t>
      </w:r>
      <w:r w:rsidR="00364AA0" w:rsidRPr="00364AA0">
        <w:rPr>
          <w:rFonts w:eastAsia="Arial Unicode MS"/>
        </w:rPr>
        <w:t xml:space="preserve"> dated </w:t>
      </w:r>
      <w:r w:rsidR="00B640FC">
        <w:rPr>
          <w:rFonts w:eastAsia="Arial Unicode MS"/>
        </w:rPr>
        <w:t xml:space="preserve">the </w:t>
      </w:r>
      <w:r w:rsidR="00364AA0" w:rsidRPr="00364AA0">
        <w:rPr>
          <w:rFonts w:eastAsia="Arial Unicode MS"/>
        </w:rPr>
        <w:t>20</w:t>
      </w:r>
      <w:r w:rsidR="00364AA0" w:rsidRPr="00364AA0">
        <w:rPr>
          <w:rFonts w:eastAsia="Arial Unicode MS"/>
          <w:vertAlign w:val="superscript"/>
        </w:rPr>
        <w:t>th</w:t>
      </w:r>
      <w:r w:rsidR="00364AA0" w:rsidRPr="00364AA0">
        <w:rPr>
          <w:rFonts w:eastAsia="Arial Unicode MS"/>
        </w:rPr>
        <w:t xml:space="preserve"> of July, 2020 not to extend the duration of the planning permission, the Planning Officer’s </w:t>
      </w:r>
      <w:r w:rsidR="00B640FC" w:rsidRPr="00364AA0">
        <w:rPr>
          <w:rFonts w:eastAsia="Arial Unicode MS"/>
        </w:rPr>
        <w:t xml:space="preserve">report </w:t>
      </w:r>
      <w:r w:rsidR="00364AA0" w:rsidRPr="00364AA0">
        <w:rPr>
          <w:rFonts w:eastAsia="Arial Unicode MS"/>
        </w:rPr>
        <w:t>typed on the 16</w:t>
      </w:r>
      <w:r w:rsidR="00364AA0" w:rsidRPr="00364AA0">
        <w:rPr>
          <w:rFonts w:eastAsia="Arial Unicode MS"/>
          <w:vertAlign w:val="superscript"/>
        </w:rPr>
        <w:t>th</w:t>
      </w:r>
      <w:r w:rsidR="00364AA0" w:rsidRPr="00364AA0">
        <w:rPr>
          <w:rFonts w:eastAsia="Arial Unicode MS"/>
        </w:rPr>
        <w:t xml:space="preserve"> of July, 2020</w:t>
      </w:r>
      <w:r w:rsidR="00364AA0">
        <w:rPr>
          <w:rFonts w:eastAsia="Arial Unicode MS"/>
        </w:rPr>
        <w:t>,</w:t>
      </w:r>
      <w:r w:rsidR="00364AA0" w:rsidRPr="00364AA0">
        <w:rPr>
          <w:rFonts w:eastAsia="Arial Unicode MS"/>
        </w:rPr>
        <w:t xml:space="preserve"> a cop</w:t>
      </w:r>
      <w:r w:rsidR="00364AA0">
        <w:rPr>
          <w:rFonts w:eastAsia="Arial Unicode MS"/>
        </w:rPr>
        <w:t xml:space="preserve">y of the Chief Executive’s </w:t>
      </w:r>
      <w:r w:rsidR="00B640FC">
        <w:rPr>
          <w:rFonts w:eastAsia="Arial Unicode MS"/>
        </w:rPr>
        <w:t xml:space="preserve">report to the elected members </w:t>
      </w:r>
      <w:r w:rsidR="00364AA0">
        <w:rPr>
          <w:rFonts w:eastAsia="Arial Unicode MS"/>
        </w:rPr>
        <w:t>(Agenda Item 23) under ss. 19(1)(d),(e), (f) and 20(3)(a)(i), (ii) of the PDA in relation to the extension of duration of the Baldoyle-Stapolin LAP, the minutes of the meeting of the Council held on</w:t>
      </w:r>
      <w:r w:rsidR="00B640FC">
        <w:rPr>
          <w:rFonts w:eastAsia="Arial Unicode MS"/>
        </w:rPr>
        <w:t xml:space="preserve"> the</w:t>
      </w:r>
      <w:r w:rsidR="00364AA0">
        <w:rPr>
          <w:rFonts w:eastAsia="Arial Unicode MS"/>
        </w:rPr>
        <w:t xml:space="preserve"> 12</w:t>
      </w:r>
      <w:r w:rsidR="00364AA0" w:rsidRPr="00364AA0">
        <w:rPr>
          <w:rFonts w:eastAsia="Arial Unicode MS"/>
          <w:vertAlign w:val="superscript"/>
        </w:rPr>
        <w:t>th</w:t>
      </w:r>
      <w:r w:rsidR="00364AA0">
        <w:rPr>
          <w:rFonts w:eastAsia="Arial Unicode MS"/>
        </w:rPr>
        <w:t xml:space="preserve"> of March, 2018 approving the extension of the Baldoyle-Stapolin LAP</w:t>
      </w:r>
      <w:r w:rsidR="00DA3B56">
        <w:rPr>
          <w:rFonts w:eastAsia="Arial Unicode MS"/>
        </w:rPr>
        <w:t xml:space="preserve"> and pre-litigation correspondence.  </w:t>
      </w:r>
    </w:p>
    <w:p w14:paraId="760875D4" w14:textId="77777777" w:rsidR="00A54994" w:rsidRDefault="00A54994" w:rsidP="00B04847">
      <w:pPr>
        <w:spacing w:line="360" w:lineRule="auto"/>
        <w:jc w:val="both"/>
        <w:rPr>
          <w:rFonts w:eastAsia="Arial Unicode MS"/>
        </w:rPr>
      </w:pPr>
    </w:p>
    <w:p w14:paraId="3D9D45FE" w14:textId="77777777" w:rsidR="00740083" w:rsidRDefault="00DA3B56" w:rsidP="00B04847">
      <w:pPr>
        <w:numPr>
          <w:ilvl w:val="0"/>
          <w:numId w:val="1"/>
        </w:numPr>
        <w:spacing w:line="360" w:lineRule="auto"/>
        <w:ind w:left="0" w:firstLine="0"/>
        <w:jc w:val="both"/>
        <w:rPr>
          <w:rFonts w:eastAsia="Arial Unicode MS"/>
        </w:rPr>
      </w:pPr>
      <w:r>
        <w:rPr>
          <w:rFonts w:eastAsia="Arial Unicode MS"/>
        </w:rPr>
        <w:t>Ms. Kennedy confirm</w:t>
      </w:r>
      <w:r w:rsidR="00E85683">
        <w:rPr>
          <w:rFonts w:eastAsia="Arial Unicode MS"/>
        </w:rPr>
        <w:t>s</w:t>
      </w:r>
      <w:r>
        <w:rPr>
          <w:rFonts w:eastAsia="Arial Unicode MS"/>
        </w:rPr>
        <w:t xml:space="preserve"> that the impact of the Decision to refuse to extend the Planning Permission on the </w:t>
      </w:r>
      <w:r w:rsidR="00F011F3">
        <w:rPr>
          <w:rFonts w:eastAsia="Arial Unicode MS"/>
        </w:rPr>
        <w:t>applicant</w:t>
      </w:r>
      <w:r>
        <w:rPr>
          <w:rFonts w:eastAsia="Arial Unicode MS"/>
        </w:rPr>
        <w:t xml:space="preserve"> was substantial and emphasised the suitability of the </w:t>
      </w:r>
      <w:r w:rsidR="00E85683">
        <w:rPr>
          <w:rFonts w:eastAsia="Arial Unicode MS"/>
        </w:rPr>
        <w:t>L</w:t>
      </w:r>
      <w:r>
        <w:rPr>
          <w:rFonts w:eastAsia="Arial Unicode MS"/>
        </w:rPr>
        <w:t xml:space="preserve">ands and their location for a </w:t>
      </w:r>
      <w:r w:rsidR="00E85683">
        <w:rPr>
          <w:rFonts w:eastAsia="Arial Unicode MS"/>
        </w:rPr>
        <w:t>r</w:t>
      </w:r>
      <w:r>
        <w:rPr>
          <w:rFonts w:eastAsia="Arial Unicode MS"/>
        </w:rPr>
        <w:t xml:space="preserve">etirement </w:t>
      </w:r>
      <w:r w:rsidR="00E85683">
        <w:rPr>
          <w:rFonts w:eastAsia="Arial Unicode MS"/>
        </w:rPr>
        <w:t>c</w:t>
      </w:r>
      <w:r>
        <w:rPr>
          <w:rFonts w:eastAsia="Arial Unicode MS"/>
        </w:rPr>
        <w:t xml:space="preserve">entre as had been planned. </w:t>
      </w:r>
      <w:r w:rsidR="0098151F">
        <w:rPr>
          <w:rFonts w:eastAsia="Arial Unicode MS"/>
        </w:rPr>
        <w:t xml:space="preserve"> Further </w:t>
      </w:r>
      <w:r w:rsidR="00B640FC">
        <w:rPr>
          <w:rFonts w:eastAsia="Arial Unicode MS"/>
        </w:rPr>
        <w:t xml:space="preserve">affidavit </w:t>
      </w:r>
      <w:r w:rsidR="0098151F">
        <w:rPr>
          <w:rFonts w:eastAsia="Arial Unicode MS"/>
        </w:rPr>
        <w:t xml:space="preserve">evidence confirms that as part of the conditions of planning a public park had to be developed at the centre of the development and running through the whole length of the site is a major trunk sewer which sterilises that part of the </w:t>
      </w:r>
      <w:r w:rsidR="00B640FC">
        <w:rPr>
          <w:rFonts w:eastAsia="Arial Unicode MS"/>
        </w:rPr>
        <w:t xml:space="preserve">lands </w:t>
      </w:r>
      <w:r w:rsidR="0098151F">
        <w:rPr>
          <w:rFonts w:eastAsia="Arial Unicode MS"/>
        </w:rPr>
        <w:t>owned b</w:t>
      </w:r>
      <w:r w:rsidR="00235EEB">
        <w:rPr>
          <w:rFonts w:eastAsia="Arial Unicode MS"/>
        </w:rPr>
        <w:t>y</w:t>
      </w:r>
      <w:r w:rsidR="0098151F">
        <w:rPr>
          <w:rFonts w:eastAsia="Arial Unicode MS"/>
        </w:rPr>
        <w:t xml:space="preserve"> the </w:t>
      </w:r>
      <w:r w:rsidR="00F011F3">
        <w:rPr>
          <w:rFonts w:eastAsia="Arial Unicode MS"/>
        </w:rPr>
        <w:t>applicant</w:t>
      </w:r>
      <w:r w:rsidR="0098151F">
        <w:rPr>
          <w:rFonts w:eastAsia="Arial Unicode MS"/>
        </w:rPr>
        <w:t xml:space="preserve"> and which the </w:t>
      </w:r>
      <w:r w:rsidR="00F011F3">
        <w:rPr>
          <w:rFonts w:eastAsia="Arial Unicode MS"/>
        </w:rPr>
        <w:t>applicant</w:t>
      </w:r>
      <w:r w:rsidR="0098151F">
        <w:rPr>
          <w:rFonts w:eastAsia="Arial Unicode MS"/>
        </w:rPr>
        <w:t xml:space="preserve"> gifted to the </w:t>
      </w:r>
      <w:r w:rsidR="00F011F3">
        <w:rPr>
          <w:rFonts w:eastAsia="Arial Unicode MS"/>
        </w:rPr>
        <w:t>respondent</w:t>
      </w:r>
      <w:r w:rsidR="0098151F">
        <w:rPr>
          <w:rFonts w:eastAsia="Arial Unicode MS"/>
        </w:rPr>
        <w:t xml:space="preserve"> on a goodwill basis.  Similarly</w:t>
      </w:r>
      <w:r w:rsidR="0034288A">
        <w:rPr>
          <w:rFonts w:eastAsia="Arial Unicode MS"/>
        </w:rPr>
        <w:t>,</w:t>
      </w:r>
      <w:r w:rsidR="0098151F">
        <w:rPr>
          <w:rFonts w:eastAsia="Arial Unicode MS"/>
        </w:rPr>
        <w:t xml:space="preserve"> a pumping station sterilises part of the </w:t>
      </w:r>
      <w:r w:rsidR="00E85683">
        <w:rPr>
          <w:rFonts w:eastAsia="Arial Unicode MS"/>
        </w:rPr>
        <w:t>L</w:t>
      </w:r>
      <w:r w:rsidR="0098151F">
        <w:rPr>
          <w:rFonts w:eastAsia="Arial Unicode MS"/>
        </w:rPr>
        <w:t xml:space="preserve">ands and was also gifted to the </w:t>
      </w:r>
      <w:r w:rsidR="00F011F3">
        <w:rPr>
          <w:rFonts w:eastAsia="Arial Unicode MS"/>
        </w:rPr>
        <w:t>respondent</w:t>
      </w:r>
      <w:r w:rsidR="0098151F">
        <w:rPr>
          <w:rFonts w:eastAsia="Arial Unicode MS"/>
        </w:rPr>
        <w:t xml:space="preserve">.  The </w:t>
      </w:r>
      <w:r w:rsidR="00F011F3">
        <w:rPr>
          <w:rFonts w:eastAsia="Arial Unicode MS"/>
        </w:rPr>
        <w:t>applicant</w:t>
      </w:r>
      <w:r w:rsidR="0098151F">
        <w:rPr>
          <w:rFonts w:eastAsia="Arial Unicode MS"/>
        </w:rPr>
        <w:t xml:space="preserve"> agreed to gift approximately one acre </w:t>
      </w:r>
      <w:r w:rsidR="0034288A">
        <w:rPr>
          <w:rFonts w:eastAsia="Arial Unicode MS"/>
        </w:rPr>
        <w:t xml:space="preserve">at the back of its site to the </w:t>
      </w:r>
      <w:r w:rsidR="00F011F3">
        <w:rPr>
          <w:rFonts w:eastAsia="Arial Unicode MS"/>
        </w:rPr>
        <w:t>respondent</w:t>
      </w:r>
      <w:r w:rsidR="0034288A">
        <w:rPr>
          <w:rFonts w:eastAsia="Arial Unicode MS"/>
        </w:rPr>
        <w:t>’s recreational football grounds to square up its boundary.</w:t>
      </w:r>
    </w:p>
    <w:p w14:paraId="55930467" w14:textId="77777777" w:rsidR="00740083" w:rsidRDefault="00740083" w:rsidP="00B04847">
      <w:pPr>
        <w:spacing w:line="360" w:lineRule="auto"/>
        <w:jc w:val="both"/>
        <w:rPr>
          <w:rFonts w:eastAsia="Arial Unicode MS"/>
        </w:rPr>
      </w:pPr>
    </w:p>
    <w:p w14:paraId="041CC92D" w14:textId="77777777" w:rsidR="007E69C0" w:rsidRDefault="00977C0B" w:rsidP="00B04847">
      <w:pPr>
        <w:numPr>
          <w:ilvl w:val="0"/>
          <w:numId w:val="1"/>
        </w:numPr>
        <w:spacing w:line="360" w:lineRule="auto"/>
        <w:ind w:left="0" w:firstLine="0"/>
        <w:jc w:val="both"/>
        <w:rPr>
          <w:rFonts w:eastAsia="Arial Unicode MS"/>
        </w:rPr>
      </w:pPr>
      <w:r w:rsidRPr="00740083">
        <w:rPr>
          <w:rFonts w:eastAsia="Arial Unicode MS"/>
        </w:rPr>
        <w:t>A Statement of Opposition was filed in September, 2020.</w:t>
      </w:r>
      <w:r w:rsidR="00740083">
        <w:rPr>
          <w:rFonts w:eastAsia="Arial Unicode MS"/>
        </w:rPr>
        <w:t xml:space="preserve">  Arising from the terms of the Statement of Opposition it is clear that the </w:t>
      </w:r>
      <w:r w:rsidR="00F011F3">
        <w:rPr>
          <w:rFonts w:eastAsia="Arial Unicode MS"/>
        </w:rPr>
        <w:t>respondent</w:t>
      </w:r>
      <w:r w:rsidR="00740083">
        <w:rPr>
          <w:rFonts w:eastAsia="Arial Unicode MS"/>
        </w:rPr>
        <w:t xml:space="preserve"> contests the proceedings on the basis, </w:t>
      </w:r>
      <w:r w:rsidR="00740083" w:rsidRPr="00E902F2">
        <w:rPr>
          <w:rFonts w:eastAsia="Arial Unicode MS"/>
          <w:i/>
          <w:iCs/>
        </w:rPr>
        <w:t>inter alia</w:t>
      </w:r>
      <w:r w:rsidR="00740083">
        <w:rPr>
          <w:rFonts w:eastAsia="Arial Unicode MS"/>
        </w:rPr>
        <w:t xml:space="preserve">, that the Application to extend the life of the </w:t>
      </w:r>
      <w:r w:rsidR="00E85683">
        <w:rPr>
          <w:rFonts w:eastAsia="Arial Unicode MS"/>
        </w:rPr>
        <w:t>P</w:t>
      </w:r>
      <w:r w:rsidR="00740083">
        <w:rPr>
          <w:rFonts w:eastAsia="Arial Unicode MS"/>
        </w:rPr>
        <w:t xml:space="preserve">lanning </w:t>
      </w:r>
      <w:r w:rsidR="00E85683">
        <w:rPr>
          <w:rFonts w:eastAsia="Arial Unicode MS"/>
        </w:rPr>
        <w:t>P</w:t>
      </w:r>
      <w:r w:rsidR="00740083">
        <w:rPr>
          <w:rFonts w:eastAsia="Arial Unicode MS"/>
        </w:rPr>
        <w:t xml:space="preserve">ermission did not demonstrate how the </w:t>
      </w:r>
      <w:r w:rsidR="00091DF2">
        <w:rPr>
          <w:rFonts w:eastAsia="Arial Unicode MS"/>
        </w:rPr>
        <w:t>Development accorded</w:t>
      </w:r>
      <w:r w:rsidR="00740083">
        <w:rPr>
          <w:rFonts w:eastAsia="Arial Unicode MS"/>
        </w:rPr>
        <w:t xml:space="preserve"> with all planning policies and objectives in the relevant local development plans.  </w:t>
      </w:r>
      <w:r w:rsidR="00C80F68">
        <w:rPr>
          <w:rFonts w:eastAsia="Arial Unicode MS"/>
        </w:rPr>
        <w:t xml:space="preserve">It is contended that there have been significant changes in the development objectives in the </w:t>
      </w:r>
      <w:r w:rsidR="00E85683">
        <w:rPr>
          <w:rFonts w:eastAsia="Arial Unicode MS"/>
        </w:rPr>
        <w:t xml:space="preserve">2023 </w:t>
      </w:r>
      <w:r w:rsidR="00C80F68">
        <w:rPr>
          <w:rFonts w:eastAsia="Arial Unicode MS"/>
        </w:rPr>
        <w:t xml:space="preserve">Development Plan </w:t>
      </w:r>
      <w:r w:rsidR="00235EEB">
        <w:rPr>
          <w:rFonts w:eastAsia="Arial Unicode MS"/>
        </w:rPr>
        <w:t>s</w:t>
      </w:r>
      <w:r w:rsidR="00C80F68">
        <w:rPr>
          <w:rFonts w:eastAsia="Arial Unicode MS"/>
        </w:rPr>
        <w:t xml:space="preserve">ince the date of the Permission which was granted under the previous development plan, such that the </w:t>
      </w:r>
      <w:r w:rsidR="00E85683">
        <w:rPr>
          <w:rFonts w:eastAsia="Arial Unicode MS"/>
        </w:rPr>
        <w:t>D</w:t>
      </w:r>
      <w:r w:rsidR="00C80F68">
        <w:rPr>
          <w:rFonts w:eastAsia="Arial Unicode MS"/>
        </w:rPr>
        <w:t xml:space="preserve">evelopment would no longer be consistent with the proper planning and sustainable development of the area with specific reference to the removal of Local Objective </w:t>
      </w:r>
      <w:r w:rsidR="00B640FC">
        <w:rPr>
          <w:rFonts w:eastAsia="Arial Unicode MS"/>
        </w:rPr>
        <w:t xml:space="preserve">No. </w:t>
      </w:r>
      <w:r w:rsidR="00C80F68">
        <w:rPr>
          <w:rFonts w:eastAsia="Arial Unicode MS"/>
        </w:rPr>
        <w:t xml:space="preserve">469 from the </w:t>
      </w:r>
      <w:r w:rsidR="00E85683">
        <w:rPr>
          <w:rFonts w:eastAsia="Arial Unicode MS"/>
        </w:rPr>
        <w:t xml:space="preserve">2023 </w:t>
      </w:r>
      <w:r w:rsidR="00C80F68">
        <w:rPr>
          <w:rFonts w:eastAsia="Arial Unicode MS"/>
        </w:rPr>
        <w:t xml:space="preserve">Development Plan.  </w:t>
      </w:r>
    </w:p>
    <w:p w14:paraId="5F5E6A16" w14:textId="77777777" w:rsidR="007E69C0" w:rsidRDefault="007E69C0" w:rsidP="00B04847">
      <w:pPr>
        <w:pStyle w:val="ListParagraph"/>
        <w:ind w:left="0"/>
        <w:rPr>
          <w:rFonts w:eastAsia="Arial Unicode MS"/>
        </w:rPr>
      </w:pPr>
    </w:p>
    <w:p w14:paraId="4418A44F" w14:textId="77777777" w:rsidR="00641120" w:rsidRPr="00EB48E6" w:rsidRDefault="00C80F68" w:rsidP="00B04847">
      <w:pPr>
        <w:numPr>
          <w:ilvl w:val="0"/>
          <w:numId w:val="1"/>
        </w:numPr>
        <w:spacing w:line="360" w:lineRule="auto"/>
        <w:ind w:left="0" w:firstLine="0"/>
        <w:jc w:val="both"/>
        <w:rPr>
          <w:rFonts w:eastAsia="Arial Unicode MS"/>
        </w:rPr>
      </w:pPr>
      <w:r w:rsidRPr="00EB48E6">
        <w:rPr>
          <w:rFonts w:eastAsia="Arial Unicode MS"/>
        </w:rPr>
        <w:t xml:space="preserve">As Local Objective </w:t>
      </w:r>
      <w:r w:rsidR="00B640FC">
        <w:rPr>
          <w:rFonts w:eastAsia="Arial Unicode MS"/>
        </w:rPr>
        <w:t xml:space="preserve">No. </w:t>
      </w:r>
      <w:r w:rsidRPr="00EB48E6">
        <w:rPr>
          <w:rFonts w:eastAsia="Arial Unicode MS"/>
        </w:rPr>
        <w:t xml:space="preserve">469 is said to no longer apply, </w:t>
      </w:r>
      <w:r w:rsidR="00770778" w:rsidRPr="00EB48E6">
        <w:rPr>
          <w:rFonts w:eastAsia="Arial Unicode MS"/>
        </w:rPr>
        <w:t>the relevant development objective was HA (High Amenity) under which “</w:t>
      </w:r>
      <w:r w:rsidR="00770778" w:rsidRPr="00EB48E6">
        <w:rPr>
          <w:rFonts w:eastAsia="Arial Unicode MS"/>
          <w:i/>
          <w:iCs/>
        </w:rPr>
        <w:t>Residential Care Home/Retirement Home</w:t>
      </w:r>
      <w:r w:rsidR="00770778" w:rsidRPr="00EB48E6">
        <w:rPr>
          <w:rFonts w:eastAsia="Arial Unicode MS"/>
        </w:rPr>
        <w:t xml:space="preserve">” is </w:t>
      </w:r>
      <w:r w:rsidR="00770778" w:rsidRPr="00EB48E6">
        <w:rPr>
          <w:rFonts w:eastAsia="Arial Unicode MS"/>
          <w:i/>
          <w:iCs/>
        </w:rPr>
        <w:t>“Not Permitted</w:t>
      </w:r>
      <w:r w:rsidR="00770778" w:rsidRPr="00EB48E6">
        <w:rPr>
          <w:rFonts w:eastAsia="Arial Unicode MS"/>
        </w:rPr>
        <w:t>”.  This</w:t>
      </w:r>
      <w:r w:rsidR="00EB48E6">
        <w:rPr>
          <w:rFonts w:eastAsia="Arial Unicode MS"/>
        </w:rPr>
        <w:t xml:space="preserve"> is </w:t>
      </w:r>
      <w:r w:rsidR="00770778" w:rsidRPr="00EB48E6">
        <w:rPr>
          <w:rFonts w:eastAsia="Arial Unicode MS"/>
        </w:rPr>
        <w:t xml:space="preserve">said </w:t>
      </w:r>
      <w:r w:rsidR="00010C99" w:rsidRPr="00EB48E6">
        <w:rPr>
          <w:rFonts w:eastAsia="Arial Unicode MS"/>
        </w:rPr>
        <w:t xml:space="preserve">to </w:t>
      </w:r>
      <w:r w:rsidR="00770778" w:rsidRPr="00EB48E6">
        <w:rPr>
          <w:rFonts w:eastAsia="Arial Unicode MS"/>
        </w:rPr>
        <w:t>ha</w:t>
      </w:r>
      <w:r w:rsidR="00010C99" w:rsidRPr="00EB48E6">
        <w:rPr>
          <w:rFonts w:eastAsia="Arial Unicode MS"/>
        </w:rPr>
        <w:t>ve</w:t>
      </w:r>
      <w:r w:rsidR="00770778" w:rsidRPr="00EB48E6">
        <w:rPr>
          <w:rFonts w:eastAsia="Arial Unicode MS"/>
        </w:rPr>
        <w:t xml:space="preserve"> the effect that the </w:t>
      </w:r>
      <w:r w:rsidR="00E85683">
        <w:rPr>
          <w:rFonts w:eastAsia="Arial Unicode MS"/>
        </w:rPr>
        <w:t>D</w:t>
      </w:r>
      <w:r w:rsidR="00770778" w:rsidRPr="00EB48E6">
        <w:rPr>
          <w:rFonts w:eastAsia="Arial Unicode MS"/>
        </w:rPr>
        <w:t xml:space="preserve">evelopment would be a material contravention of the </w:t>
      </w:r>
      <w:r w:rsidR="00E85683">
        <w:rPr>
          <w:rFonts w:eastAsia="Arial Unicode MS"/>
        </w:rPr>
        <w:t xml:space="preserve">2023 </w:t>
      </w:r>
      <w:r w:rsidR="00770778" w:rsidRPr="00EB48E6">
        <w:rPr>
          <w:rFonts w:eastAsia="Arial Unicode MS"/>
        </w:rPr>
        <w:t xml:space="preserve">Development Plan and would not </w:t>
      </w:r>
      <w:r w:rsidR="00E85683">
        <w:rPr>
          <w:rFonts w:eastAsia="Arial Unicode MS"/>
        </w:rPr>
        <w:t xml:space="preserve">be </w:t>
      </w:r>
      <w:r w:rsidR="00770778" w:rsidRPr="00EB48E6">
        <w:rPr>
          <w:rFonts w:eastAsia="Arial Unicode MS"/>
        </w:rPr>
        <w:t xml:space="preserve">consistent with the proper </w:t>
      </w:r>
      <w:r w:rsidR="00010C99" w:rsidRPr="00EB48E6">
        <w:rPr>
          <w:rFonts w:eastAsia="Arial Unicode MS"/>
        </w:rPr>
        <w:t xml:space="preserve">planning and development of the area, albeit that this reasoning was not developed in the Decision itself.  It is contended that the </w:t>
      </w:r>
      <w:r w:rsidR="00F011F3">
        <w:rPr>
          <w:rFonts w:eastAsia="Arial Unicode MS"/>
        </w:rPr>
        <w:t>applicant</w:t>
      </w:r>
      <w:r w:rsidR="00010C99" w:rsidRPr="00EB48E6">
        <w:rPr>
          <w:rFonts w:eastAsia="Arial Unicode MS"/>
        </w:rPr>
        <w:t xml:space="preserve">’s reliance on Map Objective 4 </w:t>
      </w:r>
      <w:r w:rsidR="00EB48E6" w:rsidRPr="00EB48E6">
        <w:rPr>
          <w:rFonts w:eastAsia="Arial Unicode MS"/>
        </w:rPr>
        <w:t xml:space="preserve">of the </w:t>
      </w:r>
      <w:r w:rsidR="00283B17">
        <w:rPr>
          <w:rFonts w:eastAsia="Arial Unicode MS"/>
        </w:rPr>
        <w:t xml:space="preserve">2013 LAP as extended </w:t>
      </w:r>
      <w:r w:rsidR="00010C99" w:rsidRPr="00EB48E6">
        <w:rPr>
          <w:rFonts w:eastAsia="Arial Unicode MS"/>
        </w:rPr>
        <w:t xml:space="preserve">is misplaced because </w:t>
      </w:r>
      <w:r w:rsidR="00EB48E6" w:rsidRPr="00EB48E6">
        <w:rPr>
          <w:rFonts w:eastAsia="Arial Unicode MS"/>
        </w:rPr>
        <w:t xml:space="preserve">s.42(1)(a)(ii)(II) of the PDA is concerned with the development objectives of the </w:t>
      </w:r>
      <w:r w:rsidR="00E85683">
        <w:rPr>
          <w:rFonts w:eastAsia="Arial Unicode MS"/>
        </w:rPr>
        <w:t>d</w:t>
      </w:r>
      <w:r w:rsidR="00EB48E6" w:rsidRPr="00EB48E6">
        <w:rPr>
          <w:rFonts w:eastAsia="Arial Unicode MS"/>
        </w:rPr>
        <w:t xml:space="preserve">evelopment </w:t>
      </w:r>
      <w:r w:rsidR="00E85683">
        <w:rPr>
          <w:rFonts w:eastAsia="Arial Unicode MS"/>
        </w:rPr>
        <w:t>p</w:t>
      </w:r>
      <w:r w:rsidR="00EB48E6" w:rsidRPr="00EB48E6">
        <w:rPr>
          <w:rFonts w:eastAsia="Arial Unicode MS"/>
        </w:rPr>
        <w:t>lan and not the local area plan.   It is contended that the removal of SL</w:t>
      </w:r>
      <w:r w:rsidR="002E221F">
        <w:rPr>
          <w:rFonts w:eastAsia="Arial Unicode MS"/>
        </w:rPr>
        <w:t>O</w:t>
      </w:r>
      <w:r w:rsidR="00EB48E6" w:rsidRPr="00EB48E6">
        <w:rPr>
          <w:rFonts w:eastAsia="Arial Unicode MS"/>
        </w:rPr>
        <w:t xml:space="preserve"> 469 from the </w:t>
      </w:r>
      <w:r w:rsidR="0028598E">
        <w:rPr>
          <w:rFonts w:eastAsia="Arial Unicode MS"/>
        </w:rPr>
        <w:t xml:space="preserve">2023 </w:t>
      </w:r>
      <w:r w:rsidR="00EB48E6" w:rsidRPr="00EB48E6">
        <w:rPr>
          <w:rFonts w:eastAsia="Arial Unicode MS"/>
        </w:rPr>
        <w:t xml:space="preserve">Development Plan had the effect that Map Objective 4 </w:t>
      </w:r>
      <w:r w:rsidR="00B97CB2">
        <w:rPr>
          <w:rFonts w:eastAsia="Arial Unicode MS"/>
        </w:rPr>
        <w:t xml:space="preserve">of the </w:t>
      </w:r>
      <w:r w:rsidR="0028598E">
        <w:rPr>
          <w:rFonts w:eastAsia="Arial Unicode MS"/>
        </w:rPr>
        <w:t xml:space="preserve">2013 </w:t>
      </w:r>
      <w:r w:rsidR="00B97CB2">
        <w:rPr>
          <w:rFonts w:eastAsia="Arial Unicode MS"/>
        </w:rPr>
        <w:t xml:space="preserve">LAP </w:t>
      </w:r>
      <w:r w:rsidR="00EB48E6" w:rsidRPr="00EB48E6">
        <w:rPr>
          <w:rFonts w:eastAsia="Arial Unicode MS"/>
        </w:rPr>
        <w:t xml:space="preserve">ceased to have any effect pursuant to s. 18(4)(b) of the PDA because it conflicted with the provisions of the </w:t>
      </w:r>
      <w:r w:rsidR="00B97CB2">
        <w:rPr>
          <w:rFonts w:eastAsia="Arial Unicode MS"/>
        </w:rPr>
        <w:t>2023</w:t>
      </w:r>
      <w:r w:rsidR="00EB48E6" w:rsidRPr="00EB48E6">
        <w:rPr>
          <w:rFonts w:eastAsia="Arial Unicode MS"/>
        </w:rPr>
        <w:t xml:space="preserve"> Development Plan</w:t>
      </w:r>
      <w:r w:rsidR="0028598E">
        <w:rPr>
          <w:rFonts w:eastAsia="Arial Unicode MS"/>
        </w:rPr>
        <w:t xml:space="preserve"> which in providing for HA zoning prohibited the development of a retirement village, albeit that the zoning for the area where the Lands were situated did not change</w:t>
      </w:r>
      <w:r w:rsidR="00EB48E6" w:rsidRPr="00EB48E6">
        <w:rPr>
          <w:rFonts w:eastAsia="Arial Unicode MS"/>
        </w:rPr>
        <w:t>.</w:t>
      </w:r>
    </w:p>
    <w:p w14:paraId="00644E22" w14:textId="77777777" w:rsidR="00C80F68" w:rsidRPr="00641120" w:rsidRDefault="00C80F68" w:rsidP="00E902F2">
      <w:pPr>
        <w:rPr>
          <w:rFonts w:eastAsia="Arial Unicode MS"/>
        </w:rPr>
      </w:pPr>
    </w:p>
    <w:p w14:paraId="23162341" w14:textId="77777777" w:rsidR="0003135B" w:rsidRDefault="00740083" w:rsidP="00B04847">
      <w:pPr>
        <w:numPr>
          <w:ilvl w:val="0"/>
          <w:numId w:val="1"/>
        </w:numPr>
        <w:spacing w:line="360" w:lineRule="auto"/>
        <w:ind w:left="0" w:firstLine="0"/>
        <w:jc w:val="both"/>
        <w:rPr>
          <w:rFonts w:eastAsia="Arial Unicode MS"/>
        </w:rPr>
      </w:pPr>
      <w:r>
        <w:rPr>
          <w:rFonts w:eastAsia="Arial Unicode MS"/>
        </w:rPr>
        <w:t xml:space="preserve">It </w:t>
      </w:r>
      <w:r w:rsidR="00EB48E6">
        <w:rPr>
          <w:rFonts w:eastAsia="Arial Unicode MS"/>
        </w:rPr>
        <w:t>i</w:t>
      </w:r>
      <w:r>
        <w:rPr>
          <w:rFonts w:eastAsia="Arial Unicode MS"/>
        </w:rPr>
        <w:t xml:space="preserve">s contended that the mistaken reference to a different planning decision in the Decision was the result of a human clerical error which did not invalidate the Decision.  </w:t>
      </w:r>
      <w:r w:rsidR="00C80F68">
        <w:rPr>
          <w:rFonts w:eastAsia="Arial Unicode MS"/>
        </w:rPr>
        <w:t xml:space="preserve">Similarly, the mistaken reference to the </w:t>
      </w:r>
      <w:r w:rsidR="00B97CB2">
        <w:rPr>
          <w:rFonts w:eastAsia="Arial Unicode MS"/>
        </w:rPr>
        <w:t xml:space="preserve">2017 </w:t>
      </w:r>
      <w:r w:rsidR="00C80F68">
        <w:rPr>
          <w:rFonts w:eastAsia="Arial Unicode MS"/>
        </w:rPr>
        <w:t>Development Plan under the “Reasons” section of the Decision was a clerical error and it is clear from the Decision that the Council’s assessment was based on the correct development plan.</w:t>
      </w:r>
      <w:r w:rsidR="007E69C0">
        <w:rPr>
          <w:rFonts w:eastAsia="Arial Unicode MS"/>
        </w:rPr>
        <w:t xml:space="preserve"> It is maintained that the </w:t>
      </w:r>
      <w:r w:rsidR="00F011F3">
        <w:rPr>
          <w:rFonts w:eastAsia="Arial Unicode MS"/>
        </w:rPr>
        <w:t>respondent</w:t>
      </w:r>
      <w:r w:rsidR="007E69C0">
        <w:rPr>
          <w:rFonts w:eastAsia="Arial Unicode MS"/>
        </w:rPr>
        <w:t xml:space="preserve"> was not entitled under s. 42 PDA to give the </w:t>
      </w:r>
      <w:r w:rsidR="00F011F3">
        <w:rPr>
          <w:rFonts w:eastAsia="Arial Unicode MS"/>
        </w:rPr>
        <w:t>applicant</w:t>
      </w:r>
      <w:r w:rsidR="007E69C0">
        <w:rPr>
          <w:rFonts w:eastAsia="Arial Unicode MS"/>
        </w:rPr>
        <w:t xml:space="preserve"> notice of its intention to refuse the </w:t>
      </w:r>
      <w:r w:rsidR="00F011F3">
        <w:rPr>
          <w:rFonts w:eastAsia="Arial Unicode MS"/>
        </w:rPr>
        <w:t>applicant</w:t>
      </w:r>
      <w:r w:rsidR="007E69C0">
        <w:rPr>
          <w:rFonts w:eastAsia="Arial Unicode MS"/>
        </w:rPr>
        <w:t xml:space="preserve"> to extend nor was it entitled to give the </w:t>
      </w:r>
      <w:r w:rsidR="00F011F3">
        <w:rPr>
          <w:rFonts w:eastAsia="Arial Unicode MS"/>
        </w:rPr>
        <w:t>applicant</w:t>
      </w:r>
      <w:r w:rsidR="007E69C0">
        <w:rPr>
          <w:rFonts w:eastAsia="Arial Unicode MS"/>
        </w:rPr>
        <w:t xml:space="preserve"> an opportunity to make further submissions.  </w:t>
      </w:r>
    </w:p>
    <w:p w14:paraId="2353313C" w14:textId="77777777" w:rsidR="00641120" w:rsidRDefault="00641120" w:rsidP="00E902F2">
      <w:pPr>
        <w:rPr>
          <w:rFonts w:eastAsia="Arial Unicode MS"/>
        </w:rPr>
      </w:pPr>
    </w:p>
    <w:p w14:paraId="49948AA3" w14:textId="77777777" w:rsidR="007E69C0" w:rsidRDefault="007E69C0" w:rsidP="00B04847">
      <w:pPr>
        <w:pStyle w:val="ListParagraph"/>
        <w:ind w:left="0"/>
        <w:rPr>
          <w:rFonts w:eastAsia="Arial Unicode MS"/>
        </w:rPr>
      </w:pPr>
    </w:p>
    <w:p w14:paraId="62975FC3" w14:textId="77777777" w:rsidR="002D34F0" w:rsidRPr="00BA303A" w:rsidRDefault="007E69C0" w:rsidP="00E902F2">
      <w:pPr>
        <w:numPr>
          <w:ilvl w:val="0"/>
          <w:numId w:val="1"/>
        </w:numPr>
        <w:spacing w:line="360" w:lineRule="auto"/>
        <w:ind w:left="0" w:firstLine="0"/>
        <w:jc w:val="both"/>
        <w:rPr>
          <w:rFonts w:eastAsia="Arial Unicode MS"/>
        </w:rPr>
      </w:pPr>
      <w:r w:rsidRPr="00BA303A">
        <w:rPr>
          <w:rFonts w:eastAsia="Arial Unicode MS"/>
        </w:rPr>
        <w:t xml:space="preserve">The Statement of Opposition is grounded on the </w:t>
      </w:r>
      <w:r w:rsidR="00F32C27" w:rsidRPr="00BA303A">
        <w:rPr>
          <w:rFonts w:eastAsia="Arial Unicode MS"/>
        </w:rPr>
        <w:t xml:space="preserve">affidavit </w:t>
      </w:r>
      <w:r w:rsidRPr="00BA303A">
        <w:rPr>
          <w:rFonts w:eastAsia="Arial Unicode MS"/>
        </w:rPr>
        <w:t xml:space="preserve">of Sean Walsh, Senior Executive Planner.  He exhibits the Board Inspector’s </w:t>
      </w:r>
      <w:r w:rsidR="00F32C27" w:rsidRPr="00BA303A">
        <w:rPr>
          <w:rFonts w:eastAsia="Arial Unicode MS"/>
        </w:rPr>
        <w:t xml:space="preserve">report </w:t>
      </w:r>
      <w:r w:rsidRPr="00BA303A">
        <w:rPr>
          <w:rFonts w:eastAsia="Arial Unicode MS"/>
        </w:rPr>
        <w:t>dating to 2015.</w:t>
      </w:r>
      <w:r w:rsidR="007E26D1" w:rsidRPr="00BA303A">
        <w:rPr>
          <w:rFonts w:eastAsia="Arial Unicode MS"/>
        </w:rPr>
        <w:t xml:space="preserve">  He exhibit</w:t>
      </w:r>
      <w:r w:rsidR="00B97CB2" w:rsidRPr="00BA303A">
        <w:rPr>
          <w:rFonts w:eastAsia="Arial Unicode MS"/>
        </w:rPr>
        <w:t>s</w:t>
      </w:r>
      <w:r w:rsidR="007E26D1" w:rsidRPr="00BA303A">
        <w:rPr>
          <w:rFonts w:eastAsia="Arial Unicode MS"/>
        </w:rPr>
        <w:t xml:space="preserve"> relevant extracts from the Fingal Development Plan</w:t>
      </w:r>
      <w:r w:rsidR="00E81D9B" w:rsidRPr="00BA303A">
        <w:rPr>
          <w:rFonts w:eastAsia="Arial Unicode MS"/>
        </w:rPr>
        <w:t>s</w:t>
      </w:r>
      <w:r w:rsidR="007E26D1" w:rsidRPr="00BA303A">
        <w:rPr>
          <w:rFonts w:eastAsia="Arial Unicode MS"/>
        </w:rPr>
        <w:t xml:space="preserve"> 2011-2017 and 2017-2023 to demonst</w:t>
      </w:r>
      <w:r w:rsidR="007E26D1" w:rsidRPr="007F7F1E">
        <w:rPr>
          <w:rFonts w:eastAsia="Arial Unicode MS"/>
        </w:rPr>
        <w:t>rate the removal of SLO 469</w:t>
      </w:r>
      <w:r w:rsidR="007E26D1" w:rsidRPr="00E902F2">
        <w:rPr>
          <w:rFonts w:eastAsia="Arial Unicode MS"/>
        </w:rPr>
        <w:t>.  He also exhibit</w:t>
      </w:r>
      <w:r w:rsidR="00B97CB2" w:rsidRPr="00E902F2">
        <w:rPr>
          <w:rFonts w:eastAsia="Arial Unicode MS"/>
        </w:rPr>
        <w:t>s</w:t>
      </w:r>
      <w:r w:rsidR="007E26D1" w:rsidRPr="00E902F2">
        <w:rPr>
          <w:rFonts w:eastAsia="Arial Unicode MS"/>
        </w:rPr>
        <w:t xml:space="preserve"> the relevant zoning extracts from the two plans which show the zoning as unchanged as HA (High Amenity) in both </w:t>
      </w:r>
      <w:r w:rsidR="00E81D9B" w:rsidRPr="00E902F2">
        <w:rPr>
          <w:rFonts w:eastAsia="Arial Unicode MS"/>
        </w:rPr>
        <w:t>but which indicates that residential care home/retirement home is “</w:t>
      </w:r>
      <w:r w:rsidR="00E81D9B" w:rsidRPr="00E902F2">
        <w:rPr>
          <w:rFonts w:eastAsia="Arial Unicode MS"/>
          <w:i/>
          <w:iCs/>
        </w:rPr>
        <w:t>not permitted</w:t>
      </w:r>
      <w:r w:rsidR="00E81D9B" w:rsidRPr="00BA303A">
        <w:rPr>
          <w:rFonts w:eastAsia="Arial Unicode MS"/>
        </w:rPr>
        <w:t>” in the later plan</w:t>
      </w:r>
      <w:r w:rsidR="0098151F" w:rsidRPr="00BA303A">
        <w:rPr>
          <w:rFonts w:eastAsia="Arial Unicode MS"/>
        </w:rPr>
        <w:t>.</w:t>
      </w:r>
      <w:r w:rsidR="00D27F75" w:rsidRPr="00BA303A">
        <w:rPr>
          <w:rFonts w:eastAsia="Arial Unicode MS"/>
        </w:rPr>
        <w:t xml:space="preserve">  He further contends that the 2013 LAP was extended to facilitate </w:t>
      </w:r>
      <w:r w:rsidR="00BA303A" w:rsidRPr="00BA303A">
        <w:rPr>
          <w:rFonts w:eastAsia="Arial Unicode MS"/>
        </w:rPr>
        <w:t xml:space="preserve">the provision of residential units and not the subject development. In a later affidavit he objects to the suggestion that he was seeking to change or not comply with the resolution of the elected members in circumstances </w:t>
      </w:r>
      <w:r w:rsidR="00BA3CFA">
        <w:rPr>
          <w:rFonts w:eastAsia="Arial Unicode MS"/>
        </w:rPr>
        <w:t xml:space="preserve">where </w:t>
      </w:r>
      <w:r w:rsidR="00BA303A" w:rsidRPr="00BA303A">
        <w:rPr>
          <w:rFonts w:eastAsia="Arial Unicode MS"/>
        </w:rPr>
        <w:t>nothing on the record su</w:t>
      </w:r>
      <w:r w:rsidR="00BA303A" w:rsidRPr="007F7F1E">
        <w:rPr>
          <w:rFonts w:eastAsia="Arial Unicode MS"/>
        </w:rPr>
        <w:t>pports the position that sele</w:t>
      </w:r>
      <w:r w:rsidR="00BA303A" w:rsidRPr="00E902F2">
        <w:rPr>
          <w:rFonts w:eastAsia="Arial Unicode MS"/>
        </w:rPr>
        <w:t xml:space="preserve">cted parts only of the 2013 LAP were extended.  He modifies his position by </w:t>
      </w:r>
      <w:r w:rsidR="00BA3CFA">
        <w:rPr>
          <w:rFonts w:eastAsia="Arial Unicode MS"/>
        </w:rPr>
        <w:t>st</w:t>
      </w:r>
      <w:r w:rsidR="00BA303A" w:rsidRPr="00E902F2">
        <w:rPr>
          <w:rFonts w:eastAsia="Arial Unicode MS"/>
        </w:rPr>
        <w:t xml:space="preserve">ating more mildly that the 2013 LAP as extended had to be interpreted in the light of </w:t>
      </w:r>
      <w:r w:rsidR="00BA303A">
        <w:rPr>
          <w:rFonts w:eastAsia="Arial Unicode MS"/>
        </w:rPr>
        <w:t>SLO 469 not being included in the 2023 Development Plan.</w:t>
      </w:r>
    </w:p>
    <w:p w14:paraId="64419FCB" w14:textId="77777777" w:rsidR="00BA3CFA" w:rsidRDefault="00BA3CFA" w:rsidP="00C31DE7">
      <w:pPr>
        <w:spacing w:line="360" w:lineRule="auto"/>
        <w:jc w:val="both"/>
        <w:rPr>
          <w:rFonts w:eastAsia="Arial Unicode MS"/>
          <w:b/>
        </w:rPr>
      </w:pPr>
    </w:p>
    <w:p w14:paraId="449C146D" w14:textId="77777777" w:rsidR="00C91942" w:rsidRPr="00812B0A" w:rsidRDefault="00C91942" w:rsidP="00C31DE7">
      <w:pPr>
        <w:spacing w:line="360" w:lineRule="auto"/>
        <w:jc w:val="both"/>
        <w:rPr>
          <w:rFonts w:eastAsia="Arial Unicode MS"/>
          <w:b/>
        </w:rPr>
      </w:pPr>
      <w:r w:rsidRPr="00812B0A">
        <w:rPr>
          <w:rFonts w:eastAsia="Arial Unicode MS"/>
          <w:b/>
        </w:rPr>
        <w:t>STATUTORY FRAMEWORK</w:t>
      </w:r>
    </w:p>
    <w:p w14:paraId="32C85FBB" w14:textId="77777777" w:rsidR="00AD5948" w:rsidRDefault="00AD5948" w:rsidP="00AD5948">
      <w:pPr>
        <w:spacing w:line="360" w:lineRule="auto"/>
        <w:jc w:val="both"/>
        <w:rPr>
          <w:rFonts w:eastAsia="Arial Unicode MS"/>
        </w:rPr>
      </w:pPr>
    </w:p>
    <w:p w14:paraId="4C0D635F" w14:textId="77777777" w:rsidR="002C38F9" w:rsidRPr="00FE00FF" w:rsidRDefault="002C38F9" w:rsidP="00B04847">
      <w:pPr>
        <w:pStyle w:val="ListParagraph"/>
        <w:numPr>
          <w:ilvl w:val="0"/>
          <w:numId w:val="1"/>
        </w:numPr>
        <w:spacing w:after="240" w:line="360" w:lineRule="auto"/>
        <w:ind w:left="0" w:firstLine="0"/>
        <w:jc w:val="both"/>
      </w:pPr>
      <w:r w:rsidRPr="00FE00FF">
        <w:t>Section 42</w:t>
      </w:r>
      <w:r w:rsidR="001669A0">
        <w:t>(1)(a)</w:t>
      </w:r>
      <w:r w:rsidRPr="00FE00FF">
        <w:t xml:space="preserve"> as it applied as of the date of the application, provided that: </w:t>
      </w:r>
    </w:p>
    <w:p w14:paraId="38AA1691" w14:textId="77777777" w:rsidR="002C38F9" w:rsidRPr="00FE00FF" w:rsidRDefault="002C38F9" w:rsidP="00B04847">
      <w:pPr>
        <w:pStyle w:val="ListParagraph"/>
        <w:spacing w:after="240" w:line="360" w:lineRule="auto"/>
        <w:jc w:val="both"/>
        <w:rPr>
          <w:i/>
          <w:iCs/>
        </w:rPr>
      </w:pPr>
      <w:r w:rsidRPr="00FE00FF">
        <w:rPr>
          <w:i/>
          <w:iCs/>
        </w:rPr>
        <w:t xml:space="preserve">“On application to it in that behalf a planning authority shall, as regards a particular permission, extend the appropriate period by such additional period not exceeding 5 years as the authority considers requisite to enable the development to which the permission relates to be completed provided that each of the following requirements is complied with: </w:t>
      </w:r>
    </w:p>
    <w:p w14:paraId="70309775" w14:textId="77777777" w:rsidR="002C38F9" w:rsidRPr="00FE00FF" w:rsidRDefault="002C38F9" w:rsidP="00B04847">
      <w:pPr>
        <w:pStyle w:val="ListParagraph"/>
        <w:spacing w:after="240" w:line="360" w:lineRule="auto"/>
        <w:jc w:val="both"/>
        <w:rPr>
          <w:i/>
          <w:iCs/>
        </w:rPr>
      </w:pPr>
      <w:r w:rsidRPr="00FE00FF">
        <w:rPr>
          <w:i/>
          <w:iCs/>
        </w:rPr>
        <w:t xml:space="preserve">(a) either – </w:t>
      </w:r>
    </w:p>
    <w:p w14:paraId="132F5B18" w14:textId="77777777" w:rsidR="002C38F9" w:rsidRPr="00FE00FF" w:rsidRDefault="002C38F9" w:rsidP="00B04847">
      <w:pPr>
        <w:pStyle w:val="ListParagraph"/>
        <w:spacing w:after="240" w:line="360" w:lineRule="auto"/>
        <w:jc w:val="both"/>
        <w:rPr>
          <w:i/>
          <w:iCs/>
        </w:rPr>
      </w:pPr>
      <w:r w:rsidRPr="00FE00FF">
        <w:rPr>
          <w:i/>
          <w:iCs/>
        </w:rPr>
        <w:t>(i) the authority is satisfied that—</w:t>
      </w:r>
    </w:p>
    <w:p w14:paraId="1AC6574D" w14:textId="77777777" w:rsidR="002C38F9" w:rsidRPr="00FE00FF" w:rsidRDefault="002C38F9" w:rsidP="00B04847">
      <w:pPr>
        <w:pStyle w:val="ListParagraph"/>
        <w:spacing w:after="240" w:line="360" w:lineRule="auto"/>
        <w:ind w:left="1440"/>
        <w:jc w:val="both"/>
        <w:rPr>
          <w:i/>
          <w:iCs/>
        </w:rPr>
      </w:pPr>
      <w:r w:rsidRPr="00FE00FF">
        <w:rPr>
          <w:i/>
          <w:iCs/>
        </w:rPr>
        <w:t xml:space="preserve">(I) the development to which the permission relates was commenced before the expiration of the appropriate period sought to be extended; </w:t>
      </w:r>
    </w:p>
    <w:p w14:paraId="460FE590" w14:textId="77777777" w:rsidR="002C38F9" w:rsidRPr="00FE00FF" w:rsidRDefault="002C38F9" w:rsidP="00B04847">
      <w:pPr>
        <w:pStyle w:val="ListParagraph"/>
        <w:spacing w:after="240" w:line="360" w:lineRule="auto"/>
        <w:ind w:left="1440"/>
        <w:jc w:val="both"/>
        <w:rPr>
          <w:i/>
          <w:iCs/>
        </w:rPr>
      </w:pPr>
      <w:r w:rsidRPr="00FE00FF">
        <w:rPr>
          <w:i/>
          <w:iCs/>
        </w:rPr>
        <w:t>(II) substantial works were carried out pursuant to the permission during that period, and</w:t>
      </w:r>
    </w:p>
    <w:p w14:paraId="6AE68ED1" w14:textId="77777777" w:rsidR="002C38F9" w:rsidRPr="00FE00FF" w:rsidRDefault="002C38F9" w:rsidP="00B04847">
      <w:pPr>
        <w:pStyle w:val="ListParagraph"/>
        <w:spacing w:after="240" w:line="360" w:lineRule="auto"/>
        <w:ind w:left="1440"/>
        <w:jc w:val="both"/>
        <w:rPr>
          <w:i/>
          <w:iCs/>
        </w:rPr>
      </w:pPr>
      <w:r w:rsidRPr="00FE00FF">
        <w:rPr>
          <w:i/>
          <w:iCs/>
        </w:rPr>
        <w:t>(III) the development will be completed within a reasonable time,</w:t>
      </w:r>
    </w:p>
    <w:p w14:paraId="2A01C909" w14:textId="77777777" w:rsidR="002C38F9" w:rsidRPr="00FE00FF" w:rsidRDefault="002C38F9" w:rsidP="00B04847">
      <w:pPr>
        <w:spacing w:after="240" w:line="360" w:lineRule="auto"/>
        <w:ind w:firstLine="720"/>
        <w:jc w:val="both"/>
        <w:rPr>
          <w:i/>
          <w:iCs/>
        </w:rPr>
      </w:pPr>
      <w:r w:rsidRPr="00FE00FF">
        <w:rPr>
          <w:i/>
          <w:iCs/>
        </w:rPr>
        <w:t>or</w:t>
      </w:r>
    </w:p>
    <w:p w14:paraId="218A2155" w14:textId="77777777" w:rsidR="002C38F9" w:rsidRPr="00FE00FF" w:rsidRDefault="002C38F9" w:rsidP="00B04847">
      <w:pPr>
        <w:spacing w:after="240" w:line="360" w:lineRule="auto"/>
        <w:ind w:firstLine="720"/>
        <w:jc w:val="both"/>
        <w:rPr>
          <w:i/>
          <w:iCs/>
        </w:rPr>
      </w:pPr>
      <w:r w:rsidRPr="00FE00FF">
        <w:rPr>
          <w:i/>
          <w:iCs/>
        </w:rPr>
        <w:t>(ii) the authority is satisfied—</w:t>
      </w:r>
    </w:p>
    <w:p w14:paraId="4B2D8329" w14:textId="77777777" w:rsidR="002C38F9" w:rsidRPr="00FE00FF" w:rsidRDefault="002C38F9" w:rsidP="00B04847">
      <w:pPr>
        <w:pStyle w:val="ListParagraph"/>
        <w:spacing w:after="240" w:line="360" w:lineRule="auto"/>
        <w:ind w:left="1440"/>
        <w:jc w:val="both"/>
        <w:rPr>
          <w:i/>
          <w:iCs/>
        </w:rPr>
      </w:pPr>
      <w:r w:rsidRPr="00FE00FF">
        <w:rPr>
          <w:i/>
          <w:iCs/>
        </w:rPr>
        <w:t>(I) that there were considerations of a commercial, economic or technical nature beyond the control of the applicant which substantially militated against either the commencement of development or the carrying out of substantial works pursuant to the planning permission,</w:t>
      </w:r>
    </w:p>
    <w:p w14:paraId="2C0D8819" w14:textId="77777777" w:rsidR="002C38F9" w:rsidRPr="00FE00FF" w:rsidRDefault="002C38F9" w:rsidP="00B04847">
      <w:pPr>
        <w:pStyle w:val="ListParagraph"/>
        <w:spacing w:after="240" w:line="360" w:lineRule="auto"/>
        <w:ind w:left="1440"/>
        <w:jc w:val="both"/>
        <w:rPr>
          <w:i/>
          <w:iCs/>
        </w:rPr>
      </w:pPr>
      <w:r w:rsidRPr="00FE00FF">
        <w:rPr>
          <w:i/>
          <w:iCs/>
        </w:rPr>
        <w:t xml:space="preserve">(II) </w:t>
      </w:r>
      <w:r w:rsidRPr="00BC194F">
        <w:rPr>
          <w:i/>
          <w:iCs/>
          <w:u w:val="single"/>
        </w:rPr>
        <w:t>that there have been no significant changes in the development objectives in the development plan or in regional development objectives in the regional spatial and economic strategy for the area of the planning authority since the date of the permission such that the development would no longer be consistent with the proper planning and sustainable development of the area</w:t>
      </w:r>
      <w:r w:rsidRPr="00FE00FF">
        <w:rPr>
          <w:i/>
          <w:iCs/>
        </w:rPr>
        <w:t xml:space="preserve">, </w:t>
      </w:r>
    </w:p>
    <w:p w14:paraId="1E2AF682" w14:textId="77777777" w:rsidR="002C38F9" w:rsidRPr="00FE00FF" w:rsidRDefault="002C38F9" w:rsidP="00B04847">
      <w:pPr>
        <w:pStyle w:val="ListParagraph"/>
        <w:spacing w:after="240" w:line="360" w:lineRule="auto"/>
        <w:ind w:left="1440"/>
        <w:jc w:val="both"/>
      </w:pPr>
      <w:r w:rsidRPr="00FE00FF">
        <w:rPr>
          <w:i/>
          <w:iCs/>
        </w:rPr>
        <w:t>(III) that the development would not be inconsistent with the proper planning and sustainable development of the area having regard to any guidelines issued by the Minister under section 28, notwithstanding that they were so issued after the date of the grant of permission in relation to which an application is made under this section</w:t>
      </w:r>
      <w:bookmarkStart w:id="0" w:name="s57._p9"/>
      <w:bookmarkEnd w:id="0"/>
      <w:r w:rsidRPr="00FE00FF">
        <w:rPr>
          <w:i/>
          <w:iCs/>
        </w:rPr>
        <w:t>, and</w:t>
      </w:r>
    </w:p>
    <w:p w14:paraId="713FA161" w14:textId="77777777" w:rsidR="002C38F9" w:rsidRDefault="002C38F9" w:rsidP="00B04847">
      <w:pPr>
        <w:pStyle w:val="ListParagraph"/>
        <w:spacing w:after="240" w:line="360" w:lineRule="auto"/>
        <w:ind w:left="1440"/>
        <w:jc w:val="both"/>
      </w:pPr>
      <w:r w:rsidRPr="00FE00FF">
        <w:rPr>
          <w:i/>
          <w:iCs/>
        </w:rPr>
        <w:t>(IV) where the development has not commenced, that an environmental impact assessment, or an appropriate assessment, or both of those assessments, if required, was or were carried out before the permission was granted.</w:t>
      </w:r>
      <w:r w:rsidRPr="00FE00FF">
        <w:t>”</w:t>
      </w:r>
    </w:p>
    <w:p w14:paraId="311F035F" w14:textId="77777777" w:rsidR="00641120" w:rsidRPr="00FE00FF" w:rsidRDefault="00641120" w:rsidP="00E902F2"/>
    <w:p w14:paraId="0DD1142E" w14:textId="77777777" w:rsidR="003C745E" w:rsidRDefault="00235EEB" w:rsidP="00B04847">
      <w:pPr>
        <w:pStyle w:val="ListParagraph"/>
        <w:numPr>
          <w:ilvl w:val="0"/>
          <w:numId w:val="1"/>
        </w:numPr>
        <w:spacing w:after="240" w:line="360" w:lineRule="auto"/>
        <w:ind w:left="0" w:firstLine="0"/>
        <w:jc w:val="both"/>
      </w:pPr>
      <w:r>
        <w:t xml:space="preserve">From the language of s. 42 it is clear that the legislative intention </w:t>
      </w:r>
      <w:r w:rsidR="00B97CB2">
        <w:t>was</w:t>
      </w:r>
      <w:r>
        <w:t xml:space="preserve"> to provide a simplified process whereby a planning permission granted pursuant to extensive statutory requirements under the PDA </w:t>
      </w:r>
      <w:r w:rsidR="008D06AE">
        <w:t>was capable</w:t>
      </w:r>
      <w:r>
        <w:t xml:space="preserve"> of extension without the need to undergo the process again provided</w:t>
      </w:r>
      <w:r w:rsidR="002C19DF">
        <w:t xml:space="preserve"> that</w:t>
      </w:r>
      <w:r>
        <w:t xml:space="preserve"> the prescribed criteria are met</w:t>
      </w:r>
      <w:r w:rsidR="0028598E">
        <w:t>.  This was</w:t>
      </w:r>
      <w:r>
        <w:t xml:space="preserve"> in recognition </w:t>
      </w:r>
      <w:r w:rsidR="0028598E">
        <w:t xml:space="preserve">of the fact </w:t>
      </w:r>
      <w:r>
        <w:t xml:space="preserve">that it is not always possible to complete a development within the life-span of a planning permission.  </w:t>
      </w:r>
      <w:r w:rsidR="0028598E">
        <w:t xml:space="preserve">The power to extend is not open-ended in time and under the statutory scheme a </w:t>
      </w:r>
      <w:r w:rsidR="003C745E">
        <w:t xml:space="preserve"> </w:t>
      </w:r>
      <w:r w:rsidR="00B97CB2">
        <w:t>p</w:t>
      </w:r>
      <w:r w:rsidR="003C745E">
        <w:t>ermission extended in this way may only be extended by a period of five years or less.</w:t>
      </w:r>
    </w:p>
    <w:p w14:paraId="28FFD2D3" w14:textId="77777777" w:rsidR="00006685" w:rsidRDefault="00006685" w:rsidP="00E902F2"/>
    <w:p w14:paraId="79479F46" w14:textId="77777777" w:rsidR="00BC194F" w:rsidRDefault="001D373B" w:rsidP="00B04847">
      <w:pPr>
        <w:pStyle w:val="ListParagraph"/>
        <w:numPr>
          <w:ilvl w:val="0"/>
          <w:numId w:val="1"/>
        </w:numPr>
        <w:spacing w:after="240" w:line="360" w:lineRule="auto"/>
        <w:ind w:left="0" w:firstLine="0"/>
        <w:jc w:val="both"/>
      </w:pPr>
      <w:r>
        <w:t xml:space="preserve">Under </w:t>
      </w:r>
      <w:r w:rsidR="002C19DF">
        <w:t xml:space="preserve">s. </w:t>
      </w:r>
      <w:r>
        <w:t xml:space="preserve">10 of the PDA, the </w:t>
      </w:r>
      <w:r w:rsidR="00B97CB2">
        <w:t>d</w:t>
      </w:r>
      <w:r>
        <w:t xml:space="preserve">evelopment </w:t>
      </w:r>
      <w:r w:rsidR="00B97CB2">
        <w:t>p</w:t>
      </w:r>
      <w:r>
        <w:t xml:space="preserve">lan sets the overall plan for proper planning and sustainable development and consists of a written statement and a plan or plans indicating the development objectives for the area.  </w:t>
      </w:r>
      <w:r w:rsidR="001669A0" w:rsidRPr="00FE00FF">
        <w:t>Section 10(7) of the PDA expressly provides that:</w:t>
      </w:r>
    </w:p>
    <w:p w14:paraId="4BB62A3A" w14:textId="77777777" w:rsidR="002C19DF" w:rsidRDefault="002C19DF" w:rsidP="00E902F2"/>
    <w:p w14:paraId="267EDF32" w14:textId="77777777" w:rsidR="001669A0" w:rsidRDefault="001669A0" w:rsidP="00B04847">
      <w:pPr>
        <w:pStyle w:val="ListParagraph"/>
        <w:spacing w:after="240" w:line="360" w:lineRule="auto"/>
        <w:jc w:val="both"/>
      </w:pPr>
      <w:r w:rsidRPr="00FE00FF">
        <w:t>“</w:t>
      </w:r>
      <w:r w:rsidRPr="00BC194F">
        <w:rPr>
          <w:i/>
          <w:iCs/>
        </w:rPr>
        <w:t>A development plan may indicate that specified development in a particular area will be subject to the making of a local area plan</w:t>
      </w:r>
      <w:r w:rsidRPr="00FE00FF">
        <w:t xml:space="preserve">.” </w:t>
      </w:r>
    </w:p>
    <w:p w14:paraId="6C4538C2" w14:textId="77777777" w:rsidR="002C19DF" w:rsidRDefault="002C19DF" w:rsidP="00E902F2"/>
    <w:p w14:paraId="369F6223" w14:textId="77777777" w:rsidR="00413CAD" w:rsidRPr="00E902F2" w:rsidRDefault="00BC194F" w:rsidP="00B04847">
      <w:pPr>
        <w:pStyle w:val="ListParagraph"/>
        <w:numPr>
          <w:ilvl w:val="0"/>
          <w:numId w:val="1"/>
        </w:numPr>
        <w:spacing w:after="240" w:line="360" w:lineRule="auto"/>
        <w:ind w:left="0" w:firstLine="0"/>
        <w:jc w:val="both"/>
        <w:rPr>
          <w:rFonts w:eastAsia="Arial Unicode MS"/>
        </w:rPr>
      </w:pPr>
      <w:r>
        <w:rPr>
          <w:rFonts w:eastAsia="Arial Unicode MS"/>
        </w:rPr>
        <w:t>As we have seen, in this case the</w:t>
      </w:r>
      <w:r w:rsidR="003C745E">
        <w:rPr>
          <w:rFonts w:eastAsia="Arial Unicode MS"/>
        </w:rPr>
        <w:t xml:space="preserve"> </w:t>
      </w:r>
      <w:r w:rsidR="00B97CB2">
        <w:rPr>
          <w:rFonts w:eastAsia="Arial Unicode MS"/>
        </w:rPr>
        <w:t>2023</w:t>
      </w:r>
      <w:r w:rsidR="00BA3CFA">
        <w:rPr>
          <w:rFonts w:eastAsia="Arial Unicode MS"/>
        </w:rPr>
        <w:t xml:space="preserve"> </w:t>
      </w:r>
      <w:r>
        <w:rPr>
          <w:rFonts w:eastAsia="Arial Unicode MS"/>
        </w:rPr>
        <w:t>Development Plan</w:t>
      </w:r>
      <w:r w:rsidR="003C745E">
        <w:rPr>
          <w:rFonts w:eastAsia="Arial Unicode MS"/>
        </w:rPr>
        <w:t xml:space="preserve"> </w:t>
      </w:r>
      <w:r>
        <w:rPr>
          <w:rFonts w:eastAsia="Arial Unicode MS"/>
        </w:rPr>
        <w:t>made reference to the local area plan</w:t>
      </w:r>
      <w:r w:rsidR="00C30DD0">
        <w:rPr>
          <w:rFonts w:eastAsia="Arial Unicode MS"/>
        </w:rPr>
        <w:t xml:space="preserve"> and</w:t>
      </w:r>
      <w:r>
        <w:rPr>
          <w:rFonts w:eastAsia="Arial Unicode MS"/>
        </w:rPr>
        <w:t xml:space="preserve"> </w:t>
      </w:r>
      <w:r w:rsidRPr="00FE00FF">
        <w:t>‘</w:t>
      </w:r>
      <w:r w:rsidRPr="00E902F2">
        <w:rPr>
          <w:i/>
          <w:iCs/>
        </w:rPr>
        <w:t>Objective Baldoyle 3’</w:t>
      </w:r>
      <w:r w:rsidR="00C30DD0">
        <w:t xml:space="preserve"> as therein set out</w:t>
      </w:r>
      <w:r w:rsidRPr="00FE00FF">
        <w:t xml:space="preserve"> expressly contemplate</w:t>
      </w:r>
      <w:r w:rsidR="00167873">
        <w:t>d</w:t>
      </w:r>
      <w:r w:rsidRPr="00FE00FF">
        <w:t xml:space="preserve"> that a </w:t>
      </w:r>
      <w:r w:rsidR="00B97CB2">
        <w:t>l</w:t>
      </w:r>
      <w:r w:rsidRPr="00FE00FF">
        <w:t xml:space="preserve">ocal </w:t>
      </w:r>
      <w:r w:rsidR="00B97CB2">
        <w:t>a</w:t>
      </w:r>
      <w:r w:rsidRPr="00FE00FF">
        <w:t xml:space="preserve">rea </w:t>
      </w:r>
      <w:r w:rsidR="00B97CB2">
        <w:t>p</w:t>
      </w:r>
      <w:r w:rsidRPr="00FE00FF">
        <w:t xml:space="preserve">lan </w:t>
      </w:r>
      <w:r w:rsidR="00167873">
        <w:t>was</w:t>
      </w:r>
      <w:r w:rsidRPr="00FE00FF">
        <w:t xml:space="preserve"> to be implemented in respect of Baldoyle/Stapolin, which w</w:t>
      </w:r>
      <w:r w:rsidR="00167873">
        <w:t>ould</w:t>
      </w:r>
      <w:r w:rsidRPr="00FE00FF">
        <w:t xml:space="preserve"> provide for the strategic development of the area</w:t>
      </w:r>
      <w:r w:rsidR="00C30DD0">
        <w:t xml:space="preserve"> “</w:t>
      </w:r>
      <w:r w:rsidR="00C30DD0" w:rsidRPr="00E63B38">
        <w:rPr>
          <w:i/>
          <w:iCs/>
        </w:rPr>
        <w:t>as a planned sustainable mixed use residential development subject to the delivery of the necessary infrastructure</w:t>
      </w:r>
      <w:r w:rsidRPr="00FE00FF">
        <w:t>.</w:t>
      </w:r>
      <w:r w:rsidR="00E63B38">
        <w:t>”</w:t>
      </w:r>
      <w:r w:rsidRPr="00FE00FF">
        <w:t xml:space="preserve"> </w:t>
      </w:r>
    </w:p>
    <w:p w14:paraId="1B84B5B4" w14:textId="77777777" w:rsidR="002C19DF" w:rsidRPr="00C30DD0" w:rsidRDefault="002C19DF" w:rsidP="00E902F2">
      <w:pPr>
        <w:rPr>
          <w:rFonts w:eastAsia="Arial Unicode MS"/>
        </w:rPr>
      </w:pPr>
    </w:p>
    <w:p w14:paraId="4D3B7DD3" w14:textId="77777777" w:rsidR="005025E0" w:rsidRDefault="00167873" w:rsidP="005025E0">
      <w:pPr>
        <w:pStyle w:val="ListParagraph"/>
        <w:numPr>
          <w:ilvl w:val="0"/>
          <w:numId w:val="1"/>
        </w:numPr>
        <w:spacing w:after="240" w:line="360" w:lineRule="auto"/>
        <w:ind w:left="0" w:firstLine="0"/>
        <w:jc w:val="both"/>
      </w:pPr>
      <w:r>
        <w:t xml:space="preserve">At the time the </w:t>
      </w:r>
      <w:r w:rsidR="00B97CB2">
        <w:t>2023</w:t>
      </w:r>
      <w:r w:rsidR="00BA3CFA">
        <w:t xml:space="preserve"> </w:t>
      </w:r>
      <w:r>
        <w:t>Development Plan</w:t>
      </w:r>
      <w:r w:rsidR="003C745E">
        <w:t xml:space="preserve"> </w:t>
      </w:r>
      <w:r>
        <w:t>was adopted</w:t>
      </w:r>
      <w:r w:rsidR="003C745E">
        <w:t xml:space="preserve"> by the </w:t>
      </w:r>
      <w:r w:rsidR="00F011F3">
        <w:t>respondent</w:t>
      </w:r>
      <w:r>
        <w:t>, the ex</w:t>
      </w:r>
      <w:r w:rsidR="0028598E">
        <w:t xml:space="preserve">tant </w:t>
      </w:r>
      <w:r>
        <w:t xml:space="preserve"> </w:t>
      </w:r>
      <w:r w:rsidRPr="00FE00FF">
        <w:t>Baldoyle / Stapolin</w:t>
      </w:r>
      <w:r>
        <w:t xml:space="preserve"> L</w:t>
      </w:r>
      <w:r w:rsidR="00CB2C78">
        <w:t>AP</w:t>
      </w:r>
      <w:r>
        <w:t xml:space="preserve"> incorporated S</w:t>
      </w:r>
      <w:r w:rsidR="00CB2C78">
        <w:t>L</w:t>
      </w:r>
      <w:r w:rsidR="007402AA">
        <w:t>O</w:t>
      </w:r>
      <w:r>
        <w:t xml:space="preserve"> 469 as Map Objective 4</w:t>
      </w:r>
      <w:r w:rsidR="003C745E">
        <w:t xml:space="preserve"> and there was a valid, extant Planning Permission pertaining to the Lands</w:t>
      </w:r>
      <w:r>
        <w:t xml:space="preserve">.  </w:t>
      </w:r>
      <w:r w:rsidR="00413CAD">
        <w:t xml:space="preserve">This begs the question as to </w:t>
      </w:r>
      <w:r w:rsidR="00E63B38">
        <w:t xml:space="preserve">the </w:t>
      </w:r>
      <w:r w:rsidR="00413CAD">
        <w:t>impact the removal of S</w:t>
      </w:r>
      <w:r w:rsidR="007402AA">
        <w:t>L</w:t>
      </w:r>
      <w:r w:rsidR="00413CAD">
        <w:t xml:space="preserve">O 469 from the </w:t>
      </w:r>
      <w:r w:rsidR="00B97CB2">
        <w:t>2023</w:t>
      </w:r>
      <w:r w:rsidR="00BA3CFA">
        <w:t xml:space="preserve"> </w:t>
      </w:r>
      <w:r w:rsidR="00413CAD">
        <w:t>Development Plan</w:t>
      </w:r>
      <w:r w:rsidR="003C745E">
        <w:t xml:space="preserve"> </w:t>
      </w:r>
      <w:r w:rsidR="00413CAD">
        <w:t>had on the extant L</w:t>
      </w:r>
      <w:r w:rsidR="00CB2C78">
        <w:t>AP</w:t>
      </w:r>
      <w:r w:rsidR="003C745E">
        <w:t>, as it clear</w:t>
      </w:r>
      <w:r w:rsidR="002C19DF">
        <w:t>ly</w:t>
      </w:r>
      <w:r w:rsidR="003C745E">
        <w:t xml:space="preserve"> did not affect the Planning Permission which remained valid</w:t>
      </w:r>
      <w:r w:rsidR="00CB2C78">
        <w:t>.</w:t>
      </w:r>
    </w:p>
    <w:p w14:paraId="7E56F3C5" w14:textId="77777777" w:rsidR="002C19DF" w:rsidRDefault="002C19DF" w:rsidP="00E902F2">
      <w:pPr>
        <w:spacing w:line="360" w:lineRule="auto"/>
        <w:jc w:val="both"/>
      </w:pPr>
    </w:p>
    <w:p w14:paraId="68D2D0E3" w14:textId="77777777" w:rsidR="00413CAD" w:rsidRDefault="00413CAD" w:rsidP="00B04847">
      <w:pPr>
        <w:pStyle w:val="ListParagraph"/>
        <w:numPr>
          <w:ilvl w:val="0"/>
          <w:numId w:val="1"/>
        </w:numPr>
        <w:spacing w:after="240" w:line="360" w:lineRule="auto"/>
        <w:ind w:left="0" w:firstLine="0"/>
        <w:jc w:val="both"/>
      </w:pPr>
      <w:r>
        <w:t>Section 18 of the PDA provides</w:t>
      </w:r>
      <w:r w:rsidR="008C069E">
        <w:t xml:space="preserve"> for the making of local area plans.  S</w:t>
      </w:r>
      <w:r w:rsidR="00E63B38">
        <w:t xml:space="preserve">ection </w:t>
      </w:r>
      <w:r w:rsidR="008C069E">
        <w:t>18(3)(a) requires a local authority to have regard to the local area plan when considering an application for permission under s</w:t>
      </w:r>
      <w:r w:rsidR="00E63B38">
        <w:t>.</w:t>
      </w:r>
      <w:r w:rsidR="008C069E">
        <w:t xml:space="preserve"> 34 of the Act.  Importantly, s</w:t>
      </w:r>
      <w:r w:rsidR="00E63B38">
        <w:t>.</w:t>
      </w:r>
      <w:r w:rsidR="008C069E">
        <w:t xml:space="preserve"> 18 (4)(b) provides</w:t>
      </w:r>
      <w:r>
        <w:t>:</w:t>
      </w:r>
    </w:p>
    <w:p w14:paraId="7AA48C46" w14:textId="77777777" w:rsidR="00C34230" w:rsidRDefault="00C34230" w:rsidP="00E902F2"/>
    <w:p w14:paraId="15A64448" w14:textId="77777777" w:rsidR="008C069E" w:rsidRDefault="008C069E" w:rsidP="00B04847">
      <w:pPr>
        <w:pStyle w:val="ListParagraph"/>
        <w:spacing w:after="240" w:line="360" w:lineRule="auto"/>
        <w:jc w:val="both"/>
        <w:rPr>
          <w:i/>
          <w:iCs/>
        </w:rPr>
      </w:pPr>
      <w:r w:rsidRPr="00E63B38">
        <w:rPr>
          <w:i/>
          <w:iCs/>
        </w:rPr>
        <w:t>“</w:t>
      </w:r>
      <w:r w:rsidR="009212B0">
        <w:rPr>
          <w:i/>
          <w:iCs/>
        </w:rPr>
        <w:t>A</w:t>
      </w:r>
      <w:r w:rsidRPr="00E63B38">
        <w:rPr>
          <w:i/>
          <w:iCs/>
        </w:rPr>
        <w:t xml:space="preserve"> local</w:t>
      </w:r>
      <w:r w:rsidR="00C30DD0" w:rsidRPr="00E63B38">
        <w:rPr>
          <w:i/>
          <w:iCs/>
        </w:rPr>
        <w:t xml:space="preserve"> area plan</w:t>
      </w:r>
      <w:r w:rsidRPr="00E63B38">
        <w:rPr>
          <w:i/>
          <w:iCs/>
        </w:rPr>
        <w:t xml:space="preserve"> </w:t>
      </w:r>
      <w:r w:rsidR="00C30DD0" w:rsidRPr="00E63B38">
        <w:rPr>
          <w:i/>
          <w:iCs/>
        </w:rPr>
        <w:t xml:space="preserve">may remain in force </w:t>
      </w:r>
      <w:r w:rsidRPr="00E63B38">
        <w:rPr>
          <w:i/>
          <w:iCs/>
        </w:rPr>
        <w:t xml:space="preserve">in accordance with paragraph </w:t>
      </w:r>
      <w:r w:rsidR="00C30DD0" w:rsidRPr="00E63B38">
        <w:rPr>
          <w:i/>
          <w:iCs/>
        </w:rPr>
        <w:t>(</w:t>
      </w:r>
      <w:r w:rsidRPr="00E63B38">
        <w:rPr>
          <w:i/>
          <w:iCs/>
        </w:rPr>
        <w:t>a</w:t>
      </w:r>
      <w:r w:rsidR="00C30DD0" w:rsidRPr="00E63B38">
        <w:rPr>
          <w:i/>
          <w:iCs/>
        </w:rPr>
        <w:t>)</w:t>
      </w:r>
      <w:r w:rsidRPr="00E63B38">
        <w:rPr>
          <w:i/>
          <w:iCs/>
        </w:rPr>
        <w:t xml:space="preserve"> notwithstanding the variation of the development plan or the making of a new development plan affecting the area to which the local area plan relates except that where any provision of the local area plan conflicts with the provisions of the development plan as varied or the new development plan the provision of the local area plan shall cease to have effect.”</w:t>
      </w:r>
    </w:p>
    <w:p w14:paraId="26963288" w14:textId="77777777" w:rsidR="00C34230" w:rsidRPr="00E63B38" w:rsidRDefault="00C34230" w:rsidP="00E902F2"/>
    <w:p w14:paraId="6B1D63F8" w14:textId="77777777" w:rsidR="00AD0587" w:rsidRDefault="00AD0587" w:rsidP="00B04847">
      <w:pPr>
        <w:pStyle w:val="ListParagraph"/>
        <w:numPr>
          <w:ilvl w:val="0"/>
          <w:numId w:val="1"/>
        </w:numPr>
        <w:spacing w:after="240" w:line="360" w:lineRule="auto"/>
        <w:ind w:left="0" w:firstLine="0"/>
        <w:jc w:val="both"/>
      </w:pPr>
      <w:r>
        <w:t>The express language of s. 18 makes it clear that a provision</w:t>
      </w:r>
      <w:r w:rsidR="00FE57EE">
        <w:t xml:space="preserve"> of</w:t>
      </w:r>
      <w:r>
        <w:t xml:space="preserve"> </w:t>
      </w:r>
      <w:r w:rsidR="00BB28D5">
        <w:t>a</w:t>
      </w:r>
      <w:r w:rsidR="002547DF">
        <w:t xml:space="preserve"> local area plan</w:t>
      </w:r>
      <w:r>
        <w:t xml:space="preserve"> </w:t>
      </w:r>
      <w:r w:rsidR="00BB28D5">
        <w:t xml:space="preserve">is </w:t>
      </w:r>
      <w:r>
        <w:t>continued</w:t>
      </w:r>
      <w:r w:rsidR="00BB28D5">
        <w:t xml:space="preserve"> notwithstanding the adoption of a new development plan </w:t>
      </w:r>
      <w:r w:rsidR="00FE57EE">
        <w:t xml:space="preserve">during its term </w:t>
      </w:r>
      <w:r w:rsidR="00BB28D5">
        <w:t xml:space="preserve">unless </w:t>
      </w:r>
      <w:r w:rsidR="00BB28D5" w:rsidRPr="00BB28D5">
        <w:t>the provision conflicts with the provisions of the development plan as varied</w:t>
      </w:r>
      <w:r w:rsidR="00BB28D5">
        <w:t>.</w:t>
      </w:r>
    </w:p>
    <w:p w14:paraId="619115C1" w14:textId="77777777" w:rsidR="00641120" w:rsidRPr="00BB28D5" w:rsidRDefault="00641120" w:rsidP="00E902F2"/>
    <w:p w14:paraId="15FC8646" w14:textId="77777777" w:rsidR="00641120" w:rsidRDefault="00AB358A" w:rsidP="00641120">
      <w:pPr>
        <w:pStyle w:val="ListParagraph"/>
        <w:numPr>
          <w:ilvl w:val="0"/>
          <w:numId w:val="1"/>
        </w:numPr>
        <w:spacing w:after="240" w:line="360" w:lineRule="auto"/>
        <w:ind w:left="0" w:firstLine="0"/>
        <w:jc w:val="both"/>
      </w:pPr>
      <w:r>
        <w:t xml:space="preserve">Section 19 of the PDA provides for the content and application of local area plans.  Under </w:t>
      </w:r>
      <w:r w:rsidR="000A1375">
        <w:t xml:space="preserve">s. </w:t>
      </w:r>
      <w:r>
        <w:t xml:space="preserve">19 it is mandatory to have in a place a local area plan for areas above a specified population such as the Baldoyle-Stapolin area.  </w:t>
      </w:r>
      <w:r w:rsidR="00167873" w:rsidRPr="00FE00FF">
        <w:t xml:space="preserve">The renewal of a </w:t>
      </w:r>
      <w:r w:rsidR="008C54A9">
        <w:t xml:space="preserve">LAP </w:t>
      </w:r>
      <w:r w:rsidR="00167873" w:rsidRPr="00FE00FF">
        <w:t xml:space="preserve">is a statutory process set out in </w:t>
      </w:r>
      <w:r w:rsidR="00DF00CA">
        <w:t>s.</w:t>
      </w:r>
      <w:r w:rsidR="000A1375">
        <w:t xml:space="preserve"> </w:t>
      </w:r>
      <w:r w:rsidR="00167873" w:rsidRPr="00FE00FF">
        <w:t xml:space="preserve">19(1)(d) </w:t>
      </w:r>
      <w:r w:rsidR="00BB28D5">
        <w:t xml:space="preserve">and (e) </w:t>
      </w:r>
      <w:r w:rsidR="00167873" w:rsidRPr="00FE00FF">
        <w:t>of the PDA.</w:t>
      </w:r>
    </w:p>
    <w:p w14:paraId="13B7FA42" w14:textId="77777777" w:rsidR="00641120" w:rsidRDefault="00641120" w:rsidP="00E902F2">
      <w:pPr>
        <w:pStyle w:val="ListParagraph"/>
        <w:spacing w:after="240" w:line="360" w:lineRule="auto"/>
        <w:ind w:left="0"/>
        <w:jc w:val="both"/>
      </w:pPr>
    </w:p>
    <w:p w14:paraId="14086CC1" w14:textId="77777777" w:rsidR="00AB358A" w:rsidRDefault="00AB358A" w:rsidP="00B04847">
      <w:pPr>
        <w:pStyle w:val="ListParagraph"/>
        <w:numPr>
          <w:ilvl w:val="0"/>
          <w:numId w:val="1"/>
        </w:numPr>
        <w:spacing w:after="240" w:line="360" w:lineRule="auto"/>
        <w:ind w:left="0" w:firstLine="0"/>
        <w:jc w:val="both"/>
      </w:pPr>
      <w:r>
        <w:t>Section 19</w:t>
      </w:r>
      <w:r w:rsidR="000A1375">
        <w:t>(1)</w:t>
      </w:r>
      <w:r>
        <w:t xml:space="preserve"> provides</w:t>
      </w:r>
      <w:r w:rsidR="001F3529">
        <w:t xml:space="preserve"> for the extension of the </w:t>
      </w:r>
      <w:r w:rsidR="00BA3CFA">
        <w:t>local area plan</w:t>
      </w:r>
      <w:r w:rsidR="008C54A9">
        <w:t xml:space="preserve"> </w:t>
      </w:r>
      <w:r w:rsidR="001F3529">
        <w:t>in the following terms</w:t>
      </w:r>
      <w:r>
        <w:t>:</w:t>
      </w:r>
    </w:p>
    <w:p w14:paraId="2240D320" w14:textId="77777777" w:rsidR="00AB358A" w:rsidRPr="00DF00CA" w:rsidRDefault="00AB358A" w:rsidP="00E65842">
      <w:pPr>
        <w:pStyle w:val="NormalWeb"/>
        <w:shd w:val="clear" w:color="auto" w:fill="FFFFFF"/>
        <w:spacing w:line="360" w:lineRule="auto"/>
        <w:ind w:left="720"/>
        <w:jc w:val="both"/>
        <w:rPr>
          <w:i/>
          <w:iCs/>
        </w:rPr>
      </w:pPr>
      <w:r w:rsidRPr="00DF00CA">
        <w:rPr>
          <w:rStyle w:val="change"/>
          <w:i/>
          <w:iCs/>
        </w:rPr>
        <w:t>(</w:t>
      </w:r>
      <w:r w:rsidRPr="00DF00CA">
        <w:rPr>
          <w:i/>
          <w:iCs/>
        </w:rPr>
        <w:t> </w:t>
      </w:r>
      <w:r w:rsidRPr="00DF00CA">
        <w:rPr>
          <w:rStyle w:val="change"/>
          <w:i/>
          <w:iCs/>
        </w:rPr>
        <w:t>d</w:t>
      </w:r>
      <w:r w:rsidRPr="00DF00CA">
        <w:rPr>
          <w:i/>
          <w:iCs/>
        </w:rPr>
        <w:t> </w:t>
      </w:r>
      <w:r w:rsidRPr="00DF00CA">
        <w:rPr>
          <w:rStyle w:val="change"/>
          <w:i/>
          <w:iCs/>
        </w:rPr>
        <w:t>) Subject to paragraph (e), not more than 5 years after the making of the previous local area plan, a planning authority may, as they consider appropriate, by resolution defer the sending of a notice under section 20(3)(a)(i)</w:t>
      </w:r>
      <w:r w:rsidRPr="00DF00CA">
        <w:rPr>
          <w:i/>
          <w:iCs/>
        </w:rPr>
        <w:t> </w:t>
      </w:r>
      <w:r w:rsidRPr="00DF00CA">
        <w:rPr>
          <w:rStyle w:val="change"/>
          <w:i/>
          <w:iCs/>
        </w:rPr>
        <w:t>and publishing a notice under section 20(3)(a)(ii)</w:t>
      </w:r>
      <w:r w:rsidRPr="00DF00CA">
        <w:rPr>
          <w:i/>
          <w:iCs/>
        </w:rPr>
        <w:t> </w:t>
      </w:r>
      <w:r w:rsidRPr="00DF00CA">
        <w:rPr>
          <w:rStyle w:val="change"/>
          <w:i/>
          <w:iCs/>
        </w:rPr>
        <w:t>for a further period not exceeding 5 years.</w:t>
      </w:r>
    </w:p>
    <w:p w14:paraId="2BF03025" w14:textId="77777777" w:rsidR="00AB358A" w:rsidRPr="00DF00CA" w:rsidRDefault="00AB358A" w:rsidP="00E65842">
      <w:pPr>
        <w:pStyle w:val="NormalWeb"/>
        <w:shd w:val="clear" w:color="auto" w:fill="FFFFFF"/>
        <w:spacing w:line="360" w:lineRule="auto"/>
        <w:ind w:left="720"/>
        <w:jc w:val="both"/>
        <w:rPr>
          <w:i/>
          <w:iCs/>
        </w:rPr>
      </w:pPr>
      <w:r w:rsidRPr="00DF00CA">
        <w:rPr>
          <w:rStyle w:val="change"/>
          <w:i/>
          <w:iCs/>
        </w:rPr>
        <w:t>(</w:t>
      </w:r>
      <w:r w:rsidRPr="00DF00CA">
        <w:rPr>
          <w:i/>
          <w:iCs/>
        </w:rPr>
        <w:t> </w:t>
      </w:r>
      <w:r w:rsidRPr="00DF00CA">
        <w:rPr>
          <w:rStyle w:val="change"/>
          <w:i/>
          <w:iCs/>
        </w:rPr>
        <w:t>e</w:t>
      </w:r>
      <w:r w:rsidRPr="00DF00CA">
        <w:rPr>
          <w:i/>
          <w:iCs/>
        </w:rPr>
        <w:t> </w:t>
      </w:r>
      <w:r w:rsidRPr="00DF00CA">
        <w:rPr>
          <w:rStyle w:val="change"/>
          <w:i/>
          <w:iCs/>
        </w:rPr>
        <w:t>) No resolution shall be passed by the planning authority until such time as the members of the authority have:</w:t>
      </w:r>
    </w:p>
    <w:p w14:paraId="3873B3CA" w14:textId="77777777" w:rsidR="00AB358A" w:rsidRPr="00DF00CA" w:rsidRDefault="00AB358A" w:rsidP="00E902F2">
      <w:pPr>
        <w:pStyle w:val="NormalWeb"/>
        <w:shd w:val="clear" w:color="auto" w:fill="FFFFFF"/>
        <w:spacing w:line="360" w:lineRule="auto"/>
        <w:ind w:left="1440"/>
        <w:jc w:val="both"/>
        <w:rPr>
          <w:i/>
          <w:iCs/>
        </w:rPr>
      </w:pPr>
      <w:r w:rsidRPr="00DF00CA">
        <w:rPr>
          <w:rStyle w:val="change"/>
          <w:i/>
          <w:iCs/>
        </w:rPr>
        <w:t>(i) notified the</w:t>
      </w:r>
      <w:r w:rsidR="001F3529" w:rsidRPr="00DF00CA">
        <w:rPr>
          <w:rStyle w:val="change"/>
          <w:i/>
          <w:iCs/>
        </w:rPr>
        <w:t xml:space="preserve"> </w:t>
      </w:r>
      <w:r w:rsidRPr="00DF00CA">
        <w:rPr>
          <w:rStyle w:val="change"/>
          <w:i/>
          <w:iCs/>
        </w:rPr>
        <w:t>chief executive</w:t>
      </w:r>
      <w:r w:rsidRPr="00DF00CA">
        <w:rPr>
          <w:i/>
          <w:iCs/>
        </w:rPr>
        <w:t> </w:t>
      </w:r>
      <w:r w:rsidRPr="00DF00CA">
        <w:rPr>
          <w:rStyle w:val="change"/>
          <w:i/>
          <w:iCs/>
        </w:rPr>
        <w:t>of the decision of the authority to defer the sending and publishing of the notices, giving reasons therefor, and</w:t>
      </w:r>
    </w:p>
    <w:p w14:paraId="49C516A3" w14:textId="77777777" w:rsidR="00AB358A" w:rsidRPr="00DF00CA" w:rsidRDefault="00AB358A" w:rsidP="00E902F2">
      <w:pPr>
        <w:pStyle w:val="NormalWeb"/>
        <w:shd w:val="clear" w:color="auto" w:fill="FFFFFF"/>
        <w:spacing w:line="360" w:lineRule="auto"/>
        <w:ind w:left="1440"/>
        <w:jc w:val="both"/>
        <w:rPr>
          <w:i/>
          <w:iCs/>
        </w:rPr>
      </w:pPr>
      <w:r w:rsidRPr="00DF00CA">
        <w:rPr>
          <w:rStyle w:val="change"/>
          <w:i/>
          <w:iCs/>
        </w:rPr>
        <w:t>(ii) sought and obtained from the chief executive</w:t>
      </w:r>
      <w:r w:rsidRPr="00DF00CA">
        <w:rPr>
          <w:i/>
          <w:iCs/>
        </w:rPr>
        <w:t> </w:t>
      </w:r>
      <w:r w:rsidRPr="00DF00CA">
        <w:rPr>
          <w:rStyle w:val="change"/>
          <w:i/>
          <w:iCs/>
        </w:rPr>
        <w:t>—</w:t>
      </w:r>
    </w:p>
    <w:p w14:paraId="29024548" w14:textId="77777777" w:rsidR="00AB358A" w:rsidRPr="00DF00CA" w:rsidRDefault="00AB358A" w:rsidP="00E902F2">
      <w:pPr>
        <w:pStyle w:val="NormalWeb"/>
        <w:shd w:val="clear" w:color="auto" w:fill="FFFFFF"/>
        <w:spacing w:line="360" w:lineRule="auto"/>
        <w:ind w:left="2160"/>
        <w:jc w:val="both"/>
        <w:rPr>
          <w:i/>
          <w:iCs/>
        </w:rPr>
      </w:pPr>
      <w:r w:rsidRPr="00DF00CA">
        <w:rPr>
          <w:rStyle w:val="change"/>
          <w:i/>
          <w:iCs/>
        </w:rPr>
        <w:t>(I) an opinion that the local area plan remains consistent with the objectives and core strategy of the relevant development plan,</w:t>
      </w:r>
    </w:p>
    <w:p w14:paraId="57289B5E" w14:textId="77777777" w:rsidR="00AB358A" w:rsidRPr="00DF00CA" w:rsidRDefault="00AB358A" w:rsidP="00E902F2">
      <w:pPr>
        <w:pStyle w:val="NormalWeb"/>
        <w:shd w:val="clear" w:color="auto" w:fill="FFFFFF"/>
        <w:spacing w:line="360" w:lineRule="auto"/>
        <w:ind w:left="2160"/>
        <w:jc w:val="both"/>
        <w:rPr>
          <w:i/>
          <w:iCs/>
        </w:rPr>
      </w:pPr>
      <w:r w:rsidRPr="00DF00CA">
        <w:rPr>
          <w:rStyle w:val="change"/>
          <w:i/>
          <w:iCs/>
        </w:rPr>
        <w:t>(II) an opinion that the objectives of the local area plan have not been substantially secured, and</w:t>
      </w:r>
    </w:p>
    <w:p w14:paraId="4BDD588A" w14:textId="77777777" w:rsidR="001F3529" w:rsidRDefault="00AB358A" w:rsidP="00A06FB3">
      <w:pPr>
        <w:pStyle w:val="NormalWeb"/>
        <w:shd w:val="clear" w:color="auto" w:fill="FFFFFF"/>
        <w:spacing w:line="360" w:lineRule="auto"/>
        <w:ind w:left="2160"/>
        <w:jc w:val="both"/>
        <w:rPr>
          <w:rStyle w:val="change"/>
          <w:i/>
          <w:iCs/>
        </w:rPr>
      </w:pPr>
      <w:r w:rsidRPr="00DF00CA">
        <w:rPr>
          <w:rStyle w:val="change"/>
          <w:i/>
          <w:iCs/>
        </w:rPr>
        <w:t>(III) confirmation that the sending and publishing of the notices may be deferred and the period for which they may be deferred.</w:t>
      </w:r>
    </w:p>
    <w:p w14:paraId="059A757C" w14:textId="77777777" w:rsidR="000A1375" w:rsidRPr="00DF00CA" w:rsidRDefault="000A1375" w:rsidP="00E902F2"/>
    <w:p w14:paraId="1199D73D" w14:textId="77777777" w:rsidR="00BB28D5" w:rsidRDefault="00BB28D5" w:rsidP="00B04847">
      <w:pPr>
        <w:pStyle w:val="NormalWeb"/>
        <w:numPr>
          <w:ilvl w:val="0"/>
          <w:numId w:val="1"/>
        </w:numPr>
        <w:shd w:val="clear" w:color="auto" w:fill="FFFFFF"/>
        <w:spacing w:line="360" w:lineRule="auto"/>
        <w:ind w:left="0" w:firstLine="0"/>
        <w:jc w:val="both"/>
        <w:rPr>
          <w:rStyle w:val="change"/>
        </w:rPr>
      </w:pPr>
      <w:r>
        <w:rPr>
          <w:rStyle w:val="change"/>
        </w:rPr>
        <w:t xml:space="preserve">It is clear from s. 19(1)(e) that the </w:t>
      </w:r>
      <w:r w:rsidR="002547DF">
        <w:rPr>
          <w:rStyle w:val="change"/>
        </w:rPr>
        <w:t>local area plan</w:t>
      </w:r>
      <w:r w:rsidR="008C54A9">
        <w:rPr>
          <w:rStyle w:val="change"/>
        </w:rPr>
        <w:t xml:space="preserve"> </w:t>
      </w:r>
      <w:r>
        <w:rPr>
          <w:rStyle w:val="change"/>
        </w:rPr>
        <w:t xml:space="preserve">cannot be lawfully extended absent an opinion from the </w:t>
      </w:r>
      <w:r w:rsidR="008C54A9">
        <w:rPr>
          <w:rStyle w:val="change"/>
        </w:rPr>
        <w:t>c</w:t>
      </w:r>
      <w:r w:rsidR="00705B0E">
        <w:rPr>
          <w:rStyle w:val="change"/>
        </w:rPr>
        <w:t xml:space="preserve">hief </w:t>
      </w:r>
      <w:r w:rsidR="008C54A9">
        <w:rPr>
          <w:rStyle w:val="change"/>
        </w:rPr>
        <w:t>e</w:t>
      </w:r>
      <w:r w:rsidR="00705B0E">
        <w:rPr>
          <w:rStyle w:val="change"/>
        </w:rPr>
        <w:t xml:space="preserve">xecutive </w:t>
      </w:r>
      <w:r>
        <w:rPr>
          <w:rStyle w:val="change"/>
        </w:rPr>
        <w:t xml:space="preserve">of the </w:t>
      </w:r>
      <w:r w:rsidR="00F011F3">
        <w:rPr>
          <w:rStyle w:val="change"/>
        </w:rPr>
        <w:t>respondent</w:t>
      </w:r>
      <w:r>
        <w:rPr>
          <w:rStyle w:val="change"/>
        </w:rPr>
        <w:t xml:space="preserve"> to the effect that the plan remains consistent with the objectives and core strategy of the relevant development plan and that the objectives of the local area plan have not been substantially secured.</w:t>
      </w:r>
    </w:p>
    <w:p w14:paraId="55E2F3AF" w14:textId="77777777" w:rsidR="00B04847" w:rsidRPr="00E902F2" w:rsidRDefault="00B04847" w:rsidP="00E902F2">
      <w:pPr>
        <w:rPr>
          <w:rStyle w:val="change"/>
          <w:sz w:val="16"/>
          <w:szCs w:val="16"/>
        </w:rPr>
      </w:pPr>
    </w:p>
    <w:p w14:paraId="7EAB6713" w14:textId="77777777" w:rsidR="001F3529" w:rsidRPr="00E65842" w:rsidRDefault="001F3529" w:rsidP="00B04847">
      <w:pPr>
        <w:pStyle w:val="NormalWeb"/>
        <w:numPr>
          <w:ilvl w:val="0"/>
          <w:numId w:val="1"/>
        </w:numPr>
        <w:shd w:val="clear" w:color="auto" w:fill="FFFFFF"/>
        <w:spacing w:line="360" w:lineRule="auto"/>
        <w:ind w:left="0" w:firstLine="0"/>
        <w:jc w:val="both"/>
        <w:rPr>
          <w:rStyle w:val="change"/>
        </w:rPr>
      </w:pPr>
      <w:r w:rsidRPr="00E65842">
        <w:rPr>
          <w:rStyle w:val="change"/>
        </w:rPr>
        <w:t>Section 19</w:t>
      </w:r>
      <w:r w:rsidR="00AB358A" w:rsidRPr="00E65842">
        <w:rPr>
          <w:rStyle w:val="change"/>
        </w:rPr>
        <w:t>(2B)</w:t>
      </w:r>
      <w:r w:rsidRPr="00E65842">
        <w:rPr>
          <w:rStyle w:val="change"/>
        </w:rPr>
        <w:t xml:space="preserve"> provides that where any objective of </w:t>
      </w:r>
      <w:r w:rsidR="002547DF">
        <w:rPr>
          <w:rStyle w:val="change"/>
        </w:rPr>
        <w:t>a l</w:t>
      </w:r>
      <w:r w:rsidRPr="00E65842">
        <w:rPr>
          <w:rStyle w:val="change"/>
        </w:rPr>
        <w:t xml:space="preserve">ocal </w:t>
      </w:r>
      <w:r w:rsidR="002547DF">
        <w:rPr>
          <w:rStyle w:val="change"/>
        </w:rPr>
        <w:t>a</w:t>
      </w:r>
      <w:r w:rsidRPr="00E65842">
        <w:rPr>
          <w:rStyle w:val="change"/>
        </w:rPr>
        <w:t xml:space="preserve">rea </w:t>
      </w:r>
      <w:r w:rsidR="002547DF">
        <w:rPr>
          <w:rStyle w:val="change"/>
        </w:rPr>
        <w:t>p</w:t>
      </w:r>
      <w:r w:rsidRPr="00E65842">
        <w:rPr>
          <w:rStyle w:val="change"/>
        </w:rPr>
        <w:t>lan is no longer consistent with the objectives of a development plan</w:t>
      </w:r>
      <w:r w:rsidR="00551F3C">
        <w:rPr>
          <w:rStyle w:val="change"/>
        </w:rPr>
        <w:t xml:space="preserve"> it must be amended</w:t>
      </w:r>
      <w:r w:rsidRPr="00E65842">
        <w:rPr>
          <w:rStyle w:val="change"/>
        </w:rPr>
        <w:t xml:space="preserve"> in the following terms:</w:t>
      </w:r>
      <w:r w:rsidR="00AB358A" w:rsidRPr="00E65842">
        <w:rPr>
          <w:rStyle w:val="change"/>
        </w:rPr>
        <w:t xml:space="preserve"> </w:t>
      </w:r>
    </w:p>
    <w:p w14:paraId="109E3054" w14:textId="77777777" w:rsidR="00705B0E" w:rsidRPr="00E902F2" w:rsidRDefault="00705B0E" w:rsidP="00E902F2">
      <w:pPr>
        <w:rPr>
          <w:rStyle w:val="change"/>
        </w:rPr>
      </w:pPr>
    </w:p>
    <w:p w14:paraId="1FB0B3B3" w14:textId="77777777" w:rsidR="002D34F0" w:rsidRDefault="001F3529" w:rsidP="00B04847">
      <w:pPr>
        <w:pStyle w:val="NormalWeb"/>
        <w:shd w:val="clear" w:color="auto" w:fill="FFFFFF"/>
        <w:spacing w:line="360" w:lineRule="auto"/>
        <w:ind w:left="720"/>
        <w:jc w:val="both"/>
        <w:rPr>
          <w:rStyle w:val="change"/>
          <w:i/>
          <w:iCs/>
        </w:rPr>
      </w:pPr>
      <w:r w:rsidRPr="00DF00CA">
        <w:rPr>
          <w:rStyle w:val="change"/>
          <w:i/>
          <w:iCs/>
        </w:rPr>
        <w:t>“</w:t>
      </w:r>
      <w:r w:rsidR="00AB358A" w:rsidRPr="00DF00CA">
        <w:rPr>
          <w:rStyle w:val="change"/>
          <w:i/>
          <w:iCs/>
        </w:rPr>
        <w:t>Where any objective of a local area plan is no longer consistent with the objectives of a development plan for the area, the planning authority shall as soon as may be (and in any event not later than one year following the making of the development plan) amend the local area plan so that its objectives are consistent with the objectives of the development plan.</w:t>
      </w:r>
    </w:p>
    <w:p w14:paraId="58EAA1CF" w14:textId="77777777" w:rsidR="00705B0E" w:rsidRDefault="00D100F3" w:rsidP="00E902F2">
      <w:pPr>
        <w:numPr>
          <w:ilvl w:val="0"/>
          <w:numId w:val="1"/>
        </w:numPr>
        <w:spacing w:line="360" w:lineRule="auto"/>
        <w:ind w:left="0" w:firstLine="0"/>
        <w:jc w:val="both"/>
      </w:pPr>
      <w:r>
        <w:t xml:space="preserve">Section 20 </w:t>
      </w:r>
      <w:r w:rsidR="00042BFC">
        <w:t xml:space="preserve">of the </w:t>
      </w:r>
      <w:r>
        <w:t>PDA provides for the making of local area plans and the process is subject to public consultation.  It is clear from the hierarchy set out in the PDA that, in the case of a conflict between  a development plan and a local area plan, the local area plan must be amended.  Browne, the Law of Local Government, 2</w:t>
      </w:r>
      <w:r w:rsidRPr="00E902F2">
        <w:rPr>
          <w:vertAlign w:val="superscript"/>
        </w:rPr>
        <w:t>nd</w:t>
      </w:r>
      <w:r>
        <w:t xml:space="preserve"> ed. [</w:t>
      </w:r>
      <w:r w:rsidR="00042BFC">
        <w:t xml:space="preserve">p. </w:t>
      </w:r>
      <w:r>
        <w:t>1-110] explains that:</w:t>
      </w:r>
    </w:p>
    <w:p w14:paraId="3C4E5C7D" w14:textId="77777777" w:rsidR="00D100F3" w:rsidRDefault="00D100F3" w:rsidP="00E902F2">
      <w:pPr>
        <w:spacing w:line="360" w:lineRule="auto"/>
        <w:jc w:val="both"/>
      </w:pPr>
    </w:p>
    <w:p w14:paraId="253EFC88" w14:textId="77777777" w:rsidR="00D100F3" w:rsidRDefault="00D100F3" w:rsidP="00A06FB3">
      <w:pPr>
        <w:spacing w:line="360" w:lineRule="auto"/>
        <w:ind w:left="720"/>
        <w:jc w:val="both"/>
        <w:rPr>
          <w:i/>
          <w:iCs/>
        </w:rPr>
      </w:pPr>
      <w:r w:rsidRPr="00E902F2">
        <w:rPr>
          <w:i/>
          <w:iCs/>
        </w:rPr>
        <w:t>“the LAP is not dependent on the authority’s development plan and provisions of the LAP remain in force, notwithstanding a variation of a development plan or the making of a new development plan”.</w:t>
      </w:r>
    </w:p>
    <w:p w14:paraId="7C6AAE11" w14:textId="77777777" w:rsidR="00641120" w:rsidRPr="00641120" w:rsidRDefault="00641120" w:rsidP="00E902F2"/>
    <w:p w14:paraId="23A4B904" w14:textId="77777777" w:rsidR="00D100F3" w:rsidRPr="00FE3F0A" w:rsidRDefault="00D100F3" w:rsidP="00E902F2"/>
    <w:p w14:paraId="015A853B" w14:textId="77777777" w:rsidR="002D34F0" w:rsidRPr="002D34F0" w:rsidRDefault="002D34F0" w:rsidP="00C31DE7">
      <w:pPr>
        <w:spacing w:line="360" w:lineRule="auto"/>
        <w:jc w:val="both"/>
        <w:rPr>
          <w:rFonts w:eastAsia="Arial Unicode MS"/>
          <w:b/>
        </w:rPr>
      </w:pPr>
      <w:r w:rsidRPr="002D34F0">
        <w:rPr>
          <w:rFonts w:eastAsia="Arial Unicode MS"/>
          <w:b/>
        </w:rPr>
        <w:t>DISCUSSION AND DECISION</w:t>
      </w:r>
    </w:p>
    <w:p w14:paraId="08B5D372" w14:textId="77777777" w:rsidR="0024726B" w:rsidRDefault="0024726B" w:rsidP="00A06FB3">
      <w:pPr>
        <w:spacing w:line="360" w:lineRule="auto"/>
        <w:jc w:val="both"/>
      </w:pPr>
    </w:p>
    <w:p w14:paraId="427D79EE" w14:textId="77777777" w:rsidR="0024726B" w:rsidRDefault="006D58E2" w:rsidP="00E902F2">
      <w:pPr>
        <w:numPr>
          <w:ilvl w:val="0"/>
          <w:numId w:val="1"/>
        </w:numPr>
        <w:spacing w:line="360" w:lineRule="auto"/>
        <w:ind w:left="0" w:firstLine="0"/>
        <w:jc w:val="both"/>
      </w:pPr>
      <w:r>
        <w:t xml:space="preserve">In </w:t>
      </w:r>
      <w:r w:rsidRPr="006402A4">
        <w:rPr>
          <w:i/>
          <w:iCs/>
        </w:rPr>
        <w:t xml:space="preserve">Friends of the Irish Environment Ltd. v. An Bord Pleanala &amp; Ors </w:t>
      </w:r>
      <w:r w:rsidRPr="005D42DA">
        <w:t>[2019] IEHC 80 Simons J. (at para</w:t>
      </w:r>
      <w:r>
        <w:t>s</w:t>
      </w:r>
      <w:r w:rsidRPr="005D42DA">
        <w:t>.</w:t>
      </w:r>
      <w:r>
        <w:t xml:space="preserve"> 79-</w:t>
      </w:r>
      <w:r w:rsidRPr="005D42DA">
        <w:t xml:space="preserve">80) notes that </w:t>
      </w:r>
      <w:r w:rsidR="007D5A2E">
        <w:t xml:space="preserve">there </w:t>
      </w:r>
      <w:r w:rsidRPr="005D42DA">
        <w:t xml:space="preserve">are two alternative bases upon which an application for an extension of </w:t>
      </w:r>
      <w:r w:rsidR="007D5A2E">
        <w:t xml:space="preserve">the </w:t>
      </w:r>
      <w:r w:rsidRPr="005D42DA">
        <w:t xml:space="preserve">duration </w:t>
      </w:r>
      <w:r>
        <w:t xml:space="preserve">of a planning permission </w:t>
      </w:r>
      <w:r w:rsidRPr="005D42DA">
        <w:t>can be made</w:t>
      </w:r>
      <w:r>
        <w:t xml:space="preserve"> and each involves different considerations</w:t>
      </w:r>
      <w:r w:rsidRPr="005D42DA">
        <w:t xml:space="preserve">.  The first is where works have been carried out pursuant to the planning permission during the period sought to be extended and the development will be completed within a reasonable time.  The second is where there </w:t>
      </w:r>
      <w:r>
        <w:t>are</w:t>
      </w:r>
      <w:r w:rsidRPr="005D42DA">
        <w:t xml:space="preserve"> considerations of a commercial, economic or technical nature beyond the control of the applica</w:t>
      </w:r>
      <w:r>
        <w:t>nt</w:t>
      </w:r>
      <w:r w:rsidRPr="005D42DA">
        <w:t xml:space="preserve"> which substantially militated against either the commencement of the development or the carrying out of substantial works pursuant to the planning permission.</w:t>
      </w:r>
      <w:r w:rsidRPr="00984E5E">
        <w:rPr>
          <w:i/>
          <w:iCs/>
        </w:rPr>
        <w:t xml:space="preserve">  </w:t>
      </w:r>
      <w:r w:rsidRPr="005D42DA">
        <w:t xml:space="preserve">Simons J. observed </w:t>
      </w:r>
      <w:r>
        <w:t xml:space="preserve">that in the case of the second basis, there are a number of safeguards built into s. 42 in order to ensure that stale planning permissions do not undermine the evolution of planning policy.  </w:t>
      </w:r>
    </w:p>
    <w:p w14:paraId="62BB89AC" w14:textId="77777777" w:rsidR="009064D6" w:rsidRDefault="009064D6" w:rsidP="00E902F2">
      <w:pPr>
        <w:spacing w:line="360" w:lineRule="auto"/>
        <w:ind w:left="501"/>
        <w:jc w:val="both"/>
      </w:pPr>
    </w:p>
    <w:p w14:paraId="4F9D6459" w14:textId="77777777" w:rsidR="009E6637" w:rsidRDefault="006D58E2" w:rsidP="00E902F2">
      <w:pPr>
        <w:numPr>
          <w:ilvl w:val="0"/>
          <w:numId w:val="1"/>
        </w:numPr>
        <w:spacing w:line="360" w:lineRule="auto"/>
        <w:ind w:left="0" w:firstLine="0"/>
        <w:jc w:val="both"/>
      </w:pPr>
      <w:r>
        <w:t xml:space="preserve">These proceedings arise from the exercise of a discretion to refuse to extend on the second basis having regard to the respondent’s application of one of the safeguards </w:t>
      </w:r>
      <w:r w:rsidR="0024726B">
        <w:t xml:space="preserve">referred to as being directing to ensuring that </w:t>
      </w:r>
      <w:r>
        <w:t>that the extension of a planning permission does not have the effect of undermining a</w:t>
      </w:r>
      <w:r w:rsidR="00E40AEB">
        <w:t>n evolution in planning policy</w:t>
      </w:r>
      <w:r w:rsidR="0024726B">
        <w:t xml:space="preserve"> and turns on the correct interpretation and application of s</w:t>
      </w:r>
      <w:r w:rsidR="007D5A2E">
        <w:t>ection</w:t>
      </w:r>
      <w:r w:rsidR="0024726B">
        <w:t xml:space="preserve"> 42(1)(a)(ii)II</w:t>
      </w:r>
      <w:r w:rsidR="00E40AEB">
        <w:t>.</w:t>
      </w:r>
    </w:p>
    <w:p w14:paraId="641F9481" w14:textId="77777777" w:rsidR="006824B5" w:rsidRDefault="006824B5" w:rsidP="00E902F2">
      <w:pPr>
        <w:pStyle w:val="ListParagraph"/>
      </w:pPr>
    </w:p>
    <w:p w14:paraId="2A910177" w14:textId="77777777" w:rsidR="006824B5" w:rsidRPr="00FE00FF" w:rsidRDefault="006824B5" w:rsidP="006824B5"/>
    <w:p w14:paraId="17F1FB97" w14:textId="77777777" w:rsidR="006824B5" w:rsidRPr="00FE3F0A" w:rsidRDefault="006824B5" w:rsidP="006824B5">
      <w:pPr>
        <w:numPr>
          <w:ilvl w:val="0"/>
          <w:numId w:val="1"/>
        </w:numPr>
        <w:spacing w:line="360" w:lineRule="auto"/>
        <w:ind w:left="0" w:firstLine="0"/>
        <w:jc w:val="both"/>
        <w:rPr>
          <w:rFonts w:eastAsia="Arial Unicode MS"/>
        </w:rPr>
      </w:pPr>
      <w:r>
        <w:t xml:space="preserve">As I understand the respective positions of the parties, the applicant relies on the fact of the extension of the </w:t>
      </w:r>
      <w:r w:rsidR="00BA3CFA">
        <w:t xml:space="preserve">2013 </w:t>
      </w:r>
      <w:r>
        <w:t>LAP to make the case that the change in the Development Plan was not “</w:t>
      </w:r>
      <w:r w:rsidRPr="005D42DA">
        <w:rPr>
          <w:i/>
          <w:iCs/>
        </w:rPr>
        <w:t>significant</w:t>
      </w:r>
      <w:r>
        <w:t>” as the respondent has extended the</w:t>
      </w:r>
      <w:r w:rsidR="00BA3CFA">
        <w:t xml:space="preserve"> 2013</w:t>
      </w:r>
      <w:r>
        <w:t xml:space="preserve"> LAP containing the objective being satisfied that it is consistent with the 2023 Development Plan.  On the other hand, the respondent does not resile for the view that the LAP (as extended) is consistent with the 2023 Development Plan but its position is that the local objective 4 is no longer included in the 2013 LAP as extended by reason of s. 18(4)(b) of the PDA because it conflicts with the development objectives in the 2023 Development Plan.  </w:t>
      </w:r>
    </w:p>
    <w:p w14:paraId="394D7CAA" w14:textId="77777777" w:rsidR="006824B5" w:rsidRDefault="006824B5" w:rsidP="006824B5">
      <w:pPr>
        <w:spacing w:line="360" w:lineRule="auto"/>
        <w:jc w:val="both"/>
        <w:rPr>
          <w:rFonts w:eastAsia="Arial Unicode MS"/>
        </w:rPr>
      </w:pPr>
    </w:p>
    <w:p w14:paraId="6CB4510F" w14:textId="77777777" w:rsidR="006824B5" w:rsidRDefault="006824B5" w:rsidP="006824B5">
      <w:pPr>
        <w:numPr>
          <w:ilvl w:val="0"/>
          <w:numId w:val="1"/>
        </w:numPr>
        <w:spacing w:line="360" w:lineRule="auto"/>
        <w:ind w:left="0" w:firstLine="0"/>
        <w:jc w:val="both"/>
        <w:rPr>
          <w:rFonts w:eastAsia="Arial Unicode MS"/>
        </w:rPr>
      </w:pPr>
      <w:r w:rsidRPr="00AD0587">
        <w:rPr>
          <w:rFonts w:eastAsia="Arial Unicode MS"/>
        </w:rPr>
        <w:t xml:space="preserve">The primary issue for this Court to determine </w:t>
      </w:r>
      <w:r>
        <w:rPr>
          <w:rFonts w:eastAsia="Arial Unicode MS"/>
        </w:rPr>
        <w:t xml:space="preserve">is </w:t>
      </w:r>
      <w:r w:rsidRPr="00AD0587">
        <w:rPr>
          <w:rFonts w:eastAsia="Arial Unicode MS"/>
        </w:rPr>
        <w:t xml:space="preserve">whether the </w:t>
      </w:r>
      <w:r>
        <w:rPr>
          <w:rFonts w:eastAsia="Arial Unicode MS"/>
        </w:rPr>
        <w:t>respondent</w:t>
      </w:r>
      <w:r w:rsidRPr="00AD0587">
        <w:rPr>
          <w:rFonts w:eastAsia="Arial Unicode MS"/>
        </w:rPr>
        <w:t xml:space="preserve"> is correct in </w:t>
      </w:r>
      <w:r>
        <w:rPr>
          <w:rFonts w:eastAsia="Arial Unicode MS"/>
        </w:rPr>
        <w:t xml:space="preserve">adopting the position </w:t>
      </w:r>
      <w:r w:rsidRPr="00AD0587">
        <w:rPr>
          <w:rFonts w:eastAsia="Arial Unicode MS"/>
        </w:rPr>
        <w:t xml:space="preserve">that it was precluded from considering anything other than the development objectives identified in the </w:t>
      </w:r>
      <w:r>
        <w:rPr>
          <w:rFonts w:eastAsia="Arial Unicode MS"/>
        </w:rPr>
        <w:t xml:space="preserve">Fingal </w:t>
      </w:r>
      <w:r w:rsidRPr="00AD0587">
        <w:rPr>
          <w:rFonts w:eastAsia="Arial Unicode MS"/>
        </w:rPr>
        <w:t xml:space="preserve">Development Plan when deciding on </w:t>
      </w:r>
      <w:r>
        <w:rPr>
          <w:rFonts w:eastAsia="Arial Unicode MS"/>
        </w:rPr>
        <w:t xml:space="preserve">whether there has been a significant change to development objectives under the Development Plan on </w:t>
      </w:r>
      <w:r w:rsidRPr="00AD0587">
        <w:rPr>
          <w:rFonts w:eastAsia="Arial Unicode MS"/>
        </w:rPr>
        <w:t xml:space="preserve">an application under </w:t>
      </w:r>
      <w:r>
        <w:rPr>
          <w:rFonts w:eastAsia="Arial Unicode MS"/>
        </w:rPr>
        <w:t>s.</w:t>
      </w:r>
      <w:r w:rsidRPr="00AD0587">
        <w:rPr>
          <w:rFonts w:eastAsia="Arial Unicode MS"/>
        </w:rPr>
        <w:t xml:space="preserve"> 42(1)(a)(ii) as contended</w:t>
      </w:r>
      <w:r>
        <w:rPr>
          <w:rFonts w:eastAsia="Arial Unicode MS"/>
        </w:rPr>
        <w:t xml:space="preserve"> by</w:t>
      </w:r>
      <w:r w:rsidRPr="00AD0587">
        <w:rPr>
          <w:rFonts w:eastAsia="Arial Unicode MS"/>
        </w:rPr>
        <w:t xml:space="preserve"> the </w:t>
      </w:r>
      <w:r>
        <w:rPr>
          <w:rFonts w:eastAsia="Arial Unicode MS"/>
        </w:rPr>
        <w:t>respondent</w:t>
      </w:r>
      <w:r w:rsidRPr="00AD0587">
        <w:rPr>
          <w:rFonts w:eastAsia="Arial Unicode MS"/>
        </w:rPr>
        <w:t xml:space="preserve">. </w:t>
      </w:r>
    </w:p>
    <w:p w14:paraId="5C969B57" w14:textId="77777777" w:rsidR="006824B5" w:rsidRDefault="006824B5" w:rsidP="00E902F2">
      <w:pPr>
        <w:pStyle w:val="ListParagraph"/>
        <w:rPr>
          <w:rFonts w:eastAsia="Arial Unicode MS"/>
        </w:rPr>
      </w:pPr>
    </w:p>
    <w:p w14:paraId="18D25238" w14:textId="77777777" w:rsidR="006824B5" w:rsidRDefault="006824B5" w:rsidP="006824B5">
      <w:pPr>
        <w:numPr>
          <w:ilvl w:val="0"/>
          <w:numId w:val="1"/>
        </w:numPr>
        <w:spacing w:line="360" w:lineRule="auto"/>
        <w:ind w:left="0" w:firstLine="0"/>
        <w:jc w:val="both"/>
        <w:rPr>
          <w:rFonts w:eastAsia="Arial Unicode MS"/>
        </w:rPr>
      </w:pPr>
      <w:r w:rsidRPr="00AD0587">
        <w:rPr>
          <w:rFonts w:eastAsia="Arial Unicode MS"/>
        </w:rPr>
        <w:t xml:space="preserve">If the </w:t>
      </w:r>
      <w:r>
        <w:rPr>
          <w:rFonts w:eastAsia="Arial Unicode MS"/>
        </w:rPr>
        <w:t>respondent</w:t>
      </w:r>
      <w:r w:rsidRPr="00AD0587">
        <w:rPr>
          <w:rFonts w:eastAsia="Arial Unicode MS"/>
        </w:rPr>
        <w:t xml:space="preserve"> is correct in its interpretation, this is dispositive of the contention that there has been a failure to have regard to relevant considerations in failing to take account of the </w:t>
      </w:r>
      <w:r>
        <w:rPr>
          <w:rFonts w:eastAsia="Arial Unicode MS"/>
        </w:rPr>
        <w:t xml:space="preserve">2013 </w:t>
      </w:r>
      <w:r w:rsidRPr="00AD0587">
        <w:rPr>
          <w:rFonts w:eastAsia="Arial Unicode MS"/>
        </w:rPr>
        <w:t xml:space="preserve">LAP (as extended) in deciding whether there had been a significant change </w:t>
      </w:r>
      <w:r w:rsidRPr="00951FB7">
        <w:t>in the development objectives in the development plan such that the development would no longer be consistent with the proper planning and sustainable development of the area</w:t>
      </w:r>
      <w:r w:rsidRPr="00AD0587">
        <w:rPr>
          <w:i/>
          <w:iCs/>
        </w:rPr>
        <w:t xml:space="preserve"> </w:t>
      </w:r>
      <w:r w:rsidRPr="00AD0587">
        <w:rPr>
          <w:rFonts w:eastAsia="Arial Unicode MS"/>
        </w:rPr>
        <w:t xml:space="preserve">and is also material to the contention that there has been a breach of the requirements of fair procedures in failing to afford the </w:t>
      </w:r>
      <w:r>
        <w:rPr>
          <w:rFonts w:eastAsia="Arial Unicode MS"/>
        </w:rPr>
        <w:t>applicant</w:t>
      </w:r>
      <w:r w:rsidRPr="00AD0587">
        <w:rPr>
          <w:rFonts w:eastAsia="Arial Unicode MS"/>
        </w:rPr>
        <w:t xml:space="preserve"> an opportunity to make submissions addressed to a perceived error in the </w:t>
      </w:r>
      <w:r>
        <w:rPr>
          <w:rFonts w:eastAsia="Arial Unicode MS"/>
        </w:rPr>
        <w:t>respondent</w:t>
      </w:r>
      <w:r w:rsidRPr="00AD0587">
        <w:rPr>
          <w:rFonts w:eastAsia="Arial Unicode MS"/>
        </w:rPr>
        <w:t xml:space="preserve">’s consideration of the application.  </w:t>
      </w:r>
    </w:p>
    <w:p w14:paraId="57A8DA40" w14:textId="77777777" w:rsidR="006824B5" w:rsidRDefault="006824B5" w:rsidP="00E902F2">
      <w:pPr>
        <w:pStyle w:val="ListParagraph"/>
        <w:rPr>
          <w:rFonts w:eastAsia="Arial Unicode MS"/>
        </w:rPr>
      </w:pPr>
    </w:p>
    <w:p w14:paraId="03C9B407" w14:textId="77777777" w:rsidR="006824B5" w:rsidRPr="00AD0587" w:rsidRDefault="006824B5" w:rsidP="006824B5">
      <w:pPr>
        <w:numPr>
          <w:ilvl w:val="0"/>
          <w:numId w:val="1"/>
        </w:numPr>
        <w:spacing w:line="360" w:lineRule="auto"/>
        <w:ind w:left="0" w:firstLine="0"/>
        <w:jc w:val="both"/>
        <w:rPr>
          <w:rFonts w:eastAsia="Arial Unicode MS"/>
        </w:rPr>
      </w:pPr>
      <w:r>
        <w:rPr>
          <w:rFonts w:eastAsia="Arial Unicode MS"/>
        </w:rPr>
        <w:t>On the other hand, if s. 42(1)(a)(ii) permits the development objectives identified in the Development Plan and the significance of any change thereto to be construed as to in the light of the applicable local area plan, then the issues of failure to have regard to relevant considerations and compliance with the requirements of fair procedures are properly engaged.</w:t>
      </w:r>
    </w:p>
    <w:p w14:paraId="6C0C1DCC" w14:textId="77777777" w:rsidR="006D58E2" w:rsidRDefault="006D58E2" w:rsidP="00E902F2">
      <w:pPr>
        <w:rPr>
          <w:rFonts w:eastAsia="Arial Unicode MS"/>
        </w:rPr>
      </w:pPr>
    </w:p>
    <w:p w14:paraId="27E01039" w14:textId="77777777" w:rsidR="00F03782" w:rsidRPr="00E902F2" w:rsidRDefault="00F03782" w:rsidP="00C31DE7">
      <w:pPr>
        <w:spacing w:line="360" w:lineRule="auto"/>
        <w:jc w:val="both"/>
        <w:rPr>
          <w:rFonts w:eastAsia="Arial Unicode MS"/>
          <w:i/>
          <w:iCs/>
          <w:u w:val="single"/>
        </w:rPr>
      </w:pPr>
      <w:r w:rsidRPr="00E902F2">
        <w:rPr>
          <w:rFonts w:eastAsia="Arial Unicode MS"/>
          <w:i/>
          <w:iCs/>
          <w:u w:val="single"/>
        </w:rPr>
        <w:t>Error of Law as to Jurisdiction under Section 42(1)(a)(ii)</w:t>
      </w:r>
      <w:r w:rsidR="0024726B">
        <w:rPr>
          <w:rFonts w:eastAsia="Arial Unicode MS"/>
          <w:i/>
          <w:iCs/>
          <w:u w:val="single"/>
        </w:rPr>
        <w:t>II</w:t>
      </w:r>
      <w:r w:rsidRPr="00E902F2">
        <w:rPr>
          <w:rFonts w:eastAsia="Arial Unicode MS"/>
          <w:i/>
          <w:iCs/>
          <w:u w:val="single"/>
        </w:rPr>
        <w:t xml:space="preserve"> PDA</w:t>
      </w:r>
    </w:p>
    <w:p w14:paraId="59DB30F3" w14:textId="77777777" w:rsidR="003C745E" w:rsidRDefault="003C745E" w:rsidP="003C745E">
      <w:pPr>
        <w:spacing w:line="360" w:lineRule="auto"/>
        <w:jc w:val="both"/>
        <w:rPr>
          <w:rFonts w:eastAsia="Arial Unicode MS"/>
        </w:rPr>
      </w:pPr>
    </w:p>
    <w:p w14:paraId="48F1B6BD" w14:textId="77777777" w:rsidR="00FE3F0A" w:rsidRDefault="003C745E" w:rsidP="00B04847">
      <w:pPr>
        <w:pStyle w:val="ListParagraph"/>
        <w:numPr>
          <w:ilvl w:val="0"/>
          <w:numId w:val="1"/>
        </w:numPr>
        <w:spacing w:after="240" w:line="360" w:lineRule="auto"/>
        <w:ind w:left="0" w:firstLine="0"/>
        <w:jc w:val="both"/>
      </w:pPr>
      <w:r>
        <w:t xml:space="preserve">The </w:t>
      </w:r>
      <w:r w:rsidR="00F011F3">
        <w:t>applicant</w:t>
      </w:r>
      <w:r>
        <w:t xml:space="preserve"> contends that SLO 469 continues to apply to the subject site </w:t>
      </w:r>
      <w:r w:rsidR="00AD0587">
        <w:t xml:space="preserve">as a development objective </w:t>
      </w:r>
      <w:r>
        <w:t>by reason of having been incorporated in the</w:t>
      </w:r>
      <w:r w:rsidR="002547DF">
        <w:t xml:space="preserve"> 2013 LAP (as extended)</w:t>
      </w:r>
      <w:r>
        <w:t xml:space="preserve">. The </w:t>
      </w:r>
      <w:r w:rsidR="00F011F3">
        <w:t>respondent</w:t>
      </w:r>
      <w:r>
        <w:t xml:space="preserve"> maintains that </w:t>
      </w:r>
      <w:r w:rsidR="00AD0587">
        <w:t>this development objective</w:t>
      </w:r>
      <w:r>
        <w:t xml:space="preserve"> did not survive the removal of SLO 469 from the </w:t>
      </w:r>
      <w:r w:rsidR="000C556C">
        <w:t xml:space="preserve">2023 </w:t>
      </w:r>
      <w:r w:rsidR="00AD0587">
        <w:t xml:space="preserve"> </w:t>
      </w:r>
      <w:r>
        <w:t>Development</w:t>
      </w:r>
      <w:r w:rsidR="00AD0587">
        <w:t xml:space="preserve"> Plan</w:t>
      </w:r>
      <w:r w:rsidR="000C556C">
        <w:t xml:space="preserve"> </w:t>
      </w:r>
      <w:r>
        <w:t xml:space="preserve">on the basis that its inclusion in the </w:t>
      </w:r>
      <w:r w:rsidR="002547DF">
        <w:t xml:space="preserve">2013 </w:t>
      </w:r>
      <w:r>
        <w:t xml:space="preserve">LAP was dependent on its existence as an </w:t>
      </w:r>
      <w:r w:rsidR="00AD0587">
        <w:t>specific local objective</w:t>
      </w:r>
      <w:r>
        <w:t xml:space="preserve"> in the </w:t>
      </w:r>
      <w:r w:rsidR="002547DF">
        <w:t>D</w:t>
      </w:r>
      <w:r>
        <w:t xml:space="preserve">evelopment </w:t>
      </w:r>
      <w:r w:rsidR="002547DF">
        <w:t>P</w:t>
      </w:r>
      <w:r>
        <w:t>lan</w:t>
      </w:r>
      <w:r w:rsidR="00AD0587">
        <w:t xml:space="preserve"> and it was not carried over on the extension of the </w:t>
      </w:r>
      <w:r w:rsidR="002547DF">
        <w:t xml:space="preserve">2013 </w:t>
      </w:r>
      <w:r w:rsidR="00AD0587">
        <w:t xml:space="preserve">LAP where it was no longer contained in the </w:t>
      </w:r>
      <w:r w:rsidR="002547DF">
        <w:t>2023 D</w:t>
      </w:r>
      <w:r w:rsidR="00AD0587">
        <w:t xml:space="preserve">evelopment </w:t>
      </w:r>
      <w:r w:rsidR="002547DF">
        <w:t>P</w:t>
      </w:r>
      <w:r w:rsidR="00AD0587">
        <w:t>lan.</w:t>
      </w:r>
      <w:r w:rsidR="00FE3F0A">
        <w:t xml:space="preserve">  In this case, as set out above, the</w:t>
      </w:r>
      <w:r w:rsidR="00FE3F0A" w:rsidRPr="00FE00FF">
        <w:t xml:space="preserve"> extension of the </w:t>
      </w:r>
      <w:r w:rsidR="00FE3F0A">
        <w:t>LAP</w:t>
      </w:r>
      <w:r w:rsidR="00FE3F0A" w:rsidRPr="00FE00FF">
        <w:t xml:space="preserve"> was approved by the </w:t>
      </w:r>
      <w:r w:rsidR="00F011F3">
        <w:t>respondent</w:t>
      </w:r>
      <w:r w:rsidR="00FE3F0A" w:rsidRPr="00FE00FF">
        <w:t xml:space="preserve"> following the </w:t>
      </w:r>
      <w:r w:rsidR="000C556C">
        <w:t>c</w:t>
      </w:r>
      <w:r w:rsidR="00FE3F0A" w:rsidRPr="00FE00FF">
        <w:t>hief</w:t>
      </w:r>
      <w:r w:rsidR="000C556C">
        <w:t xml:space="preserve"> e</w:t>
      </w:r>
      <w:r w:rsidR="00FE3F0A" w:rsidRPr="00FE00FF">
        <w:t xml:space="preserve">xecutive’s </w:t>
      </w:r>
      <w:r w:rsidR="000C556C">
        <w:t>r</w:t>
      </w:r>
      <w:r w:rsidR="00FE3F0A" w:rsidRPr="00FE00FF">
        <w:t xml:space="preserve">eport, which states that in the </w:t>
      </w:r>
      <w:r w:rsidR="000C556C">
        <w:t>c</w:t>
      </w:r>
      <w:r w:rsidR="00FE3F0A" w:rsidRPr="00FE00FF">
        <w:t xml:space="preserve">hief </w:t>
      </w:r>
      <w:r w:rsidR="000C556C">
        <w:t>e</w:t>
      </w:r>
      <w:r w:rsidR="00FE3F0A" w:rsidRPr="00FE00FF">
        <w:t>xecutive’s opinion:</w:t>
      </w:r>
    </w:p>
    <w:p w14:paraId="7BFC500A" w14:textId="77777777" w:rsidR="00AC1BE1" w:rsidRDefault="00AC1BE1" w:rsidP="00E902F2"/>
    <w:p w14:paraId="1997989B" w14:textId="77777777" w:rsidR="00FE3F0A" w:rsidRDefault="00FE3F0A" w:rsidP="00FE3F0A">
      <w:pPr>
        <w:pStyle w:val="ListParagraph"/>
        <w:spacing w:after="240" w:line="360" w:lineRule="auto"/>
        <w:jc w:val="both"/>
        <w:rPr>
          <w:i/>
          <w:iCs/>
        </w:rPr>
      </w:pPr>
      <w:r w:rsidRPr="00FE00FF">
        <w:rPr>
          <w:i/>
          <w:iCs/>
        </w:rPr>
        <w:t>"The Baldoyle-Stapolin LAP 2013 remains consistent with the objectives and Core Strategy of the Fingal Development Plan 2017-2023".</w:t>
      </w:r>
    </w:p>
    <w:p w14:paraId="67C62748" w14:textId="77777777" w:rsidR="00042CA4" w:rsidRDefault="00042CA4" w:rsidP="00E902F2"/>
    <w:p w14:paraId="37DDDF1B" w14:textId="77777777" w:rsidR="00D2584E" w:rsidRPr="00E902F2" w:rsidRDefault="00D2584E" w:rsidP="00B04847">
      <w:pPr>
        <w:pStyle w:val="ListParagraph"/>
        <w:numPr>
          <w:ilvl w:val="0"/>
          <w:numId w:val="1"/>
        </w:numPr>
        <w:spacing w:after="240" w:line="360" w:lineRule="auto"/>
        <w:ind w:left="0" w:firstLine="0"/>
        <w:jc w:val="both"/>
        <w:rPr>
          <w:b/>
          <w:bCs/>
          <w:u w:val="single"/>
        </w:rPr>
      </w:pPr>
      <w:r w:rsidRPr="00FE00FF">
        <w:t xml:space="preserve">Section 42(1) is mandatory in its terms, stating that a planning authority </w:t>
      </w:r>
      <w:r w:rsidR="00992A94">
        <w:t>“</w:t>
      </w:r>
      <w:r w:rsidRPr="00FE00FF">
        <w:rPr>
          <w:i/>
          <w:iCs/>
        </w:rPr>
        <w:t>shall</w:t>
      </w:r>
      <w:r w:rsidR="00992A94">
        <w:rPr>
          <w:i/>
          <w:iCs/>
        </w:rPr>
        <w:t>”</w:t>
      </w:r>
      <w:r w:rsidRPr="00FE00FF">
        <w:t xml:space="preserve"> extend the appropriate period provided the listed requirements are complied with. </w:t>
      </w:r>
      <w:r w:rsidRPr="00E57ED8">
        <w:rPr>
          <w:i/>
          <w:iCs/>
          <w:lang w:val="en-US"/>
        </w:rPr>
        <w:t>Simons on Planning Law</w:t>
      </w:r>
      <w:r w:rsidRPr="00FE00FF">
        <w:rPr>
          <w:lang w:val="en-US"/>
        </w:rPr>
        <w:t xml:space="preserve"> (3</w:t>
      </w:r>
      <w:r w:rsidRPr="00FE00FF">
        <w:rPr>
          <w:vertAlign w:val="superscript"/>
          <w:lang w:val="en-US"/>
        </w:rPr>
        <w:t>rd</w:t>
      </w:r>
      <w:r w:rsidRPr="00FE00FF">
        <w:rPr>
          <w:lang w:val="en-US"/>
        </w:rPr>
        <w:t xml:space="preserve"> </w:t>
      </w:r>
      <w:r>
        <w:rPr>
          <w:lang w:val="en-US"/>
        </w:rPr>
        <w:t>ed.</w:t>
      </w:r>
      <w:r w:rsidRPr="00FE00FF">
        <w:rPr>
          <w:lang w:val="en-US"/>
        </w:rPr>
        <w:t xml:space="preserve">) at </w:t>
      </w:r>
      <w:r w:rsidR="00746441">
        <w:rPr>
          <w:lang w:val="en-US"/>
        </w:rPr>
        <w:t xml:space="preserve">p. </w:t>
      </w:r>
      <w:r w:rsidRPr="00FE00FF">
        <w:rPr>
          <w:lang w:val="en-US"/>
        </w:rPr>
        <w:t>5-196</w:t>
      </w:r>
      <w:r w:rsidRPr="00FE00FF">
        <w:t xml:space="preserve"> states that:</w:t>
      </w:r>
    </w:p>
    <w:p w14:paraId="55C4E281" w14:textId="77777777" w:rsidR="00992A94" w:rsidRPr="00FE00FF" w:rsidRDefault="00992A94" w:rsidP="00E902F2"/>
    <w:p w14:paraId="7D324494" w14:textId="77777777" w:rsidR="00D2584E" w:rsidRPr="00FE00FF" w:rsidRDefault="00D2584E" w:rsidP="00B04847">
      <w:pPr>
        <w:pStyle w:val="ListParagraph"/>
        <w:spacing w:after="240" w:line="360" w:lineRule="auto"/>
        <w:jc w:val="both"/>
      </w:pPr>
      <w:r>
        <w:rPr>
          <w:i/>
          <w:iCs/>
        </w:rPr>
        <w:t>“</w:t>
      </w:r>
      <w:r w:rsidRPr="00FE00FF">
        <w:rPr>
          <w:i/>
          <w:iCs/>
        </w:rPr>
        <w:t>The wording of s.42 suggests that a planning authority has very little discretion in relation to its decision as to whether or not to extend the life of a planning permission. In particular, it would seem - by analogy with judgements in respect of the equivalent provisions of the previous legislation - that once the relevant statutory conditions have been fulfilled, the planning authority has no choice but to grant the extension</w:t>
      </w:r>
      <w:r w:rsidRPr="00FE00FF">
        <w:t>.</w:t>
      </w:r>
      <w:r>
        <w:t>”</w:t>
      </w:r>
    </w:p>
    <w:p w14:paraId="0C7DDA2E" w14:textId="77777777" w:rsidR="00D2584E" w:rsidRPr="00FE00FF" w:rsidRDefault="00E33836" w:rsidP="00B04847">
      <w:pPr>
        <w:pStyle w:val="ListParagraph"/>
        <w:spacing w:after="240" w:line="360" w:lineRule="auto"/>
        <w:ind w:left="0"/>
        <w:contextualSpacing/>
        <w:jc w:val="both"/>
        <w:rPr>
          <w:i/>
          <w:iCs/>
          <w:lang w:val="en-US"/>
        </w:rPr>
      </w:pPr>
      <w:r w:rsidRPr="00E902F2">
        <w:rPr>
          <w:b/>
          <w:bCs/>
        </w:rPr>
        <w:t>50</w:t>
      </w:r>
      <w:r w:rsidR="00E65842" w:rsidRPr="00E902F2">
        <w:rPr>
          <w:b/>
          <w:bCs/>
        </w:rPr>
        <w:t>.</w:t>
      </w:r>
      <w:r>
        <w:t xml:space="preserve"> </w:t>
      </w:r>
      <w:r w:rsidR="00E65842">
        <w:tab/>
      </w:r>
      <w:r w:rsidR="00D2584E">
        <w:t>The</w:t>
      </w:r>
      <w:r w:rsidR="00D2584E" w:rsidRPr="00FE00FF">
        <w:t xml:space="preserve"> mandatory nature of </w:t>
      </w:r>
      <w:r>
        <w:t>s.</w:t>
      </w:r>
      <w:r w:rsidRPr="00FE00FF">
        <w:t xml:space="preserve"> </w:t>
      </w:r>
      <w:r w:rsidR="00D2584E" w:rsidRPr="00FE00FF">
        <w:t>42(1)</w:t>
      </w:r>
      <w:r w:rsidR="00D2584E">
        <w:t xml:space="preserve"> is apparent from </w:t>
      </w:r>
      <w:r w:rsidR="00D2584E" w:rsidRPr="00E57ED8">
        <w:rPr>
          <w:i/>
          <w:iCs/>
        </w:rPr>
        <w:t>State (McCoy) v Dun Laoghaire Corporation</w:t>
      </w:r>
      <w:r w:rsidR="00D2584E">
        <w:t xml:space="preserve"> [1985] ILRM 533 and was confirmed </w:t>
      </w:r>
      <w:r w:rsidR="00D2584E" w:rsidRPr="00FE00FF">
        <w:t xml:space="preserve">in </w:t>
      </w:r>
      <w:r w:rsidR="00D2584E" w:rsidRPr="00FE00FF">
        <w:rPr>
          <w:i/>
          <w:iCs/>
        </w:rPr>
        <w:t>Merriman v Fingal County Council,</w:t>
      </w:r>
      <w:r w:rsidR="00D2584E" w:rsidRPr="00FE00FF">
        <w:rPr>
          <w:i/>
          <w:iCs/>
          <w:lang w:val="en-US"/>
        </w:rPr>
        <w:t xml:space="preserve"> </w:t>
      </w:r>
      <w:r w:rsidR="00D2584E" w:rsidRPr="00FE00FF">
        <w:rPr>
          <w:lang w:val="en-US"/>
        </w:rPr>
        <w:t>[2017] IEHC 695</w:t>
      </w:r>
      <w:r w:rsidR="00D2584E">
        <w:rPr>
          <w:lang w:val="en-US"/>
        </w:rPr>
        <w:t xml:space="preserve"> at [50], where Barrett J</w:t>
      </w:r>
      <w:r>
        <w:rPr>
          <w:lang w:val="en-US"/>
        </w:rPr>
        <w:t>.</w:t>
      </w:r>
      <w:r w:rsidR="00D2584E">
        <w:rPr>
          <w:lang w:val="en-US"/>
        </w:rPr>
        <w:t xml:space="preserve"> summari</w:t>
      </w:r>
      <w:r>
        <w:rPr>
          <w:lang w:val="en-US"/>
        </w:rPr>
        <w:t>s</w:t>
      </w:r>
      <w:r w:rsidR="00D2584E">
        <w:rPr>
          <w:lang w:val="en-US"/>
        </w:rPr>
        <w:t>ed the applicable principles as follows</w:t>
      </w:r>
      <w:r>
        <w:rPr>
          <w:lang w:val="en-US"/>
        </w:rPr>
        <w:t xml:space="preserve"> (para. 50)</w:t>
      </w:r>
      <w:r w:rsidR="00D2584E">
        <w:rPr>
          <w:lang w:val="en-US"/>
        </w:rPr>
        <w:t xml:space="preserve">: </w:t>
      </w:r>
    </w:p>
    <w:p w14:paraId="5327C64A" w14:textId="77777777" w:rsidR="00D2584E" w:rsidRPr="00FE00FF" w:rsidRDefault="00D2584E" w:rsidP="00B04847">
      <w:pPr>
        <w:spacing w:after="240" w:line="360" w:lineRule="auto"/>
        <w:ind w:left="720"/>
        <w:jc w:val="both"/>
        <w:rPr>
          <w:i/>
          <w:iCs/>
        </w:rPr>
      </w:pPr>
      <w:r w:rsidRPr="00FE00FF">
        <w:rPr>
          <w:i/>
          <w:iCs/>
        </w:rPr>
        <w:t>(1) the administrative or mandatory nature of the function being exercised by a planning authority pursuant to s.42 reflects the fact that s.42 provides merely for the extension of the duration of a planning permission which has been granted in accordance with the provisions of PADA, i.e. pursuant to a statutory decision-making procedure, which entails full rights of participation and the exercise by an expert decision-maker of discretion and planning judgment in determining whether a particular development is in accordance with the proper planning and sustainable development of the area concerned.</w:t>
      </w:r>
    </w:p>
    <w:p w14:paraId="37EEEBD6" w14:textId="77777777" w:rsidR="00D2584E" w:rsidRPr="00FE00FF" w:rsidRDefault="00D2584E" w:rsidP="00B04847">
      <w:pPr>
        <w:spacing w:after="240" w:line="360" w:lineRule="auto"/>
        <w:ind w:left="720"/>
        <w:jc w:val="both"/>
        <w:rPr>
          <w:i/>
          <w:iCs/>
        </w:rPr>
      </w:pPr>
      <w:r w:rsidRPr="00FE00FF">
        <w:rPr>
          <w:i/>
          <w:iCs/>
        </w:rPr>
        <w:t>(2) section 42 does not allow a planning authority to interfere with the conditions of a planning permission. Nor does it allow a planning authority to extend the scope or extent of what is to be constructed under a planning permission</w:t>
      </w:r>
      <w:r>
        <w:rPr>
          <w:i/>
          <w:iCs/>
        </w:rPr>
        <w:t>…</w:t>
      </w:r>
    </w:p>
    <w:p w14:paraId="63DA3A3F" w14:textId="77777777" w:rsidR="00D2584E" w:rsidRPr="00FE00FF" w:rsidRDefault="00D2584E" w:rsidP="00B04847">
      <w:pPr>
        <w:spacing w:after="240" w:line="360" w:lineRule="auto"/>
        <w:ind w:left="720"/>
        <w:jc w:val="both"/>
        <w:rPr>
          <w:i/>
          <w:iCs/>
        </w:rPr>
      </w:pPr>
      <w:r w:rsidRPr="00FE00FF">
        <w:rPr>
          <w:i/>
          <w:iCs/>
        </w:rPr>
        <w:t>(3) section 42(1) provides that ' On application to it in that behalf a planning authority </w:t>
      </w:r>
      <w:r w:rsidRPr="00FE00FF">
        <w:rPr>
          <w:b/>
          <w:bCs/>
          <w:i/>
          <w:iCs/>
        </w:rPr>
        <w:t>shall</w:t>
      </w:r>
      <w:r w:rsidRPr="00FE00FF">
        <w:rPr>
          <w:i/>
          <w:iCs/>
        </w:rPr>
        <w:t>...' [emphasis added], so a planning authority is being mandated to do something in the event that certain circumstances present.</w:t>
      </w:r>
    </w:p>
    <w:p w14:paraId="45F963FE" w14:textId="77777777" w:rsidR="00D2584E" w:rsidRPr="00FE00FF" w:rsidRDefault="00D2584E" w:rsidP="00B04847">
      <w:pPr>
        <w:spacing w:after="240" w:line="360" w:lineRule="auto"/>
        <w:ind w:left="720"/>
        <w:jc w:val="both"/>
        <w:rPr>
          <w:i/>
          <w:iCs/>
        </w:rPr>
      </w:pPr>
      <w:r w:rsidRPr="00FE00FF">
        <w:rPr>
          <w:i/>
          <w:iCs/>
        </w:rPr>
        <w:t xml:space="preserve">(4) unlike s.4(1) of the Local Government (Planning and Development) Act 1982, a legislative forerunner of s.42 that was the subject of consideration </w:t>
      </w:r>
      <w:r w:rsidRPr="00E83F49">
        <w:rPr>
          <w:i/>
          <w:iCs/>
        </w:rPr>
        <w:t>in </w:t>
      </w:r>
      <w:hyperlink r:id="rId8" w:history="1">
        <w:r w:rsidRPr="00E902F2">
          <w:rPr>
            <w:rStyle w:val="Hyperlink"/>
            <w:rFonts w:eastAsia="Calibri"/>
            <w:i/>
            <w:iCs/>
            <w:color w:val="auto"/>
          </w:rPr>
          <w:t>State (McCoy) v. Corporation of Dún Laoghaire</w:t>
        </w:r>
      </w:hyperlink>
      <w:r w:rsidRPr="00E83F49">
        <w:rPr>
          <w:i/>
          <w:iCs/>
        </w:rPr>
        <w:t> (</w:t>
      </w:r>
      <w:r w:rsidRPr="00FE00FF">
        <w:rPr>
          <w:i/>
          <w:iCs/>
        </w:rPr>
        <w:t>Unreported, High Court, Gannon J., 1st June, 1984) … s.42 does not provide for extension ' if, and only if' defined criteria are satisfied. The requirement in s.42 is simply ' shall'. So, to that extent, the observations of Gannon J</w:t>
      </w:r>
      <w:r w:rsidRPr="00E83F49">
        <w:rPr>
          <w:i/>
          <w:iCs/>
        </w:rPr>
        <w:t>. in </w:t>
      </w:r>
      <w:hyperlink r:id="rId9" w:history="1">
        <w:r w:rsidRPr="00E902F2">
          <w:rPr>
            <w:rStyle w:val="Hyperlink"/>
            <w:rFonts w:eastAsia="Calibri"/>
            <w:i/>
            <w:iCs/>
            <w:color w:val="auto"/>
          </w:rPr>
          <w:t>McCoy</w:t>
        </w:r>
      </w:hyperlink>
      <w:r w:rsidRPr="00E83F49">
        <w:rPr>
          <w:i/>
          <w:iCs/>
        </w:rPr>
        <w:t> need</w:t>
      </w:r>
      <w:r w:rsidRPr="00FE00FF">
        <w:rPr>
          <w:i/>
          <w:iCs/>
        </w:rPr>
        <w:t xml:space="preserve"> to be treated with some degree of caution, though the underlying principles touched upon in that case remain applicable.</w:t>
      </w:r>
    </w:p>
    <w:p w14:paraId="0B7DF0B3" w14:textId="77777777" w:rsidR="00D2584E" w:rsidRPr="00FE00FF" w:rsidRDefault="00D2584E" w:rsidP="00B04847">
      <w:pPr>
        <w:spacing w:after="240" w:line="360" w:lineRule="auto"/>
        <w:ind w:left="720"/>
        <w:jc w:val="both"/>
        <w:rPr>
          <w:i/>
          <w:iCs/>
        </w:rPr>
      </w:pPr>
      <w:r w:rsidRPr="00FE00FF">
        <w:rPr>
          <w:i/>
          <w:iCs/>
        </w:rPr>
        <w:t>(5) the current text of s.42 was inserted into PADA by s.28 of the Planning and Development (Amendment) Act 2010. So it was enacted at a time when the nation was wrestling with the perfect storm of financial problems that presented for the State and its residents following the collapse of the banking sector and the arrival of the Great Recession, a state of affairs that clearly informs the substance of s.42(1)(a)(ii)(I).</w:t>
      </w:r>
    </w:p>
    <w:p w14:paraId="7987CC4E" w14:textId="77777777" w:rsidR="00D2584E" w:rsidRPr="00FE00FF" w:rsidRDefault="00D2584E" w:rsidP="00B04847">
      <w:pPr>
        <w:spacing w:after="240" w:line="360" w:lineRule="auto"/>
        <w:ind w:left="720"/>
        <w:jc w:val="both"/>
        <w:rPr>
          <w:i/>
          <w:iCs/>
        </w:rPr>
      </w:pPr>
      <w:r w:rsidRPr="00FE00FF">
        <w:rPr>
          <w:i/>
          <w:iCs/>
        </w:rPr>
        <w:t>(6) it is notable in this last regard that s.42(1)(a)(ii)(I) of PADA speaks of ' considerations of a commercial...[etc.] nature...which substantially militated against...' The phrase ' substantially militated against' is a relatively low standard. It does not mean that the applicant for permission has to prove beyond doubt or even prove as a matter of probability that it was not able to proceed with a development because of particular considerations. There need merely be considerations that ' substantially militated against'…</w:t>
      </w:r>
    </w:p>
    <w:p w14:paraId="69B5BEE6" w14:textId="77777777" w:rsidR="00D2584E" w:rsidRPr="00FE00FF" w:rsidRDefault="00D2584E" w:rsidP="00B04847">
      <w:pPr>
        <w:spacing w:after="240" w:line="360" w:lineRule="auto"/>
        <w:ind w:left="720"/>
        <w:jc w:val="both"/>
        <w:rPr>
          <w:i/>
          <w:iCs/>
        </w:rPr>
      </w:pPr>
      <w:r w:rsidRPr="00FE00FF">
        <w:rPr>
          <w:i/>
          <w:iCs/>
        </w:rPr>
        <w:t>(7) looking to s.42(1)(a)(ii)(II) of PADA, that provision, it seems to the court, establishes an important safeguard which a planning authority is in a fairly unique position to assess, because a planning authority will be familiar with all of the relevant provisions and guidelines…</w:t>
      </w:r>
    </w:p>
    <w:p w14:paraId="7C69736A" w14:textId="77777777" w:rsidR="00D2584E" w:rsidRPr="00FE00FF" w:rsidRDefault="00D2584E" w:rsidP="00B04847">
      <w:pPr>
        <w:spacing w:after="240" w:line="360" w:lineRule="auto"/>
        <w:ind w:left="720"/>
        <w:jc w:val="both"/>
        <w:rPr>
          <w:i/>
          <w:iCs/>
        </w:rPr>
      </w:pPr>
      <w:r w:rsidRPr="00FE00FF">
        <w:rPr>
          <w:i/>
          <w:iCs/>
        </w:rPr>
        <w:t>(8) the same points, mutatis mutandis, can be made in respect of s.42(1)(a)(ii)(III) as the court has just made in respect of s.42(1)(a)(ii)(II).</w:t>
      </w:r>
    </w:p>
    <w:p w14:paraId="747D9EFE" w14:textId="77777777" w:rsidR="00D2584E" w:rsidRPr="00FE00FF" w:rsidRDefault="00D2584E" w:rsidP="00B04847">
      <w:pPr>
        <w:spacing w:after="240" w:line="360" w:lineRule="auto"/>
        <w:ind w:left="720"/>
        <w:jc w:val="both"/>
        <w:rPr>
          <w:i/>
          <w:iCs/>
        </w:rPr>
      </w:pPr>
      <w:r w:rsidRPr="00FE00FF">
        <w:rPr>
          <w:i/>
          <w:iCs/>
        </w:rPr>
        <w:t>(9)  as to s.42(1)(a)(ii)(IV) of PADA, it is both rational and understandable that the Oireachtas, when addressing a situation where (i) a development consent has issued, and (ii) the period or duration of that development consent is about to expire, and (iii) any ability to challenge the consent under the two month period will likewise have expired, would elect to distinguish between circumstances where (a) a development has commenced, i.e., where somebody, acting on an existing consent (and the principle of legal certainty) has commenced development, and (b) where no one has acted on the permission and no works have commenced …</w:t>
      </w:r>
    </w:p>
    <w:p w14:paraId="12496F49" w14:textId="77777777" w:rsidR="00D2584E" w:rsidRPr="00FE00FF" w:rsidRDefault="00D2584E" w:rsidP="00B04847">
      <w:pPr>
        <w:spacing w:after="240" w:line="360" w:lineRule="auto"/>
        <w:ind w:left="720"/>
        <w:jc w:val="both"/>
        <w:rPr>
          <w:i/>
          <w:iCs/>
        </w:rPr>
      </w:pPr>
      <w:r w:rsidRPr="00FE00FF">
        <w:rPr>
          <w:i/>
          <w:iCs/>
        </w:rPr>
        <w:t>(10) the issues that arise for consideration in the context of s.42 are primarily factual matters. That, it seems to the court, is an important consideration, because that goes to the nature of the discretion that is being exercised. There is undoubtedly a limited element of discretion. So s.42 does not involve what was referred to at hearing as a "box-ticking" exercise. What it does involve is what was referred to by counsel for Fingal County Counsel at hearing as a ' prescribed discretion', in truth a limited prescribed discretion, in that the relevant factors are identified in s.42 and a planning authority has to engage with those factors in terms of resolving certain questions of fact.</w:t>
      </w:r>
    </w:p>
    <w:p w14:paraId="263F047C" w14:textId="77777777" w:rsidR="00D2584E" w:rsidRPr="00FE00FF" w:rsidRDefault="00D2584E" w:rsidP="00B04847">
      <w:pPr>
        <w:spacing w:after="240" w:line="360" w:lineRule="auto"/>
        <w:ind w:left="720"/>
        <w:jc w:val="both"/>
        <w:rPr>
          <w:i/>
          <w:iCs/>
        </w:rPr>
      </w:pPr>
      <w:r w:rsidRPr="00FE00FF">
        <w:rPr>
          <w:i/>
          <w:iCs/>
        </w:rPr>
        <w:t>(11) the clear purpose of s.42 is clear. It is … a statutory forerunner of s.42, '" to enable the development to which the permission relates to be completed"', or to use the wording of s.42 itself ' to enable the development to which the permission relates to be completed.'</w:t>
      </w:r>
    </w:p>
    <w:p w14:paraId="5A9BCF07" w14:textId="77777777" w:rsidR="00D2584E" w:rsidRDefault="00D2584E" w:rsidP="00B04847">
      <w:pPr>
        <w:spacing w:after="240" w:line="360" w:lineRule="auto"/>
        <w:ind w:left="720"/>
        <w:jc w:val="both"/>
        <w:rPr>
          <w:i/>
          <w:iCs/>
        </w:rPr>
      </w:pPr>
      <w:r w:rsidRPr="00FE00FF">
        <w:rPr>
          <w:i/>
          <w:iCs/>
        </w:rPr>
        <w:t>(12) it seems to the court that any fair-minded reading of s.42 should (and in the case of the court does) lead to the recognition that the Oirechtas clearly meant to establish thereby a stream-lined expeditious procedure without a requirement as to public consultation.</w:t>
      </w:r>
      <w:r>
        <w:rPr>
          <w:i/>
          <w:iCs/>
        </w:rPr>
        <w:t>.</w:t>
      </w:r>
      <w:r w:rsidRPr="00FE00FF">
        <w:rPr>
          <w:i/>
          <w:iCs/>
        </w:rPr>
        <w:t>.”</w:t>
      </w:r>
    </w:p>
    <w:p w14:paraId="26623269" w14:textId="77777777" w:rsidR="00FE5AB9" w:rsidRDefault="00FE5AB9" w:rsidP="00E902F2"/>
    <w:p w14:paraId="2034AB15" w14:textId="77777777" w:rsidR="00D2584E" w:rsidRPr="008C4D74" w:rsidRDefault="00E33836" w:rsidP="00D2584E">
      <w:pPr>
        <w:spacing w:line="360" w:lineRule="auto"/>
        <w:jc w:val="both"/>
      </w:pPr>
      <w:r w:rsidRPr="00E902F2">
        <w:rPr>
          <w:b/>
          <w:bCs/>
        </w:rPr>
        <w:t>51.</w:t>
      </w:r>
      <w:r w:rsidR="00E65842">
        <w:tab/>
      </w:r>
      <w:r w:rsidR="00D2584E">
        <w:t xml:space="preserve">At </w:t>
      </w:r>
      <w:r>
        <w:t xml:space="preserve">para. </w:t>
      </w:r>
      <w:r w:rsidR="00D2584E">
        <w:t xml:space="preserve">66 of his judgment in </w:t>
      </w:r>
      <w:r w:rsidR="00D2584E" w:rsidRPr="00C07BAA">
        <w:rPr>
          <w:i/>
        </w:rPr>
        <w:t>Merriman</w:t>
      </w:r>
      <w:r w:rsidR="00D2584E">
        <w:t xml:space="preserve">, Barrett J. quoted with approval from </w:t>
      </w:r>
      <w:r w:rsidR="00D2584E" w:rsidRPr="0099002E">
        <w:rPr>
          <w:i/>
          <w:iCs/>
        </w:rPr>
        <w:t>McDowell v. Roscommon Co Council</w:t>
      </w:r>
      <w:r w:rsidR="00D2584E" w:rsidRPr="0099002E">
        <w:t xml:space="preserve"> [2004] IEHC 396 </w:t>
      </w:r>
      <w:r w:rsidR="00D2584E">
        <w:t>where Finnegan P. held:</w:t>
      </w:r>
    </w:p>
    <w:p w14:paraId="1F93FC4E" w14:textId="77777777" w:rsidR="00D2584E" w:rsidRDefault="00D2584E" w:rsidP="00E902F2"/>
    <w:p w14:paraId="0B42EE3E" w14:textId="77777777" w:rsidR="00D2584E" w:rsidRPr="002D669C" w:rsidRDefault="00D2584E" w:rsidP="00D2584E">
      <w:pPr>
        <w:spacing w:line="360" w:lineRule="auto"/>
        <w:ind w:left="720"/>
        <w:jc w:val="both"/>
        <w:rPr>
          <w:i/>
          <w:iCs/>
        </w:rPr>
      </w:pPr>
      <w:r w:rsidRPr="002D669C">
        <w:rPr>
          <w:i/>
          <w:iCs/>
        </w:rPr>
        <w:t xml:space="preserve">“The wording of section 42 is clear. It provides that if the Planning Authority are satisfied on certain matters the Planning Authority must grant an extension. It is clear on the authorities that to take into account any other matter, fact or circumstance is ultra vires.” </w:t>
      </w:r>
    </w:p>
    <w:p w14:paraId="21BA72F4" w14:textId="77777777" w:rsidR="00B04847" w:rsidRDefault="00B04847" w:rsidP="00E902F2"/>
    <w:p w14:paraId="08D8B77C" w14:textId="77777777" w:rsidR="00D2584E" w:rsidRPr="00CC0A59" w:rsidRDefault="00D2584E" w:rsidP="00E902F2">
      <w:pPr>
        <w:numPr>
          <w:ilvl w:val="0"/>
          <w:numId w:val="1"/>
        </w:numPr>
        <w:spacing w:line="360" w:lineRule="auto"/>
        <w:ind w:left="0" w:firstLine="0"/>
        <w:jc w:val="both"/>
      </w:pPr>
      <w:r w:rsidRPr="00E902F2">
        <w:t>Thus</w:t>
      </w:r>
      <w:r w:rsidRPr="005B56BB">
        <w:t>,</w:t>
      </w:r>
      <w:r w:rsidRPr="00CC0A59">
        <w:t xml:space="preserve"> when Barrett J. came to consider the “</w:t>
      </w:r>
      <w:r w:rsidRPr="00CC0A59">
        <w:rPr>
          <w:i/>
          <w:iCs/>
        </w:rPr>
        <w:t>Extent of Discretion Arising under Section 42</w:t>
      </w:r>
      <w:r w:rsidRPr="00CC0A59">
        <w:t xml:space="preserve">” (see </w:t>
      </w:r>
      <w:r w:rsidR="001E48DF">
        <w:t xml:space="preserve">paras. </w:t>
      </w:r>
      <w:r w:rsidRPr="00CC0A59">
        <w:t xml:space="preserve">61 to 82), he concluded at </w:t>
      </w:r>
      <w:r w:rsidR="00263A36">
        <w:t xml:space="preserve">para. </w:t>
      </w:r>
      <w:r w:rsidRPr="00CC0A59">
        <w:t>81:</w:t>
      </w:r>
    </w:p>
    <w:p w14:paraId="7D03D667" w14:textId="77777777" w:rsidR="00D2584E" w:rsidRDefault="00D2584E" w:rsidP="00E902F2"/>
    <w:p w14:paraId="17451CC4" w14:textId="77777777" w:rsidR="00D2584E" w:rsidRDefault="00D2584E" w:rsidP="00E902F2">
      <w:pPr>
        <w:spacing w:line="360" w:lineRule="auto"/>
        <w:ind w:left="720"/>
        <w:jc w:val="both"/>
      </w:pPr>
      <w:r w:rsidRPr="002D669C">
        <w:rPr>
          <w:i/>
          <w:iCs/>
        </w:rPr>
        <w:t xml:space="preserve">“81. The clear effect of the case-law considered above is that s.42 of PADA requires that a planning authority such as Fingal County Council, upon application to it under s.42 as regards a particular permission, must extend the appropriate permission, provided that the prescribed requirements are complied with. The clear effect of the case-law considered above is that s.42 of PADA requires that a planning authority such as Fingal County Council, upon application to it under s.42 as regards a particular permission, must extend the appropriate permission, provided that the prescribed requirements are complied with. It follows that the basis on which the Case 1 </w:t>
      </w:r>
      <w:r w:rsidR="00F011F3">
        <w:rPr>
          <w:i/>
          <w:iCs/>
        </w:rPr>
        <w:t>applicant</w:t>
      </w:r>
      <w:r w:rsidRPr="002D669C">
        <w:rPr>
          <w:i/>
          <w:iCs/>
        </w:rPr>
        <w:t>s have sought to make their case is misconceived having regard to the case-law of the Superior Courts. For example, they are fundamentally incorrect in their submission that before a development consent could be extended in the circumstances presenting, or any circumstances, that matters beyond those set out in s.42 need to be considered. ”</w:t>
      </w:r>
    </w:p>
    <w:p w14:paraId="516D3BAE" w14:textId="77777777" w:rsidR="00F42B7E" w:rsidRDefault="00F42B7E" w:rsidP="00E902F2"/>
    <w:p w14:paraId="6697700E" w14:textId="77777777" w:rsidR="00F42B7E" w:rsidRDefault="00F42B7E" w:rsidP="00984E5E">
      <w:pPr>
        <w:numPr>
          <w:ilvl w:val="0"/>
          <w:numId w:val="1"/>
        </w:numPr>
        <w:spacing w:line="360" w:lineRule="auto"/>
        <w:ind w:left="0" w:firstLine="0"/>
        <w:jc w:val="both"/>
      </w:pPr>
      <w:r>
        <w:t>In this case t</w:t>
      </w:r>
      <w:r w:rsidRPr="00FE00FF">
        <w:t xml:space="preserve">he </w:t>
      </w:r>
      <w:r w:rsidR="00F011F3">
        <w:t>respondent</w:t>
      </w:r>
      <w:r w:rsidRPr="00FE00FF">
        <w:t xml:space="preserve"> refused to extend the permission under </w:t>
      </w:r>
      <w:r w:rsidR="00C100F4">
        <w:t>s.</w:t>
      </w:r>
      <w:r w:rsidR="00C100F4" w:rsidRPr="00FE00FF">
        <w:t xml:space="preserve"> </w:t>
      </w:r>
      <w:r w:rsidRPr="00FE00FF">
        <w:t>42(1)(a)(ii)</w:t>
      </w:r>
      <w:r w:rsidR="00B93B3B">
        <w:t>(</w:t>
      </w:r>
      <w:r>
        <w:t>II</w:t>
      </w:r>
      <w:r w:rsidR="00B93B3B">
        <w:t>)</w:t>
      </w:r>
      <w:r>
        <w:t xml:space="preserve"> </w:t>
      </w:r>
      <w:r w:rsidRPr="00FE00FF">
        <w:t>on the basis that there ha</w:t>
      </w:r>
      <w:r>
        <w:t>d</w:t>
      </w:r>
      <w:r w:rsidRPr="00FE00FF">
        <w:t xml:space="preserve"> been a significant change in the development objectives in the development plan, such that the development would no longer be consistent with the land use zoning objective and the proper planning and sustainable development of the area. </w:t>
      </w:r>
      <w:r>
        <w:t xml:space="preserve"> </w:t>
      </w:r>
      <w:r w:rsidR="00FA18B7">
        <w:t>To properly exercise its statutory power the respondent was required to assess the “</w:t>
      </w:r>
      <w:r w:rsidR="00FA18B7" w:rsidRPr="00E902F2">
        <w:rPr>
          <w:i/>
          <w:iCs/>
        </w:rPr>
        <w:t>significance</w:t>
      </w:r>
      <w:r w:rsidR="00FA18B7">
        <w:t xml:space="preserve">” of the change.  </w:t>
      </w:r>
      <w:r w:rsidR="00210522">
        <w:t xml:space="preserve">Assessing the significance of the change is not the question the Court was addressing in either </w:t>
      </w:r>
      <w:r w:rsidR="00210522" w:rsidRPr="00120437">
        <w:rPr>
          <w:i/>
          <w:iCs/>
        </w:rPr>
        <w:t>Merriman</w:t>
      </w:r>
      <w:r w:rsidR="00210522">
        <w:t xml:space="preserve"> or </w:t>
      </w:r>
      <w:r w:rsidR="00210522" w:rsidRPr="00120437">
        <w:rPr>
          <w:i/>
          <w:iCs/>
        </w:rPr>
        <w:t>McDowell</w:t>
      </w:r>
      <w:r w:rsidR="00210522">
        <w:rPr>
          <w:i/>
          <w:iCs/>
        </w:rPr>
        <w:t xml:space="preserve">.  </w:t>
      </w:r>
      <w:r w:rsidR="00210522" w:rsidRPr="00D025D5">
        <w:t xml:space="preserve">While the Court in </w:t>
      </w:r>
      <w:r w:rsidR="006402A4" w:rsidRPr="00984E5E">
        <w:rPr>
          <w:i/>
          <w:iCs/>
        </w:rPr>
        <w:t>Merriman</w:t>
      </w:r>
      <w:r w:rsidR="006402A4">
        <w:t xml:space="preserve"> and </w:t>
      </w:r>
      <w:r w:rsidR="006402A4" w:rsidRPr="00984E5E">
        <w:rPr>
          <w:i/>
          <w:iCs/>
        </w:rPr>
        <w:t>McDowell</w:t>
      </w:r>
      <w:r w:rsidR="006402A4" w:rsidRPr="00D025D5" w:rsidDel="006402A4">
        <w:t xml:space="preserve"> </w:t>
      </w:r>
      <w:r w:rsidR="00210522" w:rsidRPr="00D025D5">
        <w:t xml:space="preserve">found that the </w:t>
      </w:r>
      <w:r w:rsidR="00F011F3">
        <w:t>respondent</w:t>
      </w:r>
      <w:r w:rsidR="00210522" w:rsidRPr="00D025D5">
        <w:t>’s discretion was limited and an extension must be granted where conditions are met but refused where conditions are not met, there remains a d</w:t>
      </w:r>
      <w:r w:rsidR="00210522">
        <w:t>iscretionary decision-making exercise</w:t>
      </w:r>
      <w:r w:rsidR="00210522" w:rsidRPr="00D025D5">
        <w:t xml:space="preserve"> in determining whether the change in question is “</w:t>
      </w:r>
      <w:r w:rsidR="00210522" w:rsidRPr="00E902F2">
        <w:rPr>
          <w:i/>
          <w:iCs/>
        </w:rPr>
        <w:t>significant</w:t>
      </w:r>
      <w:r w:rsidR="00210522" w:rsidRPr="00D025D5">
        <w:t>”</w:t>
      </w:r>
      <w:r w:rsidR="00984E5E">
        <w:t xml:space="preserve"> </w:t>
      </w:r>
      <w:r w:rsidR="00813B48">
        <w:t xml:space="preserve">in view of the development objectives for the area </w:t>
      </w:r>
      <w:r w:rsidR="00984E5E">
        <w:t xml:space="preserve">when deciding to extend a stale permission </w:t>
      </w:r>
      <w:r w:rsidR="00813B48">
        <w:t xml:space="preserve">in the case of the second basis </w:t>
      </w:r>
      <w:r w:rsidR="00813B48" w:rsidRPr="00E902F2">
        <w:rPr>
          <w:i/>
          <w:iCs/>
        </w:rPr>
        <w:t>viz</w:t>
      </w:r>
      <w:r w:rsidR="00813B48">
        <w:t>, where</w:t>
      </w:r>
      <w:r w:rsidR="00984E5E">
        <w:t xml:space="preserve"> works are not already advanced having regard to the evolution of planning policy for the area</w:t>
      </w:r>
      <w:r w:rsidR="00210522" w:rsidRPr="00D025D5">
        <w:t xml:space="preserve">.  While the significance of the change is a matter of fact which is properly within the subject matter expertise of the </w:t>
      </w:r>
      <w:r w:rsidR="00F011F3">
        <w:t>respondent</w:t>
      </w:r>
      <w:r w:rsidR="00210522" w:rsidRPr="00D025D5">
        <w:t xml:space="preserve">, the issue which confronts the Court is one of law in terms of identifying whether the </w:t>
      </w:r>
      <w:r w:rsidR="00F011F3">
        <w:t>respondent</w:t>
      </w:r>
      <w:r w:rsidR="00210522" w:rsidRPr="00D025D5">
        <w:t xml:space="preserve"> is confined to the terms of the Development Plan </w:t>
      </w:r>
      <w:r w:rsidR="00813B48">
        <w:t xml:space="preserve">proper </w:t>
      </w:r>
      <w:r w:rsidR="00210522" w:rsidRPr="00D025D5">
        <w:t xml:space="preserve">or may interpret the </w:t>
      </w:r>
      <w:r w:rsidR="00813B48">
        <w:t>development objectives in the development plan</w:t>
      </w:r>
      <w:r w:rsidR="00210522" w:rsidRPr="00D025D5">
        <w:t xml:space="preserve"> by reference to other materials such as the LAP</w:t>
      </w:r>
      <w:r w:rsidR="00210522">
        <w:t xml:space="preserve"> and where the proper parameters of the discretion lie.</w:t>
      </w:r>
    </w:p>
    <w:p w14:paraId="5AB2ADDD" w14:textId="77777777" w:rsidR="00F42B7E" w:rsidRDefault="00F42B7E" w:rsidP="00E902F2"/>
    <w:p w14:paraId="13C4DCE4" w14:textId="77777777" w:rsidR="00042CA4" w:rsidRPr="00042CA4" w:rsidRDefault="00F42B7E" w:rsidP="00B04847">
      <w:pPr>
        <w:numPr>
          <w:ilvl w:val="0"/>
          <w:numId w:val="1"/>
        </w:numPr>
        <w:spacing w:line="360" w:lineRule="auto"/>
        <w:ind w:left="0" w:firstLine="0"/>
        <w:jc w:val="both"/>
        <w:rPr>
          <w:i/>
          <w:iCs/>
        </w:rPr>
      </w:pPr>
      <w:r>
        <w:t xml:space="preserve">This brings us to </w:t>
      </w:r>
      <w:r w:rsidR="00B170EC">
        <w:t>the</w:t>
      </w:r>
      <w:r>
        <w:t xml:space="preserve"> central issue.  </w:t>
      </w:r>
      <w:r w:rsidR="00813B48">
        <w:t>Shortly stated, in</w:t>
      </w:r>
      <w:r>
        <w:t xml:space="preserve"> assessing whether there had been a significant change in the development objectives</w:t>
      </w:r>
      <w:r w:rsidR="00FA18B7">
        <w:t xml:space="preserve"> contained</w:t>
      </w:r>
      <w:r>
        <w:t xml:space="preserve"> in the </w:t>
      </w:r>
      <w:r w:rsidR="00FA18B7">
        <w:t xml:space="preserve">2023 </w:t>
      </w:r>
      <w:r>
        <w:t xml:space="preserve">Development Plan, is the </w:t>
      </w:r>
      <w:r w:rsidR="00F011F3">
        <w:t>respondent</w:t>
      </w:r>
      <w:r>
        <w:t xml:space="preserve"> confined to considering only the </w:t>
      </w:r>
      <w:r w:rsidR="00FA18B7">
        <w:t xml:space="preserve">2023 </w:t>
      </w:r>
      <w:r>
        <w:t>Development Plan or is it permissible to also have regard to the terms of the</w:t>
      </w:r>
      <w:r w:rsidR="00FA18B7">
        <w:t xml:space="preserve"> 2013 LAP as extended</w:t>
      </w:r>
      <w:r>
        <w:t>?  The parties adopted diametrically opposing positions and both refer to other provisions of the PDA to support their respective positions.</w:t>
      </w:r>
      <w:r w:rsidR="00042CA4">
        <w:rPr>
          <w:i/>
          <w:iCs/>
        </w:rPr>
        <w:t xml:space="preserve">  </w:t>
      </w:r>
      <w:r>
        <w:t>The fact that a change has occurred is accepted but whether the change is a “</w:t>
      </w:r>
      <w:r w:rsidRPr="00042CA4">
        <w:rPr>
          <w:i/>
          <w:iCs/>
        </w:rPr>
        <w:t>significant change</w:t>
      </w:r>
      <w:r>
        <w:t xml:space="preserve">” for the purpose of </w:t>
      </w:r>
      <w:r w:rsidR="00FE5AB9">
        <w:t xml:space="preserve">s. </w:t>
      </w:r>
      <w:r>
        <w:t>42 remains much in contention</w:t>
      </w:r>
      <w:r w:rsidR="00210522">
        <w:t>.</w:t>
      </w:r>
    </w:p>
    <w:p w14:paraId="025AD5FF" w14:textId="77777777" w:rsidR="00210522" w:rsidRDefault="00210522" w:rsidP="00B04847">
      <w:pPr>
        <w:pStyle w:val="ListParagraph"/>
        <w:ind w:left="0"/>
        <w:rPr>
          <w:rFonts w:eastAsia="Arial Unicode MS"/>
          <w:iCs/>
        </w:rPr>
      </w:pPr>
    </w:p>
    <w:p w14:paraId="71D04FD5" w14:textId="77777777" w:rsidR="00210522" w:rsidRDefault="00210522" w:rsidP="00E902F2">
      <w:pPr>
        <w:rPr>
          <w:rFonts w:eastAsia="Arial Unicode MS"/>
        </w:rPr>
      </w:pPr>
    </w:p>
    <w:p w14:paraId="5F93810F" w14:textId="77777777" w:rsidR="00E12933" w:rsidRPr="00F42B7E" w:rsidRDefault="00E12933" w:rsidP="00B04847">
      <w:pPr>
        <w:numPr>
          <w:ilvl w:val="0"/>
          <w:numId w:val="1"/>
        </w:numPr>
        <w:spacing w:line="360" w:lineRule="auto"/>
        <w:ind w:left="0" w:firstLine="0"/>
        <w:jc w:val="both"/>
        <w:rPr>
          <w:rFonts w:eastAsia="Arial Unicode MS"/>
          <w:iCs/>
        </w:rPr>
      </w:pPr>
      <w:r>
        <w:t xml:space="preserve">The parties were largely agreed as to the principles which apply to the interpretation of the </w:t>
      </w:r>
      <w:r w:rsidR="00E97A90">
        <w:t>D</w:t>
      </w:r>
      <w:r>
        <w:t xml:space="preserve">evelopment </w:t>
      </w:r>
      <w:r w:rsidR="00E97A90">
        <w:t>P</w:t>
      </w:r>
      <w:r>
        <w:t xml:space="preserve">lan.  Both sides relied </w:t>
      </w:r>
      <w:r w:rsidRPr="00C405C2">
        <w:t xml:space="preserve">upon </w:t>
      </w:r>
      <w:r w:rsidRPr="00C405C2">
        <w:rPr>
          <w:i/>
          <w:iCs/>
        </w:rPr>
        <w:t>XJS Investments Ltd.</w:t>
      </w:r>
      <w:r w:rsidRPr="00F42B7E">
        <w:rPr>
          <w:iCs/>
        </w:rPr>
        <w:t xml:space="preserve"> [</w:t>
      </w:r>
      <w:r w:rsidRPr="00625636">
        <w:t>1986] I</w:t>
      </w:r>
      <w:r w:rsidR="00CB4DF5">
        <w:t>.</w:t>
      </w:r>
      <w:r w:rsidRPr="00625636">
        <w:t>R</w:t>
      </w:r>
      <w:r w:rsidR="00CB4DF5">
        <w:t>.</w:t>
      </w:r>
      <w:r w:rsidRPr="00625636">
        <w:t xml:space="preserve"> 75</w:t>
      </w:r>
      <w:r w:rsidRPr="00F42B7E">
        <w:rPr>
          <w:i/>
          <w:iCs/>
        </w:rPr>
        <w:t xml:space="preserve"> </w:t>
      </w:r>
      <w:r>
        <w:t>and the “</w:t>
      </w:r>
      <w:r w:rsidRPr="00F42B7E">
        <w:rPr>
          <w:i/>
          <w:iCs/>
        </w:rPr>
        <w:t>well settled</w:t>
      </w:r>
      <w:r>
        <w:t xml:space="preserve">” principles of construction for planning documents </w:t>
      </w:r>
      <w:r>
        <w:t xml:space="preserve">and cases such as </w:t>
      </w:r>
      <w:r w:rsidRPr="00F42B7E">
        <w:rPr>
          <w:i/>
          <w:iCs/>
        </w:rPr>
        <w:t>Tennyson v. Dun Laoghaire Corporation</w:t>
      </w:r>
      <w:r w:rsidRPr="004C0FE3">
        <w:t xml:space="preserve"> [1991] 2 I.R. 527</w:t>
      </w:r>
      <w:r>
        <w:t xml:space="preserve">; </w:t>
      </w:r>
      <w:r w:rsidRPr="00F42B7E">
        <w:rPr>
          <w:i/>
          <w:iCs/>
        </w:rPr>
        <w:t>Redmond v</w:t>
      </w:r>
      <w:r w:rsidR="0027794D">
        <w:rPr>
          <w:i/>
          <w:iCs/>
        </w:rPr>
        <w:t>.</w:t>
      </w:r>
      <w:r w:rsidRPr="00F42B7E">
        <w:rPr>
          <w:i/>
          <w:iCs/>
        </w:rPr>
        <w:t xml:space="preserve"> An Bord Pleanála</w:t>
      </w:r>
      <w:r w:rsidRPr="004C0FE3">
        <w:t xml:space="preserve"> [2020] IEHC 151</w:t>
      </w:r>
      <w:r>
        <w:t xml:space="preserve"> </w:t>
      </w:r>
      <w:r>
        <w:t xml:space="preserve">and most recently </w:t>
      </w:r>
      <w:r w:rsidRPr="00F42B7E">
        <w:rPr>
          <w:i/>
          <w:iCs/>
        </w:rPr>
        <w:t>Ballyboden Tidy Towns Group v</w:t>
      </w:r>
      <w:r w:rsidR="0027794D">
        <w:rPr>
          <w:i/>
          <w:iCs/>
        </w:rPr>
        <w:t>.</w:t>
      </w:r>
      <w:r w:rsidRPr="00F42B7E">
        <w:rPr>
          <w:i/>
          <w:iCs/>
        </w:rPr>
        <w:t xml:space="preserve"> An Bord Pleanala &amp; Ors</w:t>
      </w:r>
      <w:r w:rsidRPr="00B13ED9">
        <w:t xml:space="preserve"> </w:t>
      </w:r>
      <w:r w:rsidRPr="00C06832">
        <w:t>[2022] IEHC</w:t>
      </w:r>
      <w:r>
        <w:t xml:space="preserve"> 7 where Holland J. at </w:t>
      </w:r>
      <w:r w:rsidR="00FE5AB9">
        <w:t xml:space="preserve">para. </w:t>
      </w:r>
      <w:r>
        <w:t>119 set out how:</w:t>
      </w:r>
    </w:p>
    <w:p w14:paraId="38CB15C2" w14:textId="77777777" w:rsidR="00E12933" w:rsidRDefault="00E12933" w:rsidP="00E12933">
      <w:pPr>
        <w:pStyle w:val="ListParagraph"/>
      </w:pPr>
    </w:p>
    <w:p w14:paraId="620E903C" w14:textId="77777777" w:rsidR="00E12933" w:rsidRPr="00120437" w:rsidRDefault="00E12933" w:rsidP="00E12933">
      <w:pPr>
        <w:spacing w:line="360" w:lineRule="auto"/>
        <w:ind w:left="720"/>
        <w:jc w:val="both"/>
        <w:rPr>
          <w:i/>
          <w:iCs/>
        </w:rPr>
      </w:pPr>
      <w:r w:rsidRPr="00120437">
        <w:rPr>
          <w:i/>
          <w:iCs/>
        </w:rPr>
        <w:t xml:space="preserve">‘”The law goes back almost 40 years </w:t>
      </w:r>
      <w:r w:rsidRPr="00D62566">
        <w:rPr>
          <w:i/>
          <w:iCs/>
        </w:rPr>
        <w:t>to In re XJS Investments Ltd</w:t>
      </w:r>
      <w:r w:rsidRPr="00120437">
        <w:rPr>
          <w:i/>
          <w:iCs/>
        </w:rPr>
        <w:t xml:space="preserve"> [[1986] IR 75]. McCarthy J, for a unanimous Supreme Court, said:</w:t>
      </w:r>
    </w:p>
    <w:p w14:paraId="63C0490D" w14:textId="77777777" w:rsidR="00E12933" w:rsidRPr="00120437" w:rsidRDefault="00E12933" w:rsidP="00E12933">
      <w:pPr>
        <w:spacing w:line="360" w:lineRule="auto"/>
        <w:ind w:left="720"/>
        <w:jc w:val="both"/>
        <w:rPr>
          <w:i/>
          <w:iCs/>
        </w:rPr>
      </w:pPr>
    </w:p>
    <w:p w14:paraId="62BF7035" w14:textId="77777777" w:rsidR="00E12933" w:rsidRPr="00120437" w:rsidRDefault="00E12933" w:rsidP="00E12933">
      <w:pPr>
        <w:spacing w:line="360" w:lineRule="auto"/>
        <w:ind w:left="1440"/>
        <w:jc w:val="both"/>
        <w:rPr>
          <w:i/>
          <w:iCs/>
        </w:rPr>
      </w:pPr>
      <w:r w:rsidRPr="00120437">
        <w:rPr>
          <w:i/>
          <w:iCs/>
        </w:rPr>
        <w:t>“Certain principles may be stated in respect of the true construction of planning documents:–</w:t>
      </w:r>
    </w:p>
    <w:p w14:paraId="65407E17" w14:textId="77777777" w:rsidR="00E12933" w:rsidRPr="00120437" w:rsidRDefault="00E12933" w:rsidP="00E12933">
      <w:pPr>
        <w:spacing w:line="360" w:lineRule="auto"/>
        <w:ind w:left="1440"/>
        <w:jc w:val="both"/>
        <w:rPr>
          <w:i/>
          <w:iCs/>
        </w:rPr>
      </w:pPr>
    </w:p>
    <w:p w14:paraId="76321437" w14:textId="77777777" w:rsidR="00E12933" w:rsidRPr="00120437" w:rsidRDefault="00E12933" w:rsidP="00E12933">
      <w:pPr>
        <w:spacing w:line="360" w:lineRule="auto"/>
        <w:ind w:left="2160"/>
        <w:jc w:val="both"/>
        <w:rPr>
          <w:i/>
          <w:iCs/>
        </w:rPr>
      </w:pPr>
      <w:r w:rsidRPr="00120437">
        <w:rPr>
          <w:i/>
          <w:iCs/>
        </w:rPr>
        <w:t>(a) To state the obvious, they are not Acts of the Oireachtas or subordinate legislation emanating from skilled draftsmen and inviting the accepted canons of construction applicable to such material.</w:t>
      </w:r>
    </w:p>
    <w:p w14:paraId="7A3E7657" w14:textId="77777777" w:rsidR="00E12933" w:rsidRPr="00120437" w:rsidRDefault="00E12933" w:rsidP="00E12933">
      <w:pPr>
        <w:spacing w:line="360" w:lineRule="auto"/>
        <w:ind w:left="2160"/>
        <w:jc w:val="both"/>
        <w:rPr>
          <w:i/>
          <w:iCs/>
        </w:rPr>
      </w:pPr>
      <w:r w:rsidRPr="00120437">
        <w:rPr>
          <w:i/>
          <w:iCs/>
        </w:rPr>
        <w:t>(b) They are to be construed in their ordinary meaning as it would be understood by members of the public without legal training as well as by developers and their agents, unless such documents, read as a whole, necessarily indicate some other meaning ...”</w:t>
      </w:r>
    </w:p>
    <w:p w14:paraId="494EEB41" w14:textId="77777777" w:rsidR="00E12933" w:rsidRPr="00120437" w:rsidRDefault="00E12933" w:rsidP="00E12933">
      <w:pPr>
        <w:pStyle w:val="ListParagraph"/>
        <w:ind w:left="1440"/>
        <w:rPr>
          <w:i/>
          <w:iCs/>
        </w:rPr>
      </w:pPr>
    </w:p>
    <w:p w14:paraId="73A3FBFF" w14:textId="77777777" w:rsidR="00E12933" w:rsidRDefault="00E12933" w:rsidP="00E12933">
      <w:pPr>
        <w:spacing w:line="360" w:lineRule="auto"/>
        <w:ind w:left="1440"/>
        <w:jc w:val="both"/>
        <w:rPr>
          <w:i/>
          <w:iCs/>
        </w:rPr>
      </w:pPr>
      <w:r w:rsidRPr="00120437">
        <w:rPr>
          <w:i/>
          <w:iCs/>
        </w:rPr>
        <w:t>McCarthy J was considering a decision refusing planning permission but, no doubt deliberately and more generally applies the principles to “planning documents”. It is also notable that his interpretative approach is informed by the characteristics of both the drafter and the addressees.”</w:t>
      </w:r>
    </w:p>
    <w:p w14:paraId="7507483D" w14:textId="77777777" w:rsidR="003D31A8" w:rsidRPr="00120437" w:rsidRDefault="003D31A8" w:rsidP="00E902F2"/>
    <w:p w14:paraId="336B4DDD" w14:textId="77777777" w:rsidR="00E12933" w:rsidRDefault="00E12933" w:rsidP="00E902F2"/>
    <w:p w14:paraId="3696DAF2" w14:textId="77777777" w:rsidR="00E12933" w:rsidRDefault="00E12933" w:rsidP="00E902F2">
      <w:pPr>
        <w:numPr>
          <w:ilvl w:val="0"/>
          <w:numId w:val="1"/>
        </w:numPr>
        <w:spacing w:line="360" w:lineRule="auto"/>
        <w:ind w:left="0" w:firstLine="0"/>
        <w:jc w:val="both"/>
      </w:pPr>
      <w:r>
        <w:t xml:space="preserve">Holland J. also approved of the approach of Barr J. in </w:t>
      </w:r>
      <w:r w:rsidRPr="00E669CD">
        <w:rPr>
          <w:i/>
          <w:iCs/>
        </w:rPr>
        <w:t>Tennyson v</w:t>
      </w:r>
      <w:r w:rsidR="00591A57">
        <w:rPr>
          <w:i/>
          <w:iCs/>
        </w:rPr>
        <w:t>.</w:t>
      </w:r>
      <w:r w:rsidRPr="00E669CD">
        <w:rPr>
          <w:i/>
          <w:iCs/>
        </w:rPr>
        <w:t xml:space="preserve"> Dun Laoghaire Corporation </w:t>
      </w:r>
      <w:r>
        <w:t xml:space="preserve">and reasserted at </w:t>
      </w:r>
      <w:r w:rsidR="001849F5">
        <w:t xml:space="preserve">para. </w:t>
      </w:r>
      <w:r>
        <w:t xml:space="preserve">122 </w:t>
      </w:r>
      <w:r w:rsidR="00BA3CFA" w:rsidRPr="00E902F2">
        <w:t>:</w:t>
      </w:r>
    </w:p>
    <w:p w14:paraId="545A5094" w14:textId="77777777" w:rsidR="00E12933" w:rsidRDefault="00E12933" w:rsidP="00E12933">
      <w:pPr>
        <w:tabs>
          <w:tab w:val="num" w:pos="720"/>
        </w:tabs>
        <w:spacing w:line="360" w:lineRule="auto"/>
        <w:jc w:val="both"/>
      </w:pPr>
    </w:p>
    <w:p w14:paraId="27D20F5D" w14:textId="77777777" w:rsidR="00E12933" w:rsidRPr="00120437" w:rsidRDefault="00E12933" w:rsidP="00E12933">
      <w:pPr>
        <w:spacing w:line="360" w:lineRule="auto"/>
        <w:ind w:left="720"/>
        <w:jc w:val="both"/>
        <w:rPr>
          <w:i/>
          <w:iCs/>
        </w:rPr>
      </w:pPr>
      <w:r w:rsidRPr="00120437">
        <w:rPr>
          <w:i/>
          <w:iCs/>
        </w:rPr>
        <w:t>“The XJS and McGarry excerpts above were quoted in Tennyson v Dun Laoghaire Corporation [1991] 2 IR 527] in which Barr J, in their light, applied XJS principles of interpretation to a development plan which set numerical density limits allegedly materially contravened, as follows:</w:t>
      </w:r>
    </w:p>
    <w:p w14:paraId="40A43535" w14:textId="77777777" w:rsidR="00E12933" w:rsidRPr="00120437" w:rsidRDefault="00E12933" w:rsidP="00E12933">
      <w:pPr>
        <w:spacing w:line="360" w:lineRule="auto"/>
        <w:jc w:val="both"/>
        <w:rPr>
          <w:i/>
          <w:iCs/>
        </w:rPr>
      </w:pPr>
    </w:p>
    <w:p w14:paraId="769A0499" w14:textId="77777777" w:rsidR="00E12933" w:rsidRPr="00120437" w:rsidRDefault="00E12933" w:rsidP="00E12933">
      <w:pPr>
        <w:spacing w:line="360" w:lineRule="auto"/>
        <w:ind w:left="1440"/>
        <w:jc w:val="both"/>
        <w:rPr>
          <w:i/>
          <w:iCs/>
        </w:rPr>
      </w:pPr>
      <w:r w:rsidRPr="00120437">
        <w:rPr>
          <w:i/>
          <w:iCs/>
        </w:rPr>
        <w:t>“In the light of these authorities it seems to me that a court in interpreting a development plan should ask itself what would a reasonably intelligent person, having no particular expertise in law or town planning, make of the relevant provisions?”</w:t>
      </w:r>
    </w:p>
    <w:p w14:paraId="0DAF5354" w14:textId="77777777" w:rsidR="00E12933" w:rsidRPr="00A814BB" w:rsidRDefault="00E12933" w:rsidP="00E12933">
      <w:pPr>
        <w:spacing w:line="360" w:lineRule="auto"/>
        <w:jc w:val="both"/>
      </w:pPr>
    </w:p>
    <w:p w14:paraId="1A1C66CE" w14:textId="77777777" w:rsidR="00FC5670" w:rsidRPr="00FC5670" w:rsidRDefault="00E12933" w:rsidP="00B04847">
      <w:pPr>
        <w:numPr>
          <w:ilvl w:val="0"/>
          <w:numId w:val="1"/>
        </w:numPr>
        <w:spacing w:line="360" w:lineRule="auto"/>
        <w:ind w:left="0" w:firstLine="0"/>
        <w:jc w:val="both"/>
        <w:rPr>
          <w:i/>
          <w:iCs/>
        </w:rPr>
      </w:pPr>
      <w:r>
        <w:rPr>
          <w:rFonts w:eastAsia="Arial Unicode MS"/>
        </w:rPr>
        <w:t>On the basis of the foregoing, the parties agree that a court interpreting a planning document - be it a planning permission, development plan or local area plan - “</w:t>
      </w:r>
      <w:r w:rsidRPr="00FC3C1D">
        <w:rPr>
          <w:i/>
          <w:iCs/>
        </w:rPr>
        <w:t xml:space="preserve">should ask itself what would a reasonably intelligent person, </w:t>
      </w:r>
      <w:r w:rsidRPr="006071BD">
        <w:rPr>
          <w:i/>
          <w:iCs/>
        </w:rPr>
        <w:t>having no particular expertise in law or town planning,</w:t>
      </w:r>
      <w:r w:rsidRPr="00FC3C1D">
        <w:rPr>
          <w:i/>
          <w:iCs/>
        </w:rPr>
        <w:t xml:space="preserve"> make of the relevant provisions</w:t>
      </w:r>
      <w:r>
        <w:rPr>
          <w:i/>
          <w:iCs/>
        </w:rPr>
        <w:t xml:space="preserve">”. </w:t>
      </w:r>
      <w:r w:rsidR="00D2584E">
        <w:rPr>
          <w:rFonts w:eastAsia="Arial Unicode MS"/>
        </w:rPr>
        <w:t xml:space="preserve">Despite agreement as to the principles which apply, both sides in this case contend that </w:t>
      </w:r>
      <w:r w:rsidR="00D2584E" w:rsidRPr="002A606D">
        <w:t xml:space="preserve">a reasonably intelligent person, having no particular expertise in law or town planning would </w:t>
      </w:r>
      <w:r w:rsidR="00D2584E">
        <w:t xml:space="preserve">arrive at a different conclusion as to whether </w:t>
      </w:r>
      <w:r w:rsidR="00120437">
        <w:t>L</w:t>
      </w:r>
      <w:r w:rsidR="00D2584E">
        <w:t xml:space="preserve">ocal </w:t>
      </w:r>
      <w:r w:rsidR="00120437">
        <w:t>O</w:t>
      </w:r>
      <w:r w:rsidR="00D2584E">
        <w:t xml:space="preserve">bjective 4 was continued through the extension of the LAP </w:t>
      </w:r>
      <w:r w:rsidR="00210522">
        <w:t xml:space="preserve">and a relevant consideration </w:t>
      </w:r>
      <w:r w:rsidR="00D2584E">
        <w:t xml:space="preserve">or removed as a planning objective for the area once the new </w:t>
      </w:r>
      <w:r w:rsidR="00210522">
        <w:t>d</w:t>
      </w:r>
      <w:r w:rsidR="00D2584E">
        <w:t>evelopment</w:t>
      </w:r>
      <w:r w:rsidR="00210522">
        <w:t xml:space="preserve"> plan</w:t>
      </w:r>
      <w:r w:rsidR="00D2584E">
        <w:t xml:space="preserve"> was adopted without reference to SLO 469</w:t>
      </w:r>
      <w:r w:rsidR="00210522">
        <w:t xml:space="preserve"> and therefore not a relevant consideration.</w:t>
      </w:r>
      <w:r w:rsidR="00813B48">
        <w:t xml:space="preserve">  </w:t>
      </w:r>
    </w:p>
    <w:p w14:paraId="4EA0A388" w14:textId="77777777" w:rsidR="00FC5670" w:rsidRDefault="00FC5670" w:rsidP="00E902F2">
      <w:pPr>
        <w:spacing w:line="360" w:lineRule="auto"/>
        <w:jc w:val="both"/>
        <w:rPr>
          <w:i/>
          <w:iCs/>
        </w:rPr>
      </w:pPr>
    </w:p>
    <w:p w14:paraId="03AE892D" w14:textId="77777777" w:rsidR="00C959BB" w:rsidRPr="00FC5670" w:rsidRDefault="00FC5670" w:rsidP="00B04847">
      <w:pPr>
        <w:numPr>
          <w:ilvl w:val="0"/>
          <w:numId w:val="1"/>
        </w:numPr>
        <w:spacing w:line="360" w:lineRule="auto"/>
        <w:ind w:left="0" w:firstLine="0"/>
        <w:jc w:val="both"/>
        <w:rPr>
          <w:rStyle w:val="change"/>
          <w:i/>
          <w:iCs/>
        </w:rPr>
      </w:pPr>
      <w:r>
        <w:t xml:space="preserve">The </w:t>
      </w:r>
      <w:r w:rsidR="00F011F3">
        <w:t>respondent</w:t>
      </w:r>
      <w:r>
        <w:t xml:space="preserve"> relies on </w:t>
      </w:r>
      <w:r w:rsidR="00E348DC">
        <w:t xml:space="preserve">s. </w:t>
      </w:r>
      <w:r>
        <w:t xml:space="preserve">18(4)(b) to contend that Map Objective 4 of the </w:t>
      </w:r>
      <w:r w:rsidR="00FA18B7">
        <w:t xml:space="preserve">2013 </w:t>
      </w:r>
      <w:r>
        <w:t xml:space="preserve">LAP ceased to have effect upon the adoption of the 2023 Development Plan which no longer provided for SLO 469.  Such a position is dependent on a conclusion that Objective 4 conflicts with the new Development Plan.  </w:t>
      </w:r>
      <w:r w:rsidR="00AA6F58">
        <w:t>The respondent further relies on the map legend in the LAP which refers to the local area objective as one which may be revised in “</w:t>
      </w:r>
      <w:r w:rsidR="00AA6F58" w:rsidRPr="00E902F2">
        <w:rPr>
          <w:i/>
          <w:iCs/>
        </w:rPr>
        <w:t>any future Development Plan</w:t>
      </w:r>
      <w:r w:rsidR="00AA6F58">
        <w:t xml:space="preserve">”.  </w:t>
      </w:r>
      <w:r>
        <w:t xml:space="preserve">The </w:t>
      </w:r>
      <w:r w:rsidR="00F011F3">
        <w:t>respondent</w:t>
      </w:r>
      <w:r>
        <w:t xml:space="preserve"> maintains that a conflict is evidenced by the fact that the 2023 Development Plan provides that development of this type is not permitted in </w:t>
      </w:r>
      <w:r w:rsidR="00245F8C">
        <w:t>High A</w:t>
      </w:r>
      <w:r>
        <w:t>menity (HA) areas, which the subject land is.  It is recalled, however, that the subject</w:t>
      </w:r>
      <w:r w:rsidR="00FA18B7">
        <w:t xml:space="preserve"> Lands</w:t>
      </w:r>
      <w:r>
        <w:t xml:space="preserve"> had a HA designation under the 201</w:t>
      </w:r>
      <w:r w:rsidR="00FA18B7">
        <w:t>7 Development</w:t>
      </w:r>
      <w:r>
        <w:t xml:space="preserve"> Plan also and it is common case that there is no change in the zoning objectives for the site as between the two development plans.  Further, as we have seen, almost a year to the day after the adoption of the 2023 Development Plan, the </w:t>
      </w:r>
      <w:r w:rsidR="00FA18B7">
        <w:t xml:space="preserve">2013 LAP </w:t>
      </w:r>
      <w:r>
        <w:t xml:space="preserve">which had incorporated SLO 469 as Map Objective 4 was extended for a five-year period on the express basis that it was considered to </w:t>
      </w:r>
      <w:r w:rsidRPr="00D62566">
        <w:t xml:space="preserve">be </w:t>
      </w:r>
      <w:r w:rsidRPr="00D62566">
        <w:rPr>
          <w:rStyle w:val="change"/>
        </w:rPr>
        <w:t>consistent with the objectives and core strategy of the relevant development plan</w:t>
      </w:r>
      <w:r>
        <w:rPr>
          <w:rStyle w:val="change"/>
        </w:rPr>
        <w:t xml:space="preserve">.  </w:t>
      </w:r>
    </w:p>
    <w:p w14:paraId="59D144FC" w14:textId="77777777" w:rsidR="00FC5670" w:rsidRDefault="00FC5670" w:rsidP="00B04847">
      <w:pPr>
        <w:pStyle w:val="ListParagraph"/>
        <w:ind w:left="0"/>
        <w:rPr>
          <w:i/>
          <w:iCs/>
        </w:rPr>
      </w:pPr>
    </w:p>
    <w:p w14:paraId="4C5055E2" w14:textId="77777777" w:rsidR="00FC5670" w:rsidRPr="00FC5670" w:rsidRDefault="00FC5670" w:rsidP="00E902F2"/>
    <w:p w14:paraId="40FB8CE1" w14:textId="77777777" w:rsidR="00C959BB" w:rsidRPr="00010F72" w:rsidRDefault="00071CEE" w:rsidP="00B04847">
      <w:pPr>
        <w:numPr>
          <w:ilvl w:val="0"/>
          <w:numId w:val="1"/>
        </w:numPr>
        <w:spacing w:line="360" w:lineRule="auto"/>
        <w:ind w:left="0" w:firstLine="0"/>
        <w:jc w:val="both"/>
        <w:rPr>
          <w:i/>
          <w:iCs/>
        </w:rPr>
      </w:pPr>
      <w:r>
        <w:t>As set out above, t</w:t>
      </w:r>
      <w:r w:rsidR="00EB7905">
        <w:t>he statutory framework (</w:t>
      </w:r>
      <w:r w:rsidR="00245F8C">
        <w:t xml:space="preserve">s. </w:t>
      </w:r>
      <w:r w:rsidR="00EB7905">
        <w:t>10(7)</w:t>
      </w:r>
      <w:r w:rsidR="00245F8C">
        <w:t xml:space="preserve"> of the PDA</w:t>
      </w:r>
      <w:r w:rsidR="00EB7905">
        <w:t xml:space="preserve">) expressly provides </w:t>
      </w:r>
      <w:r>
        <w:t xml:space="preserve">in relation to development plans </w:t>
      </w:r>
      <w:r w:rsidR="00EB7905">
        <w:t>for specified development in a particular area being subject to the making of a local area plan.  This occurred in this instance with provision made for Objective Z02</w:t>
      </w:r>
      <w:r w:rsidR="00C73A95">
        <w:t xml:space="preserve"> in the 2023 Development Plan</w:t>
      </w:r>
      <w:r w:rsidR="00EB7905">
        <w:t xml:space="preserve">.  </w:t>
      </w:r>
      <w:r w:rsidR="00C73A95">
        <w:t>This means that</w:t>
      </w:r>
      <w:r w:rsidR="00EB7905">
        <w:t xml:space="preserve"> d</w:t>
      </w:r>
      <w:r w:rsidR="00806214">
        <w:t>etermining whether a change</w:t>
      </w:r>
      <w:r w:rsidR="00EB7905">
        <w:t xml:space="preserve"> in planning objective</w:t>
      </w:r>
      <w:r w:rsidR="00806214">
        <w:t xml:space="preserve"> </w:t>
      </w:r>
      <w:r w:rsidR="005B32FC">
        <w:t xml:space="preserve">in the development plan </w:t>
      </w:r>
      <w:r w:rsidR="00806214">
        <w:t>is “</w:t>
      </w:r>
      <w:r w:rsidR="00806214" w:rsidRPr="00C959BB">
        <w:rPr>
          <w:i/>
          <w:iCs/>
        </w:rPr>
        <w:t>significant</w:t>
      </w:r>
      <w:r w:rsidR="00806214">
        <w:t xml:space="preserve">” can entail considerations </w:t>
      </w:r>
      <w:r w:rsidR="00D94346">
        <w:t xml:space="preserve">broader </w:t>
      </w:r>
      <w:r w:rsidR="00806214">
        <w:t xml:space="preserve">than the terms of the </w:t>
      </w:r>
      <w:r w:rsidR="00120437">
        <w:t>D</w:t>
      </w:r>
      <w:r w:rsidR="00806214">
        <w:t xml:space="preserve">evelopment </w:t>
      </w:r>
      <w:r w:rsidR="00120437">
        <w:t>P</w:t>
      </w:r>
      <w:r w:rsidR="00806214">
        <w:t>lan itself</w:t>
      </w:r>
      <w:r w:rsidR="00EB7905">
        <w:t xml:space="preserve"> </w:t>
      </w:r>
      <w:r w:rsidR="00C73A95">
        <w:t xml:space="preserve">where it is contended that a development objective has been continued notwithstanding that it no longer appears in express terms in the </w:t>
      </w:r>
      <w:r w:rsidR="00120437">
        <w:t>D</w:t>
      </w:r>
      <w:r w:rsidR="00C73A95">
        <w:t xml:space="preserve">evelopment </w:t>
      </w:r>
      <w:r w:rsidR="00120437">
        <w:t>P</w:t>
      </w:r>
      <w:r w:rsidR="00C73A95">
        <w:t>lan</w:t>
      </w:r>
      <w:r w:rsidR="00D94346">
        <w:t xml:space="preserve"> </w:t>
      </w:r>
      <w:r w:rsidR="00EB7905">
        <w:t>because</w:t>
      </w:r>
      <w:r w:rsidR="00C73A95">
        <w:t xml:space="preserve">: </w:t>
      </w:r>
    </w:p>
    <w:p w14:paraId="0D585C0C" w14:textId="77777777" w:rsidR="00C959BB" w:rsidRDefault="00C959BB" w:rsidP="00E902F2"/>
    <w:p w14:paraId="11CFF6B4" w14:textId="77777777" w:rsidR="00C959BB" w:rsidRDefault="00C959BB" w:rsidP="00B04847">
      <w:pPr>
        <w:spacing w:line="360" w:lineRule="auto"/>
        <w:ind w:left="720"/>
        <w:jc w:val="both"/>
      </w:pPr>
      <w:r>
        <w:t xml:space="preserve">(i) section 18 provides that a local area plan may remain in force following the making of a new development plan affecting the area to which the local area plan applies unless a provision of the local area plan </w:t>
      </w:r>
      <w:r w:rsidRPr="005B32FC">
        <w:t>conflicts</w:t>
      </w:r>
      <w:r>
        <w:t xml:space="preserve"> with the provisions of the new development plan and</w:t>
      </w:r>
      <w:r w:rsidR="00C35BE4">
        <w:t>;</w:t>
      </w:r>
      <w:r>
        <w:t xml:space="preserve"> </w:t>
      </w:r>
    </w:p>
    <w:p w14:paraId="72380FA9" w14:textId="77777777" w:rsidR="00C959BB" w:rsidRDefault="00C959BB" w:rsidP="00B04847">
      <w:pPr>
        <w:spacing w:line="360" w:lineRule="auto"/>
        <w:ind w:left="720"/>
        <w:jc w:val="both"/>
        <w:rPr>
          <w:rFonts w:eastAsia="Arial Unicode MS"/>
        </w:rPr>
      </w:pPr>
      <w:r>
        <w:t xml:space="preserve">(ii) section 19 provides for an extension of a local area plan where it is </w:t>
      </w:r>
      <w:r w:rsidRPr="005B32FC">
        <w:t xml:space="preserve">consistent </w:t>
      </w:r>
      <w:r>
        <w:t xml:space="preserve">with the development plan.  </w:t>
      </w:r>
    </w:p>
    <w:p w14:paraId="6BBDB00B" w14:textId="77777777" w:rsidR="00C959BB" w:rsidRDefault="00C959BB" w:rsidP="00E902F2"/>
    <w:p w14:paraId="67177454" w14:textId="77777777" w:rsidR="00EF1074" w:rsidRPr="00EF1074" w:rsidRDefault="00FC5670" w:rsidP="00B04847">
      <w:pPr>
        <w:numPr>
          <w:ilvl w:val="0"/>
          <w:numId w:val="1"/>
        </w:numPr>
        <w:spacing w:line="360" w:lineRule="auto"/>
        <w:ind w:left="0" w:firstLine="0"/>
        <w:jc w:val="both"/>
      </w:pPr>
      <w:r>
        <w:rPr>
          <w:rFonts w:eastAsia="Arial Unicode MS"/>
        </w:rPr>
        <w:t xml:space="preserve">The </w:t>
      </w:r>
      <w:r w:rsidR="00EF1074" w:rsidRPr="00042CA4">
        <w:rPr>
          <w:rFonts w:eastAsia="Arial Unicode MS"/>
        </w:rPr>
        <w:t xml:space="preserve">power to extend a permission in s. 42 is one of a number of statutory provisions addressed to what happens in planning terms consequent upon changes in matters of planning concern resulting from the passage of time.  </w:t>
      </w:r>
      <w:r>
        <w:rPr>
          <w:rFonts w:eastAsia="Arial Unicode MS"/>
        </w:rPr>
        <w:t>I am satisfied that t</w:t>
      </w:r>
      <w:r w:rsidR="00EF1074" w:rsidRPr="00042CA4">
        <w:rPr>
          <w:rFonts w:eastAsia="Arial Unicode MS"/>
        </w:rPr>
        <w:t xml:space="preserve">o properly construe s. 42 and to give the power to extend a planning permission there provided for its true meaning and effect, it is necessary to have regard to where s. 42 fits in the statutory scheme and how the separate provisions are intended by the Legislature to interact.  Construing ss. </w:t>
      </w:r>
      <w:r w:rsidR="00EF1074">
        <w:rPr>
          <w:rFonts w:eastAsia="Arial Unicode MS"/>
        </w:rPr>
        <w:t xml:space="preserve">10, </w:t>
      </w:r>
      <w:r w:rsidR="00EF1074" w:rsidRPr="00042CA4">
        <w:rPr>
          <w:rFonts w:eastAsia="Arial Unicode MS"/>
        </w:rPr>
        <w:t>18, 19 and 42 together it seems to me that there is a clear legislative intention that</w:t>
      </w:r>
      <w:r w:rsidR="00EF1074">
        <w:rPr>
          <w:rFonts w:eastAsia="Arial Unicode MS"/>
        </w:rPr>
        <w:t xml:space="preserve"> planning objectives may be identified in a local area plan,</w:t>
      </w:r>
      <w:r w:rsidR="00EF1074" w:rsidRPr="00042CA4">
        <w:rPr>
          <w:rFonts w:eastAsia="Arial Unicode MS"/>
        </w:rPr>
        <w:t xml:space="preserve"> a planning permission granted in line with a previous development plan may be extended subject to the </w:t>
      </w:r>
      <w:r w:rsidR="00F011F3">
        <w:rPr>
          <w:rFonts w:eastAsia="Arial Unicode MS"/>
        </w:rPr>
        <w:t>respondent</w:t>
      </w:r>
      <w:r w:rsidR="00EF1074" w:rsidRPr="00042CA4">
        <w:rPr>
          <w:rFonts w:eastAsia="Arial Unicode MS"/>
        </w:rPr>
        <w:t xml:space="preserve"> being satisfied that there are no significant changes in development objectives and objectives incorporated into a local area plan may also be extended for so long as they are “</w:t>
      </w:r>
      <w:r w:rsidR="00EF1074" w:rsidRPr="00E902F2">
        <w:rPr>
          <w:rFonts w:eastAsia="Arial Unicode MS"/>
          <w:i/>
          <w:iCs/>
        </w:rPr>
        <w:t>consistent</w:t>
      </w:r>
      <w:r w:rsidR="00EF1074" w:rsidRPr="00042CA4">
        <w:rPr>
          <w:rFonts w:eastAsia="Arial Unicode MS"/>
        </w:rPr>
        <w:t xml:space="preserve">” with the objectives set in a new development plan.  Where there </w:t>
      </w:r>
      <w:r w:rsidR="00FD05F2">
        <w:rPr>
          <w:rFonts w:eastAsia="Arial Unicode MS"/>
        </w:rPr>
        <w:t xml:space="preserve">is </w:t>
      </w:r>
      <w:r w:rsidR="00EF1074" w:rsidRPr="00042CA4">
        <w:rPr>
          <w:rFonts w:eastAsia="Arial Unicode MS"/>
        </w:rPr>
        <w:t xml:space="preserve">an inconsistency, provision is made to vary the plan.  </w:t>
      </w:r>
    </w:p>
    <w:p w14:paraId="09D6AEBC" w14:textId="77777777" w:rsidR="00EF1074" w:rsidRPr="00042CA4" w:rsidRDefault="00EF1074" w:rsidP="00B04847">
      <w:pPr>
        <w:spacing w:line="360" w:lineRule="auto"/>
        <w:jc w:val="both"/>
      </w:pPr>
    </w:p>
    <w:p w14:paraId="0BFA0B36" w14:textId="77777777" w:rsidR="006524A4" w:rsidRPr="006524A4" w:rsidRDefault="00FC5670" w:rsidP="00B04847">
      <w:pPr>
        <w:numPr>
          <w:ilvl w:val="0"/>
          <w:numId w:val="1"/>
        </w:numPr>
        <w:spacing w:line="360" w:lineRule="auto"/>
        <w:ind w:left="0" w:firstLine="0"/>
        <w:jc w:val="both"/>
        <w:rPr>
          <w:i/>
          <w:iCs/>
        </w:rPr>
      </w:pPr>
      <w:r>
        <w:t>Interpreting</w:t>
      </w:r>
      <w:r w:rsidR="00783EBA">
        <w:t xml:space="preserve"> the</w:t>
      </w:r>
      <w:r w:rsidR="00EF1074">
        <w:t xml:space="preserve"> statutory</w:t>
      </w:r>
      <w:r w:rsidR="00783EBA">
        <w:t xml:space="preserve"> provisions</w:t>
      </w:r>
      <w:r w:rsidR="00EF1074">
        <w:t xml:space="preserve"> both</w:t>
      </w:r>
      <w:r>
        <w:t xml:space="preserve"> by relying on the</w:t>
      </w:r>
      <w:r w:rsidR="00783EBA">
        <w:t xml:space="preserve"> literal</w:t>
      </w:r>
      <w:r>
        <w:t xml:space="preserve"> meaning of the language used</w:t>
      </w:r>
      <w:r w:rsidR="00EF1074">
        <w:t xml:space="preserve"> and in context as part of the statutory scheme</w:t>
      </w:r>
      <w:r w:rsidR="00783EBA">
        <w:t xml:space="preserve">, it appears </w:t>
      </w:r>
      <w:r w:rsidR="00415237">
        <w:t xml:space="preserve">to </w:t>
      </w:r>
      <w:r w:rsidR="00B521CB">
        <w:t>me</w:t>
      </w:r>
      <w:r w:rsidR="00415237">
        <w:t xml:space="preserve"> </w:t>
      </w:r>
      <w:r w:rsidR="00783EBA">
        <w:t xml:space="preserve">that a change </w:t>
      </w:r>
      <w:r w:rsidR="00EB7905">
        <w:t xml:space="preserve">in development objectives </w:t>
      </w:r>
      <w:r w:rsidR="00ED5804">
        <w:t>by the removal of a specific local objective is not</w:t>
      </w:r>
      <w:r w:rsidR="009E6637">
        <w:t xml:space="preserve"> necessarily </w:t>
      </w:r>
      <w:r w:rsidR="00ED5804">
        <w:t>a change</w:t>
      </w:r>
      <w:r w:rsidR="009E6637">
        <w:t xml:space="preserve"> which</w:t>
      </w:r>
      <w:r w:rsidR="00415237">
        <w:t xml:space="preserve"> would</w:t>
      </w:r>
      <w:r w:rsidR="00783EBA">
        <w:t xml:space="preserve"> bring the</w:t>
      </w:r>
      <w:r w:rsidR="00042CA4">
        <w:t xml:space="preserve"> existing</w:t>
      </w:r>
      <w:r w:rsidR="00783EBA">
        <w:t xml:space="preserve"> LAP </w:t>
      </w:r>
      <w:r w:rsidR="00EF1074">
        <w:t>(</w:t>
      </w:r>
      <w:r w:rsidR="00042CA4">
        <w:t>which incorporates a specific objective</w:t>
      </w:r>
      <w:r w:rsidR="00EF1074">
        <w:t>)</w:t>
      </w:r>
      <w:r w:rsidR="00042CA4">
        <w:t xml:space="preserve"> </w:t>
      </w:r>
      <w:r w:rsidR="00783EBA">
        <w:t>into conflict with</w:t>
      </w:r>
      <w:r w:rsidR="00EF1074">
        <w:t xml:space="preserve"> a new development plan</w:t>
      </w:r>
      <w:r w:rsidR="005B32FC">
        <w:t>.  That said</w:t>
      </w:r>
      <w:r w:rsidR="00ED5804">
        <w:t>,</w:t>
      </w:r>
      <w:r w:rsidR="009E6637">
        <w:t xml:space="preserve"> in determining whether the change is </w:t>
      </w:r>
      <w:r w:rsidR="00ED5804">
        <w:t>“</w:t>
      </w:r>
      <w:r w:rsidR="009E6637" w:rsidRPr="006973DA">
        <w:rPr>
          <w:i/>
          <w:iCs/>
        </w:rPr>
        <w:t>significant</w:t>
      </w:r>
      <w:r w:rsidR="00ED5804">
        <w:t>”</w:t>
      </w:r>
      <w:r w:rsidR="009E6637">
        <w:t xml:space="preserve"> the question of whether it conflicts </w:t>
      </w:r>
      <w:r w:rsidR="00EF1074">
        <w:t xml:space="preserve">or is consistent </w:t>
      </w:r>
      <w:r w:rsidR="009E6637">
        <w:t xml:space="preserve">with the new </w:t>
      </w:r>
      <w:r w:rsidR="00EF1074">
        <w:t>d</w:t>
      </w:r>
      <w:r w:rsidR="009E6637">
        <w:t xml:space="preserve">evelopment </w:t>
      </w:r>
      <w:r w:rsidR="00EF1074">
        <w:t>p</w:t>
      </w:r>
      <w:r w:rsidR="009E6637">
        <w:t>lan is</w:t>
      </w:r>
      <w:r w:rsidR="00C73A95">
        <w:t>, to my mind,</w:t>
      </w:r>
      <w:r w:rsidR="009E6637">
        <w:t xml:space="preserve"> a relevant consideration</w:t>
      </w:r>
      <w:r w:rsidR="00415237">
        <w:t xml:space="preserve">.  </w:t>
      </w:r>
      <w:r w:rsidR="00ED5804">
        <w:t>It seems to me that where a change is not inconsistent, it is less likely to reach the threshold of “</w:t>
      </w:r>
      <w:r w:rsidR="00ED5804" w:rsidRPr="00E902F2">
        <w:rPr>
          <w:i/>
          <w:iCs/>
        </w:rPr>
        <w:t>significant</w:t>
      </w:r>
      <w:r w:rsidR="00ED5804">
        <w:t xml:space="preserve">”.  </w:t>
      </w:r>
      <w:r w:rsidR="009E6637">
        <w:t>Si</w:t>
      </w:r>
      <w:r w:rsidR="00B521CB">
        <w:t xml:space="preserve">milarly, </w:t>
      </w:r>
      <w:r w:rsidR="00E12933">
        <w:t xml:space="preserve">while a significant change is not necessarily an inconsistent change, </w:t>
      </w:r>
      <w:r w:rsidR="00B521CB">
        <w:t>it seems to me that</w:t>
      </w:r>
      <w:r w:rsidR="00783EBA">
        <w:t xml:space="preserve"> change </w:t>
      </w:r>
      <w:r w:rsidR="006524A4">
        <w:t xml:space="preserve">which is inconsistent with the </w:t>
      </w:r>
      <w:r w:rsidR="00EF1074">
        <w:t>development plan</w:t>
      </w:r>
      <w:r w:rsidR="006524A4">
        <w:t xml:space="preserve"> is more likely to be considered </w:t>
      </w:r>
      <w:r w:rsidR="00F320CD">
        <w:t>“</w:t>
      </w:r>
      <w:r w:rsidR="00783EBA" w:rsidRPr="00E902F2">
        <w:rPr>
          <w:i/>
          <w:iCs/>
        </w:rPr>
        <w:t>significant</w:t>
      </w:r>
      <w:r w:rsidR="00F320CD">
        <w:t>”</w:t>
      </w:r>
      <w:r w:rsidR="00783EBA" w:rsidRPr="00292085">
        <w:t xml:space="preserve">. </w:t>
      </w:r>
      <w:r w:rsidR="00B521CB">
        <w:t xml:space="preserve"> </w:t>
      </w:r>
    </w:p>
    <w:p w14:paraId="128CD0D7" w14:textId="77777777" w:rsidR="006524A4" w:rsidRDefault="006524A4" w:rsidP="00B04847">
      <w:pPr>
        <w:spacing w:line="360" w:lineRule="auto"/>
        <w:jc w:val="both"/>
        <w:rPr>
          <w:i/>
          <w:iCs/>
        </w:rPr>
      </w:pPr>
    </w:p>
    <w:p w14:paraId="3F3480C0" w14:textId="77777777" w:rsidR="00FC5670" w:rsidRPr="00FC5670" w:rsidRDefault="00B521CB" w:rsidP="00B04847">
      <w:pPr>
        <w:numPr>
          <w:ilvl w:val="0"/>
          <w:numId w:val="1"/>
        </w:numPr>
        <w:spacing w:line="360" w:lineRule="auto"/>
        <w:ind w:left="0" w:firstLine="0"/>
        <w:jc w:val="both"/>
        <w:rPr>
          <w:rStyle w:val="change"/>
        </w:rPr>
      </w:pPr>
      <w:r>
        <w:t xml:space="preserve">Thus, when gauging whether </w:t>
      </w:r>
      <w:r w:rsidR="00EF1074">
        <w:t>the</w:t>
      </w:r>
      <w:r>
        <w:t xml:space="preserve"> change</w:t>
      </w:r>
      <w:r w:rsidR="00EF1074">
        <w:t xml:space="preserve"> in this case</w:t>
      </w:r>
      <w:r>
        <w:t xml:space="preserve"> is “</w:t>
      </w:r>
      <w:r w:rsidRPr="00E902F2">
        <w:rPr>
          <w:i/>
          <w:iCs/>
        </w:rPr>
        <w:t>significant</w:t>
      </w:r>
      <w:r>
        <w:t xml:space="preserve">”, </w:t>
      </w:r>
      <w:r w:rsidR="00E12933">
        <w:t>i</w:t>
      </w:r>
      <w:r>
        <w:t xml:space="preserve">t is relevant to consider whether the proposal now conflicts with or is inconsistent with the </w:t>
      </w:r>
      <w:r w:rsidR="00C95191">
        <w:t xml:space="preserve">2023 </w:t>
      </w:r>
      <w:r w:rsidR="00014DB9">
        <w:t>D</w:t>
      </w:r>
      <w:r>
        <w:t xml:space="preserve">evelopment </w:t>
      </w:r>
      <w:r w:rsidR="00014DB9">
        <w:t>P</w:t>
      </w:r>
      <w:r>
        <w:t xml:space="preserve">lan.  </w:t>
      </w:r>
      <w:r w:rsidR="00783EBA" w:rsidRPr="00292085">
        <w:t xml:space="preserve">In this context, </w:t>
      </w:r>
      <w:r>
        <w:t>I consider</w:t>
      </w:r>
      <w:r w:rsidR="00783EBA" w:rsidRPr="00292085">
        <w:t xml:space="preserve"> it important to recall that under </w:t>
      </w:r>
      <w:r w:rsidR="00FD05F2">
        <w:t>s.</w:t>
      </w:r>
      <w:r w:rsidR="00FD05F2" w:rsidRPr="00292085">
        <w:t xml:space="preserve"> </w:t>
      </w:r>
      <w:r w:rsidR="00783EBA" w:rsidRPr="006524A4">
        <w:rPr>
          <w:rStyle w:val="markup"/>
          <w:bCs/>
          <w:shd w:val="clear" w:color="auto" w:fill="FFFFFF"/>
        </w:rPr>
        <w:t>19</w:t>
      </w:r>
      <w:r w:rsidR="00783EBA" w:rsidRPr="006524A4">
        <w:rPr>
          <w:rStyle w:val="change"/>
          <w:shd w:val="clear" w:color="auto" w:fill="FFFFFF"/>
        </w:rPr>
        <w:t xml:space="preserve">(2B) of the PDA where any objective of a local area plan is no longer consistent with the objectives of a development plan for the area, the planning authority is required as soon as may be (and in any event not later than one year following the making of the development plan) amend the local area plan so that its objectives are consistent with the objectives of the development plan. </w:t>
      </w:r>
      <w:r w:rsidR="00FC5670">
        <w:rPr>
          <w:rStyle w:val="change"/>
          <w:shd w:val="clear" w:color="auto" w:fill="FFFFFF"/>
        </w:rPr>
        <w:t>It can</w:t>
      </w:r>
      <w:r w:rsidR="00D94346" w:rsidRPr="006524A4">
        <w:rPr>
          <w:rStyle w:val="change"/>
          <w:shd w:val="clear" w:color="auto" w:fill="FFFFFF"/>
        </w:rPr>
        <w:t>not properly be ignored that n</w:t>
      </w:r>
      <w:r w:rsidR="00415237" w:rsidRPr="006524A4">
        <w:rPr>
          <w:rStyle w:val="change"/>
          <w:shd w:val="clear" w:color="auto" w:fill="FFFFFF"/>
        </w:rPr>
        <w:t xml:space="preserve">o application to amend the </w:t>
      </w:r>
      <w:r w:rsidR="00C73A95" w:rsidRPr="006524A4">
        <w:rPr>
          <w:rStyle w:val="change"/>
          <w:shd w:val="clear" w:color="auto" w:fill="FFFFFF"/>
        </w:rPr>
        <w:t xml:space="preserve">LAP </w:t>
      </w:r>
      <w:r w:rsidR="00415237" w:rsidRPr="006524A4">
        <w:rPr>
          <w:rStyle w:val="change"/>
          <w:shd w:val="clear" w:color="auto" w:fill="FFFFFF"/>
        </w:rPr>
        <w:t>was made in this case.</w:t>
      </w:r>
      <w:r w:rsidR="00C73A95" w:rsidRPr="006524A4">
        <w:rPr>
          <w:rStyle w:val="change"/>
          <w:shd w:val="clear" w:color="auto" w:fill="FFFFFF"/>
        </w:rPr>
        <w:t xml:space="preserve"> Furthermore,</w:t>
      </w:r>
      <w:r w:rsidR="00415237" w:rsidRPr="006524A4">
        <w:rPr>
          <w:rStyle w:val="change"/>
          <w:shd w:val="clear" w:color="auto" w:fill="FFFFFF"/>
        </w:rPr>
        <w:t xml:space="preserve"> the</w:t>
      </w:r>
      <w:r w:rsidR="00E65842" w:rsidRPr="006524A4">
        <w:rPr>
          <w:rStyle w:val="change"/>
          <w:shd w:val="clear" w:color="auto" w:fill="FFFFFF"/>
        </w:rPr>
        <w:t xml:space="preserve"> </w:t>
      </w:r>
      <w:r w:rsidR="00C73A95" w:rsidRPr="006524A4">
        <w:rPr>
          <w:rStyle w:val="change"/>
          <w:shd w:val="clear" w:color="auto" w:fill="FFFFFF"/>
        </w:rPr>
        <w:t xml:space="preserve">fact that </w:t>
      </w:r>
      <w:r w:rsidR="00FD05F2">
        <w:rPr>
          <w:rStyle w:val="change"/>
          <w:shd w:val="clear" w:color="auto" w:fill="FFFFFF"/>
        </w:rPr>
        <w:t xml:space="preserve">the </w:t>
      </w:r>
      <w:r w:rsidR="00F011F3">
        <w:rPr>
          <w:rStyle w:val="change"/>
          <w:shd w:val="clear" w:color="auto" w:fill="FFFFFF"/>
        </w:rPr>
        <w:t>respondent</w:t>
      </w:r>
      <w:r w:rsidR="00783EBA" w:rsidRPr="006524A4">
        <w:rPr>
          <w:rStyle w:val="change"/>
          <w:shd w:val="clear" w:color="auto" w:fill="FFFFFF"/>
        </w:rPr>
        <w:t xml:space="preserve"> did not seek to amend the </w:t>
      </w:r>
      <w:r w:rsidR="006973DA">
        <w:rPr>
          <w:rStyle w:val="change"/>
          <w:shd w:val="clear" w:color="auto" w:fill="FFFFFF"/>
        </w:rPr>
        <w:t xml:space="preserve">LAP </w:t>
      </w:r>
      <w:r w:rsidR="00783EBA" w:rsidRPr="006524A4">
        <w:rPr>
          <w:rStyle w:val="change"/>
          <w:shd w:val="clear" w:color="auto" w:fill="FFFFFF"/>
        </w:rPr>
        <w:t>before extending it but extended it unchanged on the basis that it was consistent with the new development plan</w:t>
      </w:r>
      <w:r w:rsidR="00C73A95" w:rsidRPr="006524A4">
        <w:rPr>
          <w:rStyle w:val="change"/>
          <w:shd w:val="clear" w:color="auto" w:fill="FFFFFF"/>
        </w:rPr>
        <w:t xml:space="preserve"> is a factor which could influence a decision as to whether the change was significant or not.</w:t>
      </w:r>
      <w:r w:rsidR="00362281">
        <w:rPr>
          <w:rStyle w:val="change"/>
          <w:shd w:val="clear" w:color="auto" w:fill="FFFFFF"/>
        </w:rPr>
        <w:t xml:space="preserve">  </w:t>
      </w:r>
    </w:p>
    <w:p w14:paraId="5C3C2BE0" w14:textId="77777777" w:rsidR="00FC5670" w:rsidRDefault="00FC5670" w:rsidP="00B04847">
      <w:pPr>
        <w:pStyle w:val="ListParagraph"/>
        <w:ind w:left="0"/>
        <w:rPr>
          <w:rStyle w:val="change"/>
          <w:shd w:val="clear" w:color="auto" w:fill="FFFFFF"/>
        </w:rPr>
      </w:pPr>
    </w:p>
    <w:p w14:paraId="0B6C2052" w14:textId="77777777" w:rsidR="00482C22" w:rsidRPr="00482C22" w:rsidRDefault="00362281" w:rsidP="00B04847">
      <w:pPr>
        <w:numPr>
          <w:ilvl w:val="0"/>
          <w:numId w:val="1"/>
        </w:numPr>
        <w:spacing w:line="360" w:lineRule="auto"/>
        <w:ind w:left="0" w:firstLine="0"/>
        <w:jc w:val="both"/>
      </w:pPr>
      <w:r>
        <w:rPr>
          <w:rStyle w:val="change"/>
          <w:shd w:val="clear" w:color="auto" w:fill="FFFFFF"/>
        </w:rPr>
        <w:t xml:space="preserve">While the </w:t>
      </w:r>
      <w:r w:rsidR="00F011F3">
        <w:rPr>
          <w:rStyle w:val="change"/>
          <w:shd w:val="clear" w:color="auto" w:fill="FFFFFF"/>
        </w:rPr>
        <w:t>respondent</w:t>
      </w:r>
      <w:r>
        <w:rPr>
          <w:rStyle w:val="change"/>
          <w:shd w:val="clear" w:color="auto" w:fill="FFFFFF"/>
        </w:rPr>
        <w:t xml:space="preserve"> contends that it was not necessary to vary the LAP to bring it into line with the new development plan as it has ceased to exist</w:t>
      </w:r>
      <w:r w:rsidR="00112494">
        <w:rPr>
          <w:rStyle w:val="change"/>
          <w:shd w:val="clear" w:color="auto" w:fill="FFFFFF"/>
        </w:rPr>
        <w:t>, by virtue of a conflict with the development plan</w:t>
      </w:r>
      <w:r>
        <w:rPr>
          <w:rStyle w:val="change"/>
          <w:shd w:val="clear" w:color="auto" w:fill="FFFFFF"/>
        </w:rPr>
        <w:t xml:space="preserve"> pursuant to s. 18, I have a significant difficulty with the logic of this argument which appears to ignore the sequence of decision making relevant to this case.  </w:t>
      </w:r>
      <w:r w:rsidR="00FC5670">
        <w:rPr>
          <w:rFonts w:eastAsia="Arial Unicode MS"/>
        </w:rPr>
        <w:t xml:space="preserve">It is </w:t>
      </w:r>
      <w:r w:rsidR="00112494">
        <w:rPr>
          <w:rFonts w:eastAsia="Arial Unicode MS"/>
        </w:rPr>
        <w:t>unclear to me how</w:t>
      </w:r>
      <w:r w:rsidR="00FC5670">
        <w:rPr>
          <w:rFonts w:eastAsia="Arial Unicode MS"/>
        </w:rPr>
        <w:t xml:space="preserve"> the reasonably intelligent </w:t>
      </w:r>
      <w:r w:rsidR="00C95191">
        <w:rPr>
          <w:rFonts w:eastAsia="Arial Unicode MS"/>
        </w:rPr>
        <w:t>person</w:t>
      </w:r>
      <w:r w:rsidR="00FC5670">
        <w:rPr>
          <w:rFonts w:eastAsia="Arial Unicode MS"/>
        </w:rPr>
        <w:t xml:space="preserve"> seeking to construe a development plan </w:t>
      </w:r>
      <w:r w:rsidR="00112494">
        <w:rPr>
          <w:rFonts w:eastAsia="Arial Unicode MS"/>
        </w:rPr>
        <w:t>should understand that a provision has ceased to exist without this being expressly stated.  W</w:t>
      </w:r>
      <w:r w:rsidR="00FC5670">
        <w:rPr>
          <w:rFonts w:eastAsia="Arial Unicode MS"/>
        </w:rPr>
        <w:t xml:space="preserve">hereas </w:t>
      </w:r>
      <w:r w:rsidRPr="00042CA4">
        <w:rPr>
          <w:rFonts w:eastAsia="Arial Unicode MS"/>
        </w:rPr>
        <w:t xml:space="preserve">s. 18 provides that a provision in an LAP which conflicts with the new development plan ceases to exist, no provision is made to make clear when this occurs.  </w:t>
      </w:r>
      <w:r w:rsidR="00AA6F58">
        <w:rPr>
          <w:rFonts w:eastAsia="Arial Unicode MS"/>
        </w:rPr>
        <w:t xml:space="preserve">Nor do I accept that it is proper to interpret the 2013 LAP as extended as no longer including </w:t>
      </w:r>
      <w:r w:rsidR="001E0D68">
        <w:rPr>
          <w:rFonts w:eastAsia="Arial Unicode MS"/>
        </w:rPr>
        <w:t xml:space="preserve">Local Objective No. </w:t>
      </w:r>
      <w:r w:rsidR="00AA6F58">
        <w:rPr>
          <w:rFonts w:eastAsia="Arial Unicode MS"/>
        </w:rPr>
        <w:t xml:space="preserve">469 within its terms in reliance on a single map legend </w:t>
      </w:r>
      <w:r w:rsidR="00DA60C3">
        <w:rPr>
          <w:rFonts w:eastAsia="Arial Unicode MS"/>
        </w:rPr>
        <w:t>because of the use of the words</w:t>
      </w:r>
      <w:r w:rsidR="00AA6F58">
        <w:rPr>
          <w:rFonts w:eastAsia="Arial Unicode MS"/>
        </w:rPr>
        <w:t xml:space="preserve"> “</w:t>
      </w:r>
      <w:r w:rsidR="00AA6F58" w:rsidRPr="00E902F2">
        <w:rPr>
          <w:rFonts w:eastAsia="Arial Unicode MS"/>
          <w:i/>
          <w:iCs/>
        </w:rPr>
        <w:t xml:space="preserve">or as may be revised </w:t>
      </w:r>
      <w:r w:rsidR="00DA60C3" w:rsidRPr="00E902F2">
        <w:rPr>
          <w:rFonts w:eastAsia="Arial Unicode MS"/>
          <w:i/>
          <w:iCs/>
        </w:rPr>
        <w:t>in any future Development Plan</w:t>
      </w:r>
      <w:r w:rsidR="00DA60C3">
        <w:rPr>
          <w:rFonts w:eastAsia="Arial Unicode MS"/>
        </w:rPr>
        <w:t xml:space="preserve">.”  The fact that there are several references to the local objective but these words are used only in one place (and as part of a map legend rather than the text proper of the LAP) </w:t>
      </w:r>
      <w:r w:rsidR="006140BA">
        <w:rPr>
          <w:rFonts w:eastAsia="Arial Unicode MS"/>
        </w:rPr>
        <w:t xml:space="preserve">supports </w:t>
      </w:r>
      <w:r w:rsidR="00DA60C3">
        <w:rPr>
          <w:rFonts w:eastAsia="Arial Unicode MS"/>
        </w:rPr>
        <w:t>my view that it would be inappropriate to place much reliance on these words, particularly in view of the statutory framework which makes express provision for the steps to be taken in the event of a revision which requires a change to a local area plan but no such steps were taken following the adoption of the 2023 Development Plan.</w:t>
      </w:r>
    </w:p>
    <w:p w14:paraId="4E20AB80" w14:textId="77777777" w:rsidR="00482C22" w:rsidRPr="00482C22" w:rsidRDefault="00482C22" w:rsidP="00B04847">
      <w:pPr>
        <w:spacing w:line="360" w:lineRule="auto"/>
        <w:jc w:val="both"/>
      </w:pPr>
    </w:p>
    <w:p w14:paraId="566032CD" w14:textId="77777777" w:rsidR="001B1D85" w:rsidRPr="00E902F2" w:rsidRDefault="00362281" w:rsidP="00A06FB3">
      <w:pPr>
        <w:pStyle w:val="ListParagraph"/>
        <w:numPr>
          <w:ilvl w:val="0"/>
          <w:numId w:val="1"/>
        </w:numPr>
        <w:spacing w:line="360" w:lineRule="auto"/>
        <w:ind w:left="0" w:firstLine="0"/>
        <w:jc w:val="both"/>
      </w:pPr>
      <w:r w:rsidRPr="00F43E74">
        <w:rPr>
          <w:rFonts w:eastAsia="Arial Unicode MS"/>
        </w:rPr>
        <w:t xml:space="preserve">On the </w:t>
      </w:r>
      <w:r w:rsidR="00F011F3" w:rsidRPr="006D58E2">
        <w:rPr>
          <w:rFonts w:eastAsia="Arial Unicode MS"/>
        </w:rPr>
        <w:t>respondent</w:t>
      </w:r>
      <w:r w:rsidRPr="006D58E2">
        <w:rPr>
          <w:rFonts w:eastAsia="Arial Unicode MS"/>
        </w:rPr>
        <w:t xml:space="preserve">’s case the </w:t>
      </w:r>
      <w:r w:rsidR="001E0D68" w:rsidRPr="006D58E2">
        <w:rPr>
          <w:rFonts w:eastAsia="Arial Unicode MS"/>
        </w:rPr>
        <w:t>reasonably</w:t>
      </w:r>
      <w:r w:rsidR="001E0D68" w:rsidRPr="00F25EC8">
        <w:rPr>
          <w:rFonts w:eastAsia="Arial Unicode MS"/>
        </w:rPr>
        <w:t xml:space="preserve"> inte</w:t>
      </w:r>
      <w:r w:rsidR="001E0D68" w:rsidRPr="00AC21C9">
        <w:rPr>
          <w:rFonts w:eastAsia="Arial Unicode MS"/>
        </w:rPr>
        <w:t>lligent</w:t>
      </w:r>
      <w:r w:rsidRPr="00C05BCE">
        <w:rPr>
          <w:rFonts w:eastAsia="Arial Unicode MS"/>
        </w:rPr>
        <w:t xml:space="preserve"> </w:t>
      </w:r>
      <w:r w:rsidR="00C95191" w:rsidRPr="002057CB">
        <w:rPr>
          <w:rFonts w:eastAsia="Arial Unicode MS"/>
        </w:rPr>
        <w:t>person</w:t>
      </w:r>
      <w:r w:rsidRPr="002057CB">
        <w:rPr>
          <w:rFonts w:eastAsia="Arial Unicode MS"/>
        </w:rPr>
        <w:t xml:space="preserve"> interpreting the development plan is expected to know that a provision has ceased to exist even though it appears in black and white in a current </w:t>
      </w:r>
      <w:r w:rsidR="00FC5670" w:rsidRPr="002057CB">
        <w:rPr>
          <w:rFonts w:eastAsia="Arial Unicode MS"/>
        </w:rPr>
        <w:t xml:space="preserve">local area </w:t>
      </w:r>
      <w:r w:rsidRPr="002057CB">
        <w:rPr>
          <w:rFonts w:eastAsia="Arial Unicode MS"/>
        </w:rPr>
        <w:t>plan</w:t>
      </w:r>
      <w:r w:rsidR="00FC5670" w:rsidRPr="002057CB">
        <w:rPr>
          <w:rFonts w:eastAsia="Arial Unicode MS"/>
        </w:rPr>
        <w:t xml:space="preserve"> as published by the </w:t>
      </w:r>
      <w:r w:rsidR="00F011F3" w:rsidRPr="002057CB">
        <w:rPr>
          <w:rFonts w:eastAsia="Arial Unicode MS"/>
        </w:rPr>
        <w:t>respondent</w:t>
      </w:r>
      <w:r w:rsidRPr="002057CB">
        <w:rPr>
          <w:rFonts w:eastAsia="Arial Unicode MS"/>
        </w:rPr>
        <w:t>.  This is an interpretative feat which I do not consider it appropriate to expect of a reasonabl</w:t>
      </w:r>
      <w:r w:rsidR="00C95191" w:rsidRPr="002057CB">
        <w:rPr>
          <w:rFonts w:eastAsia="Arial Unicode MS"/>
        </w:rPr>
        <w:t>y</w:t>
      </w:r>
      <w:r w:rsidR="00112494" w:rsidRPr="002057CB">
        <w:rPr>
          <w:rFonts w:eastAsia="Arial Unicode MS"/>
        </w:rPr>
        <w:t xml:space="preserve"> intelligent </w:t>
      </w:r>
      <w:r w:rsidR="00C95191" w:rsidRPr="002057CB">
        <w:rPr>
          <w:rFonts w:eastAsia="Arial Unicode MS"/>
        </w:rPr>
        <w:t>person</w:t>
      </w:r>
      <w:r w:rsidR="00DA60C3">
        <w:rPr>
          <w:rFonts w:eastAsia="Arial Unicode MS"/>
        </w:rPr>
        <w:t xml:space="preserve"> and it is counter-intuitive</w:t>
      </w:r>
      <w:r w:rsidRPr="00DA60C3">
        <w:rPr>
          <w:rFonts w:eastAsia="Arial Unicode MS"/>
        </w:rPr>
        <w:t>.</w:t>
      </w:r>
    </w:p>
    <w:p w14:paraId="4389D27E" w14:textId="77777777" w:rsidR="00112494" w:rsidRPr="00E902F2" w:rsidRDefault="00112494" w:rsidP="00E902F2"/>
    <w:p w14:paraId="195CF475" w14:textId="77777777" w:rsidR="006973DA" w:rsidRPr="00112494" w:rsidRDefault="00362281" w:rsidP="00B04847">
      <w:pPr>
        <w:numPr>
          <w:ilvl w:val="0"/>
          <w:numId w:val="1"/>
        </w:numPr>
        <w:spacing w:line="360" w:lineRule="auto"/>
        <w:ind w:left="0" w:firstLine="0"/>
        <w:jc w:val="both"/>
        <w:rPr>
          <w:rStyle w:val="change"/>
          <w:i/>
          <w:iCs/>
        </w:rPr>
      </w:pPr>
      <w:r>
        <w:rPr>
          <w:rFonts w:eastAsia="Arial Unicode MS"/>
        </w:rPr>
        <w:t>Mo</w:t>
      </w:r>
      <w:r w:rsidR="00112494">
        <w:rPr>
          <w:rFonts w:eastAsia="Arial Unicode MS"/>
        </w:rPr>
        <w:t>st</w:t>
      </w:r>
      <w:r>
        <w:rPr>
          <w:rFonts w:eastAsia="Arial Unicode MS"/>
        </w:rPr>
        <w:t xml:space="preserve"> telling in my view is that when the </w:t>
      </w:r>
      <w:r w:rsidR="00C95191">
        <w:rPr>
          <w:rFonts w:eastAsia="Arial Unicode MS"/>
        </w:rPr>
        <w:t>2023</w:t>
      </w:r>
      <w:r w:rsidR="00B170EC">
        <w:rPr>
          <w:rFonts w:eastAsia="Arial Unicode MS"/>
        </w:rPr>
        <w:t xml:space="preserve"> </w:t>
      </w:r>
      <w:r>
        <w:rPr>
          <w:rFonts w:eastAsia="Arial Unicode MS"/>
        </w:rPr>
        <w:t xml:space="preserve">Development Plan was adopted, the </w:t>
      </w:r>
      <w:r w:rsidR="00F011F3">
        <w:rPr>
          <w:rFonts w:eastAsia="Arial Unicode MS"/>
        </w:rPr>
        <w:t>respondent</w:t>
      </w:r>
      <w:r>
        <w:rPr>
          <w:rFonts w:eastAsia="Arial Unicode MS"/>
        </w:rPr>
        <w:t xml:space="preserve"> did not proceed to </w:t>
      </w:r>
      <w:r w:rsidR="007E0574">
        <w:rPr>
          <w:rFonts w:eastAsia="Arial Unicode MS"/>
        </w:rPr>
        <w:t xml:space="preserve">remove </w:t>
      </w:r>
      <w:r>
        <w:rPr>
          <w:rFonts w:eastAsia="Arial Unicode MS"/>
        </w:rPr>
        <w:t xml:space="preserve">an inconsistent provision of the </w:t>
      </w:r>
      <w:r w:rsidR="006A72D5">
        <w:rPr>
          <w:rFonts w:eastAsia="Arial Unicode MS"/>
        </w:rPr>
        <w:t xml:space="preserve">2013 LAP </w:t>
      </w:r>
      <w:r w:rsidR="007E0574">
        <w:rPr>
          <w:rFonts w:eastAsia="Arial Unicode MS"/>
        </w:rPr>
        <w:t xml:space="preserve">by amendment </w:t>
      </w:r>
      <w:r>
        <w:rPr>
          <w:rFonts w:eastAsia="Arial Unicode MS"/>
        </w:rPr>
        <w:t xml:space="preserve">as it was obliged to do if the provision </w:t>
      </w:r>
      <w:r w:rsidR="00B170EC">
        <w:rPr>
          <w:rFonts w:eastAsia="Arial Unicode MS"/>
        </w:rPr>
        <w:t xml:space="preserve">were </w:t>
      </w:r>
      <w:r>
        <w:rPr>
          <w:rFonts w:eastAsia="Arial Unicode MS"/>
        </w:rPr>
        <w:t>considered inconsistent.  I</w:t>
      </w:r>
      <w:r w:rsidR="00112494">
        <w:rPr>
          <w:rFonts w:eastAsia="Arial Unicode MS"/>
        </w:rPr>
        <w:t>f</w:t>
      </w:r>
      <w:r>
        <w:rPr>
          <w:rFonts w:eastAsia="Arial Unicode MS"/>
        </w:rPr>
        <w:t xml:space="preserve"> the provision</w:t>
      </w:r>
      <w:r w:rsidR="00112494">
        <w:rPr>
          <w:rFonts w:eastAsia="Arial Unicode MS"/>
        </w:rPr>
        <w:t xml:space="preserve"> relating to local objective 4</w:t>
      </w:r>
      <w:r>
        <w:rPr>
          <w:rFonts w:eastAsia="Arial Unicode MS"/>
        </w:rPr>
        <w:t xml:space="preserve"> is in conflict as the </w:t>
      </w:r>
      <w:r w:rsidR="00F011F3">
        <w:rPr>
          <w:rFonts w:eastAsia="Arial Unicode MS"/>
        </w:rPr>
        <w:t>respondent</w:t>
      </w:r>
      <w:r>
        <w:rPr>
          <w:rFonts w:eastAsia="Arial Unicode MS"/>
        </w:rPr>
        <w:t xml:space="preserve"> contends, then of necessity it is “</w:t>
      </w:r>
      <w:r w:rsidRPr="00E902F2">
        <w:rPr>
          <w:rFonts w:eastAsia="Arial Unicode MS"/>
          <w:i/>
          <w:iCs/>
        </w:rPr>
        <w:t>inconsistent</w:t>
      </w:r>
      <w:r>
        <w:rPr>
          <w:rFonts w:eastAsia="Arial Unicode MS"/>
        </w:rPr>
        <w:t>”</w:t>
      </w:r>
      <w:r w:rsidR="00112494">
        <w:rPr>
          <w:rFonts w:eastAsia="Arial Unicode MS"/>
        </w:rPr>
        <w:t xml:space="preserve"> and in those circumstances an application to amend should have been made</w:t>
      </w:r>
      <w:r>
        <w:rPr>
          <w:rFonts w:eastAsia="Arial Unicode MS"/>
        </w:rPr>
        <w:t>.</w:t>
      </w:r>
      <w:r w:rsidR="00482C22">
        <w:t xml:space="preserve">  It seems to follow </w:t>
      </w:r>
      <w:r w:rsidR="00112494">
        <w:t xml:space="preserve">from the fact that an application was not made </w:t>
      </w:r>
      <w:r w:rsidR="00482C22">
        <w:t xml:space="preserve">that the </w:t>
      </w:r>
      <w:r w:rsidR="00F011F3">
        <w:t>respondent</w:t>
      </w:r>
      <w:r w:rsidR="00482C22">
        <w:t xml:space="preserve"> did not consider at anytime between the adoption of the </w:t>
      </w:r>
      <w:r w:rsidR="00C95191">
        <w:t xml:space="preserve">2023 </w:t>
      </w:r>
      <w:r w:rsidR="00482C22">
        <w:t xml:space="preserve">Development Plan and the extension of the </w:t>
      </w:r>
      <w:r w:rsidR="006A72D5">
        <w:t xml:space="preserve">2013 </w:t>
      </w:r>
      <w:r w:rsidR="00482C22">
        <w:t>LAP in March, 2018 that there was an inconsistency which warranted an amendment of the LAP.</w:t>
      </w:r>
      <w:r w:rsidR="00112494">
        <w:t xml:space="preserve">  </w:t>
      </w:r>
      <w:r w:rsidR="00112494">
        <w:rPr>
          <w:rStyle w:val="change"/>
        </w:rPr>
        <w:t>By its failure to amend the Plan to effect the removal of Map Objective 4, it seems to me that the reasonabl</w:t>
      </w:r>
      <w:r w:rsidR="00C95191">
        <w:rPr>
          <w:rStyle w:val="change"/>
        </w:rPr>
        <w:t>y</w:t>
      </w:r>
      <w:r w:rsidR="00112494">
        <w:rPr>
          <w:rStyle w:val="change"/>
        </w:rPr>
        <w:t xml:space="preserve"> intelligent </w:t>
      </w:r>
      <w:r w:rsidR="00C95191">
        <w:rPr>
          <w:rStyle w:val="change"/>
        </w:rPr>
        <w:t>person</w:t>
      </w:r>
      <w:r w:rsidR="00112494">
        <w:rPr>
          <w:rStyle w:val="change"/>
        </w:rPr>
        <w:t xml:space="preserve"> may be satisfied that in the </w:t>
      </w:r>
      <w:r w:rsidR="00F011F3">
        <w:rPr>
          <w:rStyle w:val="change"/>
        </w:rPr>
        <w:t>respondent</w:t>
      </w:r>
      <w:r w:rsidR="00112494">
        <w:rPr>
          <w:rStyle w:val="change"/>
        </w:rPr>
        <w:t xml:space="preserve">’s </w:t>
      </w:r>
      <w:r w:rsidR="00112494" w:rsidRPr="00D62566">
        <w:rPr>
          <w:rStyle w:val="change"/>
        </w:rPr>
        <w:t xml:space="preserve">view the objectives of the </w:t>
      </w:r>
      <w:r w:rsidR="00112494">
        <w:rPr>
          <w:rStyle w:val="change"/>
        </w:rPr>
        <w:t xml:space="preserve">existing </w:t>
      </w:r>
      <w:r w:rsidR="00112494" w:rsidRPr="00D62566">
        <w:rPr>
          <w:rStyle w:val="change"/>
        </w:rPr>
        <w:t xml:space="preserve">LAP </w:t>
      </w:r>
      <w:r w:rsidR="00112494">
        <w:rPr>
          <w:rStyle w:val="change"/>
        </w:rPr>
        <w:t>remain</w:t>
      </w:r>
      <w:r w:rsidR="00112494" w:rsidRPr="00D62566">
        <w:rPr>
          <w:rStyle w:val="change"/>
        </w:rPr>
        <w:t xml:space="preserve"> consistent with the objectives of the </w:t>
      </w:r>
      <w:r w:rsidR="00C95191">
        <w:rPr>
          <w:rStyle w:val="change"/>
        </w:rPr>
        <w:t>2023</w:t>
      </w:r>
      <w:r w:rsidR="00112494" w:rsidRPr="00D62566">
        <w:rPr>
          <w:rStyle w:val="change"/>
        </w:rPr>
        <w:t xml:space="preserve"> Development Plan.</w:t>
      </w:r>
    </w:p>
    <w:p w14:paraId="1E1AE753" w14:textId="77777777" w:rsidR="006973DA" w:rsidRDefault="006973DA" w:rsidP="00B04847">
      <w:pPr>
        <w:pStyle w:val="ListParagraph"/>
        <w:ind w:left="0"/>
      </w:pPr>
    </w:p>
    <w:p w14:paraId="0929252F" w14:textId="77777777" w:rsidR="001F2FD9" w:rsidRPr="00E902F2" w:rsidRDefault="00112494" w:rsidP="001F2FD9">
      <w:pPr>
        <w:numPr>
          <w:ilvl w:val="0"/>
          <w:numId w:val="1"/>
        </w:numPr>
        <w:spacing w:line="360" w:lineRule="auto"/>
        <w:ind w:left="0" w:firstLine="0"/>
        <w:jc w:val="both"/>
        <w:rPr>
          <w:i/>
          <w:iCs/>
        </w:rPr>
      </w:pPr>
      <w:r>
        <w:t>W</w:t>
      </w:r>
      <w:r w:rsidR="00C07BAA">
        <w:t xml:space="preserve">hile the </w:t>
      </w:r>
      <w:r w:rsidR="00F011F3">
        <w:t>respondent</w:t>
      </w:r>
      <w:r w:rsidR="00C07BAA">
        <w:t xml:space="preserve"> is properly concerned with changes to the development objectives of the development plan, </w:t>
      </w:r>
      <w:r>
        <w:t xml:space="preserve">I am satisfied that </w:t>
      </w:r>
      <w:r w:rsidR="00C07BAA">
        <w:t>assessing whether those changes are significant or not means that one cannot look at the</w:t>
      </w:r>
      <w:r w:rsidR="006973DA">
        <w:t xml:space="preserve"> D</w:t>
      </w:r>
      <w:r w:rsidR="00C07BAA">
        <w:t xml:space="preserve">evelopment </w:t>
      </w:r>
      <w:r w:rsidR="006973DA">
        <w:t>P</w:t>
      </w:r>
      <w:r w:rsidR="00C07BAA">
        <w:t>lan in isolation where that plan itself refers to the local area plan and where both are connected within the statutory scheme</w:t>
      </w:r>
      <w:r w:rsidR="001F2FD9">
        <w:t xml:space="preserve"> and the policy hierarchy</w:t>
      </w:r>
      <w:r w:rsidR="00C07BAA">
        <w:t xml:space="preserve">. </w:t>
      </w:r>
      <w:r w:rsidR="001F2FD9">
        <w:t xml:space="preserve">It is established that the LAP is a means used to develop local planning policy within the umbrella of wider policy objectives as part of the policy hierarchy (see </w:t>
      </w:r>
      <w:r w:rsidR="001F2FD9" w:rsidRPr="005D42DA">
        <w:rPr>
          <w:i/>
          <w:iCs/>
        </w:rPr>
        <w:t>South West Regional Shopping Centre Promotion Association Limited v. An Bord Pleanala &amp; Ors.</w:t>
      </w:r>
      <w:r w:rsidR="001F2FD9">
        <w:t xml:space="preserve"> [2016] 2 I.R. 481, para. 100, which concerned a modification of an extended permission as opposed to an application to extend simpliciter, where Costello J. referred to the “</w:t>
      </w:r>
      <w:r w:rsidR="001F2FD9" w:rsidRPr="00E902F2">
        <w:rPr>
          <w:i/>
          <w:iCs/>
        </w:rPr>
        <w:t>policy hierarchy</w:t>
      </w:r>
      <w:r w:rsidR="001F2FD9">
        <w:t xml:space="preserve">” which included local area plans).  </w:t>
      </w:r>
    </w:p>
    <w:p w14:paraId="0A84413D" w14:textId="77777777" w:rsidR="000C556C" w:rsidRPr="005D42DA" w:rsidRDefault="000C556C" w:rsidP="00E902F2">
      <w:pPr>
        <w:spacing w:line="360" w:lineRule="auto"/>
        <w:jc w:val="both"/>
        <w:rPr>
          <w:i/>
          <w:iCs/>
        </w:rPr>
      </w:pPr>
    </w:p>
    <w:p w14:paraId="0EC76760" w14:textId="77777777" w:rsidR="002C6A70" w:rsidRPr="00E902F2" w:rsidRDefault="00C95191" w:rsidP="001F2FD9">
      <w:pPr>
        <w:numPr>
          <w:ilvl w:val="0"/>
          <w:numId w:val="1"/>
        </w:numPr>
        <w:spacing w:line="360" w:lineRule="auto"/>
        <w:ind w:left="0" w:firstLine="0"/>
        <w:jc w:val="both"/>
        <w:rPr>
          <w:i/>
          <w:iCs/>
        </w:rPr>
      </w:pPr>
      <w:r>
        <w:t xml:space="preserve">Indeed, it is clear from the language of s. 42(a)(ii) that the respondent is directed to the </w:t>
      </w:r>
      <w:r w:rsidR="000C556C">
        <w:t xml:space="preserve">development </w:t>
      </w:r>
      <w:r>
        <w:t xml:space="preserve">objectives in a range of policy documents (not limited to the </w:t>
      </w:r>
      <w:r w:rsidR="000C556C">
        <w:t>d</w:t>
      </w:r>
      <w:r>
        <w:t xml:space="preserve">evelopment </w:t>
      </w:r>
      <w:r w:rsidR="000C556C">
        <w:t>p</w:t>
      </w:r>
      <w:r>
        <w:t>lan</w:t>
      </w:r>
      <w:r w:rsidR="008B186F">
        <w:t xml:space="preserve"> albeit not expressly identifying the LAP)</w:t>
      </w:r>
      <w:r w:rsidR="005F7F9A">
        <w:t xml:space="preserve"> for a particular purpose namely</w:t>
      </w:r>
      <w:r>
        <w:t xml:space="preserve"> to identify whether the development</w:t>
      </w:r>
      <w:r w:rsidR="008B186F">
        <w:t xml:space="preserve"> would be consistent with the proper planning and sustainable development of the area.  </w:t>
      </w:r>
      <w:r w:rsidR="005F7F9A">
        <w:t xml:space="preserve">The </w:t>
      </w:r>
      <w:r w:rsidR="001F2FD9">
        <w:t xml:space="preserve">statutory </w:t>
      </w:r>
      <w:r w:rsidR="005F7F9A">
        <w:t xml:space="preserve">purpose is </w:t>
      </w:r>
      <w:r w:rsidR="001F2FD9">
        <w:t xml:space="preserve">therefore </w:t>
      </w:r>
      <w:r w:rsidR="005F7F9A">
        <w:t xml:space="preserve">to support proper planning and sustainable development and to interpret what that means for the area </w:t>
      </w:r>
      <w:r w:rsidR="001F2FD9">
        <w:t xml:space="preserve">in question </w:t>
      </w:r>
      <w:r w:rsidR="005F7F9A">
        <w:t xml:space="preserve">rather than to interpret the terms of a development plan as though it were a statute.  </w:t>
      </w:r>
      <w:r w:rsidR="008B186F">
        <w:t xml:space="preserve">It </w:t>
      </w:r>
      <w:r w:rsidR="002C6A70">
        <w:t xml:space="preserve">seems </w:t>
      </w:r>
      <w:r w:rsidR="005F7F9A">
        <w:t xml:space="preserve">to me, as identified by Simons J. in the </w:t>
      </w:r>
      <w:r w:rsidR="005F7F9A" w:rsidRPr="00E902F2">
        <w:rPr>
          <w:i/>
          <w:iCs/>
        </w:rPr>
        <w:t>Friends of the Environment</w:t>
      </w:r>
      <w:r w:rsidR="005F7F9A">
        <w:t xml:space="preserve"> cited above,</w:t>
      </w:r>
      <w:r w:rsidR="008B186F">
        <w:t xml:space="preserve"> that the statutory intention is directed to supporting evolving policy with regard to proper planning and sustainable development of the area as identified through the relevant policy documents. </w:t>
      </w:r>
      <w:r>
        <w:t xml:space="preserve"> </w:t>
      </w:r>
    </w:p>
    <w:p w14:paraId="12D599C8" w14:textId="77777777" w:rsidR="000C556C" w:rsidRPr="00311B2B" w:rsidRDefault="000C556C" w:rsidP="00E902F2"/>
    <w:p w14:paraId="27794135" w14:textId="77777777" w:rsidR="00921C4A" w:rsidRDefault="008B186F" w:rsidP="001B1D85">
      <w:pPr>
        <w:numPr>
          <w:ilvl w:val="0"/>
          <w:numId w:val="1"/>
        </w:numPr>
        <w:spacing w:line="360" w:lineRule="auto"/>
        <w:ind w:left="0" w:firstLine="0"/>
        <w:jc w:val="both"/>
        <w:rPr>
          <w:i/>
          <w:iCs/>
        </w:rPr>
      </w:pPr>
      <w:r>
        <w:t>The fact that policy</w:t>
      </w:r>
      <w:r w:rsidR="005A47CD">
        <w:t xml:space="preserve"> </w:t>
      </w:r>
      <w:r>
        <w:t xml:space="preserve">documents </w:t>
      </w:r>
      <w:r w:rsidR="002C6A70">
        <w:t>created as part of the policy hierarch</w:t>
      </w:r>
      <w:r w:rsidR="005A47CD">
        <w:t>y</w:t>
      </w:r>
      <w:r w:rsidR="002C6A70">
        <w:t xml:space="preserve"> </w:t>
      </w:r>
      <w:r>
        <w:t xml:space="preserve">evolve at a different pace is also recognised in the statutory framework.  </w:t>
      </w:r>
      <w:r w:rsidR="00C07BAA">
        <w:t xml:space="preserve">Sections 10(7), 18 and 19 </w:t>
      </w:r>
      <w:r w:rsidR="00921C4A">
        <w:t xml:space="preserve">of the PDA </w:t>
      </w:r>
      <w:r w:rsidR="00C07BAA">
        <w:t xml:space="preserve">govern the interaction between </w:t>
      </w:r>
      <w:r w:rsidR="006973DA">
        <w:t>a</w:t>
      </w:r>
      <w:r w:rsidR="00C07BAA">
        <w:t xml:space="preserve"> </w:t>
      </w:r>
      <w:r w:rsidR="006973DA">
        <w:t>d</w:t>
      </w:r>
      <w:r w:rsidR="00C07BAA">
        <w:t xml:space="preserve">evelopment </w:t>
      </w:r>
      <w:r w:rsidR="006973DA">
        <w:t>p</w:t>
      </w:r>
      <w:r w:rsidR="00C07BAA">
        <w:t xml:space="preserve">lan and </w:t>
      </w:r>
      <w:r w:rsidR="006973DA">
        <w:t>a l</w:t>
      </w:r>
      <w:r w:rsidR="00C07BAA">
        <w:t xml:space="preserve">ocal </w:t>
      </w:r>
      <w:r w:rsidR="006973DA">
        <w:t>a</w:t>
      </w:r>
      <w:r w:rsidR="00C07BAA">
        <w:t xml:space="preserve">rea </w:t>
      </w:r>
      <w:r w:rsidR="006973DA">
        <w:t>p</w:t>
      </w:r>
      <w:r w:rsidR="00C07BAA">
        <w:t xml:space="preserve">lan and what happens in the event of a change to </w:t>
      </w:r>
      <w:r w:rsidR="006973DA">
        <w:t>a</w:t>
      </w:r>
      <w:r w:rsidR="00C07BAA">
        <w:t xml:space="preserve"> </w:t>
      </w:r>
      <w:r w:rsidR="006973DA">
        <w:t>d</w:t>
      </w:r>
      <w:r w:rsidR="00C07BAA">
        <w:t xml:space="preserve">evelopment </w:t>
      </w:r>
      <w:r w:rsidR="006973DA">
        <w:t>p</w:t>
      </w:r>
      <w:r w:rsidR="00C07BAA">
        <w:t xml:space="preserve">lan during the life of an extant </w:t>
      </w:r>
      <w:r w:rsidR="006973DA">
        <w:t>l</w:t>
      </w:r>
      <w:r w:rsidR="00C07BAA">
        <w:t>ocal area plan</w:t>
      </w:r>
      <w:r w:rsidR="000D2AF1">
        <w:t>.  W</w:t>
      </w:r>
      <w:r w:rsidR="00C07BAA">
        <w:t xml:space="preserve">hether powers under these sections have been exercised or not has a bearing on </w:t>
      </w:r>
      <w:r w:rsidR="005A47CD">
        <w:t>the</w:t>
      </w:r>
      <w:r w:rsidR="00C07BAA">
        <w:t xml:space="preserve"> proper interpretation of the development plan and the significance to be ascribed to any change made to the development plan</w:t>
      </w:r>
      <w:r w:rsidR="000D2AF1">
        <w:t xml:space="preserve"> because it reflects the respondent’s attitude to the significance or materiality of changes at different levels of the hierarchy and whether amendment of other documents within the hierarchy is required</w:t>
      </w:r>
      <w:r w:rsidR="005A47CD">
        <w:t xml:space="preserve"> in circumstances </w:t>
      </w:r>
      <w:r w:rsidR="001F2FD9">
        <w:t xml:space="preserve">due to any inconsistency </w:t>
      </w:r>
      <w:r w:rsidR="005A47CD">
        <w:t>where it is the author of both development plan and local area plan.</w:t>
      </w:r>
    </w:p>
    <w:p w14:paraId="71C766E4" w14:textId="77777777" w:rsidR="00482C22" w:rsidRPr="005A47CD" w:rsidRDefault="00482C22" w:rsidP="00921C4A">
      <w:pPr>
        <w:spacing w:line="360" w:lineRule="auto"/>
        <w:jc w:val="both"/>
        <w:rPr>
          <w:rStyle w:val="change"/>
          <w:i/>
          <w:iCs/>
        </w:rPr>
      </w:pPr>
    </w:p>
    <w:p w14:paraId="09C33477" w14:textId="77777777" w:rsidR="005A2235" w:rsidRPr="00E902F2" w:rsidRDefault="00010F72" w:rsidP="00B04847">
      <w:pPr>
        <w:numPr>
          <w:ilvl w:val="0"/>
          <w:numId w:val="1"/>
        </w:numPr>
        <w:spacing w:line="360" w:lineRule="auto"/>
        <w:ind w:left="0" w:firstLine="0"/>
        <w:jc w:val="both"/>
        <w:rPr>
          <w:i/>
          <w:iCs/>
        </w:rPr>
      </w:pPr>
      <w:r>
        <w:t xml:space="preserve">Bearing in mind the established jurisprudence that the interpretation of </w:t>
      </w:r>
      <w:r w:rsidR="00921C4A">
        <w:t>a development</w:t>
      </w:r>
      <w:r>
        <w:t xml:space="preserve"> </w:t>
      </w:r>
      <w:r w:rsidR="000D2AF1">
        <w:t>p</w:t>
      </w:r>
      <w:r>
        <w:t xml:space="preserve">lan is not equivalent to an exercise in statutory interpretation but involves considering what a reasonably intelligent person of no particular expertise would think, it seems to me that such a person would consider that the significance of the change identified as presenting a potential impediment to the extension application would fall to be construed in the light of the LAP given the statutory link between the </w:t>
      </w:r>
      <w:r w:rsidR="001F2FD9">
        <w:t>d</w:t>
      </w:r>
      <w:r>
        <w:t xml:space="preserve">evelopment </w:t>
      </w:r>
      <w:r w:rsidR="001F2FD9">
        <w:t>p</w:t>
      </w:r>
      <w:r>
        <w:t xml:space="preserve">lan and the LAP pursuant to </w:t>
      </w:r>
      <w:r w:rsidR="00A85087">
        <w:t xml:space="preserve">ss. </w:t>
      </w:r>
      <w:r>
        <w:t xml:space="preserve">10, 18 and 19 and the fact that express provision is made to deal with the interaction of the two.  </w:t>
      </w:r>
    </w:p>
    <w:p w14:paraId="20C0619E" w14:textId="77777777" w:rsidR="00F43E74" w:rsidRPr="00E902F2" w:rsidRDefault="00F43E74" w:rsidP="00E902F2">
      <w:pPr>
        <w:spacing w:line="360" w:lineRule="auto"/>
        <w:jc w:val="both"/>
        <w:rPr>
          <w:i/>
          <w:iCs/>
        </w:rPr>
      </w:pPr>
    </w:p>
    <w:p w14:paraId="0F6DC092" w14:textId="77777777" w:rsidR="00F43E74" w:rsidRPr="005A2235" w:rsidRDefault="00F43E74" w:rsidP="00E902F2">
      <w:pPr>
        <w:pStyle w:val="ListParagraph"/>
        <w:numPr>
          <w:ilvl w:val="0"/>
          <w:numId w:val="1"/>
        </w:numPr>
        <w:spacing w:after="240" w:line="360" w:lineRule="auto"/>
        <w:ind w:left="0" w:firstLine="0"/>
        <w:jc w:val="both"/>
      </w:pPr>
      <w:r>
        <w:t xml:space="preserve">In my view the reasonably intelligent person seeking to interpret the 2023 Development Plan would be entitled to rely on the fact that at the time the 2023 Development Plan was adopted there was a valid Planning Permission in being which provided for the development of a retirement home to meet the need identified in the 2017 Development Plan and which accorded with a local objective properly included in the 2013 LAP which was extended without change following the adoption of the 2023 Development Plan thereby seemingly carrying forward the specific local objective.  The reasonably intelligent person had no reason to believe that the intervening adoption of 2023 Development Plan, during the currency of the Planning Permission and the 2013 LAP, resulted in the local objective being excised from the extant LAP such that it was not extended when the 2013 LAP was extended.  The reasonably intelligent person might simply conclude that the specific objective was not reproduced in the 2023 Development because that local </w:t>
      </w:r>
      <w:r w:rsidR="00A32E61">
        <w:t>planning need had been identified and addressed in the 2017 Development Plan and the Development was in train, albeit not yet advanced when the 2023 Development Plan was adopted in 2017 (there being almost three years left to run on the Planning Permission).</w:t>
      </w:r>
      <w:r w:rsidR="007E0574">
        <w:t xml:space="preserve">  This is certainly the more apparent interpretation than that pressed by the respondent which </w:t>
      </w:r>
      <w:r w:rsidR="00AB7AFA">
        <w:t xml:space="preserve">is predicated on the reasonably intelligent person understanding that </w:t>
      </w:r>
      <w:r w:rsidR="007E0574">
        <w:t>selected parts only of the 2013 LAP were extended on the basis that other parts had ceased to apply from the adoption of the 2023 Development Plan</w:t>
      </w:r>
      <w:r w:rsidR="00D429F9">
        <w:t xml:space="preserve">, albeit without evidence that this position was ever recorded and published by the respondent prior to its opposition of the within proceedings. </w:t>
      </w:r>
    </w:p>
    <w:p w14:paraId="0081502C" w14:textId="77777777" w:rsidR="005A2235" w:rsidRDefault="005A2235" w:rsidP="00B04847">
      <w:pPr>
        <w:pStyle w:val="ListParagraph"/>
        <w:ind w:left="0"/>
      </w:pPr>
    </w:p>
    <w:p w14:paraId="7BED651F" w14:textId="77777777" w:rsidR="00010F72" w:rsidRPr="00C959BB" w:rsidRDefault="00010F72" w:rsidP="00B04847">
      <w:pPr>
        <w:numPr>
          <w:ilvl w:val="0"/>
          <w:numId w:val="1"/>
        </w:numPr>
        <w:spacing w:line="360" w:lineRule="auto"/>
        <w:ind w:left="0" w:firstLine="0"/>
        <w:jc w:val="both"/>
        <w:rPr>
          <w:i/>
          <w:iCs/>
        </w:rPr>
      </w:pPr>
      <w:r>
        <w:t xml:space="preserve">While on any view, the removal of the specific development objective relating to the </w:t>
      </w:r>
      <w:r w:rsidR="00F011F3">
        <w:t>applicant</w:t>
      </w:r>
      <w:r>
        <w:t xml:space="preserve">’s project from the </w:t>
      </w:r>
      <w:r w:rsidR="000D2AF1">
        <w:t xml:space="preserve">2023 </w:t>
      </w:r>
      <w:r>
        <w:t>Development Plan</w:t>
      </w:r>
      <w:r w:rsidR="005A2235">
        <w:t xml:space="preserve"> </w:t>
      </w:r>
      <w:r>
        <w:t>is clearly relevant, it is not necessarily “</w:t>
      </w:r>
      <w:r w:rsidRPr="00E902F2">
        <w:rPr>
          <w:i/>
          <w:iCs/>
        </w:rPr>
        <w:t>significant</w:t>
      </w:r>
      <w:r>
        <w:t>” particularly if there is an argument to be made, as has been advanced in this case, that the removal of the express reference from the Development Plan did not have the effect of removing it as a local development objective for the</w:t>
      </w:r>
      <w:r w:rsidR="00A32E61">
        <w:t>2013 LAP which had been extended</w:t>
      </w:r>
      <w:r>
        <w:t xml:space="preserve">. </w:t>
      </w:r>
      <w:r w:rsidRPr="00071CEE">
        <w:t xml:space="preserve"> </w:t>
      </w:r>
      <w:r>
        <w:t xml:space="preserve">Where this argument is made, the reasonably intelligent person would consider the statutory framework and the interaction of the </w:t>
      </w:r>
      <w:r w:rsidR="000C556C">
        <w:t>d</w:t>
      </w:r>
      <w:r>
        <w:t xml:space="preserve">evelopment </w:t>
      </w:r>
      <w:r w:rsidR="000C556C">
        <w:t>p</w:t>
      </w:r>
      <w:r>
        <w:t xml:space="preserve">lan and </w:t>
      </w:r>
      <w:r w:rsidR="00A32E61">
        <w:t xml:space="preserve">local area plan </w:t>
      </w:r>
      <w:r>
        <w:t>to decide whether there had been a “</w:t>
      </w:r>
      <w:r w:rsidRPr="00120437">
        <w:rPr>
          <w:i/>
          <w:iCs/>
        </w:rPr>
        <w:t>material</w:t>
      </w:r>
      <w:r>
        <w:t xml:space="preserve">” (a word used by the </w:t>
      </w:r>
      <w:r w:rsidR="00F011F3">
        <w:t>respondent</w:t>
      </w:r>
      <w:r>
        <w:t xml:space="preserve"> in its submissions) or “</w:t>
      </w:r>
      <w:r w:rsidRPr="00120437">
        <w:rPr>
          <w:i/>
          <w:iCs/>
        </w:rPr>
        <w:t>significant”</w:t>
      </w:r>
      <w:r>
        <w:t xml:space="preserve"> change in development objectives expressed in the </w:t>
      </w:r>
      <w:r w:rsidR="000C556C">
        <w:t>d</w:t>
      </w:r>
      <w:r>
        <w:t xml:space="preserve">evelopment </w:t>
      </w:r>
      <w:r w:rsidR="000C556C">
        <w:t>p</w:t>
      </w:r>
      <w:r>
        <w:t xml:space="preserve">lan.  In other words, the reasonably intelligent person with no special expertise who knows about </w:t>
      </w:r>
      <w:r w:rsidR="000C02E3">
        <w:t xml:space="preserve">ss. </w:t>
      </w:r>
      <w:r>
        <w:t xml:space="preserve">10, 18 and 19 would consider it appropriate to consider the objectives expressed in the </w:t>
      </w:r>
      <w:r w:rsidR="000C556C">
        <w:t>d</w:t>
      </w:r>
      <w:r>
        <w:t xml:space="preserve">evelopment </w:t>
      </w:r>
      <w:r w:rsidR="000C556C">
        <w:t>p</w:t>
      </w:r>
      <w:r>
        <w:t xml:space="preserve">lan in its’ overall statutory and factual context to identify whether there exists material relevant to the decision.  </w:t>
      </w:r>
    </w:p>
    <w:p w14:paraId="5D4D5EDB" w14:textId="77777777" w:rsidR="00010F72" w:rsidRDefault="00010F72" w:rsidP="00B04847">
      <w:pPr>
        <w:spacing w:line="360" w:lineRule="auto"/>
        <w:jc w:val="both"/>
        <w:rPr>
          <w:i/>
          <w:iCs/>
        </w:rPr>
      </w:pPr>
    </w:p>
    <w:p w14:paraId="7C3CE207" w14:textId="77777777" w:rsidR="00010F72" w:rsidRDefault="00010F72" w:rsidP="00B04847">
      <w:pPr>
        <w:numPr>
          <w:ilvl w:val="0"/>
          <w:numId w:val="1"/>
        </w:numPr>
        <w:spacing w:line="360" w:lineRule="auto"/>
        <w:ind w:left="0" w:firstLine="0"/>
        <w:jc w:val="both"/>
        <w:rPr>
          <w:i/>
          <w:iCs/>
        </w:rPr>
      </w:pPr>
      <w:r>
        <w:t xml:space="preserve">Accordingly, while removal of SLO 469 is in itself undoubtedly a weighty consideration, it seems to me that neither the dicta in </w:t>
      </w:r>
      <w:r w:rsidRPr="00C959BB">
        <w:rPr>
          <w:i/>
        </w:rPr>
        <w:t>Merriman</w:t>
      </w:r>
      <w:r>
        <w:t xml:space="preserve"> and </w:t>
      </w:r>
      <w:r w:rsidRPr="00C959BB">
        <w:rPr>
          <w:i/>
        </w:rPr>
        <w:t xml:space="preserve">McDowell </w:t>
      </w:r>
      <w:r w:rsidRPr="00071CEE">
        <w:t xml:space="preserve">nor the wording of </w:t>
      </w:r>
      <w:r w:rsidR="000C02E3">
        <w:t>s.</w:t>
      </w:r>
      <w:r w:rsidR="000C02E3" w:rsidRPr="00071CEE">
        <w:t xml:space="preserve"> </w:t>
      </w:r>
      <w:r w:rsidRPr="00071CEE">
        <w:t>42</w:t>
      </w:r>
      <w:r w:rsidRPr="00C959BB">
        <w:rPr>
          <w:i/>
        </w:rPr>
        <w:t xml:space="preserve"> </w:t>
      </w:r>
      <w:r>
        <w:t>preclude consideration of broader planning considerations affecting the local area relevant to that particular development objective when determining whether changes in the development objectives in the development plan should be treated as “</w:t>
      </w:r>
      <w:r w:rsidRPr="00C959BB">
        <w:rPr>
          <w:i/>
          <w:iCs/>
        </w:rPr>
        <w:t>significant changes</w:t>
      </w:r>
      <w:r>
        <w:t xml:space="preserve">” for the purpose of a </w:t>
      </w:r>
      <w:r w:rsidR="000C02E3">
        <w:t xml:space="preserve">s. </w:t>
      </w:r>
      <w:r>
        <w:t xml:space="preserve">42 extension application, as contended by the </w:t>
      </w:r>
      <w:r w:rsidR="00F011F3">
        <w:t>respondent</w:t>
      </w:r>
      <w:r>
        <w:t xml:space="preserve">. </w:t>
      </w:r>
    </w:p>
    <w:p w14:paraId="46B82B04" w14:textId="77777777" w:rsidR="00014DB9" w:rsidRDefault="00014DB9" w:rsidP="00B04847">
      <w:pPr>
        <w:spacing w:line="360" w:lineRule="auto"/>
        <w:jc w:val="both"/>
      </w:pPr>
    </w:p>
    <w:p w14:paraId="225717B0" w14:textId="77777777" w:rsidR="00392FD3" w:rsidRDefault="00010F72" w:rsidP="00B04847">
      <w:pPr>
        <w:numPr>
          <w:ilvl w:val="0"/>
          <w:numId w:val="1"/>
        </w:numPr>
        <w:spacing w:line="360" w:lineRule="auto"/>
        <w:ind w:left="0" w:firstLine="0"/>
        <w:jc w:val="both"/>
      </w:pPr>
      <w:r>
        <w:t xml:space="preserve">In view of the foregoing, </w:t>
      </w:r>
      <w:r w:rsidR="006C1520">
        <w:t xml:space="preserve">I </w:t>
      </w:r>
      <w:r w:rsidR="005A2235">
        <w:t xml:space="preserve">am satisfied </w:t>
      </w:r>
      <w:r w:rsidR="006C1520">
        <w:t xml:space="preserve">that </w:t>
      </w:r>
      <w:r w:rsidR="005A2235">
        <w:t>in considering whether there had been a “</w:t>
      </w:r>
      <w:r w:rsidR="005A2235" w:rsidRPr="00E902F2">
        <w:rPr>
          <w:i/>
          <w:iCs/>
        </w:rPr>
        <w:t>significant change</w:t>
      </w:r>
      <w:r w:rsidR="005A2235">
        <w:t xml:space="preserve">” to the development objectives in the development plan regard should be had to the local area plan </w:t>
      </w:r>
      <w:r w:rsidR="006E5775">
        <w:t xml:space="preserve">adopted to give effect to those objectives in a specific area.  </w:t>
      </w:r>
      <w:r w:rsidR="00C73A95">
        <w:t xml:space="preserve">As the </w:t>
      </w:r>
      <w:r w:rsidR="00F011F3">
        <w:t>respondent</w:t>
      </w:r>
      <w:r w:rsidR="00C73A95">
        <w:t xml:space="preserve"> accepts that it treated itself as precluded under </w:t>
      </w:r>
      <w:r w:rsidR="000C02E3">
        <w:t xml:space="preserve">s. </w:t>
      </w:r>
      <w:r w:rsidR="00C73A95">
        <w:t>42 from considering the</w:t>
      </w:r>
      <w:r w:rsidR="006C1520">
        <w:t xml:space="preserve"> </w:t>
      </w:r>
      <w:r w:rsidR="00A32E61">
        <w:t>2013</w:t>
      </w:r>
      <w:r w:rsidR="00C73A95">
        <w:t xml:space="preserve"> LAP</w:t>
      </w:r>
      <w:r w:rsidR="00A32E61">
        <w:t xml:space="preserve"> as extended</w:t>
      </w:r>
      <w:r w:rsidR="00C73A95">
        <w:t xml:space="preserve"> in deciding whether there had been a significant change in development objectives</w:t>
      </w:r>
      <w:r w:rsidR="00B40FFD">
        <w:t xml:space="preserve"> under the</w:t>
      </w:r>
      <w:r w:rsidR="00A32E61">
        <w:t xml:space="preserve"> 2023 D</w:t>
      </w:r>
      <w:r w:rsidR="00B40FFD">
        <w:t xml:space="preserve">evelopment </w:t>
      </w:r>
      <w:r w:rsidR="00A32E61">
        <w:t>P</w:t>
      </w:r>
      <w:r w:rsidR="00B40FFD">
        <w:t xml:space="preserve">lan and where I am satisfied that </w:t>
      </w:r>
      <w:r w:rsidR="000C02E3">
        <w:t xml:space="preserve">s. </w:t>
      </w:r>
      <w:r w:rsidR="00B40FFD">
        <w:t xml:space="preserve">42 does not preclude such consideration, I am driven to conclude that the Decision is flawed by reason of error of law. </w:t>
      </w:r>
    </w:p>
    <w:p w14:paraId="02348F9C" w14:textId="77777777" w:rsidR="00392FD3" w:rsidRDefault="00392FD3" w:rsidP="00B04847">
      <w:pPr>
        <w:spacing w:line="360" w:lineRule="auto"/>
        <w:jc w:val="both"/>
      </w:pPr>
    </w:p>
    <w:p w14:paraId="357610E4" w14:textId="77777777" w:rsidR="00392FD3" w:rsidRPr="00E902F2" w:rsidRDefault="00392FD3" w:rsidP="00B04847">
      <w:pPr>
        <w:spacing w:line="360" w:lineRule="auto"/>
        <w:jc w:val="both"/>
        <w:rPr>
          <w:rFonts w:eastAsia="Arial Unicode MS"/>
          <w:i/>
          <w:u w:val="single"/>
        </w:rPr>
      </w:pPr>
      <w:r w:rsidRPr="00E902F2">
        <w:rPr>
          <w:rFonts w:eastAsia="Arial Unicode MS"/>
          <w:i/>
          <w:u w:val="single"/>
        </w:rPr>
        <w:t>Relevant Considerations</w:t>
      </w:r>
    </w:p>
    <w:p w14:paraId="0D72BDAB" w14:textId="77777777" w:rsidR="00392FD3" w:rsidRDefault="00392FD3" w:rsidP="00B04847">
      <w:pPr>
        <w:spacing w:line="360" w:lineRule="auto"/>
        <w:jc w:val="both"/>
      </w:pPr>
    </w:p>
    <w:p w14:paraId="05E31481" w14:textId="77777777" w:rsidR="00921C4A" w:rsidRPr="001D512D" w:rsidRDefault="00392FD3" w:rsidP="00921C4A">
      <w:pPr>
        <w:numPr>
          <w:ilvl w:val="0"/>
          <w:numId w:val="1"/>
        </w:numPr>
        <w:spacing w:line="360" w:lineRule="auto"/>
        <w:ind w:left="0" w:firstLine="0"/>
        <w:jc w:val="both"/>
      </w:pPr>
      <w:r w:rsidRPr="00A32E61">
        <w:rPr>
          <w:rStyle w:val="change"/>
          <w:shd w:val="clear" w:color="auto" w:fill="FFFFFF"/>
        </w:rPr>
        <w:t xml:space="preserve">It is accepted by the </w:t>
      </w:r>
      <w:r w:rsidR="00F011F3" w:rsidRPr="00A32E61">
        <w:rPr>
          <w:rStyle w:val="change"/>
          <w:shd w:val="clear" w:color="auto" w:fill="FFFFFF"/>
        </w:rPr>
        <w:t>respondent</w:t>
      </w:r>
      <w:r w:rsidRPr="00A32E61">
        <w:rPr>
          <w:rStyle w:val="change"/>
          <w:shd w:val="clear" w:color="auto" w:fill="FFFFFF"/>
        </w:rPr>
        <w:t xml:space="preserve"> that it</w:t>
      </w:r>
      <w:r w:rsidRPr="008D261A">
        <w:rPr>
          <w:rStyle w:val="change"/>
          <w:shd w:val="clear" w:color="auto" w:fill="FFFFFF"/>
        </w:rPr>
        <w:t xml:space="preserve"> did not address its mind to the provisions of the extended LAP and the legal basis for extension of the LAP in deciding that the development objectives had significantly changed and refusing the application for an extension of the life of the planning permission on that basis.  </w:t>
      </w:r>
      <w:r w:rsidR="002F69F6" w:rsidRPr="008D261A">
        <w:rPr>
          <w:rFonts w:eastAsia="Arial Unicode MS"/>
        </w:rPr>
        <w:t>In the circumstances</w:t>
      </w:r>
      <w:r w:rsidR="00B40FFD" w:rsidRPr="008D261A">
        <w:rPr>
          <w:rFonts w:eastAsia="Arial Unicode MS"/>
        </w:rPr>
        <w:t xml:space="preserve"> where</w:t>
      </w:r>
      <w:r w:rsidR="002F69F6" w:rsidRPr="008D261A">
        <w:rPr>
          <w:rFonts w:eastAsia="Arial Unicode MS"/>
        </w:rPr>
        <w:t xml:space="preserve"> I consider</w:t>
      </w:r>
      <w:r w:rsidR="00B40FFD" w:rsidRPr="008D261A">
        <w:rPr>
          <w:rFonts w:eastAsia="Arial Unicode MS"/>
        </w:rPr>
        <w:t xml:space="preserve"> that the </w:t>
      </w:r>
      <w:r w:rsidR="00F011F3" w:rsidRPr="008D261A">
        <w:rPr>
          <w:rFonts w:eastAsia="Arial Unicode MS"/>
        </w:rPr>
        <w:t>respondent</w:t>
      </w:r>
      <w:r w:rsidR="00B40FFD" w:rsidRPr="008D261A">
        <w:rPr>
          <w:rFonts w:eastAsia="Arial Unicode MS"/>
        </w:rPr>
        <w:t xml:space="preserve"> could properly have </w:t>
      </w:r>
      <w:r w:rsidRPr="008D261A">
        <w:rPr>
          <w:rFonts w:eastAsia="Arial Unicode MS"/>
        </w:rPr>
        <w:t xml:space="preserve">had </w:t>
      </w:r>
      <w:r w:rsidR="00B40FFD" w:rsidRPr="008D261A">
        <w:rPr>
          <w:rFonts w:eastAsia="Arial Unicode MS"/>
        </w:rPr>
        <w:t xml:space="preserve">regard to the provisions of the extended LAP </w:t>
      </w:r>
      <w:r w:rsidR="00010F72" w:rsidRPr="008D261A">
        <w:rPr>
          <w:rFonts w:eastAsia="Arial Unicode MS"/>
        </w:rPr>
        <w:t>in view of</w:t>
      </w:r>
      <w:r w:rsidR="00B40FFD" w:rsidRPr="008D261A">
        <w:rPr>
          <w:rFonts w:eastAsia="Arial Unicode MS"/>
        </w:rPr>
        <w:t xml:space="preserve"> the manner in which </w:t>
      </w:r>
      <w:r w:rsidR="008C3AEB" w:rsidRPr="00F25EC8">
        <w:rPr>
          <w:rFonts w:eastAsia="Arial Unicode MS"/>
        </w:rPr>
        <w:t xml:space="preserve">ss. </w:t>
      </w:r>
      <w:r w:rsidR="00B40FFD" w:rsidRPr="00AC21C9">
        <w:rPr>
          <w:rFonts w:eastAsia="Arial Unicode MS"/>
        </w:rPr>
        <w:t>10(7), 18 and 19 work together wit</w:t>
      </w:r>
      <w:r w:rsidR="00B40FFD" w:rsidRPr="00C05BCE">
        <w:rPr>
          <w:rFonts w:eastAsia="Arial Unicode MS"/>
        </w:rPr>
        <w:t xml:space="preserve">h </w:t>
      </w:r>
      <w:r w:rsidR="008C3AEB" w:rsidRPr="002057CB">
        <w:rPr>
          <w:rFonts w:eastAsia="Arial Unicode MS"/>
        </w:rPr>
        <w:t xml:space="preserve">s. </w:t>
      </w:r>
      <w:r w:rsidR="00B40FFD" w:rsidRPr="002057CB">
        <w:rPr>
          <w:rFonts w:eastAsia="Arial Unicode MS"/>
        </w:rPr>
        <w:t xml:space="preserve">42, it would follow that the </w:t>
      </w:r>
      <w:r w:rsidR="00F011F3" w:rsidRPr="002057CB">
        <w:rPr>
          <w:rFonts w:eastAsia="Arial Unicode MS"/>
        </w:rPr>
        <w:t>respondent</w:t>
      </w:r>
      <w:r w:rsidR="00B40FFD" w:rsidRPr="002057CB">
        <w:rPr>
          <w:rFonts w:eastAsia="Arial Unicode MS"/>
        </w:rPr>
        <w:t xml:space="preserve">’s admission that it did not have regard to the fact that the local objective was contained in the LAP </w:t>
      </w:r>
      <w:r w:rsidRPr="002057CB">
        <w:rPr>
          <w:rFonts w:eastAsia="Arial Unicode MS"/>
        </w:rPr>
        <w:t xml:space="preserve">leads to a conclusion that the </w:t>
      </w:r>
      <w:r w:rsidR="00F011F3" w:rsidRPr="002057CB">
        <w:rPr>
          <w:rFonts w:eastAsia="Arial Unicode MS"/>
        </w:rPr>
        <w:t>respondent</w:t>
      </w:r>
      <w:r w:rsidRPr="002057CB">
        <w:rPr>
          <w:rFonts w:eastAsia="Arial Unicode MS"/>
        </w:rPr>
        <w:t xml:space="preserve"> did not properly address a relevant consideration</w:t>
      </w:r>
      <w:r w:rsidR="00921C4A">
        <w:rPr>
          <w:rFonts w:eastAsia="Arial Unicode MS"/>
        </w:rPr>
        <w:t>.</w:t>
      </w:r>
    </w:p>
    <w:p w14:paraId="739641FF" w14:textId="77777777" w:rsidR="001D512D" w:rsidRPr="001D512D" w:rsidRDefault="001D512D" w:rsidP="00921C4A">
      <w:pPr>
        <w:spacing w:line="360" w:lineRule="auto"/>
        <w:jc w:val="both"/>
      </w:pPr>
    </w:p>
    <w:p w14:paraId="666EC91F" w14:textId="77777777" w:rsidR="001D512D" w:rsidRDefault="00392FD3" w:rsidP="00B04847">
      <w:pPr>
        <w:numPr>
          <w:ilvl w:val="0"/>
          <w:numId w:val="1"/>
        </w:numPr>
        <w:spacing w:line="360" w:lineRule="auto"/>
        <w:ind w:left="0" w:firstLine="0"/>
        <w:jc w:val="both"/>
        <w:rPr>
          <w:rStyle w:val="change"/>
        </w:rPr>
      </w:pPr>
      <w:r w:rsidRPr="001D512D">
        <w:rPr>
          <w:rFonts w:eastAsia="Arial Unicode MS"/>
        </w:rPr>
        <w:t xml:space="preserve">It is important in this regard to recall that the Application for an extension was advanced squarely on the basis of a contention that </w:t>
      </w:r>
      <w:r w:rsidR="00A44684" w:rsidRPr="001D512D">
        <w:rPr>
          <w:rFonts w:eastAsia="Arial Unicode MS"/>
        </w:rPr>
        <w:t xml:space="preserve">SLO 469 </w:t>
      </w:r>
      <w:r w:rsidRPr="001D512D">
        <w:rPr>
          <w:rFonts w:eastAsia="Arial Unicode MS"/>
        </w:rPr>
        <w:t xml:space="preserve">was continued through the extension of the local area plan </w:t>
      </w:r>
      <w:r w:rsidR="00A44684" w:rsidRPr="001D512D">
        <w:rPr>
          <w:rFonts w:eastAsia="Arial Unicode MS"/>
        </w:rPr>
        <w:t xml:space="preserve">which incorporated that objective.  </w:t>
      </w:r>
      <w:r w:rsidR="001D512D">
        <w:rPr>
          <w:rFonts w:eastAsia="Arial Unicode MS"/>
        </w:rPr>
        <w:t xml:space="preserve">Accordingly, the </w:t>
      </w:r>
      <w:r w:rsidR="00F011F3">
        <w:rPr>
          <w:rFonts w:eastAsia="Arial Unicode MS"/>
        </w:rPr>
        <w:t>applicant</w:t>
      </w:r>
      <w:r w:rsidR="001D512D">
        <w:rPr>
          <w:rFonts w:eastAsia="Arial Unicode MS"/>
        </w:rPr>
        <w:t xml:space="preserve"> identified the continuation of the SLO through the extended LAP as relevant to the </w:t>
      </w:r>
      <w:r w:rsidR="00F011F3">
        <w:rPr>
          <w:rFonts w:eastAsia="Arial Unicode MS"/>
        </w:rPr>
        <w:t>respondent</w:t>
      </w:r>
      <w:r w:rsidR="001D512D">
        <w:rPr>
          <w:rFonts w:eastAsia="Arial Unicode MS"/>
        </w:rPr>
        <w:t>’s decision-making process and relied upon it</w:t>
      </w:r>
      <w:r w:rsidR="008D261A">
        <w:rPr>
          <w:rFonts w:eastAsia="Arial Unicode MS"/>
        </w:rPr>
        <w:t xml:space="preserve"> and in my view properly did so</w:t>
      </w:r>
      <w:r w:rsidR="001D512D">
        <w:rPr>
          <w:rFonts w:eastAsia="Arial Unicode MS"/>
        </w:rPr>
        <w:t xml:space="preserve">.  </w:t>
      </w:r>
      <w:r w:rsidR="00A44684" w:rsidRPr="001D512D">
        <w:rPr>
          <w:rFonts w:eastAsia="Arial Unicode MS"/>
        </w:rPr>
        <w:t xml:space="preserve">The </w:t>
      </w:r>
      <w:r w:rsidR="00F011F3">
        <w:rPr>
          <w:rFonts w:eastAsia="Arial Unicode MS"/>
        </w:rPr>
        <w:t>respondent</w:t>
      </w:r>
      <w:r w:rsidR="00A44684" w:rsidRPr="001D512D">
        <w:rPr>
          <w:rFonts w:eastAsia="Arial Unicode MS"/>
        </w:rPr>
        <w:t xml:space="preserve">’s Decision fails to address this contention at all either to find that the </w:t>
      </w:r>
      <w:r w:rsidR="00F011F3">
        <w:rPr>
          <w:rFonts w:eastAsia="Arial Unicode MS"/>
        </w:rPr>
        <w:t>applicant</w:t>
      </w:r>
      <w:r w:rsidR="00A44684" w:rsidRPr="001D512D">
        <w:rPr>
          <w:rFonts w:eastAsia="Arial Unicode MS"/>
        </w:rPr>
        <w:t xml:space="preserve"> was misguided in its view that the objective was continued</w:t>
      </w:r>
      <w:r w:rsidR="00C67C99" w:rsidRPr="001D512D">
        <w:rPr>
          <w:rFonts w:eastAsia="Arial Unicode MS"/>
        </w:rPr>
        <w:t xml:space="preserve"> and why</w:t>
      </w:r>
      <w:r w:rsidR="00201E02" w:rsidRPr="001D512D">
        <w:rPr>
          <w:rFonts w:eastAsia="Arial Unicode MS"/>
        </w:rPr>
        <w:t xml:space="preserve">, as it contended in opposition to the proceedings, or to address it as a consideration to decide whether the change to the </w:t>
      </w:r>
      <w:r w:rsidR="00C67C99" w:rsidRPr="001D512D">
        <w:rPr>
          <w:rFonts w:eastAsia="Arial Unicode MS"/>
        </w:rPr>
        <w:t xml:space="preserve">objectives of the </w:t>
      </w:r>
      <w:r w:rsidR="00201E02" w:rsidRPr="001D512D">
        <w:rPr>
          <w:rFonts w:eastAsia="Arial Unicode MS"/>
        </w:rPr>
        <w:t>development w</w:t>
      </w:r>
      <w:r w:rsidR="008047A5" w:rsidRPr="001D512D">
        <w:rPr>
          <w:rFonts w:eastAsia="Arial Unicode MS"/>
        </w:rPr>
        <w:t>ere</w:t>
      </w:r>
      <w:r w:rsidR="00201E02" w:rsidRPr="001D512D">
        <w:rPr>
          <w:rFonts w:eastAsia="Arial Unicode MS"/>
        </w:rPr>
        <w:t xml:space="preserve"> </w:t>
      </w:r>
      <w:r w:rsidR="00C67C99" w:rsidRPr="001D512D">
        <w:rPr>
          <w:rFonts w:eastAsia="Arial Unicode MS"/>
        </w:rPr>
        <w:t>“</w:t>
      </w:r>
      <w:r w:rsidR="00201E02" w:rsidRPr="00E902F2">
        <w:rPr>
          <w:rFonts w:eastAsia="Arial Unicode MS"/>
          <w:i/>
          <w:iCs/>
        </w:rPr>
        <w:t>significant</w:t>
      </w:r>
      <w:r w:rsidR="00C67C99" w:rsidRPr="001D512D">
        <w:rPr>
          <w:rFonts w:eastAsia="Arial Unicode MS"/>
        </w:rPr>
        <w:t>”</w:t>
      </w:r>
      <w:r w:rsidR="001D512D">
        <w:rPr>
          <w:rFonts w:eastAsia="Arial Unicode MS"/>
        </w:rPr>
        <w:t xml:space="preserve"> and therefore patently failed to have regard to a relevant consideration</w:t>
      </w:r>
      <w:r w:rsidR="00201E02" w:rsidRPr="001D512D">
        <w:rPr>
          <w:rFonts w:eastAsia="Arial Unicode MS"/>
        </w:rPr>
        <w:t>.</w:t>
      </w:r>
      <w:r w:rsidR="00A44684" w:rsidRPr="001D512D">
        <w:rPr>
          <w:rFonts w:eastAsia="Arial Unicode MS"/>
        </w:rPr>
        <w:t xml:space="preserve"> </w:t>
      </w:r>
      <w:r w:rsidR="008047A5" w:rsidRPr="001D512D">
        <w:rPr>
          <w:rFonts w:eastAsia="Arial Unicode MS"/>
        </w:rPr>
        <w:t xml:space="preserve"> </w:t>
      </w:r>
    </w:p>
    <w:p w14:paraId="4326A345" w14:textId="77777777" w:rsidR="001D512D" w:rsidRDefault="001D512D" w:rsidP="001D512D">
      <w:pPr>
        <w:spacing w:line="360" w:lineRule="auto"/>
        <w:jc w:val="both"/>
      </w:pPr>
    </w:p>
    <w:p w14:paraId="3C527551" w14:textId="77777777" w:rsidR="001D512D" w:rsidRPr="00E902F2" w:rsidRDefault="001D512D" w:rsidP="001D512D">
      <w:pPr>
        <w:spacing w:line="360" w:lineRule="auto"/>
        <w:jc w:val="both"/>
        <w:rPr>
          <w:rFonts w:eastAsia="Arial Unicode MS"/>
          <w:i/>
          <w:u w:val="single"/>
        </w:rPr>
      </w:pPr>
      <w:r w:rsidRPr="00E902F2">
        <w:rPr>
          <w:rFonts w:eastAsia="Arial Unicode MS"/>
          <w:i/>
          <w:u w:val="single"/>
        </w:rPr>
        <w:t>Fair Procedures</w:t>
      </w:r>
    </w:p>
    <w:p w14:paraId="426B89CE" w14:textId="77777777" w:rsidR="001D512D" w:rsidRDefault="001D512D" w:rsidP="001D512D">
      <w:pPr>
        <w:pStyle w:val="ListParagraph"/>
        <w:ind w:left="0"/>
        <w:rPr>
          <w:rFonts w:eastAsia="Arial Unicode MS"/>
        </w:rPr>
      </w:pPr>
    </w:p>
    <w:p w14:paraId="32927476" w14:textId="77777777" w:rsidR="001D512D" w:rsidRPr="001D512D" w:rsidRDefault="00B40FFD" w:rsidP="00B04847">
      <w:pPr>
        <w:numPr>
          <w:ilvl w:val="0"/>
          <w:numId w:val="1"/>
        </w:numPr>
        <w:spacing w:line="360" w:lineRule="auto"/>
        <w:ind w:left="0" w:firstLine="0"/>
        <w:jc w:val="both"/>
      </w:pPr>
      <w:r w:rsidRPr="001D512D">
        <w:rPr>
          <w:rFonts w:eastAsia="Arial Unicode MS"/>
        </w:rPr>
        <w:t xml:space="preserve">Were the </w:t>
      </w:r>
      <w:r w:rsidR="00F011F3">
        <w:rPr>
          <w:rFonts w:eastAsia="Arial Unicode MS"/>
        </w:rPr>
        <w:t>respondent</w:t>
      </w:r>
      <w:r w:rsidRPr="001D512D">
        <w:rPr>
          <w:rFonts w:eastAsia="Arial Unicode MS"/>
        </w:rPr>
        <w:t xml:space="preserve"> correct in its contention that it has no jurisdiction to consider the </w:t>
      </w:r>
      <w:r w:rsidR="008D261A">
        <w:rPr>
          <w:rFonts w:eastAsia="Arial Unicode MS"/>
        </w:rPr>
        <w:t xml:space="preserve">2013 </w:t>
      </w:r>
      <w:r w:rsidRPr="001D512D">
        <w:rPr>
          <w:rFonts w:eastAsia="Arial Unicode MS"/>
        </w:rPr>
        <w:t>LAP</w:t>
      </w:r>
      <w:r w:rsidR="008D261A">
        <w:rPr>
          <w:rFonts w:eastAsia="Arial Unicode MS"/>
        </w:rPr>
        <w:t xml:space="preserve"> as extended</w:t>
      </w:r>
      <w:r w:rsidRPr="001D512D">
        <w:rPr>
          <w:rFonts w:eastAsia="Arial Unicode MS"/>
        </w:rPr>
        <w:t xml:space="preserve"> in determining whether there has been a significant change in the 2023 Development Plan, then I am satisfied that there would be little benefit to affording an opportunity to make submissions on matters which the </w:t>
      </w:r>
      <w:r w:rsidR="00F011F3">
        <w:rPr>
          <w:rFonts w:eastAsia="Arial Unicode MS"/>
        </w:rPr>
        <w:t>respondent</w:t>
      </w:r>
      <w:r w:rsidRPr="001D512D">
        <w:rPr>
          <w:rFonts w:eastAsia="Arial Unicode MS"/>
        </w:rPr>
        <w:t xml:space="preserve"> does not have jurisdiction to entertain. Having decided, however, that the status of </w:t>
      </w:r>
      <w:r w:rsidR="001D512D">
        <w:rPr>
          <w:rFonts w:eastAsia="Arial Unicode MS"/>
        </w:rPr>
        <w:t>L</w:t>
      </w:r>
      <w:r w:rsidRPr="001D512D">
        <w:rPr>
          <w:rFonts w:eastAsia="Arial Unicode MS"/>
        </w:rPr>
        <w:t xml:space="preserve">ocal </w:t>
      </w:r>
      <w:r w:rsidR="001D512D">
        <w:rPr>
          <w:rFonts w:eastAsia="Arial Unicode MS"/>
        </w:rPr>
        <w:t>O</w:t>
      </w:r>
      <w:r w:rsidRPr="001D512D">
        <w:rPr>
          <w:rFonts w:eastAsia="Arial Unicode MS"/>
        </w:rPr>
        <w:t xml:space="preserve">bjective 4 within the </w:t>
      </w:r>
      <w:r w:rsidR="008D261A">
        <w:rPr>
          <w:rFonts w:eastAsia="Arial Unicode MS"/>
        </w:rPr>
        <w:t>2013</w:t>
      </w:r>
      <w:r w:rsidRPr="001D512D">
        <w:rPr>
          <w:rFonts w:eastAsia="Arial Unicode MS"/>
        </w:rPr>
        <w:t xml:space="preserve"> LAP </w:t>
      </w:r>
      <w:r w:rsidR="008D261A">
        <w:rPr>
          <w:rFonts w:eastAsia="Arial Unicode MS"/>
        </w:rPr>
        <w:t xml:space="preserve">as extended </w:t>
      </w:r>
      <w:r w:rsidRPr="001D512D">
        <w:rPr>
          <w:rFonts w:eastAsia="Arial Unicode MS"/>
        </w:rPr>
        <w:t xml:space="preserve">has the potential to impact the </w:t>
      </w:r>
      <w:r w:rsidR="00F011F3">
        <w:rPr>
          <w:rFonts w:eastAsia="Arial Unicode MS"/>
        </w:rPr>
        <w:t>respondent</w:t>
      </w:r>
      <w:r w:rsidRPr="001D512D">
        <w:rPr>
          <w:rFonts w:eastAsia="Arial Unicode MS"/>
        </w:rPr>
        <w:t>’s Decision</w:t>
      </w:r>
      <w:r w:rsidR="00836C67" w:rsidRPr="001D512D">
        <w:rPr>
          <w:rFonts w:eastAsia="Arial Unicode MS"/>
        </w:rPr>
        <w:t xml:space="preserve"> on a proper consideration of whether there has been a “</w:t>
      </w:r>
      <w:r w:rsidR="00836C67" w:rsidRPr="003825D4">
        <w:rPr>
          <w:rFonts w:eastAsia="Arial Unicode MS"/>
          <w:i/>
          <w:iCs/>
        </w:rPr>
        <w:t>significant change</w:t>
      </w:r>
      <w:r w:rsidR="00836C67" w:rsidRPr="001D512D">
        <w:rPr>
          <w:rFonts w:eastAsia="Arial Unicode MS"/>
        </w:rPr>
        <w:t xml:space="preserve">” in development objectives in the 2023 </w:t>
      </w:r>
      <w:r w:rsidR="008D261A">
        <w:rPr>
          <w:rFonts w:eastAsia="Arial Unicode MS"/>
        </w:rPr>
        <w:t>D</w:t>
      </w:r>
      <w:r w:rsidR="00836C67" w:rsidRPr="001D512D">
        <w:rPr>
          <w:rFonts w:eastAsia="Arial Unicode MS"/>
        </w:rPr>
        <w:t xml:space="preserve">evelopment </w:t>
      </w:r>
      <w:r w:rsidR="008D261A">
        <w:rPr>
          <w:rFonts w:eastAsia="Arial Unicode MS"/>
        </w:rPr>
        <w:t>P</w:t>
      </w:r>
      <w:r w:rsidR="00836C67" w:rsidRPr="001D512D">
        <w:rPr>
          <w:rFonts w:eastAsia="Arial Unicode MS"/>
        </w:rPr>
        <w:t>lan</w:t>
      </w:r>
      <w:r w:rsidRPr="001D512D">
        <w:rPr>
          <w:rFonts w:eastAsia="Arial Unicode MS"/>
        </w:rPr>
        <w:t xml:space="preserve">, I must now consider whether there is substance to the separate complaint made by the </w:t>
      </w:r>
      <w:r w:rsidR="00F011F3">
        <w:rPr>
          <w:rFonts w:eastAsia="Arial Unicode MS"/>
        </w:rPr>
        <w:t>applicant</w:t>
      </w:r>
      <w:r w:rsidRPr="001D512D">
        <w:rPr>
          <w:rFonts w:eastAsia="Arial Unicode MS"/>
        </w:rPr>
        <w:t xml:space="preserve"> that there had been a breach of its right to fair procedures</w:t>
      </w:r>
      <w:r w:rsidR="003825D4">
        <w:rPr>
          <w:rFonts w:eastAsia="Arial Unicode MS"/>
        </w:rPr>
        <w:t xml:space="preserve"> arising from the failure to give the </w:t>
      </w:r>
      <w:r w:rsidR="00F011F3">
        <w:rPr>
          <w:rFonts w:eastAsia="Arial Unicode MS"/>
        </w:rPr>
        <w:t>applicant</w:t>
      </w:r>
      <w:r w:rsidR="003825D4">
        <w:rPr>
          <w:rFonts w:eastAsia="Arial Unicode MS"/>
        </w:rPr>
        <w:t xml:space="preserve"> notice of its intention to refuse the Application and to give a further opportunity to make submissions as to whether the change in the development objectives was such that the </w:t>
      </w:r>
      <w:r w:rsidR="008D261A">
        <w:rPr>
          <w:rFonts w:eastAsia="Arial Unicode MS"/>
        </w:rPr>
        <w:t>D</w:t>
      </w:r>
      <w:r w:rsidR="003825D4">
        <w:rPr>
          <w:rFonts w:eastAsia="Arial Unicode MS"/>
        </w:rPr>
        <w:t>evelopment would no longer be consistent with the proper planning and sustainable development of the area.</w:t>
      </w:r>
    </w:p>
    <w:p w14:paraId="378A976D" w14:textId="77777777" w:rsidR="001D512D" w:rsidRPr="001D512D" w:rsidRDefault="001D512D" w:rsidP="00B04847">
      <w:pPr>
        <w:spacing w:line="360" w:lineRule="auto"/>
        <w:jc w:val="both"/>
        <w:rPr>
          <w:rFonts w:eastAsia="Arial Unicode MS"/>
        </w:rPr>
      </w:pPr>
    </w:p>
    <w:p w14:paraId="5AE01227" w14:textId="77777777" w:rsidR="00E211CF" w:rsidRPr="001D512D" w:rsidRDefault="003F37CA" w:rsidP="00B04847">
      <w:pPr>
        <w:numPr>
          <w:ilvl w:val="0"/>
          <w:numId w:val="1"/>
        </w:numPr>
        <w:spacing w:line="360" w:lineRule="auto"/>
        <w:ind w:left="0" w:firstLine="0"/>
        <w:jc w:val="both"/>
      </w:pPr>
      <w:r w:rsidRPr="001D512D">
        <w:rPr>
          <w:rFonts w:eastAsia="Arial Unicode MS"/>
        </w:rPr>
        <w:t>The</w:t>
      </w:r>
      <w:r w:rsidR="0076088C" w:rsidRPr="001D512D">
        <w:rPr>
          <w:rFonts w:eastAsia="Arial Unicode MS"/>
        </w:rPr>
        <w:t xml:space="preserve"> </w:t>
      </w:r>
      <w:r w:rsidR="00F011F3">
        <w:rPr>
          <w:rFonts w:eastAsia="Arial Unicode MS"/>
        </w:rPr>
        <w:t>respondent</w:t>
      </w:r>
      <w:r w:rsidR="002F69F6" w:rsidRPr="001D512D">
        <w:rPr>
          <w:rFonts w:eastAsia="Arial Unicode MS"/>
        </w:rPr>
        <w:t xml:space="preserve"> maintains that it was</w:t>
      </w:r>
      <w:r w:rsidR="0076088C" w:rsidRPr="001D512D">
        <w:rPr>
          <w:rFonts w:eastAsia="Arial Unicode MS"/>
        </w:rPr>
        <w:t xml:space="preserve"> not entitled </w:t>
      </w:r>
      <w:r w:rsidRPr="001D512D">
        <w:rPr>
          <w:rFonts w:eastAsia="Arial Unicode MS"/>
        </w:rPr>
        <w:t xml:space="preserve">under </w:t>
      </w:r>
      <w:r w:rsidR="00C47B7E">
        <w:rPr>
          <w:rFonts w:eastAsia="Arial Unicode MS"/>
        </w:rPr>
        <w:t>s.</w:t>
      </w:r>
      <w:r w:rsidR="00C47B7E" w:rsidRPr="001D512D">
        <w:rPr>
          <w:rFonts w:eastAsia="Arial Unicode MS"/>
        </w:rPr>
        <w:t xml:space="preserve"> </w:t>
      </w:r>
      <w:r w:rsidRPr="001D512D">
        <w:rPr>
          <w:rFonts w:eastAsia="Arial Unicode MS"/>
        </w:rPr>
        <w:t xml:space="preserve">42 of the </w:t>
      </w:r>
      <w:r w:rsidR="0076088C" w:rsidRPr="001D512D">
        <w:rPr>
          <w:rFonts w:eastAsia="Arial Unicode MS"/>
        </w:rPr>
        <w:t xml:space="preserve">PDA </w:t>
      </w:r>
      <w:r w:rsidRPr="001D512D">
        <w:rPr>
          <w:rFonts w:eastAsia="Arial Unicode MS"/>
        </w:rPr>
        <w:t xml:space="preserve">to </w:t>
      </w:r>
      <w:r w:rsidR="0076088C" w:rsidRPr="001D512D">
        <w:rPr>
          <w:rFonts w:eastAsia="Arial Unicode MS"/>
        </w:rPr>
        <w:t xml:space="preserve">give the </w:t>
      </w:r>
      <w:r w:rsidR="00F011F3">
        <w:rPr>
          <w:rFonts w:eastAsia="Arial Unicode MS"/>
        </w:rPr>
        <w:t>applicant</w:t>
      </w:r>
      <w:r w:rsidRPr="001D512D">
        <w:rPr>
          <w:rFonts w:eastAsia="Arial Unicode MS"/>
        </w:rPr>
        <w:t xml:space="preserve"> notice of its intention to </w:t>
      </w:r>
      <w:r w:rsidR="0076088C" w:rsidRPr="001D512D">
        <w:rPr>
          <w:rFonts w:eastAsia="Arial Unicode MS"/>
        </w:rPr>
        <w:t xml:space="preserve">refuse the </w:t>
      </w:r>
      <w:r w:rsidR="00963804" w:rsidRPr="001D512D">
        <w:rPr>
          <w:rFonts w:eastAsia="Arial Unicode MS"/>
        </w:rPr>
        <w:t>Application</w:t>
      </w:r>
      <w:r w:rsidR="0076088C" w:rsidRPr="001D512D">
        <w:rPr>
          <w:rFonts w:eastAsia="Arial Unicode MS"/>
        </w:rPr>
        <w:t xml:space="preserve"> to </w:t>
      </w:r>
      <w:r w:rsidR="00963804" w:rsidRPr="001D512D">
        <w:rPr>
          <w:rFonts w:eastAsia="Arial Unicode MS"/>
        </w:rPr>
        <w:t>extend</w:t>
      </w:r>
      <w:r w:rsidR="0076088C" w:rsidRPr="001D512D">
        <w:rPr>
          <w:rFonts w:eastAsia="Arial Unicode MS"/>
        </w:rPr>
        <w:t xml:space="preserve"> nor was it enti</w:t>
      </w:r>
      <w:r w:rsidR="00963804" w:rsidRPr="001D512D">
        <w:rPr>
          <w:rFonts w:eastAsia="Arial Unicode MS"/>
        </w:rPr>
        <w:t xml:space="preserve">tled </w:t>
      </w:r>
      <w:r w:rsidR="0076088C" w:rsidRPr="001D512D">
        <w:rPr>
          <w:rFonts w:eastAsia="Arial Unicode MS"/>
        </w:rPr>
        <w:t xml:space="preserve">to give the </w:t>
      </w:r>
      <w:r w:rsidR="00F011F3">
        <w:rPr>
          <w:rFonts w:eastAsia="Arial Unicode MS"/>
        </w:rPr>
        <w:t>applicant</w:t>
      </w:r>
      <w:r w:rsidR="0076088C" w:rsidRPr="001D512D">
        <w:rPr>
          <w:rFonts w:eastAsia="Arial Unicode MS"/>
        </w:rPr>
        <w:t xml:space="preserve"> an opportunity to make </w:t>
      </w:r>
      <w:r w:rsidR="00963804" w:rsidRPr="001D512D">
        <w:rPr>
          <w:rFonts w:eastAsia="Arial Unicode MS"/>
        </w:rPr>
        <w:t>further</w:t>
      </w:r>
      <w:r w:rsidR="0076088C" w:rsidRPr="001D512D">
        <w:rPr>
          <w:rFonts w:eastAsia="Arial Unicode MS"/>
        </w:rPr>
        <w:t xml:space="preserve"> su</w:t>
      </w:r>
      <w:r w:rsidR="00963804" w:rsidRPr="001D512D">
        <w:rPr>
          <w:rFonts w:eastAsia="Arial Unicode MS"/>
        </w:rPr>
        <w:t>bmissions</w:t>
      </w:r>
      <w:r w:rsidR="002C0CC4" w:rsidRPr="001D512D">
        <w:rPr>
          <w:rFonts w:eastAsia="Arial Unicode MS"/>
        </w:rPr>
        <w:t xml:space="preserve">. </w:t>
      </w:r>
      <w:r w:rsidR="00836C67" w:rsidRPr="001D512D">
        <w:rPr>
          <w:rFonts w:eastAsia="Arial Unicode MS"/>
        </w:rPr>
        <w:t>They maintain that t</w:t>
      </w:r>
      <w:r w:rsidR="00E74560" w:rsidRPr="001D512D">
        <w:rPr>
          <w:rFonts w:eastAsia="Arial Unicode MS"/>
        </w:rPr>
        <w:t xml:space="preserve">he </w:t>
      </w:r>
      <w:r w:rsidR="00F011F3">
        <w:rPr>
          <w:rFonts w:eastAsia="Arial Unicode MS"/>
        </w:rPr>
        <w:t>respondent</w:t>
      </w:r>
      <w:r w:rsidR="00E74560" w:rsidRPr="001D512D">
        <w:rPr>
          <w:rFonts w:eastAsia="Arial Unicode MS"/>
        </w:rPr>
        <w:t xml:space="preserve"> had a “</w:t>
      </w:r>
      <w:r w:rsidR="00E74560" w:rsidRPr="001D512D">
        <w:rPr>
          <w:rFonts w:eastAsia="Arial Unicode MS"/>
          <w:i/>
          <w:iCs/>
        </w:rPr>
        <w:t>limited prescribed discretion</w:t>
      </w:r>
      <w:r w:rsidR="00E74560" w:rsidRPr="001D512D">
        <w:rPr>
          <w:rFonts w:eastAsia="Arial Unicode MS"/>
        </w:rPr>
        <w:t>”, which did not per</w:t>
      </w:r>
      <w:r w:rsidR="00664F9D" w:rsidRPr="001D512D">
        <w:rPr>
          <w:rFonts w:eastAsia="Arial Unicode MS"/>
        </w:rPr>
        <w:t xml:space="preserve">mit </w:t>
      </w:r>
      <w:r w:rsidR="00E74560" w:rsidRPr="001D512D">
        <w:rPr>
          <w:rFonts w:eastAsia="Arial Unicode MS"/>
        </w:rPr>
        <w:t xml:space="preserve">it to go beyond the provisions of </w:t>
      </w:r>
      <w:r w:rsidR="00C47B7E">
        <w:rPr>
          <w:rFonts w:eastAsia="Arial Unicode MS"/>
        </w:rPr>
        <w:t>s.</w:t>
      </w:r>
      <w:r w:rsidR="00C47B7E" w:rsidRPr="001D512D">
        <w:rPr>
          <w:rFonts w:eastAsia="Arial Unicode MS"/>
        </w:rPr>
        <w:t xml:space="preserve"> </w:t>
      </w:r>
      <w:r w:rsidR="00E74560" w:rsidRPr="001D512D">
        <w:rPr>
          <w:rFonts w:eastAsia="Arial Unicode MS"/>
        </w:rPr>
        <w:t>42 and the applicable regulations</w:t>
      </w:r>
      <w:r w:rsidR="001D512D">
        <w:rPr>
          <w:rFonts w:eastAsia="Arial Unicode MS"/>
        </w:rPr>
        <w:t xml:space="preserve"> (</w:t>
      </w:r>
      <w:r w:rsidR="00946517">
        <w:rPr>
          <w:rFonts w:eastAsia="Arial Unicode MS"/>
        </w:rPr>
        <w:t>A</w:t>
      </w:r>
      <w:r w:rsidR="007A0F7A" w:rsidRPr="001D512D">
        <w:rPr>
          <w:rFonts w:eastAsia="Arial Unicode MS"/>
        </w:rPr>
        <w:t>rticles</w:t>
      </w:r>
      <w:r w:rsidR="00664F9D" w:rsidRPr="001D512D">
        <w:rPr>
          <w:rFonts w:eastAsia="Arial Unicode MS"/>
        </w:rPr>
        <w:t xml:space="preserve"> </w:t>
      </w:r>
      <w:r w:rsidR="007A0F7A" w:rsidRPr="001D512D">
        <w:rPr>
          <w:rFonts w:eastAsia="Arial Unicode MS"/>
        </w:rPr>
        <w:t xml:space="preserve">40 to 46 of </w:t>
      </w:r>
      <w:r w:rsidR="00664F9D" w:rsidRPr="001D512D">
        <w:rPr>
          <w:rFonts w:eastAsia="Arial Unicode MS"/>
        </w:rPr>
        <w:t xml:space="preserve">the Planning </w:t>
      </w:r>
      <w:r w:rsidR="007A0F7A" w:rsidRPr="001D512D">
        <w:rPr>
          <w:rFonts w:eastAsia="Arial Unicode MS"/>
        </w:rPr>
        <w:t>a</w:t>
      </w:r>
      <w:r w:rsidR="00664F9D" w:rsidRPr="001D512D">
        <w:rPr>
          <w:rFonts w:eastAsia="Arial Unicode MS"/>
        </w:rPr>
        <w:t xml:space="preserve">nd </w:t>
      </w:r>
      <w:r w:rsidR="007A0F7A" w:rsidRPr="001D512D">
        <w:rPr>
          <w:rFonts w:eastAsia="Arial Unicode MS"/>
        </w:rPr>
        <w:t>Development Regulations</w:t>
      </w:r>
      <w:r w:rsidR="00664F9D" w:rsidRPr="001D512D">
        <w:rPr>
          <w:rFonts w:eastAsia="Arial Unicode MS"/>
        </w:rPr>
        <w:t xml:space="preserve"> 2001</w:t>
      </w:r>
      <w:r w:rsidR="00946517">
        <w:rPr>
          <w:rFonts w:eastAsia="Arial Unicode MS"/>
        </w:rPr>
        <w:t xml:space="preserve"> (</w:t>
      </w:r>
      <w:r w:rsidR="00664F9D" w:rsidRPr="001D512D">
        <w:rPr>
          <w:rFonts w:eastAsia="Arial Unicode MS"/>
        </w:rPr>
        <w:t>as amended</w:t>
      </w:r>
      <w:r w:rsidR="001D512D">
        <w:rPr>
          <w:rFonts w:eastAsia="Arial Unicode MS"/>
        </w:rPr>
        <w:t>)</w:t>
      </w:r>
      <w:r w:rsidR="007A0F7A" w:rsidRPr="001D512D">
        <w:rPr>
          <w:rFonts w:eastAsia="Arial Unicode MS"/>
        </w:rPr>
        <w:t>(</w:t>
      </w:r>
      <w:r w:rsidR="00664F9D" w:rsidRPr="001D512D">
        <w:rPr>
          <w:rFonts w:eastAsia="Arial Unicode MS"/>
        </w:rPr>
        <w:t>the “PDR”</w:t>
      </w:r>
      <w:r w:rsidR="00A97E42">
        <w:rPr>
          <w:rFonts w:eastAsia="Arial Unicode MS"/>
        </w:rPr>
        <w:t>)</w:t>
      </w:r>
      <w:r w:rsidR="00664F9D" w:rsidRPr="001D512D">
        <w:rPr>
          <w:rFonts w:eastAsia="Arial Unicode MS"/>
        </w:rPr>
        <w:t>)</w:t>
      </w:r>
      <w:r w:rsidR="00E74560" w:rsidRPr="001D512D">
        <w:rPr>
          <w:rFonts w:eastAsia="Arial Unicode MS"/>
        </w:rPr>
        <w:t>.</w:t>
      </w:r>
      <w:r w:rsidR="00836C67" w:rsidRPr="001D512D">
        <w:rPr>
          <w:rFonts w:eastAsia="Arial Unicode MS"/>
        </w:rPr>
        <w:t xml:space="preserve">  The </w:t>
      </w:r>
      <w:r w:rsidR="00F011F3">
        <w:rPr>
          <w:rFonts w:eastAsia="Arial Unicode MS"/>
        </w:rPr>
        <w:t>respondent</w:t>
      </w:r>
      <w:r w:rsidR="00836C67" w:rsidRPr="001D512D">
        <w:rPr>
          <w:rFonts w:eastAsia="Arial Unicode MS"/>
        </w:rPr>
        <w:t xml:space="preserve"> further refers to the fact that </w:t>
      </w:r>
      <w:r w:rsidR="00836C67">
        <w:t>i</w:t>
      </w:r>
      <w:r w:rsidR="00E74560">
        <w:t xml:space="preserve">n </w:t>
      </w:r>
      <w:r w:rsidR="00E211CF" w:rsidRPr="001D512D">
        <w:rPr>
          <w:i/>
          <w:iCs/>
        </w:rPr>
        <w:t>Merriman v. Fingal County Council</w:t>
      </w:r>
      <w:r w:rsidR="00E211CF" w:rsidRPr="00525929">
        <w:t xml:space="preserve"> [201</w:t>
      </w:r>
      <w:r w:rsidR="00E211CF">
        <w:t>7</w:t>
      </w:r>
      <w:r w:rsidR="00E211CF" w:rsidRPr="00525929">
        <w:t>] IEHC 6</w:t>
      </w:r>
      <w:r w:rsidR="00E211CF">
        <w:t>9</w:t>
      </w:r>
      <w:r w:rsidR="00E211CF" w:rsidRPr="00525929">
        <w:t>5</w:t>
      </w:r>
      <w:r w:rsidR="00E211CF">
        <w:t xml:space="preserve"> Barrett J. </w:t>
      </w:r>
      <w:r w:rsidR="00E74560">
        <w:t xml:space="preserve">rejected the </w:t>
      </w:r>
      <w:r w:rsidR="00664F9D">
        <w:t>argument</w:t>
      </w:r>
      <w:r w:rsidR="00E74560">
        <w:t xml:space="preserve"> that the</w:t>
      </w:r>
      <w:r w:rsidR="00664F9D">
        <w:t>re</w:t>
      </w:r>
      <w:r w:rsidR="00E74560">
        <w:t xml:space="preserve"> was a righ</w:t>
      </w:r>
      <w:r w:rsidR="00664F9D">
        <w:t>t</w:t>
      </w:r>
      <w:r w:rsidR="00E74560">
        <w:t xml:space="preserve"> to make submission</w:t>
      </w:r>
      <w:r w:rsidR="00664F9D">
        <w:t>s</w:t>
      </w:r>
      <w:r w:rsidR="00E74560">
        <w:t xml:space="preserve"> in the </w:t>
      </w:r>
      <w:r w:rsidR="00A97E42">
        <w:t xml:space="preserve">s. </w:t>
      </w:r>
      <w:r w:rsidR="00E74560">
        <w:t xml:space="preserve">42 </w:t>
      </w:r>
      <w:r w:rsidR="00E74560" w:rsidRPr="00664F9D">
        <w:t>process</w:t>
      </w:r>
      <w:r w:rsidR="00E74560" w:rsidRPr="001D512D">
        <w:rPr>
          <w:i/>
          <w:iCs/>
        </w:rPr>
        <w:t xml:space="preserve"> inter alia </w:t>
      </w:r>
      <w:r w:rsidR="00E74560">
        <w:t xml:space="preserve">when considering </w:t>
      </w:r>
      <w:r w:rsidR="00E211CF">
        <w:t>the “</w:t>
      </w:r>
      <w:r w:rsidR="00E211CF" w:rsidRPr="001D512D">
        <w:rPr>
          <w:i/>
          <w:iCs/>
        </w:rPr>
        <w:t>Extent of Discretion Arising under Section 42</w:t>
      </w:r>
      <w:r w:rsidR="00E211CF">
        <w:t xml:space="preserve">” (see </w:t>
      </w:r>
      <w:r w:rsidR="00A97E42">
        <w:t xml:space="preserve">paras. </w:t>
      </w:r>
      <w:r w:rsidR="00E211CF">
        <w:t xml:space="preserve">61 to 82). The learned Judge concluded </w:t>
      </w:r>
      <w:r w:rsidR="00E211CF" w:rsidRPr="001D512D">
        <w:rPr>
          <w:i/>
          <w:iCs/>
        </w:rPr>
        <w:t>inter alia</w:t>
      </w:r>
      <w:r w:rsidR="00AD1905" w:rsidRPr="001D512D">
        <w:rPr>
          <w:i/>
          <w:iCs/>
        </w:rPr>
        <w:t xml:space="preserve"> </w:t>
      </w:r>
      <w:r w:rsidR="00AD1905">
        <w:t xml:space="preserve">at </w:t>
      </w:r>
      <w:r w:rsidR="00A97E42">
        <w:t xml:space="preserve">para. </w:t>
      </w:r>
      <w:r w:rsidR="00AD1905">
        <w:t>82</w:t>
      </w:r>
      <w:r w:rsidR="00E211CF">
        <w:t>:</w:t>
      </w:r>
    </w:p>
    <w:p w14:paraId="61254F09" w14:textId="77777777" w:rsidR="00E211CF" w:rsidRPr="00B467D9" w:rsidRDefault="00E211CF" w:rsidP="00E211CF">
      <w:pPr>
        <w:spacing w:line="360" w:lineRule="auto"/>
        <w:jc w:val="both"/>
        <w:rPr>
          <w:i/>
          <w:iCs/>
        </w:rPr>
      </w:pPr>
    </w:p>
    <w:p w14:paraId="6F56098C" w14:textId="77777777" w:rsidR="00E211CF" w:rsidRPr="00B467D9" w:rsidRDefault="00E211CF" w:rsidP="00B04847">
      <w:pPr>
        <w:spacing w:line="360" w:lineRule="auto"/>
        <w:ind w:left="501"/>
        <w:jc w:val="both"/>
        <w:rPr>
          <w:i/>
          <w:iCs/>
        </w:rPr>
      </w:pPr>
      <w:r w:rsidRPr="00B467D9">
        <w:rPr>
          <w:i/>
          <w:iCs/>
        </w:rPr>
        <w:t xml:space="preserve">“Likewise it is clear that the Case 1 </w:t>
      </w:r>
      <w:r w:rsidR="00F011F3">
        <w:rPr>
          <w:i/>
          <w:iCs/>
        </w:rPr>
        <w:t>applicant</w:t>
      </w:r>
      <w:r w:rsidRPr="00B467D9">
        <w:rPr>
          <w:i/>
          <w:iCs/>
        </w:rPr>
        <w:t>s, and indeed the public in general, do not have a right to make observations on applications brought pursuant to s.42 of PADA. There is no provision in s.42 which allows for the consideration of submissions from the public. And the High Court, in its previous decisions in, e.g., Coll and Lackagh Quarries, has been entirely clear that PADA makes no provision for third party participation in this regard. (See also Collins v. Galway County Council [2011] IEHC 3).”</w:t>
      </w:r>
    </w:p>
    <w:p w14:paraId="52B934AC" w14:textId="77777777" w:rsidR="00AD1905" w:rsidRDefault="00AD1905" w:rsidP="00154704">
      <w:pPr>
        <w:spacing w:line="360" w:lineRule="auto"/>
        <w:ind w:left="360"/>
        <w:jc w:val="both"/>
        <w:rPr>
          <w:rFonts w:eastAsia="Arial Unicode MS"/>
        </w:rPr>
      </w:pPr>
    </w:p>
    <w:p w14:paraId="26268B38" w14:textId="77777777" w:rsidR="00664F9D" w:rsidRDefault="00836C67" w:rsidP="00B04847">
      <w:pPr>
        <w:numPr>
          <w:ilvl w:val="0"/>
          <w:numId w:val="1"/>
        </w:numPr>
        <w:spacing w:line="360" w:lineRule="auto"/>
        <w:ind w:left="0" w:firstLine="0"/>
        <w:jc w:val="both"/>
        <w:rPr>
          <w:rFonts w:eastAsia="Arial Unicode MS"/>
        </w:rPr>
      </w:pPr>
      <w:r>
        <w:t xml:space="preserve">I am satisfied that in </w:t>
      </w:r>
      <w:r w:rsidRPr="006C1520">
        <w:rPr>
          <w:i/>
        </w:rPr>
        <w:t>Merriman</w:t>
      </w:r>
      <w:r>
        <w:t xml:space="preserve">, as apparent from the above extract, the Court was dealing with the rights of third parties.  The </w:t>
      </w:r>
      <w:r w:rsidR="00F011F3">
        <w:t>applicant</w:t>
      </w:r>
      <w:r>
        <w:t xml:space="preserve"> is not a third party but is the beneficiary of the planning permission sought to be extended</w:t>
      </w:r>
      <w:r w:rsidR="003825D4">
        <w:t xml:space="preserve">. </w:t>
      </w:r>
      <w:r w:rsidR="00946517">
        <w:rPr>
          <w:i/>
          <w:iCs/>
        </w:rPr>
        <w:t xml:space="preserve"> </w:t>
      </w:r>
      <w:r w:rsidR="00D33235">
        <w:rPr>
          <w:rFonts w:eastAsia="Arial Unicode MS"/>
        </w:rPr>
        <w:t xml:space="preserve">The </w:t>
      </w:r>
      <w:r w:rsidR="00F011F3">
        <w:rPr>
          <w:rFonts w:eastAsia="Arial Unicode MS"/>
        </w:rPr>
        <w:t>applicant</w:t>
      </w:r>
      <w:r w:rsidR="00D33235">
        <w:rPr>
          <w:rFonts w:eastAsia="Arial Unicode MS"/>
        </w:rPr>
        <w:t xml:space="preserve"> </w:t>
      </w:r>
      <w:r w:rsidR="008B6A68">
        <w:rPr>
          <w:rFonts w:eastAsia="Arial Unicode MS"/>
        </w:rPr>
        <w:t>relies</w:t>
      </w:r>
      <w:r w:rsidR="00D33235">
        <w:rPr>
          <w:rFonts w:eastAsia="Arial Unicode MS"/>
        </w:rPr>
        <w:t xml:space="preserve"> on </w:t>
      </w:r>
      <w:r w:rsidR="008B6A68">
        <w:rPr>
          <w:rFonts w:eastAsia="Arial Unicode MS"/>
        </w:rPr>
        <w:t>article</w:t>
      </w:r>
      <w:r w:rsidR="007D55FD">
        <w:rPr>
          <w:rFonts w:eastAsia="Arial Unicode MS"/>
        </w:rPr>
        <w:t xml:space="preserve"> </w:t>
      </w:r>
      <w:r w:rsidR="00D33235">
        <w:rPr>
          <w:rFonts w:eastAsia="Arial Unicode MS"/>
        </w:rPr>
        <w:t xml:space="preserve">44(2)(b) of the </w:t>
      </w:r>
      <w:r w:rsidR="007A0F7A">
        <w:rPr>
          <w:rFonts w:eastAsia="Arial Unicode MS"/>
        </w:rPr>
        <w:t>PDR</w:t>
      </w:r>
      <w:r w:rsidR="00664F9D">
        <w:rPr>
          <w:rFonts w:eastAsia="Arial Unicode MS"/>
        </w:rPr>
        <w:t xml:space="preserve"> </w:t>
      </w:r>
      <w:r w:rsidR="003825D4">
        <w:rPr>
          <w:rFonts w:eastAsia="Arial Unicode MS"/>
        </w:rPr>
        <w:t xml:space="preserve">which permits the </w:t>
      </w:r>
      <w:r w:rsidR="00F011F3">
        <w:rPr>
          <w:rFonts w:eastAsia="Arial Unicode MS"/>
        </w:rPr>
        <w:t>respondent</w:t>
      </w:r>
      <w:r w:rsidR="00724177">
        <w:rPr>
          <w:rFonts w:eastAsia="Arial Unicode MS"/>
        </w:rPr>
        <w:t xml:space="preserve"> to seek further particulars for the purpose of compliance with Regulations 42 and 43 </w:t>
      </w:r>
      <w:r w:rsidR="00D33235">
        <w:rPr>
          <w:rFonts w:eastAsia="Arial Unicode MS"/>
        </w:rPr>
        <w:t xml:space="preserve">(see </w:t>
      </w:r>
      <w:r w:rsidR="009269C6">
        <w:rPr>
          <w:rFonts w:eastAsia="Arial Unicode MS"/>
        </w:rPr>
        <w:t xml:space="preserve">para. </w:t>
      </w:r>
      <w:r w:rsidR="00D33235">
        <w:rPr>
          <w:rFonts w:eastAsia="Arial Unicode MS"/>
        </w:rPr>
        <w:t>57 of the</w:t>
      </w:r>
      <w:r w:rsidR="008B6A68">
        <w:rPr>
          <w:rFonts w:eastAsia="Arial Unicode MS"/>
        </w:rPr>
        <w:t xml:space="preserve"> </w:t>
      </w:r>
      <w:r w:rsidR="00F011F3">
        <w:rPr>
          <w:rFonts w:eastAsia="Arial Unicode MS"/>
        </w:rPr>
        <w:t>applicant</w:t>
      </w:r>
      <w:r w:rsidR="008B6A68">
        <w:rPr>
          <w:rFonts w:eastAsia="Arial Unicode MS"/>
        </w:rPr>
        <w:t>’s</w:t>
      </w:r>
      <w:r w:rsidR="00D33235">
        <w:rPr>
          <w:rFonts w:eastAsia="Arial Unicode MS"/>
        </w:rPr>
        <w:t xml:space="preserve"> </w:t>
      </w:r>
      <w:r w:rsidR="008B6A68">
        <w:rPr>
          <w:rFonts w:eastAsia="Arial Unicode MS"/>
        </w:rPr>
        <w:t>submissions</w:t>
      </w:r>
      <w:r w:rsidR="00D33235">
        <w:rPr>
          <w:rFonts w:eastAsia="Arial Unicode MS"/>
        </w:rPr>
        <w:t xml:space="preserve">). </w:t>
      </w:r>
      <w:r w:rsidR="00724177">
        <w:rPr>
          <w:rFonts w:eastAsia="Arial Unicode MS"/>
        </w:rPr>
        <w:t xml:space="preserve"> </w:t>
      </w:r>
      <w:r>
        <w:rPr>
          <w:rFonts w:eastAsia="Arial Unicode MS"/>
        </w:rPr>
        <w:t xml:space="preserve">The </w:t>
      </w:r>
      <w:r w:rsidR="00F011F3">
        <w:rPr>
          <w:rFonts w:eastAsia="Arial Unicode MS"/>
        </w:rPr>
        <w:t>respondent</w:t>
      </w:r>
      <w:r>
        <w:rPr>
          <w:rFonts w:eastAsia="Arial Unicode MS"/>
        </w:rPr>
        <w:t xml:space="preserve"> contends that this provision does not apply as </w:t>
      </w:r>
      <w:r w:rsidR="003D2B6C">
        <w:rPr>
          <w:rFonts w:eastAsia="Arial Unicode MS"/>
        </w:rPr>
        <w:t>the</w:t>
      </w:r>
      <w:r w:rsidR="00724177">
        <w:rPr>
          <w:rFonts w:eastAsia="Arial Unicode MS"/>
        </w:rPr>
        <w:t xml:space="preserve"> </w:t>
      </w:r>
      <w:r w:rsidR="00F011F3">
        <w:rPr>
          <w:rFonts w:eastAsia="Arial Unicode MS"/>
        </w:rPr>
        <w:t>respondent</w:t>
      </w:r>
      <w:r w:rsidR="00724177">
        <w:rPr>
          <w:rFonts w:eastAsia="Arial Unicode MS"/>
        </w:rPr>
        <w:t xml:space="preserve"> </w:t>
      </w:r>
      <w:r w:rsidR="008B6A68">
        <w:rPr>
          <w:rFonts w:eastAsia="Arial Unicode MS"/>
        </w:rPr>
        <w:t>did not</w:t>
      </w:r>
      <w:r w:rsidR="0057194A">
        <w:rPr>
          <w:rFonts w:eastAsia="Arial Unicode MS"/>
        </w:rPr>
        <w:t xml:space="preserve"> </w:t>
      </w:r>
      <w:r w:rsidR="008B6A68" w:rsidRPr="0057194A">
        <w:rPr>
          <w:rFonts w:eastAsia="Arial Unicode MS"/>
        </w:rPr>
        <w:t>“</w:t>
      </w:r>
      <w:r w:rsidR="008B6A68" w:rsidRPr="0057194A">
        <w:rPr>
          <w:rFonts w:eastAsia="Arial Unicode MS"/>
          <w:i/>
          <w:iCs/>
        </w:rPr>
        <w:t xml:space="preserve">consider[] that </w:t>
      </w:r>
      <w:r w:rsidR="007A0F7A" w:rsidRPr="0057194A">
        <w:rPr>
          <w:rFonts w:eastAsia="Arial Unicode MS"/>
          <w:i/>
          <w:iCs/>
        </w:rPr>
        <w:t>[the]</w:t>
      </w:r>
      <w:r w:rsidR="008B6A68" w:rsidRPr="0057194A">
        <w:rPr>
          <w:rFonts w:eastAsia="Arial Unicode MS"/>
          <w:i/>
          <w:iCs/>
        </w:rPr>
        <w:t xml:space="preserve"> application to extend or extend further the appropriate period as regards a particular permission </w:t>
      </w:r>
      <w:r w:rsidR="007A0F7A" w:rsidRPr="0057194A">
        <w:rPr>
          <w:rFonts w:eastAsia="Arial Unicode MS"/>
          <w:i/>
          <w:iCs/>
        </w:rPr>
        <w:t>[did]</w:t>
      </w:r>
      <w:r w:rsidR="008B6A68" w:rsidRPr="0057194A">
        <w:rPr>
          <w:rFonts w:eastAsia="Arial Unicode MS"/>
          <w:i/>
          <w:iCs/>
        </w:rPr>
        <w:t xml:space="preserve"> not comply with the [relevant] requirements</w:t>
      </w:r>
      <w:r w:rsidR="008B6A68" w:rsidRPr="0057194A">
        <w:rPr>
          <w:rFonts w:eastAsia="Arial Unicode MS"/>
        </w:rPr>
        <w:t xml:space="preserve">” </w:t>
      </w:r>
      <w:r w:rsidR="003D2B6C" w:rsidRPr="0057194A">
        <w:rPr>
          <w:rFonts w:eastAsia="Arial Unicode MS"/>
        </w:rPr>
        <w:t xml:space="preserve">so </w:t>
      </w:r>
      <w:r w:rsidR="00664F9D" w:rsidRPr="0057194A">
        <w:rPr>
          <w:rFonts w:eastAsia="Arial Unicode MS"/>
        </w:rPr>
        <w:t xml:space="preserve">the Council </w:t>
      </w:r>
      <w:r w:rsidR="008B6A68" w:rsidRPr="0057194A">
        <w:rPr>
          <w:rFonts w:eastAsia="Arial Unicode MS"/>
        </w:rPr>
        <w:t xml:space="preserve">could not use this article to seek </w:t>
      </w:r>
      <w:r w:rsidR="003D2B6C" w:rsidRPr="0057194A">
        <w:rPr>
          <w:rFonts w:eastAsia="Arial Unicode MS"/>
        </w:rPr>
        <w:t>“</w:t>
      </w:r>
      <w:r w:rsidR="003D2B6C" w:rsidRPr="0057194A">
        <w:rPr>
          <w:rFonts w:eastAsia="Arial Unicode MS"/>
          <w:i/>
          <w:iCs/>
        </w:rPr>
        <w:t xml:space="preserve">such further </w:t>
      </w:r>
      <w:r w:rsidR="008B6A68" w:rsidRPr="0057194A">
        <w:rPr>
          <w:rFonts w:eastAsia="Arial Unicode MS"/>
          <w:i/>
          <w:iCs/>
        </w:rPr>
        <w:t>particulars</w:t>
      </w:r>
      <w:r w:rsidR="003D2B6C" w:rsidRPr="0057194A">
        <w:rPr>
          <w:rFonts w:eastAsia="Arial Unicode MS"/>
          <w:i/>
          <w:iCs/>
        </w:rPr>
        <w:t xml:space="preserve"> </w:t>
      </w:r>
      <w:r w:rsidR="007D55FD" w:rsidRPr="0057194A">
        <w:rPr>
          <w:rFonts w:eastAsia="Arial Unicode MS"/>
          <w:i/>
          <w:iCs/>
        </w:rPr>
        <w:t>as ma</w:t>
      </w:r>
      <w:r w:rsidR="008B6A68" w:rsidRPr="0057194A">
        <w:rPr>
          <w:rFonts w:eastAsia="Arial Unicode MS"/>
          <w:i/>
          <w:iCs/>
        </w:rPr>
        <w:t>y</w:t>
      </w:r>
      <w:r w:rsidR="007D55FD" w:rsidRPr="0057194A">
        <w:rPr>
          <w:rFonts w:eastAsia="Arial Unicode MS"/>
          <w:i/>
          <w:iCs/>
        </w:rPr>
        <w:t xml:space="preserve"> be necessary to comply with the said </w:t>
      </w:r>
      <w:r w:rsidR="008B6A68" w:rsidRPr="0057194A">
        <w:rPr>
          <w:rFonts w:eastAsia="Arial Unicode MS"/>
          <w:i/>
          <w:iCs/>
        </w:rPr>
        <w:t>requirements</w:t>
      </w:r>
      <w:r w:rsidR="007D55FD" w:rsidRPr="0057194A">
        <w:rPr>
          <w:rFonts w:eastAsia="Arial Unicode MS"/>
        </w:rPr>
        <w:t xml:space="preserve">”. </w:t>
      </w:r>
      <w:r w:rsidRPr="0057194A">
        <w:rPr>
          <w:rFonts w:eastAsia="Arial Unicode MS"/>
        </w:rPr>
        <w:t xml:space="preserve">The </w:t>
      </w:r>
      <w:r w:rsidR="00F011F3">
        <w:rPr>
          <w:rFonts w:eastAsia="Arial Unicode MS"/>
        </w:rPr>
        <w:t>respondent</w:t>
      </w:r>
      <w:r w:rsidRPr="0057194A">
        <w:rPr>
          <w:rFonts w:eastAsia="Arial Unicode MS"/>
        </w:rPr>
        <w:t xml:space="preserve"> s</w:t>
      </w:r>
      <w:r w:rsidR="007A0F7A" w:rsidRPr="0057194A">
        <w:rPr>
          <w:rFonts w:eastAsia="Arial Unicode MS"/>
        </w:rPr>
        <w:t>imilarly</w:t>
      </w:r>
      <w:r w:rsidRPr="0057194A">
        <w:rPr>
          <w:rFonts w:eastAsia="Arial Unicode MS"/>
        </w:rPr>
        <w:t xml:space="preserve"> maintains that it</w:t>
      </w:r>
      <w:r w:rsidR="007D55FD" w:rsidRPr="0057194A">
        <w:rPr>
          <w:rFonts w:eastAsia="Arial Unicode MS"/>
        </w:rPr>
        <w:t xml:space="preserve"> did not re</w:t>
      </w:r>
      <w:r w:rsidR="00664F9D" w:rsidRPr="0057194A">
        <w:rPr>
          <w:rFonts w:eastAsia="Arial Unicode MS"/>
        </w:rPr>
        <w:t xml:space="preserve">quire </w:t>
      </w:r>
      <w:r w:rsidR="007D55FD" w:rsidRPr="0057194A">
        <w:rPr>
          <w:rFonts w:eastAsia="Arial Unicode MS"/>
        </w:rPr>
        <w:t>an</w:t>
      </w:r>
      <w:r w:rsidR="00A45CCD" w:rsidRPr="0057194A">
        <w:rPr>
          <w:rFonts w:eastAsia="Arial Unicode MS"/>
        </w:rPr>
        <w:t>y</w:t>
      </w:r>
      <w:r w:rsidR="007D55FD" w:rsidRPr="0057194A">
        <w:rPr>
          <w:rFonts w:eastAsia="Arial Unicode MS"/>
        </w:rPr>
        <w:t xml:space="preserve"> “</w:t>
      </w:r>
      <w:r w:rsidR="007D55FD" w:rsidRPr="0057194A">
        <w:rPr>
          <w:rFonts w:eastAsia="Arial Unicode MS"/>
          <w:i/>
          <w:iCs/>
        </w:rPr>
        <w:t>further information, particulars or evidence</w:t>
      </w:r>
      <w:r w:rsidR="007D55FD" w:rsidRPr="0057194A">
        <w:rPr>
          <w:rFonts w:eastAsia="Arial Unicode MS"/>
        </w:rPr>
        <w:t>”</w:t>
      </w:r>
      <w:r w:rsidR="007A0F7A" w:rsidRPr="0057194A">
        <w:rPr>
          <w:rFonts w:eastAsia="Arial Unicode MS"/>
        </w:rPr>
        <w:t>,</w:t>
      </w:r>
      <w:r w:rsidR="007D55FD" w:rsidRPr="0057194A">
        <w:rPr>
          <w:rFonts w:eastAsia="Arial Unicode MS"/>
        </w:rPr>
        <w:t xml:space="preserve"> so article 45</w:t>
      </w:r>
      <w:r w:rsidR="00664F9D" w:rsidRPr="0057194A">
        <w:rPr>
          <w:rFonts w:eastAsia="Arial Unicode MS"/>
        </w:rPr>
        <w:t xml:space="preserve"> </w:t>
      </w:r>
      <w:r w:rsidR="007D55FD" w:rsidRPr="0057194A">
        <w:rPr>
          <w:rFonts w:eastAsia="Arial Unicode MS"/>
        </w:rPr>
        <w:t xml:space="preserve">of the </w:t>
      </w:r>
      <w:r w:rsidR="007A0F7A" w:rsidRPr="0057194A">
        <w:rPr>
          <w:rFonts w:eastAsia="Arial Unicode MS"/>
        </w:rPr>
        <w:t>PDR</w:t>
      </w:r>
      <w:r w:rsidR="007D55FD" w:rsidRPr="0057194A">
        <w:rPr>
          <w:rFonts w:eastAsia="Arial Unicode MS"/>
        </w:rPr>
        <w:t xml:space="preserve"> could not be invoked</w:t>
      </w:r>
      <w:r w:rsidR="008B6A68" w:rsidRPr="0057194A">
        <w:rPr>
          <w:rFonts w:eastAsia="Arial Unicode MS"/>
        </w:rPr>
        <w:t xml:space="preserve">. </w:t>
      </w:r>
    </w:p>
    <w:p w14:paraId="2FB7A9ED" w14:textId="77777777" w:rsidR="004F0CB7" w:rsidRDefault="004F0CB7" w:rsidP="00B04847">
      <w:pPr>
        <w:spacing w:line="360" w:lineRule="auto"/>
        <w:jc w:val="both"/>
        <w:rPr>
          <w:rFonts w:eastAsia="Arial Unicode MS"/>
        </w:rPr>
      </w:pPr>
    </w:p>
    <w:p w14:paraId="33FEC6FC" w14:textId="77777777" w:rsidR="004F0CB7" w:rsidRPr="0057194A" w:rsidRDefault="004F0CB7" w:rsidP="00B04847">
      <w:pPr>
        <w:numPr>
          <w:ilvl w:val="0"/>
          <w:numId w:val="1"/>
        </w:numPr>
        <w:spacing w:line="360" w:lineRule="auto"/>
        <w:ind w:left="0" w:firstLine="0"/>
        <w:jc w:val="both"/>
        <w:rPr>
          <w:rFonts w:eastAsia="Arial Unicode MS"/>
        </w:rPr>
      </w:pPr>
      <w:r>
        <w:t xml:space="preserve">I do not accept the </w:t>
      </w:r>
      <w:r w:rsidR="00F011F3">
        <w:t>respondent</w:t>
      </w:r>
      <w:r>
        <w:t xml:space="preserve">’s reliance on the statutory scheme and circumstances where express provision for seeking further information is made to establish that the </w:t>
      </w:r>
      <w:r w:rsidR="00F011F3">
        <w:t>respondent</w:t>
      </w:r>
      <w:r>
        <w:t xml:space="preserve"> had no power to invite submissions.  It is well established that a statutory body exercising statutory</w:t>
      </w:r>
      <w:r w:rsidR="005D553B">
        <w:t xml:space="preserve"> decision-making</w:t>
      </w:r>
      <w:r>
        <w:t xml:space="preserve"> functions has an implied power to do what is necessary to e</w:t>
      </w:r>
      <w:r w:rsidR="005D553B">
        <w:t>nsure that the decision is made in accordance with the requirements of constitutional justice.</w:t>
      </w:r>
      <w:r>
        <w:t xml:space="preserve">  In </w:t>
      </w:r>
      <w:r w:rsidRPr="004F0CB7">
        <w:rPr>
          <w:i/>
          <w:iCs/>
        </w:rPr>
        <w:t>North Wall Property Holding company Limited v. Dublin Docklands Development Authority &amp; Anor.</w:t>
      </w:r>
      <w:r>
        <w:t xml:space="preserve"> [2008] IEHC 305, Finlay-Geoghegan J. stated</w:t>
      </w:r>
      <w:r w:rsidR="005D553B">
        <w:t xml:space="preserve"> (para. 60)</w:t>
      </w:r>
      <w:r>
        <w:t>:</w:t>
      </w:r>
    </w:p>
    <w:p w14:paraId="50247BE0" w14:textId="77777777" w:rsidR="005D553B" w:rsidRDefault="005D553B" w:rsidP="00E902F2">
      <w:pPr>
        <w:spacing w:line="360" w:lineRule="auto"/>
        <w:jc w:val="both"/>
        <w:rPr>
          <w:rFonts w:eastAsia="Arial Unicode MS"/>
        </w:rPr>
      </w:pPr>
    </w:p>
    <w:p w14:paraId="22B12169" w14:textId="77777777" w:rsidR="00946517" w:rsidRPr="005D553B" w:rsidRDefault="005D553B" w:rsidP="00B04847">
      <w:pPr>
        <w:spacing w:line="360" w:lineRule="auto"/>
        <w:ind w:left="720"/>
        <w:jc w:val="both"/>
        <w:rPr>
          <w:rFonts w:eastAsia="Arial Unicode MS"/>
          <w:i/>
          <w:iCs/>
        </w:rPr>
      </w:pPr>
      <w:r w:rsidRPr="005D553B">
        <w:rPr>
          <w:rFonts w:eastAsia="Arial Unicode MS"/>
          <w:i/>
          <w:iCs/>
        </w:rPr>
        <w:t>“It is common case that, in accordance with well established judicial principles in relation to the construction of functions conferred by statute, that the implied decision-making process of the respondent must be discharged in accordance with principles of constitutional justice.  This requires that the decision be taken in accordance with fair procedures which would appear to require that persons who have property rights that could be affected by the decisions taken be given an opportunity of making submissions and have those submissions considered.”</w:t>
      </w:r>
    </w:p>
    <w:p w14:paraId="005B753E" w14:textId="77777777" w:rsidR="005D553B" w:rsidRPr="005D553B" w:rsidRDefault="005D553B" w:rsidP="00E902F2">
      <w:pPr>
        <w:spacing w:line="360" w:lineRule="auto"/>
        <w:jc w:val="both"/>
        <w:rPr>
          <w:rFonts w:eastAsia="Arial Unicode MS"/>
          <w:i/>
          <w:iCs/>
        </w:rPr>
      </w:pPr>
    </w:p>
    <w:p w14:paraId="4FAD728F" w14:textId="77777777" w:rsidR="003922D4" w:rsidRDefault="006C66D3" w:rsidP="00B04847">
      <w:pPr>
        <w:numPr>
          <w:ilvl w:val="0"/>
          <w:numId w:val="1"/>
        </w:numPr>
        <w:spacing w:line="360" w:lineRule="auto"/>
        <w:ind w:left="0" w:firstLine="0"/>
        <w:jc w:val="both"/>
        <w:rPr>
          <w:color w:val="333333"/>
          <w:shd w:val="clear" w:color="auto" w:fill="FFFFFF"/>
        </w:rPr>
      </w:pPr>
      <w:r>
        <w:rPr>
          <w:color w:val="333333"/>
          <w:shd w:val="clear" w:color="auto" w:fill="FFFFFF"/>
        </w:rPr>
        <w:t xml:space="preserve">Accordingly, I do not accept the respondent’s submission that it had no power to give the applicant an opportunity to make further submissions.  </w:t>
      </w:r>
      <w:r w:rsidR="002F559E">
        <w:rPr>
          <w:color w:val="333333"/>
          <w:shd w:val="clear" w:color="auto" w:fill="FFFFFF"/>
        </w:rPr>
        <w:t>Th</w:t>
      </w:r>
      <w:r>
        <w:rPr>
          <w:color w:val="333333"/>
          <w:shd w:val="clear" w:color="auto" w:fill="FFFFFF"/>
        </w:rPr>
        <w:t>at said the</w:t>
      </w:r>
      <w:r w:rsidR="002F559E">
        <w:rPr>
          <w:color w:val="333333"/>
          <w:shd w:val="clear" w:color="auto" w:fill="FFFFFF"/>
        </w:rPr>
        <w:t xml:space="preserve"> </w:t>
      </w:r>
      <w:r w:rsidR="00F011F3">
        <w:rPr>
          <w:color w:val="333333"/>
          <w:shd w:val="clear" w:color="auto" w:fill="FFFFFF"/>
        </w:rPr>
        <w:t>respondent</w:t>
      </w:r>
      <w:r w:rsidR="00AC6E6A">
        <w:rPr>
          <w:color w:val="333333"/>
          <w:shd w:val="clear" w:color="auto" w:fill="FFFFFF"/>
        </w:rPr>
        <w:t xml:space="preserve"> is not obliged to enter into a dialogue with an applicant or to indicate in advance its thinking or views</w:t>
      </w:r>
      <w:r>
        <w:rPr>
          <w:color w:val="333333"/>
          <w:shd w:val="clear" w:color="auto" w:fill="FFFFFF"/>
        </w:rPr>
        <w:t>, particularly when involved in the exercise of a limited prescribed discretion,</w:t>
      </w:r>
      <w:r w:rsidR="00AC6E6A">
        <w:rPr>
          <w:color w:val="333333"/>
          <w:shd w:val="clear" w:color="auto" w:fill="FFFFFF"/>
        </w:rPr>
        <w:t xml:space="preserve"> before deciding on an application</w:t>
      </w:r>
      <w:r>
        <w:rPr>
          <w:color w:val="333333"/>
          <w:shd w:val="clear" w:color="auto" w:fill="FFFFFF"/>
        </w:rPr>
        <w:t xml:space="preserve"> unless a failure to do so would render the decision unfair</w:t>
      </w:r>
      <w:r w:rsidR="002F559E">
        <w:rPr>
          <w:color w:val="333333"/>
          <w:shd w:val="clear" w:color="auto" w:fill="FFFFFF"/>
        </w:rPr>
        <w:t xml:space="preserve">.  </w:t>
      </w:r>
      <w:r w:rsidR="003922D4">
        <w:rPr>
          <w:color w:val="333333"/>
          <w:shd w:val="clear" w:color="auto" w:fill="FFFFFF"/>
        </w:rPr>
        <w:t xml:space="preserve">As Lynch J. stated in </w:t>
      </w:r>
      <w:r w:rsidR="003922D4" w:rsidRPr="00AC6E6A">
        <w:rPr>
          <w:i/>
          <w:iCs/>
          <w:color w:val="333333"/>
          <w:shd w:val="clear" w:color="auto" w:fill="FFFFFF"/>
        </w:rPr>
        <w:t>Frenchchurch Properties Limited v. Wexford County Council</w:t>
      </w:r>
      <w:r w:rsidR="003922D4">
        <w:rPr>
          <w:color w:val="333333"/>
          <w:shd w:val="clear" w:color="auto" w:fill="FFFFFF"/>
        </w:rPr>
        <w:t xml:space="preserve"> [1992] 2 IR 268, </w:t>
      </w:r>
      <w:r w:rsidR="009269C6">
        <w:rPr>
          <w:color w:val="333333"/>
          <w:shd w:val="clear" w:color="auto" w:fill="FFFFFF"/>
        </w:rPr>
        <w:t xml:space="preserve">p. </w:t>
      </w:r>
      <w:r w:rsidR="003922D4">
        <w:rPr>
          <w:color w:val="333333"/>
          <w:shd w:val="clear" w:color="auto" w:fill="FFFFFF"/>
        </w:rPr>
        <w:t>28</w:t>
      </w:r>
      <w:r w:rsidR="009269C6">
        <w:rPr>
          <w:color w:val="333333"/>
          <w:shd w:val="clear" w:color="auto" w:fill="FFFFFF"/>
        </w:rPr>
        <w:t>1</w:t>
      </w:r>
      <w:r w:rsidR="003922D4">
        <w:rPr>
          <w:color w:val="333333"/>
          <w:shd w:val="clear" w:color="auto" w:fill="FFFFFF"/>
        </w:rPr>
        <w:t>:</w:t>
      </w:r>
    </w:p>
    <w:p w14:paraId="4C10CA24" w14:textId="77777777" w:rsidR="003922D4" w:rsidRDefault="003922D4" w:rsidP="00E902F2">
      <w:pPr>
        <w:rPr>
          <w:shd w:val="clear" w:color="auto" w:fill="FFFFFF"/>
        </w:rPr>
      </w:pPr>
    </w:p>
    <w:p w14:paraId="3B27A869" w14:textId="77777777" w:rsidR="003922D4" w:rsidRPr="003922D4" w:rsidRDefault="003922D4" w:rsidP="00B04847">
      <w:pPr>
        <w:spacing w:line="360" w:lineRule="auto"/>
        <w:ind w:left="720"/>
        <w:jc w:val="both"/>
        <w:rPr>
          <w:i/>
          <w:iCs/>
          <w:color w:val="333333"/>
          <w:shd w:val="clear" w:color="auto" w:fill="FFFFFF"/>
        </w:rPr>
      </w:pPr>
      <w:r w:rsidRPr="003922D4">
        <w:rPr>
          <w:i/>
          <w:iCs/>
          <w:color w:val="333333"/>
          <w:shd w:val="clear" w:color="auto" w:fill="FFFFFF"/>
        </w:rPr>
        <w:t>“In the ordinary course of events the planning authority will receive an application; consider it; and decide on it without giving any advance reasons.  If the planning authority refuses the application it must give its reasons for such refusal at that stage and not earlier.”</w:t>
      </w:r>
    </w:p>
    <w:p w14:paraId="7B749C1B" w14:textId="77777777" w:rsidR="004F0CB7" w:rsidRDefault="004F0CB7" w:rsidP="004F0CB7">
      <w:pPr>
        <w:spacing w:line="360" w:lineRule="auto"/>
        <w:jc w:val="both"/>
        <w:rPr>
          <w:color w:val="333333"/>
          <w:shd w:val="clear" w:color="auto" w:fill="FFFFFF"/>
        </w:rPr>
      </w:pPr>
    </w:p>
    <w:p w14:paraId="4395C174" w14:textId="77777777" w:rsidR="003922D4" w:rsidRPr="002057CB" w:rsidRDefault="008211F1" w:rsidP="00C63517">
      <w:pPr>
        <w:numPr>
          <w:ilvl w:val="0"/>
          <w:numId w:val="1"/>
        </w:numPr>
        <w:spacing w:line="360" w:lineRule="auto"/>
        <w:ind w:left="0" w:firstLine="0"/>
        <w:jc w:val="both"/>
        <w:rPr>
          <w:color w:val="333333"/>
          <w:shd w:val="clear" w:color="auto" w:fill="FFFFFF"/>
        </w:rPr>
      </w:pPr>
      <w:r>
        <w:rPr>
          <w:color w:val="333333"/>
          <w:shd w:val="clear" w:color="auto" w:fill="FFFFFF"/>
        </w:rPr>
        <w:t>The</w:t>
      </w:r>
      <w:r w:rsidR="002F559E">
        <w:rPr>
          <w:color w:val="333333"/>
          <w:shd w:val="clear" w:color="auto" w:fill="FFFFFF"/>
        </w:rPr>
        <w:t xml:space="preserve"> question of the</w:t>
      </w:r>
      <w:r>
        <w:rPr>
          <w:color w:val="333333"/>
          <w:shd w:val="clear" w:color="auto" w:fill="FFFFFF"/>
        </w:rPr>
        <w:t xml:space="preserve"> extent to which the power to invite submissions on a proposed Decision is open to the </w:t>
      </w:r>
      <w:r w:rsidR="00F011F3">
        <w:rPr>
          <w:color w:val="333333"/>
          <w:shd w:val="clear" w:color="auto" w:fill="FFFFFF"/>
        </w:rPr>
        <w:t>respondent</w:t>
      </w:r>
      <w:r>
        <w:rPr>
          <w:color w:val="333333"/>
          <w:shd w:val="clear" w:color="auto" w:fill="FFFFFF"/>
        </w:rPr>
        <w:t xml:space="preserve"> </w:t>
      </w:r>
      <w:r w:rsidR="00355B72">
        <w:rPr>
          <w:color w:val="333333"/>
          <w:shd w:val="clear" w:color="auto" w:fill="FFFFFF"/>
        </w:rPr>
        <w:t xml:space="preserve">under the terms of the Regulations in vindication of a right to fair procedures </w:t>
      </w:r>
      <w:r w:rsidR="00C63517">
        <w:rPr>
          <w:color w:val="333333"/>
          <w:shd w:val="clear" w:color="auto" w:fill="FFFFFF"/>
        </w:rPr>
        <w:t xml:space="preserve">might </w:t>
      </w:r>
      <w:r w:rsidR="00355B72" w:rsidRPr="00C63517">
        <w:rPr>
          <w:color w:val="333333"/>
          <w:shd w:val="clear" w:color="auto" w:fill="FFFFFF"/>
        </w:rPr>
        <w:t xml:space="preserve"> arise where the </w:t>
      </w:r>
      <w:r w:rsidR="00F011F3" w:rsidRPr="00C63517">
        <w:rPr>
          <w:color w:val="333333"/>
          <w:shd w:val="clear" w:color="auto" w:fill="FFFFFF"/>
        </w:rPr>
        <w:t>applicant</w:t>
      </w:r>
      <w:r w:rsidR="00355B72" w:rsidRPr="00C63517">
        <w:rPr>
          <w:color w:val="333333"/>
          <w:shd w:val="clear" w:color="auto" w:fill="FFFFFF"/>
        </w:rPr>
        <w:t xml:space="preserve"> was deprived of an opportunity to address an issue in advance of the Decision because they were not on notice of the issue and therefore could not address it in the </w:t>
      </w:r>
      <w:r w:rsidR="006C66D3" w:rsidRPr="00F25EC8">
        <w:rPr>
          <w:color w:val="333333"/>
          <w:shd w:val="clear" w:color="auto" w:fill="FFFFFF"/>
        </w:rPr>
        <w:t>A</w:t>
      </w:r>
      <w:r w:rsidR="00355B72" w:rsidRPr="00F25EC8">
        <w:rPr>
          <w:color w:val="333333"/>
          <w:shd w:val="clear" w:color="auto" w:fill="FFFFFF"/>
        </w:rPr>
        <w:t>pplication p</w:t>
      </w:r>
      <w:r w:rsidR="00355B72" w:rsidRPr="00AC21C9">
        <w:rPr>
          <w:color w:val="333333"/>
          <w:shd w:val="clear" w:color="auto" w:fill="FFFFFF"/>
        </w:rPr>
        <w:t xml:space="preserve">roper. </w:t>
      </w:r>
      <w:r w:rsidR="003922D4" w:rsidRPr="00C05BCE">
        <w:rPr>
          <w:color w:val="333333"/>
          <w:shd w:val="clear" w:color="auto" w:fill="FFFFFF"/>
        </w:rPr>
        <w:t xml:space="preserve">In </w:t>
      </w:r>
      <w:r w:rsidR="003922D4" w:rsidRPr="002057CB">
        <w:rPr>
          <w:i/>
          <w:iCs/>
          <w:color w:val="333333"/>
          <w:shd w:val="clear" w:color="auto" w:fill="FFFFFF"/>
        </w:rPr>
        <w:t>Frenchchurch Properties Limited v. Wexford County Council</w:t>
      </w:r>
      <w:r w:rsidR="003922D4" w:rsidRPr="002057CB">
        <w:rPr>
          <w:color w:val="333333"/>
          <w:shd w:val="clear" w:color="auto" w:fill="FFFFFF"/>
        </w:rPr>
        <w:t xml:space="preserve"> [1992] 2 IR 268</w:t>
      </w:r>
      <w:r w:rsidR="00512A68" w:rsidRPr="002057CB">
        <w:rPr>
          <w:color w:val="333333"/>
          <w:shd w:val="clear" w:color="auto" w:fill="FFFFFF"/>
        </w:rPr>
        <w:t xml:space="preserve"> at p. </w:t>
      </w:r>
      <w:r w:rsidR="003922D4" w:rsidRPr="002057CB">
        <w:rPr>
          <w:color w:val="333333"/>
          <w:shd w:val="clear" w:color="auto" w:fill="FFFFFF"/>
        </w:rPr>
        <w:t>28</w:t>
      </w:r>
      <w:r w:rsidR="00CB2666" w:rsidRPr="002057CB">
        <w:rPr>
          <w:color w:val="333333"/>
          <w:shd w:val="clear" w:color="auto" w:fill="FFFFFF"/>
        </w:rPr>
        <w:t>4 to 285</w:t>
      </w:r>
      <w:r w:rsidR="003922D4" w:rsidRPr="002057CB">
        <w:rPr>
          <w:color w:val="333333"/>
          <w:shd w:val="clear" w:color="auto" w:fill="FFFFFF"/>
        </w:rPr>
        <w:t xml:space="preserve"> Lynch J. qualifies his dictum that there is no requirement to give advance notice of a decision in certain circumstances such as:</w:t>
      </w:r>
    </w:p>
    <w:p w14:paraId="632B4C8A" w14:textId="77777777" w:rsidR="00D430EB" w:rsidRDefault="00D430EB" w:rsidP="00E902F2">
      <w:pPr>
        <w:rPr>
          <w:shd w:val="clear" w:color="auto" w:fill="FFFFFF"/>
        </w:rPr>
      </w:pPr>
    </w:p>
    <w:p w14:paraId="0F243C54" w14:textId="77777777" w:rsidR="003922D4" w:rsidRPr="001D041A" w:rsidRDefault="003922D4" w:rsidP="00B04847">
      <w:pPr>
        <w:spacing w:line="360" w:lineRule="auto"/>
        <w:ind w:left="720"/>
        <w:jc w:val="both"/>
        <w:rPr>
          <w:i/>
          <w:iCs/>
          <w:color w:val="333333"/>
          <w:shd w:val="clear" w:color="auto" w:fill="FFFFFF"/>
        </w:rPr>
      </w:pPr>
      <w:r w:rsidRPr="001D041A">
        <w:rPr>
          <w:i/>
          <w:iCs/>
          <w:color w:val="333333"/>
          <w:shd w:val="clear" w:color="auto" w:fill="FFFFFF"/>
        </w:rPr>
        <w:t xml:space="preserve">“if there is a point </w:t>
      </w:r>
      <w:r w:rsidR="00D430EB" w:rsidRPr="001D041A">
        <w:rPr>
          <w:i/>
          <w:iCs/>
          <w:color w:val="333333"/>
          <w:shd w:val="clear" w:color="auto" w:fill="FFFFFF"/>
        </w:rPr>
        <w:t>on which the planning authority knows that the applicant relies to a significant extent and which the planning authority (unknown to the applicant) thinks is invalid the planning authority should draw the applicant’s attention to this point to give the applicant an opportunity of trying to persuade the planning authority that he is right and they are wrong”</w:t>
      </w:r>
      <w:r w:rsidRPr="001D041A">
        <w:rPr>
          <w:i/>
          <w:iCs/>
          <w:color w:val="333333"/>
          <w:shd w:val="clear" w:color="auto" w:fill="FFFFFF"/>
        </w:rPr>
        <w:t xml:space="preserve">.  </w:t>
      </w:r>
    </w:p>
    <w:p w14:paraId="7C2B0F18" w14:textId="77777777" w:rsidR="005A080F" w:rsidRDefault="005A080F" w:rsidP="007F3545">
      <w:pPr>
        <w:spacing w:line="360" w:lineRule="auto"/>
        <w:jc w:val="both"/>
        <w:rPr>
          <w:color w:val="333333"/>
          <w:shd w:val="clear" w:color="auto" w:fill="FFFFFF"/>
        </w:rPr>
      </w:pPr>
    </w:p>
    <w:p w14:paraId="1AEF0ED9" w14:textId="77777777" w:rsidR="00C63517" w:rsidRDefault="008211F1" w:rsidP="00B04847">
      <w:pPr>
        <w:numPr>
          <w:ilvl w:val="0"/>
          <w:numId w:val="1"/>
        </w:numPr>
        <w:spacing w:line="360" w:lineRule="auto"/>
        <w:ind w:left="0" w:firstLine="0"/>
        <w:jc w:val="both"/>
        <w:rPr>
          <w:color w:val="333333"/>
          <w:shd w:val="clear" w:color="auto" w:fill="FFFFFF"/>
        </w:rPr>
      </w:pPr>
      <w:r>
        <w:rPr>
          <w:color w:val="333333"/>
          <w:shd w:val="clear" w:color="auto" w:fill="FFFFFF"/>
        </w:rPr>
        <w:t>In this case</w:t>
      </w:r>
      <w:r w:rsidR="007F3545">
        <w:rPr>
          <w:color w:val="333333"/>
          <w:shd w:val="clear" w:color="auto" w:fill="FFFFFF"/>
        </w:rPr>
        <w:t xml:space="preserve"> </w:t>
      </w:r>
      <w:r w:rsidR="00B37FD7">
        <w:rPr>
          <w:color w:val="333333"/>
          <w:shd w:val="clear" w:color="auto" w:fill="FFFFFF"/>
        </w:rPr>
        <w:t xml:space="preserve">I have reflected on whether </w:t>
      </w:r>
      <w:r>
        <w:rPr>
          <w:color w:val="333333"/>
          <w:shd w:val="clear" w:color="auto" w:fill="FFFFFF"/>
        </w:rPr>
        <w:t xml:space="preserve">any unfairness attaches to the failure to advise the </w:t>
      </w:r>
      <w:r w:rsidR="00F011F3">
        <w:rPr>
          <w:color w:val="333333"/>
          <w:shd w:val="clear" w:color="auto" w:fill="FFFFFF"/>
        </w:rPr>
        <w:t>applicant</w:t>
      </w:r>
      <w:r>
        <w:rPr>
          <w:color w:val="333333"/>
          <w:shd w:val="clear" w:color="auto" w:fill="FFFFFF"/>
        </w:rPr>
        <w:t xml:space="preserve"> in advance of its Decision of the fact that it was not accepted that the </w:t>
      </w:r>
      <w:r w:rsidR="002F559E">
        <w:rPr>
          <w:color w:val="333333"/>
          <w:shd w:val="clear" w:color="auto" w:fill="FFFFFF"/>
        </w:rPr>
        <w:t>l</w:t>
      </w:r>
      <w:r>
        <w:rPr>
          <w:color w:val="333333"/>
          <w:shd w:val="clear" w:color="auto" w:fill="FFFFFF"/>
        </w:rPr>
        <w:t xml:space="preserve">ocal </w:t>
      </w:r>
      <w:r w:rsidR="002F559E">
        <w:rPr>
          <w:color w:val="333333"/>
          <w:shd w:val="clear" w:color="auto" w:fill="FFFFFF"/>
        </w:rPr>
        <w:t>a</w:t>
      </w:r>
      <w:r>
        <w:rPr>
          <w:color w:val="333333"/>
          <w:shd w:val="clear" w:color="auto" w:fill="FFFFFF"/>
        </w:rPr>
        <w:t xml:space="preserve">rea </w:t>
      </w:r>
      <w:r w:rsidR="002F559E">
        <w:rPr>
          <w:color w:val="333333"/>
          <w:shd w:val="clear" w:color="auto" w:fill="FFFFFF"/>
        </w:rPr>
        <w:t>o</w:t>
      </w:r>
      <w:r>
        <w:rPr>
          <w:color w:val="333333"/>
          <w:shd w:val="clear" w:color="auto" w:fill="FFFFFF"/>
        </w:rPr>
        <w:t xml:space="preserve">bjective had been continued and that accordingly there had been a material change to the </w:t>
      </w:r>
      <w:r w:rsidR="002F559E">
        <w:rPr>
          <w:color w:val="333333"/>
          <w:shd w:val="clear" w:color="auto" w:fill="FFFFFF"/>
        </w:rPr>
        <w:t xml:space="preserve">2023 </w:t>
      </w:r>
      <w:r>
        <w:rPr>
          <w:color w:val="333333"/>
          <w:shd w:val="clear" w:color="auto" w:fill="FFFFFF"/>
        </w:rPr>
        <w:t xml:space="preserve">Development Plan.  </w:t>
      </w:r>
      <w:r w:rsidR="00B37FD7">
        <w:rPr>
          <w:color w:val="333333"/>
          <w:shd w:val="clear" w:color="auto" w:fill="FFFFFF"/>
        </w:rPr>
        <w:t>I have weighed the fact that t</w:t>
      </w:r>
      <w:r w:rsidR="00355B72">
        <w:rPr>
          <w:color w:val="333333"/>
          <w:shd w:val="clear" w:color="auto" w:fill="FFFFFF"/>
        </w:rPr>
        <w:t xml:space="preserve">he </w:t>
      </w:r>
      <w:r w:rsidR="00F011F3">
        <w:rPr>
          <w:color w:val="333333"/>
          <w:shd w:val="clear" w:color="auto" w:fill="FFFFFF"/>
        </w:rPr>
        <w:t>applicant</w:t>
      </w:r>
      <w:r w:rsidR="00355B72">
        <w:rPr>
          <w:color w:val="333333"/>
          <w:shd w:val="clear" w:color="auto" w:fill="FFFFFF"/>
        </w:rPr>
        <w:t xml:space="preserve"> knew the </w:t>
      </w:r>
      <w:r w:rsidR="00C63517">
        <w:rPr>
          <w:color w:val="333333"/>
          <w:shd w:val="clear" w:color="auto" w:fill="FFFFFF"/>
        </w:rPr>
        <w:t xml:space="preserve">statutory </w:t>
      </w:r>
      <w:r w:rsidR="00355B72">
        <w:rPr>
          <w:color w:val="333333"/>
          <w:shd w:val="clear" w:color="auto" w:fill="FFFFFF"/>
        </w:rPr>
        <w:t xml:space="preserve">test that applied to the extension of the </w:t>
      </w:r>
      <w:r w:rsidR="0087576D">
        <w:rPr>
          <w:color w:val="333333"/>
          <w:shd w:val="clear" w:color="auto" w:fill="FFFFFF"/>
        </w:rPr>
        <w:t xml:space="preserve">Planning </w:t>
      </w:r>
      <w:r w:rsidR="00355B72">
        <w:rPr>
          <w:color w:val="333333"/>
          <w:shd w:val="clear" w:color="auto" w:fill="FFFFFF"/>
        </w:rPr>
        <w:t xml:space="preserve">Permission and set out in </w:t>
      </w:r>
      <w:r w:rsidR="0087576D">
        <w:rPr>
          <w:color w:val="333333"/>
          <w:shd w:val="clear" w:color="auto" w:fill="FFFFFF"/>
        </w:rPr>
        <w:t xml:space="preserve">its </w:t>
      </w:r>
      <w:r w:rsidR="00355B72">
        <w:rPr>
          <w:color w:val="333333"/>
          <w:shd w:val="clear" w:color="auto" w:fill="FFFFFF"/>
        </w:rPr>
        <w:t xml:space="preserve">Application why </w:t>
      </w:r>
      <w:r w:rsidR="0087576D">
        <w:rPr>
          <w:color w:val="333333"/>
          <w:shd w:val="clear" w:color="auto" w:fill="FFFFFF"/>
        </w:rPr>
        <w:t>it was</w:t>
      </w:r>
      <w:r w:rsidR="00355B72">
        <w:rPr>
          <w:color w:val="333333"/>
          <w:shd w:val="clear" w:color="auto" w:fill="FFFFFF"/>
        </w:rPr>
        <w:t xml:space="preserve"> contended that the local area objective persisted</w:t>
      </w:r>
      <w:r w:rsidR="00724177">
        <w:rPr>
          <w:color w:val="333333"/>
          <w:shd w:val="clear" w:color="auto" w:fill="FFFFFF"/>
        </w:rPr>
        <w:t xml:space="preserve"> and the change was not significant</w:t>
      </w:r>
      <w:r w:rsidR="00355B72">
        <w:rPr>
          <w:color w:val="333333"/>
          <w:shd w:val="clear" w:color="auto" w:fill="FFFFFF"/>
        </w:rPr>
        <w:t xml:space="preserve">.  </w:t>
      </w:r>
      <w:r w:rsidR="00C63517">
        <w:rPr>
          <w:color w:val="333333"/>
          <w:shd w:val="clear" w:color="auto" w:fill="FFFFFF"/>
        </w:rPr>
        <w:t xml:space="preserve">However, its argument was predicated on a particular construction of the respondent’s discretion which, it transpired, differed from that of the respondent.  </w:t>
      </w:r>
      <w:r w:rsidR="001D041A">
        <w:rPr>
          <w:color w:val="333333"/>
          <w:shd w:val="clear" w:color="auto" w:fill="FFFFFF"/>
        </w:rPr>
        <w:t xml:space="preserve">I asked the </w:t>
      </w:r>
      <w:r w:rsidR="00F011F3">
        <w:rPr>
          <w:color w:val="333333"/>
          <w:shd w:val="clear" w:color="auto" w:fill="FFFFFF"/>
        </w:rPr>
        <w:t>applicant</w:t>
      </w:r>
      <w:r w:rsidR="001D041A">
        <w:rPr>
          <w:color w:val="333333"/>
          <w:shd w:val="clear" w:color="auto" w:fill="FFFFFF"/>
        </w:rPr>
        <w:t xml:space="preserve">’s counsel during the hearing what might have been said that had not been said in </w:t>
      </w:r>
      <w:r w:rsidR="0087576D">
        <w:rPr>
          <w:color w:val="333333"/>
          <w:shd w:val="clear" w:color="auto" w:fill="FFFFFF"/>
        </w:rPr>
        <w:t xml:space="preserve">support of </w:t>
      </w:r>
      <w:r w:rsidR="001D041A">
        <w:rPr>
          <w:color w:val="333333"/>
          <w:shd w:val="clear" w:color="auto" w:fill="FFFFFF"/>
        </w:rPr>
        <w:t xml:space="preserve">the </w:t>
      </w:r>
      <w:r w:rsidR="0087576D">
        <w:rPr>
          <w:color w:val="333333"/>
          <w:shd w:val="clear" w:color="auto" w:fill="FFFFFF"/>
        </w:rPr>
        <w:t>A</w:t>
      </w:r>
      <w:r w:rsidR="001D041A">
        <w:rPr>
          <w:color w:val="333333"/>
          <w:shd w:val="clear" w:color="auto" w:fill="FFFFFF"/>
        </w:rPr>
        <w:t>pplication.  In response, counsel argued that the case made in these proceedings could have been advanced</w:t>
      </w:r>
      <w:r w:rsidR="00B37FD7">
        <w:rPr>
          <w:color w:val="333333"/>
          <w:shd w:val="clear" w:color="auto" w:fill="FFFFFF"/>
        </w:rPr>
        <w:t>, specifically that the respondent was in error of law in its interpretation of s. 42(1)(a)(ii)II as limited consideration to the terms of the development plan and precluding any regard to any applicable local area plan</w:t>
      </w:r>
      <w:r w:rsidR="001D041A">
        <w:rPr>
          <w:color w:val="333333"/>
          <w:shd w:val="clear" w:color="auto" w:fill="FFFFFF"/>
        </w:rPr>
        <w:t xml:space="preserve">.  </w:t>
      </w:r>
    </w:p>
    <w:p w14:paraId="60194983" w14:textId="77777777" w:rsidR="00C63517" w:rsidRDefault="00C63517" w:rsidP="00E902F2">
      <w:pPr>
        <w:spacing w:line="360" w:lineRule="auto"/>
        <w:jc w:val="both"/>
        <w:rPr>
          <w:color w:val="333333"/>
          <w:shd w:val="clear" w:color="auto" w:fill="FFFFFF"/>
        </w:rPr>
      </w:pPr>
    </w:p>
    <w:p w14:paraId="452606A6" w14:textId="77777777" w:rsidR="00942E33" w:rsidRDefault="001D041A" w:rsidP="00B04847">
      <w:pPr>
        <w:numPr>
          <w:ilvl w:val="0"/>
          <w:numId w:val="1"/>
        </w:numPr>
        <w:spacing w:line="360" w:lineRule="auto"/>
        <w:ind w:left="0" w:firstLine="0"/>
        <w:jc w:val="both"/>
        <w:rPr>
          <w:color w:val="333333"/>
          <w:shd w:val="clear" w:color="auto" w:fill="FFFFFF"/>
        </w:rPr>
      </w:pPr>
      <w:r>
        <w:rPr>
          <w:color w:val="333333"/>
          <w:shd w:val="clear" w:color="auto" w:fill="FFFFFF"/>
        </w:rPr>
        <w:t xml:space="preserve">Accordingly, the </w:t>
      </w:r>
      <w:r w:rsidR="00F011F3">
        <w:rPr>
          <w:color w:val="333333"/>
          <w:shd w:val="clear" w:color="auto" w:fill="FFFFFF"/>
        </w:rPr>
        <w:t>applicant</w:t>
      </w:r>
      <w:r>
        <w:rPr>
          <w:color w:val="333333"/>
          <w:shd w:val="clear" w:color="auto" w:fill="FFFFFF"/>
        </w:rPr>
        <w:t xml:space="preserve"> contends</w:t>
      </w:r>
      <w:r w:rsidR="00942E33">
        <w:rPr>
          <w:color w:val="333333"/>
          <w:shd w:val="clear" w:color="auto" w:fill="FFFFFF"/>
        </w:rPr>
        <w:t xml:space="preserve"> that</w:t>
      </w:r>
      <w:r>
        <w:rPr>
          <w:color w:val="333333"/>
          <w:shd w:val="clear" w:color="auto" w:fill="FFFFFF"/>
        </w:rPr>
        <w:t xml:space="preserve"> they were denied the opportunity of advancing a more elaborate legal argument</w:t>
      </w:r>
      <w:r w:rsidR="006C66D3">
        <w:rPr>
          <w:color w:val="333333"/>
          <w:shd w:val="clear" w:color="auto" w:fill="FFFFFF"/>
        </w:rPr>
        <w:t xml:space="preserve"> directed to the proper application of the statutory test</w:t>
      </w:r>
      <w:r>
        <w:rPr>
          <w:color w:val="333333"/>
          <w:shd w:val="clear" w:color="auto" w:fill="FFFFFF"/>
        </w:rPr>
        <w:t xml:space="preserve">.  </w:t>
      </w:r>
      <w:r w:rsidR="007F3545">
        <w:rPr>
          <w:color w:val="333333"/>
          <w:shd w:val="clear" w:color="auto" w:fill="FFFFFF"/>
        </w:rPr>
        <w:t xml:space="preserve">To this extent this is not a case like </w:t>
      </w:r>
      <w:r w:rsidR="007F3545" w:rsidRPr="005A080F">
        <w:rPr>
          <w:i/>
          <w:iCs/>
          <w:color w:val="333333"/>
          <w:shd w:val="clear" w:color="auto" w:fill="FFFFFF"/>
        </w:rPr>
        <w:t>Lackagh Quarries Limited v. Galway County Council</w:t>
      </w:r>
      <w:r w:rsidR="007F3545">
        <w:rPr>
          <w:color w:val="333333"/>
          <w:shd w:val="clear" w:color="auto" w:fill="FFFFFF"/>
        </w:rPr>
        <w:t xml:space="preserve"> [2010] IEHC 479 where the respondent did not put the applicant on notice of the fact that it considered itself entitled to have regard to environmental considerations in exercise of a decision-making function under s. 42 to allow the applicant an appropriate opportunity to make submissions in respect of such environmental matters.  </w:t>
      </w:r>
      <w:r w:rsidR="00C63517">
        <w:rPr>
          <w:color w:val="333333"/>
          <w:shd w:val="clear" w:color="auto" w:fill="FFFFFF"/>
        </w:rPr>
        <w:t>This case is more akin to</w:t>
      </w:r>
      <w:r w:rsidR="00942E33">
        <w:rPr>
          <w:color w:val="333333"/>
          <w:shd w:val="clear" w:color="auto" w:fill="FFFFFF"/>
        </w:rPr>
        <w:t xml:space="preserve"> </w:t>
      </w:r>
      <w:r w:rsidR="007F3545" w:rsidRPr="007F3545">
        <w:rPr>
          <w:i/>
          <w:iCs/>
          <w:color w:val="333333"/>
          <w:shd w:val="clear" w:color="auto" w:fill="FFFFFF"/>
        </w:rPr>
        <w:t>Frenchchurch</w:t>
      </w:r>
      <w:r w:rsidR="007F3545">
        <w:rPr>
          <w:color w:val="333333"/>
          <w:shd w:val="clear" w:color="auto" w:fill="FFFFFF"/>
        </w:rPr>
        <w:t xml:space="preserve"> </w:t>
      </w:r>
      <w:r w:rsidR="00C63517">
        <w:rPr>
          <w:color w:val="333333"/>
          <w:shd w:val="clear" w:color="auto" w:fill="FFFFFF"/>
        </w:rPr>
        <w:t xml:space="preserve">where </w:t>
      </w:r>
      <w:r w:rsidR="007F3545">
        <w:rPr>
          <w:color w:val="333333"/>
          <w:shd w:val="clear" w:color="auto" w:fill="FFFFFF"/>
        </w:rPr>
        <w:t xml:space="preserve">the Court was also dealing with </w:t>
      </w:r>
      <w:r w:rsidR="002F559E">
        <w:rPr>
          <w:color w:val="333333"/>
          <w:shd w:val="clear" w:color="auto" w:fill="FFFFFF"/>
        </w:rPr>
        <w:t>a complaint that a</w:t>
      </w:r>
      <w:r w:rsidR="007F3545">
        <w:rPr>
          <w:color w:val="333333"/>
          <w:shd w:val="clear" w:color="auto" w:fill="FFFFFF"/>
        </w:rPr>
        <w:t>n opportunity to make submissions directed to an error of law</w:t>
      </w:r>
      <w:r w:rsidR="002F559E">
        <w:rPr>
          <w:color w:val="333333"/>
          <w:shd w:val="clear" w:color="auto" w:fill="FFFFFF"/>
        </w:rPr>
        <w:t xml:space="preserve"> had not been afforded</w:t>
      </w:r>
      <w:r w:rsidR="007F3545">
        <w:rPr>
          <w:color w:val="333333"/>
          <w:shd w:val="clear" w:color="auto" w:fill="FFFFFF"/>
        </w:rPr>
        <w:t>.  As I read that decision, the conclusion of the Court that there had been a failure to observe fair procedures in the decision</w:t>
      </w:r>
      <w:r w:rsidR="009D2D72">
        <w:rPr>
          <w:color w:val="333333"/>
          <w:shd w:val="clear" w:color="auto" w:fill="FFFFFF"/>
        </w:rPr>
        <w:t>-</w:t>
      </w:r>
      <w:r w:rsidR="007F3545">
        <w:rPr>
          <w:color w:val="333333"/>
          <w:shd w:val="clear" w:color="auto" w:fill="FFFFFF"/>
        </w:rPr>
        <w:t xml:space="preserve">making process arose </w:t>
      </w:r>
      <w:r w:rsidR="002F559E">
        <w:rPr>
          <w:color w:val="333333"/>
          <w:shd w:val="clear" w:color="auto" w:fill="FFFFFF"/>
        </w:rPr>
        <w:t xml:space="preserve">on a two-fold basis, namely </w:t>
      </w:r>
      <w:r w:rsidR="009D2D72">
        <w:rPr>
          <w:color w:val="333333"/>
          <w:shd w:val="clear" w:color="auto" w:fill="FFFFFF"/>
        </w:rPr>
        <w:t>by the omission (p</w:t>
      </w:r>
      <w:r w:rsidR="00942E33">
        <w:rPr>
          <w:color w:val="333333"/>
          <w:shd w:val="clear" w:color="auto" w:fill="FFFFFF"/>
        </w:rPr>
        <w:t>.</w:t>
      </w:r>
      <w:r w:rsidR="009D2D72">
        <w:rPr>
          <w:color w:val="333333"/>
          <w:shd w:val="clear" w:color="auto" w:fill="FFFFFF"/>
        </w:rPr>
        <w:t xml:space="preserve"> 285)</w:t>
      </w:r>
      <w:r w:rsidR="00942E33">
        <w:rPr>
          <w:color w:val="333333"/>
          <w:shd w:val="clear" w:color="auto" w:fill="FFFFFF"/>
        </w:rPr>
        <w:t>:</w:t>
      </w:r>
    </w:p>
    <w:p w14:paraId="5ED9E2E6" w14:textId="77777777" w:rsidR="00942E33" w:rsidRDefault="00942E33" w:rsidP="00942E33">
      <w:pPr>
        <w:spacing w:line="360" w:lineRule="auto"/>
        <w:ind w:left="720"/>
        <w:jc w:val="both"/>
        <w:rPr>
          <w:color w:val="333333"/>
          <w:shd w:val="clear" w:color="auto" w:fill="FFFFFF"/>
        </w:rPr>
      </w:pPr>
    </w:p>
    <w:p w14:paraId="67E26E2A" w14:textId="77777777" w:rsidR="001D041A" w:rsidRPr="00E902F2" w:rsidRDefault="00942E33" w:rsidP="00942E33">
      <w:pPr>
        <w:spacing w:line="360" w:lineRule="auto"/>
        <w:ind w:left="720"/>
        <w:jc w:val="both"/>
        <w:rPr>
          <w:color w:val="333333"/>
          <w:shd w:val="clear" w:color="auto" w:fill="FFFFFF"/>
        </w:rPr>
      </w:pPr>
      <w:r>
        <w:rPr>
          <w:color w:val="333333"/>
          <w:shd w:val="clear" w:color="auto" w:fill="FFFFFF"/>
        </w:rPr>
        <w:t>“</w:t>
      </w:r>
      <w:r w:rsidR="009D2D72" w:rsidRPr="00942E33">
        <w:rPr>
          <w:i/>
          <w:iCs/>
          <w:color w:val="333333"/>
          <w:shd w:val="clear" w:color="auto" w:fill="FFFFFF"/>
        </w:rPr>
        <w:t>to take into account something that ought to have been taken into account and by failing to give an opportunity to the applicant to address the point in question</w:t>
      </w:r>
      <w:r w:rsidR="009D2D72" w:rsidRPr="00E902F2">
        <w:rPr>
          <w:color w:val="333333"/>
          <w:shd w:val="clear" w:color="auto" w:fill="FFFFFF"/>
        </w:rPr>
        <w:t>”.</w:t>
      </w:r>
    </w:p>
    <w:p w14:paraId="74A92E93" w14:textId="77777777" w:rsidR="001D041A" w:rsidRPr="009D2D72" w:rsidRDefault="001D041A" w:rsidP="009D2D72">
      <w:pPr>
        <w:spacing w:line="360" w:lineRule="auto"/>
        <w:ind w:left="1418"/>
        <w:jc w:val="both"/>
        <w:rPr>
          <w:i/>
          <w:iCs/>
          <w:color w:val="333333"/>
          <w:shd w:val="clear" w:color="auto" w:fill="FFFFFF"/>
        </w:rPr>
      </w:pPr>
    </w:p>
    <w:p w14:paraId="196CBE22" w14:textId="77777777" w:rsidR="00AD5A56" w:rsidRPr="00AD5A56" w:rsidRDefault="00355B72" w:rsidP="00B04847">
      <w:pPr>
        <w:numPr>
          <w:ilvl w:val="0"/>
          <w:numId w:val="1"/>
        </w:numPr>
        <w:spacing w:line="360" w:lineRule="auto"/>
        <w:ind w:left="0" w:firstLine="0"/>
        <w:jc w:val="both"/>
        <w:rPr>
          <w:rFonts w:eastAsia="Arial Unicode MS"/>
        </w:rPr>
      </w:pPr>
      <w:r w:rsidRPr="00825EEA">
        <w:rPr>
          <w:color w:val="333333"/>
          <w:shd w:val="clear" w:color="auto" w:fill="FFFFFF"/>
        </w:rPr>
        <w:t>I</w:t>
      </w:r>
      <w:r w:rsidR="009D2D72" w:rsidRPr="00825EEA">
        <w:rPr>
          <w:color w:val="333333"/>
          <w:shd w:val="clear" w:color="auto" w:fill="FFFFFF"/>
        </w:rPr>
        <w:t xml:space="preserve"> have already found that by reason of its erroneous approach to the interpretation of s. 42, the </w:t>
      </w:r>
      <w:r w:rsidR="00F011F3">
        <w:rPr>
          <w:color w:val="333333"/>
          <w:shd w:val="clear" w:color="auto" w:fill="FFFFFF"/>
        </w:rPr>
        <w:t>respondent</w:t>
      </w:r>
      <w:r w:rsidR="009D2D72" w:rsidRPr="00825EEA">
        <w:rPr>
          <w:color w:val="333333"/>
          <w:shd w:val="clear" w:color="auto" w:fill="FFFFFF"/>
        </w:rPr>
        <w:t xml:space="preserve"> has failed to have regard to relevant considerations because due regard has not been had to the argument that local objective 4 continues to apply.  Accordingly, </w:t>
      </w:r>
      <w:r w:rsidR="007A3A78">
        <w:rPr>
          <w:color w:val="333333"/>
          <w:shd w:val="clear" w:color="auto" w:fill="FFFFFF"/>
        </w:rPr>
        <w:t xml:space="preserve">notwithstanding </w:t>
      </w:r>
      <w:r w:rsidR="00942E33">
        <w:rPr>
          <w:color w:val="333333"/>
          <w:shd w:val="clear" w:color="auto" w:fill="FFFFFF"/>
        </w:rPr>
        <w:t>that the</w:t>
      </w:r>
      <w:r w:rsidR="001D041A" w:rsidRPr="00825EEA">
        <w:rPr>
          <w:color w:val="333333"/>
          <w:shd w:val="clear" w:color="auto" w:fill="FFFFFF"/>
        </w:rPr>
        <w:t xml:space="preserve"> </w:t>
      </w:r>
      <w:r w:rsidR="00F011F3">
        <w:rPr>
          <w:color w:val="333333"/>
          <w:shd w:val="clear" w:color="auto" w:fill="FFFFFF"/>
        </w:rPr>
        <w:t>applicant</w:t>
      </w:r>
      <w:r w:rsidRPr="00825EEA">
        <w:rPr>
          <w:color w:val="333333"/>
          <w:shd w:val="clear" w:color="auto" w:fill="FFFFFF"/>
        </w:rPr>
        <w:t xml:space="preserve"> had </w:t>
      </w:r>
      <w:r w:rsidR="009D2D72" w:rsidRPr="00825EEA">
        <w:rPr>
          <w:color w:val="333333"/>
          <w:shd w:val="clear" w:color="auto" w:fill="FFFFFF"/>
        </w:rPr>
        <w:t xml:space="preserve">an </w:t>
      </w:r>
      <w:r w:rsidRPr="00825EEA">
        <w:rPr>
          <w:color w:val="333333"/>
          <w:shd w:val="clear" w:color="auto" w:fill="FFFFFF"/>
        </w:rPr>
        <w:t>opportunity to p</w:t>
      </w:r>
      <w:r w:rsidR="007A3A78">
        <w:rPr>
          <w:color w:val="333333"/>
          <w:shd w:val="clear" w:color="auto" w:fill="FFFFFF"/>
        </w:rPr>
        <w:t xml:space="preserve">resent the Application as it saw fit having regard to the statutory test, the </w:t>
      </w:r>
      <w:r w:rsidR="00724177" w:rsidRPr="00825EEA">
        <w:rPr>
          <w:color w:val="333333"/>
          <w:shd w:val="clear" w:color="auto" w:fill="FFFFFF"/>
        </w:rPr>
        <w:t>failure to give notice of the proposal to refuse</w:t>
      </w:r>
      <w:r w:rsidR="001D041A" w:rsidRPr="00825EEA">
        <w:rPr>
          <w:color w:val="333333"/>
          <w:shd w:val="clear" w:color="auto" w:fill="FFFFFF"/>
        </w:rPr>
        <w:t xml:space="preserve"> or the reasons theref</w:t>
      </w:r>
      <w:r w:rsidR="009D2D72" w:rsidRPr="00825EEA">
        <w:rPr>
          <w:color w:val="333333"/>
          <w:shd w:val="clear" w:color="auto" w:fill="FFFFFF"/>
        </w:rPr>
        <w:t>or</w:t>
      </w:r>
      <w:r w:rsidR="007A3A78">
        <w:rPr>
          <w:color w:val="333333"/>
          <w:shd w:val="clear" w:color="auto" w:fill="FFFFFF"/>
        </w:rPr>
        <w:t xml:space="preserve"> in a manner which might have permitted the </w:t>
      </w:r>
      <w:r w:rsidR="00F011F3">
        <w:rPr>
          <w:color w:val="333333"/>
          <w:shd w:val="clear" w:color="auto" w:fill="FFFFFF"/>
        </w:rPr>
        <w:t>applicant</w:t>
      </w:r>
      <w:r w:rsidR="009D2D72" w:rsidRPr="00825EEA">
        <w:rPr>
          <w:color w:val="333333"/>
          <w:shd w:val="clear" w:color="auto" w:fill="FFFFFF"/>
        </w:rPr>
        <w:t xml:space="preserve"> </w:t>
      </w:r>
      <w:r w:rsidR="00641159">
        <w:rPr>
          <w:color w:val="333333"/>
          <w:shd w:val="clear" w:color="auto" w:fill="FFFFFF"/>
        </w:rPr>
        <w:t xml:space="preserve">an opportunity </w:t>
      </w:r>
      <w:r w:rsidR="007A3A78">
        <w:rPr>
          <w:color w:val="333333"/>
          <w:shd w:val="clear" w:color="auto" w:fill="FFFFFF"/>
        </w:rPr>
        <w:t xml:space="preserve">to persuade the respondent to properly address the </w:t>
      </w:r>
      <w:r w:rsidR="00B37FD7">
        <w:rPr>
          <w:color w:val="333333"/>
          <w:shd w:val="clear" w:color="auto" w:fill="FFFFFF"/>
        </w:rPr>
        <w:t xml:space="preserve">implications of the </w:t>
      </w:r>
      <w:r w:rsidR="007A3A78">
        <w:rPr>
          <w:color w:val="333333"/>
          <w:shd w:val="clear" w:color="auto" w:fill="FFFFFF"/>
        </w:rPr>
        <w:t xml:space="preserve">2013 LAP as revised in its Decision, </w:t>
      </w:r>
      <w:r w:rsidR="00641159">
        <w:rPr>
          <w:color w:val="333333"/>
          <w:shd w:val="clear" w:color="auto" w:fill="FFFFFF"/>
        </w:rPr>
        <w:t xml:space="preserve">combined with the error of law already identified herein, could </w:t>
      </w:r>
      <w:r w:rsidR="00AD5A56">
        <w:rPr>
          <w:color w:val="333333"/>
          <w:shd w:val="clear" w:color="auto" w:fill="FFFFFF"/>
        </w:rPr>
        <w:t>on an application of the dicta of</w:t>
      </w:r>
      <w:r w:rsidR="00825EEA" w:rsidRPr="00825EEA">
        <w:rPr>
          <w:color w:val="333333"/>
          <w:shd w:val="clear" w:color="auto" w:fill="FFFFFF"/>
        </w:rPr>
        <w:t xml:space="preserve"> Lynch J. in </w:t>
      </w:r>
      <w:r w:rsidR="00825EEA" w:rsidRPr="00825EEA">
        <w:rPr>
          <w:i/>
          <w:iCs/>
          <w:color w:val="333333"/>
          <w:shd w:val="clear" w:color="auto" w:fill="FFFFFF"/>
        </w:rPr>
        <w:t>Frenchchurch</w:t>
      </w:r>
      <w:r w:rsidR="00AD5A56">
        <w:rPr>
          <w:color w:val="333333"/>
          <w:shd w:val="clear" w:color="auto" w:fill="FFFFFF"/>
        </w:rPr>
        <w:t xml:space="preserve"> </w:t>
      </w:r>
      <w:r w:rsidR="00641159">
        <w:rPr>
          <w:color w:val="333333"/>
          <w:shd w:val="clear" w:color="auto" w:fill="FFFFFF"/>
        </w:rPr>
        <w:t xml:space="preserve">justify the Court in exercising a discretion to </w:t>
      </w:r>
      <w:r w:rsidR="00555BD8">
        <w:rPr>
          <w:color w:val="333333"/>
          <w:shd w:val="clear" w:color="auto" w:fill="FFFFFF"/>
        </w:rPr>
        <w:t>quash</w:t>
      </w:r>
      <w:r w:rsidR="00641159">
        <w:rPr>
          <w:color w:val="333333"/>
          <w:shd w:val="clear" w:color="auto" w:fill="FFFFFF"/>
        </w:rPr>
        <w:t xml:space="preserve"> the Decision</w:t>
      </w:r>
      <w:r w:rsidR="00555BD8">
        <w:rPr>
          <w:color w:val="333333"/>
          <w:shd w:val="clear" w:color="auto" w:fill="FFFFFF"/>
        </w:rPr>
        <w:t xml:space="preserve"> by reason of a</w:t>
      </w:r>
      <w:r w:rsidR="00825EEA" w:rsidRPr="00825EEA">
        <w:rPr>
          <w:color w:val="333333"/>
          <w:shd w:val="clear" w:color="auto" w:fill="FFFFFF"/>
        </w:rPr>
        <w:t xml:space="preserve"> breach of fair procedures in the decision making process</w:t>
      </w:r>
      <w:r w:rsidR="00DB3BFD">
        <w:rPr>
          <w:color w:val="333333"/>
          <w:shd w:val="clear" w:color="auto" w:fill="FFFFFF"/>
        </w:rPr>
        <w:t>.</w:t>
      </w:r>
      <w:r w:rsidRPr="00825EEA">
        <w:rPr>
          <w:color w:val="333333"/>
          <w:shd w:val="clear" w:color="auto" w:fill="FFFFFF"/>
        </w:rPr>
        <w:t xml:space="preserve">  </w:t>
      </w:r>
    </w:p>
    <w:p w14:paraId="7BC6D439" w14:textId="77777777" w:rsidR="00AD5A56" w:rsidRPr="00AD5A56" w:rsidRDefault="00AD5A56" w:rsidP="00B04847">
      <w:pPr>
        <w:spacing w:line="360" w:lineRule="auto"/>
        <w:jc w:val="both"/>
        <w:rPr>
          <w:rFonts w:eastAsia="Arial Unicode MS"/>
        </w:rPr>
      </w:pPr>
    </w:p>
    <w:p w14:paraId="15C87F8D" w14:textId="77777777" w:rsidR="007B3ECD" w:rsidRPr="00E902F2" w:rsidRDefault="00B37FD7" w:rsidP="00B04847">
      <w:pPr>
        <w:numPr>
          <w:ilvl w:val="0"/>
          <w:numId w:val="1"/>
        </w:numPr>
        <w:spacing w:line="360" w:lineRule="auto"/>
        <w:ind w:left="0" w:firstLine="0"/>
        <w:jc w:val="both"/>
        <w:rPr>
          <w:rFonts w:eastAsia="Arial Unicode MS"/>
        </w:rPr>
      </w:pPr>
      <w:r>
        <w:rPr>
          <w:color w:val="333333"/>
          <w:shd w:val="clear" w:color="auto" w:fill="FFFFFF"/>
        </w:rPr>
        <w:t>Having said that, i</w:t>
      </w:r>
      <w:r w:rsidR="00641159">
        <w:rPr>
          <w:color w:val="333333"/>
          <w:shd w:val="clear" w:color="auto" w:fill="FFFFFF"/>
        </w:rPr>
        <w:t>n this case i</w:t>
      </w:r>
      <w:r w:rsidR="001D041A" w:rsidRPr="00825EEA">
        <w:rPr>
          <w:color w:val="333333"/>
          <w:shd w:val="clear" w:color="auto" w:fill="FFFFFF"/>
        </w:rPr>
        <w:t xml:space="preserve">t is clear from the conduct of the proceedings that the parties </w:t>
      </w:r>
      <w:r w:rsidR="00DB3BFD">
        <w:rPr>
          <w:color w:val="333333"/>
          <w:shd w:val="clear" w:color="auto" w:fill="FFFFFF"/>
        </w:rPr>
        <w:t>had opposing</w:t>
      </w:r>
      <w:r w:rsidR="001D041A" w:rsidRPr="00825EEA">
        <w:rPr>
          <w:color w:val="333333"/>
          <w:shd w:val="clear" w:color="auto" w:fill="FFFFFF"/>
        </w:rPr>
        <w:t xml:space="preserve"> positions as to the appropriate approach in law to the interpretation of the s. 42 power to extend</w:t>
      </w:r>
      <w:r w:rsidR="00DB3BFD">
        <w:rPr>
          <w:color w:val="333333"/>
          <w:shd w:val="clear" w:color="auto" w:fill="FFFFFF"/>
        </w:rPr>
        <w:t xml:space="preserve"> such that </w:t>
      </w:r>
      <w:r w:rsidR="00825EEA" w:rsidRPr="00825EEA">
        <w:rPr>
          <w:color w:val="333333"/>
          <w:shd w:val="clear" w:color="auto" w:fill="FFFFFF"/>
        </w:rPr>
        <w:t xml:space="preserve">it seems to me to be </w:t>
      </w:r>
      <w:r w:rsidR="000D69E6">
        <w:rPr>
          <w:color w:val="333333"/>
          <w:shd w:val="clear" w:color="auto" w:fill="FFFFFF"/>
        </w:rPr>
        <w:t>un</w:t>
      </w:r>
      <w:r w:rsidR="00825EEA" w:rsidRPr="00825EEA">
        <w:rPr>
          <w:color w:val="333333"/>
          <w:shd w:val="clear" w:color="auto" w:fill="FFFFFF"/>
        </w:rPr>
        <w:t xml:space="preserve">likely that further or more elaborate legal submissions </w:t>
      </w:r>
      <w:r w:rsidR="00641159">
        <w:rPr>
          <w:color w:val="333333"/>
          <w:shd w:val="clear" w:color="auto" w:fill="FFFFFF"/>
        </w:rPr>
        <w:t xml:space="preserve">would </w:t>
      </w:r>
      <w:r w:rsidR="00825EEA" w:rsidRPr="00825EEA">
        <w:rPr>
          <w:color w:val="333333"/>
          <w:shd w:val="clear" w:color="auto" w:fill="FFFFFF"/>
        </w:rPr>
        <w:t>have changed the outcome</w:t>
      </w:r>
      <w:r w:rsidR="00641159">
        <w:rPr>
          <w:color w:val="333333"/>
          <w:shd w:val="clear" w:color="auto" w:fill="FFFFFF"/>
        </w:rPr>
        <w:t>.</w:t>
      </w:r>
      <w:r w:rsidR="00825EEA" w:rsidRPr="00825EEA">
        <w:rPr>
          <w:color w:val="333333"/>
          <w:shd w:val="clear" w:color="auto" w:fill="FFFFFF"/>
        </w:rPr>
        <w:t xml:space="preserve"> </w:t>
      </w:r>
      <w:r w:rsidR="00641159">
        <w:rPr>
          <w:color w:val="333333"/>
          <w:shd w:val="clear" w:color="auto" w:fill="FFFFFF"/>
        </w:rPr>
        <w:t xml:space="preserve"> </w:t>
      </w:r>
      <w:r w:rsidR="00DB3BFD">
        <w:rPr>
          <w:color w:val="333333"/>
          <w:shd w:val="clear" w:color="auto" w:fill="FFFFFF"/>
        </w:rPr>
        <w:t xml:space="preserve">To this extent </w:t>
      </w:r>
      <w:r w:rsidR="00DB3BFD" w:rsidRPr="00DB3BFD">
        <w:rPr>
          <w:i/>
          <w:iCs/>
          <w:color w:val="333333"/>
          <w:shd w:val="clear" w:color="auto" w:fill="FFFFFF"/>
        </w:rPr>
        <w:t>Frenchchurch</w:t>
      </w:r>
      <w:r w:rsidR="00DB3BFD">
        <w:rPr>
          <w:color w:val="333333"/>
          <w:shd w:val="clear" w:color="auto" w:fill="FFFFFF"/>
        </w:rPr>
        <w:t xml:space="preserve"> may be distinguishable in that </w:t>
      </w:r>
      <w:r w:rsidR="00641159">
        <w:rPr>
          <w:color w:val="333333"/>
          <w:shd w:val="clear" w:color="auto" w:fill="FFFFFF"/>
        </w:rPr>
        <w:t xml:space="preserve">Lynch J. appears to have been of the view that </w:t>
      </w:r>
      <w:r w:rsidR="00DB3BFD">
        <w:rPr>
          <w:color w:val="333333"/>
          <w:shd w:val="clear" w:color="auto" w:fill="FFFFFF"/>
        </w:rPr>
        <w:t xml:space="preserve">the error of law in question in that case might have been avoided by further submissions. </w:t>
      </w:r>
      <w:r w:rsidR="000D69E6" w:rsidRPr="000D69E6">
        <w:rPr>
          <w:color w:val="333333"/>
          <w:shd w:val="clear" w:color="auto" w:fill="FFFFFF"/>
        </w:rPr>
        <w:t>Further submissions might have resulted in a reasoned statement as to why the respondent considered that it could not have regard to objectives stated in the LAP but the outcome would probably have been the same, consistent with the argument before me</w:t>
      </w:r>
      <w:r w:rsidR="00AB7AFA" w:rsidRPr="00825EEA">
        <w:rPr>
          <w:color w:val="333333"/>
          <w:shd w:val="clear" w:color="auto" w:fill="FFFFFF"/>
        </w:rPr>
        <w:t xml:space="preserve">. </w:t>
      </w:r>
    </w:p>
    <w:p w14:paraId="47D20CFA" w14:textId="77777777" w:rsidR="007B3ECD" w:rsidRDefault="007B3ECD" w:rsidP="00E902F2">
      <w:pPr>
        <w:pStyle w:val="ListParagraph"/>
        <w:rPr>
          <w:color w:val="333333"/>
          <w:shd w:val="clear" w:color="auto" w:fill="FFFFFF"/>
        </w:rPr>
      </w:pPr>
    </w:p>
    <w:p w14:paraId="6048BAF8" w14:textId="77777777" w:rsidR="00724177" w:rsidRPr="00DB3BFD" w:rsidRDefault="00AD5A56" w:rsidP="00B04847">
      <w:pPr>
        <w:numPr>
          <w:ilvl w:val="0"/>
          <w:numId w:val="1"/>
        </w:numPr>
        <w:spacing w:line="360" w:lineRule="auto"/>
        <w:ind w:left="0" w:firstLine="0"/>
        <w:jc w:val="both"/>
        <w:rPr>
          <w:rFonts w:eastAsia="Arial Unicode MS"/>
        </w:rPr>
      </w:pPr>
      <w:r>
        <w:rPr>
          <w:color w:val="333333"/>
          <w:shd w:val="clear" w:color="auto" w:fill="FFFFFF"/>
        </w:rPr>
        <w:t xml:space="preserve">Ultimately, as I have found the process flawed by reason of error of law and a failure to have regard to relevant considerations, it is a moot question as to whether I </w:t>
      </w:r>
      <w:r w:rsidR="00DB3BFD">
        <w:rPr>
          <w:color w:val="333333"/>
          <w:shd w:val="clear" w:color="auto" w:fill="FFFFFF"/>
        </w:rPr>
        <w:t xml:space="preserve">would </w:t>
      </w:r>
      <w:r>
        <w:rPr>
          <w:color w:val="333333"/>
          <w:shd w:val="clear" w:color="auto" w:fill="FFFFFF"/>
        </w:rPr>
        <w:t>also have been</w:t>
      </w:r>
      <w:r w:rsidR="00DB3BFD">
        <w:rPr>
          <w:color w:val="333333"/>
          <w:shd w:val="clear" w:color="auto" w:fill="FFFFFF"/>
        </w:rPr>
        <w:t xml:space="preserve"> prepared to quash the decision </w:t>
      </w:r>
      <w:r>
        <w:rPr>
          <w:color w:val="333333"/>
          <w:shd w:val="clear" w:color="auto" w:fill="FFFFFF"/>
        </w:rPr>
        <w:t>as</w:t>
      </w:r>
      <w:r w:rsidR="00DB3BFD">
        <w:rPr>
          <w:color w:val="333333"/>
          <w:shd w:val="clear" w:color="auto" w:fill="FFFFFF"/>
        </w:rPr>
        <w:t xml:space="preserve"> a breach of fair procedures alone</w:t>
      </w:r>
      <w:r>
        <w:rPr>
          <w:color w:val="333333"/>
          <w:shd w:val="clear" w:color="auto" w:fill="FFFFFF"/>
        </w:rPr>
        <w:t xml:space="preserve"> by reason of a failure to give advance notice of the proposed decision and the reasons for it.</w:t>
      </w:r>
      <w:r w:rsidR="007B3ECD">
        <w:rPr>
          <w:color w:val="333333"/>
          <w:shd w:val="clear" w:color="auto" w:fill="FFFFFF"/>
        </w:rPr>
        <w:t xml:space="preserve">  </w:t>
      </w:r>
    </w:p>
    <w:p w14:paraId="6139A85D" w14:textId="77777777" w:rsidR="00DB3BFD" w:rsidRPr="00825EEA" w:rsidRDefault="00DB3BFD" w:rsidP="00DB3BFD">
      <w:pPr>
        <w:spacing w:line="360" w:lineRule="auto"/>
        <w:ind w:left="501"/>
        <w:jc w:val="both"/>
        <w:rPr>
          <w:rFonts w:eastAsia="Arial Unicode MS"/>
        </w:rPr>
      </w:pPr>
    </w:p>
    <w:p w14:paraId="7BFCE3AE" w14:textId="77777777" w:rsidR="00724177" w:rsidRPr="00E902F2" w:rsidRDefault="00724177" w:rsidP="00724177">
      <w:pPr>
        <w:spacing w:line="360" w:lineRule="auto"/>
        <w:jc w:val="both"/>
        <w:rPr>
          <w:rFonts w:eastAsia="Arial Unicode MS"/>
          <w:i/>
          <w:u w:val="single"/>
        </w:rPr>
      </w:pPr>
      <w:r w:rsidRPr="00E902F2">
        <w:rPr>
          <w:rFonts w:eastAsia="Arial Unicode MS"/>
          <w:i/>
          <w:u w:val="single"/>
        </w:rPr>
        <w:t>Error on the Face of the Record</w:t>
      </w:r>
    </w:p>
    <w:p w14:paraId="2FB779A1" w14:textId="77777777" w:rsidR="00724177" w:rsidRDefault="00724177" w:rsidP="00724177">
      <w:pPr>
        <w:pStyle w:val="ListParagraph"/>
        <w:ind w:left="0"/>
        <w:rPr>
          <w:rFonts w:eastAsia="Arial Unicode MS"/>
        </w:rPr>
      </w:pPr>
    </w:p>
    <w:p w14:paraId="2CC1F33A" w14:textId="77777777" w:rsidR="00724177" w:rsidRDefault="00724177" w:rsidP="00724177">
      <w:pPr>
        <w:pStyle w:val="ListParagraph"/>
        <w:rPr>
          <w:rFonts w:eastAsia="Arial Unicode MS"/>
        </w:rPr>
      </w:pPr>
    </w:p>
    <w:p w14:paraId="279CB477" w14:textId="77777777" w:rsidR="00724177" w:rsidRPr="00724177" w:rsidRDefault="009E6637" w:rsidP="00B04847">
      <w:pPr>
        <w:numPr>
          <w:ilvl w:val="0"/>
          <w:numId w:val="1"/>
        </w:numPr>
        <w:spacing w:line="360" w:lineRule="auto"/>
        <w:ind w:left="0" w:firstLine="0"/>
        <w:jc w:val="both"/>
        <w:rPr>
          <w:color w:val="333333"/>
          <w:shd w:val="clear" w:color="auto" w:fill="FFFFFF"/>
        </w:rPr>
      </w:pPr>
      <w:r w:rsidRPr="00724177">
        <w:rPr>
          <w:rFonts w:eastAsia="Arial Unicode MS"/>
        </w:rPr>
        <w:t xml:space="preserve">Two clear errors are notable on the face of the record in this Decision.  Firstly, the wrong register reference appears with regard to the planning permission which it was sought to extend.  Register reference F14A/0174 was not the planning permission for the proposed project and concerns an entirely different development at a different location.  Secondly, the reference to the proposed development contravening materially a development objective indicated in the </w:t>
      </w:r>
      <w:r w:rsidR="00AB7AFA">
        <w:rPr>
          <w:rFonts w:eastAsia="Arial Unicode MS"/>
        </w:rPr>
        <w:t xml:space="preserve">2017 </w:t>
      </w:r>
      <w:r w:rsidRPr="00724177">
        <w:rPr>
          <w:rFonts w:eastAsia="Arial Unicode MS"/>
        </w:rPr>
        <w:t xml:space="preserve">Development Plan for the zoning of High Amenity (HA) lands should read </w:t>
      </w:r>
      <w:r w:rsidR="00AB7AFA">
        <w:rPr>
          <w:rFonts w:eastAsia="Arial Unicode MS"/>
        </w:rPr>
        <w:t xml:space="preserve">the 2013 </w:t>
      </w:r>
      <w:r w:rsidRPr="00724177">
        <w:rPr>
          <w:rFonts w:eastAsia="Arial Unicode MS"/>
        </w:rPr>
        <w:t xml:space="preserve">Fingal Development Plan. These errors are admitted but the effect of the errors on the validity of the Decision is disputed. </w:t>
      </w:r>
    </w:p>
    <w:p w14:paraId="41C3FC24" w14:textId="77777777" w:rsidR="00724177" w:rsidRDefault="00724177" w:rsidP="00B04847">
      <w:pPr>
        <w:spacing w:line="360" w:lineRule="auto"/>
        <w:jc w:val="both"/>
        <w:rPr>
          <w:color w:val="333333"/>
          <w:shd w:val="clear" w:color="auto" w:fill="FFFFFF"/>
        </w:rPr>
      </w:pPr>
    </w:p>
    <w:p w14:paraId="16ACD2CA" w14:textId="77777777" w:rsidR="00724177" w:rsidRDefault="009E6637" w:rsidP="00B04847">
      <w:pPr>
        <w:numPr>
          <w:ilvl w:val="0"/>
          <w:numId w:val="1"/>
        </w:numPr>
        <w:spacing w:line="360" w:lineRule="auto"/>
        <w:ind w:left="0" w:firstLine="0"/>
        <w:jc w:val="both"/>
        <w:rPr>
          <w:color w:val="333333"/>
          <w:shd w:val="clear" w:color="auto" w:fill="FFFFFF"/>
        </w:rPr>
      </w:pPr>
      <w:r w:rsidRPr="00724177">
        <w:rPr>
          <w:rFonts w:eastAsia="Arial Unicode MS"/>
        </w:rPr>
        <w:t xml:space="preserve">Relying on the decision of the High Court in </w:t>
      </w:r>
      <w:r w:rsidRPr="00724177">
        <w:rPr>
          <w:i/>
          <w:iCs/>
          <w:color w:val="000000"/>
          <w:lang w:eastAsia="en-IE"/>
        </w:rPr>
        <w:t>ABM v</w:t>
      </w:r>
      <w:r w:rsidR="004E0C8B">
        <w:rPr>
          <w:i/>
          <w:iCs/>
          <w:color w:val="000000"/>
          <w:lang w:eastAsia="en-IE"/>
        </w:rPr>
        <w:t>.</w:t>
      </w:r>
      <w:r w:rsidRPr="00724177">
        <w:rPr>
          <w:i/>
          <w:iCs/>
          <w:color w:val="000000"/>
          <w:lang w:eastAsia="en-IE"/>
        </w:rPr>
        <w:t xml:space="preserve"> Minister for Justice</w:t>
      </w:r>
      <w:r w:rsidRPr="00724177">
        <w:rPr>
          <w:color w:val="000000"/>
          <w:lang w:eastAsia="en-IE"/>
        </w:rPr>
        <w:t xml:space="preserve"> [2001] IEHC 110, where it was held that the references in the decision to the incorrect country of origin was such a significant error of fact that it constituted an error of law, the </w:t>
      </w:r>
      <w:r w:rsidR="00F011F3">
        <w:rPr>
          <w:color w:val="000000"/>
          <w:lang w:eastAsia="en-IE"/>
        </w:rPr>
        <w:t>applicant</w:t>
      </w:r>
      <w:r w:rsidRPr="00724177">
        <w:rPr>
          <w:color w:val="000000"/>
          <w:lang w:eastAsia="en-IE"/>
        </w:rPr>
        <w:t xml:space="preserve"> maintains that the error of facts contained on the face of the record in this case goes to the jurisdiction of the </w:t>
      </w:r>
      <w:r w:rsidR="00F011F3">
        <w:rPr>
          <w:color w:val="000000"/>
          <w:lang w:eastAsia="en-IE"/>
        </w:rPr>
        <w:t>respondent</w:t>
      </w:r>
      <w:r w:rsidRPr="00724177">
        <w:rPr>
          <w:color w:val="000000"/>
          <w:lang w:eastAsia="en-IE"/>
        </w:rPr>
        <w:t xml:space="preserve">. </w:t>
      </w:r>
    </w:p>
    <w:p w14:paraId="7F1F3D76" w14:textId="77777777" w:rsidR="00724177" w:rsidRDefault="00724177" w:rsidP="00E902F2">
      <w:pPr>
        <w:rPr>
          <w:lang w:eastAsia="en-IE"/>
        </w:rPr>
      </w:pPr>
    </w:p>
    <w:p w14:paraId="6C85CCE7" w14:textId="77777777" w:rsidR="009E6637" w:rsidRPr="00724177" w:rsidRDefault="009E6637" w:rsidP="00B04847">
      <w:pPr>
        <w:numPr>
          <w:ilvl w:val="0"/>
          <w:numId w:val="1"/>
        </w:numPr>
        <w:spacing w:line="360" w:lineRule="auto"/>
        <w:ind w:left="0" w:firstLine="0"/>
        <w:jc w:val="both"/>
        <w:rPr>
          <w:color w:val="333333"/>
          <w:shd w:val="clear" w:color="auto" w:fill="FFFFFF"/>
        </w:rPr>
      </w:pPr>
      <w:r w:rsidRPr="00724177">
        <w:rPr>
          <w:color w:val="000000"/>
          <w:lang w:eastAsia="en-IE"/>
        </w:rPr>
        <w:t>T</w:t>
      </w:r>
      <w:r w:rsidRPr="00724177">
        <w:rPr>
          <w:rFonts w:eastAsia="Arial Unicode MS"/>
        </w:rPr>
        <w:t xml:space="preserve">he </w:t>
      </w:r>
      <w:r w:rsidR="00F011F3">
        <w:rPr>
          <w:rFonts w:eastAsia="Arial Unicode MS"/>
        </w:rPr>
        <w:t>applicant</w:t>
      </w:r>
      <w:r w:rsidRPr="00724177">
        <w:rPr>
          <w:rFonts w:eastAsia="Arial Unicode MS"/>
        </w:rPr>
        <w:t xml:space="preserve"> further objects to the explanation proffered by the respondent that the errors were clerical and were the result of human error and in this regard relies on the decision of the Supreme Court in </w:t>
      </w:r>
      <w:r w:rsidRPr="00724177">
        <w:rPr>
          <w:rFonts w:eastAsia="Arial Unicode MS"/>
          <w:i/>
        </w:rPr>
        <w:t>State (Crowley) v. the</w:t>
      </w:r>
      <w:r w:rsidR="004E0C8B">
        <w:rPr>
          <w:rFonts w:eastAsia="Arial Unicode MS"/>
          <w:i/>
        </w:rPr>
        <w:t xml:space="preserve"> Irish</w:t>
      </w:r>
      <w:r w:rsidRPr="00724177">
        <w:rPr>
          <w:rFonts w:eastAsia="Arial Unicode MS"/>
          <w:i/>
        </w:rPr>
        <w:t xml:space="preserve"> Land Commission </w:t>
      </w:r>
      <w:r w:rsidRPr="00724177">
        <w:rPr>
          <w:rFonts w:eastAsia="Arial Unicode MS"/>
        </w:rPr>
        <w:t>[1951] I</w:t>
      </w:r>
      <w:r w:rsidR="004E0C8B">
        <w:rPr>
          <w:rFonts w:eastAsia="Arial Unicode MS"/>
        </w:rPr>
        <w:t>.</w:t>
      </w:r>
      <w:r w:rsidRPr="00724177">
        <w:rPr>
          <w:rFonts w:eastAsia="Arial Unicode MS"/>
        </w:rPr>
        <w:t>R</w:t>
      </w:r>
      <w:r w:rsidR="004E0C8B">
        <w:rPr>
          <w:rFonts w:eastAsia="Arial Unicode MS"/>
        </w:rPr>
        <w:t>.</w:t>
      </w:r>
      <w:r w:rsidRPr="00724177">
        <w:rPr>
          <w:rFonts w:eastAsia="Arial Unicode MS"/>
        </w:rPr>
        <w:t xml:space="preserve"> 250.  </w:t>
      </w:r>
      <w:r w:rsidRPr="00724177">
        <w:rPr>
          <w:color w:val="000000"/>
          <w:lang w:eastAsia="en-IE"/>
        </w:rPr>
        <w:t xml:space="preserve">In </w:t>
      </w:r>
      <w:r w:rsidRPr="00724177">
        <w:rPr>
          <w:i/>
          <w:iCs/>
          <w:color w:val="000000"/>
          <w:lang w:eastAsia="en-IE"/>
        </w:rPr>
        <w:t>State (Crowley) v. The Irish Land Commission</w:t>
      </w:r>
      <w:r w:rsidRPr="00724177">
        <w:rPr>
          <w:color w:val="000000"/>
          <w:lang w:eastAsia="en-IE"/>
        </w:rPr>
        <w:t xml:space="preserve"> [1951] I</w:t>
      </w:r>
      <w:r w:rsidR="004E0C8B">
        <w:rPr>
          <w:color w:val="000000"/>
          <w:lang w:eastAsia="en-IE"/>
        </w:rPr>
        <w:t>.</w:t>
      </w:r>
      <w:r w:rsidRPr="00724177">
        <w:rPr>
          <w:color w:val="000000"/>
          <w:lang w:eastAsia="en-IE"/>
        </w:rPr>
        <w:t>R</w:t>
      </w:r>
      <w:r w:rsidR="004E0C8B">
        <w:rPr>
          <w:color w:val="000000"/>
          <w:lang w:eastAsia="en-IE"/>
        </w:rPr>
        <w:t>.</w:t>
      </w:r>
      <w:r w:rsidRPr="00724177">
        <w:rPr>
          <w:color w:val="000000"/>
          <w:lang w:eastAsia="en-IE"/>
        </w:rPr>
        <w:t xml:space="preserve"> 250, it was held </w:t>
      </w:r>
      <w:r w:rsidR="004F06ED">
        <w:rPr>
          <w:color w:val="000000"/>
          <w:lang w:eastAsia="en-IE"/>
        </w:rPr>
        <w:t xml:space="preserve">at p. 256 </w:t>
      </w:r>
      <w:r w:rsidRPr="00724177">
        <w:rPr>
          <w:color w:val="000000"/>
          <w:lang w:eastAsia="en-IE"/>
        </w:rPr>
        <w:t>that an administrative decision maker cannot seek to supplement a decision by way of affidavit evidence:</w:t>
      </w:r>
    </w:p>
    <w:p w14:paraId="6412AFA1" w14:textId="77777777" w:rsidR="009E6637" w:rsidRDefault="009E6637" w:rsidP="009E6637">
      <w:pPr>
        <w:autoSpaceDE w:val="0"/>
        <w:autoSpaceDN w:val="0"/>
        <w:adjustRightInd w:val="0"/>
        <w:ind w:left="720"/>
        <w:jc w:val="both"/>
        <w:rPr>
          <w:color w:val="000000"/>
          <w:lang w:eastAsia="en-IE"/>
        </w:rPr>
      </w:pPr>
    </w:p>
    <w:p w14:paraId="3BE89B1D" w14:textId="77777777" w:rsidR="009E6637" w:rsidRDefault="009E6637" w:rsidP="00B04847">
      <w:pPr>
        <w:autoSpaceDE w:val="0"/>
        <w:autoSpaceDN w:val="0"/>
        <w:adjustRightInd w:val="0"/>
        <w:spacing w:line="360" w:lineRule="auto"/>
        <w:ind w:left="720"/>
        <w:jc w:val="both"/>
        <w:rPr>
          <w:color w:val="000000"/>
          <w:lang w:eastAsia="en-IE"/>
        </w:rPr>
      </w:pPr>
      <w:r>
        <w:rPr>
          <w:color w:val="000000"/>
          <w:lang w:eastAsia="en-IE"/>
        </w:rPr>
        <w:t>“</w:t>
      </w:r>
      <w:r>
        <w:rPr>
          <w:i/>
          <w:iCs/>
          <w:color w:val="000000"/>
          <w:lang w:eastAsia="en-IE"/>
        </w:rPr>
        <w:t>While the affidavit showing cause was read and considered before me without objection, I am of opinion that the judgment and order of the Commissioners must speak for themselves and must be construed and interpreted by me in the words of the judgment and order … It is, however, sought to supplement the orders and written judgment by reference to the affidavit sworn by the Lay Commissioners. I do not consider that recourse can be had to the affidavit for this purpose. The determination of the Lay Commissioners appears in, and must be gathered from, the formal orders made by them and the affidavit cannot be utilised for the purpose of adding to, explaining, or contradicting their written orders</w:t>
      </w:r>
      <w:r>
        <w:rPr>
          <w:color w:val="000000"/>
          <w:lang w:eastAsia="en-IE"/>
        </w:rPr>
        <w:t>.”</w:t>
      </w:r>
    </w:p>
    <w:p w14:paraId="65938964" w14:textId="77777777" w:rsidR="00836C67" w:rsidRDefault="00836C67" w:rsidP="00836C67">
      <w:pPr>
        <w:autoSpaceDE w:val="0"/>
        <w:autoSpaceDN w:val="0"/>
        <w:adjustRightInd w:val="0"/>
        <w:jc w:val="both"/>
        <w:rPr>
          <w:color w:val="000000"/>
          <w:lang w:eastAsia="en-IE"/>
        </w:rPr>
      </w:pPr>
    </w:p>
    <w:p w14:paraId="680AA3B5" w14:textId="77777777" w:rsidR="009E6637" w:rsidRDefault="009E6637" w:rsidP="00E902F2">
      <w:pPr>
        <w:numPr>
          <w:ilvl w:val="0"/>
          <w:numId w:val="1"/>
        </w:numPr>
        <w:autoSpaceDE w:val="0"/>
        <w:autoSpaceDN w:val="0"/>
        <w:adjustRightInd w:val="0"/>
        <w:spacing w:line="360" w:lineRule="auto"/>
        <w:ind w:left="0" w:firstLine="0"/>
        <w:jc w:val="both"/>
        <w:rPr>
          <w:color w:val="000000"/>
          <w:lang w:eastAsia="en-IE"/>
        </w:rPr>
      </w:pPr>
      <w:r>
        <w:rPr>
          <w:color w:val="000000"/>
          <w:lang w:eastAsia="en-IE"/>
        </w:rPr>
        <w:t>In similar vein reliance is placed of Hyland J</w:t>
      </w:r>
      <w:r w:rsidR="004F06ED">
        <w:rPr>
          <w:color w:val="000000"/>
          <w:lang w:eastAsia="en-IE"/>
        </w:rPr>
        <w:t>.</w:t>
      </w:r>
      <w:r>
        <w:rPr>
          <w:color w:val="000000"/>
          <w:lang w:eastAsia="en-IE"/>
        </w:rPr>
        <w:t xml:space="preserve"> in </w:t>
      </w:r>
      <w:r>
        <w:rPr>
          <w:i/>
          <w:iCs/>
          <w:color w:val="000000"/>
          <w:lang w:eastAsia="en-IE"/>
        </w:rPr>
        <w:t>Jackson way Properties v The Information Commissioner</w:t>
      </w:r>
      <w:r>
        <w:rPr>
          <w:color w:val="000000"/>
          <w:lang w:eastAsia="en-IE"/>
        </w:rPr>
        <w:t> [2020] IEHC 73, where she held that certain paragraphs of the affidavit sworn on behalf of the Information Commissioner were inadmissible</w:t>
      </w:r>
      <w:r w:rsidR="004F06ED">
        <w:rPr>
          <w:color w:val="000000"/>
          <w:lang w:eastAsia="en-IE"/>
        </w:rPr>
        <w:t xml:space="preserve"> (para. 33)</w:t>
      </w:r>
      <w:r>
        <w:rPr>
          <w:color w:val="000000"/>
          <w:lang w:eastAsia="en-IE"/>
        </w:rPr>
        <w:t xml:space="preserve">: </w:t>
      </w:r>
    </w:p>
    <w:p w14:paraId="7B37438C" w14:textId="77777777" w:rsidR="009E6637" w:rsidRDefault="009E6637" w:rsidP="006C1520">
      <w:pPr>
        <w:autoSpaceDE w:val="0"/>
        <w:autoSpaceDN w:val="0"/>
        <w:adjustRightInd w:val="0"/>
        <w:spacing w:line="360" w:lineRule="auto"/>
        <w:ind w:left="720"/>
        <w:jc w:val="both"/>
        <w:rPr>
          <w:color w:val="000000"/>
          <w:lang w:eastAsia="en-IE"/>
        </w:rPr>
      </w:pPr>
    </w:p>
    <w:p w14:paraId="1227482D" w14:textId="77777777" w:rsidR="009E6637" w:rsidRDefault="009E6637" w:rsidP="00B04847">
      <w:pPr>
        <w:autoSpaceDE w:val="0"/>
        <w:autoSpaceDN w:val="0"/>
        <w:adjustRightInd w:val="0"/>
        <w:spacing w:line="360" w:lineRule="auto"/>
        <w:ind w:left="720"/>
        <w:jc w:val="both"/>
        <w:rPr>
          <w:color w:val="000000"/>
          <w:lang w:eastAsia="en-IE"/>
        </w:rPr>
      </w:pPr>
      <w:r>
        <w:rPr>
          <w:color w:val="000000"/>
          <w:lang w:eastAsia="en-IE"/>
        </w:rPr>
        <w:t>“…</w:t>
      </w:r>
      <w:r>
        <w:rPr>
          <w:i/>
          <w:iCs/>
          <w:color w:val="000000"/>
          <w:lang w:eastAsia="en-IE"/>
        </w:rPr>
        <w:t>this paragraph seeks to supplement or vary the Decision by explaining what certain passages in the Decision meant, to what extent they were material to the Decision and their impact on the Decision as a whole. This seems to me an impermissible attempt to add to the Decision in the way criticised in Crowley. The Decision must stand or fall on its own terms and should not require to, or be permitted to, read in conjunction with a later explanation</w:t>
      </w:r>
      <w:r>
        <w:rPr>
          <w:color w:val="000000"/>
          <w:lang w:eastAsia="en-IE"/>
        </w:rPr>
        <w:t>.”</w:t>
      </w:r>
    </w:p>
    <w:p w14:paraId="080892A2" w14:textId="77777777" w:rsidR="00D5745B" w:rsidRDefault="00D5745B" w:rsidP="00E902F2">
      <w:pPr>
        <w:rPr>
          <w:lang w:eastAsia="en-IE"/>
        </w:rPr>
      </w:pPr>
    </w:p>
    <w:p w14:paraId="4BEE11BD" w14:textId="77777777" w:rsidR="00352EFD" w:rsidRDefault="009E6637" w:rsidP="00B04847">
      <w:pPr>
        <w:numPr>
          <w:ilvl w:val="0"/>
          <w:numId w:val="1"/>
        </w:numPr>
        <w:autoSpaceDE w:val="0"/>
        <w:autoSpaceDN w:val="0"/>
        <w:adjustRightInd w:val="0"/>
        <w:spacing w:before="240" w:line="360" w:lineRule="auto"/>
        <w:ind w:left="0" w:firstLine="0"/>
        <w:jc w:val="both"/>
        <w:rPr>
          <w:color w:val="000000"/>
          <w:lang w:eastAsia="en-IE"/>
        </w:rPr>
      </w:pPr>
      <w:r>
        <w:rPr>
          <w:color w:val="000000"/>
          <w:lang w:eastAsia="en-IE"/>
        </w:rPr>
        <w:t>Th</w:t>
      </w:r>
      <w:r w:rsidR="00836C67">
        <w:rPr>
          <w:color w:val="000000"/>
          <w:lang w:eastAsia="en-IE"/>
        </w:rPr>
        <w:t>e</w:t>
      </w:r>
      <w:r>
        <w:rPr>
          <w:color w:val="000000"/>
          <w:lang w:eastAsia="en-IE"/>
        </w:rPr>
        <w:t xml:space="preserve"> principle enunciated in these cases is well established; it is not open to the </w:t>
      </w:r>
      <w:r w:rsidR="00F011F3">
        <w:rPr>
          <w:color w:val="000000"/>
          <w:lang w:eastAsia="en-IE"/>
        </w:rPr>
        <w:t>respondent</w:t>
      </w:r>
      <w:r>
        <w:rPr>
          <w:color w:val="000000"/>
          <w:lang w:eastAsia="en-IE"/>
        </w:rPr>
        <w:t xml:space="preserve"> to seek to supplement the Impugned Decision to better explain the Decision taken and to persuade a Court that matters not referred to in the Decision were actually properly considered.  However, I do not accept that this is a correct characterisation of what the </w:t>
      </w:r>
      <w:r w:rsidR="00F011F3">
        <w:rPr>
          <w:color w:val="000000"/>
          <w:lang w:eastAsia="en-IE"/>
        </w:rPr>
        <w:t>respondent</w:t>
      </w:r>
      <w:r>
        <w:rPr>
          <w:color w:val="000000"/>
          <w:lang w:eastAsia="en-IE"/>
        </w:rPr>
        <w:t xml:space="preserve"> has done as regards the two so-called clerical errors in these proceedings. </w:t>
      </w:r>
    </w:p>
    <w:p w14:paraId="072B650B" w14:textId="77777777" w:rsidR="004F06ED" w:rsidRDefault="004F06ED" w:rsidP="00E902F2">
      <w:pPr>
        <w:rPr>
          <w:lang w:eastAsia="en-IE"/>
        </w:rPr>
      </w:pPr>
    </w:p>
    <w:p w14:paraId="26D00142" w14:textId="77777777" w:rsidR="00352EFD" w:rsidRPr="00E902F2" w:rsidRDefault="009E6637" w:rsidP="00B04847">
      <w:pPr>
        <w:numPr>
          <w:ilvl w:val="0"/>
          <w:numId w:val="1"/>
        </w:numPr>
        <w:autoSpaceDE w:val="0"/>
        <w:autoSpaceDN w:val="0"/>
        <w:adjustRightInd w:val="0"/>
        <w:spacing w:before="240" w:line="360" w:lineRule="auto"/>
        <w:ind w:left="0" w:firstLine="0"/>
        <w:jc w:val="both"/>
        <w:rPr>
          <w:color w:val="000000"/>
          <w:lang w:eastAsia="en-IE"/>
        </w:rPr>
      </w:pPr>
      <w:r>
        <w:rPr>
          <w:rFonts w:eastAsia="Arial Unicode MS"/>
        </w:rPr>
        <w:t xml:space="preserve">Addressing the two errors, the </w:t>
      </w:r>
      <w:r w:rsidR="00F011F3">
        <w:rPr>
          <w:rFonts w:eastAsia="Arial Unicode MS"/>
        </w:rPr>
        <w:t>respondent</w:t>
      </w:r>
      <w:r>
        <w:rPr>
          <w:rFonts w:eastAsia="Arial Unicode MS"/>
        </w:rPr>
        <w:t xml:space="preserve"> accepted that </w:t>
      </w:r>
      <w:r w:rsidRPr="00433D73">
        <w:t>Planning Register Reference F14A/0174 is for a development that is unrelated to the development the subject of these proceeding</w:t>
      </w:r>
      <w:r>
        <w:t>s but they point out that p</w:t>
      </w:r>
      <w:r w:rsidRPr="00433D73">
        <w:t>lanning Register</w:t>
      </w:r>
      <w:r w:rsidRPr="00282ED4">
        <w:t xml:space="preserve"> Reference </w:t>
      </w:r>
      <w:r w:rsidRPr="0082717F">
        <w:t xml:space="preserve">“F14A/0174” is mentioned nowhere else in the </w:t>
      </w:r>
      <w:r w:rsidR="00F011F3">
        <w:t>respondent</w:t>
      </w:r>
      <w:r w:rsidRPr="0082717F">
        <w:t xml:space="preserve">’s decision </w:t>
      </w:r>
      <w:r>
        <w:t>n</w:t>
      </w:r>
      <w:r w:rsidRPr="0082717F">
        <w:t xml:space="preserve">or the notification that was sent to the </w:t>
      </w:r>
      <w:r w:rsidR="00F011F3">
        <w:t>applicant</w:t>
      </w:r>
      <w:r w:rsidRPr="0082717F">
        <w:t>’s agent</w:t>
      </w:r>
      <w:r>
        <w:t xml:space="preserve"> (apart from the ‘</w:t>
      </w:r>
      <w:r w:rsidRPr="00E902F2">
        <w:rPr>
          <w:i/>
          <w:iCs/>
        </w:rPr>
        <w:t>Reasons’</w:t>
      </w:r>
      <w:r>
        <w:t xml:space="preserve"> section)</w:t>
      </w:r>
      <w:r w:rsidRPr="0082717F">
        <w:t xml:space="preserve">. </w:t>
      </w:r>
      <w:r>
        <w:t>On the other hand</w:t>
      </w:r>
      <w:r w:rsidR="00352EFD">
        <w:t>,</w:t>
      </w:r>
      <w:r w:rsidR="00836C67">
        <w:t xml:space="preserve"> there are multiple references to the correct </w:t>
      </w:r>
      <w:r w:rsidR="00CB2C78">
        <w:t>planning register reference throughout the record of the decision.</w:t>
      </w:r>
    </w:p>
    <w:p w14:paraId="14CD058A" w14:textId="77777777" w:rsidR="00AB5A6E" w:rsidRDefault="00AB5A6E" w:rsidP="00E902F2">
      <w:pPr>
        <w:rPr>
          <w:lang w:eastAsia="en-IE"/>
        </w:rPr>
      </w:pPr>
    </w:p>
    <w:p w14:paraId="185A3A54" w14:textId="77777777" w:rsidR="00352EFD" w:rsidRPr="00E902F2" w:rsidRDefault="009E6637" w:rsidP="00B04847">
      <w:pPr>
        <w:numPr>
          <w:ilvl w:val="0"/>
          <w:numId w:val="1"/>
        </w:numPr>
        <w:autoSpaceDE w:val="0"/>
        <w:autoSpaceDN w:val="0"/>
        <w:adjustRightInd w:val="0"/>
        <w:spacing w:before="240" w:line="360" w:lineRule="auto"/>
        <w:ind w:left="0" w:firstLine="0"/>
        <w:jc w:val="both"/>
        <w:rPr>
          <w:color w:val="000000"/>
          <w:lang w:eastAsia="en-IE"/>
        </w:rPr>
      </w:pPr>
      <w:r w:rsidRPr="00352EFD">
        <w:rPr>
          <w:rFonts w:eastAsia="Arial Unicode MS"/>
        </w:rPr>
        <w:t xml:space="preserve">Further, where the </w:t>
      </w:r>
      <w:r w:rsidR="00F011F3">
        <w:rPr>
          <w:rFonts w:eastAsia="Arial Unicode MS"/>
        </w:rPr>
        <w:t>respondent</w:t>
      </w:r>
      <w:r w:rsidRPr="00352EFD">
        <w:rPr>
          <w:rFonts w:eastAsia="Arial Unicode MS"/>
        </w:rPr>
        <w:t>’s decision is describing a change as between two development plans, it is reasonably clear that the second reference to “</w:t>
      </w:r>
      <w:r w:rsidRPr="00352EFD">
        <w:rPr>
          <w:rFonts w:eastAsia="Arial Unicode MS"/>
          <w:i/>
          <w:iCs/>
        </w:rPr>
        <w:t xml:space="preserve">the Fingal Development Plan 2011-2017” </w:t>
      </w:r>
      <w:r w:rsidRPr="00352EFD">
        <w:rPr>
          <w:rFonts w:eastAsia="Arial Unicode MS"/>
        </w:rPr>
        <w:t>in the ‘</w:t>
      </w:r>
      <w:r w:rsidRPr="00E902F2">
        <w:rPr>
          <w:rFonts w:eastAsia="Arial Unicode MS"/>
          <w:i/>
          <w:iCs/>
        </w:rPr>
        <w:t>Reasons’</w:t>
      </w:r>
      <w:r w:rsidRPr="00352EFD">
        <w:rPr>
          <w:rFonts w:eastAsia="Arial Unicode MS"/>
        </w:rPr>
        <w:t xml:space="preserve"> section should be a reference to the </w:t>
      </w:r>
      <w:r w:rsidR="007B3ECD">
        <w:rPr>
          <w:rFonts w:eastAsia="Arial Unicode MS"/>
        </w:rPr>
        <w:t xml:space="preserve">2023 </w:t>
      </w:r>
      <w:r w:rsidRPr="00352EFD">
        <w:rPr>
          <w:rFonts w:eastAsia="Arial Unicode MS"/>
        </w:rPr>
        <w:t xml:space="preserve"> Development Plan</w:t>
      </w:r>
      <w:r w:rsidRPr="00352EFD">
        <w:rPr>
          <w:rFonts w:eastAsia="Arial Unicode MS"/>
          <w:i/>
          <w:iCs/>
        </w:rPr>
        <w:t>.</w:t>
      </w:r>
    </w:p>
    <w:p w14:paraId="587C6F06" w14:textId="77777777" w:rsidR="00AB5A6E" w:rsidRDefault="00AB5A6E" w:rsidP="00E902F2">
      <w:pPr>
        <w:rPr>
          <w:lang w:eastAsia="en-IE"/>
        </w:rPr>
      </w:pPr>
    </w:p>
    <w:p w14:paraId="38BC1019" w14:textId="77777777" w:rsidR="009E6637" w:rsidRPr="00352EFD" w:rsidRDefault="009E6637" w:rsidP="00B04847">
      <w:pPr>
        <w:numPr>
          <w:ilvl w:val="0"/>
          <w:numId w:val="1"/>
        </w:numPr>
        <w:autoSpaceDE w:val="0"/>
        <w:autoSpaceDN w:val="0"/>
        <w:adjustRightInd w:val="0"/>
        <w:spacing w:before="240" w:line="360" w:lineRule="auto"/>
        <w:ind w:left="0" w:firstLine="0"/>
        <w:jc w:val="both"/>
        <w:rPr>
          <w:color w:val="000000"/>
          <w:lang w:eastAsia="en-IE"/>
        </w:rPr>
      </w:pPr>
      <w:r w:rsidRPr="00352EFD">
        <w:rPr>
          <w:rFonts w:eastAsia="Arial Unicode MS"/>
        </w:rPr>
        <w:t>It seems to me that the errors in this case m</w:t>
      </w:r>
      <w:r w:rsidR="006C1520" w:rsidRPr="00352EFD">
        <w:rPr>
          <w:rFonts w:eastAsia="Arial Unicode MS"/>
        </w:rPr>
        <w:t xml:space="preserve">ay properly </w:t>
      </w:r>
      <w:r w:rsidRPr="00352EFD">
        <w:rPr>
          <w:rFonts w:eastAsia="Arial Unicode MS"/>
        </w:rPr>
        <w:t xml:space="preserve">be compared to those assessed by the Court in </w:t>
      </w:r>
      <w:r w:rsidRPr="00352EFD">
        <w:rPr>
          <w:rFonts w:eastAsia="Arial Unicode MS"/>
          <w:i/>
          <w:iCs/>
        </w:rPr>
        <w:t>Shillelagh Quarries Ltd. v</w:t>
      </w:r>
      <w:r w:rsidR="004F06ED">
        <w:rPr>
          <w:rFonts w:eastAsia="Arial Unicode MS"/>
          <w:i/>
          <w:iCs/>
        </w:rPr>
        <w:t>.</w:t>
      </w:r>
      <w:r w:rsidRPr="00352EFD">
        <w:rPr>
          <w:rFonts w:eastAsia="Arial Unicode MS"/>
          <w:i/>
          <w:iCs/>
        </w:rPr>
        <w:t xml:space="preserve"> An Bord Pleanála &amp; ors</w:t>
      </w:r>
      <w:r w:rsidRPr="00352EFD">
        <w:rPr>
          <w:rFonts w:eastAsia="Arial Unicode MS"/>
        </w:rPr>
        <w:t xml:space="preserve"> [2019] IEHC 479, an authority urged on the Court by the </w:t>
      </w:r>
      <w:r w:rsidR="00F011F3">
        <w:rPr>
          <w:rFonts w:eastAsia="Arial Unicode MS"/>
        </w:rPr>
        <w:t>respondent</w:t>
      </w:r>
      <w:r w:rsidRPr="00352EFD">
        <w:rPr>
          <w:rFonts w:eastAsia="Arial Unicode MS"/>
        </w:rPr>
        <w:t>.  In that case Barniville J. considered a challenge to a decision of An Bord Pleanála on the basis that its order contained a number of errors including citing the wrong legislation and an erroneous reference to a previous application that had, in fact, not been made. The High Court (Barniville J.) summarised</w:t>
      </w:r>
      <w:r w:rsidR="00352EFD">
        <w:rPr>
          <w:rFonts w:eastAsia="Arial Unicode MS"/>
        </w:rPr>
        <w:t xml:space="preserve"> its</w:t>
      </w:r>
      <w:r w:rsidRPr="00352EFD">
        <w:rPr>
          <w:rFonts w:eastAsia="Arial Unicode MS"/>
        </w:rPr>
        <w:t xml:space="preserve"> conclusion at the start of </w:t>
      </w:r>
      <w:r w:rsidR="00352EFD">
        <w:rPr>
          <w:rFonts w:eastAsia="Arial Unicode MS"/>
        </w:rPr>
        <w:t xml:space="preserve">the </w:t>
      </w:r>
      <w:r w:rsidRPr="00352EFD">
        <w:rPr>
          <w:rFonts w:eastAsia="Arial Unicode MS"/>
        </w:rPr>
        <w:t>judgment refusing the applicant’s challenge to the Board’s decision. In respect of the challenge based on errors on the face of the Board’s order, Barniville J. held</w:t>
      </w:r>
      <w:r w:rsidR="004F06ED">
        <w:rPr>
          <w:rFonts w:eastAsia="Arial Unicode MS"/>
        </w:rPr>
        <w:t xml:space="preserve"> (para. 10)</w:t>
      </w:r>
      <w:r w:rsidRPr="00352EFD">
        <w:rPr>
          <w:rFonts w:eastAsia="Arial Unicode MS"/>
        </w:rPr>
        <w:t>:</w:t>
      </w:r>
    </w:p>
    <w:p w14:paraId="21C25D89" w14:textId="77777777" w:rsidR="009E6637" w:rsidRDefault="009E6637" w:rsidP="009E6637">
      <w:pPr>
        <w:spacing w:line="360" w:lineRule="auto"/>
        <w:ind w:left="720"/>
        <w:jc w:val="both"/>
        <w:rPr>
          <w:rFonts w:eastAsia="Arial Unicode MS"/>
        </w:rPr>
      </w:pPr>
    </w:p>
    <w:p w14:paraId="388B0B11" w14:textId="77777777" w:rsidR="009E6637" w:rsidRPr="00352EFD" w:rsidRDefault="009E6637" w:rsidP="00B04847">
      <w:pPr>
        <w:spacing w:line="360" w:lineRule="auto"/>
        <w:ind w:left="720"/>
        <w:jc w:val="both"/>
        <w:rPr>
          <w:rFonts w:eastAsia="Arial Unicode MS"/>
          <w:i/>
          <w:iCs/>
        </w:rPr>
      </w:pPr>
      <w:r w:rsidRPr="00352EFD">
        <w:rPr>
          <w:rFonts w:eastAsia="Arial Unicode MS"/>
          <w:i/>
          <w:iCs/>
        </w:rPr>
        <w:t xml:space="preserve">“10. Finally, while the Board Order recording the decision of the Board on the applicant’s application contains some errors, I am satisfied that these minor errors are harmless, insubstantial and inconsequential, that the Board Order makes clear what the Board was deciding and the statutory basis on which it was making its decision and, further, that the applicant was not in any way misled or prejudiced by any of those errors.” </w:t>
      </w:r>
    </w:p>
    <w:p w14:paraId="49344ACA" w14:textId="77777777" w:rsidR="009E6637" w:rsidRDefault="009E6637" w:rsidP="009E6637">
      <w:pPr>
        <w:spacing w:line="360" w:lineRule="auto"/>
        <w:ind w:left="720"/>
        <w:jc w:val="both"/>
        <w:rPr>
          <w:rFonts w:eastAsia="Arial Unicode MS"/>
        </w:rPr>
      </w:pPr>
    </w:p>
    <w:p w14:paraId="76260963" w14:textId="77777777" w:rsidR="009E6637" w:rsidRPr="00114F27" w:rsidRDefault="009E6637" w:rsidP="00E902F2">
      <w:pPr>
        <w:numPr>
          <w:ilvl w:val="0"/>
          <w:numId w:val="1"/>
        </w:numPr>
        <w:spacing w:line="360" w:lineRule="auto"/>
        <w:ind w:left="0" w:firstLine="0"/>
        <w:jc w:val="both"/>
        <w:rPr>
          <w:rFonts w:eastAsia="Arial Unicode MS"/>
        </w:rPr>
      </w:pPr>
      <w:r>
        <w:rPr>
          <w:rFonts w:eastAsia="Arial Unicode MS"/>
        </w:rPr>
        <w:t xml:space="preserve">Barniville J. made that finding based on the principles set out the authorities and caselaw that the learned Judge considered at </w:t>
      </w:r>
      <w:r w:rsidR="004F06ED">
        <w:rPr>
          <w:rFonts w:eastAsia="Arial Unicode MS"/>
        </w:rPr>
        <w:t xml:space="preserve">paras. </w:t>
      </w:r>
      <w:r>
        <w:rPr>
          <w:rFonts w:eastAsia="Arial Unicode MS"/>
        </w:rPr>
        <w:t xml:space="preserve">165 to 169 of his judgment. At </w:t>
      </w:r>
      <w:r w:rsidRPr="001F2FF9">
        <w:rPr>
          <w:rFonts w:eastAsia="Arial Unicode MS"/>
        </w:rPr>
        <w:t xml:space="preserve"> </w:t>
      </w:r>
      <w:r w:rsidR="004F06ED">
        <w:rPr>
          <w:rFonts w:eastAsia="Arial Unicode MS"/>
        </w:rPr>
        <w:t xml:space="preserve">para. </w:t>
      </w:r>
      <w:r w:rsidRPr="001F2FF9">
        <w:rPr>
          <w:rFonts w:eastAsia="Arial Unicode MS"/>
        </w:rPr>
        <w:t>16</w:t>
      </w:r>
      <w:r>
        <w:rPr>
          <w:rFonts w:eastAsia="Arial Unicode MS"/>
        </w:rPr>
        <w:t>6 h</w:t>
      </w:r>
      <w:r w:rsidRPr="00114F27">
        <w:rPr>
          <w:rFonts w:eastAsia="Arial Unicode MS"/>
        </w:rPr>
        <w:t xml:space="preserve">e approved the principle in </w:t>
      </w:r>
      <w:r w:rsidRPr="00114F27">
        <w:rPr>
          <w:rFonts w:eastAsia="Arial Unicode MS"/>
          <w:i/>
          <w:iCs/>
        </w:rPr>
        <w:t>KK v. Taaffe</w:t>
      </w:r>
      <w:r w:rsidRPr="00114F27">
        <w:rPr>
          <w:rFonts w:eastAsia="Arial Unicode MS"/>
        </w:rPr>
        <w:t xml:space="preserve"> [2009] IEHC 243 where:</w:t>
      </w:r>
    </w:p>
    <w:p w14:paraId="2C430B49" w14:textId="77777777" w:rsidR="009E6637" w:rsidRDefault="009E6637" w:rsidP="009E6637">
      <w:pPr>
        <w:spacing w:line="360" w:lineRule="auto"/>
        <w:jc w:val="both"/>
        <w:rPr>
          <w:rFonts w:eastAsia="Arial Unicode MS"/>
        </w:rPr>
      </w:pPr>
    </w:p>
    <w:p w14:paraId="2314ADC9" w14:textId="77777777" w:rsidR="009E6637" w:rsidRPr="00352EFD" w:rsidRDefault="009E6637" w:rsidP="00B04847">
      <w:pPr>
        <w:spacing w:line="360" w:lineRule="auto"/>
        <w:ind w:left="720"/>
        <w:jc w:val="both"/>
        <w:rPr>
          <w:rFonts w:eastAsia="Arial Unicode MS"/>
          <w:i/>
          <w:iCs/>
        </w:rPr>
      </w:pPr>
      <w:r w:rsidRPr="00352EFD">
        <w:rPr>
          <w:rFonts w:eastAsia="Arial Unicode MS"/>
          <w:i/>
          <w:iCs/>
        </w:rPr>
        <w:t>“The High Court (O’Neill J.) refused to quash the orders on the basis of these errors. The court held (at para. 4.14) that, although the first order did not have a recital paragraph such as that contained in the second order, the fact that the first order had a heading with the relevant legislative provision under which the order was being made, made the jurisdiction which the District Court was exercising “sufficiently clear”.”</w:t>
      </w:r>
    </w:p>
    <w:p w14:paraId="6B5BCFAF" w14:textId="77777777" w:rsidR="009E6637" w:rsidRDefault="009E6637" w:rsidP="009E6637">
      <w:pPr>
        <w:spacing w:line="360" w:lineRule="auto"/>
        <w:ind w:left="720"/>
        <w:jc w:val="both"/>
        <w:rPr>
          <w:rFonts w:eastAsia="Arial Unicode MS"/>
        </w:rPr>
      </w:pPr>
    </w:p>
    <w:p w14:paraId="3C3B5A58" w14:textId="77777777" w:rsidR="00352EFD" w:rsidRDefault="009E6637" w:rsidP="00B04847">
      <w:pPr>
        <w:numPr>
          <w:ilvl w:val="0"/>
          <w:numId w:val="1"/>
        </w:numPr>
        <w:spacing w:line="360" w:lineRule="auto"/>
        <w:ind w:left="0" w:firstLine="0"/>
        <w:jc w:val="both"/>
        <w:rPr>
          <w:rFonts w:eastAsia="Arial Unicode MS"/>
        </w:rPr>
      </w:pPr>
      <w:r>
        <w:rPr>
          <w:rFonts w:eastAsia="Arial Unicode MS"/>
        </w:rPr>
        <w:t xml:space="preserve">I do not accept that the </w:t>
      </w:r>
      <w:r w:rsidR="00F011F3">
        <w:rPr>
          <w:rFonts w:eastAsia="Arial Unicode MS"/>
        </w:rPr>
        <w:t>applicant</w:t>
      </w:r>
      <w:r>
        <w:rPr>
          <w:rFonts w:eastAsia="Arial Unicode MS"/>
        </w:rPr>
        <w:t xml:space="preserve"> was “</w:t>
      </w:r>
      <w:r w:rsidRPr="00F7033E">
        <w:rPr>
          <w:rFonts w:eastAsia="Arial Unicode MS"/>
          <w:i/>
          <w:iCs/>
        </w:rPr>
        <w:t>misled or prejudiced</w:t>
      </w:r>
      <w:r>
        <w:rPr>
          <w:rFonts w:eastAsia="Arial Unicode MS"/>
        </w:rPr>
        <w:t>”</w:t>
      </w:r>
      <w:r w:rsidRPr="0022069D">
        <w:rPr>
          <w:rFonts w:eastAsia="Arial Unicode MS"/>
        </w:rPr>
        <w:t xml:space="preserve"> </w:t>
      </w:r>
      <w:r>
        <w:rPr>
          <w:rFonts w:eastAsia="Arial Unicode MS"/>
        </w:rPr>
        <w:t xml:space="preserve">by the two obvious errors in the Decision. I am satisfied that it is </w:t>
      </w:r>
      <w:r w:rsidRPr="00FA29EF">
        <w:rPr>
          <w:rFonts w:eastAsia="Arial Unicode MS"/>
        </w:rPr>
        <w:t>“</w:t>
      </w:r>
      <w:r>
        <w:rPr>
          <w:rFonts w:eastAsia="Arial Unicode MS"/>
          <w:i/>
          <w:iCs/>
        </w:rPr>
        <w:t xml:space="preserve">sufficiently </w:t>
      </w:r>
      <w:r w:rsidRPr="00F7033E">
        <w:rPr>
          <w:rFonts w:eastAsia="Arial Unicode MS"/>
          <w:i/>
          <w:iCs/>
        </w:rPr>
        <w:t>clear</w:t>
      </w:r>
      <w:r w:rsidRPr="00FA29EF">
        <w:rPr>
          <w:rFonts w:eastAsia="Arial Unicode MS"/>
        </w:rPr>
        <w:t>”</w:t>
      </w:r>
      <w:r w:rsidRPr="00F7033E">
        <w:rPr>
          <w:rFonts w:eastAsia="Arial Unicode MS"/>
        </w:rPr>
        <w:t xml:space="preserve"> </w:t>
      </w:r>
      <w:r w:rsidRPr="00FA29EF">
        <w:rPr>
          <w:rFonts w:eastAsia="Arial Unicode MS"/>
        </w:rPr>
        <w:t xml:space="preserve">that the </w:t>
      </w:r>
      <w:r w:rsidR="00F011F3">
        <w:rPr>
          <w:rFonts w:eastAsia="Arial Unicode MS"/>
        </w:rPr>
        <w:t>respondent</w:t>
      </w:r>
      <w:r w:rsidRPr="00FA29EF">
        <w:rPr>
          <w:rFonts w:eastAsia="Arial Unicode MS"/>
        </w:rPr>
        <w:t xml:space="preserve"> </w:t>
      </w:r>
      <w:r w:rsidRPr="00F7033E">
        <w:rPr>
          <w:rFonts w:eastAsia="Arial Unicode MS"/>
        </w:rPr>
        <w:t xml:space="preserve">was deciding </w:t>
      </w:r>
      <w:r w:rsidRPr="00FA29EF">
        <w:rPr>
          <w:rFonts w:eastAsia="Arial Unicode MS"/>
        </w:rPr>
        <w:t>to refuse</w:t>
      </w:r>
      <w:r>
        <w:rPr>
          <w:rFonts w:eastAsia="Arial Unicode MS"/>
        </w:rPr>
        <w:t xml:space="preserve"> </w:t>
      </w:r>
      <w:r w:rsidRPr="00FA29EF">
        <w:rPr>
          <w:rFonts w:eastAsia="Arial Unicode MS"/>
        </w:rPr>
        <w:t xml:space="preserve">to extend the duration of the Planning Permission </w:t>
      </w:r>
      <w:r>
        <w:rPr>
          <w:rFonts w:eastAsia="Arial Unicode MS"/>
        </w:rPr>
        <w:t xml:space="preserve">the subject of the application </w:t>
      </w:r>
      <w:r w:rsidRPr="00FA29EF">
        <w:rPr>
          <w:rFonts w:eastAsia="Arial Unicode MS"/>
        </w:rPr>
        <w:t xml:space="preserve">(Register Reference F14A/0109) on the basis that the proposed development would contravene materially a development objective indicated in the </w:t>
      </w:r>
      <w:r w:rsidR="007B3ECD">
        <w:rPr>
          <w:rFonts w:eastAsia="Arial Unicode MS"/>
        </w:rPr>
        <w:t xml:space="preserve">2023 </w:t>
      </w:r>
      <w:r w:rsidRPr="00FA29EF">
        <w:rPr>
          <w:rFonts w:eastAsia="Arial Unicode MS"/>
        </w:rPr>
        <w:t>Development Plan.</w:t>
      </w:r>
      <w:r>
        <w:rPr>
          <w:rFonts w:eastAsia="Arial Unicode MS"/>
        </w:rPr>
        <w:t xml:space="preserve">  </w:t>
      </w:r>
    </w:p>
    <w:p w14:paraId="4C05BFDA" w14:textId="77777777" w:rsidR="00352EFD" w:rsidRDefault="00352EFD" w:rsidP="00B04847">
      <w:pPr>
        <w:spacing w:line="360" w:lineRule="auto"/>
        <w:jc w:val="both"/>
        <w:rPr>
          <w:rFonts w:eastAsia="Arial Unicode MS"/>
        </w:rPr>
      </w:pPr>
    </w:p>
    <w:p w14:paraId="139DFEE4" w14:textId="77777777" w:rsidR="00352EFD" w:rsidRDefault="009E6637" w:rsidP="00B04847">
      <w:pPr>
        <w:numPr>
          <w:ilvl w:val="0"/>
          <w:numId w:val="1"/>
        </w:numPr>
        <w:spacing w:line="360" w:lineRule="auto"/>
        <w:ind w:left="0" w:firstLine="0"/>
        <w:jc w:val="both"/>
        <w:rPr>
          <w:rFonts w:eastAsia="Arial Unicode MS"/>
        </w:rPr>
      </w:pPr>
      <w:r>
        <w:rPr>
          <w:rFonts w:eastAsia="Arial Unicode MS"/>
        </w:rPr>
        <w:t xml:space="preserve">While I note that the </w:t>
      </w:r>
      <w:r w:rsidR="00F011F3">
        <w:rPr>
          <w:rFonts w:eastAsia="Arial Unicode MS"/>
        </w:rPr>
        <w:t>respondent</w:t>
      </w:r>
      <w:r>
        <w:rPr>
          <w:rFonts w:eastAsia="Arial Unicode MS"/>
        </w:rPr>
        <w:t xml:space="preserve"> has no power to amend errors in the record of its decision making with the result that the only way the record can be corrected is by way of judicial review, I am not satisfied that the errors in question are such as to mislead or undermine the substance </w:t>
      </w:r>
      <w:r w:rsidR="004F06ED">
        <w:rPr>
          <w:rFonts w:eastAsia="Arial Unicode MS"/>
        </w:rPr>
        <w:t xml:space="preserve">of </w:t>
      </w:r>
      <w:r>
        <w:rPr>
          <w:rFonts w:eastAsia="Arial Unicode MS"/>
        </w:rPr>
        <w:t xml:space="preserve">the decision when regard is had to the full record of the </w:t>
      </w:r>
      <w:r w:rsidR="00352EFD">
        <w:rPr>
          <w:rFonts w:eastAsia="Arial Unicode MS"/>
        </w:rPr>
        <w:t>D</w:t>
      </w:r>
      <w:r>
        <w:rPr>
          <w:rFonts w:eastAsia="Arial Unicode MS"/>
        </w:rPr>
        <w:t xml:space="preserve">ecision from which the meaning and effect of the order is clear.  </w:t>
      </w:r>
      <w:r w:rsidR="00555BD8">
        <w:rPr>
          <w:rFonts w:eastAsia="Arial Unicode MS"/>
        </w:rPr>
        <w:t xml:space="preserve">These errors do not go to the jurisdiction of the </w:t>
      </w:r>
      <w:r w:rsidR="00F011F3">
        <w:rPr>
          <w:rFonts w:eastAsia="Arial Unicode MS"/>
        </w:rPr>
        <w:t>respondent</w:t>
      </w:r>
      <w:r w:rsidR="00555BD8">
        <w:rPr>
          <w:rFonts w:eastAsia="Arial Unicode MS"/>
        </w:rPr>
        <w:t xml:space="preserve"> because it is clear from the record as a whole that the </w:t>
      </w:r>
      <w:r w:rsidR="00F011F3">
        <w:rPr>
          <w:rFonts w:eastAsia="Arial Unicode MS"/>
        </w:rPr>
        <w:t>respondent</w:t>
      </w:r>
      <w:r w:rsidR="00555BD8">
        <w:rPr>
          <w:rFonts w:eastAsia="Arial Unicode MS"/>
        </w:rPr>
        <w:t xml:space="preserve"> understood which planning permission and which development plan </w:t>
      </w:r>
      <w:r w:rsidR="003A5F05">
        <w:rPr>
          <w:rFonts w:eastAsia="Arial Unicode MS"/>
        </w:rPr>
        <w:t xml:space="preserve">were referred to, as did the </w:t>
      </w:r>
      <w:r w:rsidR="00F011F3">
        <w:rPr>
          <w:rFonts w:eastAsia="Arial Unicode MS"/>
        </w:rPr>
        <w:t>applicant</w:t>
      </w:r>
      <w:r w:rsidR="00555BD8">
        <w:rPr>
          <w:rFonts w:eastAsia="Arial Unicode MS"/>
        </w:rPr>
        <w:t xml:space="preserve">.  </w:t>
      </w:r>
      <w:r w:rsidR="007B3ECD">
        <w:rPr>
          <w:rFonts w:eastAsia="Arial Unicode MS"/>
        </w:rPr>
        <w:t xml:space="preserve">There is no evidence that the applicant was misled by the mistakes which appeared in the Decision.  </w:t>
      </w:r>
      <w:r>
        <w:rPr>
          <w:rFonts w:eastAsia="Arial Unicode MS"/>
        </w:rPr>
        <w:t xml:space="preserve">On their own, they would not operate to persuade this Court to exercise its discretion by way of judicial review. </w:t>
      </w:r>
    </w:p>
    <w:p w14:paraId="2F482B80" w14:textId="77777777" w:rsidR="00352EFD" w:rsidRDefault="00352EFD" w:rsidP="00B04847">
      <w:pPr>
        <w:pStyle w:val="ListParagraph"/>
        <w:ind w:left="0"/>
        <w:rPr>
          <w:rFonts w:eastAsia="Arial Unicode MS"/>
        </w:rPr>
      </w:pPr>
    </w:p>
    <w:p w14:paraId="7EB98997" w14:textId="77777777" w:rsidR="005C4ADC" w:rsidRPr="00E902F2" w:rsidRDefault="009E6637" w:rsidP="00E902F2">
      <w:pPr>
        <w:numPr>
          <w:ilvl w:val="0"/>
          <w:numId w:val="1"/>
        </w:numPr>
        <w:spacing w:line="360" w:lineRule="auto"/>
        <w:ind w:left="0" w:firstLine="0"/>
        <w:jc w:val="both"/>
        <w:rPr>
          <w:rFonts w:ascii="Roboto" w:hAnsi="Roboto"/>
          <w:color w:val="333333"/>
          <w:sz w:val="21"/>
          <w:szCs w:val="21"/>
          <w:shd w:val="clear" w:color="auto" w:fill="FFFFFF"/>
        </w:rPr>
      </w:pPr>
      <w:r w:rsidRPr="00352EFD">
        <w:rPr>
          <w:rFonts w:eastAsia="Arial Unicode MS"/>
        </w:rPr>
        <w:t xml:space="preserve">Insofar as the </w:t>
      </w:r>
      <w:r w:rsidR="00F011F3">
        <w:rPr>
          <w:rFonts w:eastAsia="Arial Unicode MS"/>
        </w:rPr>
        <w:t>applicant</w:t>
      </w:r>
      <w:r w:rsidRPr="00352EFD">
        <w:rPr>
          <w:rFonts w:eastAsia="Arial Unicode MS"/>
        </w:rPr>
        <w:t xml:space="preserve"> contended during the hearing that there was a third error on the face of the record, namely the statement that SLO 469 no longer applies to the subject lands when it is the </w:t>
      </w:r>
      <w:r w:rsidR="00F011F3">
        <w:rPr>
          <w:rFonts w:eastAsia="Arial Unicode MS"/>
        </w:rPr>
        <w:t>applicant</w:t>
      </w:r>
      <w:r w:rsidRPr="00352EFD">
        <w:rPr>
          <w:rFonts w:eastAsia="Arial Unicode MS"/>
        </w:rPr>
        <w:t>’s case that it does by reason of the extension of the L</w:t>
      </w:r>
      <w:r w:rsidR="006C1520" w:rsidRPr="00352EFD">
        <w:rPr>
          <w:rFonts w:eastAsia="Arial Unicode MS"/>
        </w:rPr>
        <w:t>AP</w:t>
      </w:r>
      <w:r w:rsidRPr="00352EFD">
        <w:rPr>
          <w:rFonts w:eastAsia="Arial Unicode MS"/>
        </w:rPr>
        <w:t xml:space="preserve"> without amendment, it seems to me that this complaint is tied up with the core issue of law which </w:t>
      </w:r>
      <w:r w:rsidR="00352EFD">
        <w:rPr>
          <w:rFonts w:eastAsia="Arial Unicode MS"/>
        </w:rPr>
        <w:t xml:space="preserve">I have been </w:t>
      </w:r>
      <w:r w:rsidRPr="00352EFD">
        <w:rPr>
          <w:rFonts w:eastAsia="Arial Unicode MS"/>
        </w:rPr>
        <w:t xml:space="preserve">required to decide in this judicial review in deciding whether there has been a proper application of </w:t>
      </w:r>
      <w:r w:rsidR="004F06ED">
        <w:rPr>
          <w:rFonts w:eastAsia="Arial Unicode MS"/>
        </w:rPr>
        <w:t>s.</w:t>
      </w:r>
      <w:r w:rsidR="004F06ED" w:rsidRPr="00352EFD">
        <w:rPr>
          <w:rFonts w:eastAsia="Arial Unicode MS"/>
        </w:rPr>
        <w:t xml:space="preserve"> </w:t>
      </w:r>
      <w:r w:rsidRPr="00352EFD">
        <w:rPr>
          <w:rFonts w:eastAsia="Arial Unicode MS"/>
        </w:rPr>
        <w:t>42 of the Act</w:t>
      </w:r>
      <w:r w:rsidR="005C4ADC">
        <w:rPr>
          <w:rFonts w:eastAsia="Arial Unicode MS"/>
        </w:rPr>
        <w:t xml:space="preserve"> and does not require to be separately addressed here</w:t>
      </w:r>
      <w:r w:rsidRPr="00352EFD">
        <w:rPr>
          <w:rFonts w:eastAsia="Arial Unicode MS"/>
        </w:rPr>
        <w:t>.</w:t>
      </w:r>
      <w:r w:rsidR="006C1520" w:rsidRPr="00352EFD">
        <w:rPr>
          <w:rFonts w:eastAsia="Arial Unicode MS"/>
        </w:rPr>
        <w:t xml:space="preserve">  </w:t>
      </w:r>
    </w:p>
    <w:p w14:paraId="2EE0599F" w14:textId="77777777" w:rsidR="005C4ADC" w:rsidRDefault="005C4ADC" w:rsidP="005C4ADC">
      <w:pPr>
        <w:spacing w:line="360" w:lineRule="auto"/>
        <w:ind w:left="501"/>
        <w:jc w:val="both"/>
        <w:rPr>
          <w:rFonts w:ascii="Roboto" w:hAnsi="Roboto"/>
          <w:color w:val="333333"/>
          <w:sz w:val="21"/>
          <w:szCs w:val="21"/>
          <w:shd w:val="clear" w:color="auto" w:fill="FFFFFF"/>
        </w:rPr>
      </w:pPr>
    </w:p>
    <w:p w14:paraId="6FDAF4A9" w14:textId="77777777" w:rsidR="0057119A" w:rsidRPr="002C7B0B" w:rsidRDefault="0057119A" w:rsidP="0005266F">
      <w:pPr>
        <w:spacing w:line="360" w:lineRule="auto"/>
        <w:rPr>
          <w:rFonts w:eastAsia="Arial Unicode MS"/>
          <w:b/>
          <w:bCs/>
          <w:caps/>
          <w:lang w:val="en-US"/>
        </w:rPr>
      </w:pPr>
      <w:r w:rsidRPr="002C7B0B">
        <w:rPr>
          <w:rFonts w:eastAsia="Arial Unicode MS"/>
          <w:b/>
          <w:bCs/>
          <w:caps/>
          <w:lang w:val="en-US"/>
        </w:rPr>
        <w:t>Conclusions and orders sought</w:t>
      </w:r>
    </w:p>
    <w:p w14:paraId="3DE8F7AC" w14:textId="77777777" w:rsidR="005C4ADC" w:rsidRDefault="005C4ADC" w:rsidP="00E902F2">
      <w:pPr>
        <w:spacing w:line="360" w:lineRule="auto"/>
        <w:jc w:val="both"/>
        <w:rPr>
          <w:rFonts w:eastAsia="Arial Unicode MS"/>
        </w:rPr>
      </w:pPr>
    </w:p>
    <w:p w14:paraId="2D725A20" w14:textId="77777777" w:rsidR="00876149" w:rsidRPr="00CE6F82" w:rsidRDefault="005C4ADC" w:rsidP="00B04847">
      <w:pPr>
        <w:numPr>
          <w:ilvl w:val="0"/>
          <w:numId w:val="1"/>
        </w:numPr>
        <w:spacing w:line="360" w:lineRule="auto"/>
        <w:ind w:left="0" w:firstLine="0"/>
        <w:jc w:val="both"/>
        <w:rPr>
          <w:rFonts w:eastAsia="Arial Unicode MS"/>
          <w:b/>
          <w:bCs/>
        </w:rPr>
      </w:pPr>
      <w:r>
        <w:rPr>
          <w:rFonts w:eastAsia="Arial Unicode MS"/>
        </w:rPr>
        <w:t>I</w:t>
      </w:r>
      <w:r w:rsidR="00CE6F82">
        <w:rPr>
          <w:rFonts w:eastAsia="Arial Unicode MS"/>
        </w:rPr>
        <w:t>n view of my findings above, I</w:t>
      </w:r>
      <w:r>
        <w:rPr>
          <w:rFonts w:eastAsia="Arial Unicode MS"/>
        </w:rPr>
        <w:t xml:space="preserve"> propose to grant an order of </w:t>
      </w:r>
      <w:r w:rsidRPr="00E902F2">
        <w:rPr>
          <w:rFonts w:eastAsia="Arial Unicode MS"/>
          <w:i/>
          <w:iCs/>
        </w:rPr>
        <w:t>certiorari</w:t>
      </w:r>
      <w:r>
        <w:rPr>
          <w:rFonts w:eastAsia="Arial Unicode MS"/>
        </w:rPr>
        <w:t xml:space="preserve"> of the Decision of the </w:t>
      </w:r>
      <w:r w:rsidR="00F011F3">
        <w:rPr>
          <w:rFonts w:eastAsia="Arial Unicode MS"/>
        </w:rPr>
        <w:t>respondent</w:t>
      </w:r>
      <w:r>
        <w:rPr>
          <w:rFonts w:eastAsia="Arial Unicode MS"/>
        </w:rPr>
        <w:t xml:space="preserve"> made on the 20</w:t>
      </w:r>
      <w:r w:rsidRPr="009A1D16">
        <w:rPr>
          <w:rFonts w:eastAsia="Arial Unicode MS"/>
          <w:vertAlign w:val="superscript"/>
        </w:rPr>
        <w:t>th</w:t>
      </w:r>
      <w:r>
        <w:rPr>
          <w:rFonts w:eastAsia="Arial Unicode MS"/>
        </w:rPr>
        <w:t xml:space="preserve"> of July 2020 (Decision Order No. PF/0930/20) and a</w:t>
      </w:r>
      <w:r w:rsidRPr="005C4ADC">
        <w:rPr>
          <w:rFonts w:eastAsia="Arial Unicode MS"/>
        </w:rPr>
        <w:t xml:space="preserve">n order remitting all the application made by the </w:t>
      </w:r>
      <w:r w:rsidR="00F011F3">
        <w:rPr>
          <w:rFonts w:eastAsia="Arial Unicode MS"/>
        </w:rPr>
        <w:t>applicant</w:t>
      </w:r>
      <w:r w:rsidRPr="005C4ADC">
        <w:rPr>
          <w:rFonts w:eastAsia="Arial Unicode MS"/>
        </w:rPr>
        <w:t xml:space="preserve"> to the </w:t>
      </w:r>
      <w:r w:rsidR="00F011F3">
        <w:rPr>
          <w:rFonts w:eastAsia="Arial Unicode MS"/>
        </w:rPr>
        <w:t>respondent</w:t>
      </w:r>
      <w:r w:rsidRPr="005C4ADC">
        <w:rPr>
          <w:rFonts w:eastAsia="Arial Unicode MS"/>
        </w:rPr>
        <w:t xml:space="preserve"> on </w:t>
      </w:r>
      <w:r w:rsidR="004F06ED">
        <w:rPr>
          <w:rFonts w:eastAsia="Arial Unicode MS"/>
        </w:rPr>
        <w:t xml:space="preserve">the </w:t>
      </w:r>
      <w:r w:rsidRPr="005C4ADC">
        <w:rPr>
          <w:rFonts w:eastAsia="Arial Unicode MS"/>
        </w:rPr>
        <w:t>29</w:t>
      </w:r>
      <w:r w:rsidRPr="005C4ADC">
        <w:rPr>
          <w:rFonts w:eastAsia="Arial Unicode MS"/>
          <w:vertAlign w:val="superscript"/>
        </w:rPr>
        <w:t>th</w:t>
      </w:r>
      <w:r w:rsidRPr="005C4ADC">
        <w:rPr>
          <w:rFonts w:eastAsia="Arial Unicode MS"/>
        </w:rPr>
        <w:t xml:space="preserve"> of May 2020 pursuant to </w:t>
      </w:r>
      <w:r w:rsidR="004F06ED">
        <w:rPr>
          <w:rFonts w:eastAsia="Arial Unicode MS"/>
        </w:rPr>
        <w:t>s.</w:t>
      </w:r>
      <w:r w:rsidR="004F06ED" w:rsidRPr="005C4ADC">
        <w:rPr>
          <w:rFonts w:eastAsia="Arial Unicode MS"/>
        </w:rPr>
        <w:t xml:space="preserve"> </w:t>
      </w:r>
      <w:r w:rsidRPr="005C4ADC">
        <w:rPr>
          <w:rFonts w:eastAsia="Arial Unicode MS"/>
        </w:rPr>
        <w:t xml:space="preserve">42(1)(a)(ii) of the </w:t>
      </w:r>
      <w:r w:rsidR="00551F3C">
        <w:rPr>
          <w:rFonts w:eastAsia="Arial Unicode MS"/>
        </w:rPr>
        <w:t xml:space="preserve">PDA </w:t>
      </w:r>
      <w:r>
        <w:rPr>
          <w:rFonts w:eastAsia="Arial Unicode MS"/>
        </w:rPr>
        <w:t>to be determined</w:t>
      </w:r>
      <w:r w:rsidRPr="005C4ADC">
        <w:rPr>
          <w:rFonts w:eastAsia="Arial Unicode MS"/>
        </w:rPr>
        <w:t xml:space="preserve"> in accordance with law</w:t>
      </w:r>
      <w:r w:rsidR="00CE6F82">
        <w:rPr>
          <w:rFonts w:eastAsia="Arial Unicode MS"/>
        </w:rPr>
        <w:t>.</w:t>
      </w:r>
    </w:p>
    <w:p w14:paraId="16F852E5" w14:textId="77777777" w:rsidR="00CE6F82" w:rsidRPr="00CE6F82" w:rsidRDefault="00CE6F82" w:rsidP="00B04847">
      <w:pPr>
        <w:spacing w:line="360" w:lineRule="auto"/>
        <w:jc w:val="both"/>
        <w:rPr>
          <w:rFonts w:eastAsia="Arial Unicode MS"/>
          <w:b/>
          <w:bCs/>
        </w:rPr>
      </w:pPr>
    </w:p>
    <w:p w14:paraId="4F90E9CA" w14:textId="77777777" w:rsidR="001529F7" w:rsidRPr="003A5F05" w:rsidRDefault="00CE6F82" w:rsidP="00B04847">
      <w:pPr>
        <w:numPr>
          <w:ilvl w:val="0"/>
          <w:numId w:val="1"/>
        </w:numPr>
        <w:spacing w:line="360" w:lineRule="auto"/>
        <w:ind w:left="0" w:firstLine="0"/>
        <w:jc w:val="both"/>
        <w:rPr>
          <w:rFonts w:eastAsia="Arial Unicode MS"/>
        </w:rPr>
      </w:pPr>
      <w:r w:rsidRPr="003A5F05">
        <w:rPr>
          <w:rFonts w:eastAsia="Arial Unicode MS"/>
        </w:rPr>
        <w:t xml:space="preserve">I will hear the parties in relation to the form of the orders and any consequential </w:t>
      </w:r>
      <w:r w:rsidR="0094061A">
        <w:rPr>
          <w:rFonts w:eastAsia="Arial Unicode MS"/>
        </w:rPr>
        <w:t>matters</w:t>
      </w:r>
      <w:r w:rsidRPr="003A5F05">
        <w:rPr>
          <w:rFonts w:eastAsia="Arial Unicode MS"/>
        </w:rPr>
        <w:t>.</w:t>
      </w:r>
      <w:r w:rsidR="003A5F05" w:rsidRPr="003A5F05">
        <w:rPr>
          <w:rFonts w:eastAsia="Arial Unicode MS"/>
        </w:rPr>
        <w:t xml:space="preserve">  </w:t>
      </w:r>
    </w:p>
    <w:sectPr w:rsidR="001529F7" w:rsidRPr="003A5F05" w:rsidSect="00BF25D3">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7972" w14:textId="77777777" w:rsidR="00EF33B8" w:rsidRDefault="00EF33B8">
      <w:r>
        <w:separator/>
      </w:r>
    </w:p>
  </w:endnote>
  <w:endnote w:type="continuationSeparator" w:id="0">
    <w:p w14:paraId="6D426C98" w14:textId="77777777" w:rsidR="00EF33B8" w:rsidRDefault="00EF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EA59" w14:textId="77777777" w:rsidR="00357931" w:rsidRDefault="00357931" w:rsidP="00B867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B1C11" w14:textId="77777777" w:rsidR="00357931" w:rsidRDefault="00357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67AD" w14:textId="77777777" w:rsidR="00357931" w:rsidRDefault="00357931" w:rsidP="00B867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87B2AA4" w14:textId="77777777" w:rsidR="00357931" w:rsidRDefault="00357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D8FB" w14:textId="77777777" w:rsidR="00EF33B8" w:rsidRDefault="00EF33B8">
      <w:r>
        <w:separator/>
      </w:r>
    </w:p>
  </w:footnote>
  <w:footnote w:type="continuationSeparator" w:id="0">
    <w:p w14:paraId="0A514658" w14:textId="77777777" w:rsidR="00EF33B8" w:rsidRDefault="00EF3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CCA"/>
    <w:multiLevelType w:val="hybridMultilevel"/>
    <w:tmpl w:val="5A5C02AE"/>
    <w:lvl w:ilvl="0" w:tplc="FD983598">
      <w:start w:val="1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D29C9"/>
    <w:multiLevelType w:val="hybridMultilevel"/>
    <w:tmpl w:val="FF7E2448"/>
    <w:lvl w:ilvl="0" w:tplc="6E589138">
      <w:start w:val="1"/>
      <w:numFmt w:val="decimal"/>
      <w:lvlText w:val="%1."/>
      <w:lvlJc w:val="left"/>
      <w:pPr>
        <w:tabs>
          <w:tab w:val="num" w:pos="360"/>
        </w:tabs>
        <w:ind w:left="360" w:hanging="360"/>
      </w:pPr>
      <w:rPr>
        <w:rFonts w:cs="Times New Roman" w:hint="default"/>
        <w:b w:val="0"/>
        <w:color w:val="auto"/>
      </w:rPr>
    </w:lvl>
    <w:lvl w:ilvl="1" w:tplc="04090017">
      <w:start w:val="1"/>
      <w:numFmt w:val="lowerLetter"/>
      <w:lvlText w:val="%2)"/>
      <w:lvlJc w:val="left"/>
      <w:pPr>
        <w:ind w:left="1080" w:hanging="360"/>
      </w:pPr>
      <w:rPr>
        <w:b w:val="0"/>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7341523"/>
    <w:multiLevelType w:val="hybridMultilevel"/>
    <w:tmpl w:val="46BCE700"/>
    <w:lvl w:ilvl="0" w:tplc="1F8ED45C">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740410"/>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0B7922"/>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0B22B1"/>
    <w:multiLevelType w:val="hybridMultilevel"/>
    <w:tmpl w:val="1F66E0A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6281EB6"/>
    <w:multiLevelType w:val="hybridMultilevel"/>
    <w:tmpl w:val="1F66E0A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F0C4054"/>
    <w:multiLevelType w:val="hybridMultilevel"/>
    <w:tmpl w:val="9BC4171A"/>
    <w:lvl w:ilvl="0" w:tplc="FD983598">
      <w:start w:val="11"/>
      <w:numFmt w:val="decimal"/>
      <w:lvlText w:val="%1"/>
      <w:lvlJc w:val="left"/>
      <w:pPr>
        <w:ind w:left="720" w:hanging="360"/>
      </w:pPr>
      <w:rPr>
        <w:rFonts w:hint="default"/>
        <w:b/>
      </w:rPr>
    </w:lvl>
    <w:lvl w:ilvl="1" w:tplc="18090017">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160210D"/>
    <w:multiLevelType w:val="hybridMultilevel"/>
    <w:tmpl w:val="5A749C28"/>
    <w:lvl w:ilvl="0" w:tplc="18090017">
      <w:start w:val="1"/>
      <w:numFmt w:val="lowerLetter"/>
      <w:lvlText w:val="%1)"/>
      <w:lvlJc w:val="left"/>
      <w:pPr>
        <w:ind w:left="1080" w:hanging="360"/>
      </w:pPr>
      <w:rPr>
        <w:rFonts w:hint="default"/>
        <w:b w:val="0"/>
        <w:i w:val="0"/>
        <w:iCs w:val="0"/>
      </w:rPr>
    </w:lvl>
    <w:lvl w:ilvl="1" w:tplc="0809001B">
      <w:start w:val="1"/>
      <w:numFmt w:val="lowerRoman"/>
      <w:lvlText w:val="%2."/>
      <w:lvlJc w:val="right"/>
      <w:pPr>
        <w:ind w:left="2019" w:hanging="360"/>
      </w:pPr>
      <w:rPr>
        <w:rFonts w:hint="default"/>
      </w:rPr>
    </w:lvl>
    <w:lvl w:ilvl="2" w:tplc="0409001B">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9" w15:restartNumberingAfterBreak="0">
    <w:nsid w:val="246744F0"/>
    <w:multiLevelType w:val="hybridMultilevel"/>
    <w:tmpl w:val="CD1E7BD6"/>
    <w:lvl w:ilvl="0" w:tplc="29643F68">
      <w:start w:val="42"/>
      <w:numFmt w:val="bullet"/>
      <w:lvlText w:val="-"/>
      <w:lvlJc w:val="left"/>
      <w:pPr>
        <w:ind w:left="720" w:hanging="360"/>
      </w:pPr>
      <w:rPr>
        <w:rFonts w:ascii="Times New Roman" w:eastAsia="Arial Unicode MS"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E10EA7"/>
    <w:multiLevelType w:val="hybridMultilevel"/>
    <w:tmpl w:val="F88CBAAA"/>
    <w:lvl w:ilvl="0" w:tplc="FDDEC7F8">
      <w:start w:val="1"/>
      <w:numFmt w:val="decimal"/>
      <w:lvlText w:val="%1."/>
      <w:lvlJc w:val="left"/>
      <w:pPr>
        <w:ind w:left="501" w:hanging="360"/>
      </w:pPr>
      <w:rPr>
        <w:b w:val="0"/>
        <w:i w:val="0"/>
        <w:iCs w:val="0"/>
      </w:rPr>
    </w:lvl>
    <w:lvl w:ilvl="1" w:tplc="08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503B1"/>
    <w:multiLevelType w:val="hybridMultilevel"/>
    <w:tmpl w:val="5A5C02AE"/>
    <w:lvl w:ilvl="0" w:tplc="FD983598">
      <w:start w:val="1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D293FC1"/>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0F7ADF"/>
    <w:multiLevelType w:val="multilevel"/>
    <w:tmpl w:val="0B228C10"/>
    <w:lvl w:ilvl="0">
      <w:start w:val="1"/>
      <w:numFmt w:val="decimal"/>
      <w:lvlText w:val="%1."/>
      <w:lvlJc w:val="left"/>
      <w:pPr>
        <w:ind w:left="1068" w:hanging="360"/>
      </w:pPr>
      <w:rPr>
        <w:rFonts w:hint="default"/>
        <w:b w:val="0"/>
        <w:bCs w:val="0"/>
        <w:i w:val="0"/>
        <w:iCs w:val="0"/>
      </w:rPr>
    </w:lvl>
    <w:lvl w:ilvl="1">
      <w:start w:val="1"/>
      <w:numFmt w:val="decimal"/>
      <w:isLgl/>
      <w:lvlText w:val="%1.%2."/>
      <w:lvlJc w:val="left"/>
      <w:pPr>
        <w:ind w:left="1123" w:hanging="48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63" w:hanging="1800"/>
      </w:pPr>
      <w:rPr>
        <w:rFonts w:hint="default"/>
      </w:rPr>
    </w:lvl>
  </w:abstractNum>
  <w:abstractNum w:abstractNumId="14" w15:restartNumberingAfterBreak="0">
    <w:nsid w:val="34764999"/>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A12D53"/>
    <w:multiLevelType w:val="hybridMultilevel"/>
    <w:tmpl w:val="137493FE"/>
    <w:lvl w:ilvl="0" w:tplc="67A2168A">
      <w:start w:val="1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0592D98"/>
    <w:multiLevelType w:val="hybridMultilevel"/>
    <w:tmpl w:val="5A5C02AE"/>
    <w:lvl w:ilvl="0" w:tplc="FD983598">
      <w:start w:val="1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2EF4F79"/>
    <w:multiLevelType w:val="hybridMultilevel"/>
    <w:tmpl w:val="F88CBAAA"/>
    <w:lvl w:ilvl="0" w:tplc="FDDEC7F8">
      <w:start w:val="1"/>
      <w:numFmt w:val="decimal"/>
      <w:lvlText w:val="%1."/>
      <w:lvlJc w:val="left"/>
      <w:pPr>
        <w:ind w:left="501" w:hanging="360"/>
      </w:pPr>
      <w:rPr>
        <w:b w:val="0"/>
        <w:i w:val="0"/>
        <w:iCs w:val="0"/>
      </w:rPr>
    </w:lvl>
    <w:lvl w:ilvl="1" w:tplc="08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462E4"/>
    <w:multiLevelType w:val="hybridMultilevel"/>
    <w:tmpl w:val="291C8072"/>
    <w:lvl w:ilvl="0" w:tplc="18090001">
      <w:start w:val="1"/>
      <w:numFmt w:val="bullet"/>
      <w:lvlText w:val=""/>
      <w:lvlJc w:val="left"/>
      <w:pPr>
        <w:ind w:left="1221" w:hanging="360"/>
      </w:pPr>
      <w:rPr>
        <w:rFonts w:ascii="Symbol" w:hAnsi="Symbol"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9" w15:restartNumberingAfterBreak="0">
    <w:nsid w:val="605A31A3"/>
    <w:multiLevelType w:val="multilevel"/>
    <w:tmpl w:val="0A940E88"/>
    <w:styleLink w:val="CurrentList2"/>
    <w:lvl w:ilvl="0">
      <w:start w:val="1"/>
      <w:numFmt w:val="decimal"/>
      <w:lvlText w:val="%1."/>
      <w:lvlJc w:val="left"/>
      <w:pPr>
        <w:ind w:left="720" w:hanging="360"/>
      </w:pPr>
      <w:rPr>
        <w:b w:val="0"/>
        <w:i w:val="0"/>
        <w:iCs w:val="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0BA0F7E"/>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7D452D"/>
    <w:multiLevelType w:val="hybridMultilevel"/>
    <w:tmpl w:val="839698DA"/>
    <w:lvl w:ilvl="0" w:tplc="FFFFFFFF">
      <w:start w:val="1"/>
      <w:numFmt w:val="decimal"/>
      <w:lvlText w:val="%1."/>
      <w:lvlJc w:val="left"/>
      <w:pPr>
        <w:ind w:left="501" w:hanging="360"/>
      </w:pPr>
      <w:rPr>
        <w:b w:val="0"/>
        <w:i w:val="0"/>
        <w:iCs w:val="0"/>
      </w:rPr>
    </w:lvl>
    <w:lvl w:ilvl="1" w:tplc="FFFFFFFF">
      <w:start w:val="1"/>
      <w:numFmt w:val="lowerRoman"/>
      <w:lvlText w:val="%2."/>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6E0CC5"/>
    <w:multiLevelType w:val="multilevel"/>
    <w:tmpl w:val="C894488A"/>
    <w:styleLink w:val="CurrentList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241AF4"/>
    <w:multiLevelType w:val="hybridMultilevel"/>
    <w:tmpl w:val="47A28E48"/>
    <w:lvl w:ilvl="0" w:tplc="CA8881D4">
      <w:start w:val="1"/>
      <w:numFmt w:val="decimal"/>
      <w:lvlText w:val="%1."/>
      <w:lvlJc w:val="left"/>
      <w:pPr>
        <w:ind w:left="927" w:hanging="360"/>
      </w:pPr>
      <w:rPr>
        <w:rFonts w:ascii="Times New Roman" w:hAnsi="Times New Roman" w:cs="Times New Roman" w:hint="default"/>
        <w:b/>
        <w:bCs/>
        <w:i w:val="0"/>
        <w:iCs w:val="0"/>
        <w:color w:val="auto"/>
        <w:sz w:val="24"/>
        <w:szCs w:val="24"/>
      </w:rPr>
    </w:lvl>
    <w:lvl w:ilvl="1" w:tplc="08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11BB4"/>
    <w:multiLevelType w:val="hybridMultilevel"/>
    <w:tmpl w:val="1F66E0A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C104450"/>
    <w:multiLevelType w:val="hybridMultilevel"/>
    <w:tmpl w:val="EF309304"/>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6" w15:restartNumberingAfterBreak="0">
    <w:nsid w:val="7FE83D7A"/>
    <w:multiLevelType w:val="hybridMultilevel"/>
    <w:tmpl w:val="74E0117C"/>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3"/>
  </w:num>
  <w:num w:numId="2">
    <w:abstractNumId w:val="2"/>
  </w:num>
  <w:num w:numId="3">
    <w:abstractNumId w:val="22"/>
  </w:num>
  <w:num w:numId="4">
    <w:abstractNumId w:val="19"/>
  </w:num>
  <w:num w:numId="5">
    <w:abstractNumId w:val="1"/>
  </w:num>
  <w:num w:numId="6">
    <w:abstractNumId w:val="9"/>
  </w:num>
  <w:num w:numId="7">
    <w:abstractNumId w:val="10"/>
  </w:num>
  <w:num w:numId="8">
    <w:abstractNumId w:val="17"/>
  </w:num>
  <w:num w:numId="9">
    <w:abstractNumId w:val="26"/>
  </w:num>
  <w:num w:numId="10">
    <w:abstractNumId w:val="5"/>
  </w:num>
  <w:num w:numId="11">
    <w:abstractNumId w:val="6"/>
  </w:num>
  <w:num w:numId="12">
    <w:abstractNumId w:val="24"/>
  </w:num>
  <w:num w:numId="13">
    <w:abstractNumId w:val="7"/>
  </w:num>
  <w:num w:numId="14">
    <w:abstractNumId w:val="16"/>
  </w:num>
  <w:num w:numId="15">
    <w:abstractNumId w:val="13"/>
  </w:num>
  <w:num w:numId="16">
    <w:abstractNumId w:val="0"/>
  </w:num>
  <w:num w:numId="17">
    <w:abstractNumId w:val="15"/>
  </w:num>
  <w:num w:numId="18">
    <w:abstractNumId w:val="8"/>
  </w:num>
  <w:num w:numId="19">
    <w:abstractNumId w:val="11"/>
  </w:num>
  <w:num w:numId="20">
    <w:abstractNumId w:val="18"/>
  </w:num>
  <w:num w:numId="21">
    <w:abstractNumId w:val="20"/>
  </w:num>
  <w:num w:numId="22">
    <w:abstractNumId w:val="12"/>
  </w:num>
  <w:num w:numId="23">
    <w:abstractNumId w:val="21"/>
  </w:num>
  <w:num w:numId="24">
    <w:abstractNumId w:val="14"/>
  </w:num>
  <w:num w:numId="25">
    <w:abstractNumId w:val="3"/>
  </w:num>
  <w:num w:numId="26">
    <w:abstractNumId w:val="4"/>
  </w:num>
  <w:num w:numId="2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E8A0AF17-615A-451F-8B77-6124942C61FA}"/>
    <w:docVar w:name="dgnword-eventsink" w:val="2447974662720"/>
  </w:docVars>
  <w:rsids>
    <w:rsidRoot w:val="002A5DEE"/>
    <w:rsid w:val="0000002F"/>
    <w:rsid w:val="0000116C"/>
    <w:rsid w:val="00002338"/>
    <w:rsid w:val="0000234F"/>
    <w:rsid w:val="0000236A"/>
    <w:rsid w:val="000024E9"/>
    <w:rsid w:val="00002997"/>
    <w:rsid w:val="000033E7"/>
    <w:rsid w:val="00003EDA"/>
    <w:rsid w:val="00004427"/>
    <w:rsid w:val="00006685"/>
    <w:rsid w:val="00006B96"/>
    <w:rsid w:val="00006ECE"/>
    <w:rsid w:val="000104A5"/>
    <w:rsid w:val="0001091B"/>
    <w:rsid w:val="00010C99"/>
    <w:rsid w:val="00010F72"/>
    <w:rsid w:val="00011B82"/>
    <w:rsid w:val="00012ECA"/>
    <w:rsid w:val="00014DB9"/>
    <w:rsid w:val="000150B7"/>
    <w:rsid w:val="00017C39"/>
    <w:rsid w:val="0002077A"/>
    <w:rsid w:val="00021166"/>
    <w:rsid w:val="000211BF"/>
    <w:rsid w:val="000217F0"/>
    <w:rsid w:val="000219CD"/>
    <w:rsid w:val="000221DC"/>
    <w:rsid w:val="0002242E"/>
    <w:rsid w:val="000229EA"/>
    <w:rsid w:val="00022EE7"/>
    <w:rsid w:val="000250F8"/>
    <w:rsid w:val="00026176"/>
    <w:rsid w:val="00027893"/>
    <w:rsid w:val="00027CD0"/>
    <w:rsid w:val="000302BB"/>
    <w:rsid w:val="000309AB"/>
    <w:rsid w:val="00030D86"/>
    <w:rsid w:val="0003135B"/>
    <w:rsid w:val="00032025"/>
    <w:rsid w:val="00032777"/>
    <w:rsid w:val="00032E7C"/>
    <w:rsid w:val="00033E27"/>
    <w:rsid w:val="00034750"/>
    <w:rsid w:val="00034D55"/>
    <w:rsid w:val="00034F2A"/>
    <w:rsid w:val="000376AB"/>
    <w:rsid w:val="00037DCD"/>
    <w:rsid w:val="00040281"/>
    <w:rsid w:val="0004099C"/>
    <w:rsid w:val="000422CA"/>
    <w:rsid w:val="00042860"/>
    <w:rsid w:val="00042BFC"/>
    <w:rsid w:val="00042CA4"/>
    <w:rsid w:val="00042D38"/>
    <w:rsid w:val="00043B63"/>
    <w:rsid w:val="00047177"/>
    <w:rsid w:val="000476DC"/>
    <w:rsid w:val="00047856"/>
    <w:rsid w:val="00050A9C"/>
    <w:rsid w:val="00051537"/>
    <w:rsid w:val="0005266F"/>
    <w:rsid w:val="00052E5F"/>
    <w:rsid w:val="00054113"/>
    <w:rsid w:val="00055173"/>
    <w:rsid w:val="000556FE"/>
    <w:rsid w:val="000577FE"/>
    <w:rsid w:val="00061C5C"/>
    <w:rsid w:val="00061D00"/>
    <w:rsid w:val="00063E45"/>
    <w:rsid w:val="000649DD"/>
    <w:rsid w:val="00065220"/>
    <w:rsid w:val="00066D43"/>
    <w:rsid w:val="00067282"/>
    <w:rsid w:val="00067AB5"/>
    <w:rsid w:val="00070241"/>
    <w:rsid w:val="00070265"/>
    <w:rsid w:val="000706C9"/>
    <w:rsid w:val="00071007"/>
    <w:rsid w:val="000715C1"/>
    <w:rsid w:val="00071CEE"/>
    <w:rsid w:val="00072595"/>
    <w:rsid w:val="00075ED4"/>
    <w:rsid w:val="00076F07"/>
    <w:rsid w:val="00077BCE"/>
    <w:rsid w:val="000800D7"/>
    <w:rsid w:val="00080CDB"/>
    <w:rsid w:val="000827B6"/>
    <w:rsid w:val="000852E8"/>
    <w:rsid w:val="000864A3"/>
    <w:rsid w:val="000871F0"/>
    <w:rsid w:val="00087692"/>
    <w:rsid w:val="000907E3"/>
    <w:rsid w:val="00091324"/>
    <w:rsid w:val="00091DF2"/>
    <w:rsid w:val="00092917"/>
    <w:rsid w:val="00093200"/>
    <w:rsid w:val="000938D4"/>
    <w:rsid w:val="00094691"/>
    <w:rsid w:val="000954B2"/>
    <w:rsid w:val="00097559"/>
    <w:rsid w:val="000979B6"/>
    <w:rsid w:val="000A0CA5"/>
    <w:rsid w:val="000A12FC"/>
    <w:rsid w:val="000A1375"/>
    <w:rsid w:val="000A1FD2"/>
    <w:rsid w:val="000A20F6"/>
    <w:rsid w:val="000A44AC"/>
    <w:rsid w:val="000A4A65"/>
    <w:rsid w:val="000A4B20"/>
    <w:rsid w:val="000B0B8E"/>
    <w:rsid w:val="000B0CC8"/>
    <w:rsid w:val="000B160C"/>
    <w:rsid w:val="000B1851"/>
    <w:rsid w:val="000B2652"/>
    <w:rsid w:val="000B2765"/>
    <w:rsid w:val="000B5937"/>
    <w:rsid w:val="000B6873"/>
    <w:rsid w:val="000B6906"/>
    <w:rsid w:val="000C02E3"/>
    <w:rsid w:val="000C0C3D"/>
    <w:rsid w:val="000C320C"/>
    <w:rsid w:val="000C4476"/>
    <w:rsid w:val="000C4956"/>
    <w:rsid w:val="000C4AC4"/>
    <w:rsid w:val="000C4AEB"/>
    <w:rsid w:val="000C556C"/>
    <w:rsid w:val="000C61A4"/>
    <w:rsid w:val="000C6D87"/>
    <w:rsid w:val="000C7BB8"/>
    <w:rsid w:val="000D05BD"/>
    <w:rsid w:val="000D285E"/>
    <w:rsid w:val="000D2AF1"/>
    <w:rsid w:val="000D2C29"/>
    <w:rsid w:val="000D2F6E"/>
    <w:rsid w:val="000D3652"/>
    <w:rsid w:val="000D3BAC"/>
    <w:rsid w:val="000D4B51"/>
    <w:rsid w:val="000D4C9D"/>
    <w:rsid w:val="000D69E6"/>
    <w:rsid w:val="000E09B4"/>
    <w:rsid w:val="000E14B4"/>
    <w:rsid w:val="000E1C95"/>
    <w:rsid w:val="000E2EC0"/>
    <w:rsid w:val="000E60EC"/>
    <w:rsid w:val="000E6FA1"/>
    <w:rsid w:val="000E7545"/>
    <w:rsid w:val="000F0370"/>
    <w:rsid w:val="000F125F"/>
    <w:rsid w:val="000F1795"/>
    <w:rsid w:val="000F19F7"/>
    <w:rsid w:val="000F1CDC"/>
    <w:rsid w:val="000F2672"/>
    <w:rsid w:val="000F29C2"/>
    <w:rsid w:val="000F30BE"/>
    <w:rsid w:val="000F5705"/>
    <w:rsid w:val="000F65B8"/>
    <w:rsid w:val="000F6A10"/>
    <w:rsid w:val="000F6A46"/>
    <w:rsid w:val="000F6CB5"/>
    <w:rsid w:val="001001A8"/>
    <w:rsid w:val="00101BFA"/>
    <w:rsid w:val="00102170"/>
    <w:rsid w:val="00102210"/>
    <w:rsid w:val="0010419A"/>
    <w:rsid w:val="00106906"/>
    <w:rsid w:val="00107511"/>
    <w:rsid w:val="00107783"/>
    <w:rsid w:val="00110D8F"/>
    <w:rsid w:val="0011243D"/>
    <w:rsid w:val="00112494"/>
    <w:rsid w:val="0011279C"/>
    <w:rsid w:val="001145D3"/>
    <w:rsid w:val="00114898"/>
    <w:rsid w:val="001148A8"/>
    <w:rsid w:val="00114909"/>
    <w:rsid w:val="00114F27"/>
    <w:rsid w:val="00114FD4"/>
    <w:rsid w:val="00116203"/>
    <w:rsid w:val="001165F2"/>
    <w:rsid w:val="001167C3"/>
    <w:rsid w:val="001168FF"/>
    <w:rsid w:val="001172C4"/>
    <w:rsid w:val="00117CF4"/>
    <w:rsid w:val="00117D6B"/>
    <w:rsid w:val="00120437"/>
    <w:rsid w:val="001210A3"/>
    <w:rsid w:val="0012111A"/>
    <w:rsid w:val="001236E2"/>
    <w:rsid w:val="00124685"/>
    <w:rsid w:val="00124832"/>
    <w:rsid w:val="00124D3A"/>
    <w:rsid w:val="001273D7"/>
    <w:rsid w:val="001273DB"/>
    <w:rsid w:val="001331F9"/>
    <w:rsid w:val="00133971"/>
    <w:rsid w:val="00134124"/>
    <w:rsid w:val="00134573"/>
    <w:rsid w:val="0013553C"/>
    <w:rsid w:val="00135CA6"/>
    <w:rsid w:val="001377E1"/>
    <w:rsid w:val="0014014D"/>
    <w:rsid w:val="00140F51"/>
    <w:rsid w:val="00141AA2"/>
    <w:rsid w:val="00141E81"/>
    <w:rsid w:val="001441CE"/>
    <w:rsid w:val="001453EA"/>
    <w:rsid w:val="00145FE7"/>
    <w:rsid w:val="00146726"/>
    <w:rsid w:val="00146805"/>
    <w:rsid w:val="00147682"/>
    <w:rsid w:val="00147A81"/>
    <w:rsid w:val="00150410"/>
    <w:rsid w:val="00150537"/>
    <w:rsid w:val="0015165B"/>
    <w:rsid w:val="0015192B"/>
    <w:rsid w:val="001529F7"/>
    <w:rsid w:val="00153E1A"/>
    <w:rsid w:val="001544FC"/>
    <w:rsid w:val="00154704"/>
    <w:rsid w:val="001557E4"/>
    <w:rsid w:val="00156BDD"/>
    <w:rsid w:val="00156D70"/>
    <w:rsid w:val="00156E2A"/>
    <w:rsid w:val="001626C0"/>
    <w:rsid w:val="00162A31"/>
    <w:rsid w:val="00162AD8"/>
    <w:rsid w:val="001641C7"/>
    <w:rsid w:val="0016446C"/>
    <w:rsid w:val="001659B8"/>
    <w:rsid w:val="001669A0"/>
    <w:rsid w:val="00167873"/>
    <w:rsid w:val="00167BB8"/>
    <w:rsid w:val="0017082C"/>
    <w:rsid w:val="00170B04"/>
    <w:rsid w:val="00170EC8"/>
    <w:rsid w:val="001713C1"/>
    <w:rsid w:val="00171E7D"/>
    <w:rsid w:val="0017238B"/>
    <w:rsid w:val="00174102"/>
    <w:rsid w:val="001755A9"/>
    <w:rsid w:val="00176218"/>
    <w:rsid w:val="001776A7"/>
    <w:rsid w:val="00180593"/>
    <w:rsid w:val="00181CF5"/>
    <w:rsid w:val="001821FE"/>
    <w:rsid w:val="00183745"/>
    <w:rsid w:val="0018396A"/>
    <w:rsid w:val="001849F5"/>
    <w:rsid w:val="001852F8"/>
    <w:rsid w:val="00185E8B"/>
    <w:rsid w:val="00186251"/>
    <w:rsid w:val="00186442"/>
    <w:rsid w:val="0018653F"/>
    <w:rsid w:val="0019053A"/>
    <w:rsid w:val="001922A2"/>
    <w:rsid w:val="00192D09"/>
    <w:rsid w:val="00192ED0"/>
    <w:rsid w:val="0019465F"/>
    <w:rsid w:val="00194759"/>
    <w:rsid w:val="00194DCE"/>
    <w:rsid w:val="001953A6"/>
    <w:rsid w:val="00195482"/>
    <w:rsid w:val="001958EB"/>
    <w:rsid w:val="00197419"/>
    <w:rsid w:val="001A1373"/>
    <w:rsid w:val="001A267C"/>
    <w:rsid w:val="001A287B"/>
    <w:rsid w:val="001A5DF3"/>
    <w:rsid w:val="001A60B1"/>
    <w:rsid w:val="001B12F5"/>
    <w:rsid w:val="001B16F6"/>
    <w:rsid w:val="001B1D85"/>
    <w:rsid w:val="001B20D7"/>
    <w:rsid w:val="001B3CEA"/>
    <w:rsid w:val="001B6CD1"/>
    <w:rsid w:val="001B713E"/>
    <w:rsid w:val="001B77CF"/>
    <w:rsid w:val="001B7849"/>
    <w:rsid w:val="001B7A4A"/>
    <w:rsid w:val="001C0F55"/>
    <w:rsid w:val="001C1E9C"/>
    <w:rsid w:val="001C2CA9"/>
    <w:rsid w:val="001C2D01"/>
    <w:rsid w:val="001C55A4"/>
    <w:rsid w:val="001C59DE"/>
    <w:rsid w:val="001C60FE"/>
    <w:rsid w:val="001C70E7"/>
    <w:rsid w:val="001C71C0"/>
    <w:rsid w:val="001D041A"/>
    <w:rsid w:val="001D0421"/>
    <w:rsid w:val="001D1A4A"/>
    <w:rsid w:val="001D21F5"/>
    <w:rsid w:val="001D373B"/>
    <w:rsid w:val="001D4A76"/>
    <w:rsid w:val="001D4C9C"/>
    <w:rsid w:val="001D512D"/>
    <w:rsid w:val="001D5456"/>
    <w:rsid w:val="001D55F0"/>
    <w:rsid w:val="001D7900"/>
    <w:rsid w:val="001D7BA2"/>
    <w:rsid w:val="001E0D68"/>
    <w:rsid w:val="001E1326"/>
    <w:rsid w:val="001E2F93"/>
    <w:rsid w:val="001E3A2E"/>
    <w:rsid w:val="001E3CCD"/>
    <w:rsid w:val="001E48DF"/>
    <w:rsid w:val="001E5826"/>
    <w:rsid w:val="001E5D44"/>
    <w:rsid w:val="001E76DF"/>
    <w:rsid w:val="001E77C8"/>
    <w:rsid w:val="001F01B4"/>
    <w:rsid w:val="001F0E09"/>
    <w:rsid w:val="001F2FD9"/>
    <w:rsid w:val="001F2FF9"/>
    <w:rsid w:val="001F3352"/>
    <w:rsid w:val="001F3529"/>
    <w:rsid w:val="001F3AA7"/>
    <w:rsid w:val="001F4222"/>
    <w:rsid w:val="001F431B"/>
    <w:rsid w:val="001F602B"/>
    <w:rsid w:val="001F78BA"/>
    <w:rsid w:val="00200F9F"/>
    <w:rsid w:val="00201E02"/>
    <w:rsid w:val="00204C22"/>
    <w:rsid w:val="00204DAE"/>
    <w:rsid w:val="002057CB"/>
    <w:rsid w:val="0020702C"/>
    <w:rsid w:val="0020726F"/>
    <w:rsid w:val="00207D2A"/>
    <w:rsid w:val="00210522"/>
    <w:rsid w:val="00210933"/>
    <w:rsid w:val="00210DF4"/>
    <w:rsid w:val="00211117"/>
    <w:rsid w:val="002112E4"/>
    <w:rsid w:val="0021229C"/>
    <w:rsid w:val="0021294A"/>
    <w:rsid w:val="002129A4"/>
    <w:rsid w:val="00213DF9"/>
    <w:rsid w:val="00214DC1"/>
    <w:rsid w:val="0021524F"/>
    <w:rsid w:val="002154E1"/>
    <w:rsid w:val="00215812"/>
    <w:rsid w:val="002167EC"/>
    <w:rsid w:val="0022069D"/>
    <w:rsid w:val="00220EAF"/>
    <w:rsid w:val="0022167F"/>
    <w:rsid w:val="0022241D"/>
    <w:rsid w:val="00222782"/>
    <w:rsid w:val="00225512"/>
    <w:rsid w:val="00225518"/>
    <w:rsid w:val="00226AEA"/>
    <w:rsid w:val="00231B25"/>
    <w:rsid w:val="00231F98"/>
    <w:rsid w:val="0023331E"/>
    <w:rsid w:val="00235EEB"/>
    <w:rsid w:val="00240018"/>
    <w:rsid w:val="00240F6D"/>
    <w:rsid w:val="00241439"/>
    <w:rsid w:val="0024276C"/>
    <w:rsid w:val="002428B3"/>
    <w:rsid w:val="00242B68"/>
    <w:rsid w:val="00243DE4"/>
    <w:rsid w:val="00243F54"/>
    <w:rsid w:val="00245F8C"/>
    <w:rsid w:val="0024726B"/>
    <w:rsid w:val="002479B5"/>
    <w:rsid w:val="00247AC3"/>
    <w:rsid w:val="00247BE7"/>
    <w:rsid w:val="002505A8"/>
    <w:rsid w:val="00250BE7"/>
    <w:rsid w:val="0025124A"/>
    <w:rsid w:val="00251B22"/>
    <w:rsid w:val="00251ECF"/>
    <w:rsid w:val="002520C4"/>
    <w:rsid w:val="002532F1"/>
    <w:rsid w:val="002533BC"/>
    <w:rsid w:val="00253A47"/>
    <w:rsid w:val="00253C64"/>
    <w:rsid w:val="002547DF"/>
    <w:rsid w:val="00254818"/>
    <w:rsid w:val="00260DA0"/>
    <w:rsid w:val="00261180"/>
    <w:rsid w:val="002611CB"/>
    <w:rsid w:val="00261CC5"/>
    <w:rsid w:val="00262D72"/>
    <w:rsid w:val="00263143"/>
    <w:rsid w:val="00263A36"/>
    <w:rsid w:val="002655C2"/>
    <w:rsid w:val="00265BFF"/>
    <w:rsid w:val="0026783B"/>
    <w:rsid w:val="00267A47"/>
    <w:rsid w:val="00267BD8"/>
    <w:rsid w:val="00270154"/>
    <w:rsid w:val="002704D9"/>
    <w:rsid w:val="0027095B"/>
    <w:rsid w:val="00271969"/>
    <w:rsid w:val="00272741"/>
    <w:rsid w:val="00273031"/>
    <w:rsid w:val="00273A2F"/>
    <w:rsid w:val="00275472"/>
    <w:rsid w:val="002759FC"/>
    <w:rsid w:val="00276475"/>
    <w:rsid w:val="002769C9"/>
    <w:rsid w:val="0027794D"/>
    <w:rsid w:val="0028139B"/>
    <w:rsid w:val="00282168"/>
    <w:rsid w:val="00282ED4"/>
    <w:rsid w:val="00283B17"/>
    <w:rsid w:val="002843DB"/>
    <w:rsid w:val="0028598E"/>
    <w:rsid w:val="00285AF9"/>
    <w:rsid w:val="0028600B"/>
    <w:rsid w:val="0028686A"/>
    <w:rsid w:val="00287483"/>
    <w:rsid w:val="00290596"/>
    <w:rsid w:val="00290A50"/>
    <w:rsid w:val="00290EB8"/>
    <w:rsid w:val="00291092"/>
    <w:rsid w:val="0029145B"/>
    <w:rsid w:val="00291A6D"/>
    <w:rsid w:val="00292085"/>
    <w:rsid w:val="00294768"/>
    <w:rsid w:val="00294779"/>
    <w:rsid w:val="00294D18"/>
    <w:rsid w:val="00295AEB"/>
    <w:rsid w:val="00297806"/>
    <w:rsid w:val="002979C4"/>
    <w:rsid w:val="00297B85"/>
    <w:rsid w:val="002A297B"/>
    <w:rsid w:val="002A2CFD"/>
    <w:rsid w:val="002A46CE"/>
    <w:rsid w:val="002A5D43"/>
    <w:rsid w:val="002A5DEE"/>
    <w:rsid w:val="002A606D"/>
    <w:rsid w:val="002A6604"/>
    <w:rsid w:val="002A6B23"/>
    <w:rsid w:val="002A7FF3"/>
    <w:rsid w:val="002B03EB"/>
    <w:rsid w:val="002B1018"/>
    <w:rsid w:val="002B12A9"/>
    <w:rsid w:val="002B244C"/>
    <w:rsid w:val="002B258D"/>
    <w:rsid w:val="002B2710"/>
    <w:rsid w:val="002B2720"/>
    <w:rsid w:val="002B3417"/>
    <w:rsid w:val="002B4718"/>
    <w:rsid w:val="002B4A01"/>
    <w:rsid w:val="002B5A71"/>
    <w:rsid w:val="002B62E4"/>
    <w:rsid w:val="002B692D"/>
    <w:rsid w:val="002B7319"/>
    <w:rsid w:val="002B73E3"/>
    <w:rsid w:val="002B77E0"/>
    <w:rsid w:val="002B7AD7"/>
    <w:rsid w:val="002B7FAB"/>
    <w:rsid w:val="002C07FE"/>
    <w:rsid w:val="002C0CC4"/>
    <w:rsid w:val="002C0CF7"/>
    <w:rsid w:val="002C19DF"/>
    <w:rsid w:val="002C38F9"/>
    <w:rsid w:val="002C6413"/>
    <w:rsid w:val="002C6A70"/>
    <w:rsid w:val="002C6C23"/>
    <w:rsid w:val="002C77DB"/>
    <w:rsid w:val="002C7B0B"/>
    <w:rsid w:val="002D1960"/>
    <w:rsid w:val="002D1DB2"/>
    <w:rsid w:val="002D23A6"/>
    <w:rsid w:val="002D250C"/>
    <w:rsid w:val="002D34F0"/>
    <w:rsid w:val="002D3848"/>
    <w:rsid w:val="002D406B"/>
    <w:rsid w:val="002D49AB"/>
    <w:rsid w:val="002D4C0E"/>
    <w:rsid w:val="002D50FD"/>
    <w:rsid w:val="002D542C"/>
    <w:rsid w:val="002D6398"/>
    <w:rsid w:val="002D669C"/>
    <w:rsid w:val="002E0BA5"/>
    <w:rsid w:val="002E0BDE"/>
    <w:rsid w:val="002E17BF"/>
    <w:rsid w:val="002E1ADF"/>
    <w:rsid w:val="002E221F"/>
    <w:rsid w:val="002E3656"/>
    <w:rsid w:val="002E3CC3"/>
    <w:rsid w:val="002E7497"/>
    <w:rsid w:val="002F2505"/>
    <w:rsid w:val="002F3A1C"/>
    <w:rsid w:val="002F3B8B"/>
    <w:rsid w:val="002F444C"/>
    <w:rsid w:val="002F45E4"/>
    <w:rsid w:val="002F5318"/>
    <w:rsid w:val="002F559E"/>
    <w:rsid w:val="002F5A31"/>
    <w:rsid w:val="002F69F6"/>
    <w:rsid w:val="002F750B"/>
    <w:rsid w:val="002F7EBE"/>
    <w:rsid w:val="003025C2"/>
    <w:rsid w:val="00302BBE"/>
    <w:rsid w:val="00303085"/>
    <w:rsid w:val="0030346F"/>
    <w:rsid w:val="00304A2B"/>
    <w:rsid w:val="00305723"/>
    <w:rsid w:val="00306629"/>
    <w:rsid w:val="00306B8D"/>
    <w:rsid w:val="00306F7E"/>
    <w:rsid w:val="00307F22"/>
    <w:rsid w:val="0031109E"/>
    <w:rsid w:val="0031136A"/>
    <w:rsid w:val="00311B2B"/>
    <w:rsid w:val="0031240E"/>
    <w:rsid w:val="00312ED3"/>
    <w:rsid w:val="003142E2"/>
    <w:rsid w:val="003155C9"/>
    <w:rsid w:val="0032088A"/>
    <w:rsid w:val="003212B1"/>
    <w:rsid w:val="003220E1"/>
    <w:rsid w:val="00322778"/>
    <w:rsid w:val="0032308D"/>
    <w:rsid w:val="0032542E"/>
    <w:rsid w:val="00327DC4"/>
    <w:rsid w:val="00327E9B"/>
    <w:rsid w:val="0033118E"/>
    <w:rsid w:val="00331245"/>
    <w:rsid w:val="0033182C"/>
    <w:rsid w:val="0033256B"/>
    <w:rsid w:val="0033362D"/>
    <w:rsid w:val="00335408"/>
    <w:rsid w:val="00335622"/>
    <w:rsid w:val="0033695B"/>
    <w:rsid w:val="003372DE"/>
    <w:rsid w:val="0034288A"/>
    <w:rsid w:val="0034557C"/>
    <w:rsid w:val="003459B8"/>
    <w:rsid w:val="00345DD5"/>
    <w:rsid w:val="003476C8"/>
    <w:rsid w:val="00347B80"/>
    <w:rsid w:val="00347EEC"/>
    <w:rsid w:val="00352EFD"/>
    <w:rsid w:val="003530DF"/>
    <w:rsid w:val="00354256"/>
    <w:rsid w:val="00354280"/>
    <w:rsid w:val="003542F1"/>
    <w:rsid w:val="00355051"/>
    <w:rsid w:val="00355655"/>
    <w:rsid w:val="00355B72"/>
    <w:rsid w:val="00355B98"/>
    <w:rsid w:val="003561DC"/>
    <w:rsid w:val="00356FC5"/>
    <w:rsid w:val="00357639"/>
    <w:rsid w:val="00357931"/>
    <w:rsid w:val="00360496"/>
    <w:rsid w:val="00361C6D"/>
    <w:rsid w:val="00362281"/>
    <w:rsid w:val="00362A60"/>
    <w:rsid w:val="00362D35"/>
    <w:rsid w:val="0036421D"/>
    <w:rsid w:val="00364AA0"/>
    <w:rsid w:val="0036663B"/>
    <w:rsid w:val="00366898"/>
    <w:rsid w:val="00366A4D"/>
    <w:rsid w:val="0036712C"/>
    <w:rsid w:val="00370A7B"/>
    <w:rsid w:val="00371177"/>
    <w:rsid w:val="0037161A"/>
    <w:rsid w:val="003718CE"/>
    <w:rsid w:val="00373C7E"/>
    <w:rsid w:val="00373C8C"/>
    <w:rsid w:val="00374D22"/>
    <w:rsid w:val="0037630B"/>
    <w:rsid w:val="003764C1"/>
    <w:rsid w:val="00376DC2"/>
    <w:rsid w:val="00380497"/>
    <w:rsid w:val="0038111F"/>
    <w:rsid w:val="003825D4"/>
    <w:rsid w:val="00382875"/>
    <w:rsid w:val="00383068"/>
    <w:rsid w:val="00383167"/>
    <w:rsid w:val="00384441"/>
    <w:rsid w:val="0038561E"/>
    <w:rsid w:val="00387246"/>
    <w:rsid w:val="003909CC"/>
    <w:rsid w:val="00391279"/>
    <w:rsid w:val="003922D4"/>
    <w:rsid w:val="00392EC4"/>
    <w:rsid w:val="00392FD3"/>
    <w:rsid w:val="0039496C"/>
    <w:rsid w:val="003960C9"/>
    <w:rsid w:val="00396258"/>
    <w:rsid w:val="0039626F"/>
    <w:rsid w:val="00397701"/>
    <w:rsid w:val="003A0D24"/>
    <w:rsid w:val="003A1BD0"/>
    <w:rsid w:val="003A2F7E"/>
    <w:rsid w:val="003A4422"/>
    <w:rsid w:val="003A4D2E"/>
    <w:rsid w:val="003A58F4"/>
    <w:rsid w:val="003A5F05"/>
    <w:rsid w:val="003A5F2F"/>
    <w:rsid w:val="003A6561"/>
    <w:rsid w:val="003A669D"/>
    <w:rsid w:val="003A74EB"/>
    <w:rsid w:val="003B09A6"/>
    <w:rsid w:val="003B1EBE"/>
    <w:rsid w:val="003B2107"/>
    <w:rsid w:val="003B29D1"/>
    <w:rsid w:val="003B2A16"/>
    <w:rsid w:val="003B3C10"/>
    <w:rsid w:val="003B44B4"/>
    <w:rsid w:val="003B49B8"/>
    <w:rsid w:val="003B55D3"/>
    <w:rsid w:val="003B5CCE"/>
    <w:rsid w:val="003B5D0E"/>
    <w:rsid w:val="003B673E"/>
    <w:rsid w:val="003B6B2C"/>
    <w:rsid w:val="003C09CB"/>
    <w:rsid w:val="003C0F41"/>
    <w:rsid w:val="003C309E"/>
    <w:rsid w:val="003C330C"/>
    <w:rsid w:val="003C377E"/>
    <w:rsid w:val="003C3A2C"/>
    <w:rsid w:val="003C4B1C"/>
    <w:rsid w:val="003C6F03"/>
    <w:rsid w:val="003C745E"/>
    <w:rsid w:val="003D0E15"/>
    <w:rsid w:val="003D17DC"/>
    <w:rsid w:val="003D196D"/>
    <w:rsid w:val="003D2B6C"/>
    <w:rsid w:val="003D31A8"/>
    <w:rsid w:val="003D3DC0"/>
    <w:rsid w:val="003D3DEF"/>
    <w:rsid w:val="003D4C24"/>
    <w:rsid w:val="003D5E1A"/>
    <w:rsid w:val="003D644C"/>
    <w:rsid w:val="003D6EC0"/>
    <w:rsid w:val="003E292E"/>
    <w:rsid w:val="003E308F"/>
    <w:rsid w:val="003E5F95"/>
    <w:rsid w:val="003E60E1"/>
    <w:rsid w:val="003F2264"/>
    <w:rsid w:val="003F3536"/>
    <w:rsid w:val="003F36E2"/>
    <w:rsid w:val="003F37CA"/>
    <w:rsid w:val="003F384C"/>
    <w:rsid w:val="003F43FF"/>
    <w:rsid w:val="003F4613"/>
    <w:rsid w:val="003F5673"/>
    <w:rsid w:val="003F591A"/>
    <w:rsid w:val="003F621B"/>
    <w:rsid w:val="003F672A"/>
    <w:rsid w:val="003F6863"/>
    <w:rsid w:val="004005F9"/>
    <w:rsid w:val="00401430"/>
    <w:rsid w:val="00401DA6"/>
    <w:rsid w:val="00402800"/>
    <w:rsid w:val="00405193"/>
    <w:rsid w:val="004068F1"/>
    <w:rsid w:val="00407860"/>
    <w:rsid w:val="0041082D"/>
    <w:rsid w:val="00412B11"/>
    <w:rsid w:val="004139D8"/>
    <w:rsid w:val="00413CAD"/>
    <w:rsid w:val="00414187"/>
    <w:rsid w:val="00414977"/>
    <w:rsid w:val="00415077"/>
    <w:rsid w:val="00415237"/>
    <w:rsid w:val="004158B7"/>
    <w:rsid w:val="0041693A"/>
    <w:rsid w:val="004172BC"/>
    <w:rsid w:val="004200E3"/>
    <w:rsid w:val="0042109D"/>
    <w:rsid w:val="00423AF5"/>
    <w:rsid w:val="00425E9F"/>
    <w:rsid w:val="00426304"/>
    <w:rsid w:val="00430701"/>
    <w:rsid w:val="0043123B"/>
    <w:rsid w:val="004315F9"/>
    <w:rsid w:val="004325C4"/>
    <w:rsid w:val="00433D73"/>
    <w:rsid w:val="00435643"/>
    <w:rsid w:val="00435A6B"/>
    <w:rsid w:val="00435B2A"/>
    <w:rsid w:val="00435D49"/>
    <w:rsid w:val="00436147"/>
    <w:rsid w:val="004363BF"/>
    <w:rsid w:val="00437E39"/>
    <w:rsid w:val="004401E3"/>
    <w:rsid w:val="004403D4"/>
    <w:rsid w:val="00440EF6"/>
    <w:rsid w:val="00441645"/>
    <w:rsid w:val="00441C9C"/>
    <w:rsid w:val="0044381F"/>
    <w:rsid w:val="00443A74"/>
    <w:rsid w:val="004443E7"/>
    <w:rsid w:val="00445B38"/>
    <w:rsid w:val="0044633B"/>
    <w:rsid w:val="00446601"/>
    <w:rsid w:val="004470D9"/>
    <w:rsid w:val="0045008C"/>
    <w:rsid w:val="00450404"/>
    <w:rsid w:val="004529DC"/>
    <w:rsid w:val="004531D8"/>
    <w:rsid w:val="00453C89"/>
    <w:rsid w:val="004559A7"/>
    <w:rsid w:val="00460017"/>
    <w:rsid w:val="0046053F"/>
    <w:rsid w:val="00460C61"/>
    <w:rsid w:val="00461B1B"/>
    <w:rsid w:val="00461CDE"/>
    <w:rsid w:val="00462EF3"/>
    <w:rsid w:val="0046374A"/>
    <w:rsid w:val="00463FB4"/>
    <w:rsid w:val="00464569"/>
    <w:rsid w:val="00464F55"/>
    <w:rsid w:val="00465DD7"/>
    <w:rsid w:val="00465DE9"/>
    <w:rsid w:val="00466F53"/>
    <w:rsid w:val="00470080"/>
    <w:rsid w:val="004709B2"/>
    <w:rsid w:val="00472BCB"/>
    <w:rsid w:val="0047307E"/>
    <w:rsid w:val="00473541"/>
    <w:rsid w:val="00473754"/>
    <w:rsid w:val="00473821"/>
    <w:rsid w:val="00473F73"/>
    <w:rsid w:val="004754B3"/>
    <w:rsid w:val="004757E0"/>
    <w:rsid w:val="00476091"/>
    <w:rsid w:val="004766E2"/>
    <w:rsid w:val="004769DC"/>
    <w:rsid w:val="00476AD0"/>
    <w:rsid w:val="0047707A"/>
    <w:rsid w:val="004779E0"/>
    <w:rsid w:val="00480FB7"/>
    <w:rsid w:val="004818FA"/>
    <w:rsid w:val="00482C22"/>
    <w:rsid w:val="00483FE6"/>
    <w:rsid w:val="004848F6"/>
    <w:rsid w:val="00484AD3"/>
    <w:rsid w:val="00484CD0"/>
    <w:rsid w:val="0048605B"/>
    <w:rsid w:val="00486248"/>
    <w:rsid w:val="00486C5E"/>
    <w:rsid w:val="004873A0"/>
    <w:rsid w:val="00487F04"/>
    <w:rsid w:val="004900CA"/>
    <w:rsid w:val="00490B85"/>
    <w:rsid w:val="00491008"/>
    <w:rsid w:val="00491CD3"/>
    <w:rsid w:val="004939D3"/>
    <w:rsid w:val="00493CDA"/>
    <w:rsid w:val="004941F9"/>
    <w:rsid w:val="00494B57"/>
    <w:rsid w:val="00495234"/>
    <w:rsid w:val="00495890"/>
    <w:rsid w:val="00495E10"/>
    <w:rsid w:val="00496553"/>
    <w:rsid w:val="00496B37"/>
    <w:rsid w:val="00496F0C"/>
    <w:rsid w:val="004A0494"/>
    <w:rsid w:val="004A1D6A"/>
    <w:rsid w:val="004A4D6D"/>
    <w:rsid w:val="004A63A5"/>
    <w:rsid w:val="004A73FC"/>
    <w:rsid w:val="004B1178"/>
    <w:rsid w:val="004B15C9"/>
    <w:rsid w:val="004B4264"/>
    <w:rsid w:val="004B42D5"/>
    <w:rsid w:val="004B433F"/>
    <w:rsid w:val="004B4765"/>
    <w:rsid w:val="004B47FA"/>
    <w:rsid w:val="004B5334"/>
    <w:rsid w:val="004B59D1"/>
    <w:rsid w:val="004B5D5D"/>
    <w:rsid w:val="004B7BB4"/>
    <w:rsid w:val="004C0FE3"/>
    <w:rsid w:val="004C2C51"/>
    <w:rsid w:val="004C31FE"/>
    <w:rsid w:val="004C32C6"/>
    <w:rsid w:val="004C398B"/>
    <w:rsid w:val="004C7E63"/>
    <w:rsid w:val="004D04B0"/>
    <w:rsid w:val="004D09FA"/>
    <w:rsid w:val="004D127B"/>
    <w:rsid w:val="004D504F"/>
    <w:rsid w:val="004D60D9"/>
    <w:rsid w:val="004D6450"/>
    <w:rsid w:val="004E0C8B"/>
    <w:rsid w:val="004E2222"/>
    <w:rsid w:val="004E2370"/>
    <w:rsid w:val="004E30D9"/>
    <w:rsid w:val="004E5669"/>
    <w:rsid w:val="004E58D8"/>
    <w:rsid w:val="004E5ED3"/>
    <w:rsid w:val="004E70A2"/>
    <w:rsid w:val="004F06ED"/>
    <w:rsid w:val="004F0CB7"/>
    <w:rsid w:val="004F249D"/>
    <w:rsid w:val="004F29AC"/>
    <w:rsid w:val="004F2EBC"/>
    <w:rsid w:val="004F2FC7"/>
    <w:rsid w:val="004F55B5"/>
    <w:rsid w:val="004F61A0"/>
    <w:rsid w:val="004F6F4F"/>
    <w:rsid w:val="004F71C1"/>
    <w:rsid w:val="004F7A6E"/>
    <w:rsid w:val="00501D9D"/>
    <w:rsid w:val="005025E0"/>
    <w:rsid w:val="00504199"/>
    <w:rsid w:val="00504B7B"/>
    <w:rsid w:val="00506C47"/>
    <w:rsid w:val="00507D86"/>
    <w:rsid w:val="00510B5A"/>
    <w:rsid w:val="0051122B"/>
    <w:rsid w:val="00512A68"/>
    <w:rsid w:val="00512EA7"/>
    <w:rsid w:val="005136E5"/>
    <w:rsid w:val="0051387E"/>
    <w:rsid w:val="0051448B"/>
    <w:rsid w:val="00515272"/>
    <w:rsid w:val="0051534C"/>
    <w:rsid w:val="00517BDF"/>
    <w:rsid w:val="00520634"/>
    <w:rsid w:val="00521D47"/>
    <w:rsid w:val="00521E87"/>
    <w:rsid w:val="005221BF"/>
    <w:rsid w:val="00522C5F"/>
    <w:rsid w:val="00522ECB"/>
    <w:rsid w:val="0052326A"/>
    <w:rsid w:val="005236C3"/>
    <w:rsid w:val="00524FCA"/>
    <w:rsid w:val="00525929"/>
    <w:rsid w:val="0052620A"/>
    <w:rsid w:val="00527DDD"/>
    <w:rsid w:val="00527FFA"/>
    <w:rsid w:val="00530163"/>
    <w:rsid w:val="00530745"/>
    <w:rsid w:val="00530FA3"/>
    <w:rsid w:val="005328E6"/>
    <w:rsid w:val="00532BC8"/>
    <w:rsid w:val="0053378F"/>
    <w:rsid w:val="00533AA4"/>
    <w:rsid w:val="0053499C"/>
    <w:rsid w:val="00535B02"/>
    <w:rsid w:val="00536556"/>
    <w:rsid w:val="00537F61"/>
    <w:rsid w:val="00540025"/>
    <w:rsid w:val="00540201"/>
    <w:rsid w:val="00540ED7"/>
    <w:rsid w:val="00542B6A"/>
    <w:rsid w:val="00543D10"/>
    <w:rsid w:val="0054545E"/>
    <w:rsid w:val="005454ED"/>
    <w:rsid w:val="0054661B"/>
    <w:rsid w:val="00546E24"/>
    <w:rsid w:val="005472E0"/>
    <w:rsid w:val="005500C2"/>
    <w:rsid w:val="005516BB"/>
    <w:rsid w:val="00551737"/>
    <w:rsid w:val="00551F3C"/>
    <w:rsid w:val="00551F8A"/>
    <w:rsid w:val="00553032"/>
    <w:rsid w:val="00555BD8"/>
    <w:rsid w:val="00555D9E"/>
    <w:rsid w:val="00556490"/>
    <w:rsid w:val="00556F1C"/>
    <w:rsid w:val="00557F7A"/>
    <w:rsid w:val="00561B03"/>
    <w:rsid w:val="0056228D"/>
    <w:rsid w:val="00562980"/>
    <w:rsid w:val="00562B71"/>
    <w:rsid w:val="00562F24"/>
    <w:rsid w:val="0056428F"/>
    <w:rsid w:val="00564E2E"/>
    <w:rsid w:val="00564F01"/>
    <w:rsid w:val="00565B7E"/>
    <w:rsid w:val="00565C11"/>
    <w:rsid w:val="00565DF6"/>
    <w:rsid w:val="00566B16"/>
    <w:rsid w:val="00566F3A"/>
    <w:rsid w:val="00567D27"/>
    <w:rsid w:val="00570EB1"/>
    <w:rsid w:val="00570F2C"/>
    <w:rsid w:val="0057119A"/>
    <w:rsid w:val="0057194A"/>
    <w:rsid w:val="00573096"/>
    <w:rsid w:val="00573600"/>
    <w:rsid w:val="00574574"/>
    <w:rsid w:val="00576135"/>
    <w:rsid w:val="00576F94"/>
    <w:rsid w:val="00577CFC"/>
    <w:rsid w:val="005813A8"/>
    <w:rsid w:val="00582169"/>
    <w:rsid w:val="005828A8"/>
    <w:rsid w:val="00584606"/>
    <w:rsid w:val="00585A84"/>
    <w:rsid w:val="00585EAC"/>
    <w:rsid w:val="00586406"/>
    <w:rsid w:val="0058648D"/>
    <w:rsid w:val="00590B2E"/>
    <w:rsid w:val="00591A57"/>
    <w:rsid w:val="0059277B"/>
    <w:rsid w:val="0059347B"/>
    <w:rsid w:val="00593A27"/>
    <w:rsid w:val="0059576C"/>
    <w:rsid w:val="00595E77"/>
    <w:rsid w:val="00596656"/>
    <w:rsid w:val="00597338"/>
    <w:rsid w:val="00597FAA"/>
    <w:rsid w:val="005A0116"/>
    <w:rsid w:val="005A01C1"/>
    <w:rsid w:val="005A05DF"/>
    <w:rsid w:val="005A080F"/>
    <w:rsid w:val="005A1548"/>
    <w:rsid w:val="005A1B53"/>
    <w:rsid w:val="005A1B96"/>
    <w:rsid w:val="005A2235"/>
    <w:rsid w:val="005A223F"/>
    <w:rsid w:val="005A287D"/>
    <w:rsid w:val="005A30AA"/>
    <w:rsid w:val="005A4454"/>
    <w:rsid w:val="005A47CD"/>
    <w:rsid w:val="005A558D"/>
    <w:rsid w:val="005A5BD9"/>
    <w:rsid w:val="005A69D0"/>
    <w:rsid w:val="005A7274"/>
    <w:rsid w:val="005A77CD"/>
    <w:rsid w:val="005B032E"/>
    <w:rsid w:val="005B08D1"/>
    <w:rsid w:val="005B0B72"/>
    <w:rsid w:val="005B2A57"/>
    <w:rsid w:val="005B32FC"/>
    <w:rsid w:val="005B3881"/>
    <w:rsid w:val="005B56BB"/>
    <w:rsid w:val="005B6596"/>
    <w:rsid w:val="005B684C"/>
    <w:rsid w:val="005B69F6"/>
    <w:rsid w:val="005B7901"/>
    <w:rsid w:val="005B79E0"/>
    <w:rsid w:val="005B7A21"/>
    <w:rsid w:val="005B7BB9"/>
    <w:rsid w:val="005C3521"/>
    <w:rsid w:val="005C42AF"/>
    <w:rsid w:val="005C4591"/>
    <w:rsid w:val="005C4ADC"/>
    <w:rsid w:val="005C67C9"/>
    <w:rsid w:val="005C73AD"/>
    <w:rsid w:val="005C76FA"/>
    <w:rsid w:val="005C7B6D"/>
    <w:rsid w:val="005C7DA6"/>
    <w:rsid w:val="005D1154"/>
    <w:rsid w:val="005D12F6"/>
    <w:rsid w:val="005D1AAC"/>
    <w:rsid w:val="005D20B1"/>
    <w:rsid w:val="005D2B1A"/>
    <w:rsid w:val="005D3E17"/>
    <w:rsid w:val="005D41A5"/>
    <w:rsid w:val="005D4A49"/>
    <w:rsid w:val="005D4C2B"/>
    <w:rsid w:val="005D4DBD"/>
    <w:rsid w:val="005D4EC3"/>
    <w:rsid w:val="005D50BE"/>
    <w:rsid w:val="005D5104"/>
    <w:rsid w:val="005D553B"/>
    <w:rsid w:val="005D79B3"/>
    <w:rsid w:val="005D7E99"/>
    <w:rsid w:val="005E05A3"/>
    <w:rsid w:val="005E0A73"/>
    <w:rsid w:val="005E0E1F"/>
    <w:rsid w:val="005E1A04"/>
    <w:rsid w:val="005E1A92"/>
    <w:rsid w:val="005E1D7B"/>
    <w:rsid w:val="005E2393"/>
    <w:rsid w:val="005E2EDA"/>
    <w:rsid w:val="005E35FE"/>
    <w:rsid w:val="005E3699"/>
    <w:rsid w:val="005E5203"/>
    <w:rsid w:val="005E5894"/>
    <w:rsid w:val="005E74DB"/>
    <w:rsid w:val="005E7FD7"/>
    <w:rsid w:val="005F049F"/>
    <w:rsid w:val="005F20C9"/>
    <w:rsid w:val="005F24B2"/>
    <w:rsid w:val="005F2F75"/>
    <w:rsid w:val="005F4A69"/>
    <w:rsid w:val="005F7F9A"/>
    <w:rsid w:val="00600390"/>
    <w:rsid w:val="00603809"/>
    <w:rsid w:val="006054BD"/>
    <w:rsid w:val="006064E7"/>
    <w:rsid w:val="006071BD"/>
    <w:rsid w:val="00611237"/>
    <w:rsid w:val="00611944"/>
    <w:rsid w:val="006140BA"/>
    <w:rsid w:val="00621301"/>
    <w:rsid w:val="00621E43"/>
    <w:rsid w:val="0062220A"/>
    <w:rsid w:val="00622641"/>
    <w:rsid w:val="00622980"/>
    <w:rsid w:val="006236BB"/>
    <w:rsid w:val="00623DB2"/>
    <w:rsid w:val="00624B45"/>
    <w:rsid w:val="00624EF1"/>
    <w:rsid w:val="00625636"/>
    <w:rsid w:val="006256A9"/>
    <w:rsid w:val="0062614A"/>
    <w:rsid w:val="00631497"/>
    <w:rsid w:val="006326F7"/>
    <w:rsid w:val="00633B43"/>
    <w:rsid w:val="0063498B"/>
    <w:rsid w:val="00636E69"/>
    <w:rsid w:val="00637098"/>
    <w:rsid w:val="0064001B"/>
    <w:rsid w:val="006402A4"/>
    <w:rsid w:val="00641120"/>
    <w:rsid w:val="00641159"/>
    <w:rsid w:val="006433FC"/>
    <w:rsid w:val="006436AB"/>
    <w:rsid w:val="00643B19"/>
    <w:rsid w:val="00643BA7"/>
    <w:rsid w:val="00645C84"/>
    <w:rsid w:val="00645E7E"/>
    <w:rsid w:val="00647472"/>
    <w:rsid w:val="00647763"/>
    <w:rsid w:val="006523FD"/>
    <w:rsid w:val="006524A4"/>
    <w:rsid w:val="00652CA6"/>
    <w:rsid w:val="0065518D"/>
    <w:rsid w:val="00655B55"/>
    <w:rsid w:val="00656E8C"/>
    <w:rsid w:val="00660FF2"/>
    <w:rsid w:val="00661459"/>
    <w:rsid w:val="00661DD3"/>
    <w:rsid w:val="00661F42"/>
    <w:rsid w:val="00662759"/>
    <w:rsid w:val="006627EC"/>
    <w:rsid w:val="0066312B"/>
    <w:rsid w:val="006632D4"/>
    <w:rsid w:val="00663E3F"/>
    <w:rsid w:val="0066450A"/>
    <w:rsid w:val="00664F9D"/>
    <w:rsid w:val="00671940"/>
    <w:rsid w:val="006725D9"/>
    <w:rsid w:val="00673A89"/>
    <w:rsid w:val="00673AF3"/>
    <w:rsid w:val="00673C62"/>
    <w:rsid w:val="00674305"/>
    <w:rsid w:val="006744C5"/>
    <w:rsid w:val="00674B62"/>
    <w:rsid w:val="00674C0A"/>
    <w:rsid w:val="006757E9"/>
    <w:rsid w:val="00676C5C"/>
    <w:rsid w:val="006772E1"/>
    <w:rsid w:val="006777BC"/>
    <w:rsid w:val="0068082D"/>
    <w:rsid w:val="00680DAC"/>
    <w:rsid w:val="006813DC"/>
    <w:rsid w:val="006815CF"/>
    <w:rsid w:val="006824B5"/>
    <w:rsid w:val="00682FA9"/>
    <w:rsid w:val="0068579D"/>
    <w:rsid w:val="0068608A"/>
    <w:rsid w:val="00686600"/>
    <w:rsid w:val="0068684D"/>
    <w:rsid w:val="0068706C"/>
    <w:rsid w:val="00687669"/>
    <w:rsid w:val="006879F3"/>
    <w:rsid w:val="0069236F"/>
    <w:rsid w:val="006938DC"/>
    <w:rsid w:val="00693A1F"/>
    <w:rsid w:val="00694AAE"/>
    <w:rsid w:val="00696984"/>
    <w:rsid w:val="0069702B"/>
    <w:rsid w:val="006973DA"/>
    <w:rsid w:val="00697631"/>
    <w:rsid w:val="006A0C8C"/>
    <w:rsid w:val="006A0F05"/>
    <w:rsid w:val="006A2424"/>
    <w:rsid w:val="006A2C2E"/>
    <w:rsid w:val="006A301D"/>
    <w:rsid w:val="006A32BD"/>
    <w:rsid w:val="006A33FA"/>
    <w:rsid w:val="006A3B6B"/>
    <w:rsid w:val="006A46F4"/>
    <w:rsid w:val="006A4D32"/>
    <w:rsid w:val="006A5247"/>
    <w:rsid w:val="006A5845"/>
    <w:rsid w:val="006A603F"/>
    <w:rsid w:val="006A6CD6"/>
    <w:rsid w:val="006A72D5"/>
    <w:rsid w:val="006B1C22"/>
    <w:rsid w:val="006B21A1"/>
    <w:rsid w:val="006B3BCC"/>
    <w:rsid w:val="006B4127"/>
    <w:rsid w:val="006B5590"/>
    <w:rsid w:val="006B56AC"/>
    <w:rsid w:val="006B6DB9"/>
    <w:rsid w:val="006C1520"/>
    <w:rsid w:val="006C17D5"/>
    <w:rsid w:val="006C3404"/>
    <w:rsid w:val="006C4292"/>
    <w:rsid w:val="006C5ACF"/>
    <w:rsid w:val="006C5B81"/>
    <w:rsid w:val="006C66D3"/>
    <w:rsid w:val="006C76A4"/>
    <w:rsid w:val="006D1692"/>
    <w:rsid w:val="006D26CA"/>
    <w:rsid w:val="006D305C"/>
    <w:rsid w:val="006D4DE1"/>
    <w:rsid w:val="006D5266"/>
    <w:rsid w:val="006D58E2"/>
    <w:rsid w:val="006D5EFB"/>
    <w:rsid w:val="006D610C"/>
    <w:rsid w:val="006D6733"/>
    <w:rsid w:val="006D6B29"/>
    <w:rsid w:val="006D701A"/>
    <w:rsid w:val="006D7DDE"/>
    <w:rsid w:val="006E04CA"/>
    <w:rsid w:val="006E2FE2"/>
    <w:rsid w:val="006E39BE"/>
    <w:rsid w:val="006E3C74"/>
    <w:rsid w:val="006E40C2"/>
    <w:rsid w:val="006E5775"/>
    <w:rsid w:val="006E5807"/>
    <w:rsid w:val="006E598E"/>
    <w:rsid w:val="006E5CCA"/>
    <w:rsid w:val="006E615B"/>
    <w:rsid w:val="006E632C"/>
    <w:rsid w:val="006E6594"/>
    <w:rsid w:val="006F07BC"/>
    <w:rsid w:val="006F0FED"/>
    <w:rsid w:val="006F0FF0"/>
    <w:rsid w:val="006F11E2"/>
    <w:rsid w:val="006F2B60"/>
    <w:rsid w:val="006F3103"/>
    <w:rsid w:val="006F3805"/>
    <w:rsid w:val="006F382B"/>
    <w:rsid w:val="006F4AA1"/>
    <w:rsid w:val="006F5968"/>
    <w:rsid w:val="006F68A8"/>
    <w:rsid w:val="006F6958"/>
    <w:rsid w:val="006F76A2"/>
    <w:rsid w:val="00700527"/>
    <w:rsid w:val="007017A3"/>
    <w:rsid w:val="00702105"/>
    <w:rsid w:val="00703011"/>
    <w:rsid w:val="007035CB"/>
    <w:rsid w:val="0070421A"/>
    <w:rsid w:val="00705B0E"/>
    <w:rsid w:val="00706452"/>
    <w:rsid w:val="0070646C"/>
    <w:rsid w:val="00710AAC"/>
    <w:rsid w:val="00712E58"/>
    <w:rsid w:val="0071418A"/>
    <w:rsid w:val="007144EA"/>
    <w:rsid w:val="00714DF3"/>
    <w:rsid w:val="00715155"/>
    <w:rsid w:val="00716480"/>
    <w:rsid w:val="00716BF4"/>
    <w:rsid w:val="007174B3"/>
    <w:rsid w:val="0072066D"/>
    <w:rsid w:val="0072084B"/>
    <w:rsid w:val="00720F8D"/>
    <w:rsid w:val="00722D29"/>
    <w:rsid w:val="00723F06"/>
    <w:rsid w:val="00724177"/>
    <w:rsid w:val="00724376"/>
    <w:rsid w:val="00725C84"/>
    <w:rsid w:val="00730090"/>
    <w:rsid w:val="00730B32"/>
    <w:rsid w:val="007311F1"/>
    <w:rsid w:val="00732B3D"/>
    <w:rsid w:val="0073301E"/>
    <w:rsid w:val="00733042"/>
    <w:rsid w:val="00733C53"/>
    <w:rsid w:val="00737BAE"/>
    <w:rsid w:val="00740069"/>
    <w:rsid w:val="00740083"/>
    <w:rsid w:val="007402AA"/>
    <w:rsid w:val="00740918"/>
    <w:rsid w:val="00740A5F"/>
    <w:rsid w:val="00742F57"/>
    <w:rsid w:val="00742F9B"/>
    <w:rsid w:val="00743AB3"/>
    <w:rsid w:val="00744984"/>
    <w:rsid w:val="00745797"/>
    <w:rsid w:val="00746441"/>
    <w:rsid w:val="007476AC"/>
    <w:rsid w:val="0075074F"/>
    <w:rsid w:val="00750FA0"/>
    <w:rsid w:val="007517F0"/>
    <w:rsid w:val="00751AF9"/>
    <w:rsid w:val="0075214E"/>
    <w:rsid w:val="0075381E"/>
    <w:rsid w:val="00753875"/>
    <w:rsid w:val="00753F0D"/>
    <w:rsid w:val="0075433D"/>
    <w:rsid w:val="00756053"/>
    <w:rsid w:val="007562F1"/>
    <w:rsid w:val="0075761B"/>
    <w:rsid w:val="0076088C"/>
    <w:rsid w:val="00761347"/>
    <w:rsid w:val="0076150D"/>
    <w:rsid w:val="00761E8D"/>
    <w:rsid w:val="007633FC"/>
    <w:rsid w:val="007635B8"/>
    <w:rsid w:val="00764C6A"/>
    <w:rsid w:val="007664F3"/>
    <w:rsid w:val="00766A50"/>
    <w:rsid w:val="00767076"/>
    <w:rsid w:val="007702AD"/>
    <w:rsid w:val="00770778"/>
    <w:rsid w:val="00770ED6"/>
    <w:rsid w:val="007716ED"/>
    <w:rsid w:val="00773338"/>
    <w:rsid w:val="0077356F"/>
    <w:rsid w:val="0077500A"/>
    <w:rsid w:val="007752A5"/>
    <w:rsid w:val="007770BA"/>
    <w:rsid w:val="00777DC4"/>
    <w:rsid w:val="007802B1"/>
    <w:rsid w:val="00780E47"/>
    <w:rsid w:val="00781365"/>
    <w:rsid w:val="007815C2"/>
    <w:rsid w:val="00781615"/>
    <w:rsid w:val="00781891"/>
    <w:rsid w:val="007821C0"/>
    <w:rsid w:val="007838E4"/>
    <w:rsid w:val="00783EBA"/>
    <w:rsid w:val="00783ECE"/>
    <w:rsid w:val="00784F52"/>
    <w:rsid w:val="007865A4"/>
    <w:rsid w:val="0079051E"/>
    <w:rsid w:val="007907F6"/>
    <w:rsid w:val="00791A7B"/>
    <w:rsid w:val="0079236D"/>
    <w:rsid w:val="0079269E"/>
    <w:rsid w:val="00792E0A"/>
    <w:rsid w:val="00793129"/>
    <w:rsid w:val="007931E8"/>
    <w:rsid w:val="00793F6D"/>
    <w:rsid w:val="00796170"/>
    <w:rsid w:val="00796298"/>
    <w:rsid w:val="00796580"/>
    <w:rsid w:val="007A07F4"/>
    <w:rsid w:val="007A0F7A"/>
    <w:rsid w:val="007A11B1"/>
    <w:rsid w:val="007A2154"/>
    <w:rsid w:val="007A2233"/>
    <w:rsid w:val="007A32C2"/>
    <w:rsid w:val="007A3A78"/>
    <w:rsid w:val="007A4177"/>
    <w:rsid w:val="007A468A"/>
    <w:rsid w:val="007A5313"/>
    <w:rsid w:val="007A5A03"/>
    <w:rsid w:val="007A5F1E"/>
    <w:rsid w:val="007A608D"/>
    <w:rsid w:val="007A65FB"/>
    <w:rsid w:val="007A6A97"/>
    <w:rsid w:val="007A6CCB"/>
    <w:rsid w:val="007A7143"/>
    <w:rsid w:val="007A7760"/>
    <w:rsid w:val="007B0EB0"/>
    <w:rsid w:val="007B1AD4"/>
    <w:rsid w:val="007B3678"/>
    <w:rsid w:val="007B3ECD"/>
    <w:rsid w:val="007B4A36"/>
    <w:rsid w:val="007B59A4"/>
    <w:rsid w:val="007C01FC"/>
    <w:rsid w:val="007C0883"/>
    <w:rsid w:val="007C1C06"/>
    <w:rsid w:val="007C2313"/>
    <w:rsid w:val="007C3526"/>
    <w:rsid w:val="007C3747"/>
    <w:rsid w:val="007C4337"/>
    <w:rsid w:val="007C4678"/>
    <w:rsid w:val="007C5078"/>
    <w:rsid w:val="007C597D"/>
    <w:rsid w:val="007C606A"/>
    <w:rsid w:val="007C7692"/>
    <w:rsid w:val="007D0DB1"/>
    <w:rsid w:val="007D1095"/>
    <w:rsid w:val="007D197C"/>
    <w:rsid w:val="007D2655"/>
    <w:rsid w:val="007D2E1B"/>
    <w:rsid w:val="007D36C2"/>
    <w:rsid w:val="007D45CE"/>
    <w:rsid w:val="007D55FD"/>
    <w:rsid w:val="007D5A2E"/>
    <w:rsid w:val="007D5E56"/>
    <w:rsid w:val="007D624C"/>
    <w:rsid w:val="007D6DA9"/>
    <w:rsid w:val="007D6E2D"/>
    <w:rsid w:val="007D7248"/>
    <w:rsid w:val="007D7734"/>
    <w:rsid w:val="007D78C3"/>
    <w:rsid w:val="007E0098"/>
    <w:rsid w:val="007E0371"/>
    <w:rsid w:val="007E0574"/>
    <w:rsid w:val="007E06D2"/>
    <w:rsid w:val="007E090D"/>
    <w:rsid w:val="007E099C"/>
    <w:rsid w:val="007E1AB7"/>
    <w:rsid w:val="007E1B81"/>
    <w:rsid w:val="007E26D1"/>
    <w:rsid w:val="007E4915"/>
    <w:rsid w:val="007E4F8C"/>
    <w:rsid w:val="007E5BAA"/>
    <w:rsid w:val="007E5D2C"/>
    <w:rsid w:val="007E69C0"/>
    <w:rsid w:val="007F2C64"/>
    <w:rsid w:val="007F2F31"/>
    <w:rsid w:val="007F2F90"/>
    <w:rsid w:val="007F3545"/>
    <w:rsid w:val="007F474E"/>
    <w:rsid w:val="007F5952"/>
    <w:rsid w:val="007F617F"/>
    <w:rsid w:val="007F674F"/>
    <w:rsid w:val="007F78D4"/>
    <w:rsid w:val="007F7F1E"/>
    <w:rsid w:val="00800F67"/>
    <w:rsid w:val="0080178B"/>
    <w:rsid w:val="008047A5"/>
    <w:rsid w:val="00804C4B"/>
    <w:rsid w:val="00805787"/>
    <w:rsid w:val="00805B71"/>
    <w:rsid w:val="00805BA1"/>
    <w:rsid w:val="00806214"/>
    <w:rsid w:val="00806AF4"/>
    <w:rsid w:val="008070AE"/>
    <w:rsid w:val="008115F7"/>
    <w:rsid w:val="0081187A"/>
    <w:rsid w:val="00812B0A"/>
    <w:rsid w:val="00813B48"/>
    <w:rsid w:val="00816392"/>
    <w:rsid w:val="00816E7E"/>
    <w:rsid w:val="008211F1"/>
    <w:rsid w:val="0082191A"/>
    <w:rsid w:val="00823AB2"/>
    <w:rsid w:val="00825308"/>
    <w:rsid w:val="00825EEA"/>
    <w:rsid w:val="00826275"/>
    <w:rsid w:val="0082697E"/>
    <w:rsid w:val="00826A5E"/>
    <w:rsid w:val="0082717F"/>
    <w:rsid w:val="008354E7"/>
    <w:rsid w:val="00835AF1"/>
    <w:rsid w:val="00835C8A"/>
    <w:rsid w:val="00836B04"/>
    <w:rsid w:val="00836C67"/>
    <w:rsid w:val="00840289"/>
    <w:rsid w:val="00840CB6"/>
    <w:rsid w:val="00842537"/>
    <w:rsid w:val="008436DF"/>
    <w:rsid w:val="00844565"/>
    <w:rsid w:val="008454BC"/>
    <w:rsid w:val="008511A6"/>
    <w:rsid w:val="00851B8B"/>
    <w:rsid w:val="00853BAC"/>
    <w:rsid w:val="00855F7F"/>
    <w:rsid w:val="00856568"/>
    <w:rsid w:val="00857968"/>
    <w:rsid w:val="00861094"/>
    <w:rsid w:val="00861F9D"/>
    <w:rsid w:val="008625AB"/>
    <w:rsid w:val="008629FC"/>
    <w:rsid w:val="008633A4"/>
    <w:rsid w:val="00865891"/>
    <w:rsid w:val="00865B0B"/>
    <w:rsid w:val="008666AF"/>
    <w:rsid w:val="00871238"/>
    <w:rsid w:val="00872093"/>
    <w:rsid w:val="00873630"/>
    <w:rsid w:val="00873952"/>
    <w:rsid w:val="008745BC"/>
    <w:rsid w:val="00875602"/>
    <w:rsid w:val="0087576D"/>
    <w:rsid w:val="008757FD"/>
    <w:rsid w:val="00876149"/>
    <w:rsid w:val="00876378"/>
    <w:rsid w:val="00876443"/>
    <w:rsid w:val="00876B25"/>
    <w:rsid w:val="00876BFE"/>
    <w:rsid w:val="0087719D"/>
    <w:rsid w:val="00880C43"/>
    <w:rsid w:val="00882E53"/>
    <w:rsid w:val="008834D9"/>
    <w:rsid w:val="00884CD4"/>
    <w:rsid w:val="0088582C"/>
    <w:rsid w:val="00885A26"/>
    <w:rsid w:val="008867E4"/>
    <w:rsid w:val="00886CCF"/>
    <w:rsid w:val="00886F13"/>
    <w:rsid w:val="00886F6C"/>
    <w:rsid w:val="00886FE9"/>
    <w:rsid w:val="00891041"/>
    <w:rsid w:val="00891C57"/>
    <w:rsid w:val="00891F56"/>
    <w:rsid w:val="0089251B"/>
    <w:rsid w:val="00892960"/>
    <w:rsid w:val="00892CE1"/>
    <w:rsid w:val="00892D6D"/>
    <w:rsid w:val="008944DC"/>
    <w:rsid w:val="00894620"/>
    <w:rsid w:val="008951C8"/>
    <w:rsid w:val="008A210F"/>
    <w:rsid w:val="008A2A91"/>
    <w:rsid w:val="008A628B"/>
    <w:rsid w:val="008A650F"/>
    <w:rsid w:val="008A7533"/>
    <w:rsid w:val="008A7789"/>
    <w:rsid w:val="008B186F"/>
    <w:rsid w:val="008B2AF3"/>
    <w:rsid w:val="008B5B4A"/>
    <w:rsid w:val="008B5C79"/>
    <w:rsid w:val="008B60FE"/>
    <w:rsid w:val="008B6A68"/>
    <w:rsid w:val="008C062A"/>
    <w:rsid w:val="008C069E"/>
    <w:rsid w:val="008C118E"/>
    <w:rsid w:val="008C2CB0"/>
    <w:rsid w:val="008C3AEB"/>
    <w:rsid w:val="008C4224"/>
    <w:rsid w:val="008C4D74"/>
    <w:rsid w:val="008C4E69"/>
    <w:rsid w:val="008C54A9"/>
    <w:rsid w:val="008C59CB"/>
    <w:rsid w:val="008C6421"/>
    <w:rsid w:val="008C7432"/>
    <w:rsid w:val="008C7786"/>
    <w:rsid w:val="008D058A"/>
    <w:rsid w:val="008D06AE"/>
    <w:rsid w:val="008D0959"/>
    <w:rsid w:val="008D261A"/>
    <w:rsid w:val="008D2C35"/>
    <w:rsid w:val="008D429B"/>
    <w:rsid w:val="008D664D"/>
    <w:rsid w:val="008D7F8F"/>
    <w:rsid w:val="008E02A9"/>
    <w:rsid w:val="008E1A17"/>
    <w:rsid w:val="008E1E1E"/>
    <w:rsid w:val="008E20F6"/>
    <w:rsid w:val="008E3B3E"/>
    <w:rsid w:val="008E5DDC"/>
    <w:rsid w:val="008E5E46"/>
    <w:rsid w:val="008E72A1"/>
    <w:rsid w:val="008E7454"/>
    <w:rsid w:val="008F1B0B"/>
    <w:rsid w:val="008F1CD6"/>
    <w:rsid w:val="008F1F39"/>
    <w:rsid w:val="008F2317"/>
    <w:rsid w:val="008F2399"/>
    <w:rsid w:val="008F35A6"/>
    <w:rsid w:val="008F4096"/>
    <w:rsid w:val="008F48A7"/>
    <w:rsid w:val="008F4948"/>
    <w:rsid w:val="008F49E9"/>
    <w:rsid w:val="008F5EC0"/>
    <w:rsid w:val="008F6ED1"/>
    <w:rsid w:val="0090306D"/>
    <w:rsid w:val="0090308A"/>
    <w:rsid w:val="009034D6"/>
    <w:rsid w:val="00903591"/>
    <w:rsid w:val="009052F9"/>
    <w:rsid w:val="009064D6"/>
    <w:rsid w:val="00906965"/>
    <w:rsid w:val="00910D94"/>
    <w:rsid w:val="00912262"/>
    <w:rsid w:val="00912939"/>
    <w:rsid w:val="00912B46"/>
    <w:rsid w:val="00912E55"/>
    <w:rsid w:val="00913A19"/>
    <w:rsid w:val="00914332"/>
    <w:rsid w:val="00914353"/>
    <w:rsid w:val="00914D12"/>
    <w:rsid w:val="00914D40"/>
    <w:rsid w:val="0091553E"/>
    <w:rsid w:val="009162E1"/>
    <w:rsid w:val="009165B2"/>
    <w:rsid w:val="00916FD7"/>
    <w:rsid w:val="00917B93"/>
    <w:rsid w:val="00917D52"/>
    <w:rsid w:val="00917F71"/>
    <w:rsid w:val="009209A3"/>
    <w:rsid w:val="009212B0"/>
    <w:rsid w:val="009214AB"/>
    <w:rsid w:val="0092178E"/>
    <w:rsid w:val="00921A3F"/>
    <w:rsid w:val="00921C4A"/>
    <w:rsid w:val="009221F3"/>
    <w:rsid w:val="0092381E"/>
    <w:rsid w:val="00923A68"/>
    <w:rsid w:val="00923E60"/>
    <w:rsid w:val="009244C4"/>
    <w:rsid w:val="00924C7C"/>
    <w:rsid w:val="009269C6"/>
    <w:rsid w:val="00926BA9"/>
    <w:rsid w:val="009270BF"/>
    <w:rsid w:val="00927DEE"/>
    <w:rsid w:val="009310D4"/>
    <w:rsid w:val="009312A3"/>
    <w:rsid w:val="00932B64"/>
    <w:rsid w:val="00932D21"/>
    <w:rsid w:val="00932E2C"/>
    <w:rsid w:val="00933316"/>
    <w:rsid w:val="00933E6D"/>
    <w:rsid w:val="00934BE9"/>
    <w:rsid w:val="009374B0"/>
    <w:rsid w:val="00937A4E"/>
    <w:rsid w:val="0094061A"/>
    <w:rsid w:val="00941291"/>
    <w:rsid w:val="00942E33"/>
    <w:rsid w:val="00944B26"/>
    <w:rsid w:val="00946517"/>
    <w:rsid w:val="009469BE"/>
    <w:rsid w:val="00946F68"/>
    <w:rsid w:val="009476EA"/>
    <w:rsid w:val="00951FB7"/>
    <w:rsid w:val="00952202"/>
    <w:rsid w:val="009523C7"/>
    <w:rsid w:val="00952969"/>
    <w:rsid w:val="009530C0"/>
    <w:rsid w:val="009532A7"/>
    <w:rsid w:val="0095347B"/>
    <w:rsid w:val="009537DC"/>
    <w:rsid w:val="009537E6"/>
    <w:rsid w:val="009541AB"/>
    <w:rsid w:val="00954487"/>
    <w:rsid w:val="00955265"/>
    <w:rsid w:val="00956F16"/>
    <w:rsid w:val="0095781F"/>
    <w:rsid w:val="00957F1F"/>
    <w:rsid w:val="00960E23"/>
    <w:rsid w:val="00960E72"/>
    <w:rsid w:val="00962E80"/>
    <w:rsid w:val="00962EA9"/>
    <w:rsid w:val="00963804"/>
    <w:rsid w:val="009639CE"/>
    <w:rsid w:val="00964409"/>
    <w:rsid w:val="00964990"/>
    <w:rsid w:val="00964CE7"/>
    <w:rsid w:val="009677BA"/>
    <w:rsid w:val="00967AFB"/>
    <w:rsid w:val="00970FCA"/>
    <w:rsid w:val="00971016"/>
    <w:rsid w:val="00972181"/>
    <w:rsid w:val="00972368"/>
    <w:rsid w:val="0097255C"/>
    <w:rsid w:val="00972742"/>
    <w:rsid w:val="00973233"/>
    <w:rsid w:val="0097755E"/>
    <w:rsid w:val="00977C0B"/>
    <w:rsid w:val="0098151F"/>
    <w:rsid w:val="0098196E"/>
    <w:rsid w:val="009831E7"/>
    <w:rsid w:val="00983C7D"/>
    <w:rsid w:val="00983DED"/>
    <w:rsid w:val="00983EB9"/>
    <w:rsid w:val="00984816"/>
    <w:rsid w:val="009848DC"/>
    <w:rsid w:val="00984C00"/>
    <w:rsid w:val="00984E5E"/>
    <w:rsid w:val="0098688D"/>
    <w:rsid w:val="0099002E"/>
    <w:rsid w:val="0099077F"/>
    <w:rsid w:val="00990F18"/>
    <w:rsid w:val="009918C2"/>
    <w:rsid w:val="00991FB8"/>
    <w:rsid w:val="009920EC"/>
    <w:rsid w:val="00992A86"/>
    <w:rsid w:val="00992A94"/>
    <w:rsid w:val="00992A97"/>
    <w:rsid w:val="00993EA1"/>
    <w:rsid w:val="00993F71"/>
    <w:rsid w:val="00994744"/>
    <w:rsid w:val="00994C03"/>
    <w:rsid w:val="00996E07"/>
    <w:rsid w:val="00997EED"/>
    <w:rsid w:val="009A07D9"/>
    <w:rsid w:val="009A1D16"/>
    <w:rsid w:val="009A1DEF"/>
    <w:rsid w:val="009A2392"/>
    <w:rsid w:val="009A5975"/>
    <w:rsid w:val="009A5B11"/>
    <w:rsid w:val="009A70E4"/>
    <w:rsid w:val="009A7AAD"/>
    <w:rsid w:val="009A7E76"/>
    <w:rsid w:val="009B11F5"/>
    <w:rsid w:val="009B27E6"/>
    <w:rsid w:val="009B3088"/>
    <w:rsid w:val="009B661E"/>
    <w:rsid w:val="009B73D2"/>
    <w:rsid w:val="009C0855"/>
    <w:rsid w:val="009C1BB8"/>
    <w:rsid w:val="009C2F43"/>
    <w:rsid w:val="009C31C8"/>
    <w:rsid w:val="009C530A"/>
    <w:rsid w:val="009C5F52"/>
    <w:rsid w:val="009C76F9"/>
    <w:rsid w:val="009D2120"/>
    <w:rsid w:val="009D2B78"/>
    <w:rsid w:val="009D2C21"/>
    <w:rsid w:val="009D2D65"/>
    <w:rsid w:val="009D2D72"/>
    <w:rsid w:val="009D3947"/>
    <w:rsid w:val="009D3F06"/>
    <w:rsid w:val="009D41E2"/>
    <w:rsid w:val="009D4A91"/>
    <w:rsid w:val="009D6267"/>
    <w:rsid w:val="009D7171"/>
    <w:rsid w:val="009E016C"/>
    <w:rsid w:val="009E0E9B"/>
    <w:rsid w:val="009E1435"/>
    <w:rsid w:val="009E172A"/>
    <w:rsid w:val="009E53A1"/>
    <w:rsid w:val="009E5D6C"/>
    <w:rsid w:val="009E5EDD"/>
    <w:rsid w:val="009E629C"/>
    <w:rsid w:val="009E6637"/>
    <w:rsid w:val="009E73B2"/>
    <w:rsid w:val="009F0DCB"/>
    <w:rsid w:val="009F178D"/>
    <w:rsid w:val="009F2A75"/>
    <w:rsid w:val="009F3767"/>
    <w:rsid w:val="009F3E20"/>
    <w:rsid w:val="009F4830"/>
    <w:rsid w:val="009F4994"/>
    <w:rsid w:val="009F5DFA"/>
    <w:rsid w:val="009F5EF2"/>
    <w:rsid w:val="009F6ABF"/>
    <w:rsid w:val="009F7077"/>
    <w:rsid w:val="009F796A"/>
    <w:rsid w:val="00A00829"/>
    <w:rsid w:val="00A0425C"/>
    <w:rsid w:val="00A04EEC"/>
    <w:rsid w:val="00A06FB3"/>
    <w:rsid w:val="00A07729"/>
    <w:rsid w:val="00A10DC4"/>
    <w:rsid w:val="00A12E22"/>
    <w:rsid w:val="00A13356"/>
    <w:rsid w:val="00A13DD5"/>
    <w:rsid w:val="00A13FCE"/>
    <w:rsid w:val="00A15191"/>
    <w:rsid w:val="00A1519A"/>
    <w:rsid w:val="00A160EE"/>
    <w:rsid w:val="00A23222"/>
    <w:rsid w:val="00A23A61"/>
    <w:rsid w:val="00A23D0D"/>
    <w:rsid w:val="00A24530"/>
    <w:rsid w:val="00A2668F"/>
    <w:rsid w:val="00A270E7"/>
    <w:rsid w:val="00A2762B"/>
    <w:rsid w:val="00A2794D"/>
    <w:rsid w:val="00A329DF"/>
    <w:rsid w:val="00A32E61"/>
    <w:rsid w:val="00A3312F"/>
    <w:rsid w:val="00A33273"/>
    <w:rsid w:val="00A33281"/>
    <w:rsid w:val="00A335F3"/>
    <w:rsid w:val="00A337C6"/>
    <w:rsid w:val="00A33B4E"/>
    <w:rsid w:val="00A33C3E"/>
    <w:rsid w:val="00A33F3F"/>
    <w:rsid w:val="00A3455D"/>
    <w:rsid w:val="00A34A20"/>
    <w:rsid w:val="00A410B5"/>
    <w:rsid w:val="00A41A40"/>
    <w:rsid w:val="00A41ED4"/>
    <w:rsid w:val="00A421C8"/>
    <w:rsid w:val="00A434A6"/>
    <w:rsid w:val="00A43AEC"/>
    <w:rsid w:val="00A44684"/>
    <w:rsid w:val="00A45CCD"/>
    <w:rsid w:val="00A46C42"/>
    <w:rsid w:val="00A47ADD"/>
    <w:rsid w:val="00A50F7F"/>
    <w:rsid w:val="00A512AE"/>
    <w:rsid w:val="00A516E0"/>
    <w:rsid w:val="00A521EE"/>
    <w:rsid w:val="00A53B91"/>
    <w:rsid w:val="00A53CFF"/>
    <w:rsid w:val="00A54392"/>
    <w:rsid w:val="00A54994"/>
    <w:rsid w:val="00A54F0C"/>
    <w:rsid w:val="00A56234"/>
    <w:rsid w:val="00A570D3"/>
    <w:rsid w:val="00A57110"/>
    <w:rsid w:val="00A57DD6"/>
    <w:rsid w:val="00A605F7"/>
    <w:rsid w:val="00A61695"/>
    <w:rsid w:val="00A626A4"/>
    <w:rsid w:val="00A633E9"/>
    <w:rsid w:val="00A63891"/>
    <w:rsid w:val="00A64497"/>
    <w:rsid w:val="00A6692B"/>
    <w:rsid w:val="00A66C26"/>
    <w:rsid w:val="00A67B59"/>
    <w:rsid w:val="00A67FE2"/>
    <w:rsid w:val="00A725F8"/>
    <w:rsid w:val="00A72650"/>
    <w:rsid w:val="00A73278"/>
    <w:rsid w:val="00A760E9"/>
    <w:rsid w:val="00A763B6"/>
    <w:rsid w:val="00A76707"/>
    <w:rsid w:val="00A80924"/>
    <w:rsid w:val="00A80A1F"/>
    <w:rsid w:val="00A80BE7"/>
    <w:rsid w:val="00A814BB"/>
    <w:rsid w:val="00A82510"/>
    <w:rsid w:val="00A83F41"/>
    <w:rsid w:val="00A85064"/>
    <w:rsid w:val="00A85087"/>
    <w:rsid w:val="00A851CE"/>
    <w:rsid w:val="00A85579"/>
    <w:rsid w:val="00A85B5A"/>
    <w:rsid w:val="00A868F2"/>
    <w:rsid w:val="00A8798C"/>
    <w:rsid w:val="00A90A6F"/>
    <w:rsid w:val="00A90E62"/>
    <w:rsid w:val="00A9252E"/>
    <w:rsid w:val="00A92AB7"/>
    <w:rsid w:val="00A92CB0"/>
    <w:rsid w:val="00A93840"/>
    <w:rsid w:val="00A94094"/>
    <w:rsid w:val="00A95134"/>
    <w:rsid w:val="00A96C68"/>
    <w:rsid w:val="00A97336"/>
    <w:rsid w:val="00A9795D"/>
    <w:rsid w:val="00A97E42"/>
    <w:rsid w:val="00AA208B"/>
    <w:rsid w:val="00AA2E04"/>
    <w:rsid w:val="00AA340D"/>
    <w:rsid w:val="00AA377B"/>
    <w:rsid w:val="00AA3CF1"/>
    <w:rsid w:val="00AA4C0E"/>
    <w:rsid w:val="00AA5760"/>
    <w:rsid w:val="00AA59B5"/>
    <w:rsid w:val="00AA6E2D"/>
    <w:rsid w:val="00AA6F58"/>
    <w:rsid w:val="00AA7344"/>
    <w:rsid w:val="00AB0108"/>
    <w:rsid w:val="00AB1702"/>
    <w:rsid w:val="00AB1C9F"/>
    <w:rsid w:val="00AB272E"/>
    <w:rsid w:val="00AB358A"/>
    <w:rsid w:val="00AB3FE1"/>
    <w:rsid w:val="00AB5A6E"/>
    <w:rsid w:val="00AB5B3C"/>
    <w:rsid w:val="00AB5D68"/>
    <w:rsid w:val="00AB6A67"/>
    <w:rsid w:val="00AB7AFA"/>
    <w:rsid w:val="00AC0266"/>
    <w:rsid w:val="00AC0AB6"/>
    <w:rsid w:val="00AC0F54"/>
    <w:rsid w:val="00AC1BE1"/>
    <w:rsid w:val="00AC21C9"/>
    <w:rsid w:val="00AC3866"/>
    <w:rsid w:val="00AC3954"/>
    <w:rsid w:val="00AC62B1"/>
    <w:rsid w:val="00AC6599"/>
    <w:rsid w:val="00AC6E6A"/>
    <w:rsid w:val="00AC7838"/>
    <w:rsid w:val="00AD0587"/>
    <w:rsid w:val="00AD1039"/>
    <w:rsid w:val="00AD138B"/>
    <w:rsid w:val="00AD1905"/>
    <w:rsid w:val="00AD46B6"/>
    <w:rsid w:val="00AD51D0"/>
    <w:rsid w:val="00AD5948"/>
    <w:rsid w:val="00AD5A56"/>
    <w:rsid w:val="00AD7131"/>
    <w:rsid w:val="00AE196D"/>
    <w:rsid w:val="00AE27A6"/>
    <w:rsid w:val="00AE27C9"/>
    <w:rsid w:val="00AE27EA"/>
    <w:rsid w:val="00AE4323"/>
    <w:rsid w:val="00AE46AD"/>
    <w:rsid w:val="00AE5322"/>
    <w:rsid w:val="00AE7932"/>
    <w:rsid w:val="00AF1026"/>
    <w:rsid w:val="00AF1BF2"/>
    <w:rsid w:val="00AF28D7"/>
    <w:rsid w:val="00AF28DD"/>
    <w:rsid w:val="00AF2D06"/>
    <w:rsid w:val="00AF2D92"/>
    <w:rsid w:val="00AF401A"/>
    <w:rsid w:val="00AF6CCB"/>
    <w:rsid w:val="00AF6E60"/>
    <w:rsid w:val="00AF70D9"/>
    <w:rsid w:val="00B002FE"/>
    <w:rsid w:val="00B004C5"/>
    <w:rsid w:val="00B00AD2"/>
    <w:rsid w:val="00B03D8A"/>
    <w:rsid w:val="00B03DBD"/>
    <w:rsid w:val="00B04847"/>
    <w:rsid w:val="00B0557E"/>
    <w:rsid w:val="00B0631B"/>
    <w:rsid w:val="00B0658B"/>
    <w:rsid w:val="00B06EF0"/>
    <w:rsid w:val="00B070AE"/>
    <w:rsid w:val="00B075C2"/>
    <w:rsid w:val="00B10ED6"/>
    <w:rsid w:val="00B11AEA"/>
    <w:rsid w:val="00B11B63"/>
    <w:rsid w:val="00B120CA"/>
    <w:rsid w:val="00B120EC"/>
    <w:rsid w:val="00B12299"/>
    <w:rsid w:val="00B13245"/>
    <w:rsid w:val="00B13B42"/>
    <w:rsid w:val="00B13B52"/>
    <w:rsid w:val="00B13ED9"/>
    <w:rsid w:val="00B1441B"/>
    <w:rsid w:val="00B158E1"/>
    <w:rsid w:val="00B16542"/>
    <w:rsid w:val="00B16929"/>
    <w:rsid w:val="00B170EC"/>
    <w:rsid w:val="00B215AC"/>
    <w:rsid w:val="00B23107"/>
    <w:rsid w:val="00B23909"/>
    <w:rsid w:val="00B23C5E"/>
    <w:rsid w:val="00B248CC"/>
    <w:rsid w:val="00B24DC5"/>
    <w:rsid w:val="00B25901"/>
    <w:rsid w:val="00B25C0A"/>
    <w:rsid w:val="00B30C7D"/>
    <w:rsid w:val="00B310C7"/>
    <w:rsid w:val="00B3227D"/>
    <w:rsid w:val="00B32E99"/>
    <w:rsid w:val="00B337F1"/>
    <w:rsid w:val="00B34457"/>
    <w:rsid w:val="00B37FD7"/>
    <w:rsid w:val="00B4001C"/>
    <w:rsid w:val="00B40FFD"/>
    <w:rsid w:val="00B4389A"/>
    <w:rsid w:val="00B43B11"/>
    <w:rsid w:val="00B43BE9"/>
    <w:rsid w:val="00B440D0"/>
    <w:rsid w:val="00B456CD"/>
    <w:rsid w:val="00B460B7"/>
    <w:rsid w:val="00B460DA"/>
    <w:rsid w:val="00B46432"/>
    <w:rsid w:val="00B467D9"/>
    <w:rsid w:val="00B50C58"/>
    <w:rsid w:val="00B50D3E"/>
    <w:rsid w:val="00B521CB"/>
    <w:rsid w:val="00B52E43"/>
    <w:rsid w:val="00B52FD7"/>
    <w:rsid w:val="00B55BDA"/>
    <w:rsid w:val="00B57D6E"/>
    <w:rsid w:val="00B63FB6"/>
    <w:rsid w:val="00B640FC"/>
    <w:rsid w:val="00B6641D"/>
    <w:rsid w:val="00B66F45"/>
    <w:rsid w:val="00B67B09"/>
    <w:rsid w:val="00B67CA9"/>
    <w:rsid w:val="00B70887"/>
    <w:rsid w:val="00B70F73"/>
    <w:rsid w:val="00B7100C"/>
    <w:rsid w:val="00B712A2"/>
    <w:rsid w:val="00B72695"/>
    <w:rsid w:val="00B73102"/>
    <w:rsid w:val="00B733C7"/>
    <w:rsid w:val="00B7404E"/>
    <w:rsid w:val="00B742EF"/>
    <w:rsid w:val="00B75F8F"/>
    <w:rsid w:val="00B76183"/>
    <w:rsid w:val="00B81762"/>
    <w:rsid w:val="00B82355"/>
    <w:rsid w:val="00B83EDD"/>
    <w:rsid w:val="00B85DCC"/>
    <w:rsid w:val="00B8613D"/>
    <w:rsid w:val="00B867F0"/>
    <w:rsid w:val="00B874F4"/>
    <w:rsid w:val="00B875FE"/>
    <w:rsid w:val="00B90C57"/>
    <w:rsid w:val="00B93A80"/>
    <w:rsid w:val="00B93B28"/>
    <w:rsid w:val="00B93B3B"/>
    <w:rsid w:val="00B953DC"/>
    <w:rsid w:val="00B963EC"/>
    <w:rsid w:val="00B96BCF"/>
    <w:rsid w:val="00B96DB9"/>
    <w:rsid w:val="00B97CB2"/>
    <w:rsid w:val="00BA26B9"/>
    <w:rsid w:val="00BA2FD2"/>
    <w:rsid w:val="00BA303A"/>
    <w:rsid w:val="00BA3CFA"/>
    <w:rsid w:val="00BA4FB3"/>
    <w:rsid w:val="00BA54CD"/>
    <w:rsid w:val="00BA5CD6"/>
    <w:rsid w:val="00BA6035"/>
    <w:rsid w:val="00BA6052"/>
    <w:rsid w:val="00BA6A15"/>
    <w:rsid w:val="00BA7116"/>
    <w:rsid w:val="00BA7424"/>
    <w:rsid w:val="00BA785A"/>
    <w:rsid w:val="00BB12D9"/>
    <w:rsid w:val="00BB17BE"/>
    <w:rsid w:val="00BB28D5"/>
    <w:rsid w:val="00BB2A7E"/>
    <w:rsid w:val="00BB3143"/>
    <w:rsid w:val="00BB31FC"/>
    <w:rsid w:val="00BB38B4"/>
    <w:rsid w:val="00BB3957"/>
    <w:rsid w:val="00BB3AB3"/>
    <w:rsid w:val="00BB777D"/>
    <w:rsid w:val="00BC090A"/>
    <w:rsid w:val="00BC194F"/>
    <w:rsid w:val="00BC1982"/>
    <w:rsid w:val="00BC27C6"/>
    <w:rsid w:val="00BC2B55"/>
    <w:rsid w:val="00BC3A57"/>
    <w:rsid w:val="00BC3E52"/>
    <w:rsid w:val="00BC54BD"/>
    <w:rsid w:val="00BC6831"/>
    <w:rsid w:val="00BC7018"/>
    <w:rsid w:val="00BD0D30"/>
    <w:rsid w:val="00BD22C9"/>
    <w:rsid w:val="00BD2904"/>
    <w:rsid w:val="00BD4C85"/>
    <w:rsid w:val="00BD72A2"/>
    <w:rsid w:val="00BE088E"/>
    <w:rsid w:val="00BE1621"/>
    <w:rsid w:val="00BE314E"/>
    <w:rsid w:val="00BE5713"/>
    <w:rsid w:val="00BE6332"/>
    <w:rsid w:val="00BE6853"/>
    <w:rsid w:val="00BF0EC1"/>
    <w:rsid w:val="00BF25D3"/>
    <w:rsid w:val="00BF4262"/>
    <w:rsid w:val="00BF4766"/>
    <w:rsid w:val="00BF54EC"/>
    <w:rsid w:val="00BF7AE6"/>
    <w:rsid w:val="00C00177"/>
    <w:rsid w:val="00C0090B"/>
    <w:rsid w:val="00C00FF7"/>
    <w:rsid w:val="00C017EE"/>
    <w:rsid w:val="00C02BFF"/>
    <w:rsid w:val="00C04738"/>
    <w:rsid w:val="00C04E49"/>
    <w:rsid w:val="00C05BCE"/>
    <w:rsid w:val="00C06832"/>
    <w:rsid w:val="00C068C7"/>
    <w:rsid w:val="00C07BAA"/>
    <w:rsid w:val="00C07BBA"/>
    <w:rsid w:val="00C100F4"/>
    <w:rsid w:val="00C101FD"/>
    <w:rsid w:val="00C10D34"/>
    <w:rsid w:val="00C12D44"/>
    <w:rsid w:val="00C12FCA"/>
    <w:rsid w:val="00C131D3"/>
    <w:rsid w:val="00C14024"/>
    <w:rsid w:val="00C14166"/>
    <w:rsid w:val="00C1482F"/>
    <w:rsid w:val="00C14F06"/>
    <w:rsid w:val="00C1625D"/>
    <w:rsid w:val="00C251DB"/>
    <w:rsid w:val="00C25210"/>
    <w:rsid w:val="00C26BCC"/>
    <w:rsid w:val="00C27395"/>
    <w:rsid w:val="00C27876"/>
    <w:rsid w:val="00C30DD0"/>
    <w:rsid w:val="00C3182C"/>
    <w:rsid w:val="00C31DE7"/>
    <w:rsid w:val="00C3204C"/>
    <w:rsid w:val="00C34230"/>
    <w:rsid w:val="00C3444D"/>
    <w:rsid w:val="00C34DBF"/>
    <w:rsid w:val="00C35AFC"/>
    <w:rsid w:val="00C35BE4"/>
    <w:rsid w:val="00C36D42"/>
    <w:rsid w:val="00C36FF4"/>
    <w:rsid w:val="00C405C2"/>
    <w:rsid w:val="00C40BAF"/>
    <w:rsid w:val="00C420A9"/>
    <w:rsid w:val="00C42835"/>
    <w:rsid w:val="00C431B9"/>
    <w:rsid w:val="00C4343B"/>
    <w:rsid w:val="00C45A9D"/>
    <w:rsid w:val="00C47968"/>
    <w:rsid w:val="00C47B7E"/>
    <w:rsid w:val="00C50196"/>
    <w:rsid w:val="00C50F62"/>
    <w:rsid w:val="00C5184C"/>
    <w:rsid w:val="00C5297F"/>
    <w:rsid w:val="00C52B12"/>
    <w:rsid w:val="00C541A1"/>
    <w:rsid w:val="00C55644"/>
    <w:rsid w:val="00C55DC9"/>
    <w:rsid w:val="00C5692A"/>
    <w:rsid w:val="00C57857"/>
    <w:rsid w:val="00C61302"/>
    <w:rsid w:val="00C61650"/>
    <w:rsid w:val="00C63517"/>
    <w:rsid w:val="00C648AD"/>
    <w:rsid w:val="00C64A8F"/>
    <w:rsid w:val="00C6552E"/>
    <w:rsid w:val="00C6579E"/>
    <w:rsid w:val="00C677CC"/>
    <w:rsid w:val="00C67C35"/>
    <w:rsid w:val="00C67C99"/>
    <w:rsid w:val="00C67CEF"/>
    <w:rsid w:val="00C67DD3"/>
    <w:rsid w:val="00C67EA8"/>
    <w:rsid w:val="00C70189"/>
    <w:rsid w:val="00C70C62"/>
    <w:rsid w:val="00C7262F"/>
    <w:rsid w:val="00C72AC1"/>
    <w:rsid w:val="00C73077"/>
    <w:rsid w:val="00C735CB"/>
    <w:rsid w:val="00C73A95"/>
    <w:rsid w:val="00C74891"/>
    <w:rsid w:val="00C76065"/>
    <w:rsid w:val="00C80829"/>
    <w:rsid w:val="00C80F68"/>
    <w:rsid w:val="00C818A2"/>
    <w:rsid w:val="00C82D9E"/>
    <w:rsid w:val="00C82FB8"/>
    <w:rsid w:val="00C872DB"/>
    <w:rsid w:val="00C875F8"/>
    <w:rsid w:val="00C87B5B"/>
    <w:rsid w:val="00C90F78"/>
    <w:rsid w:val="00C91942"/>
    <w:rsid w:val="00C92036"/>
    <w:rsid w:val="00C9342B"/>
    <w:rsid w:val="00C93A8C"/>
    <w:rsid w:val="00C950EF"/>
    <w:rsid w:val="00C95191"/>
    <w:rsid w:val="00C953FA"/>
    <w:rsid w:val="00C959BB"/>
    <w:rsid w:val="00C95C38"/>
    <w:rsid w:val="00C96E1C"/>
    <w:rsid w:val="00C973A3"/>
    <w:rsid w:val="00C979E4"/>
    <w:rsid w:val="00CA0D11"/>
    <w:rsid w:val="00CA2BB1"/>
    <w:rsid w:val="00CA34D2"/>
    <w:rsid w:val="00CA392D"/>
    <w:rsid w:val="00CA467D"/>
    <w:rsid w:val="00CA47E8"/>
    <w:rsid w:val="00CA4829"/>
    <w:rsid w:val="00CA49C9"/>
    <w:rsid w:val="00CA78DA"/>
    <w:rsid w:val="00CA793D"/>
    <w:rsid w:val="00CB218B"/>
    <w:rsid w:val="00CB2666"/>
    <w:rsid w:val="00CB2C78"/>
    <w:rsid w:val="00CB304D"/>
    <w:rsid w:val="00CB4A5F"/>
    <w:rsid w:val="00CB4BA6"/>
    <w:rsid w:val="00CB4DF5"/>
    <w:rsid w:val="00CB6112"/>
    <w:rsid w:val="00CB7381"/>
    <w:rsid w:val="00CB74BE"/>
    <w:rsid w:val="00CC0A59"/>
    <w:rsid w:val="00CC129E"/>
    <w:rsid w:val="00CC152B"/>
    <w:rsid w:val="00CC1746"/>
    <w:rsid w:val="00CC2BB9"/>
    <w:rsid w:val="00CC4BEC"/>
    <w:rsid w:val="00CC58FF"/>
    <w:rsid w:val="00CC59A5"/>
    <w:rsid w:val="00CC61DC"/>
    <w:rsid w:val="00CC6EF9"/>
    <w:rsid w:val="00CC7499"/>
    <w:rsid w:val="00CD1A3B"/>
    <w:rsid w:val="00CD20F4"/>
    <w:rsid w:val="00CD2B81"/>
    <w:rsid w:val="00CD2BA6"/>
    <w:rsid w:val="00CD2FBF"/>
    <w:rsid w:val="00CD337F"/>
    <w:rsid w:val="00CD45C3"/>
    <w:rsid w:val="00CD5705"/>
    <w:rsid w:val="00CD6465"/>
    <w:rsid w:val="00CD7E03"/>
    <w:rsid w:val="00CE0788"/>
    <w:rsid w:val="00CE194E"/>
    <w:rsid w:val="00CE1C1D"/>
    <w:rsid w:val="00CE262F"/>
    <w:rsid w:val="00CE531F"/>
    <w:rsid w:val="00CE535D"/>
    <w:rsid w:val="00CE5A71"/>
    <w:rsid w:val="00CE5C64"/>
    <w:rsid w:val="00CE6F82"/>
    <w:rsid w:val="00CE7096"/>
    <w:rsid w:val="00CE731D"/>
    <w:rsid w:val="00CF0346"/>
    <w:rsid w:val="00CF06DC"/>
    <w:rsid w:val="00CF1CE1"/>
    <w:rsid w:val="00CF2BC7"/>
    <w:rsid w:val="00CF2F96"/>
    <w:rsid w:val="00CF569B"/>
    <w:rsid w:val="00CF5816"/>
    <w:rsid w:val="00CF6E16"/>
    <w:rsid w:val="00CF7D69"/>
    <w:rsid w:val="00D00C38"/>
    <w:rsid w:val="00D025D5"/>
    <w:rsid w:val="00D027A1"/>
    <w:rsid w:val="00D03433"/>
    <w:rsid w:val="00D0637B"/>
    <w:rsid w:val="00D06989"/>
    <w:rsid w:val="00D100F3"/>
    <w:rsid w:val="00D10596"/>
    <w:rsid w:val="00D11B1F"/>
    <w:rsid w:val="00D121BF"/>
    <w:rsid w:val="00D12D32"/>
    <w:rsid w:val="00D139D3"/>
    <w:rsid w:val="00D13DC4"/>
    <w:rsid w:val="00D165BD"/>
    <w:rsid w:val="00D20429"/>
    <w:rsid w:val="00D20830"/>
    <w:rsid w:val="00D22F08"/>
    <w:rsid w:val="00D23DC3"/>
    <w:rsid w:val="00D256AD"/>
    <w:rsid w:val="00D2584E"/>
    <w:rsid w:val="00D25B0F"/>
    <w:rsid w:val="00D27F75"/>
    <w:rsid w:val="00D31021"/>
    <w:rsid w:val="00D310EC"/>
    <w:rsid w:val="00D3194E"/>
    <w:rsid w:val="00D327C0"/>
    <w:rsid w:val="00D33235"/>
    <w:rsid w:val="00D34F57"/>
    <w:rsid w:val="00D36429"/>
    <w:rsid w:val="00D36927"/>
    <w:rsid w:val="00D37F45"/>
    <w:rsid w:val="00D40692"/>
    <w:rsid w:val="00D408B0"/>
    <w:rsid w:val="00D429F9"/>
    <w:rsid w:val="00D430EB"/>
    <w:rsid w:val="00D4449E"/>
    <w:rsid w:val="00D44528"/>
    <w:rsid w:val="00D44A3B"/>
    <w:rsid w:val="00D44C96"/>
    <w:rsid w:val="00D46237"/>
    <w:rsid w:val="00D47C86"/>
    <w:rsid w:val="00D51BE6"/>
    <w:rsid w:val="00D520AD"/>
    <w:rsid w:val="00D52150"/>
    <w:rsid w:val="00D53A9B"/>
    <w:rsid w:val="00D53AF4"/>
    <w:rsid w:val="00D54766"/>
    <w:rsid w:val="00D560D9"/>
    <w:rsid w:val="00D566C9"/>
    <w:rsid w:val="00D5745B"/>
    <w:rsid w:val="00D60F92"/>
    <w:rsid w:val="00D61851"/>
    <w:rsid w:val="00D6225D"/>
    <w:rsid w:val="00D62566"/>
    <w:rsid w:val="00D62F1F"/>
    <w:rsid w:val="00D630F6"/>
    <w:rsid w:val="00D63132"/>
    <w:rsid w:val="00D637B1"/>
    <w:rsid w:val="00D64B2D"/>
    <w:rsid w:val="00D64B4C"/>
    <w:rsid w:val="00D663A9"/>
    <w:rsid w:val="00D66544"/>
    <w:rsid w:val="00D668F0"/>
    <w:rsid w:val="00D66B96"/>
    <w:rsid w:val="00D66BFC"/>
    <w:rsid w:val="00D67177"/>
    <w:rsid w:val="00D671DB"/>
    <w:rsid w:val="00D67468"/>
    <w:rsid w:val="00D67ACB"/>
    <w:rsid w:val="00D7193F"/>
    <w:rsid w:val="00D71EDA"/>
    <w:rsid w:val="00D73697"/>
    <w:rsid w:val="00D75C8A"/>
    <w:rsid w:val="00D7612D"/>
    <w:rsid w:val="00D7687D"/>
    <w:rsid w:val="00D769AF"/>
    <w:rsid w:val="00D818A8"/>
    <w:rsid w:val="00D821F1"/>
    <w:rsid w:val="00D826D3"/>
    <w:rsid w:val="00D82FE5"/>
    <w:rsid w:val="00D83925"/>
    <w:rsid w:val="00D83A09"/>
    <w:rsid w:val="00D84776"/>
    <w:rsid w:val="00D90AC3"/>
    <w:rsid w:val="00D92499"/>
    <w:rsid w:val="00D93763"/>
    <w:rsid w:val="00D94346"/>
    <w:rsid w:val="00D94A6F"/>
    <w:rsid w:val="00D950CC"/>
    <w:rsid w:val="00D9521C"/>
    <w:rsid w:val="00D96C03"/>
    <w:rsid w:val="00D970AE"/>
    <w:rsid w:val="00D97516"/>
    <w:rsid w:val="00DA014C"/>
    <w:rsid w:val="00DA25DD"/>
    <w:rsid w:val="00DA2D3E"/>
    <w:rsid w:val="00DA3656"/>
    <w:rsid w:val="00DA3B56"/>
    <w:rsid w:val="00DA4D97"/>
    <w:rsid w:val="00DA5996"/>
    <w:rsid w:val="00DA60C3"/>
    <w:rsid w:val="00DA7296"/>
    <w:rsid w:val="00DA7A0A"/>
    <w:rsid w:val="00DB1727"/>
    <w:rsid w:val="00DB191F"/>
    <w:rsid w:val="00DB2613"/>
    <w:rsid w:val="00DB35A5"/>
    <w:rsid w:val="00DB3BFD"/>
    <w:rsid w:val="00DB6940"/>
    <w:rsid w:val="00DB697A"/>
    <w:rsid w:val="00DB6A58"/>
    <w:rsid w:val="00DB76C2"/>
    <w:rsid w:val="00DC1498"/>
    <w:rsid w:val="00DC1900"/>
    <w:rsid w:val="00DC19BD"/>
    <w:rsid w:val="00DC2316"/>
    <w:rsid w:val="00DC307F"/>
    <w:rsid w:val="00DC3E16"/>
    <w:rsid w:val="00DC48B2"/>
    <w:rsid w:val="00DC4B20"/>
    <w:rsid w:val="00DC5C93"/>
    <w:rsid w:val="00DD1E44"/>
    <w:rsid w:val="00DD2B6A"/>
    <w:rsid w:val="00DD31A2"/>
    <w:rsid w:val="00DD31F5"/>
    <w:rsid w:val="00DD5A50"/>
    <w:rsid w:val="00DD5EB8"/>
    <w:rsid w:val="00DD68A2"/>
    <w:rsid w:val="00DD6F45"/>
    <w:rsid w:val="00DE0009"/>
    <w:rsid w:val="00DE1F3E"/>
    <w:rsid w:val="00DE253F"/>
    <w:rsid w:val="00DE5410"/>
    <w:rsid w:val="00DF00CA"/>
    <w:rsid w:val="00DF0C94"/>
    <w:rsid w:val="00DF16B2"/>
    <w:rsid w:val="00DF31DB"/>
    <w:rsid w:val="00DF3AAC"/>
    <w:rsid w:val="00DF72EA"/>
    <w:rsid w:val="00DF759C"/>
    <w:rsid w:val="00DF78C1"/>
    <w:rsid w:val="00E00892"/>
    <w:rsid w:val="00E00F1E"/>
    <w:rsid w:val="00E010DB"/>
    <w:rsid w:val="00E01F4B"/>
    <w:rsid w:val="00E02288"/>
    <w:rsid w:val="00E022FF"/>
    <w:rsid w:val="00E02C21"/>
    <w:rsid w:val="00E03122"/>
    <w:rsid w:val="00E062E3"/>
    <w:rsid w:val="00E06952"/>
    <w:rsid w:val="00E108A1"/>
    <w:rsid w:val="00E11F35"/>
    <w:rsid w:val="00E12933"/>
    <w:rsid w:val="00E12A8B"/>
    <w:rsid w:val="00E13770"/>
    <w:rsid w:val="00E13EF2"/>
    <w:rsid w:val="00E13EF6"/>
    <w:rsid w:val="00E14533"/>
    <w:rsid w:val="00E1505B"/>
    <w:rsid w:val="00E155F0"/>
    <w:rsid w:val="00E15D2A"/>
    <w:rsid w:val="00E174DA"/>
    <w:rsid w:val="00E17827"/>
    <w:rsid w:val="00E20052"/>
    <w:rsid w:val="00E20DA9"/>
    <w:rsid w:val="00E211CF"/>
    <w:rsid w:val="00E21811"/>
    <w:rsid w:val="00E2277A"/>
    <w:rsid w:val="00E22AA2"/>
    <w:rsid w:val="00E2443F"/>
    <w:rsid w:val="00E25A00"/>
    <w:rsid w:val="00E30EF9"/>
    <w:rsid w:val="00E31C13"/>
    <w:rsid w:val="00E325EA"/>
    <w:rsid w:val="00E33836"/>
    <w:rsid w:val="00E339C8"/>
    <w:rsid w:val="00E340DA"/>
    <w:rsid w:val="00E348DC"/>
    <w:rsid w:val="00E35DD2"/>
    <w:rsid w:val="00E36F97"/>
    <w:rsid w:val="00E36FA0"/>
    <w:rsid w:val="00E37F95"/>
    <w:rsid w:val="00E40AEB"/>
    <w:rsid w:val="00E40DDD"/>
    <w:rsid w:val="00E41661"/>
    <w:rsid w:val="00E41BEF"/>
    <w:rsid w:val="00E41D8A"/>
    <w:rsid w:val="00E42231"/>
    <w:rsid w:val="00E42727"/>
    <w:rsid w:val="00E436CD"/>
    <w:rsid w:val="00E43A13"/>
    <w:rsid w:val="00E44280"/>
    <w:rsid w:val="00E45153"/>
    <w:rsid w:val="00E4622C"/>
    <w:rsid w:val="00E47311"/>
    <w:rsid w:val="00E4739B"/>
    <w:rsid w:val="00E47E78"/>
    <w:rsid w:val="00E51379"/>
    <w:rsid w:val="00E522A4"/>
    <w:rsid w:val="00E526B4"/>
    <w:rsid w:val="00E5290D"/>
    <w:rsid w:val="00E54727"/>
    <w:rsid w:val="00E55088"/>
    <w:rsid w:val="00E552C2"/>
    <w:rsid w:val="00E55EF5"/>
    <w:rsid w:val="00E60DB7"/>
    <w:rsid w:val="00E635EE"/>
    <w:rsid w:val="00E63826"/>
    <w:rsid w:val="00E63A04"/>
    <w:rsid w:val="00E63B38"/>
    <w:rsid w:val="00E64275"/>
    <w:rsid w:val="00E655C5"/>
    <w:rsid w:val="00E65842"/>
    <w:rsid w:val="00E66037"/>
    <w:rsid w:val="00E66620"/>
    <w:rsid w:val="00E669CD"/>
    <w:rsid w:val="00E66D9E"/>
    <w:rsid w:val="00E671B6"/>
    <w:rsid w:val="00E67810"/>
    <w:rsid w:val="00E71192"/>
    <w:rsid w:val="00E716A3"/>
    <w:rsid w:val="00E72742"/>
    <w:rsid w:val="00E7277A"/>
    <w:rsid w:val="00E73C48"/>
    <w:rsid w:val="00E74560"/>
    <w:rsid w:val="00E7473C"/>
    <w:rsid w:val="00E74FDD"/>
    <w:rsid w:val="00E7508A"/>
    <w:rsid w:val="00E77834"/>
    <w:rsid w:val="00E80795"/>
    <w:rsid w:val="00E80E81"/>
    <w:rsid w:val="00E80F66"/>
    <w:rsid w:val="00E81D9B"/>
    <w:rsid w:val="00E820AD"/>
    <w:rsid w:val="00E8314A"/>
    <w:rsid w:val="00E833E4"/>
    <w:rsid w:val="00E83B51"/>
    <w:rsid w:val="00E83E37"/>
    <w:rsid w:val="00E83F49"/>
    <w:rsid w:val="00E84BF2"/>
    <w:rsid w:val="00E85589"/>
    <w:rsid w:val="00E85683"/>
    <w:rsid w:val="00E87823"/>
    <w:rsid w:val="00E87A8D"/>
    <w:rsid w:val="00E90139"/>
    <w:rsid w:val="00E9029E"/>
    <w:rsid w:val="00E902F2"/>
    <w:rsid w:val="00E90A83"/>
    <w:rsid w:val="00E9116F"/>
    <w:rsid w:val="00E92221"/>
    <w:rsid w:val="00E92B3D"/>
    <w:rsid w:val="00E933A7"/>
    <w:rsid w:val="00E93B4A"/>
    <w:rsid w:val="00E93BAE"/>
    <w:rsid w:val="00E93BF7"/>
    <w:rsid w:val="00E94E7E"/>
    <w:rsid w:val="00E95539"/>
    <w:rsid w:val="00E95ADE"/>
    <w:rsid w:val="00E97A90"/>
    <w:rsid w:val="00E97BE4"/>
    <w:rsid w:val="00EA0D5E"/>
    <w:rsid w:val="00EA12F9"/>
    <w:rsid w:val="00EA1426"/>
    <w:rsid w:val="00EA1E67"/>
    <w:rsid w:val="00EA20C5"/>
    <w:rsid w:val="00EA24C5"/>
    <w:rsid w:val="00EA353D"/>
    <w:rsid w:val="00EA3551"/>
    <w:rsid w:val="00EA3D77"/>
    <w:rsid w:val="00EA6EA5"/>
    <w:rsid w:val="00EA7FBE"/>
    <w:rsid w:val="00EB02DF"/>
    <w:rsid w:val="00EB09C7"/>
    <w:rsid w:val="00EB147E"/>
    <w:rsid w:val="00EB3E02"/>
    <w:rsid w:val="00EB48E6"/>
    <w:rsid w:val="00EB50DE"/>
    <w:rsid w:val="00EB5D63"/>
    <w:rsid w:val="00EB6405"/>
    <w:rsid w:val="00EB7905"/>
    <w:rsid w:val="00EB793C"/>
    <w:rsid w:val="00EB7A45"/>
    <w:rsid w:val="00EB7AF5"/>
    <w:rsid w:val="00EC05E9"/>
    <w:rsid w:val="00EC065F"/>
    <w:rsid w:val="00EC0E4E"/>
    <w:rsid w:val="00EC2451"/>
    <w:rsid w:val="00EC28E5"/>
    <w:rsid w:val="00EC44D4"/>
    <w:rsid w:val="00EC4FD2"/>
    <w:rsid w:val="00EC5F5C"/>
    <w:rsid w:val="00EC6F38"/>
    <w:rsid w:val="00EC7EA2"/>
    <w:rsid w:val="00ED0439"/>
    <w:rsid w:val="00ED17E0"/>
    <w:rsid w:val="00ED2566"/>
    <w:rsid w:val="00ED2816"/>
    <w:rsid w:val="00ED2853"/>
    <w:rsid w:val="00ED407A"/>
    <w:rsid w:val="00ED4B0A"/>
    <w:rsid w:val="00ED5804"/>
    <w:rsid w:val="00ED7C36"/>
    <w:rsid w:val="00EE02A5"/>
    <w:rsid w:val="00EE0E09"/>
    <w:rsid w:val="00EE1305"/>
    <w:rsid w:val="00EE1F55"/>
    <w:rsid w:val="00EE3212"/>
    <w:rsid w:val="00EE3D1C"/>
    <w:rsid w:val="00EE401A"/>
    <w:rsid w:val="00EE4820"/>
    <w:rsid w:val="00EE48F7"/>
    <w:rsid w:val="00EE4FD2"/>
    <w:rsid w:val="00EE57FE"/>
    <w:rsid w:val="00EE6001"/>
    <w:rsid w:val="00EE6FA9"/>
    <w:rsid w:val="00EF0376"/>
    <w:rsid w:val="00EF1074"/>
    <w:rsid w:val="00EF33B8"/>
    <w:rsid w:val="00EF4068"/>
    <w:rsid w:val="00EF45F8"/>
    <w:rsid w:val="00EF53EB"/>
    <w:rsid w:val="00EF5ED1"/>
    <w:rsid w:val="00F0003E"/>
    <w:rsid w:val="00F00EB0"/>
    <w:rsid w:val="00F011F3"/>
    <w:rsid w:val="00F0145D"/>
    <w:rsid w:val="00F01487"/>
    <w:rsid w:val="00F02239"/>
    <w:rsid w:val="00F02382"/>
    <w:rsid w:val="00F024ED"/>
    <w:rsid w:val="00F0276F"/>
    <w:rsid w:val="00F02EF9"/>
    <w:rsid w:val="00F03782"/>
    <w:rsid w:val="00F0520C"/>
    <w:rsid w:val="00F06B34"/>
    <w:rsid w:val="00F06F65"/>
    <w:rsid w:val="00F07700"/>
    <w:rsid w:val="00F1146C"/>
    <w:rsid w:val="00F115C6"/>
    <w:rsid w:val="00F11C65"/>
    <w:rsid w:val="00F1218F"/>
    <w:rsid w:val="00F1245F"/>
    <w:rsid w:val="00F12C5E"/>
    <w:rsid w:val="00F1385D"/>
    <w:rsid w:val="00F144D3"/>
    <w:rsid w:val="00F14906"/>
    <w:rsid w:val="00F14E47"/>
    <w:rsid w:val="00F15175"/>
    <w:rsid w:val="00F157F1"/>
    <w:rsid w:val="00F15F48"/>
    <w:rsid w:val="00F171DF"/>
    <w:rsid w:val="00F20502"/>
    <w:rsid w:val="00F2066B"/>
    <w:rsid w:val="00F2163E"/>
    <w:rsid w:val="00F2277E"/>
    <w:rsid w:val="00F22E83"/>
    <w:rsid w:val="00F22FFF"/>
    <w:rsid w:val="00F23529"/>
    <w:rsid w:val="00F23A41"/>
    <w:rsid w:val="00F24F35"/>
    <w:rsid w:val="00F25EC8"/>
    <w:rsid w:val="00F26E99"/>
    <w:rsid w:val="00F2709E"/>
    <w:rsid w:val="00F2766E"/>
    <w:rsid w:val="00F31F8A"/>
    <w:rsid w:val="00F320CD"/>
    <w:rsid w:val="00F32C27"/>
    <w:rsid w:val="00F33401"/>
    <w:rsid w:val="00F33555"/>
    <w:rsid w:val="00F3506A"/>
    <w:rsid w:val="00F355AE"/>
    <w:rsid w:val="00F35FA6"/>
    <w:rsid w:val="00F363D3"/>
    <w:rsid w:val="00F3661A"/>
    <w:rsid w:val="00F36FA6"/>
    <w:rsid w:val="00F37164"/>
    <w:rsid w:val="00F37277"/>
    <w:rsid w:val="00F3761E"/>
    <w:rsid w:val="00F40005"/>
    <w:rsid w:val="00F40405"/>
    <w:rsid w:val="00F4042C"/>
    <w:rsid w:val="00F4098A"/>
    <w:rsid w:val="00F42B7E"/>
    <w:rsid w:val="00F43E74"/>
    <w:rsid w:val="00F44266"/>
    <w:rsid w:val="00F47674"/>
    <w:rsid w:val="00F477D3"/>
    <w:rsid w:val="00F47C55"/>
    <w:rsid w:val="00F5044C"/>
    <w:rsid w:val="00F51E13"/>
    <w:rsid w:val="00F51F58"/>
    <w:rsid w:val="00F527E5"/>
    <w:rsid w:val="00F53640"/>
    <w:rsid w:val="00F5414A"/>
    <w:rsid w:val="00F560C4"/>
    <w:rsid w:val="00F56311"/>
    <w:rsid w:val="00F56B0C"/>
    <w:rsid w:val="00F6059A"/>
    <w:rsid w:val="00F60B3B"/>
    <w:rsid w:val="00F60CC0"/>
    <w:rsid w:val="00F6204C"/>
    <w:rsid w:val="00F627AE"/>
    <w:rsid w:val="00F62F55"/>
    <w:rsid w:val="00F637D3"/>
    <w:rsid w:val="00F63F78"/>
    <w:rsid w:val="00F63FB0"/>
    <w:rsid w:val="00F64418"/>
    <w:rsid w:val="00F646CE"/>
    <w:rsid w:val="00F64DA1"/>
    <w:rsid w:val="00F6557F"/>
    <w:rsid w:val="00F656E8"/>
    <w:rsid w:val="00F65BE4"/>
    <w:rsid w:val="00F672D6"/>
    <w:rsid w:val="00F7033E"/>
    <w:rsid w:val="00F752B0"/>
    <w:rsid w:val="00F75728"/>
    <w:rsid w:val="00F75E7E"/>
    <w:rsid w:val="00F8127A"/>
    <w:rsid w:val="00F817C5"/>
    <w:rsid w:val="00F819D6"/>
    <w:rsid w:val="00F82416"/>
    <w:rsid w:val="00F82B2D"/>
    <w:rsid w:val="00F82E12"/>
    <w:rsid w:val="00F83F98"/>
    <w:rsid w:val="00F843D7"/>
    <w:rsid w:val="00F8487A"/>
    <w:rsid w:val="00F84964"/>
    <w:rsid w:val="00F86510"/>
    <w:rsid w:val="00F86E68"/>
    <w:rsid w:val="00F86FFD"/>
    <w:rsid w:val="00F8713D"/>
    <w:rsid w:val="00F873EE"/>
    <w:rsid w:val="00F876C6"/>
    <w:rsid w:val="00F915DA"/>
    <w:rsid w:val="00F93620"/>
    <w:rsid w:val="00F93C6A"/>
    <w:rsid w:val="00F94C5D"/>
    <w:rsid w:val="00F96112"/>
    <w:rsid w:val="00F967CF"/>
    <w:rsid w:val="00F9698A"/>
    <w:rsid w:val="00F96C72"/>
    <w:rsid w:val="00F97E65"/>
    <w:rsid w:val="00FA04FE"/>
    <w:rsid w:val="00FA0AA3"/>
    <w:rsid w:val="00FA187C"/>
    <w:rsid w:val="00FA18B7"/>
    <w:rsid w:val="00FA29EF"/>
    <w:rsid w:val="00FA2F90"/>
    <w:rsid w:val="00FA37AD"/>
    <w:rsid w:val="00FA3CA1"/>
    <w:rsid w:val="00FA3FB8"/>
    <w:rsid w:val="00FA47C6"/>
    <w:rsid w:val="00FA5607"/>
    <w:rsid w:val="00FA7337"/>
    <w:rsid w:val="00FB04C3"/>
    <w:rsid w:val="00FB123D"/>
    <w:rsid w:val="00FB4718"/>
    <w:rsid w:val="00FB4AFA"/>
    <w:rsid w:val="00FB72D2"/>
    <w:rsid w:val="00FC000A"/>
    <w:rsid w:val="00FC040A"/>
    <w:rsid w:val="00FC0457"/>
    <w:rsid w:val="00FC1477"/>
    <w:rsid w:val="00FC3646"/>
    <w:rsid w:val="00FC3C1D"/>
    <w:rsid w:val="00FC3CAB"/>
    <w:rsid w:val="00FC3FF3"/>
    <w:rsid w:val="00FC4ABD"/>
    <w:rsid w:val="00FC5670"/>
    <w:rsid w:val="00FC5BDB"/>
    <w:rsid w:val="00FC61DC"/>
    <w:rsid w:val="00FC7F45"/>
    <w:rsid w:val="00FD02A3"/>
    <w:rsid w:val="00FD05F2"/>
    <w:rsid w:val="00FD097D"/>
    <w:rsid w:val="00FD1003"/>
    <w:rsid w:val="00FD103E"/>
    <w:rsid w:val="00FD1B7C"/>
    <w:rsid w:val="00FD3555"/>
    <w:rsid w:val="00FD3CEF"/>
    <w:rsid w:val="00FD5251"/>
    <w:rsid w:val="00FD5788"/>
    <w:rsid w:val="00FD5D70"/>
    <w:rsid w:val="00FD61D6"/>
    <w:rsid w:val="00FD7C7C"/>
    <w:rsid w:val="00FE079A"/>
    <w:rsid w:val="00FE0C39"/>
    <w:rsid w:val="00FE1153"/>
    <w:rsid w:val="00FE16BF"/>
    <w:rsid w:val="00FE16FC"/>
    <w:rsid w:val="00FE1E54"/>
    <w:rsid w:val="00FE3584"/>
    <w:rsid w:val="00FE38CA"/>
    <w:rsid w:val="00FE3F0A"/>
    <w:rsid w:val="00FE427B"/>
    <w:rsid w:val="00FE57EE"/>
    <w:rsid w:val="00FE5AB9"/>
    <w:rsid w:val="00FE6140"/>
    <w:rsid w:val="00FF09F2"/>
    <w:rsid w:val="00FF3380"/>
    <w:rsid w:val="00FF34FE"/>
    <w:rsid w:val="00FF3AA0"/>
    <w:rsid w:val="00FF74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CD69A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68"/>
    <w:rPr>
      <w:sz w:val="24"/>
      <w:szCs w:val="24"/>
      <w:lang w:eastAsia="en-GB"/>
    </w:rPr>
  </w:style>
  <w:style w:type="paragraph" w:styleId="Heading1">
    <w:name w:val="heading 1"/>
    <w:basedOn w:val="Normal"/>
    <w:next w:val="Normal"/>
    <w:link w:val="Heading1Char"/>
    <w:qFormat/>
    <w:locked/>
    <w:rsid w:val="00E339C8"/>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47177"/>
    <w:pPr>
      <w:spacing w:before="100" w:beforeAutospacing="1" w:after="100" w:afterAutospacing="1"/>
    </w:pPr>
  </w:style>
  <w:style w:type="character" w:styleId="EndnoteReference">
    <w:name w:val="endnote reference"/>
    <w:uiPriority w:val="99"/>
    <w:semiHidden/>
    <w:rsid w:val="00C3182C"/>
    <w:rPr>
      <w:rFonts w:cs="Times New Roman"/>
      <w:vertAlign w:val="superscript"/>
    </w:rPr>
  </w:style>
  <w:style w:type="paragraph" w:styleId="Header">
    <w:name w:val="header"/>
    <w:basedOn w:val="Normal"/>
    <w:link w:val="HeaderChar"/>
    <w:uiPriority w:val="99"/>
    <w:rsid w:val="00466F53"/>
    <w:pPr>
      <w:tabs>
        <w:tab w:val="center" w:pos="4320"/>
        <w:tab w:val="right" w:pos="8640"/>
      </w:tabs>
    </w:pPr>
  </w:style>
  <w:style w:type="character" w:customStyle="1" w:styleId="HeaderChar">
    <w:name w:val="Header Char"/>
    <w:link w:val="Header"/>
    <w:uiPriority w:val="99"/>
    <w:semiHidden/>
    <w:locked/>
    <w:rsid w:val="00F01487"/>
    <w:rPr>
      <w:rFonts w:cs="Times New Roman"/>
      <w:sz w:val="24"/>
      <w:szCs w:val="24"/>
    </w:rPr>
  </w:style>
  <w:style w:type="paragraph" w:styleId="Footer">
    <w:name w:val="footer"/>
    <w:basedOn w:val="Normal"/>
    <w:link w:val="FooterChar"/>
    <w:uiPriority w:val="99"/>
    <w:rsid w:val="00466F53"/>
    <w:pPr>
      <w:tabs>
        <w:tab w:val="center" w:pos="4320"/>
        <w:tab w:val="right" w:pos="8640"/>
      </w:tabs>
    </w:pPr>
  </w:style>
  <w:style w:type="character" w:customStyle="1" w:styleId="FooterChar">
    <w:name w:val="Footer Char"/>
    <w:link w:val="Footer"/>
    <w:uiPriority w:val="99"/>
    <w:semiHidden/>
    <w:locked/>
    <w:rsid w:val="00F01487"/>
    <w:rPr>
      <w:rFonts w:cs="Times New Roman"/>
      <w:sz w:val="24"/>
      <w:szCs w:val="24"/>
    </w:rPr>
  </w:style>
  <w:style w:type="character" w:customStyle="1" w:styleId="MaireadPhelan">
    <w:name w:val="MaireadPhelan"/>
    <w:uiPriority w:val="99"/>
    <w:semiHidden/>
    <w:rsid w:val="00E47311"/>
    <w:rPr>
      <w:rFonts w:ascii="Arial" w:hAnsi="Arial"/>
      <w:color w:val="000080"/>
      <w:sz w:val="20"/>
    </w:rPr>
  </w:style>
  <w:style w:type="paragraph" w:customStyle="1" w:styleId="Pa15">
    <w:name w:val="Pa15"/>
    <w:basedOn w:val="Normal"/>
    <w:next w:val="Normal"/>
    <w:uiPriority w:val="99"/>
    <w:rsid w:val="008C2CB0"/>
    <w:pPr>
      <w:autoSpaceDE w:val="0"/>
      <w:autoSpaceDN w:val="0"/>
      <w:adjustRightInd w:val="0"/>
      <w:spacing w:line="201" w:lineRule="atLeast"/>
    </w:pPr>
    <w:rPr>
      <w:rFonts w:ascii="Calibri" w:hAnsi="Calibri"/>
    </w:rPr>
  </w:style>
  <w:style w:type="paragraph" w:styleId="BalloonText">
    <w:name w:val="Balloon Text"/>
    <w:basedOn w:val="Normal"/>
    <w:link w:val="BalloonTextChar"/>
    <w:uiPriority w:val="99"/>
    <w:semiHidden/>
    <w:rsid w:val="00BB2A7E"/>
    <w:rPr>
      <w:rFonts w:ascii="Tahoma" w:hAnsi="Tahoma" w:cs="Tahoma"/>
      <w:sz w:val="16"/>
      <w:szCs w:val="16"/>
    </w:rPr>
  </w:style>
  <w:style w:type="character" w:customStyle="1" w:styleId="BalloonTextChar">
    <w:name w:val="Balloon Text Char"/>
    <w:link w:val="BalloonText"/>
    <w:uiPriority w:val="99"/>
    <w:semiHidden/>
    <w:locked/>
    <w:rsid w:val="00F01487"/>
    <w:rPr>
      <w:rFonts w:cs="Times New Roman"/>
      <w:sz w:val="2"/>
    </w:rPr>
  </w:style>
  <w:style w:type="paragraph" w:customStyle="1" w:styleId="Default">
    <w:name w:val="Default"/>
    <w:uiPriority w:val="99"/>
    <w:rsid w:val="009848DC"/>
    <w:pPr>
      <w:autoSpaceDE w:val="0"/>
      <w:autoSpaceDN w:val="0"/>
      <w:adjustRightInd w:val="0"/>
    </w:pPr>
    <w:rPr>
      <w:rFonts w:ascii="Arial" w:hAnsi="Arial" w:cs="Arial"/>
      <w:color w:val="000000"/>
      <w:sz w:val="24"/>
      <w:szCs w:val="24"/>
      <w:lang w:val="en-US" w:eastAsia="en-US"/>
    </w:rPr>
  </w:style>
  <w:style w:type="character" w:styleId="PageNumber">
    <w:name w:val="page number"/>
    <w:uiPriority w:val="99"/>
    <w:semiHidden/>
    <w:unhideWhenUsed/>
    <w:rsid w:val="00546E24"/>
  </w:style>
  <w:style w:type="character" w:customStyle="1" w:styleId="apple-converted-space">
    <w:name w:val="apple-converted-space"/>
    <w:rsid w:val="00793129"/>
  </w:style>
  <w:style w:type="character" w:styleId="Hyperlink">
    <w:name w:val="Hyperlink"/>
    <w:uiPriority w:val="99"/>
    <w:unhideWhenUsed/>
    <w:rsid w:val="00793129"/>
    <w:rPr>
      <w:color w:val="0000FF"/>
      <w:u w:val="single"/>
    </w:rPr>
  </w:style>
  <w:style w:type="character" w:styleId="FollowedHyperlink">
    <w:name w:val="FollowedHyperlink"/>
    <w:uiPriority w:val="99"/>
    <w:semiHidden/>
    <w:unhideWhenUsed/>
    <w:rsid w:val="00006ECE"/>
    <w:rPr>
      <w:color w:val="954F72"/>
      <w:u w:val="single"/>
    </w:rPr>
  </w:style>
  <w:style w:type="paragraph" w:styleId="LightGrid-Accent3">
    <w:name w:val="Light Grid Accent 3"/>
    <w:basedOn w:val="Normal"/>
    <w:uiPriority w:val="34"/>
    <w:qFormat/>
    <w:rsid w:val="007C3747"/>
    <w:pPr>
      <w:ind w:left="720"/>
      <w:contextualSpacing/>
    </w:pPr>
    <w:rPr>
      <w:rFonts w:ascii="Open Sans" w:eastAsia="Calibri" w:hAnsi="Open Sans" w:cs="Open Sans"/>
      <w:sz w:val="20"/>
      <w:szCs w:val="20"/>
      <w:lang w:eastAsia="en-IE"/>
    </w:rPr>
  </w:style>
  <w:style w:type="character" w:customStyle="1" w:styleId="Heading1Char">
    <w:name w:val="Heading 1 Char"/>
    <w:link w:val="Heading1"/>
    <w:rsid w:val="00E339C8"/>
    <w:rPr>
      <w:rFonts w:ascii="Calibri" w:eastAsia="MS Gothic" w:hAnsi="Calibri" w:cs="Times New Roman"/>
      <w:b/>
      <w:bCs/>
      <w:kern w:val="32"/>
      <w:sz w:val="32"/>
      <w:szCs w:val="32"/>
      <w:lang w:val="en-US"/>
    </w:rPr>
  </w:style>
  <w:style w:type="paragraph" w:styleId="ColorfulList-Accent1">
    <w:name w:val="Colorful List Accent 1"/>
    <w:basedOn w:val="Normal"/>
    <w:uiPriority w:val="34"/>
    <w:qFormat/>
    <w:rsid w:val="002167EC"/>
    <w:pPr>
      <w:ind w:left="720"/>
    </w:pPr>
  </w:style>
  <w:style w:type="numbering" w:customStyle="1" w:styleId="CurrentList1">
    <w:name w:val="Current List1"/>
    <w:uiPriority w:val="99"/>
    <w:rsid w:val="00F02239"/>
    <w:pPr>
      <w:numPr>
        <w:numId w:val="3"/>
      </w:numPr>
    </w:pPr>
  </w:style>
  <w:style w:type="paragraph" w:styleId="ListParagraph">
    <w:name w:val="List Paragraph"/>
    <w:basedOn w:val="Normal"/>
    <w:uiPriority w:val="34"/>
    <w:qFormat/>
    <w:rsid w:val="00E42231"/>
    <w:pPr>
      <w:ind w:left="720"/>
    </w:pPr>
  </w:style>
  <w:style w:type="character" w:styleId="UnresolvedMention">
    <w:name w:val="Unresolved Mention"/>
    <w:uiPriority w:val="99"/>
    <w:semiHidden/>
    <w:unhideWhenUsed/>
    <w:rsid w:val="00AD1905"/>
    <w:rPr>
      <w:color w:val="605E5C"/>
      <w:shd w:val="clear" w:color="auto" w:fill="E1DFDD"/>
    </w:rPr>
  </w:style>
  <w:style w:type="paragraph" w:customStyle="1" w:styleId="c02alineaalta">
    <w:name w:val="c02alineaalta"/>
    <w:basedOn w:val="Normal"/>
    <w:rsid w:val="00914D40"/>
    <w:pPr>
      <w:spacing w:before="100" w:beforeAutospacing="1" w:after="100" w:afterAutospacing="1"/>
    </w:pPr>
  </w:style>
  <w:style w:type="numbering" w:customStyle="1" w:styleId="CurrentList2">
    <w:name w:val="Current List2"/>
    <w:uiPriority w:val="99"/>
    <w:rsid w:val="00032777"/>
    <w:pPr>
      <w:numPr>
        <w:numId w:val="4"/>
      </w:numPr>
    </w:pPr>
  </w:style>
  <w:style w:type="character" w:customStyle="1" w:styleId="commentary-reference">
    <w:name w:val="commentary-reference"/>
    <w:rsid w:val="00AB358A"/>
  </w:style>
  <w:style w:type="character" w:customStyle="1" w:styleId="markup">
    <w:name w:val="markup"/>
    <w:rsid w:val="00AB358A"/>
  </w:style>
  <w:style w:type="character" w:customStyle="1" w:styleId="change">
    <w:name w:val="change"/>
    <w:rsid w:val="00AB358A"/>
  </w:style>
  <w:style w:type="paragraph" w:customStyle="1" w:styleId="shouldernote1">
    <w:name w:val="shouldernote1"/>
    <w:basedOn w:val="Normal"/>
    <w:rsid w:val="00AB358A"/>
    <w:pPr>
      <w:spacing w:before="100" w:beforeAutospacing="1" w:after="100" w:afterAutospacing="1"/>
    </w:pPr>
    <w:rPr>
      <w:lang w:eastAsia="en-IE"/>
    </w:rPr>
  </w:style>
  <w:style w:type="character" w:styleId="Emphasis">
    <w:name w:val="Emphasis"/>
    <w:qFormat/>
    <w:locked/>
    <w:rsid w:val="00737BAE"/>
    <w:rPr>
      <w:i/>
      <w:iCs/>
    </w:rPr>
  </w:style>
  <w:style w:type="character" w:styleId="CommentReference">
    <w:name w:val="annotation reference"/>
    <w:uiPriority w:val="99"/>
    <w:semiHidden/>
    <w:unhideWhenUsed/>
    <w:rsid w:val="00DC48B2"/>
    <w:rPr>
      <w:sz w:val="16"/>
      <w:szCs w:val="16"/>
    </w:rPr>
  </w:style>
  <w:style w:type="paragraph" w:styleId="CommentText">
    <w:name w:val="annotation text"/>
    <w:basedOn w:val="Normal"/>
    <w:link w:val="CommentTextChar"/>
    <w:uiPriority w:val="99"/>
    <w:semiHidden/>
    <w:unhideWhenUsed/>
    <w:rsid w:val="00DC48B2"/>
    <w:rPr>
      <w:sz w:val="20"/>
      <w:szCs w:val="20"/>
    </w:rPr>
  </w:style>
  <w:style w:type="character" w:customStyle="1" w:styleId="CommentTextChar">
    <w:name w:val="Comment Text Char"/>
    <w:link w:val="CommentText"/>
    <w:uiPriority w:val="99"/>
    <w:semiHidden/>
    <w:rsid w:val="00DC48B2"/>
    <w:rPr>
      <w:lang w:eastAsia="en-GB"/>
    </w:rPr>
  </w:style>
  <w:style w:type="paragraph" w:styleId="CommentSubject">
    <w:name w:val="annotation subject"/>
    <w:basedOn w:val="CommentText"/>
    <w:next w:val="CommentText"/>
    <w:link w:val="CommentSubjectChar"/>
    <w:uiPriority w:val="99"/>
    <w:semiHidden/>
    <w:unhideWhenUsed/>
    <w:rsid w:val="00DC48B2"/>
    <w:rPr>
      <w:b/>
      <w:bCs/>
    </w:rPr>
  </w:style>
  <w:style w:type="character" w:customStyle="1" w:styleId="CommentSubjectChar">
    <w:name w:val="Comment Subject Char"/>
    <w:link w:val="CommentSubject"/>
    <w:uiPriority w:val="99"/>
    <w:semiHidden/>
    <w:rsid w:val="00DC48B2"/>
    <w:rPr>
      <w:b/>
      <w:bCs/>
      <w:lang w:eastAsia="en-GB"/>
    </w:rPr>
  </w:style>
  <w:style w:type="paragraph" w:styleId="Revision">
    <w:name w:val="Revision"/>
    <w:hidden/>
    <w:uiPriority w:val="71"/>
    <w:rsid w:val="002057CB"/>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223">
      <w:bodyDiv w:val="1"/>
      <w:marLeft w:val="0"/>
      <w:marRight w:val="0"/>
      <w:marTop w:val="0"/>
      <w:marBottom w:val="0"/>
      <w:divBdr>
        <w:top w:val="none" w:sz="0" w:space="0" w:color="auto"/>
        <w:left w:val="none" w:sz="0" w:space="0" w:color="auto"/>
        <w:bottom w:val="none" w:sz="0" w:space="0" w:color="auto"/>
        <w:right w:val="none" w:sz="0" w:space="0" w:color="auto"/>
      </w:divBdr>
      <w:divsChild>
        <w:div w:id="1123576562">
          <w:marLeft w:val="0"/>
          <w:marRight w:val="0"/>
          <w:marTop w:val="0"/>
          <w:marBottom w:val="0"/>
          <w:divBdr>
            <w:top w:val="none" w:sz="0" w:space="0" w:color="auto"/>
            <w:left w:val="none" w:sz="0" w:space="0" w:color="auto"/>
            <w:bottom w:val="none" w:sz="0" w:space="0" w:color="auto"/>
            <w:right w:val="none" w:sz="0" w:space="0" w:color="auto"/>
          </w:divBdr>
          <w:divsChild>
            <w:div w:id="999188135">
              <w:marLeft w:val="0"/>
              <w:marRight w:val="0"/>
              <w:marTop w:val="0"/>
              <w:marBottom w:val="0"/>
              <w:divBdr>
                <w:top w:val="none" w:sz="0" w:space="0" w:color="auto"/>
                <w:left w:val="none" w:sz="0" w:space="0" w:color="auto"/>
                <w:bottom w:val="none" w:sz="0" w:space="0" w:color="auto"/>
                <w:right w:val="none" w:sz="0" w:space="0" w:color="auto"/>
              </w:divBdr>
              <w:divsChild>
                <w:div w:id="2656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94">
      <w:bodyDiv w:val="1"/>
      <w:marLeft w:val="0"/>
      <w:marRight w:val="0"/>
      <w:marTop w:val="0"/>
      <w:marBottom w:val="0"/>
      <w:divBdr>
        <w:top w:val="none" w:sz="0" w:space="0" w:color="auto"/>
        <w:left w:val="none" w:sz="0" w:space="0" w:color="auto"/>
        <w:bottom w:val="none" w:sz="0" w:space="0" w:color="auto"/>
        <w:right w:val="none" w:sz="0" w:space="0" w:color="auto"/>
      </w:divBdr>
      <w:divsChild>
        <w:div w:id="463348712">
          <w:marLeft w:val="0"/>
          <w:marRight w:val="0"/>
          <w:marTop w:val="0"/>
          <w:marBottom w:val="0"/>
          <w:divBdr>
            <w:top w:val="none" w:sz="0" w:space="0" w:color="auto"/>
            <w:left w:val="none" w:sz="0" w:space="0" w:color="auto"/>
            <w:bottom w:val="none" w:sz="0" w:space="0" w:color="auto"/>
            <w:right w:val="none" w:sz="0" w:space="0" w:color="auto"/>
          </w:divBdr>
          <w:divsChild>
            <w:div w:id="262424758">
              <w:marLeft w:val="0"/>
              <w:marRight w:val="0"/>
              <w:marTop w:val="0"/>
              <w:marBottom w:val="0"/>
              <w:divBdr>
                <w:top w:val="none" w:sz="0" w:space="0" w:color="auto"/>
                <w:left w:val="none" w:sz="0" w:space="0" w:color="auto"/>
                <w:bottom w:val="none" w:sz="0" w:space="0" w:color="auto"/>
                <w:right w:val="none" w:sz="0" w:space="0" w:color="auto"/>
              </w:divBdr>
              <w:divsChild>
                <w:div w:id="900797492">
                  <w:marLeft w:val="0"/>
                  <w:marRight w:val="0"/>
                  <w:marTop w:val="0"/>
                  <w:marBottom w:val="0"/>
                  <w:divBdr>
                    <w:top w:val="none" w:sz="0" w:space="0" w:color="auto"/>
                    <w:left w:val="none" w:sz="0" w:space="0" w:color="auto"/>
                    <w:bottom w:val="none" w:sz="0" w:space="0" w:color="auto"/>
                    <w:right w:val="none" w:sz="0" w:space="0" w:color="auto"/>
                  </w:divBdr>
                  <w:divsChild>
                    <w:div w:id="10706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6213">
      <w:bodyDiv w:val="1"/>
      <w:marLeft w:val="0"/>
      <w:marRight w:val="0"/>
      <w:marTop w:val="0"/>
      <w:marBottom w:val="0"/>
      <w:divBdr>
        <w:top w:val="none" w:sz="0" w:space="0" w:color="auto"/>
        <w:left w:val="none" w:sz="0" w:space="0" w:color="auto"/>
        <w:bottom w:val="none" w:sz="0" w:space="0" w:color="auto"/>
        <w:right w:val="none" w:sz="0" w:space="0" w:color="auto"/>
      </w:divBdr>
    </w:div>
    <w:div w:id="33116215">
      <w:bodyDiv w:val="1"/>
      <w:marLeft w:val="0"/>
      <w:marRight w:val="0"/>
      <w:marTop w:val="0"/>
      <w:marBottom w:val="0"/>
      <w:divBdr>
        <w:top w:val="none" w:sz="0" w:space="0" w:color="auto"/>
        <w:left w:val="none" w:sz="0" w:space="0" w:color="auto"/>
        <w:bottom w:val="none" w:sz="0" w:space="0" w:color="auto"/>
        <w:right w:val="none" w:sz="0" w:space="0" w:color="auto"/>
      </w:divBdr>
    </w:div>
    <w:div w:id="82799083">
      <w:bodyDiv w:val="1"/>
      <w:marLeft w:val="0"/>
      <w:marRight w:val="0"/>
      <w:marTop w:val="0"/>
      <w:marBottom w:val="0"/>
      <w:divBdr>
        <w:top w:val="none" w:sz="0" w:space="0" w:color="auto"/>
        <w:left w:val="none" w:sz="0" w:space="0" w:color="auto"/>
        <w:bottom w:val="none" w:sz="0" w:space="0" w:color="auto"/>
        <w:right w:val="none" w:sz="0" w:space="0" w:color="auto"/>
      </w:divBdr>
      <w:divsChild>
        <w:div w:id="1525052117">
          <w:marLeft w:val="0"/>
          <w:marRight w:val="0"/>
          <w:marTop w:val="0"/>
          <w:marBottom w:val="0"/>
          <w:divBdr>
            <w:top w:val="none" w:sz="0" w:space="0" w:color="auto"/>
            <w:left w:val="none" w:sz="0" w:space="0" w:color="auto"/>
            <w:bottom w:val="none" w:sz="0" w:space="0" w:color="auto"/>
            <w:right w:val="none" w:sz="0" w:space="0" w:color="auto"/>
          </w:divBdr>
          <w:divsChild>
            <w:div w:id="1047602448">
              <w:marLeft w:val="0"/>
              <w:marRight w:val="0"/>
              <w:marTop w:val="0"/>
              <w:marBottom w:val="0"/>
              <w:divBdr>
                <w:top w:val="none" w:sz="0" w:space="0" w:color="auto"/>
                <w:left w:val="none" w:sz="0" w:space="0" w:color="auto"/>
                <w:bottom w:val="none" w:sz="0" w:space="0" w:color="auto"/>
                <w:right w:val="none" w:sz="0" w:space="0" w:color="auto"/>
              </w:divBdr>
              <w:divsChild>
                <w:div w:id="10312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7356">
      <w:bodyDiv w:val="1"/>
      <w:marLeft w:val="0"/>
      <w:marRight w:val="0"/>
      <w:marTop w:val="0"/>
      <w:marBottom w:val="0"/>
      <w:divBdr>
        <w:top w:val="none" w:sz="0" w:space="0" w:color="auto"/>
        <w:left w:val="none" w:sz="0" w:space="0" w:color="auto"/>
        <w:bottom w:val="none" w:sz="0" w:space="0" w:color="auto"/>
        <w:right w:val="none" w:sz="0" w:space="0" w:color="auto"/>
      </w:divBdr>
    </w:div>
    <w:div w:id="89816723">
      <w:bodyDiv w:val="1"/>
      <w:marLeft w:val="0"/>
      <w:marRight w:val="0"/>
      <w:marTop w:val="0"/>
      <w:marBottom w:val="0"/>
      <w:divBdr>
        <w:top w:val="none" w:sz="0" w:space="0" w:color="auto"/>
        <w:left w:val="none" w:sz="0" w:space="0" w:color="auto"/>
        <w:bottom w:val="none" w:sz="0" w:space="0" w:color="auto"/>
        <w:right w:val="none" w:sz="0" w:space="0" w:color="auto"/>
      </w:divBdr>
      <w:divsChild>
        <w:div w:id="1858885441">
          <w:marLeft w:val="0"/>
          <w:marRight w:val="0"/>
          <w:marTop w:val="0"/>
          <w:marBottom w:val="0"/>
          <w:divBdr>
            <w:top w:val="none" w:sz="0" w:space="0" w:color="auto"/>
            <w:left w:val="none" w:sz="0" w:space="0" w:color="auto"/>
            <w:bottom w:val="none" w:sz="0" w:space="0" w:color="auto"/>
            <w:right w:val="none" w:sz="0" w:space="0" w:color="auto"/>
          </w:divBdr>
          <w:divsChild>
            <w:div w:id="861286246">
              <w:marLeft w:val="0"/>
              <w:marRight w:val="0"/>
              <w:marTop w:val="0"/>
              <w:marBottom w:val="0"/>
              <w:divBdr>
                <w:top w:val="none" w:sz="0" w:space="0" w:color="auto"/>
                <w:left w:val="none" w:sz="0" w:space="0" w:color="auto"/>
                <w:bottom w:val="none" w:sz="0" w:space="0" w:color="auto"/>
                <w:right w:val="none" w:sz="0" w:space="0" w:color="auto"/>
              </w:divBdr>
              <w:divsChild>
                <w:div w:id="1279800859">
                  <w:marLeft w:val="0"/>
                  <w:marRight w:val="0"/>
                  <w:marTop w:val="0"/>
                  <w:marBottom w:val="0"/>
                  <w:divBdr>
                    <w:top w:val="none" w:sz="0" w:space="0" w:color="auto"/>
                    <w:left w:val="none" w:sz="0" w:space="0" w:color="auto"/>
                    <w:bottom w:val="none" w:sz="0" w:space="0" w:color="auto"/>
                    <w:right w:val="none" w:sz="0" w:space="0" w:color="auto"/>
                  </w:divBdr>
                  <w:divsChild>
                    <w:div w:id="1823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5956">
      <w:bodyDiv w:val="1"/>
      <w:marLeft w:val="0"/>
      <w:marRight w:val="0"/>
      <w:marTop w:val="0"/>
      <w:marBottom w:val="0"/>
      <w:divBdr>
        <w:top w:val="none" w:sz="0" w:space="0" w:color="auto"/>
        <w:left w:val="none" w:sz="0" w:space="0" w:color="auto"/>
        <w:bottom w:val="none" w:sz="0" w:space="0" w:color="auto"/>
        <w:right w:val="none" w:sz="0" w:space="0" w:color="auto"/>
      </w:divBdr>
    </w:div>
    <w:div w:id="137842563">
      <w:bodyDiv w:val="1"/>
      <w:marLeft w:val="0"/>
      <w:marRight w:val="0"/>
      <w:marTop w:val="0"/>
      <w:marBottom w:val="0"/>
      <w:divBdr>
        <w:top w:val="none" w:sz="0" w:space="0" w:color="auto"/>
        <w:left w:val="none" w:sz="0" w:space="0" w:color="auto"/>
        <w:bottom w:val="none" w:sz="0" w:space="0" w:color="auto"/>
        <w:right w:val="none" w:sz="0" w:space="0" w:color="auto"/>
      </w:divBdr>
      <w:divsChild>
        <w:div w:id="1505515112">
          <w:marLeft w:val="0"/>
          <w:marRight w:val="0"/>
          <w:marTop w:val="0"/>
          <w:marBottom w:val="0"/>
          <w:divBdr>
            <w:top w:val="none" w:sz="0" w:space="0" w:color="auto"/>
            <w:left w:val="none" w:sz="0" w:space="0" w:color="auto"/>
            <w:bottom w:val="none" w:sz="0" w:space="0" w:color="auto"/>
            <w:right w:val="none" w:sz="0" w:space="0" w:color="auto"/>
          </w:divBdr>
          <w:divsChild>
            <w:div w:id="1958557802">
              <w:marLeft w:val="0"/>
              <w:marRight w:val="0"/>
              <w:marTop w:val="0"/>
              <w:marBottom w:val="0"/>
              <w:divBdr>
                <w:top w:val="none" w:sz="0" w:space="0" w:color="auto"/>
                <w:left w:val="none" w:sz="0" w:space="0" w:color="auto"/>
                <w:bottom w:val="none" w:sz="0" w:space="0" w:color="auto"/>
                <w:right w:val="none" w:sz="0" w:space="0" w:color="auto"/>
              </w:divBdr>
              <w:divsChild>
                <w:div w:id="1155024674">
                  <w:marLeft w:val="0"/>
                  <w:marRight w:val="0"/>
                  <w:marTop w:val="0"/>
                  <w:marBottom w:val="0"/>
                  <w:divBdr>
                    <w:top w:val="none" w:sz="0" w:space="0" w:color="auto"/>
                    <w:left w:val="none" w:sz="0" w:space="0" w:color="auto"/>
                    <w:bottom w:val="none" w:sz="0" w:space="0" w:color="auto"/>
                    <w:right w:val="none" w:sz="0" w:space="0" w:color="auto"/>
                  </w:divBdr>
                  <w:divsChild>
                    <w:div w:id="211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3735">
      <w:bodyDiv w:val="1"/>
      <w:marLeft w:val="0"/>
      <w:marRight w:val="0"/>
      <w:marTop w:val="0"/>
      <w:marBottom w:val="0"/>
      <w:divBdr>
        <w:top w:val="none" w:sz="0" w:space="0" w:color="auto"/>
        <w:left w:val="none" w:sz="0" w:space="0" w:color="auto"/>
        <w:bottom w:val="none" w:sz="0" w:space="0" w:color="auto"/>
        <w:right w:val="none" w:sz="0" w:space="0" w:color="auto"/>
      </w:divBdr>
      <w:divsChild>
        <w:div w:id="846603507">
          <w:marLeft w:val="0"/>
          <w:marRight w:val="0"/>
          <w:marTop w:val="0"/>
          <w:marBottom w:val="0"/>
          <w:divBdr>
            <w:top w:val="none" w:sz="0" w:space="0" w:color="auto"/>
            <w:left w:val="none" w:sz="0" w:space="0" w:color="auto"/>
            <w:bottom w:val="none" w:sz="0" w:space="0" w:color="auto"/>
            <w:right w:val="none" w:sz="0" w:space="0" w:color="auto"/>
          </w:divBdr>
          <w:divsChild>
            <w:div w:id="1657607701">
              <w:marLeft w:val="0"/>
              <w:marRight w:val="0"/>
              <w:marTop w:val="0"/>
              <w:marBottom w:val="0"/>
              <w:divBdr>
                <w:top w:val="none" w:sz="0" w:space="0" w:color="auto"/>
                <w:left w:val="none" w:sz="0" w:space="0" w:color="auto"/>
                <w:bottom w:val="none" w:sz="0" w:space="0" w:color="auto"/>
                <w:right w:val="none" w:sz="0" w:space="0" w:color="auto"/>
              </w:divBdr>
              <w:divsChild>
                <w:div w:id="19631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341">
      <w:bodyDiv w:val="1"/>
      <w:marLeft w:val="0"/>
      <w:marRight w:val="0"/>
      <w:marTop w:val="0"/>
      <w:marBottom w:val="0"/>
      <w:divBdr>
        <w:top w:val="none" w:sz="0" w:space="0" w:color="auto"/>
        <w:left w:val="none" w:sz="0" w:space="0" w:color="auto"/>
        <w:bottom w:val="none" w:sz="0" w:space="0" w:color="auto"/>
        <w:right w:val="none" w:sz="0" w:space="0" w:color="auto"/>
      </w:divBdr>
      <w:divsChild>
        <w:div w:id="166941969">
          <w:marLeft w:val="0"/>
          <w:marRight w:val="0"/>
          <w:marTop w:val="0"/>
          <w:marBottom w:val="0"/>
          <w:divBdr>
            <w:top w:val="none" w:sz="0" w:space="0" w:color="auto"/>
            <w:left w:val="none" w:sz="0" w:space="0" w:color="auto"/>
            <w:bottom w:val="none" w:sz="0" w:space="0" w:color="auto"/>
            <w:right w:val="none" w:sz="0" w:space="0" w:color="auto"/>
          </w:divBdr>
          <w:divsChild>
            <w:div w:id="1131747400">
              <w:marLeft w:val="0"/>
              <w:marRight w:val="0"/>
              <w:marTop w:val="0"/>
              <w:marBottom w:val="0"/>
              <w:divBdr>
                <w:top w:val="none" w:sz="0" w:space="0" w:color="auto"/>
                <w:left w:val="none" w:sz="0" w:space="0" w:color="auto"/>
                <w:bottom w:val="none" w:sz="0" w:space="0" w:color="auto"/>
                <w:right w:val="none" w:sz="0" w:space="0" w:color="auto"/>
              </w:divBdr>
              <w:divsChild>
                <w:div w:id="1558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5984">
      <w:bodyDiv w:val="1"/>
      <w:marLeft w:val="0"/>
      <w:marRight w:val="0"/>
      <w:marTop w:val="0"/>
      <w:marBottom w:val="0"/>
      <w:divBdr>
        <w:top w:val="none" w:sz="0" w:space="0" w:color="auto"/>
        <w:left w:val="none" w:sz="0" w:space="0" w:color="auto"/>
        <w:bottom w:val="none" w:sz="0" w:space="0" w:color="auto"/>
        <w:right w:val="none" w:sz="0" w:space="0" w:color="auto"/>
      </w:divBdr>
    </w:div>
    <w:div w:id="212548144">
      <w:bodyDiv w:val="1"/>
      <w:marLeft w:val="0"/>
      <w:marRight w:val="0"/>
      <w:marTop w:val="0"/>
      <w:marBottom w:val="0"/>
      <w:divBdr>
        <w:top w:val="none" w:sz="0" w:space="0" w:color="auto"/>
        <w:left w:val="none" w:sz="0" w:space="0" w:color="auto"/>
        <w:bottom w:val="none" w:sz="0" w:space="0" w:color="auto"/>
        <w:right w:val="none" w:sz="0" w:space="0" w:color="auto"/>
      </w:divBdr>
      <w:divsChild>
        <w:div w:id="429207802">
          <w:marLeft w:val="0"/>
          <w:marRight w:val="0"/>
          <w:marTop w:val="0"/>
          <w:marBottom w:val="0"/>
          <w:divBdr>
            <w:top w:val="none" w:sz="0" w:space="0" w:color="auto"/>
            <w:left w:val="none" w:sz="0" w:space="0" w:color="auto"/>
            <w:bottom w:val="none" w:sz="0" w:space="0" w:color="auto"/>
            <w:right w:val="none" w:sz="0" w:space="0" w:color="auto"/>
          </w:divBdr>
          <w:divsChild>
            <w:div w:id="145586412">
              <w:marLeft w:val="0"/>
              <w:marRight w:val="0"/>
              <w:marTop w:val="0"/>
              <w:marBottom w:val="0"/>
              <w:divBdr>
                <w:top w:val="none" w:sz="0" w:space="0" w:color="auto"/>
                <w:left w:val="none" w:sz="0" w:space="0" w:color="auto"/>
                <w:bottom w:val="none" w:sz="0" w:space="0" w:color="auto"/>
                <w:right w:val="none" w:sz="0" w:space="0" w:color="auto"/>
              </w:divBdr>
              <w:divsChild>
                <w:div w:id="1350336094">
                  <w:marLeft w:val="0"/>
                  <w:marRight w:val="0"/>
                  <w:marTop w:val="0"/>
                  <w:marBottom w:val="0"/>
                  <w:divBdr>
                    <w:top w:val="none" w:sz="0" w:space="0" w:color="auto"/>
                    <w:left w:val="none" w:sz="0" w:space="0" w:color="auto"/>
                    <w:bottom w:val="none" w:sz="0" w:space="0" w:color="auto"/>
                    <w:right w:val="none" w:sz="0" w:space="0" w:color="auto"/>
                  </w:divBdr>
                  <w:divsChild>
                    <w:div w:id="5180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2372">
          <w:marLeft w:val="0"/>
          <w:marRight w:val="0"/>
          <w:marTop w:val="0"/>
          <w:marBottom w:val="0"/>
          <w:divBdr>
            <w:top w:val="none" w:sz="0" w:space="0" w:color="auto"/>
            <w:left w:val="none" w:sz="0" w:space="0" w:color="auto"/>
            <w:bottom w:val="none" w:sz="0" w:space="0" w:color="auto"/>
            <w:right w:val="none" w:sz="0" w:space="0" w:color="auto"/>
          </w:divBdr>
          <w:divsChild>
            <w:div w:id="107747828">
              <w:marLeft w:val="0"/>
              <w:marRight w:val="0"/>
              <w:marTop w:val="0"/>
              <w:marBottom w:val="0"/>
              <w:divBdr>
                <w:top w:val="none" w:sz="0" w:space="0" w:color="auto"/>
                <w:left w:val="none" w:sz="0" w:space="0" w:color="auto"/>
                <w:bottom w:val="none" w:sz="0" w:space="0" w:color="auto"/>
                <w:right w:val="none" w:sz="0" w:space="0" w:color="auto"/>
              </w:divBdr>
              <w:divsChild>
                <w:div w:id="737167392">
                  <w:marLeft w:val="0"/>
                  <w:marRight w:val="0"/>
                  <w:marTop w:val="0"/>
                  <w:marBottom w:val="0"/>
                  <w:divBdr>
                    <w:top w:val="none" w:sz="0" w:space="0" w:color="auto"/>
                    <w:left w:val="none" w:sz="0" w:space="0" w:color="auto"/>
                    <w:bottom w:val="none" w:sz="0" w:space="0" w:color="auto"/>
                    <w:right w:val="none" w:sz="0" w:space="0" w:color="auto"/>
                  </w:divBdr>
                  <w:divsChild>
                    <w:div w:id="1778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4491">
      <w:bodyDiv w:val="1"/>
      <w:marLeft w:val="0"/>
      <w:marRight w:val="0"/>
      <w:marTop w:val="0"/>
      <w:marBottom w:val="0"/>
      <w:divBdr>
        <w:top w:val="none" w:sz="0" w:space="0" w:color="auto"/>
        <w:left w:val="none" w:sz="0" w:space="0" w:color="auto"/>
        <w:bottom w:val="none" w:sz="0" w:space="0" w:color="auto"/>
        <w:right w:val="none" w:sz="0" w:space="0" w:color="auto"/>
      </w:divBdr>
      <w:divsChild>
        <w:div w:id="189224009">
          <w:marLeft w:val="0"/>
          <w:marRight w:val="0"/>
          <w:marTop w:val="0"/>
          <w:marBottom w:val="0"/>
          <w:divBdr>
            <w:top w:val="none" w:sz="0" w:space="0" w:color="auto"/>
            <w:left w:val="none" w:sz="0" w:space="0" w:color="auto"/>
            <w:bottom w:val="none" w:sz="0" w:space="0" w:color="auto"/>
            <w:right w:val="none" w:sz="0" w:space="0" w:color="auto"/>
          </w:divBdr>
          <w:divsChild>
            <w:div w:id="1548375433">
              <w:marLeft w:val="0"/>
              <w:marRight w:val="0"/>
              <w:marTop w:val="0"/>
              <w:marBottom w:val="0"/>
              <w:divBdr>
                <w:top w:val="none" w:sz="0" w:space="0" w:color="auto"/>
                <w:left w:val="none" w:sz="0" w:space="0" w:color="auto"/>
                <w:bottom w:val="none" w:sz="0" w:space="0" w:color="auto"/>
                <w:right w:val="none" w:sz="0" w:space="0" w:color="auto"/>
              </w:divBdr>
              <w:divsChild>
                <w:div w:id="1992252848">
                  <w:marLeft w:val="0"/>
                  <w:marRight w:val="0"/>
                  <w:marTop w:val="0"/>
                  <w:marBottom w:val="0"/>
                  <w:divBdr>
                    <w:top w:val="none" w:sz="0" w:space="0" w:color="auto"/>
                    <w:left w:val="none" w:sz="0" w:space="0" w:color="auto"/>
                    <w:bottom w:val="none" w:sz="0" w:space="0" w:color="auto"/>
                    <w:right w:val="none" w:sz="0" w:space="0" w:color="auto"/>
                  </w:divBdr>
                  <w:divsChild>
                    <w:div w:id="378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238639424">
          <w:marLeft w:val="0"/>
          <w:marRight w:val="0"/>
          <w:marTop w:val="0"/>
          <w:marBottom w:val="0"/>
          <w:divBdr>
            <w:top w:val="none" w:sz="0" w:space="0" w:color="auto"/>
            <w:left w:val="none" w:sz="0" w:space="0" w:color="auto"/>
            <w:bottom w:val="none" w:sz="0" w:space="0" w:color="auto"/>
            <w:right w:val="none" w:sz="0" w:space="0" w:color="auto"/>
          </w:divBdr>
          <w:divsChild>
            <w:div w:id="682360869">
              <w:marLeft w:val="0"/>
              <w:marRight w:val="0"/>
              <w:marTop w:val="0"/>
              <w:marBottom w:val="0"/>
              <w:divBdr>
                <w:top w:val="none" w:sz="0" w:space="0" w:color="auto"/>
                <w:left w:val="none" w:sz="0" w:space="0" w:color="auto"/>
                <w:bottom w:val="none" w:sz="0" w:space="0" w:color="auto"/>
                <w:right w:val="none" w:sz="0" w:space="0" w:color="auto"/>
              </w:divBdr>
              <w:divsChild>
                <w:div w:id="7962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6823">
      <w:bodyDiv w:val="1"/>
      <w:marLeft w:val="0"/>
      <w:marRight w:val="0"/>
      <w:marTop w:val="0"/>
      <w:marBottom w:val="0"/>
      <w:divBdr>
        <w:top w:val="none" w:sz="0" w:space="0" w:color="auto"/>
        <w:left w:val="none" w:sz="0" w:space="0" w:color="auto"/>
        <w:bottom w:val="none" w:sz="0" w:space="0" w:color="auto"/>
        <w:right w:val="none" w:sz="0" w:space="0" w:color="auto"/>
      </w:divBdr>
      <w:divsChild>
        <w:div w:id="1402673701">
          <w:marLeft w:val="0"/>
          <w:marRight w:val="0"/>
          <w:marTop w:val="0"/>
          <w:marBottom w:val="0"/>
          <w:divBdr>
            <w:top w:val="none" w:sz="0" w:space="0" w:color="auto"/>
            <w:left w:val="none" w:sz="0" w:space="0" w:color="auto"/>
            <w:bottom w:val="none" w:sz="0" w:space="0" w:color="auto"/>
            <w:right w:val="none" w:sz="0" w:space="0" w:color="auto"/>
          </w:divBdr>
          <w:divsChild>
            <w:div w:id="2013802481">
              <w:marLeft w:val="0"/>
              <w:marRight w:val="0"/>
              <w:marTop w:val="0"/>
              <w:marBottom w:val="0"/>
              <w:divBdr>
                <w:top w:val="none" w:sz="0" w:space="0" w:color="auto"/>
                <w:left w:val="none" w:sz="0" w:space="0" w:color="auto"/>
                <w:bottom w:val="none" w:sz="0" w:space="0" w:color="auto"/>
                <w:right w:val="none" w:sz="0" w:space="0" w:color="auto"/>
              </w:divBdr>
              <w:divsChild>
                <w:div w:id="15138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97241">
      <w:bodyDiv w:val="1"/>
      <w:marLeft w:val="0"/>
      <w:marRight w:val="0"/>
      <w:marTop w:val="0"/>
      <w:marBottom w:val="0"/>
      <w:divBdr>
        <w:top w:val="none" w:sz="0" w:space="0" w:color="auto"/>
        <w:left w:val="none" w:sz="0" w:space="0" w:color="auto"/>
        <w:bottom w:val="none" w:sz="0" w:space="0" w:color="auto"/>
        <w:right w:val="none" w:sz="0" w:space="0" w:color="auto"/>
      </w:divBdr>
      <w:divsChild>
        <w:div w:id="1465923638">
          <w:marLeft w:val="0"/>
          <w:marRight w:val="0"/>
          <w:marTop w:val="0"/>
          <w:marBottom w:val="0"/>
          <w:divBdr>
            <w:top w:val="none" w:sz="0" w:space="0" w:color="auto"/>
            <w:left w:val="none" w:sz="0" w:space="0" w:color="auto"/>
            <w:bottom w:val="none" w:sz="0" w:space="0" w:color="auto"/>
            <w:right w:val="none" w:sz="0" w:space="0" w:color="auto"/>
          </w:divBdr>
          <w:divsChild>
            <w:div w:id="2023966554">
              <w:marLeft w:val="0"/>
              <w:marRight w:val="0"/>
              <w:marTop w:val="0"/>
              <w:marBottom w:val="0"/>
              <w:divBdr>
                <w:top w:val="none" w:sz="0" w:space="0" w:color="auto"/>
                <w:left w:val="none" w:sz="0" w:space="0" w:color="auto"/>
                <w:bottom w:val="none" w:sz="0" w:space="0" w:color="auto"/>
                <w:right w:val="none" w:sz="0" w:space="0" w:color="auto"/>
              </w:divBdr>
              <w:divsChild>
                <w:div w:id="962688151">
                  <w:marLeft w:val="0"/>
                  <w:marRight w:val="0"/>
                  <w:marTop w:val="0"/>
                  <w:marBottom w:val="0"/>
                  <w:divBdr>
                    <w:top w:val="none" w:sz="0" w:space="0" w:color="auto"/>
                    <w:left w:val="none" w:sz="0" w:space="0" w:color="auto"/>
                    <w:bottom w:val="none" w:sz="0" w:space="0" w:color="auto"/>
                    <w:right w:val="none" w:sz="0" w:space="0" w:color="auto"/>
                  </w:divBdr>
                  <w:divsChild>
                    <w:div w:id="950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35995">
      <w:bodyDiv w:val="1"/>
      <w:marLeft w:val="0"/>
      <w:marRight w:val="0"/>
      <w:marTop w:val="0"/>
      <w:marBottom w:val="0"/>
      <w:divBdr>
        <w:top w:val="none" w:sz="0" w:space="0" w:color="auto"/>
        <w:left w:val="none" w:sz="0" w:space="0" w:color="auto"/>
        <w:bottom w:val="none" w:sz="0" w:space="0" w:color="auto"/>
        <w:right w:val="none" w:sz="0" w:space="0" w:color="auto"/>
      </w:divBdr>
      <w:divsChild>
        <w:div w:id="87508700">
          <w:marLeft w:val="0"/>
          <w:marRight w:val="0"/>
          <w:marTop w:val="0"/>
          <w:marBottom w:val="0"/>
          <w:divBdr>
            <w:top w:val="none" w:sz="0" w:space="0" w:color="auto"/>
            <w:left w:val="none" w:sz="0" w:space="0" w:color="auto"/>
            <w:bottom w:val="none" w:sz="0" w:space="0" w:color="auto"/>
            <w:right w:val="none" w:sz="0" w:space="0" w:color="auto"/>
          </w:divBdr>
          <w:divsChild>
            <w:div w:id="841824083">
              <w:marLeft w:val="0"/>
              <w:marRight w:val="0"/>
              <w:marTop w:val="0"/>
              <w:marBottom w:val="0"/>
              <w:divBdr>
                <w:top w:val="none" w:sz="0" w:space="0" w:color="auto"/>
                <w:left w:val="none" w:sz="0" w:space="0" w:color="auto"/>
                <w:bottom w:val="none" w:sz="0" w:space="0" w:color="auto"/>
                <w:right w:val="none" w:sz="0" w:space="0" w:color="auto"/>
              </w:divBdr>
              <w:divsChild>
                <w:div w:id="19195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7790">
      <w:bodyDiv w:val="1"/>
      <w:marLeft w:val="0"/>
      <w:marRight w:val="0"/>
      <w:marTop w:val="0"/>
      <w:marBottom w:val="0"/>
      <w:divBdr>
        <w:top w:val="none" w:sz="0" w:space="0" w:color="auto"/>
        <w:left w:val="none" w:sz="0" w:space="0" w:color="auto"/>
        <w:bottom w:val="none" w:sz="0" w:space="0" w:color="auto"/>
        <w:right w:val="none" w:sz="0" w:space="0" w:color="auto"/>
      </w:divBdr>
      <w:divsChild>
        <w:div w:id="2029020588">
          <w:marLeft w:val="0"/>
          <w:marRight w:val="0"/>
          <w:marTop w:val="0"/>
          <w:marBottom w:val="0"/>
          <w:divBdr>
            <w:top w:val="none" w:sz="0" w:space="0" w:color="auto"/>
            <w:left w:val="none" w:sz="0" w:space="0" w:color="auto"/>
            <w:bottom w:val="none" w:sz="0" w:space="0" w:color="auto"/>
            <w:right w:val="none" w:sz="0" w:space="0" w:color="auto"/>
          </w:divBdr>
          <w:divsChild>
            <w:div w:id="1174344822">
              <w:marLeft w:val="0"/>
              <w:marRight w:val="0"/>
              <w:marTop w:val="0"/>
              <w:marBottom w:val="0"/>
              <w:divBdr>
                <w:top w:val="none" w:sz="0" w:space="0" w:color="auto"/>
                <w:left w:val="none" w:sz="0" w:space="0" w:color="auto"/>
                <w:bottom w:val="none" w:sz="0" w:space="0" w:color="auto"/>
                <w:right w:val="none" w:sz="0" w:space="0" w:color="auto"/>
              </w:divBdr>
              <w:divsChild>
                <w:div w:id="1964380737">
                  <w:marLeft w:val="0"/>
                  <w:marRight w:val="0"/>
                  <w:marTop w:val="0"/>
                  <w:marBottom w:val="0"/>
                  <w:divBdr>
                    <w:top w:val="none" w:sz="0" w:space="0" w:color="auto"/>
                    <w:left w:val="none" w:sz="0" w:space="0" w:color="auto"/>
                    <w:bottom w:val="none" w:sz="0" w:space="0" w:color="auto"/>
                    <w:right w:val="none" w:sz="0" w:space="0" w:color="auto"/>
                  </w:divBdr>
                  <w:divsChild>
                    <w:div w:id="1368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78618">
      <w:bodyDiv w:val="1"/>
      <w:marLeft w:val="0"/>
      <w:marRight w:val="0"/>
      <w:marTop w:val="0"/>
      <w:marBottom w:val="0"/>
      <w:divBdr>
        <w:top w:val="none" w:sz="0" w:space="0" w:color="auto"/>
        <w:left w:val="none" w:sz="0" w:space="0" w:color="auto"/>
        <w:bottom w:val="none" w:sz="0" w:space="0" w:color="auto"/>
        <w:right w:val="none" w:sz="0" w:space="0" w:color="auto"/>
      </w:divBdr>
    </w:div>
    <w:div w:id="380519012">
      <w:bodyDiv w:val="1"/>
      <w:marLeft w:val="0"/>
      <w:marRight w:val="0"/>
      <w:marTop w:val="0"/>
      <w:marBottom w:val="0"/>
      <w:divBdr>
        <w:top w:val="none" w:sz="0" w:space="0" w:color="auto"/>
        <w:left w:val="none" w:sz="0" w:space="0" w:color="auto"/>
        <w:bottom w:val="none" w:sz="0" w:space="0" w:color="auto"/>
        <w:right w:val="none" w:sz="0" w:space="0" w:color="auto"/>
      </w:divBdr>
    </w:div>
    <w:div w:id="408040566">
      <w:bodyDiv w:val="1"/>
      <w:marLeft w:val="0"/>
      <w:marRight w:val="0"/>
      <w:marTop w:val="0"/>
      <w:marBottom w:val="0"/>
      <w:divBdr>
        <w:top w:val="none" w:sz="0" w:space="0" w:color="auto"/>
        <w:left w:val="none" w:sz="0" w:space="0" w:color="auto"/>
        <w:bottom w:val="none" w:sz="0" w:space="0" w:color="auto"/>
        <w:right w:val="none" w:sz="0" w:space="0" w:color="auto"/>
      </w:divBdr>
      <w:divsChild>
        <w:div w:id="240717699">
          <w:marLeft w:val="0"/>
          <w:marRight w:val="0"/>
          <w:marTop w:val="0"/>
          <w:marBottom w:val="0"/>
          <w:divBdr>
            <w:top w:val="none" w:sz="0" w:space="0" w:color="auto"/>
            <w:left w:val="none" w:sz="0" w:space="0" w:color="auto"/>
            <w:bottom w:val="none" w:sz="0" w:space="0" w:color="auto"/>
            <w:right w:val="none" w:sz="0" w:space="0" w:color="auto"/>
          </w:divBdr>
          <w:divsChild>
            <w:div w:id="352458954">
              <w:marLeft w:val="0"/>
              <w:marRight w:val="0"/>
              <w:marTop w:val="0"/>
              <w:marBottom w:val="0"/>
              <w:divBdr>
                <w:top w:val="none" w:sz="0" w:space="0" w:color="auto"/>
                <w:left w:val="none" w:sz="0" w:space="0" w:color="auto"/>
                <w:bottom w:val="none" w:sz="0" w:space="0" w:color="auto"/>
                <w:right w:val="none" w:sz="0" w:space="0" w:color="auto"/>
              </w:divBdr>
              <w:divsChild>
                <w:div w:id="1228298540">
                  <w:marLeft w:val="0"/>
                  <w:marRight w:val="0"/>
                  <w:marTop w:val="0"/>
                  <w:marBottom w:val="0"/>
                  <w:divBdr>
                    <w:top w:val="none" w:sz="0" w:space="0" w:color="auto"/>
                    <w:left w:val="none" w:sz="0" w:space="0" w:color="auto"/>
                    <w:bottom w:val="none" w:sz="0" w:space="0" w:color="auto"/>
                    <w:right w:val="none" w:sz="0" w:space="0" w:color="auto"/>
                  </w:divBdr>
                  <w:divsChild>
                    <w:div w:id="1586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578">
      <w:bodyDiv w:val="1"/>
      <w:marLeft w:val="0"/>
      <w:marRight w:val="0"/>
      <w:marTop w:val="0"/>
      <w:marBottom w:val="0"/>
      <w:divBdr>
        <w:top w:val="none" w:sz="0" w:space="0" w:color="auto"/>
        <w:left w:val="none" w:sz="0" w:space="0" w:color="auto"/>
        <w:bottom w:val="none" w:sz="0" w:space="0" w:color="auto"/>
        <w:right w:val="none" w:sz="0" w:space="0" w:color="auto"/>
      </w:divBdr>
    </w:div>
    <w:div w:id="451097926">
      <w:bodyDiv w:val="1"/>
      <w:marLeft w:val="0"/>
      <w:marRight w:val="0"/>
      <w:marTop w:val="0"/>
      <w:marBottom w:val="0"/>
      <w:divBdr>
        <w:top w:val="none" w:sz="0" w:space="0" w:color="auto"/>
        <w:left w:val="none" w:sz="0" w:space="0" w:color="auto"/>
        <w:bottom w:val="none" w:sz="0" w:space="0" w:color="auto"/>
        <w:right w:val="none" w:sz="0" w:space="0" w:color="auto"/>
      </w:divBdr>
      <w:divsChild>
        <w:div w:id="386999346">
          <w:marLeft w:val="0"/>
          <w:marRight w:val="0"/>
          <w:marTop w:val="0"/>
          <w:marBottom w:val="0"/>
          <w:divBdr>
            <w:top w:val="none" w:sz="0" w:space="0" w:color="auto"/>
            <w:left w:val="none" w:sz="0" w:space="0" w:color="auto"/>
            <w:bottom w:val="none" w:sz="0" w:space="0" w:color="auto"/>
            <w:right w:val="none" w:sz="0" w:space="0" w:color="auto"/>
          </w:divBdr>
          <w:divsChild>
            <w:div w:id="253126527">
              <w:marLeft w:val="0"/>
              <w:marRight w:val="0"/>
              <w:marTop w:val="0"/>
              <w:marBottom w:val="0"/>
              <w:divBdr>
                <w:top w:val="none" w:sz="0" w:space="0" w:color="auto"/>
                <w:left w:val="none" w:sz="0" w:space="0" w:color="auto"/>
                <w:bottom w:val="none" w:sz="0" w:space="0" w:color="auto"/>
                <w:right w:val="none" w:sz="0" w:space="0" w:color="auto"/>
              </w:divBdr>
              <w:divsChild>
                <w:div w:id="1266619000">
                  <w:marLeft w:val="0"/>
                  <w:marRight w:val="0"/>
                  <w:marTop w:val="0"/>
                  <w:marBottom w:val="0"/>
                  <w:divBdr>
                    <w:top w:val="none" w:sz="0" w:space="0" w:color="auto"/>
                    <w:left w:val="none" w:sz="0" w:space="0" w:color="auto"/>
                    <w:bottom w:val="none" w:sz="0" w:space="0" w:color="auto"/>
                    <w:right w:val="none" w:sz="0" w:space="0" w:color="auto"/>
                  </w:divBdr>
                  <w:divsChild>
                    <w:div w:id="65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097">
          <w:marLeft w:val="0"/>
          <w:marRight w:val="0"/>
          <w:marTop w:val="0"/>
          <w:marBottom w:val="0"/>
          <w:divBdr>
            <w:top w:val="none" w:sz="0" w:space="0" w:color="auto"/>
            <w:left w:val="none" w:sz="0" w:space="0" w:color="auto"/>
            <w:bottom w:val="none" w:sz="0" w:space="0" w:color="auto"/>
            <w:right w:val="none" w:sz="0" w:space="0" w:color="auto"/>
          </w:divBdr>
          <w:divsChild>
            <w:div w:id="1261180395">
              <w:marLeft w:val="0"/>
              <w:marRight w:val="0"/>
              <w:marTop w:val="0"/>
              <w:marBottom w:val="0"/>
              <w:divBdr>
                <w:top w:val="none" w:sz="0" w:space="0" w:color="auto"/>
                <w:left w:val="none" w:sz="0" w:space="0" w:color="auto"/>
                <w:bottom w:val="none" w:sz="0" w:space="0" w:color="auto"/>
                <w:right w:val="none" w:sz="0" w:space="0" w:color="auto"/>
              </w:divBdr>
              <w:divsChild>
                <w:div w:id="1865359114">
                  <w:marLeft w:val="0"/>
                  <w:marRight w:val="0"/>
                  <w:marTop w:val="0"/>
                  <w:marBottom w:val="0"/>
                  <w:divBdr>
                    <w:top w:val="none" w:sz="0" w:space="0" w:color="auto"/>
                    <w:left w:val="none" w:sz="0" w:space="0" w:color="auto"/>
                    <w:bottom w:val="none" w:sz="0" w:space="0" w:color="auto"/>
                    <w:right w:val="none" w:sz="0" w:space="0" w:color="auto"/>
                  </w:divBdr>
                  <w:divsChild>
                    <w:div w:id="194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08293">
      <w:bodyDiv w:val="1"/>
      <w:marLeft w:val="0"/>
      <w:marRight w:val="0"/>
      <w:marTop w:val="0"/>
      <w:marBottom w:val="0"/>
      <w:divBdr>
        <w:top w:val="none" w:sz="0" w:space="0" w:color="auto"/>
        <w:left w:val="none" w:sz="0" w:space="0" w:color="auto"/>
        <w:bottom w:val="none" w:sz="0" w:space="0" w:color="auto"/>
        <w:right w:val="none" w:sz="0" w:space="0" w:color="auto"/>
      </w:divBdr>
      <w:divsChild>
        <w:div w:id="1932084830">
          <w:marLeft w:val="0"/>
          <w:marRight w:val="0"/>
          <w:marTop w:val="0"/>
          <w:marBottom w:val="0"/>
          <w:divBdr>
            <w:top w:val="none" w:sz="0" w:space="0" w:color="auto"/>
            <w:left w:val="none" w:sz="0" w:space="0" w:color="auto"/>
            <w:bottom w:val="none" w:sz="0" w:space="0" w:color="auto"/>
            <w:right w:val="none" w:sz="0" w:space="0" w:color="auto"/>
          </w:divBdr>
          <w:divsChild>
            <w:div w:id="894315366">
              <w:marLeft w:val="0"/>
              <w:marRight w:val="0"/>
              <w:marTop w:val="0"/>
              <w:marBottom w:val="0"/>
              <w:divBdr>
                <w:top w:val="none" w:sz="0" w:space="0" w:color="auto"/>
                <w:left w:val="none" w:sz="0" w:space="0" w:color="auto"/>
                <w:bottom w:val="none" w:sz="0" w:space="0" w:color="auto"/>
                <w:right w:val="none" w:sz="0" w:space="0" w:color="auto"/>
              </w:divBdr>
              <w:divsChild>
                <w:div w:id="626930312">
                  <w:marLeft w:val="0"/>
                  <w:marRight w:val="0"/>
                  <w:marTop w:val="0"/>
                  <w:marBottom w:val="0"/>
                  <w:divBdr>
                    <w:top w:val="none" w:sz="0" w:space="0" w:color="auto"/>
                    <w:left w:val="none" w:sz="0" w:space="0" w:color="auto"/>
                    <w:bottom w:val="none" w:sz="0" w:space="0" w:color="auto"/>
                    <w:right w:val="none" w:sz="0" w:space="0" w:color="auto"/>
                  </w:divBdr>
                  <w:divsChild>
                    <w:div w:id="413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4464">
      <w:bodyDiv w:val="1"/>
      <w:marLeft w:val="0"/>
      <w:marRight w:val="0"/>
      <w:marTop w:val="0"/>
      <w:marBottom w:val="0"/>
      <w:divBdr>
        <w:top w:val="none" w:sz="0" w:space="0" w:color="auto"/>
        <w:left w:val="none" w:sz="0" w:space="0" w:color="auto"/>
        <w:bottom w:val="none" w:sz="0" w:space="0" w:color="auto"/>
        <w:right w:val="none" w:sz="0" w:space="0" w:color="auto"/>
      </w:divBdr>
      <w:divsChild>
        <w:div w:id="465124237">
          <w:marLeft w:val="0"/>
          <w:marRight w:val="0"/>
          <w:marTop w:val="0"/>
          <w:marBottom w:val="0"/>
          <w:divBdr>
            <w:top w:val="none" w:sz="0" w:space="0" w:color="auto"/>
            <w:left w:val="none" w:sz="0" w:space="0" w:color="auto"/>
            <w:bottom w:val="none" w:sz="0" w:space="0" w:color="auto"/>
            <w:right w:val="none" w:sz="0" w:space="0" w:color="auto"/>
          </w:divBdr>
          <w:divsChild>
            <w:div w:id="369301540">
              <w:marLeft w:val="0"/>
              <w:marRight w:val="0"/>
              <w:marTop w:val="0"/>
              <w:marBottom w:val="0"/>
              <w:divBdr>
                <w:top w:val="none" w:sz="0" w:space="0" w:color="auto"/>
                <w:left w:val="none" w:sz="0" w:space="0" w:color="auto"/>
                <w:bottom w:val="none" w:sz="0" w:space="0" w:color="auto"/>
                <w:right w:val="none" w:sz="0" w:space="0" w:color="auto"/>
              </w:divBdr>
              <w:divsChild>
                <w:div w:id="20863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46">
      <w:bodyDiv w:val="1"/>
      <w:marLeft w:val="0"/>
      <w:marRight w:val="0"/>
      <w:marTop w:val="0"/>
      <w:marBottom w:val="0"/>
      <w:divBdr>
        <w:top w:val="none" w:sz="0" w:space="0" w:color="auto"/>
        <w:left w:val="none" w:sz="0" w:space="0" w:color="auto"/>
        <w:bottom w:val="none" w:sz="0" w:space="0" w:color="auto"/>
        <w:right w:val="none" w:sz="0" w:space="0" w:color="auto"/>
      </w:divBdr>
    </w:div>
    <w:div w:id="490953798">
      <w:bodyDiv w:val="1"/>
      <w:marLeft w:val="0"/>
      <w:marRight w:val="0"/>
      <w:marTop w:val="0"/>
      <w:marBottom w:val="0"/>
      <w:divBdr>
        <w:top w:val="none" w:sz="0" w:space="0" w:color="auto"/>
        <w:left w:val="none" w:sz="0" w:space="0" w:color="auto"/>
        <w:bottom w:val="none" w:sz="0" w:space="0" w:color="auto"/>
        <w:right w:val="none" w:sz="0" w:space="0" w:color="auto"/>
      </w:divBdr>
      <w:divsChild>
        <w:div w:id="1983463573">
          <w:marLeft w:val="0"/>
          <w:marRight w:val="0"/>
          <w:marTop w:val="0"/>
          <w:marBottom w:val="0"/>
          <w:divBdr>
            <w:top w:val="none" w:sz="0" w:space="0" w:color="auto"/>
            <w:left w:val="none" w:sz="0" w:space="0" w:color="auto"/>
            <w:bottom w:val="none" w:sz="0" w:space="0" w:color="auto"/>
            <w:right w:val="none" w:sz="0" w:space="0" w:color="auto"/>
          </w:divBdr>
          <w:divsChild>
            <w:div w:id="1264191405">
              <w:marLeft w:val="0"/>
              <w:marRight w:val="0"/>
              <w:marTop w:val="0"/>
              <w:marBottom w:val="0"/>
              <w:divBdr>
                <w:top w:val="none" w:sz="0" w:space="0" w:color="auto"/>
                <w:left w:val="none" w:sz="0" w:space="0" w:color="auto"/>
                <w:bottom w:val="none" w:sz="0" w:space="0" w:color="auto"/>
                <w:right w:val="none" w:sz="0" w:space="0" w:color="auto"/>
              </w:divBdr>
              <w:divsChild>
                <w:div w:id="132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1701">
      <w:bodyDiv w:val="1"/>
      <w:marLeft w:val="0"/>
      <w:marRight w:val="0"/>
      <w:marTop w:val="0"/>
      <w:marBottom w:val="0"/>
      <w:divBdr>
        <w:top w:val="none" w:sz="0" w:space="0" w:color="auto"/>
        <w:left w:val="none" w:sz="0" w:space="0" w:color="auto"/>
        <w:bottom w:val="none" w:sz="0" w:space="0" w:color="auto"/>
        <w:right w:val="none" w:sz="0" w:space="0" w:color="auto"/>
      </w:divBdr>
    </w:div>
    <w:div w:id="621034498">
      <w:bodyDiv w:val="1"/>
      <w:marLeft w:val="0"/>
      <w:marRight w:val="0"/>
      <w:marTop w:val="0"/>
      <w:marBottom w:val="0"/>
      <w:divBdr>
        <w:top w:val="none" w:sz="0" w:space="0" w:color="auto"/>
        <w:left w:val="none" w:sz="0" w:space="0" w:color="auto"/>
        <w:bottom w:val="none" w:sz="0" w:space="0" w:color="auto"/>
        <w:right w:val="none" w:sz="0" w:space="0" w:color="auto"/>
      </w:divBdr>
      <w:divsChild>
        <w:div w:id="1360400383">
          <w:marLeft w:val="0"/>
          <w:marRight w:val="0"/>
          <w:marTop w:val="0"/>
          <w:marBottom w:val="0"/>
          <w:divBdr>
            <w:top w:val="none" w:sz="0" w:space="0" w:color="auto"/>
            <w:left w:val="none" w:sz="0" w:space="0" w:color="auto"/>
            <w:bottom w:val="none" w:sz="0" w:space="0" w:color="auto"/>
            <w:right w:val="none" w:sz="0" w:space="0" w:color="auto"/>
          </w:divBdr>
          <w:divsChild>
            <w:div w:id="1944264728">
              <w:marLeft w:val="0"/>
              <w:marRight w:val="0"/>
              <w:marTop w:val="0"/>
              <w:marBottom w:val="0"/>
              <w:divBdr>
                <w:top w:val="none" w:sz="0" w:space="0" w:color="auto"/>
                <w:left w:val="none" w:sz="0" w:space="0" w:color="auto"/>
                <w:bottom w:val="none" w:sz="0" w:space="0" w:color="auto"/>
                <w:right w:val="none" w:sz="0" w:space="0" w:color="auto"/>
              </w:divBdr>
              <w:divsChild>
                <w:div w:id="1173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09527">
      <w:bodyDiv w:val="1"/>
      <w:marLeft w:val="0"/>
      <w:marRight w:val="0"/>
      <w:marTop w:val="0"/>
      <w:marBottom w:val="0"/>
      <w:divBdr>
        <w:top w:val="none" w:sz="0" w:space="0" w:color="auto"/>
        <w:left w:val="none" w:sz="0" w:space="0" w:color="auto"/>
        <w:bottom w:val="none" w:sz="0" w:space="0" w:color="auto"/>
        <w:right w:val="none" w:sz="0" w:space="0" w:color="auto"/>
      </w:divBdr>
    </w:div>
    <w:div w:id="676738019">
      <w:bodyDiv w:val="1"/>
      <w:marLeft w:val="0"/>
      <w:marRight w:val="0"/>
      <w:marTop w:val="0"/>
      <w:marBottom w:val="0"/>
      <w:divBdr>
        <w:top w:val="none" w:sz="0" w:space="0" w:color="auto"/>
        <w:left w:val="none" w:sz="0" w:space="0" w:color="auto"/>
        <w:bottom w:val="none" w:sz="0" w:space="0" w:color="auto"/>
        <w:right w:val="none" w:sz="0" w:space="0" w:color="auto"/>
      </w:divBdr>
    </w:div>
    <w:div w:id="681081900">
      <w:bodyDiv w:val="1"/>
      <w:marLeft w:val="0"/>
      <w:marRight w:val="0"/>
      <w:marTop w:val="0"/>
      <w:marBottom w:val="0"/>
      <w:divBdr>
        <w:top w:val="none" w:sz="0" w:space="0" w:color="auto"/>
        <w:left w:val="none" w:sz="0" w:space="0" w:color="auto"/>
        <w:bottom w:val="none" w:sz="0" w:space="0" w:color="auto"/>
        <w:right w:val="none" w:sz="0" w:space="0" w:color="auto"/>
      </w:divBdr>
      <w:divsChild>
        <w:div w:id="1860267050">
          <w:marLeft w:val="0"/>
          <w:marRight w:val="0"/>
          <w:marTop w:val="0"/>
          <w:marBottom w:val="0"/>
          <w:divBdr>
            <w:top w:val="none" w:sz="0" w:space="0" w:color="auto"/>
            <w:left w:val="none" w:sz="0" w:space="0" w:color="auto"/>
            <w:bottom w:val="none" w:sz="0" w:space="0" w:color="auto"/>
            <w:right w:val="none" w:sz="0" w:space="0" w:color="auto"/>
          </w:divBdr>
          <w:divsChild>
            <w:div w:id="1250625242">
              <w:marLeft w:val="0"/>
              <w:marRight w:val="0"/>
              <w:marTop w:val="0"/>
              <w:marBottom w:val="0"/>
              <w:divBdr>
                <w:top w:val="none" w:sz="0" w:space="0" w:color="auto"/>
                <w:left w:val="none" w:sz="0" w:space="0" w:color="auto"/>
                <w:bottom w:val="none" w:sz="0" w:space="0" w:color="auto"/>
                <w:right w:val="none" w:sz="0" w:space="0" w:color="auto"/>
              </w:divBdr>
              <w:divsChild>
                <w:div w:id="16789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3925">
      <w:bodyDiv w:val="1"/>
      <w:marLeft w:val="0"/>
      <w:marRight w:val="0"/>
      <w:marTop w:val="0"/>
      <w:marBottom w:val="0"/>
      <w:divBdr>
        <w:top w:val="none" w:sz="0" w:space="0" w:color="auto"/>
        <w:left w:val="none" w:sz="0" w:space="0" w:color="auto"/>
        <w:bottom w:val="none" w:sz="0" w:space="0" w:color="auto"/>
        <w:right w:val="none" w:sz="0" w:space="0" w:color="auto"/>
      </w:divBdr>
      <w:divsChild>
        <w:div w:id="260376601">
          <w:marLeft w:val="0"/>
          <w:marRight w:val="0"/>
          <w:marTop w:val="0"/>
          <w:marBottom w:val="0"/>
          <w:divBdr>
            <w:top w:val="none" w:sz="0" w:space="0" w:color="auto"/>
            <w:left w:val="none" w:sz="0" w:space="0" w:color="auto"/>
            <w:bottom w:val="none" w:sz="0" w:space="0" w:color="auto"/>
            <w:right w:val="none" w:sz="0" w:space="0" w:color="auto"/>
          </w:divBdr>
          <w:divsChild>
            <w:div w:id="1000698628">
              <w:marLeft w:val="0"/>
              <w:marRight w:val="0"/>
              <w:marTop w:val="0"/>
              <w:marBottom w:val="0"/>
              <w:divBdr>
                <w:top w:val="none" w:sz="0" w:space="0" w:color="auto"/>
                <w:left w:val="none" w:sz="0" w:space="0" w:color="auto"/>
                <w:bottom w:val="none" w:sz="0" w:space="0" w:color="auto"/>
                <w:right w:val="none" w:sz="0" w:space="0" w:color="auto"/>
              </w:divBdr>
              <w:divsChild>
                <w:div w:id="637882839">
                  <w:marLeft w:val="0"/>
                  <w:marRight w:val="0"/>
                  <w:marTop w:val="0"/>
                  <w:marBottom w:val="0"/>
                  <w:divBdr>
                    <w:top w:val="none" w:sz="0" w:space="0" w:color="auto"/>
                    <w:left w:val="none" w:sz="0" w:space="0" w:color="auto"/>
                    <w:bottom w:val="none" w:sz="0" w:space="0" w:color="auto"/>
                    <w:right w:val="none" w:sz="0" w:space="0" w:color="auto"/>
                  </w:divBdr>
                  <w:divsChild>
                    <w:div w:id="526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4707">
      <w:bodyDiv w:val="1"/>
      <w:marLeft w:val="0"/>
      <w:marRight w:val="0"/>
      <w:marTop w:val="0"/>
      <w:marBottom w:val="0"/>
      <w:divBdr>
        <w:top w:val="none" w:sz="0" w:space="0" w:color="auto"/>
        <w:left w:val="none" w:sz="0" w:space="0" w:color="auto"/>
        <w:bottom w:val="none" w:sz="0" w:space="0" w:color="auto"/>
        <w:right w:val="none" w:sz="0" w:space="0" w:color="auto"/>
      </w:divBdr>
    </w:div>
    <w:div w:id="690037126">
      <w:bodyDiv w:val="1"/>
      <w:marLeft w:val="0"/>
      <w:marRight w:val="0"/>
      <w:marTop w:val="0"/>
      <w:marBottom w:val="0"/>
      <w:divBdr>
        <w:top w:val="none" w:sz="0" w:space="0" w:color="auto"/>
        <w:left w:val="none" w:sz="0" w:space="0" w:color="auto"/>
        <w:bottom w:val="none" w:sz="0" w:space="0" w:color="auto"/>
        <w:right w:val="none" w:sz="0" w:space="0" w:color="auto"/>
      </w:divBdr>
    </w:div>
    <w:div w:id="691879658">
      <w:bodyDiv w:val="1"/>
      <w:marLeft w:val="0"/>
      <w:marRight w:val="0"/>
      <w:marTop w:val="0"/>
      <w:marBottom w:val="0"/>
      <w:divBdr>
        <w:top w:val="none" w:sz="0" w:space="0" w:color="auto"/>
        <w:left w:val="none" w:sz="0" w:space="0" w:color="auto"/>
        <w:bottom w:val="none" w:sz="0" w:space="0" w:color="auto"/>
        <w:right w:val="none" w:sz="0" w:space="0" w:color="auto"/>
      </w:divBdr>
      <w:divsChild>
        <w:div w:id="1854687408">
          <w:marLeft w:val="0"/>
          <w:marRight w:val="0"/>
          <w:marTop w:val="0"/>
          <w:marBottom w:val="0"/>
          <w:divBdr>
            <w:top w:val="none" w:sz="0" w:space="0" w:color="auto"/>
            <w:left w:val="none" w:sz="0" w:space="0" w:color="auto"/>
            <w:bottom w:val="none" w:sz="0" w:space="0" w:color="auto"/>
            <w:right w:val="none" w:sz="0" w:space="0" w:color="auto"/>
          </w:divBdr>
          <w:divsChild>
            <w:div w:id="2106219699">
              <w:marLeft w:val="0"/>
              <w:marRight w:val="0"/>
              <w:marTop w:val="0"/>
              <w:marBottom w:val="0"/>
              <w:divBdr>
                <w:top w:val="none" w:sz="0" w:space="0" w:color="auto"/>
                <w:left w:val="none" w:sz="0" w:space="0" w:color="auto"/>
                <w:bottom w:val="none" w:sz="0" w:space="0" w:color="auto"/>
                <w:right w:val="none" w:sz="0" w:space="0" w:color="auto"/>
              </w:divBdr>
              <w:divsChild>
                <w:div w:id="378480019">
                  <w:marLeft w:val="0"/>
                  <w:marRight w:val="0"/>
                  <w:marTop w:val="0"/>
                  <w:marBottom w:val="0"/>
                  <w:divBdr>
                    <w:top w:val="none" w:sz="0" w:space="0" w:color="auto"/>
                    <w:left w:val="none" w:sz="0" w:space="0" w:color="auto"/>
                    <w:bottom w:val="none" w:sz="0" w:space="0" w:color="auto"/>
                    <w:right w:val="none" w:sz="0" w:space="0" w:color="auto"/>
                  </w:divBdr>
                  <w:divsChild>
                    <w:div w:id="12551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6039">
      <w:bodyDiv w:val="1"/>
      <w:marLeft w:val="0"/>
      <w:marRight w:val="0"/>
      <w:marTop w:val="0"/>
      <w:marBottom w:val="0"/>
      <w:divBdr>
        <w:top w:val="none" w:sz="0" w:space="0" w:color="auto"/>
        <w:left w:val="none" w:sz="0" w:space="0" w:color="auto"/>
        <w:bottom w:val="none" w:sz="0" w:space="0" w:color="auto"/>
        <w:right w:val="none" w:sz="0" w:space="0" w:color="auto"/>
      </w:divBdr>
      <w:divsChild>
        <w:div w:id="683480367">
          <w:marLeft w:val="0"/>
          <w:marRight w:val="0"/>
          <w:marTop w:val="0"/>
          <w:marBottom w:val="0"/>
          <w:divBdr>
            <w:top w:val="none" w:sz="0" w:space="0" w:color="auto"/>
            <w:left w:val="none" w:sz="0" w:space="0" w:color="auto"/>
            <w:bottom w:val="none" w:sz="0" w:space="0" w:color="auto"/>
            <w:right w:val="none" w:sz="0" w:space="0" w:color="auto"/>
          </w:divBdr>
          <w:divsChild>
            <w:div w:id="534080063">
              <w:marLeft w:val="0"/>
              <w:marRight w:val="0"/>
              <w:marTop w:val="0"/>
              <w:marBottom w:val="0"/>
              <w:divBdr>
                <w:top w:val="none" w:sz="0" w:space="0" w:color="auto"/>
                <w:left w:val="none" w:sz="0" w:space="0" w:color="auto"/>
                <w:bottom w:val="none" w:sz="0" w:space="0" w:color="auto"/>
                <w:right w:val="none" w:sz="0" w:space="0" w:color="auto"/>
              </w:divBdr>
              <w:divsChild>
                <w:div w:id="1241216503">
                  <w:marLeft w:val="0"/>
                  <w:marRight w:val="0"/>
                  <w:marTop w:val="0"/>
                  <w:marBottom w:val="0"/>
                  <w:divBdr>
                    <w:top w:val="none" w:sz="0" w:space="0" w:color="auto"/>
                    <w:left w:val="none" w:sz="0" w:space="0" w:color="auto"/>
                    <w:bottom w:val="none" w:sz="0" w:space="0" w:color="auto"/>
                    <w:right w:val="none" w:sz="0" w:space="0" w:color="auto"/>
                  </w:divBdr>
                  <w:divsChild>
                    <w:div w:id="325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80956">
      <w:bodyDiv w:val="1"/>
      <w:marLeft w:val="0"/>
      <w:marRight w:val="0"/>
      <w:marTop w:val="0"/>
      <w:marBottom w:val="0"/>
      <w:divBdr>
        <w:top w:val="none" w:sz="0" w:space="0" w:color="auto"/>
        <w:left w:val="none" w:sz="0" w:space="0" w:color="auto"/>
        <w:bottom w:val="none" w:sz="0" w:space="0" w:color="auto"/>
        <w:right w:val="none" w:sz="0" w:space="0" w:color="auto"/>
      </w:divBdr>
      <w:divsChild>
        <w:div w:id="1620868182">
          <w:marLeft w:val="0"/>
          <w:marRight w:val="0"/>
          <w:marTop w:val="0"/>
          <w:marBottom w:val="0"/>
          <w:divBdr>
            <w:top w:val="none" w:sz="0" w:space="0" w:color="auto"/>
            <w:left w:val="none" w:sz="0" w:space="0" w:color="auto"/>
            <w:bottom w:val="none" w:sz="0" w:space="0" w:color="auto"/>
            <w:right w:val="none" w:sz="0" w:space="0" w:color="auto"/>
          </w:divBdr>
          <w:divsChild>
            <w:div w:id="599069726">
              <w:marLeft w:val="0"/>
              <w:marRight w:val="0"/>
              <w:marTop w:val="0"/>
              <w:marBottom w:val="0"/>
              <w:divBdr>
                <w:top w:val="none" w:sz="0" w:space="0" w:color="auto"/>
                <w:left w:val="none" w:sz="0" w:space="0" w:color="auto"/>
                <w:bottom w:val="none" w:sz="0" w:space="0" w:color="auto"/>
                <w:right w:val="none" w:sz="0" w:space="0" w:color="auto"/>
              </w:divBdr>
              <w:divsChild>
                <w:div w:id="462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788">
      <w:bodyDiv w:val="1"/>
      <w:marLeft w:val="0"/>
      <w:marRight w:val="0"/>
      <w:marTop w:val="0"/>
      <w:marBottom w:val="0"/>
      <w:divBdr>
        <w:top w:val="none" w:sz="0" w:space="0" w:color="auto"/>
        <w:left w:val="none" w:sz="0" w:space="0" w:color="auto"/>
        <w:bottom w:val="none" w:sz="0" w:space="0" w:color="auto"/>
        <w:right w:val="none" w:sz="0" w:space="0" w:color="auto"/>
      </w:divBdr>
      <w:divsChild>
        <w:div w:id="660741156">
          <w:marLeft w:val="0"/>
          <w:marRight w:val="0"/>
          <w:marTop w:val="0"/>
          <w:marBottom w:val="0"/>
          <w:divBdr>
            <w:top w:val="none" w:sz="0" w:space="0" w:color="auto"/>
            <w:left w:val="none" w:sz="0" w:space="0" w:color="auto"/>
            <w:bottom w:val="none" w:sz="0" w:space="0" w:color="auto"/>
            <w:right w:val="none" w:sz="0" w:space="0" w:color="auto"/>
          </w:divBdr>
          <w:divsChild>
            <w:div w:id="673648585">
              <w:marLeft w:val="0"/>
              <w:marRight w:val="0"/>
              <w:marTop w:val="0"/>
              <w:marBottom w:val="0"/>
              <w:divBdr>
                <w:top w:val="none" w:sz="0" w:space="0" w:color="auto"/>
                <w:left w:val="none" w:sz="0" w:space="0" w:color="auto"/>
                <w:bottom w:val="none" w:sz="0" w:space="0" w:color="auto"/>
                <w:right w:val="none" w:sz="0" w:space="0" w:color="auto"/>
              </w:divBdr>
              <w:divsChild>
                <w:div w:id="1509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11433">
      <w:bodyDiv w:val="1"/>
      <w:marLeft w:val="0"/>
      <w:marRight w:val="0"/>
      <w:marTop w:val="0"/>
      <w:marBottom w:val="0"/>
      <w:divBdr>
        <w:top w:val="none" w:sz="0" w:space="0" w:color="auto"/>
        <w:left w:val="none" w:sz="0" w:space="0" w:color="auto"/>
        <w:bottom w:val="none" w:sz="0" w:space="0" w:color="auto"/>
        <w:right w:val="none" w:sz="0" w:space="0" w:color="auto"/>
      </w:divBdr>
      <w:divsChild>
        <w:div w:id="1328898493">
          <w:marLeft w:val="0"/>
          <w:marRight w:val="0"/>
          <w:marTop w:val="0"/>
          <w:marBottom w:val="0"/>
          <w:divBdr>
            <w:top w:val="none" w:sz="0" w:space="0" w:color="auto"/>
            <w:left w:val="none" w:sz="0" w:space="0" w:color="auto"/>
            <w:bottom w:val="none" w:sz="0" w:space="0" w:color="auto"/>
            <w:right w:val="none" w:sz="0" w:space="0" w:color="auto"/>
          </w:divBdr>
          <w:divsChild>
            <w:div w:id="412435386">
              <w:marLeft w:val="0"/>
              <w:marRight w:val="0"/>
              <w:marTop w:val="0"/>
              <w:marBottom w:val="0"/>
              <w:divBdr>
                <w:top w:val="none" w:sz="0" w:space="0" w:color="auto"/>
                <w:left w:val="none" w:sz="0" w:space="0" w:color="auto"/>
                <w:bottom w:val="none" w:sz="0" w:space="0" w:color="auto"/>
                <w:right w:val="none" w:sz="0" w:space="0" w:color="auto"/>
              </w:divBdr>
              <w:divsChild>
                <w:div w:id="666061129">
                  <w:marLeft w:val="0"/>
                  <w:marRight w:val="0"/>
                  <w:marTop w:val="0"/>
                  <w:marBottom w:val="0"/>
                  <w:divBdr>
                    <w:top w:val="none" w:sz="0" w:space="0" w:color="auto"/>
                    <w:left w:val="none" w:sz="0" w:space="0" w:color="auto"/>
                    <w:bottom w:val="none" w:sz="0" w:space="0" w:color="auto"/>
                    <w:right w:val="none" w:sz="0" w:space="0" w:color="auto"/>
                  </w:divBdr>
                  <w:divsChild>
                    <w:div w:id="7106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1145">
      <w:bodyDiv w:val="1"/>
      <w:marLeft w:val="0"/>
      <w:marRight w:val="0"/>
      <w:marTop w:val="0"/>
      <w:marBottom w:val="0"/>
      <w:divBdr>
        <w:top w:val="none" w:sz="0" w:space="0" w:color="auto"/>
        <w:left w:val="none" w:sz="0" w:space="0" w:color="auto"/>
        <w:bottom w:val="none" w:sz="0" w:space="0" w:color="auto"/>
        <w:right w:val="none" w:sz="0" w:space="0" w:color="auto"/>
      </w:divBdr>
      <w:divsChild>
        <w:div w:id="1492335258">
          <w:marLeft w:val="0"/>
          <w:marRight w:val="0"/>
          <w:marTop w:val="0"/>
          <w:marBottom w:val="0"/>
          <w:divBdr>
            <w:top w:val="none" w:sz="0" w:space="0" w:color="auto"/>
            <w:left w:val="none" w:sz="0" w:space="0" w:color="auto"/>
            <w:bottom w:val="none" w:sz="0" w:space="0" w:color="auto"/>
            <w:right w:val="none" w:sz="0" w:space="0" w:color="auto"/>
          </w:divBdr>
          <w:divsChild>
            <w:div w:id="1743603002">
              <w:marLeft w:val="0"/>
              <w:marRight w:val="0"/>
              <w:marTop w:val="0"/>
              <w:marBottom w:val="0"/>
              <w:divBdr>
                <w:top w:val="none" w:sz="0" w:space="0" w:color="auto"/>
                <w:left w:val="none" w:sz="0" w:space="0" w:color="auto"/>
                <w:bottom w:val="none" w:sz="0" w:space="0" w:color="auto"/>
                <w:right w:val="none" w:sz="0" w:space="0" w:color="auto"/>
              </w:divBdr>
              <w:divsChild>
                <w:div w:id="1212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9517">
      <w:bodyDiv w:val="1"/>
      <w:marLeft w:val="0"/>
      <w:marRight w:val="0"/>
      <w:marTop w:val="0"/>
      <w:marBottom w:val="0"/>
      <w:divBdr>
        <w:top w:val="none" w:sz="0" w:space="0" w:color="auto"/>
        <w:left w:val="none" w:sz="0" w:space="0" w:color="auto"/>
        <w:bottom w:val="none" w:sz="0" w:space="0" w:color="auto"/>
        <w:right w:val="none" w:sz="0" w:space="0" w:color="auto"/>
      </w:divBdr>
      <w:divsChild>
        <w:div w:id="1483042898">
          <w:marLeft w:val="0"/>
          <w:marRight w:val="0"/>
          <w:marTop w:val="0"/>
          <w:marBottom w:val="0"/>
          <w:divBdr>
            <w:top w:val="none" w:sz="0" w:space="0" w:color="auto"/>
            <w:left w:val="none" w:sz="0" w:space="0" w:color="auto"/>
            <w:bottom w:val="none" w:sz="0" w:space="0" w:color="auto"/>
            <w:right w:val="none" w:sz="0" w:space="0" w:color="auto"/>
          </w:divBdr>
          <w:divsChild>
            <w:div w:id="1750498742">
              <w:marLeft w:val="0"/>
              <w:marRight w:val="0"/>
              <w:marTop w:val="0"/>
              <w:marBottom w:val="0"/>
              <w:divBdr>
                <w:top w:val="none" w:sz="0" w:space="0" w:color="auto"/>
                <w:left w:val="none" w:sz="0" w:space="0" w:color="auto"/>
                <w:bottom w:val="none" w:sz="0" w:space="0" w:color="auto"/>
                <w:right w:val="none" w:sz="0" w:space="0" w:color="auto"/>
              </w:divBdr>
              <w:divsChild>
                <w:div w:id="1560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763867484">
          <w:marLeft w:val="0"/>
          <w:marRight w:val="0"/>
          <w:marTop w:val="0"/>
          <w:marBottom w:val="0"/>
          <w:divBdr>
            <w:top w:val="none" w:sz="0" w:space="0" w:color="auto"/>
            <w:left w:val="none" w:sz="0" w:space="0" w:color="auto"/>
            <w:bottom w:val="none" w:sz="0" w:space="0" w:color="auto"/>
            <w:right w:val="none" w:sz="0" w:space="0" w:color="auto"/>
          </w:divBdr>
          <w:divsChild>
            <w:div w:id="1315723203">
              <w:marLeft w:val="0"/>
              <w:marRight w:val="0"/>
              <w:marTop w:val="0"/>
              <w:marBottom w:val="0"/>
              <w:divBdr>
                <w:top w:val="none" w:sz="0" w:space="0" w:color="auto"/>
                <w:left w:val="none" w:sz="0" w:space="0" w:color="auto"/>
                <w:bottom w:val="none" w:sz="0" w:space="0" w:color="auto"/>
                <w:right w:val="none" w:sz="0" w:space="0" w:color="auto"/>
              </w:divBdr>
              <w:divsChild>
                <w:div w:id="20877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71263">
      <w:bodyDiv w:val="1"/>
      <w:marLeft w:val="0"/>
      <w:marRight w:val="0"/>
      <w:marTop w:val="0"/>
      <w:marBottom w:val="0"/>
      <w:divBdr>
        <w:top w:val="none" w:sz="0" w:space="0" w:color="auto"/>
        <w:left w:val="none" w:sz="0" w:space="0" w:color="auto"/>
        <w:bottom w:val="none" w:sz="0" w:space="0" w:color="auto"/>
        <w:right w:val="none" w:sz="0" w:space="0" w:color="auto"/>
      </w:divBdr>
      <w:divsChild>
        <w:div w:id="214003534">
          <w:marLeft w:val="0"/>
          <w:marRight w:val="0"/>
          <w:marTop w:val="0"/>
          <w:marBottom w:val="0"/>
          <w:divBdr>
            <w:top w:val="none" w:sz="0" w:space="0" w:color="auto"/>
            <w:left w:val="none" w:sz="0" w:space="0" w:color="auto"/>
            <w:bottom w:val="none" w:sz="0" w:space="0" w:color="auto"/>
            <w:right w:val="none" w:sz="0" w:space="0" w:color="auto"/>
          </w:divBdr>
          <w:divsChild>
            <w:div w:id="1910067279">
              <w:marLeft w:val="0"/>
              <w:marRight w:val="0"/>
              <w:marTop w:val="0"/>
              <w:marBottom w:val="0"/>
              <w:divBdr>
                <w:top w:val="none" w:sz="0" w:space="0" w:color="auto"/>
                <w:left w:val="none" w:sz="0" w:space="0" w:color="auto"/>
                <w:bottom w:val="none" w:sz="0" w:space="0" w:color="auto"/>
                <w:right w:val="none" w:sz="0" w:space="0" w:color="auto"/>
              </w:divBdr>
              <w:divsChild>
                <w:div w:id="890532001">
                  <w:marLeft w:val="0"/>
                  <w:marRight w:val="0"/>
                  <w:marTop w:val="0"/>
                  <w:marBottom w:val="0"/>
                  <w:divBdr>
                    <w:top w:val="none" w:sz="0" w:space="0" w:color="auto"/>
                    <w:left w:val="none" w:sz="0" w:space="0" w:color="auto"/>
                    <w:bottom w:val="none" w:sz="0" w:space="0" w:color="auto"/>
                    <w:right w:val="none" w:sz="0" w:space="0" w:color="auto"/>
                  </w:divBdr>
                  <w:divsChild>
                    <w:div w:id="4655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72961">
      <w:bodyDiv w:val="1"/>
      <w:marLeft w:val="0"/>
      <w:marRight w:val="0"/>
      <w:marTop w:val="0"/>
      <w:marBottom w:val="0"/>
      <w:divBdr>
        <w:top w:val="none" w:sz="0" w:space="0" w:color="auto"/>
        <w:left w:val="none" w:sz="0" w:space="0" w:color="auto"/>
        <w:bottom w:val="none" w:sz="0" w:space="0" w:color="auto"/>
        <w:right w:val="none" w:sz="0" w:space="0" w:color="auto"/>
      </w:divBdr>
      <w:divsChild>
        <w:div w:id="1078407706">
          <w:marLeft w:val="0"/>
          <w:marRight w:val="0"/>
          <w:marTop w:val="0"/>
          <w:marBottom w:val="0"/>
          <w:divBdr>
            <w:top w:val="none" w:sz="0" w:space="0" w:color="auto"/>
            <w:left w:val="none" w:sz="0" w:space="0" w:color="auto"/>
            <w:bottom w:val="none" w:sz="0" w:space="0" w:color="auto"/>
            <w:right w:val="none" w:sz="0" w:space="0" w:color="auto"/>
          </w:divBdr>
          <w:divsChild>
            <w:div w:id="1267883460">
              <w:marLeft w:val="0"/>
              <w:marRight w:val="0"/>
              <w:marTop w:val="0"/>
              <w:marBottom w:val="0"/>
              <w:divBdr>
                <w:top w:val="none" w:sz="0" w:space="0" w:color="auto"/>
                <w:left w:val="none" w:sz="0" w:space="0" w:color="auto"/>
                <w:bottom w:val="none" w:sz="0" w:space="0" w:color="auto"/>
                <w:right w:val="none" w:sz="0" w:space="0" w:color="auto"/>
              </w:divBdr>
              <w:divsChild>
                <w:div w:id="1257011110">
                  <w:marLeft w:val="0"/>
                  <w:marRight w:val="0"/>
                  <w:marTop w:val="0"/>
                  <w:marBottom w:val="0"/>
                  <w:divBdr>
                    <w:top w:val="none" w:sz="0" w:space="0" w:color="auto"/>
                    <w:left w:val="none" w:sz="0" w:space="0" w:color="auto"/>
                    <w:bottom w:val="none" w:sz="0" w:space="0" w:color="auto"/>
                    <w:right w:val="none" w:sz="0" w:space="0" w:color="auto"/>
                  </w:divBdr>
                  <w:divsChild>
                    <w:div w:id="14237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9446">
      <w:bodyDiv w:val="1"/>
      <w:marLeft w:val="0"/>
      <w:marRight w:val="0"/>
      <w:marTop w:val="0"/>
      <w:marBottom w:val="0"/>
      <w:divBdr>
        <w:top w:val="none" w:sz="0" w:space="0" w:color="auto"/>
        <w:left w:val="none" w:sz="0" w:space="0" w:color="auto"/>
        <w:bottom w:val="none" w:sz="0" w:space="0" w:color="auto"/>
        <w:right w:val="none" w:sz="0" w:space="0" w:color="auto"/>
      </w:divBdr>
    </w:div>
    <w:div w:id="1015812347">
      <w:bodyDiv w:val="1"/>
      <w:marLeft w:val="0"/>
      <w:marRight w:val="0"/>
      <w:marTop w:val="0"/>
      <w:marBottom w:val="0"/>
      <w:divBdr>
        <w:top w:val="none" w:sz="0" w:space="0" w:color="auto"/>
        <w:left w:val="none" w:sz="0" w:space="0" w:color="auto"/>
        <w:bottom w:val="none" w:sz="0" w:space="0" w:color="auto"/>
        <w:right w:val="none" w:sz="0" w:space="0" w:color="auto"/>
      </w:divBdr>
    </w:div>
    <w:div w:id="1020811849">
      <w:bodyDiv w:val="1"/>
      <w:marLeft w:val="0"/>
      <w:marRight w:val="0"/>
      <w:marTop w:val="0"/>
      <w:marBottom w:val="0"/>
      <w:divBdr>
        <w:top w:val="none" w:sz="0" w:space="0" w:color="auto"/>
        <w:left w:val="none" w:sz="0" w:space="0" w:color="auto"/>
        <w:bottom w:val="none" w:sz="0" w:space="0" w:color="auto"/>
        <w:right w:val="none" w:sz="0" w:space="0" w:color="auto"/>
      </w:divBdr>
      <w:divsChild>
        <w:div w:id="1642998388">
          <w:marLeft w:val="0"/>
          <w:marRight w:val="0"/>
          <w:marTop w:val="0"/>
          <w:marBottom w:val="0"/>
          <w:divBdr>
            <w:top w:val="none" w:sz="0" w:space="0" w:color="auto"/>
            <w:left w:val="none" w:sz="0" w:space="0" w:color="auto"/>
            <w:bottom w:val="none" w:sz="0" w:space="0" w:color="auto"/>
            <w:right w:val="none" w:sz="0" w:space="0" w:color="auto"/>
          </w:divBdr>
          <w:divsChild>
            <w:div w:id="1806846133">
              <w:marLeft w:val="0"/>
              <w:marRight w:val="0"/>
              <w:marTop w:val="0"/>
              <w:marBottom w:val="0"/>
              <w:divBdr>
                <w:top w:val="none" w:sz="0" w:space="0" w:color="auto"/>
                <w:left w:val="none" w:sz="0" w:space="0" w:color="auto"/>
                <w:bottom w:val="none" w:sz="0" w:space="0" w:color="auto"/>
                <w:right w:val="none" w:sz="0" w:space="0" w:color="auto"/>
              </w:divBdr>
              <w:divsChild>
                <w:div w:id="1926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5756">
      <w:bodyDiv w:val="1"/>
      <w:marLeft w:val="0"/>
      <w:marRight w:val="0"/>
      <w:marTop w:val="0"/>
      <w:marBottom w:val="0"/>
      <w:divBdr>
        <w:top w:val="none" w:sz="0" w:space="0" w:color="auto"/>
        <w:left w:val="none" w:sz="0" w:space="0" w:color="auto"/>
        <w:bottom w:val="none" w:sz="0" w:space="0" w:color="auto"/>
        <w:right w:val="none" w:sz="0" w:space="0" w:color="auto"/>
      </w:divBdr>
    </w:div>
    <w:div w:id="1153451474">
      <w:bodyDiv w:val="1"/>
      <w:marLeft w:val="0"/>
      <w:marRight w:val="0"/>
      <w:marTop w:val="0"/>
      <w:marBottom w:val="0"/>
      <w:divBdr>
        <w:top w:val="none" w:sz="0" w:space="0" w:color="auto"/>
        <w:left w:val="none" w:sz="0" w:space="0" w:color="auto"/>
        <w:bottom w:val="none" w:sz="0" w:space="0" w:color="auto"/>
        <w:right w:val="none" w:sz="0" w:space="0" w:color="auto"/>
      </w:divBdr>
    </w:div>
    <w:div w:id="1234969809">
      <w:bodyDiv w:val="1"/>
      <w:marLeft w:val="0"/>
      <w:marRight w:val="0"/>
      <w:marTop w:val="0"/>
      <w:marBottom w:val="0"/>
      <w:divBdr>
        <w:top w:val="none" w:sz="0" w:space="0" w:color="auto"/>
        <w:left w:val="none" w:sz="0" w:space="0" w:color="auto"/>
        <w:bottom w:val="none" w:sz="0" w:space="0" w:color="auto"/>
        <w:right w:val="none" w:sz="0" w:space="0" w:color="auto"/>
      </w:divBdr>
      <w:divsChild>
        <w:div w:id="1220555508">
          <w:marLeft w:val="0"/>
          <w:marRight w:val="0"/>
          <w:marTop w:val="0"/>
          <w:marBottom w:val="0"/>
          <w:divBdr>
            <w:top w:val="none" w:sz="0" w:space="0" w:color="auto"/>
            <w:left w:val="none" w:sz="0" w:space="0" w:color="auto"/>
            <w:bottom w:val="none" w:sz="0" w:space="0" w:color="auto"/>
            <w:right w:val="none" w:sz="0" w:space="0" w:color="auto"/>
          </w:divBdr>
          <w:divsChild>
            <w:div w:id="2011790927">
              <w:marLeft w:val="0"/>
              <w:marRight w:val="0"/>
              <w:marTop w:val="0"/>
              <w:marBottom w:val="0"/>
              <w:divBdr>
                <w:top w:val="none" w:sz="0" w:space="0" w:color="auto"/>
                <w:left w:val="none" w:sz="0" w:space="0" w:color="auto"/>
                <w:bottom w:val="none" w:sz="0" w:space="0" w:color="auto"/>
                <w:right w:val="none" w:sz="0" w:space="0" w:color="auto"/>
              </w:divBdr>
              <w:divsChild>
                <w:div w:id="1506168113">
                  <w:marLeft w:val="0"/>
                  <w:marRight w:val="0"/>
                  <w:marTop w:val="0"/>
                  <w:marBottom w:val="0"/>
                  <w:divBdr>
                    <w:top w:val="none" w:sz="0" w:space="0" w:color="auto"/>
                    <w:left w:val="none" w:sz="0" w:space="0" w:color="auto"/>
                    <w:bottom w:val="none" w:sz="0" w:space="0" w:color="auto"/>
                    <w:right w:val="none" w:sz="0" w:space="0" w:color="auto"/>
                  </w:divBdr>
                  <w:divsChild>
                    <w:div w:id="380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3805">
      <w:bodyDiv w:val="1"/>
      <w:marLeft w:val="0"/>
      <w:marRight w:val="0"/>
      <w:marTop w:val="0"/>
      <w:marBottom w:val="0"/>
      <w:divBdr>
        <w:top w:val="none" w:sz="0" w:space="0" w:color="auto"/>
        <w:left w:val="none" w:sz="0" w:space="0" w:color="auto"/>
        <w:bottom w:val="none" w:sz="0" w:space="0" w:color="auto"/>
        <w:right w:val="none" w:sz="0" w:space="0" w:color="auto"/>
      </w:divBdr>
    </w:div>
    <w:div w:id="1281373313">
      <w:bodyDiv w:val="1"/>
      <w:marLeft w:val="0"/>
      <w:marRight w:val="0"/>
      <w:marTop w:val="0"/>
      <w:marBottom w:val="0"/>
      <w:divBdr>
        <w:top w:val="none" w:sz="0" w:space="0" w:color="auto"/>
        <w:left w:val="none" w:sz="0" w:space="0" w:color="auto"/>
        <w:bottom w:val="none" w:sz="0" w:space="0" w:color="auto"/>
        <w:right w:val="none" w:sz="0" w:space="0" w:color="auto"/>
      </w:divBdr>
      <w:divsChild>
        <w:div w:id="2141603997">
          <w:marLeft w:val="0"/>
          <w:marRight w:val="0"/>
          <w:marTop w:val="0"/>
          <w:marBottom w:val="0"/>
          <w:divBdr>
            <w:top w:val="none" w:sz="0" w:space="0" w:color="auto"/>
            <w:left w:val="none" w:sz="0" w:space="0" w:color="auto"/>
            <w:bottom w:val="none" w:sz="0" w:space="0" w:color="auto"/>
            <w:right w:val="none" w:sz="0" w:space="0" w:color="auto"/>
          </w:divBdr>
          <w:divsChild>
            <w:div w:id="1166702941">
              <w:marLeft w:val="0"/>
              <w:marRight w:val="0"/>
              <w:marTop w:val="0"/>
              <w:marBottom w:val="0"/>
              <w:divBdr>
                <w:top w:val="none" w:sz="0" w:space="0" w:color="auto"/>
                <w:left w:val="none" w:sz="0" w:space="0" w:color="auto"/>
                <w:bottom w:val="none" w:sz="0" w:space="0" w:color="auto"/>
                <w:right w:val="none" w:sz="0" w:space="0" w:color="auto"/>
              </w:divBdr>
              <w:divsChild>
                <w:div w:id="6515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5880">
      <w:bodyDiv w:val="1"/>
      <w:marLeft w:val="0"/>
      <w:marRight w:val="0"/>
      <w:marTop w:val="0"/>
      <w:marBottom w:val="0"/>
      <w:divBdr>
        <w:top w:val="none" w:sz="0" w:space="0" w:color="auto"/>
        <w:left w:val="none" w:sz="0" w:space="0" w:color="auto"/>
        <w:bottom w:val="none" w:sz="0" w:space="0" w:color="auto"/>
        <w:right w:val="none" w:sz="0" w:space="0" w:color="auto"/>
      </w:divBdr>
      <w:divsChild>
        <w:div w:id="511528354">
          <w:marLeft w:val="0"/>
          <w:marRight w:val="0"/>
          <w:marTop w:val="0"/>
          <w:marBottom w:val="0"/>
          <w:divBdr>
            <w:top w:val="none" w:sz="0" w:space="0" w:color="auto"/>
            <w:left w:val="none" w:sz="0" w:space="0" w:color="auto"/>
            <w:bottom w:val="none" w:sz="0" w:space="0" w:color="auto"/>
            <w:right w:val="none" w:sz="0" w:space="0" w:color="auto"/>
          </w:divBdr>
          <w:divsChild>
            <w:div w:id="1920478495">
              <w:marLeft w:val="0"/>
              <w:marRight w:val="0"/>
              <w:marTop w:val="0"/>
              <w:marBottom w:val="0"/>
              <w:divBdr>
                <w:top w:val="none" w:sz="0" w:space="0" w:color="auto"/>
                <w:left w:val="none" w:sz="0" w:space="0" w:color="auto"/>
                <w:bottom w:val="none" w:sz="0" w:space="0" w:color="auto"/>
                <w:right w:val="none" w:sz="0" w:space="0" w:color="auto"/>
              </w:divBdr>
              <w:divsChild>
                <w:div w:id="430663657">
                  <w:marLeft w:val="0"/>
                  <w:marRight w:val="0"/>
                  <w:marTop w:val="0"/>
                  <w:marBottom w:val="0"/>
                  <w:divBdr>
                    <w:top w:val="none" w:sz="0" w:space="0" w:color="auto"/>
                    <w:left w:val="none" w:sz="0" w:space="0" w:color="auto"/>
                    <w:bottom w:val="none" w:sz="0" w:space="0" w:color="auto"/>
                    <w:right w:val="none" w:sz="0" w:space="0" w:color="auto"/>
                  </w:divBdr>
                  <w:divsChild>
                    <w:div w:id="3095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00586">
      <w:bodyDiv w:val="1"/>
      <w:marLeft w:val="0"/>
      <w:marRight w:val="0"/>
      <w:marTop w:val="0"/>
      <w:marBottom w:val="0"/>
      <w:divBdr>
        <w:top w:val="none" w:sz="0" w:space="0" w:color="auto"/>
        <w:left w:val="none" w:sz="0" w:space="0" w:color="auto"/>
        <w:bottom w:val="none" w:sz="0" w:space="0" w:color="auto"/>
        <w:right w:val="none" w:sz="0" w:space="0" w:color="auto"/>
      </w:divBdr>
      <w:divsChild>
        <w:div w:id="914706239">
          <w:marLeft w:val="0"/>
          <w:marRight w:val="0"/>
          <w:marTop w:val="0"/>
          <w:marBottom w:val="0"/>
          <w:divBdr>
            <w:top w:val="none" w:sz="0" w:space="0" w:color="auto"/>
            <w:left w:val="none" w:sz="0" w:space="0" w:color="auto"/>
            <w:bottom w:val="none" w:sz="0" w:space="0" w:color="auto"/>
            <w:right w:val="none" w:sz="0" w:space="0" w:color="auto"/>
          </w:divBdr>
          <w:divsChild>
            <w:div w:id="1161577335">
              <w:marLeft w:val="0"/>
              <w:marRight w:val="0"/>
              <w:marTop w:val="0"/>
              <w:marBottom w:val="0"/>
              <w:divBdr>
                <w:top w:val="none" w:sz="0" w:space="0" w:color="auto"/>
                <w:left w:val="none" w:sz="0" w:space="0" w:color="auto"/>
                <w:bottom w:val="none" w:sz="0" w:space="0" w:color="auto"/>
                <w:right w:val="none" w:sz="0" w:space="0" w:color="auto"/>
              </w:divBdr>
              <w:divsChild>
                <w:div w:id="11919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5567">
      <w:bodyDiv w:val="1"/>
      <w:marLeft w:val="0"/>
      <w:marRight w:val="0"/>
      <w:marTop w:val="0"/>
      <w:marBottom w:val="0"/>
      <w:divBdr>
        <w:top w:val="none" w:sz="0" w:space="0" w:color="auto"/>
        <w:left w:val="none" w:sz="0" w:space="0" w:color="auto"/>
        <w:bottom w:val="none" w:sz="0" w:space="0" w:color="auto"/>
        <w:right w:val="none" w:sz="0" w:space="0" w:color="auto"/>
      </w:divBdr>
      <w:divsChild>
        <w:div w:id="1827434599">
          <w:marLeft w:val="0"/>
          <w:marRight w:val="0"/>
          <w:marTop w:val="0"/>
          <w:marBottom w:val="0"/>
          <w:divBdr>
            <w:top w:val="none" w:sz="0" w:space="0" w:color="auto"/>
            <w:left w:val="none" w:sz="0" w:space="0" w:color="auto"/>
            <w:bottom w:val="none" w:sz="0" w:space="0" w:color="auto"/>
            <w:right w:val="none" w:sz="0" w:space="0" w:color="auto"/>
          </w:divBdr>
          <w:divsChild>
            <w:div w:id="660817247">
              <w:marLeft w:val="0"/>
              <w:marRight w:val="0"/>
              <w:marTop w:val="0"/>
              <w:marBottom w:val="0"/>
              <w:divBdr>
                <w:top w:val="none" w:sz="0" w:space="0" w:color="auto"/>
                <w:left w:val="none" w:sz="0" w:space="0" w:color="auto"/>
                <w:bottom w:val="none" w:sz="0" w:space="0" w:color="auto"/>
                <w:right w:val="none" w:sz="0" w:space="0" w:color="auto"/>
              </w:divBdr>
              <w:divsChild>
                <w:div w:id="1453549386">
                  <w:marLeft w:val="0"/>
                  <w:marRight w:val="0"/>
                  <w:marTop w:val="0"/>
                  <w:marBottom w:val="0"/>
                  <w:divBdr>
                    <w:top w:val="none" w:sz="0" w:space="0" w:color="auto"/>
                    <w:left w:val="none" w:sz="0" w:space="0" w:color="auto"/>
                    <w:bottom w:val="none" w:sz="0" w:space="0" w:color="auto"/>
                    <w:right w:val="none" w:sz="0" w:space="0" w:color="auto"/>
                  </w:divBdr>
                  <w:divsChild>
                    <w:div w:id="1299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6281">
      <w:bodyDiv w:val="1"/>
      <w:marLeft w:val="0"/>
      <w:marRight w:val="0"/>
      <w:marTop w:val="0"/>
      <w:marBottom w:val="0"/>
      <w:divBdr>
        <w:top w:val="none" w:sz="0" w:space="0" w:color="auto"/>
        <w:left w:val="none" w:sz="0" w:space="0" w:color="auto"/>
        <w:bottom w:val="none" w:sz="0" w:space="0" w:color="auto"/>
        <w:right w:val="none" w:sz="0" w:space="0" w:color="auto"/>
      </w:divBdr>
      <w:divsChild>
        <w:div w:id="1529222044">
          <w:marLeft w:val="0"/>
          <w:marRight w:val="0"/>
          <w:marTop w:val="0"/>
          <w:marBottom w:val="0"/>
          <w:divBdr>
            <w:top w:val="none" w:sz="0" w:space="0" w:color="auto"/>
            <w:left w:val="none" w:sz="0" w:space="0" w:color="auto"/>
            <w:bottom w:val="none" w:sz="0" w:space="0" w:color="auto"/>
            <w:right w:val="none" w:sz="0" w:space="0" w:color="auto"/>
          </w:divBdr>
          <w:divsChild>
            <w:div w:id="547953448">
              <w:marLeft w:val="0"/>
              <w:marRight w:val="0"/>
              <w:marTop w:val="0"/>
              <w:marBottom w:val="0"/>
              <w:divBdr>
                <w:top w:val="none" w:sz="0" w:space="0" w:color="auto"/>
                <w:left w:val="none" w:sz="0" w:space="0" w:color="auto"/>
                <w:bottom w:val="none" w:sz="0" w:space="0" w:color="auto"/>
                <w:right w:val="none" w:sz="0" w:space="0" w:color="auto"/>
              </w:divBdr>
              <w:divsChild>
                <w:div w:id="1348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9795">
      <w:bodyDiv w:val="1"/>
      <w:marLeft w:val="0"/>
      <w:marRight w:val="0"/>
      <w:marTop w:val="0"/>
      <w:marBottom w:val="0"/>
      <w:divBdr>
        <w:top w:val="none" w:sz="0" w:space="0" w:color="auto"/>
        <w:left w:val="none" w:sz="0" w:space="0" w:color="auto"/>
        <w:bottom w:val="none" w:sz="0" w:space="0" w:color="auto"/>
        <w:right w:val="none" w:sz="0" w:space="0" w:color="auto"/>
      </w:divBdr>
    </w:div>
    <w:div w:id="1380857101">
      <w:bodyDiv w:val="1"/>
      <w:marLeft w:val="0"/>
      <w:marRight w:val="0"/>
      <w:marTop w:val="0"/>
      <w:marBottom w:val="0"/>
      <w:divBdr>
        <w:top w:val="none" w:sz="0" w:space="0" w:color="auto"/>
        <w:left w:val="none" w:sz="0" w:space="0" w:color="auto"/>
        <w:bottom w:val="none" w:sz="0" w:space="0" w:color="auto"/>
        <w:right w:val="none" w:sz="0" w:space="0" w:color="auto"/>
      </w:divBdr>
    </w:div>
    <w:div w:id="1401829866">
      <w:bodyDiv w:val="1"/>
      <w:marLeft w:val="0"/>
      <w:marRight w:val="0"/>
      <w:marTop w:val="0"/>
      <w:marBottom w:val="0"/>
      <w:divBdr>
        <w:top w:val="none" w:sz="0" w:space="0" w:color="auto"/>
        <w:left w:val="none" w:sz="0" w:space="0" w:color="auto"/>
        <w:bottom w:val="none" w:sz="0" w:space="0" w:color="auto"/>
        <w:right w:val="none" w:sz="0" w:space="0" w:color="auto"/>
      </w:divBdr>
      <w:divsChild>
        <w:div w:id="1510171393">
          <w:marLeft w:val="0"/>
          <w:marRight w:val="0"/>
          <w:marTop w:val="0"/>
          <w:marBottom w:val="0"/>
          <w:divBdr>
            <w:top w:val="none" w:sz="0" w:space="0" w:color="auto"/>
            <w:left w:val="none" w:sz="0" w:space="0" w:color="auto"/>
            <w:bottom w:val="none" w:sz="0" w:space="0" w:color="auto"/>
            <w:right w:val="none" w:sz="0" w:space="0" w:color="auto"/>
          </w:divBdr>
          <w:divsChild>
            <w:div w:id="1844398698">
              <w:marLeft w:val="0"/>
              <w:marRight w:val="0"/>
              <w:marTop w:val="0"/>
              <w:marBottom w:val="0"/>
              <w:divBdr>
                <w:top w:val="none" w:sz="0" w:space="0" w:color="auto"/>
                <w:left w:val="none" w:sz="0" w:space="0" w:color="auto"/>
                <w:bottom w:val="none" w:sz="0" w:space="0" w:color="auto"/>
                <w:right w:val="none" w:sz="0" w:space="0" w:color="auto"/>
              </w:divBdr>
              <w:divsChild>
                <w:div w:id="1287782853">
                  <w:marLeft w:val="0"/>
                  <w:marRight w:val="0"/>
                  <w:marTop w:val="0"/>
                  <w:marBottom w:val="0"/>
                  <w:divBdr>
                    <w:top w:val="none" w:sz="0" w:space="0" w:color="auto"/>
                    <w:left w:val="none" w:sz="0" w:space="0" w:color="auto"/>
                    <w:bottom w:val="none" w:sz="0" w:space="0" w:color="auto"/>
                    <w:right w:val="none" w:sz="0" w:space="0" w:color="auto"/>
                  </w:divBdr>
                  <w:divsChild>
                    <w:div w:id="14576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6773">
      <w:bodyDiv w:val="1"/>
      <w:marLeft w:val="0"/>
      <w:marRight w:val="0"/>
      <w:marTop w:val="0"/>
      <w:marBottom w:val="0"/>
      <w:divBdr>
        <w:top w:val="none" w:sz="0" w:space="0" w:color="auto"/>
        <w:left w:val="none" w:sz="0" w:space="0" w:color="auto"/>
        <w:bottom w:val="none" w:sz="0" w:space="0" w:color="auto"/>
        <w:right w:val="none" w:sz="0" w:space="0" w:color="auto"/>
      </w:divBdr>
      <w:divsChild>
        <w:div w:id="1323006320">
          <w:marLeft w:val="0"/>
          <w:marRight w:val="0"/>
          <w:marTop w:val="0"/>
          <w:marBottom w:val="0"/>
          <w:divBdr>
            <w:top w:val="none" w:sz="0" w:space="0" w:color="auto"/>
            <w:left w:val="none" w:sz="0" w:space="0" w:color="auto"/>
            <w:bottom w:val="none" w:sz="0" w:space="0" w:color="auto"/>
            <w:right w:val="none" w:sz="0" w:space="0" w:color="auto"/>
          </w:divBdr>
          <w:divsChild>
            <w:div w:id="2018462147">
              <w:marLeft w:val="0"/>
              <w:marRight w:val="0"/>
              <w:marTop w:val="0"/>
              <w:marBottom w:val="0"/>
              <w:divBdr>
                <w:top w:val="none" w:sz="0" w:space="0" w:color="auto"/>
                <w:left w:val="none" w:sz="0" w:space="0" w:color="auto"/>
                <w:bottom w:val="none" w:sz="0" w:space="0" w:color="auto"/>
                <w:right w:val="none" w:sz="0" w:space="0" w:color="auto"/>
              </w:divBdr>
              <w:divsChild>
                <w:div w:id="1771971633">
                  <w:marLeft w:val="0"/>
                  <w:marRight w:val="0"/>
                  <w:marTop w:val="0"/>
                  <w:marBottom w:val="0"/>
                  <w:divBdr>
                    <w:top w:val="none" w:sz="0" w:space="0" w:color="auto"/>
                    <w:left w:val="none" w:sz="0" w:space="0" w:color="auto"/>
                    <w:bottom w:val="none" w:sz="0" w:space="0" w:color="auto"/>
                    <w:right w:val="none" w:sz="0" w:space="0" w:color="auto"/>
                  </w:divBdr>
                  <w:divsChild>
                    <w:div w:id="1698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4269">
      <w:bodyDiv w:val="1"/>
      <w:marLeft w:val="0"/>
      <w:marRight w:val="0"/>
      <w:marTop w:val="0"/>
      <w:marBottom w:val="0"/>
      <w:divBdr>
        <w:top w:val="none" w:sz="0" w:space="0" w:color="auto"/>
        <w:left w:val="none" w:sz="0" w:space="0" w:color="auto"/>
        <w:bottom w:val="none" w:sz="0" w:space="0" w:color="auto"/>
        <w:right w:val="none" w:sz="0" w:space="0" w:color="auto"/>
      </w:divBdr>
    </w:div>
    <w:div w:id="1485854157">
      <w:bodyDiv w:val="1"/>
      <w:marLeft w:val="0"/>
      <w:marRight w:val="0"/>
      <w:marTop w:val="0"/>
      <w:marBottom w:val="0"/>
      <w:divBdr>
        <w:top w:val="none" w:sz="0" w:space="0" w:color="auto"/>
        <w:left w:val="none" w:sz="0" w:space="0" w:color="auto"/>
        <w:bottom w:val="none" w:sz="0" w:space="0" w:color="auto"/>
        <w:right w:val="none" w:sz="0" w:space="0" w:color="auto"/>
      </w:divBdr>
    </w:div>
    <w:div w:id="1488209954">
      <w:bodyDiv w:val="1"/>
      <w:marLeft w:val="0"/>
      <w:marRight w:val="0"/>
      <w:marTop w:val="0"/>
      <w:marBottom w:val="0"/>
      <w:divBdr>
        <w:top w:val="none" w:sz="0" w:space="0" w:color="auto"/>
        <w:left w:val="none" w:sz="0" w:space="0" w:color="auto"/>
        <w:bottom w:val="none" w:sz="0" w:space="0" w:color="auto"/>
        <w:right w:val="none" w:sz="0" w:space="0" w:color="auto"/>
      </w:divBdr>
    </w:div>
    <w:div w:id="1510870621">
      <w:bodyDiv w:val="1"/>
      <w:marLeft w:val="0"/>
      <w:marRight w:val="0"/>
      <w:marTop w:val="0"/>
      <w:marBottom w:val="0"/>
      <w:divBdr>
        <w:top w:val="none" w:sz="0" w:space="0" w:color="auto"/>
        <w:left w:val="none" w:sz="0" w:space="0" w:color="auto"/>
        <w:bottom w:val="none" w:sz="0" w:space="0" w:color="auto"/>
        <w:right w:val="none" w:sz="0" w:space="0" w:color="auto"/>
      </w:divBdr>
      <w:divsChild>
        <w:div w:id="200167916">
          <w:marLeft w:val="0"/>
          <w:marRight w:val="0"/>
          <w:marTop w:val="0"/>
          <w:marBottom w:val="0"/>
          <w:divBdr>
            <w:top w:val="none" w:sz="0" w:space="0" w:color="auto"/>
            <w:left w:val="none" w:sz="0" w:space="0" w:color="auto"/>
            <w:bottom w:val="none" w:sz="0" w:space="0" w:color="auto"/>
            <w:right w:val="none" w:sz="0" w:space="0" w:color="auto"/>
          </w:divBdr>
          <w:divsChild>
            <w:div w:id="74480145">
              <w:marLeft w:val="0"/>
              <w:marRight w:val="0"/>
              <w:marTop w:val="0"/>
              <w:marBottom w:val="0"/>
              <w:divBdr>
                <w:top w:val="none" w:sz="0" w:space="0" w:color="auto"/>
                <w:left w:val="none" w:sz="0" w:space="0" w:color="auto"/>
                <w:bottom w:val="none" w:sz="0" w:space="0" w:color="auto"/>
                <w:right w:val="none" w:sz="0" w:space="0" w:color="auto"/>
              </w:divBdr>
              <w:divsChild>
                <w:div w:id="706881215">
                  <w:marLeft w:val="0"/>
                  <w:marRight w:val="0"/>
                  <w:marTop w:val="0"/>
                  <w:marBottom w:val="0"/>
                  <w:divBdr>
                    <w:top w:val="none" w:sz="0" w:space="0" w:color="auto"/>
                    <w:left w:val="none" w:sz="0" w:space="0" w:color="auto"/>
                    <w:bottom w:val="none" w:sz="0" w:space="0" w:color="auto"/>
                    <w:right w:val="none" w:sz="0" w:space="0" w:color="auto"/>
                  </w:divBdr>
                  <w:divsChild>
                    <w:div w:id="6473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86972">
      <w:bodyDiv w:val="1"/>
      <w:marLeft w:val="0"/>
      <w:marRight w:val="0"/>
      <w:marTop w:val="0"/>
      <w:marBottom w:val="0"/>
      <w:divBdr>
        <w:top w:val="none" w:sz="0" w:space="0" w:color="auto"/>
        <w:left w:val="none" w:sz="0" w:space="0" w:color="auto"/>
        <w:bottom w:val="none" w:sz="0" w:space="0" w:color="auto"/>
        <w:right w:val="none" w:sz="0" w:space="0" w:color="auto"/>
      </w:divBdr>
      <w:divsChild>
        <w:div w:id="2044748692">
          <w:marLeft w:val="0"/>
          <w:marRight w:val="0"/>
          <w:marTop w:val="0"/>
          <w:marBottom w:val="0"/>
          <w:divBdr>
            <w:top w:val="none" w:sz="0" w:space="0" w:color="auto"/>
            <w:left w:val="none" w:sz="0" w:space="0" w:color="auto"/>
            <w:bottom w:val="none" w:sz="0" w:space="0" w:color="auto"/>
            <w:right w:val="none" w:sz="0" w:space="0" w:color="auto"/>
          </w:divBdr>
          <w:divsChild>
            <w:div w:id="1893149485">
              <w:marLeft w:val="0"/>
              <w:marRight w:val="0"/>
              <w:marTop w:val="0"/>
              <w:marBottom w:val="0"/>
              <w:divBdr>
                <w:top w:val="none" w:sz="0" w:space="0" w:color="auto"/>
                <w:left w:val="none" w:sz="0" w:space="0" w:color="auto"/>
                <w:bottom w:val="none" w:sz="0" w:space="0" w:color="auto"/>
                <w:right w:val="none" w:sz="0" w:space="0" w:color="auto"/>
              </w:divBdr>
              <w:divsChild>
                <w:div w:id="1348143251">
                  <w:marLeft w:val="0"/>
                  <w:marRight w:val="0"/>
                  <w:marTop w:val="0"/>
                  <w:marBottom w:val="0"/>
                  <w:divBdr>
                    <w:top w:val="none" w:sz="0" w:space="0" w:color="auto"/>
                    <w:left w:val="none" w:sz="0" w:space="0" w:color="auto"/>
                    <w:bottom w:val="none" w:sz="0" w:space="0" w:color="auto"/>
                    <w:right w:val="none" w:sz="0" w:space="0" w:color="auto"/>
                  </w:divBdr>
                  <w:divsChild>
                    <w:div w:id="8284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3498">
      <w:bodyDiv w:val="1"/>
      <w:marLeft w:val="0"/>
      <w:marRight w:val="0"/>
      <w:marTop w:val="0"/>
      <w:marBottom w:val="0"/>
      <w:divBdr>
        <w:top w:val="none" w:sz="0" w:space="0" w:color="auto"/>
        <w:left w:val="none" w:sz="0" w:space="0" w:color="auto"/>
        <w:bottom w:val="none" w:sz="0" w:space="0" w:color="auto"/>
        <w:right w:val="none" w:sz="0" w:space="0" w:color="auto"/>
      </w:divBdr>
    </w:div>
    <w:div w:id="1540319464">
      <w:bodyDiv w:val="1"/>
      <w:marLeft w:val="0"/>
      <w:marRight w:val="0"/>
      <w:marTop w:val="0"/>
      <w:marBottom w:val="0"/>
      <w:divBdr>
        <w:top w:val="none" w:sz="0" w:space="0" w:color="auto"/>
        <w:left w:val="none" w:sz="0" w:space="0" w:color="auto"/>
        <w:bottom w:val="none" w:sz="0" w:space="0" w:color="auto"/>
        <w:right w:val="none" w:sz="0" w:space="0" w:color="auto"/>
      </w:divBdr>
      <w:divsChild>
        <w:div w:id="744456013">
          <w:marLeft w:val="0"/>
          <w:marRight w:val="0"/>
          <w:marTop w:val="0"/>
          <w:marBottom w:val="0"/>
          <w:divBdr>
            <w:top w:val="none" w:sz="0" w:space="0" w:color="auto"/>
            <w:left w:val="none" w:sz="0" w:space="0" w:color="auto"/>
            <w:bottom w:val="none" w:sz="0" w:space="0" w:color="auto"/>
            <w:right w:val="none" w:sz="0" w:space="0" w:color="auto"/>
          </w:divBdr>
          <w:divsChild>
            <w:div w:id="492066139">
              <w:marLeft w:val="0"/>
              <w:marRight w:val="0"/>
              <w:marTop w:val="0"/>
              <w:marBottom w:val="0"/>
              <w:divBdr>
                <w:top w:val="none" w:sz="0" w:space="0" w:color="auto"/>
                <w:left w:val="none" w:sz="0" w:space="0" w:color="auto"/>
                <w:bottom w:val="none" w:sz="0" w:space="0" w:color="auto"/>
                <w:right w:val="none" w:sz="0" w:space="0" w:color="auto"/>
              </w:divBdr>
              <w:divsChild>
                <w:div w:id="699403796">
                  <w:marLeft w:val="0"/>
                  <w:marRight w:val="0"/>
                  <w:marTop w:val="0"/>
                  <w:marBottom w:val="0"/>
                  <w:divBdr>
                    <w:top w:val="none" w:sz="0" w:space="0" w:color="auto"/>
                    <w:left w:val="none" w:sz="0" w:space="0" w:color="auto"/>
                    <w:bottom w:val="none" w:sz="0" w:space="0" w:color="auto"/>
                    <w:right w:val="none" w:sz="0" w:space="0" w:color="auto"/>
                  </w:divBdr>
                  <w:divsChild>
                    <w:div w:id="11727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7734">
      <w:bodyDiv w:val="1"/>
      <w:marLeft w:val="0"/>
      <w:marRight w:val="0"/>
      <w:marTop w:val="0"/>
      <w:marBottom w:val="0"/>
      <w:divBdr>
        <w:top w:val="none" w:sz="0" w:space="0" w:color="auto"/>
        <w:left w:val="none" w:sz="0" w:space="0" w:color="auto"/>
        <w:bottom w:val="none" w:sz="0" w:space="0" w:color="auto"/>
        <w:right w:val="none" w:sz="0" w:space="0" w:color="auto"/>
      </w:divBdr>
    </w:div>
    <w:div w:id="1605767996">
      <w:bodyDiv w:val="1"/>
      <w:marLeft w:val="0"/>
      <w:marRight w:val="0"/>
      <w:marTop w:val="0"/>
      <w:marBottom w:val="0"/>
      <w:divBdr>
        <w:top w:val="none" w:sz="0" w:space="0" w:color="auto"/>
        <w:left w:val="none" w:sz="0" w:space="0" w:color="auto"/>
        <w:bottom w:val="none" w:sz="0" w:space="0" w:color="auto"/>
        <w:right w:val="none" w:sz="0" w:space="0" w:color="auto"/>
      </w:divBdr>
      <w:divsChild>
        <w:div w:id="952246383">
          <w:marLeft w:val="0"/>
          <w:marRight w:val="0"/>
          <w:marTop w:val="240"/>
          <w:marBottom w:val="240"/>
          <w:divBdr>
            <w:top w:val="none" w:sz="0" w:space="0" w:color="auto"/>
            <w:left w:val="none" w:sz="0" w:space="0" w:color="auto"/>
            <w:bottom w:val="none" w:sz="0" w:space="0" w:color="auto"/>
            <w:right w:val="none" w:sz="0" w:space="0" w:color="auto"/>
          </w:divBdr>
          <w:divsChild>
            <w:div w:id="963779701">
              <w:marLeft w:val="0"/>
              <w:marRight w:val="0"/>
              <w:marTop w:val="480"/>
              <w:marBottom w:val="0"/>
              <w:divBdr>
                <w:top w:val="none" w:sz="0" w:space="0" w:color="auto"/>
                <w:left w:val="none" w:sz="0" w:space="0" w:color="auto"/>
                <w:bottom w:val="none" w:sz="0" w:space="0" w:color="auto"/>
                <w:right w:val="none" w:sz="0" w:space="0" w:color="auto"/>
              </w:divBdr>
              <w:divsChild>
                <w:div w:id="679235161">
                  <w:marLeft w:val="0"/>
                  <w:marRight w:val="0"/>
                  <w:marTop w:val="240"/>
                  <w:marBottom w:val="0"/>
                  <w:divBdr>
                    <w:top w:val="none" w:sz="0" w:space="0" w:color="auto"/>
                    <w:left w:val="none" w:sz="0" w:space="0" w:color="auto"/>
                    <w:bottom w:val="none" w:sz="0" w:space="0" w:color="auto"/>
                    <w:right w:val="none" w:sz="0" w:space="0" w:color="auto"/>
                  </w:divBdr>
                </w:div>
                <w:div w:id="1129393784">
                  <w:marLeft w:val="0"/>
                  <w:marRight w:val="0"/>
                  <w:marTop w:val="240"/>
                  <w:marBottom w:val="0"/>
                  <w:divBdr>
                    <w:top w:val="none" w:sz="0" w:space="0" w:color="auto"/>
                    <w:left w:val="none" w:sz="0" w:space="0" w:color="auto"/>
                    <w:bottom w:val="none" w:sz="0" w:space="0" w:color="auto"/>
                    <w:right w:val="none" w:sz="0" w:space="0" w:color="auto"/>
                  </w:divBdr>
                </w:div>
              </w:divsChild>
            </w:div>
            <w:div w:id="1989170530">
              <w:marLeft w:val="0"/>
              <w:marRight w:val="0"/>
              <w:marTop w:val="480"/>
              <w:marBottom w:val="0"/>
              <w:divBdr>
                <w:top w:val="none" w:sz="0" w:space="0" w:color="auto"/>
                <w:left w:val="none" w:sz="0" w:space="0" w:color="auto"/>
                <w:bottom w:val="none" w:sz="0" w:space="0" w:color="auto"/>
                <w:right w:val="none" w:sz="0" w:space="0" w:color="auto"/>
              </w:divBdr>
              <w:divsChild>
                <w:div w:id="136916348">
                  <w:marLeft w:val="0"/>
                  <w:marRight w:val="0"/>
                  <w:marTop w:val="240"/>
                  <w:marBottom w:val="0"/>
                  <w:divBdr>
                    <w:top w:val="none" w:sz="0" w:space="0" w:color="auto"/>
                    <w:left w:val="none" w:sz="0" w:space="0" w:color="auto"/>
                    <w:bottom w:val="none" w:sz="0" w:space="0" w:color="auto"/>
                    <w:right w:val="none" w:sz="0" w:space="0" w:color="auto"/>
                  </w:divBdr>
                </w:div>
                <w:div w:id="199822067">
                  <w:marLeft w:val="0"/>
                  <w:marRight w:val="0"/>
                  <w:marTop w:val="240"/>
                  <w:marBottom w:val="0"/>
                  <w:divBdr>
                    <w:top w:val="none" w:sz="0" w:space="0" w:color="auto"/>
                    <w:left w:val="none" w:sz="0" w:space="0" w:color="auto"/>
                    <w:bottom w:val="none" w:sz="0" w:space="0" w:color="auto"/>
                    <w:right w:val="none" w:sz="0" w:space="0" w:color="auto"/>
                  </w:divBdr>
                </w:div>
                <w:div w:id="478494754">
                  <w:marLeft w:val="0"/>
                  <w:marRight w:val="0"/>
                  <w:marTop w:val="240"/>
                  <w:marBottom w:val="0"/>
                  <w:divBdr>
                    <w:top w:val="none" w:sz="0" w:space="0" w:color="auto"/>
                    <w:left w:val="none" w:sz="0" w:space="0" w:color="auto"/>
                    <w:bottom w:val="none" w:sz="0" w:space="0" w:color="auto"/>
                    <w:right w:val="none" w:sz="0" w:space="0" w:color="auto"/>
                  </w:divBdr>
                </w:div>
                <w:div w:id="486092770">
                  <w:marLeft w:val="0"/>
                  <w:marRight w:val="0"/>
                  <w:marTop w:val="240"/>
                  <w:marBottom w:val="0"/>
                  <w:divBdr>
                    <w:top w:val="none" w:sz="0" w:space="0" w:color="auto"/>
                    <w:left w:val="none" w:sz="0" w:space="0" w:color="auto"/>
                    <w:bottom w:val="none" w:sz="0" w:space="0" w:color="auto"/>
                    <w:right w:val="none" w:sz="0" w:space="0" w:color="auto"/>
                  </w:divBdr>
                </w:div>
                <w:div w:id="872839144">
                  <w:marLeft w:val="0"/>
                  <w:marRight w:val="0"/>
                  <w:marTop w:val="240"/>
                  <w:marBottom w:val="0"/>
                  <w:divBdr>
                    <w:top w:val="none" w:sz="0" w:space="0" w:color="auto"/>
                    <w:left w:val="none" w:sz="0" w:space="0" w:color="auto"/>
                    <w:bottom w:val="none" w:sz="0" w:space="0" w:color="auto"/>
                    <w:right w:val="none" w:sz="0" w:space="0" w:color="auto"/>
                  </w:divBdr>
                </w:div>
                <w:div w:id="917593203">
                  <w:marLeft w:val="0"/>
                  <w:marRight w:val="0"/>
                  <w:marTop w:val="240"/>
                  <w:marBottom w:val="0"/>
                  <w:divBdr>
                    <w:top w:val="none" w:sz="0" w:space="0" w:color="auto"/>
                    <w:left w:val="none" w:sz="0" w:space="0" w:color="auto"/>
                    <w:bottom w:val="none" w:sz="0" w:space="0" w:color="auto"/>
                    <w:right w:val="none" w:sz="0" w:space="0" w:color="auto"/>
                  </w:divBdr>
                </w:div>
                <w:div w:id="1031608559">
                  <w:marLeft w:val="0"/>
                  <w:marRight w:val="0"/>
                  <w:marTop w:val="240"/>
                  <w:marBottom w:val="0"/>
                  <w:divBdr>
                    <w:top w:val="none" w:sz="0" w:space="0" w:color="auto"/>
                    <w:left w:val="none" w:sz="0" w:space="0" w:color="auto"/>
                    <w:bottom w:val="none" w:sz="0" w:space="0" w:color="auto"/>
                    <w:right w:val="none" w:sz="0" w:space="0" w:color="auto"/>
                  </w:divBdr>
                </w:div>
                <w:div w:id="1469202484">
                  <w:marLeft w:val="0"/>
                  <w:marRight w:val="0"/>
                  <w:marTop w:val="240"/>
                  <w:marBottom w:val="0"/>
                  <w:divBdr>
                    <w:top w:val="none" w:sz="0" w:space="0" w:color="auto"/>
                    <w:left w:val="none" w:sz="0" w:space="0" w:color="auto"/>
                    <w:bottom w:val="none" w:sz="0" w:space="0" w:color="auto"/>
                    <w:right w:val="none" w:sz="0" w:space="0" w:color="auto"/>
                  </w:divBdr>
                </w:div>
                <w:div w:id="19303097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21691877">
      <w:bodyDiv w:val="1"/>
      <w:marLeft w:val="0"/>
      <w:marRight w:val="0"/>
      <w:marTop w:val="0"/>
      <w:marBottom w:val="0"/>
      <w:divBdr>
        <w:top w:val="none" w:sz="0" w:space="0" w:color="auto"/>
        <w:left w:val="none" w:sz="0" w:space="0" w:color="auto"/>
        <w:bottom w:val="none" w:sz="0" w:space="0" w:color="auto"/>
        <w:right w:val="none" w:sz="0" w:space="0" w:color="auto"/>
      </w:divBdr>
    </w:div>
    <w:div w:id="1637641678">
      <w:bodyDiv w:val="1"/>
      <w:marLeft w:val="0"/>
      <w:marRight w:val="0"/>
      <w:marTop w:val="0"/>
      <w:marBottom w:val="0"/>
      <w:divBdr>
        <w:top w:val="none" w:sz="0" w:space="0" w:color="auto"/>
        <w:left w:val="none" w:sz="0" w:space="0" w:color="auto"/>
        <w:bottom w:val="none" w:sz="0" w:space="0" w:color="auto"/>
        <w:right w:val="none" w:sz="0" w:space="0" w:color="auto"/>
      </w:divBdr>
    </w:div>
    <w:div w:id="1645966749">
      <w:bodyDiv w:val="1"/>
      <w:marLeft w:val="0"/>
      <w:marRight w:val="0"/>
      <w:marTop w:val="0"/>
      <w:marBottom w:val="0"/>
      <w:divBdr>
        <w:top w:val="none" w:sz="0" w:space="0" w:color="auto"/>
        <w:left w:val="none" w:sz="0" w:space="0" w:color="auto"/>
        <w:bottom w:val="none" w:sz="0" w:space="0" w:color="auto"/>
        <w:right w:val="none" w:sz="0" w:space="0" w:color="auto"/>
      </w:divBdr>
    </w:div>
    <w:div w:id="1649288126">
      <w:bodyDiv w:val="1"/>
      <w:marLeft w:val="0"/>
      <w:marRight w:val="0"/>
      <w:marTop w:val="0"/>
      <w:marBottom w:val="0"/>
      <w:divBdr>
        <w:top w:val="none" w:sz="0" w:space="0" w:color="auto"/>
        <w:left w:val="none" w:sz="0" w:space="0" w:color="auto"/>
        <w:bottom w:val="none" w:sz="0" w:space="0" w:color="auto"/>
        <w:right w:val="none" w:sz="0" w:space="0" w:color="auto"/>
      </w:divBdr>
    </w:div>
    <w:div w:id="1705137149">
      <w:bodyDiv w:val="1"/>
      <w:marLeft w:val="0"/>
      <w:marRight w:val="0"/>
      <w:marTop w:val="0"/>
      <w:marBottom w:val="0"/>
      <w:divBdr>
        <w:top w:val="none" w:sz="0" w:space="0" w:color="auto"/>
        <w:left w:val="none" w:sz="0" w:space="0" w:color="auto"/>
        <w:bottom w:val="none" w:sz="0" w:space="0" w:color="auto"/>
        <w:right w:val="none" w:sz="0" w:space="0" w:color="auto"/>
      </w:divBdr>
      <w:divsChild>
        <w:div w:id="222833436">
          <w:marLeft w:val="0"/>
          <w:marRight w:val="0"/>
          <w:marTop w:val="0"/>
          <w:marBottom w:val="0"/>
          <w:divBdr>
            <w:top w:val="none" w:sz="0" w:space="0" w:color="auto"/>
            <w:left w:val="none" w:sz="0" w:space="0" w:color="auto"/>
            <w:bottom w:val="none" w:sz="0" w:space="0" w:color="auto"/>
            <w:right w:val="none" w:sz="0" w:space="0" w:color="auto"/>
          </w:divBdr>
          <w:divsChild>
            <w:div w:id="1468205527">
              <w:marLeft w:val="0"/>
              <w:marRight w:val="0"/>
              <w:marTop w:val="0"/>
              <w:marBottom w:val="0"/>
              <w:divBdr>
                <w:top w:val="none" w:sz="0" w:space="0" w:color="auto"/>
                <w:left w:val="none" w:sz="0" w:space="0" w:color="auto"/>
                <w:bottom w:val="none" w:sz="0" w:space="0" w:color="auto"/>
                <w:right w:val="none" w:sz="0" w:space="0" w:color="auto"/>
              </w:divBdr>
              <w:divsChild>
                <w:div w:id="15272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9101">
      <w:bodyDiv w:val="1"/>
      <w:marLeft w:val="0"/>
      <w:marRight w:val="0"/>
      <w:marTop w:val="0"/>
      <w:marBottom w:val="0"/>
      <w:divBdr>
        <w:top w:val="none" w:sz="0" w:space="0" w:color="auto"/>
        <w:left w:val="none" w:sz="0" w:space="0" w:color="auto"/>
        <w:bottom w:val="none" w:sz="0" w:space="0" w:color="auto"/>
        <w:right w:val="none" w:sz="0" w:space="0" w:color="auto"/>
      </w:divBdr>
    </w:div>
    <w:div w:id="1707634240">
      <w:bodyDiv w:val="1"/>
      <w:marLeft w:val="0"/>
      <w:marRight w:val="0"/>
      <w:marTop w:val="0"/>
      <w:marBottom w:val="0"/>
      <w:divBdr>
        <w:top w:val="none" w:sz="0" w:space="0" w:color="auto"/>
        <w:left w:val="none" w:sz="0" w:space="0" w:color="auto"/>
        <w:bottom w:val="none" w:sz="0" w:space="0" w:color="auto"/>
        <w:right w:val="none" w:sz="0" w:space="0" w:color="auto"/>
      </w:divBdr>
    </w:div>
    <w:div w:id="1711296349">
      <w:bodyDiv w:val="1"/>
      <w:marLeft w:val="0"/>
      <w:marRight w:val="0"/>
      <w:marTop w:val="0"/>
      <w:marBottom w:val="0"/>
      <w:divBdr>
        <w:top w:val="none" w:sz="0" w:space="0" w:color="auto"/>
        <w:left w:val="none" w:sz="0" w:space="0" w:color="auto"/>
        <w:bottom w:val="none" w:sz="0" w:space="0" w:color="auto"/>
        <w:right w:val="none" w:sz="0" w:space="0" w:color="auto"/>
      </w:divBdr>
      <w:divsChild>
        <w:div w:id="409037914">
          <w:marLeft w:val="0"/>
          <w:marRight w:val="0"/>
          <w:marTop w:val="0"/>
          <w:marBottom w:val="0"/>
          <w:divBdr>
            <w:top w:val="none" w:sz="0" w:space="0" w:color="auto"/>
            <w:left w:val="none" w:sz="0" w:space="0" w:color="auto"/>
            <w:bottom w:val="none" w:sz="0" w:space="0" w:color="auto"/>
            <w:right w:val="none" w:sz="0" w:space="0" w:color="auto"/>
          </w:divBdr>
          <w:divsChild>
            <w:div w:id="842821137">
              <w:marLeft w:val="0"/>
              <w:marRight w:val="0"/>
              <w:marTop w:val="0"/>
              <w:marBottom w:val="0"/>
              <w:divBdr>
                <w:top w:val="none" w:sz="0" w:space="0" w:color="auto"/>
                <w:left w:val="none" w:sz="0" w:space="0" w:color="auto"/>
                <w:bottom w:val="none" w:sz="0" w:space="0" w:color="auto"/>
                <w:right w:val="none" w:sz="0" w:space="0" w:color="auto"/>
              </w:divBdr>
              <w:divsChild>
                <w:div w:id="346257041">
                  <w:marLeft w:val="0"/>
                  <w:marRight w:val="0"/>
                  <w:marTop w:val="0"/>
                  <w:marBottom w:val="0"/>
                  <w:divBdr>
                    <w:top w:val="none" w:sz="0" w:space="0" w:color="auto"/>
                    <w:left w:val="none" w:sz="0" w:space="0" w:color="auto"/>
                    <w:bottom w:val="none" w:sz="0" w:space="0" w:color="auto"/>
                    <w:right w:val="none" w:sz="0" w:space="0" w:color="auto"/>
                  </w:divBdr>
                  <w:divsChild>
                    <w:div w:id="17722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6834">
      <w:marLeft w:val="0"/>
      <w:marRight w:val="0"/>
      <w:marTop w:val="0"/>
      <w:marBottom w:val="0"/>
      <w:divBdr>
        <w:top w:val="none" w:sz="0" w:space="0" w:color="auto"/>
        <w:left w:val="none" w:sz="0" w:space="0" w:color="auto"/>
        <w:bottom w:val="none" w:sz="0" w:space="0" w:color="auto"/>
        <w:right w:val="none" w:sz="0" w:space="0" w:color="auto"/>
      </w:divBdr>
      <w:divsChild>
        <w:div w:id="1712876833">
          <w:marLeft w:val="0"/>
          <w:marRight w:val="0"/>
          <w:marTop w:val="0"/>
          <w:marBottom w:val="0"/>
          <w:divBdr>
            <w:top w:val="none" w:sz="0" w:space="0" w:color="auto"/>
            <w:left w:val="none" w:sz="0" w:space="0" w:color="auto"/>
            <w:bottom w:val="none" w:sz="0" w:space="0" w:color="auto"/>
            <w:right w:val="none" w:sz="0" w:space="0" w:color="auto"/>
          </w:divBdr>
        </w:div>
      </w:divsChild>
    </w:div>
    <w:div w:id="1752043843">
      <w:bodyDiv w:val="1"/>
      <w:marLeft w:val="0"/>
      <w:marRight w:val="0"/>
      <w:marTop w:val="0"/>
      <w:marBottom w:val="0"/>
      <w:divBdr>
        <w:top w:val="none" w:sz="0" w:space="0" w:color="auto"/>
        <w:left w:val="none" w:sz="0" w:space="0" w:color="auto"/>
        <w:bottom w:val="none" w:sz="0" w:space="0" w:color="auto"/>
        <w:right w:val="none" w:sz="0" w:space="0" w:color="auto"/>
      </w:divBdr>
    </w:div>
    <w:div w:id="1767071795">
      <w:bodyDiv w:val="1"/>
      <w:marLeft w:val="0"/>
      <w:marRight w:val="0"/>
      <w:marTop w:val="0"/>
      <w:marBottom w:val="0"/>
      <w:divBdr>
        <w:top w:val="none" w:sz="0" w:space="0" w:color="auto"/>
        <w:left w:val="none" w:sz="0" w:space="0" w:color="auto"/>
        <w:bottom w:val="none" w:sz="0" w:space="0" w:color="auto"/>
        <w:right w:val="none" w:sz="0" w:space="0" w:color="auto"/>
      </w:divBdr>
      <w:divsChild>
        <w:div w:id="1824464260">
          <w:marLeft w:val="0"/>
          <w:marRight w:val="0"/>
          <w:marTop w:val="0"/>
          <w:marBottom w:val="0"/>
          <w:divBdr>
            <w:top w:val="none" w:sz="0" w:space="0" w:color="auto"/>
            <w:left w:val="none" w:sz="0" w:space="0" w:color="auto"/>
            <w:bottom w:val="none" w:sz="0" w:space="0" w:color="auto"/>
            <w:right w:val="none" w:sz="0" w:space="0" w:color="auto"/>
          </w:divBdr>
          <w:divsChild>
            <w:div w:id="1596867598">
              <w:marLeft w:val="0"/>
              <w:marRight w:val="0"/>
              <w:marTop w:val="0"/>
              <w:marBottom w:val="0"/>
              <w:divBdr>
                <w:top w:val="none" w:sz="0" w:space="0" w:color="auto"/>
                <w:left w:val="none" w:sz="0" w:space="0" w:color="auto"/>
                <w:bottom w:val="none" w:sz="0" w:space="0" w:color="auto"/>
                <w:right w:val="none" w:sz="0" w:space="0" w:color="auto"/>
              </w:divBdr>
              <w:divsChild>
                <w:div w:id="2119636335">
                  <w:marLeft w:val="0"/>
                  <w:marRight w:val="0"/>
                  <w:marTop w:val="0"/>
                  <w:marBottom w:val="0"/>
                  <w:divBdr>
                    <w:top w:val="none" w:sz="0" w:space="0" w:color="auto"/>
                    <w:left w:val="none" w:sz="0" w:space="0" w:color="auto"/>
                    <w:bottom w:val="none" w:sz="0" w:space="0" w:color="auto"/>
                    <w:right w:val="none" w:sz="0" w:space="0" w:color="auto"/>
                  </w:divBdr>
                  <w:divsChild>
                    <w:div w:id="15637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5990">
      <w:bodyDiv w:val="1"/>
      <w:marLeft w:val="0"/>
      <w:marRight w:val="0"/>
      <w:marTop w:val="0"/>
      <w:marBottom w:val="0"/>
      <w:divBdr>
        <w:top w:val="none" w:sz="0" w:space="0" w:color="auto"/>
        <w:left w:val="none" w:sz="0" w:space="0" w:color="auto"/>
        <w:bottom w:val="none" w:sz="0" w:space="0" w:color="auto"/>
        <w:right w:val="none" w:sz="0" w:space="0" w:color="auto"/>
      </w:divBdr>
    </w:div>
    <w:div w:id="1819414557">
      <w:bodyDiv w:val="1"/>
      <w:marLeft w:val="0"/>
      <w:marRight w:val="0"/>
      <w:marTop w:val="0"/>
      <w:marBottom w:val="0"/>
      <w:divBdr>
        <w:top w:val="none" w:sz="0" w:space="0" w:color="auto"/>
        <w:left w:val="none" w:sz="0" w:space="0" w:color="auto"/>
        <w:bottom w:val="none" w:sz="0" w:space="0" w:color="auto"/>
        <w:right w:val="none" w:sz="0" w:space="0" w:color="auto"/>
      </w:divBdr>
      <w:divsChild>
        <w:div w:id="437724652">
          <w:marLeft w:val="0"/>
          <w:marRight w:val="0"/>
          <w:marTop w:val="0"/>
          <w:marBottom w:val="0"/>
          <w:divBdr>
            <w:top w:val="none" w:sz="0" w:space="0" w:color="auto"/>
            <w:left w:val="none" w:sz="0" w:space="0" w:color="auto"/>
            <w:bottom w:val="none" w:sz="0" w:space="0" w:color="auto"/>
            <w:right w:val="none" w:sz="0" w:space="0" w:color="auto"/>
          </w:divBdr>
          <w:divsChild>
            <w:div w:id="1120027159">
              <w:marLeft w:val="0"/>
              <w:marRight w:val="0"/>
              <w:marTop w:val="0"/>
              <w:marBottom w:val="0"/>
              <w:divBdr>
                <w:top w:val="none" w:sz="0" w:space="0" w:color="auto"/>
                <w:left w:val="none" w:sz="0" w:space="0" w:color="auto"/>
                <w:bottom w:val="none" w:sz="0" w:space="0" w:color="auto"/>
                <w:right w:val="none" w:sz="0" w:space="0" w:color="auto"/>
              </w:divBdr>
              <w:divsChild>
                <w:div w:id="12187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6839">
      <w:bodyDiv w:val="1"/>
      <w:marLeft w:val="0"/>
      <w:marRight w:val="0"/>
      <w:marTop w:val="0"/>
      <w:marBottom w:val="0"/>
      <w:divBdr>
        <w:top w:val="none" w:sz="0" w:space="0" w:color="auto"/>
        <w:left w:val="none" w:sz="0" w:space="0" w:color="auto"/>
        <w:bottom w:val="none" w:sz="0" w:space="0" w:color="auto"/>
        <w:right w:val="none" w:sz="0" w:space="0" w:color="auto"/>
      </w:divBdr>
      <w:divsChild>
        <w:div w:id="271330026">
          <w:marLeft w:val="0"/>
          <w:marRight w:val="0"/>
          <w:marTop w:val="0"/>
          <w:marBottom w:val="0"/>
          <w:divBdr>
            <w:top w:val="none" w:sz="0" w:space="0" w:color="auto"/>
            <w:left w:val="none" w:sz="0" w:space="0" w:color="auto"/>
            <w:bottom w:val="none" w:sz="0" w:space="0" w:color="auto"/>
            <w:right w:val="none" w:sz="0" w:space="0" w:color="auto"/>
          </w:divBdr>
          <w:divsChild>
            <w:div w:id="111285266">
              <w:marLeft w:val="0"/>
              <w:marRight w:val="0"/>
              <w:marTop w:val="0"/>
              <w:marBottom w:val="0"/>
              <w:divBdr>
                <w:top w:val="none" w:sz="0" w:space="0" w:color="auto"/>
                <w:left w:val="none" w:sz="0" w:space="0" w:color="auto"/>
                <w:bottom w:val="none" w:sz="0" w:space="0" w:color="auto"/>
                <w:right w:val="none" w:sz="0" w:space="0" w:color="auto"/>
              </w:divBdr>
              <w:divsChild>
                <w:div w:id="2083553035">
                  <w:marLeft w:val="0"/>
                  <w:marRight w:val="0"/>
                  <w:marTop w:val="0"/>
                  <w:marBottom w:val="0"/>
                  <w:divBdr>
                    <w:top w:val="none" w:sz="0" w:space="0" w:color="auto"/>
                    <w:left w:val="none" w:sz="0" w:space="0" w:color="auto"/>
                    <w:bottom w:val="none" w:sz="0" w:space="0" w:color="auto"/>
                    <w:right w:val="none" w:sz="0" w:space="0" w:color="auto"/>
                  </w:divBdr>
                  <w:divsChild>
                    <w:div w:id="20893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8851">
      <w:bodyDiv w:val="1"/>
      <w:marLeft w:val="0"/>
      <w:marRight w:val="0"/>
      <w:marTop w:val="0"/>
      <w:marBottom w:val="0"/>
      <w:divBdr>
        <w:top w:val="none" w:sz="0" w:space="0" w:color="auto"/>
        <w:left w:val="none" w:sz="0" w:space="0" w:color="auto"/>
        <w:bottom w:val="none" w:sz="0" w:space="0" w:color="auto"/>
        <w:right w:val="none" w:sz="0" w:space="0" w:color="auto"/>
      </w:divBdr>
      <w:divsChild>
        <w:div w:id="836767174">
          <w:marLeft w:val="0"/>
          <w:marRight w:val="0"/>
          <w:marTop w:val="0"/>
          <w:marBottom w:val="0"/>
          <w:divBdr>
            <w:top w:val="none" w:sz="0" w:space="0" w:color="auto"/>
            <w:left w:val="none" w:sz="0" w:space="0" w:color="auto"/>
            <w:bottom w:val="none" w:sz="0" w:space="0" w:color="auto"/>
            <w:right w:val="none" w:sz="0" w:space="0" w:color="auto"/>
          </w:divBdr>
          <w:divsChild>
            <w:div w:id="170263914">
              <w:marLeft w:val="0"/>
              <w:marRight w:val="0"/>
              <w:marTop w:val="0"/>
              <w:marBottom w:val="0"/>
              <w:divBdr>
                <w:top w:val="none" w:sz="0" w:space="0" w:color="auto"/>
                <w:left w:val="none" w:sz="0" w:space="0" w:color="auto"/>
                <w:bottom w:val="none" w:sz="0" w:space="0" w:color="auto"/>
                <w:right w:val="none" w:sz="0" w:space="0" w:color="auto"/>
              </w:divBdr>
              <w:divsChild>
                <w:div w:id="948467203">
                  <w:marLeft w:val="0"/>
                  <w:marRight w:val="0"/>
                  <w:marTop w:val="0"/>
                  <w:marBottom w:val="0"/>
                  <w:divBdr>
                    <w:top w:val="none" w:sz="0" w:space="0" w:color="auto"/>
                    <w:left w:val="none" w:sz="0" w:space="0" w:color="auto"/>
                    <w:bottom w:val="none" w:sz="0" w:space="0" w:color="auto"/>
                    <w:right w:val="none" w:sz="0" w:space="0" w:color="auto"/>
                  </w:divBdr>
                  <w:divsChild>
                    <w:div w:id="1870407697">
                      <w:marLeft w:val="0"/>
                      <w:marRight w:val="0"/>
                      <w:marTop w:val="0"/>
                      <w:marBottom w:val="0"/>
                      <w:divBdr>
                        <w:top w:val="none" w:sz="0" w:space="0" w:color="auto"/>
                        <w:left w:val="none" w:sz="0" w:space="0" w:color="auto"/>
                        <w:bottom w:val="none" w:sz="0" w:space="0" w:color="auto"/>
                        <w:right w:val="none" w:sz="0" w:space="0" w:color="auto"/>
                      </w:divBdr>
                    </w:div>
                  </w:divsChild>
                </w:div>
                <w:div w:id="1593315614">
                  <w:marLeft w:val="0"/>
                  <w:marRight w:val="0"/>
                  <w:marTop w:val="0"/>
                  <w:marBottom w:val="0"/>
                  <w:divBdr>
                    <w:top w:val="none" w:sz="0" w:space="0" w:color="auto"/>
                    <w:left w:val="none" w:sz="0" w:space="0" w:color="auto"/>
                    <w:bottom w:val="none" w:sz="0" w:space="0" w:color="auto"/>
                    <w:right w:val="none" w:sz="0" w:space="0" w:color="auto"/>
                  </w:divBdr>
                  <w:divsChild>
                    <w:div w:id="1505440640">
                      <w:marLeft w:val="0"/>
                      <w:marRight w:val="0"/>
                      <w:marTop w:val="0"/>
                      <w:marBottom w:val="0"/>
                      <w:divBdr>
                        <w:top w:val="none" w:sz="0" w:space="0" w:color="auto"/>
                        <w:left w:val="none" w:sz="0" w:space="0" w:color="auto"/>
                        <w:bottom w:val="none" w:sz="0" w:space="0" w:color="auto"/>
                        <w:right w:val="none" w:sz="0" w:space="0" w:color="auto"/>
                      </w:divBdr>
                    </w:div>
                  </w:divsChild>
                </w:div>
                <w:div w:id="1678995497">
                  <w:marLeft w:val="0"/>
                  <w:marRight w:val="0"/>
                  <w:marTop w:val="0"/>
                  <w:marBottom w:val="0"/>
                  <w:divBdr>
                    <w:top w:val="none" w:sz="0" w:space="0" w:color="auto"/>
                    <w:left w:val="none" w:sz="0" w:space="0" w:color="auto"/>
                    <w:bottom w:val="none" w:sz="0" w:space="0" w:color="auto"/>
                    <w:right w:val="none" w:sz="0" w:space="0" w:color="auto"/>
                  </w:divBdr>
                  <w:divsChild>
                    <w:div w:id="1113554528">
                      <w:marLeft w:val="0"/>
                      <w:marRight w:val="0"/>
                      <w:marTop w:val="0"/>
                      <w:marBottom w:val="0"/>
                      <w:divBdr>
                        <w:top w:val="none" w:sz="0" w:space="0" w:color="auto"/>
                        <w:left w:val="none" w:sz="0" w:space="0" w:color="auto"/>
                        <w:bottom w:val="none" w:sz="0" w:space="0" w:color="auto"/>
                        <w:right w:val="none" w:sz="0" w:space="0" w:color="auto"/>
                      </w:divBdr>
                    </w:div>
                  </w:divsChild>
                </w:div>
                <w:div w:id="2112584591">
                  <w:marLeft w:val="0"/>
                  <w:marRight w:val="0"/>
                  <w:marTop w:val="0"/>
                  <w:marBottom w:val="0"/>
                  <w:divBdr>
                    <w:top w:val="none" w:sz="0" w:space="0" w:color="auto"/>
                    <w:left w:val="none" w:sz="0" w:space="0" w:color="auto"/>
                    <w:bottom w:val="none" w:sz="0" w:space="0" w:color="auto"/>
                    <w:right w:val="none" w:sz="0" w:space="0" w:color="auto"/>
                  </w:divBdr>
                  <w:divsChild>
                    <w:div w:id="1969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7087">
      <w:bodyDiv w:val="1"/>
      <w:marLeft w:val="0"/>
      <w:marRight w:val="0"/>
      <w:marTop w:val="0"/>
      <w:marBottom w:val="0"/>
      <w:divBdr>
        <w:top w:val="none" w:sz="0" w:space="0" w:color="auto"/>
        <w:left w:val="none" w:sz="0" w:space="0" w:color="auto"/>
        <w:bottom w:val="none" w:sz="0" w:space="0" w:color="auto"/>
        <w:right w:val="none" w:sz="0" w:space="0" w:color="auto"/>
      </w:divBdr>
      <w:divsChild>
        <w:div w:id="825777598">
          <w:marLeft w:val="0"/>
          <w:marRight w:val="0"/>
          <w:marTop w:val="0"/>
          <w:marBottom w:val="0"/>
          <w:divBdr>
            <w:top w:val="none" w:sz="0" w:space="0" w:color="auto"/>
            <w:left w:val="none" w:sz="0" w:space="0" w:color="auto"/>
            <w:bottom w:val="none" w:sz="0" w:space="0" w:color="auto"/>
            <w:right w:val="none" w:sz="0" w:space="0" w:color="auto"/>
          </w:divBdr>
          <w:divsChild>
            <w:div w:id="52852182">
              <w:marLeft w:val="0"/>
              <w:marRight w:val="0"/>
              <w:marTop w:val="0"/>
              <w:marBottom w:val="0"/>
              <w:divBdr>
                <w:top w:val="none" w:sz="0" w:space="0" w:color="auto"/>
                <w:left w:val="none" w:sz="0" w:space="0" w:color="auto"/>
                <w:bottom w:val="none" w:sz="0" w:space="0" w:color="auto"/>
                <w:right w:val="none" w:sz="0" w:space="0" w:color="auto"/>
              </w:divBdr>
              <w:divsChild>
                <w:div w:id="13069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2789">
      <w:bodyDiv w:val="1"/>
      <w:marLeft w:val="0"/>
      <w:marRight w:val="0"/>
      <w:marTop w:val="0"/>
      <w:marBottom w:val="0"/>
      <w:divBdr>
        <w:top w:val="none" w:sz="0" w:space="0" w:color="auto"/>
        <w:left w:val="none" w:sz="0" w:space="0" w:color="auto"/>
        <w:bottom w:val="none" w:sz="0" w:space="0" w:color="auto"/>
        <w:right w:val="none" w:sz="0" w:space="0" w:color="auto"/>
      </w:divBdr>
      <w:divsChild>
        <w:div w:id="1203134267">
          <w:marLeft w:val="0"/>
          <w:marRight w:val="0"/>
          <w:marTop w:val="0"/>
          <w:marBottom w:val="0"/>
          <w:divBdr>
            <w:top w:val="none" w:sz="0" w:space="0" w:color="auto"/>
            <w:left w:val="none" w:sz="0" w:space="0" w:color="auto"/>
            <w:bottom w:val="none" w:sz="0" w:space="0" w:color="auto"/>
            <w:right w:val="none" w:sz="0" w:space="0" w:color="auto"/>
          </w:divBdr>
          <w:divsChild>
            <w:div w:id="490870480">
              <w:marLeft w:val="0"/>
              <w:marRight w:val="0"/>
              <w:marTop w:val="0"/>
              <w:marBottom w:val="0"/>
              <w:divBdr>
                <w:top w:val="none" w:sz="0" w:space="0" w:color="auto"/>
                <w:left w:val="none" w:sz="0" w:space="0" w:color="auto"/>
                <w:bottom w:val="none" w:sz="0" w:space="0" w:color="auto"/>
                <w:right w:val="none" w:sz="0" w:space="0" w:color="auto"/>
              </w:divBdr>
              <w:divsChild>
                <w:div w:id="1070082862">
                  <w:marLeft w:val="0"/>
                  <w:marRight w:val="0"/>
                  <w:marTop w:val="0"/>
                  <w:marBottom w:val="0"/>
                  <w:divBdr>
                    <w:top w:val="none" w:sz="0" w:space="0" w:color="auto"/>
                    <w:left w:val="none" w:sz="0" w:space="0" w:color="auto"/>
                    <w:bottom w:val="none" w:sz="0" w:space="0" w:color="auto"/>
                    <w:right w:val="none" w:sz="0" w:space="0" w:color="auto"/>
                  </w:divBdr>
                  <w:divsChild>
                    <w:div w:id="397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3527">
      <w:bodyDiv w:val="1"/>
      <w:marLeft w:val="0"/>
      <w:marRight w:val="0"/>
      <w:marTop w:val="0"/>
      <w:marBottom w:val="0"/>
      <w:divBdr>
        <w:top w:val="none" w:sz="0" w:space="0" w:color="auto"/>
        <w:left w:val="none" w:sz="0" w:space="0" w:color="auto"/>
        <w:bottom w:val="none" w:sz="0" w:space="0" w:color="auto"/>
        <w:right w:val="none" w:sz="0" w:space="0" w:color="auto"/>
      </w:divBdr>
    </w:div>
    <w:div w:id="1960794653">
      <w:bodyDiv w:val="1"/>
      <w:marLeft w:val="0"/>
      <w:marRight w:val="0"/>
      <w:marTop w:val="0"/>
      <w:marBottom w:val="0"/>
      <w:divBdr>
        <w:top w:val="none" w:sz="0" w:space="0" w:color="auto"/>
        <w:left w:val="none" w:sz="0" w:space="0" w:color="auto"/>
        <w:bottom w:val="none" w:sz="0" w:space="0" w:color="auto"/>
        <w:right w:val="none" w:sz="0" w:space="0" w:color="auto"/>
      </w:divBdr>
      <w:divsChild>
        <w:div w:id="1920744619">
          <w:marLeft w:val="0"/>
          <w:marRight w:val="0"/>
          <w:marTop w:val="0"/>
          <w:marBottom w:val="0"/>
          <w:divBdr>
            <w:top w:val="none" w:sz="0" w:space="0" w:color="auto"/>
            <w:left w:val="none" w:sz="0" w:space="0" w:color="auto"/>
            <w:bottom w:val="none" w:sz="0" w:space="0" w:color="auto"/>
            <w:right w:val="none" w:sz="0" w:space="0" w:color="auto"/>
          </w:divBdr>
          <w:divsChild>
            <w:div w:id="7489237">
              <w:marLeft w:val="0"/>
              <w:marRight w:val="0"/>
              <w:marTop w:val="0"/>
              <w:marBottom w:val="0"/>
              <w:divBdr>
                <w:top w:val="none" w:sz="0" w:space="0" w:color="auto"/>
                <w:left w:val="none" w:sz="0" w:space="0" w:color="auto"/>
                <w:bottom w:val="none" w:sz="0" w:space="0" w:color="auto"/>
                <w:right w:val="none" w:sz="0" w:space="0" w:color="auto"/>
              </w:divBdr>
              <w:divsChild>
                <w:div w:id="150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11996">
      <w:bodyDiv w:val="1"/>
      <w:marLeft w:val="0"/>
      <w:marRight w:val="0"/>
      <w:marTop w:val="0"/>
      <w:marBottom w:val="0"/>
      <w:divBdr>
        <w:top w:val="none" w:sz="0" w:space="0" w:color="auto"/>
        <w:left w:val="none" w:sz="0" w:space="0" w:color="auto"/>
        <w:bottom w:val="none" w:sz="0" w:space="0" w:color="auto"/>
        <w:right w:val="none" w:sz="0" w:space="0" w:color="auto"/>
      </w:divBdr>
    </w:div>
    <w:div w:id="2004897065">
      <w:bodyDiv w:val="1"/>
      <w:marLeft w:val="0"/>
      <w:marRight w:val="0"/>
      <w:marTop w:val="0"/>
      <w:marBottom w:val="0"/>
      <w:divBdr>
        <w:top w:val="none" w:sz="0" w:space="0" w:color="auto"/>
        <w:left w:val="none" w:sz="0" w:space="0" w:color="auto"/>
        <w:bottom w:val="none" w:sz="0" w:space="0" w:color="auto"/>
        <w:right w:val="none" w:sz="0" w:space="0" w:color="auto"/>
      </w:divBdr>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
    <w:div w:id="2094668812">
      <w:bodyDiv w:val="1"/>
      <w:marLeft w:val="0"/>
      <w:marRight w:val="0"/>
      <w:marTop w:val="0"/>
      <w:marBottom w:val="0"/>
      <w:divBdr>
        <w:top w:val="none" w:sz="0" w:space="0" w:color="auto"/>
        <w:left w:val="none" w:sz="0" w:space="0" w:color="auto"/>
        <w:bottom w:val="none" w:sz="0" w:space="0" w:color="auto"/>
        <w:right w:val="none" w:sz="0" w:space="0" w:color="auto"/>
      </w:divBdr>
    </w:div>
    <w:div w:id="2104910047">
      <w:bodyDiv w:val="1"/>
      <w:marLeft w:val="0"/>
      <w:marRight w:val="0"/>
      <w:marTop w:val="0"/>
      <w:marBottom w:val="0"/>
      <w:divBdr>
        <w:top w:val="none" w:sz="0" w:space="0" w:color="auto"/>
        <w:left w:val="none" w:sz="0" w:space="0" w:color="auto"/>
        <w:bottom w:val="none" w:sz="0" w:space="0" w:color="auto"/>
        <w:right w:val="none" w:sz="0" w:space="0" w:color="auto"/>
      </w:divBdr>
    </w:div>
    <w:div w:id="2117940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state-mccoy-v-corporation-of-dn-laoghaire/overview/c4Gtm1CtmZW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justis.com/case/mccoy/overview/c4Gtm1CtmZ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FC5E-DCC5-4E9C-9F3A-BDC04AA8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13613</Words>
  <Characters>77595</Characters>
  <Application>Microsoft Office Word</Application>
  <DocSecurity>4</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91026</CharactersWithSpaces>
  <SharedDoc>false</SharedDoc>
  <HLinks>
    <vt:vector size="12" baseType="variant">
      <vt:variant>
        <vt:i4>4456470</vt:i4>
      </vt:variant>
      <vt:variant>
        <vt:i4>3</vt:i4>
      </vt:variant>
      <vt:variant>
        <vt:i4>0</vt:i4>
      </vt:variant>
      <vt:variant>
        <vt:i4>5</vt:i4>
      </vt:variant>
      <vt:variant>
        <vt:lpwstr>https://app.justis.com/case/mccoy/overview/c4Gtm1CtmZWca</vt:lpwstr>
      </vt:variant>
      <vt:variant>
        <vt:lpwstr/>
      </vt:variant>
      <vt:variant>
        <vt:i4>524356</vt:i4>
      </vt:variant>
      <vt:variant>
        <vt:i4>0</vt:i4>
      </vt:variant>
      <vt:variant>
        <vt:i4>0</vt:i4>
      </vt:variant>
      <vt:variant>
        <vt:i4>5</vt:i4>
      </vt:variant>
      <vt:variant>
        <vt:lpwstr>https://app.justis.com/case/state-mccoy-v-corporation-of-dn-laoghaire/overview/c4Gtm1CtmZWca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2022-06-07T14:58:00Z</dcterms:created>
  <dcterms:modified xsi:type="dcterms:W3CDTF">2022-06-07T14:58:00Z</dcterms:modified>
</cp:coreProperties>
</file>