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864E1" w14:textId="3895938E" w:rsidR="002E6E92" w:rsidRDefault="00042BA0" w:rsidP="002E6E92">
      <w:pPr>
        <w:pStyle w:val="Harp"/>
      </w:pPr>
      <w:bookmarkStart w:id="0" w:name="_GoBack"/>
      <w:bookmarkEnd w:id="0"/>
      <w:r>
        <w:rPr>
          <w:noProof/>
        </w:rPr>
        <w:drawing>
          <wp:inline distT="0" distB="0" distL="0" distR="0" wp14:anchorId="1970F336" wp14:editId="1D2F0F79">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4532D638" w14:textId="77777777" w:rsidR="002E6E92" w:rsidRDefault="002E6E92" w:rsidP="002E6E92">
      <w:pPr>
        <w:pStyle w:val="Harp"/>
      </w:pPr>
    </w:p>
    <w:p w14:paraId="6F1EA2E9" w14:textId="77777777" w:rsidR="0069376F" w:rsidRPr="00587C50" w:rsidRDefault="0069376F" w:rsidP="00587C50">
      <w:pPr>
        <w:pStyle w:val="BodyAA"/>
        <w:spacing w:line="360" w:lineRule="auto"/>
        <w:jc w:val="center"/>
        <w:rPr>
          <w:b/>
          <w:bCs/>
          <w:sz w:val="32"/>
          <w:szCs w:val="32"/>
        </w:rPr>
      </w:pPr>
      <w:r w:rsidRPr="00587C50">
        <w:rPr>
          <w:b/>
          <w:bCs/>
          <w:sz w:val="32"/>
          <w:szCs w:val="32"/>
          <w:lang w:val="de-DE"/>
        </w:rPr>
        <w:t>AN CH</w:t>
      </w:r>
      <w:r w:rsidRPr="00587C50">
        <w:rPr>
          <w:b/>
          <w:bCs/>
          <w:sz w:val="32"/>
          <w:szCs w:val="32"/>
        </w:rPr>
        <w:t>Ú</w:t>
      </w:r>
      <w:r w:rsidRPr="00587C50">
        <w:rPr>
          <w:b/>
          <w:bCs/>
          <w:sz w:val="32"/>
          <w:szCs w:val="32"/>
          <w:lang w:val="de-DE"/>
        </w:rPr>
        <w:t>IRT UACHTARACH</w:t>
      </w:r>
    </w:p>
    <w:p w14:paraId="4A50EAF3" w14:textId="3059E729" w:rsidR="002E6E92" w:rsidRDefault="002E6E92" w:rsidP="00587C50">
      <w:pPr>
        <w:spacing w:line="360" w:lineRule="auto"/>
        <w:jc w:val="center"/>
        <w:rPr>
          <w:b/>
          <w:sz w:val="32"/>
          <w:szCs w:val="32"/>
        </w:rPr>
      </w:pPr>
      <w:r>
        <w:rPr>
          <w:b/>
          <w:sz w:val="32"/>
          <w:szCs w:val="32"/>
        </w:rPr>
        <w:t>THE SUPREME COURT</w:t>
      </w:r>
    </w:p>
    <w:p w14:paraId="1C9F359B" w14:textId="77777777" w:rsidR="00467410" w:rsidRDefault="00467410" w:rsidP="00587C50">
      <w:pPr>
        <w:spacing w:line="360" w:lineRule="auto"/>
        <w:ind w:left="720"/>
        <w:jc w:val="right"/>
        <w:rPr>
          <w:b/>
          <w:iCs/>
        </w:rPr>
      </w:pPr>
    </w:p>
    <w:p w14:paraId="5AB2C4C0" w14:textId="01B87FF5" w:rsidR="00467410" w:rsidRDefault="00467410" w:rsidP="00587C50">
      <w:pPr>
        <w:spacing w:line="360" w:lineRule="auto"/>
        <w:ind w:left="720"/>
        <w:jc w:val="right"/>
        <w:rPr>
          <w:b/>
          <w:iCs/>
        </w:rPr>
      </w:pPr>
      <w:r w:rsidRPr="00467410">
        <w:rPr>
          <w:b/>
          <w:iCs/>
        </w:rPr>
        <w:tab/>
        <w:t>S:AP:IE:2021:000067</w:t>
      </w:r>
    </w:p>
    <w:p w14:paraId="6C6A4E2D" w14:textId="22D82FE9" w:rsidR="003B57C3" w:rsidRPr="003B57C3" w:rsidRDefault="00467410" w:rsidP="00587C50">
      <w:pPr>
        <w:spacing w:line="360" w:lineRule="auto"/>
        <w:ind w:left="720"/>
        <w:jc w:val="right"/>
        <w:rPr>
          <w:b/>
          <w:iCs/>
        </w:rPr>
      </w:pPr>
      <w:r>
        <w:rPr>
          <w:b/>
          <w:iCs/>
        </w:rPr>
        <w:t xml:space="preserve">High Court </w:t>
      </w:r>
      <w:r w:rsidR="003B57C3" w:rsidRPr="003B57C3">
        <w:rPr>
          <w:b/>
          <w:iCs/>
        </w:rPr>
        <w:t>Record No. 2019/249 MCA</w:t>
      </w:r>
    </w:p>
    <w:p w14:paraId="2B72A3B3" w14:textId="3D5F3661" w:rsidR="003B57C3" w:rsidRDefault="00467410" w:rsidP="00587C50">
      <w:pPr>
        <w:spacing w:line="360" w:lineRule="auto"/>
        <w:ind w:left="720"/>
        <w:jc w:val="right"/>
        <w:rPr>
          <w:b/>
          <w:iCs/>
        </w:rPr>
      </w:pPr>
      <w:r>
        <w:rPr>
          <w:b/>
          <w:iCs/>
        </w:rPr>
        <w:t xml:space="preserve">High Court </w:t>
      </w:r>
      <w:r w:rsidR="003B57C3" w:rsidRPr="003B57C3">
        <w:rPr>
          <w:b/>
          <w:iCs/>
        </w:rPr>
        <w:t>Record No. 2019/250 MCA</w:t>
      </w:r>
    </w:p>
    <w:p w14:paraId="72C79B59" w14:textId="77777777" w:rsidR="00EE4098" w:rsidRDefault="00EE4098" w:rsidP="00E43117">
      <w:pPr>
        <w:spacing w:line="480" w:lineRule="auto"/>
        <w:jc w:val="center"/>
        <w:rPr>
          <w:b/>
        </w:rPr>
      </w:pPr>
    </w:p>
    <w:p w14:paraId="28D70B86" w14:textId="4110E164" w:rsidR="00331AF2" w:rsidRDefault="00331AF2" w:rsidP="00EE4098">
      <w:pPr>
        <w:rPr>
          <w:b/>
        </w:rPr>
      </w:pPr>
      <w:r>
        <w:rPr>
          <w:b/>
        </w:rPr>
        <w:t>O’Donnell</w:t>
      </w:r>
      <w:r w:rsidR="00D21A37">
        <w:rPr>
          <w:b/>
        </w:rPr>
        <w:t xml:space="preserve"> C.J.</w:t>
      </w:r>
    </w:p>
    <w:p w14:paraId="1A22BFB3" w14:textId="58B03F11" w:rsidR="00331AF2" w:rsidRDefault="00331AF2" w:rsidP="00EE4098">
      <w:pPr>
        <w:rPr>
          <w:b/>
        </w:rPr>
      </w:pPr>
      <w:proofErr w:type="spellStart"/>
      <w:r>
        <w:rPr>
          <w:b/>
        </w:rPr>
        <w:t>MacMenamin</w:t>
      </w:r>
      <w:proofErr w:type="spellEnd"/>
      <w:r w:rsidR="00D21A37">
        <w:rPr>
          <w:b/>
        </w:rPr>
        <w:t xml:space="preserve"> J.</w:t>
      </w:r>
    </w:p>
    <w:p w14:paraId="4193C158" w14:textId="73A4B20D" w:rsidR="00331AF2" w:rsidRDefault="00331AF2" w:rsidP="00EE4098">
      <w:pPr>
        <w:rPr>
          <w:b/>
        </w:rPr>
      </w:pPr>
      <w:r>
        <w:rPr>
          <w:b/>
        </w:rPr>
        <w:t>O’Malley</w:t>
      </w:r>
      <w:r w:rsidR="00D21A37">
        <w:rPr>
          <w:b/>
        </w:rPr>
        <w:t xml:space="preserve"> J.</w:t>
      </w:r>
    </w:p>
    <w:p w14:paraId="3B1F94B0" w14:textId="7DD2A9D1" w:rsidR="00331AF2" w:rsidRDefault="00331AF2" w:rsidP="00EE4098">
      <w:pPr>
        <w:rPr>
          <w:b/>
        </w:rPr>
      </w:pPr>
      <w:r>
        <w:rPr>
          <w:b/>
        </w:rPr>
        <w:t>Baker</w:t>
      </w:r>
      <w:r w:rsidR="00D21A37">
        <w:rPr>
          <w:b/>
        </w:rPr>
        <w:t xml:space="preserve"> J.</w:t>
      </w:r>
    </w:p>
    <w:p w14:paraId="099174D3" w14:textId="17E68BA2" w:rsidR="00331AF2" w:rsidRDefault="00331AF2" w:rsidP="00EE4098">
      <w:pPr>
        <w:rPr>
          <w:b/>
        </w:rPr>
      </w:pPr>
      <w:r>
        <w:rPr>
          <w:b/>
        </w:rPr>
        <w:t xml:space="preserve">Hogan </w:t>
      </w:r>
      <w:r w:rsidR="00D21A37">
        <w:rPr>
          <w:b/>
        </w:rPr>
        <w:t xml:space="preserve">J. </w:t>
      </w:r>
    </w:p>
    <w:p w14:paraId="7EF64FC1" w14:textId="77777777" w:rsidR="00331AF2" w:rsidRDefault="00331AF2" w:rsidP="00EE4098">
      <w:pPr>
        <w:rPr>
          <w:b/>
        </w:rPr>
      </w:pPr>
    </w:p>
    <w:p w14:paraId="6E9F93C6" w14:textId="795517BD" w:rsidR="00EE4098" w:rsidRDefault="00EE4098" w:rsidP="006B7C6F">
      <w:pPr>
        <w:jc w:val="center"/>
        <w:rPr>
          <w:b/>
        </w:rPr>
      </w:pPr>
      <w:r>
        <w:rPr>
          <w:b/>
        </w:rPr>
        <w:t>IN THE MATTER OF THE EUROPEAN COMMUNITIES (ACCESS TO INFORMATION ON THE ENVIRONMENT) REGULATIONS 2007-2018</w:t>
      </w:r>
    </w:p>
    <w:p w14:paraId="7AF5093D" w14:textId="77777777" w:rsidR="00EE4098" w:rsidRDefault="00EE4098" w:rsidP="00EE4098">
      <w:pPr>
        <w:spacing w:line="480" w:lineRule="auto"/>
        <w:rPr>
          <w:b/>
        </w:rPr>
      </w:pPr>
    </w:p>
    <w:p w14:paraId="7B57DBF4" w14:textId="4F8D18D2" w:rsidR="00EE4207" w:rsidRDefault="00EE4098" w:rsidP="00EE4098">
      <w:pPr>
        <w:spacing w:line="480" w:lineRule="auto"/>
        <w:rPr>
          <w:b/>
        </w:rPr>
      </w:pPr>
      <w:r>
        <w:rPr>
          <w:b/>
        </w:rPr>
        <w:t>BETWEEN/</w:t>
      </w:r>
    </w:p>
    <w:p w14:paraId="6372F2F2" w14:textId="69931051" w:rsidR="00E43117" w:rsidRDefault="00A510C4" w:rsidP="001A03B8">
      <w:pPr>
        <w:spacing w:line="480" w:lineRule="auto"/>
        <w:ind w:left="2160" w:firstLine="720"/>
        <w:rPr>
          <w:b/>
        </w:rPr>
      </w:pPr>
      <w:r>
        <w:rPr>
          <w:b/>
        </w:rPr>
        <w:t>RIGHT TO KNOW CLG</w:t>
      </w:r>
    </w:p>
    <w:p w14:paraId="4BDF1A43" w14:textId="77777777" w:rsidR="00EE4098" w:rsidRDefault="00EE4098" w:rsidP="00EE4098">
      <w:pPr>
        <w:spacing w:line="480" w:lineRule="auto"/>
        <w:jc w:val="right"/>
        <w:rPr>
          <w:b/>
        </w:rPr>
      </w:pPr>
      <w:r>
        <w:rPr>
          <w:b/>
        </w:rPr>
        <w:t>Appellant/Respondent</w:t>
      </w:r>
    </w:p>
    <w:p w14:paraId="48FF48D7" w14:textId="77777777" w:rsidR="00FB3F76" w:rsidRDefault="00FB3F76" w:rsidP="00521439">
      <w:pPr>
        <w:spacing w:line="480" w:lineRule="auto"/>
        <w:jc w:val="center"/>
        <w:rPr>
          <w:b/>
        </w:rPr>
      </w:pPr>
      <w:r w:rsidRPr="00FB3F76">
        <w:rPr>
          <w:b/>
        </w:rPr>
        <w:t>- AND –</w:t>
      </w:r>
    </w:p>
    <w:p w14:paraId="049A4B68" w14:textId="210049A9" w:rsidR="003D05F9" w:rsidRDefault="00EE4098" w:rsidP="00521439">
      <w:pPr>
        <w:spacing w:line="480" w:lineRule="auto"/>
        <w:jc w:val="center"/>
        <w:rPr>
          <w:b/>
        </w:rPr>
      </w:pPr>
      <w:r>
        <w:rPr>
          <w:b/>
        </w:rPr>
        <w:t>C</w:t>
      </w:r>
      <w:r w:rsidR="0069376F">
        <w:rPr>
          <w:b/>
        </w:rPr>
        <w:t>OMMISSIONER FOR ENVIRONM</w:t>
      </w:r>
      <w:r w:rsidR="00AA5267">
        <w:rPr>
          <w:b/>
        </w:rPr>
        <w:t>EN</w:t>
      </w:r>
      <w:r w:rsidR="0069376F">
        <w:rPr>
          <w:b/>
        </w:rPr>
        <w:t xml:space="preserve">TAL INFORMATION </w:t>
      </w:r>
    </w:p>
    <w:p w14:paraId="2E4B8C74" w14:textId="77777777" w:rsidR="00EE4098" w:rsidRDefault="00EE4098" w:rsidP="00EE4098">
      <w:pPr>
        <w:spacing w:line="480" w:lineRule="auto"/>
        <w:jc w:val="right"/>
        <w:rPr>
          <w:b/>
        </w:rPr>
      </w:pPr>
      <w:r>
        <w:rPr>
          <w:b/>
        </w:rPr>
        <w:t>Respondent/Respondent</w:t>
      </w:r>
    </w:p>
    <w:p w14:paraId="23581669" w14:textId="77777777" w:rsidR="00EE4098" w:rsidRDefault="00EE4098" w:rsidP="00EE4098">
      <w:pPr>
        <w:spacing w:line="480" w:lineRule="auto"/>
        <w:jc w:val="center"/>
        <w:rPr>
          <w:b/>
        </w:rPr>
      </w:pPr>
      <w:r w:rsidRPr="00FB3F76">
        <w:rPr>
          <w:b/>
        </w:rPr>
        <w:t>- AND –</w:t>
      </w:r>
    </w:p>
    <w:p w14:paraId="5F32003E" w14:textId="10AFC02A" w:rsidR="00EE4098" w:rsidRDefault="0069376F">
      <w:pPr>
        <w:spacing w:line="480" w:lineRule="auto"/>
        <w:jc w:val="center"/>
        <w:rPr>
          <w:b/>
        </w:rPr>
      </w:pPr>
      <w:r>
        <w:rPr>
          <w:b/>
        </w:rPr>
        <w:t>MINISTER FOR COMMUNICATIONS, CLIMATE ACTION AND THE ENVIRONMENT, IRELAND AND THE ATTORNEY GENERAL</w:t>
      </w:r>
      <w:r w:rsidR="00EE4098">
        <w:rPr>
          <w:b/>
        </w:rPr>
        <w:t xml:space="preserve"> </w:t>
      </w:r>
    </w:p>
    <w:p w14:paraId="1C40373F" w14:textId="77777777" w:rsidR="00EE4098" w:rsidRDefault="00EE4098" w:rsidP="00EE4098">
      <w:pPr>
        <w:spacing w:line="480" w:lineRule="auto"/>
        <w:jc w:val="right"/>
        <w:rPr>
          <w:b/>
        </w:rPr>
      </w:pPr>
      <w:r>
        <w:rPr>
          <w:b/>
        </w:rPr>
        <w:t>Respondents/Appellants</w:t>
      </w:r>
    </w:p>
    <w:p w14:paraId="669434DD" w14:textId="77777777" w:rsidR="00EE4098" w:rsidRPr="00EE4098" w:rsidRDefault="00EE4098" w:rsidP="00EE4098">
      <w:pPr>
        <w:spacing w:line="480" w:lineRule="auto"/>
        <w:jc w:val="center"/>
        <w:rPr>
          <w:b/>
        </w:rPr>
      </w:pPr>
      <w:r w:rsidRPr="00EE4098">
        <w:rPr>
          <w:b/>
        </w:rPr>
        <w:t>- AND –</w:t>
      </w:r>
    </w:p>
    <w:p w14:paraId="5EBCFF57" w14:textId="416BB5F8" w:rsidR="00EE4098" w:rsidRDefault="0069376F" w:rsidP="00EE4098">
      <w:pPr>
        <w:spacing w:line="480" w:lineRule="auto"/>
        <w:jc w:val="center"/>
        <w:rPr>
          <w:b/>
        </w:rPr>
      </w:pPr>
      <w:r>
        <w:rPr>
          <w:b/>
        </w:rPr>
        <w:t xml:space="preserve">OFFICE OF THE SECRETARY GENERAL TO THE PRESIDENT (OSGP) </w:t>
      </w:r>
    </w:p>
    <w:p w14:paraId="3C50B38B" w14:textId="2B5B5D35" w:rsidR="00085228" w:rsidRDefault="00EE4098" w:rsidP="00552B09">
      <w:pPr>
        <w:spacing w:line="480" w:lineRule="auto"/>
        <w:jc w:val="right"/>
        <w:rPr>
          <w:b/>
        </w:rPr>
      </w:pPr>
      <w:r>
        <w:rPr>
          <w:b/>
        </w:rPr>
        <w:t>Notice Party</w:t>
      </w:r>
    </w:p>
    <w:p w14:paraId="03F237C0" w14:textId="6C697E25" w:rsidR="00C01CB1" w:rsidRDefault="0069376F" w:rsidP="00166BA5">
      <w:pPr>
        <w:spacing w:line="480" w:lineRule="auto"/>
        <w:rPr>
          <w:b/>
          <w:u w:val="single"/>
        </w:rPr>
      </w:pPr>
      <w:r w:rsidRPr="00403DBA">
        <w:rPr>
          <w:b/>
          <w:u w:val="single"/>
        </w:rPr>
        <w:lastRenderedPageBreak/>
        <w:t>J</w:t>
      </w:r>
      <w:r>
        <w:rPr>
          <w:b/>
          <w:u w:val="single"/>
        </w:rPr>
        <w:t xml:space="preserve">UDGMENT </w:t>
      </w:r>
      <w:r w:rsidR="00403DBA" w:rsidRPr="00403DBA">
        <w:rPr>
          <w:b/>
          <w:u w:val="single"/>
        </w:rPr>
        <w:t>of M</w:t>
      </w:r>
      <w:r w:rsidR="00403DBA">
        <w:rPr>
          <w:b/>
          <w:u w:val="single"/>
        </w:rPr>
        <w:t>s</w:t>
      </w:r>
      <w:r w:rsidR="00403DBA" w:rsidRPr="00403DBA">
        <w:rPr>
          <w:b/>
          <w:u w:val="single"/>
        </w:rPr>
        <w:t xml:space="preserve">. Justice </w:t>
      </w:r>
      <w:r w:rsidR="00403DBA">
        <w:rPr>
          <w:b/>
          <w:u w:val="single"/>
        </w:rPr>
        <w:t>Baker</w:t>
      </w:r>
      <w:r>
        <w:rPr>
          <w:b/>
          <w:u w:val="single"/>
        </w:rPr>
        <w:t xml:space="preserve"> </w:t>
      </w:r>
      <w:r w:rsidR="00403DBA" w:rsidRPr="00403DBA">
        <w:rPr>
          <w:b/>
          <w:u w:val="single"/>
        </w:rPr>
        <w:t xml:space="preserve">delivered on the </w:t>
      </w:r>
      <w:r w:rsidR="00203903">
        <w:rPr>
          <w:b/>
          <w:u w:val="single"/>
        </w:rPr>
        <w:t>29</w:t>
      </w:r>
      <w:r w:rsidR="00203903" w:rsidRPr="00D22D94">
        <w:rPr>
          <w:b/>
          <w:u w:val="single"/>
          <w:vertAlign w:val="superscript"/>
        </w:rPr>
        <w:t>th</w:t>
      </w:r>
      <w:r w:rsidR="00203903">
        <w:rPr>
          <w:b/>
          <w:u w:val="single"/>
        </w:rPr>
        <w:t xml:space="preserve"> </w:t>
      </w:r>
      <w:r>
        <w:rPr>
          <w:b/>
          <w:u w:val="single"/>
        </w:rPr>
        <w:t>day</w:t>
      </w:r>
      <w:r w:rsidR="00403DBA" w:rsidRPr="00403DBA">
        <w:rPr>
          <w:b/>
          <w:u w:val="single"/>
        </w:rPr>
        <w:t xml:space="preserve"> of</w:t>
      </w:r>
      <w:r>
        <w:rPr>
          <w:b/>
          <w:u w:val="single"/>
        </w:rPr>
        <w:t xml:space="preserve"> </w:t>
      </w:r>
      <w:r w:rsidR="00A510C4">
        <w:rPr>
          <w:b/>
          <w:u w:val="single"/>
        </w:rPr>
        <w:t>April</w:t>
      </w:r>
      <w:r w:rsidR="00403DBA" w:rsidRPr="00403DBA">
        <w:rPr>
          <w:b/>
          <w:u w:val="single"/>
        </w:rPr>
        <w:t xml:space="preserve"> 2022 </w:t>
      </w:r>
    </w:p>
    <w:p w14:paraId="74F89A74" w14:textId="7D778095" w:rsidR="003B57C3" w:rsidRDefault="003B57C3" w:rsidP="00166BA5">
      <w:pPr>
        <w:spacing w:line="480" w:lineRule="auto"/>
        <w:rPr>
          <w:b/>
          <w:u w:val="single"/>
        </w:rPr>
      </w:pPr>
      <w:r w:rsidRPr="003B57C3">
        <w:rPr>
          <w:b/>
          <w:u w:val="single"/>
        </w:rPr>
        <w:t>Introduction</w:t>
      </w:r>
    </w:p>
    <w:p w14:paraId="64E94FDC" w14:textId="0EEB5E1B" w:rsidR="001953C6" w:rsidRDefault="00936605" w:rsidP="009B1377">
      <w:pPr>
        <w:numPr>
          <w:ilvl w:val="0"/>
          <w:numId w:val="1"/>
        </w:numPr>
        <w:spacing w:line="480" w:lineRule="auto"/>
        <w:ind w:left="0" w:firstLine="0"/>
        <w:jc w:val="both"/>
      </w:pPr>
      <w:r>
        <w:t>At first glance it may seem strange that there is little or no judicial authority concerning the role of the President of Ireland or the place of the President in the constitutional order</w:t>
      </w:r>
      <w:r w:rsidR="00A510C4">
        <w:t>.  There is also little case law on whe</w:t>
      </w:r>
      <w:r>
        <w:t xml:space="preserve">ther </w:t>
      </w:r>
      <w:r w:rsidR="001F0361">
        <w:t xml:space="preserve">the </w:t>
      </w:r>
      <w:r w:rsidR="001D1B1C">
        <w:t>P</w:t>
      </w:r>
      <w:r w:rsidR="001F0361">
        <w:t xml:space="preserve">resident is subject to </w:t>
      </w:r>
      <w:r>
        <w:t xml:space="preserve">legal constraints capable of being enforced </w:t>
      </w:r>
      <w:r w:rsidR="00196637">
        <w:t>in appropriate legal proceedings</w:t>
      </w:r>
      <w:r>
        <w:t xml:space="preserve">. </w:t>
      </w:r>
    </w:p>
    <w:p w14:paraId="4B286242" w14:textId="35AFBCC7" w:rsidR="00991153" w:rsidRDefault="00991153" w:rsidP="003312A7">
      <w:pPr>
        <w:numPr>
          <w:ilvl w:val="0"/>
          <w:numId w:val="1"/>
        </w:numPr>
        <w:spacing w:line="480" w:lineRule="auto"/>
        <w:ind w:left="0" w:firstLine="0"/>
        <w:jc w:val="both"/>
      </w:pPr>
      <w:r>
        <w:t>As will appear in the course of this judgment, the dearth of authority must be seen as a direct consequence of th</w:t>
      </w:r>
      <w:r w:rsidR="00491B2B">
        <w:t>e</w:t>
      </w:r>
      <w:r>
        <w:t xml:space="preserve"> broad and far-reaching immunity enjoyed by the President in the exercise of his or her constitutional roles. This judgment contains an analysis of the power of the President and concludes that the immunity from suit ha</w:t>
      </w:r>
      <w:r w:rsidR="00196637">
        <w:t>s</w:t>
      </w:r>
      <w:r>
        <w:t xml:space="preserve"> the effect of precluding the High Court action from which the present appeal arises.</w:t>
      </w:r>
    </w:p>
    <w:p w14:paraId="65A997A4" w14:textId="41819689" w:rsidR="001953C6" w:rsidRPr="00EE1585" w:rsidRDefault="001953C6" w:rsidP="001953C6">
      <w:pPr>
        <w:numPr>
          <w:ilvl w:val="0"/>
          <w:numId w:val="1"/>
        </w:numPr>
        <w:spacing w:line="480" w:lineRule="auto"/>
        <w:ind w:left="0" w:firstLine="0"/>
        <w:jc w:val="both"/>
        <w:rPr>
          <w:bCs/>
          <w:i/>
        </w:rPr>
      </w:pPr>
      <w:r w:rsidRPr="00BA3F7F">
        <w:rPr>
          <w:bCs/>
          <w:iCs/>
        </w:rPr>
        <w:t>Article 13.8.1</w:t>
      </w:r>
      <w:r w:rsidRPr="00BA3F7F">
        <w:rPr>
          <w:rFonts w:ascii="Arial" w:hAnsi="Arial" w:cs="Arial"/>
          <w:color w:val="666666"/>
          <w:sz w:val="21"/>
          <w:szCs w:val="21"/>
          <w:shd w:val="clear" w:color="auto" w:fill="FFFFFF"/>
        </w:rPr>
        <w:t>°</w:t>
      </w:r>
      <w:r w:rsidRPr="00386140">
        <w:rPr>
          <w:bCs/>
          <w:iCs/>
        </w:rPr>
        <w:t xml:space="preserve"> </w:t>
      </w:r>
      <w:r w:rsidRPr="00CE43D4">
        <w:rPr>
          <w:bCs/>
          <w:iCs/>
        </w:rPr>
        <w:t xml:space="preserve">of the Constitution provides for presidential immunity </w:t>
      </w:r>
      <w:r w:rsidR="00C01CB1">
        <w:rPr>
          <w:bCs/>
          <w:iCs/>
        </w:rPr>
        <w:t>in t</w:t>
      </w:r>
      <w:r w:rsidR="00403DBA">
        <w:rPr>
          <w:bCs/>
          <w:iCs/>
        </w:rPr>
        <w:t xml:space="preserve">he performance </w:t>
      </w:r>
      <w:r w:rsidR="00C01CB1">
        <w:rPr>
          <w:bCs/>
          <w:iCs/>
        </w:rPr>
        <w:t xml:space="preserve">by the President </w:t>
      </w:r>
      <w:r w:rsidR="00403DBA">
        <w:rPr>
          <w:bCs/>
          <w:iCs/>
        </w:rPr>
        <w:t xml:space="preserve">of the powers vested by the </w:t>
      </w:r>
      <w:r w:rsidR="00C01CB1">
        <w:rPr>
          <w:bCs/>
          <w:iCs/>
        </w:rPr>
        <w:t>C</w:t>
      </w:r>
      <w:r w:rsidR="00403DBA">
        <w:rPr>
          <w:bCs/>
          <w:iCs/>
        </w:rPr>
        <w:t>onstitution</w:t>
      </w:r>
      <w:r w:rsidR="00103646">
        <w:rPr>
          <w:bCs/>
          <w:iCs/>
        </w:rPr>
        <w:t>:</w:t>
      </w:r>
      <w:r w:rsidRPr="00EE1585">
        <w:rPr>
          <w:bCs/>
          <w:iCs/>
        </w:rPr>
        <w:t xml:space="preserve"> </w:t>
      </w:r>
    </w:p>
    <w:p w14:paraId="362B5DEC" w14:textId="77777777" w:rsidR="001953C6" w:rsidRDefault="001953C6" w:rsidP="001953C6">
      <w:pPr>
        <w:spacing w:line="480" w:lineRule="auto"/>
        <w:ind w:left="720"/>
        <w:jc w:val="both"/>
        <w:rPr>
          <w:bCs/>
        </w:rPr>
      </w:pPr>
      <w:r w:rsidRPr="00461ACB">
        <w:rPr>
          <w:bCs/>
        </w:rPr>
        <w:t>“</w:t>
      </w:r>
      <w:r w:rsidRPr="00346A18">
        <w:rPr>
          <w:bCs/>
        </w:rPr>
        <w:t>The President shall not be answerable to either House of the Oireachtas or to any court for the exercise and performance of the powers and functions of his office or for any act done or purporting to be done by him in the exercise and performance of these powers and functions.</w:t>
      </w:r>
      <w:r>
        <w:rPr>
          <w:bCs/>
        </w:rPr>
        <w:t>”</w:t>
      </w:r>
    </w:p>
    <w:p w14:paraId="38BEFD6D" w14:textId="6C39E15E" w:rsidR="001953C6" w:rsidRPr="00D50D51" w:rsidRDefault="001953C6" w:rsidP="001953C6">
      <w:pPr>
        <w:numPr>
          <w:ilvl w:val="0"/>
          <w:numId w:val="1"/>
        </w:numPr>
        <w:spacing w:line="480" w:lineRule="auto"/>
        <w:ind w:left="0" w:firstLine="0"/>
        <w:jc w:val="both"/>
        <w:rPr>
          <w:i/>
        </w:rPr>
      </w:pPr>
      <w:r>
        <w:t xml:space="preserve">In </w:t>
      </w:r>
      <w:r w:rsidRPr="00D50D51">
        <w:rPr>
          <w:i/>
        </w:rPr>
        <w:t>The State (Walsh</w:t>
      </w:r>
      <w:r>
        <w:rPr>
          <w:i/>
        </w:rPr>
        <w:t>e</w:t>
      </w:r>
      <w:r w:rsidRPr="00D50D51">
        <w:rPr>
          <w:i/>
        </w:rPr>
        <w:t>) v</w:t>
      </w:r>
      <w:r w:rsidR="00991153">
        <w:rPr>
          <w:i/>
        </w:rPr>
        <w:t>.</w:t>
      </w:r>
      <w:r w:rsidRPr="00D50D51">
        <w:rPr>
          <w:i/>
        </w:rPr>
        <w:t xml:space="preserve"> Murphy</w:t>
      </w:r>
      <w:r w:rsidR="00991153">
        <w:rPr>
          <w:i/>
        </w:rPr>
        <w:t xml:space="preserve"> </w:t>
      </w:r>
      <w:r w:rsidR="00991153">
        <w:rPr>
          <w:iCs/>
        </w:rPr>
        <w:t>[1981] I</w:t>
      </w:r>
      <w:r w:rsidR="00103646">
        <w:rPr>
          <w:iCs/>
        </w:rPr>
        <w:t>.</w:t>
      </w:r>
      <w:r w:rsidR="00991153">
        <w:rPr>
          <w:iCs/>
        </w:rPr>
        <w:t>R</w:t>
      </w:r>
      <w:r w:rsidR="00103646">
        <w:rPr>
          <w:iCs/>
        </w:rPr>
        <w:t>.</w:t>
      </w:r>
      <w:r w:rsidR="00991153">
        <w:rPr>
          <w:iCs/>
        </w:rPr>
        <w:t xml:space="preserve"> 275</w:t>
      </w:r>
      <w:r>
        <w:t xml:space="preserve"> Finlay P. for the Divisional High Court</w:t>
      </w:r>
      <w:r w:rsidR="00991153">
        <w:t xml:space="preserve"> (Finlay P., Gannon and Hamilton JJ.</w:t>
      </w:r>
      <w:r w:rsidR="00103646">
        <w:t>)</w:t>
      </w:r>
      <w:r>
        <w:t xml:space="preserve"> said as follows:</w:t>
      </w:r>
    </w:p>
    <w:p w14:paraId="120D1E82" w14:textId="2C97C997" w:rsidR="001953C6" w:rsidRPr="00D50D51" w:rsidRDefault="001953C6" w:rsidP="001953C6">
      <w:pPr>
        <w:spacing w:line="480" w:lineRule="auto"/>
        <w:ind w:left="720"/>
        <w:jc w:val="both"/>
        <w:rPr>
          <w:i/>
        </w:rPr>
      </w:pPr>
      <w:r>
        <w:t>“… the terms of Article 13 s.8 s</w:t>
      </w:r>
      <w:r w:rsidR="00366AC9">
        <w:t>ub-</w:t>
      </w:r>
      <w:r>
        <w:t>s. 1</w:t>
      </w:r>
      <w:r w:rsidR="00366AC9">
        <w:t>,</w:t>
      </w:r>
      <w:r>
        <w:t xml:space="preserve"> cover not only the performance by the President of the powers and functions of his office and any act done by him in the exercise and performance of those powers but they also cover any act</w:t>
      </w:r>
      <w:r w:rsidR="00366AC9">
        <w:t xml:space="preserve"> “p</w:t>
      </w:r>
      <w:r>
        <w:t>urporting to be done by him</w:t>
      </w:r>
      <w:r w:rsidR="00366AC9">
        <w:t>”</w:t>
      </w:r>
      <w:r>
        <w:t xml:space="preserve"> in the exercise and performance of those powers and functions”</w:t>
      </w:r>
      <w:r w:rsidR="00366AC9">
        <w:t>.</w:t>
      </w:r>
      <w:r w:rsidR="00991153">
        <w:t xml:space="preserve"> (at p. 282)</w:t>
      </w:r>
    </w:p>
    <w:p w14:paraId="0746FB92" w14:textId="561D611F" w:rsidR="00EB778B" w:rsidRDefault="00936605" w:rsidP="009B1377">
      <w:pPr>
        <w:numPr>
          <w:ilvl w:val="0"/>
          <w:numId w:val="1"/>
        </w:numPr>
        <w:spacing w:line="480" w:lineRule="auto"/>
        <w:ind w:left="0" w:firstLine="0"/>
        <w:jc w:val="both"/>
      </w:pPr>
      <w:r>
        <w:lastRenderedPageBreak/>
        <w:t>Central to these appeals is the nature of th</w:t>
      </w:r>
      <w:r w:rsidR="001953C6">
        <w:t>e constitutional</w:t>
      </w:r>
      <w:r>
        <w:t xml:space="preserve"> immunity, although as may be noted from the title to the proceedings</w:t>
      </w:r>
      <w:r w:rsidR="00ED3077">
        <w:t xml:space="preserve">, and as I will </w:t>
      </w:r>
      <w:r w:rsidR="003D6491">
        <w:t xml:space="preserve">later </w:t>
      </w:r>
      <w:r w:rsidR="00ED3077">
        <w:t>consider in detail,</w:t>
      </w:r>
      <w:r>
        <w:t xml:space="preserve"> the President is not expressly named as a respondent.</w:t>
      </w:r>
    </w:p>
    <w:p w14:paraId="6CBC365E" w14:textId="6E6813E1" w:rsidR="00EE4098" w:rsidRDefault="00EE4098" w:rsidP="009B1377">
      <w:pPr>
        <w:numPr>
          <w:ilvl w:val="0"/>
          <w:numId w:val="1"/>
        </w:numPr>
        <w:spacing w:line="480" w:lineRule="auto"/>
        <w:ind w:left="0" w:firstLine="0"/>
        <w:jc w:val="both"/>
      </w:pPr>
      <w:r>
        <w:t>Th</w:t>
      </w:r>
      <w:r w:rsidR="00E936A6">
        <w:t>e</w:t>
      </w:r>
      <w:r>
        <w:t xml:space="preserve"> </w:t>
      </w:r>
      <w:r w:rsidR="00636D1F">
        <w:t>appeal</w:t>
      </w:r>
      <w:r w:rsidR="00AE1D52">
        <w:t>s</w:t>
      </w:r>
      <w:r w:rsidR="00636D1F">
        <w:t xml:space="preserve"> concern</w:t>
      </w:r>
      <w:r w:rsidR="00B805AC">
        <w:t xml:space="preserve"> </w:t>
      </w:r>
      <w:r w:rsidR="00E936A6">
        <w:t>a request for information held by the President</w:t>
      </w:r>
      <w:r w:rsidR="00936605">
        <w:t xml:space="preserve"> and </w:t>
      </w:r>
      <w:r w:rsidR="00E936A6">
        <w:t>his offices and by the Council of State</w:t>
      </w:r>
      <w:r w:rsidR="00094481">
        <w:t>. T</w:t>
      </w:r>
      <w:r w:rsidR="00636D1F">
        <w:t xml:space="preserve">he </w:t>
      </w:r>
      <w:r w:rsidR="00936605">
        <w:t>legal status</w:t>
      </w:r>
      <w:r w:rsidR="00B805AC">
        <w:t xml:space="preserve"> of the entity described in the title to the proceedings as the “</w:t>
      </w:r>
      <w:r w:rsidR="00636D1F">
        <w:t>Office of the Secretary General to the President</w:t>
      </w:r>
      <w:r w:rsidR="00366AC9">
        <w:t xml:space="preserve">” </w:t>
      </w:r>
      <w:r w:rsidR="00A4563C">
        <w:t>(</w:t>
      </w:r>
      <w:r w:rsidR="00E936A6">
        <w:t>“</w:t>
      </w:r>
      <w:r w:rsidR="00A4563C">
        <w:t>OSGP</w:t>
      </w:r>
      <w:r w:rsidR="00E936A6">
        <w:t>”</w:t>
      </w:r>
      <w:r w:rsidR="00A4563C">
        <w:t>)</w:t>
      </w:r>
      <w:r w:rsidR="00094481">
        <w:t xml:space="preserve"> also arises</w:t>
      </w:r>
      <w:r w:rsidR="00636D1F">
        <w:t>, and in the second appeal</w:t>
      </w:r>
      <w:r w:rsidR="00755E7B">
        <w:t>,</w:t>
      </w:r>
      <w:r w:rsidR="00636D1F">
        <w:t xml:space="preserve"> </w:t>
      </w:r>
      <w:r w:rsidR="00B805AC">
        <w:t>the</w:t>
      </w:r>
      <w:r w:rsidR="009276D5">
        <w:t xml:space="preserve"> legal status and the</w:t>
      </w:r>
      <w:r w:rsidR="00B805AC">
        <w:t xml:space="preserve"> role and place in the constitutional order of </w:t>
      </w:r>
      <w:r w:rsidR="00636D1F">
        <w:t>the Council of State.</w:t>
      </w:r>
      <w:r w:rsidR="00ED3077">
        <w:t xml:space="preserve">  </w:t>
      </w:r>
      <w:r w:rsidR="00094481">
        <w:t xml:space="preserve">The </w:t>
      </w:r>
      <w:r w:rsidR="00ED3077">
        <w:t xml:space="preserve">argument that EU law requires a relaxation of the immunity from suit enjoyed by the President for the purpose of the enforcement of EU </w:t>
      </w:r>
      <w:r w:rsidR="001D1B1C">
        <w:t xml:space="preserve">rights to </w:t>
      </w:r>
      <w:r w:rsidR="009276D5">
        <w:t>access to environmental information</w:t>
      </w:r>
      <w:r w:rsidR="00094481">
        <w:t xml:space="preserve"> is also considered.</w:t>
      </w:r>
    </w:p>
    <w:p w14:paraId="1B063AE1" w14:textId="7C2F7C9E" w:rsidR="00B805AC" w:rsidRDefault="00755E7B" w:rsidP="00936605">
      <w:pPr>
        <w:numPr>
          <w:ilvl w:val="0"/>
          <w:numId w:val="1"/>
        </w:numPr>
        <w:spacing w:line="480" w:lineRule="auto"/>
        <w:ind w:left="0" w:firstLine="0"/>
        <w:jc w:val="both"/>
      </w:pPr>
      <w:r>
        <w:t>The appeal</w:t>
      </w:r>
      <w:r w:rsidR="00936605">
        <w:t>s</w:t>
      </w:r>
      <w:r>
        <w:t xml:space="preserve"> </w:t>
      </w:r>
      <w:r w:rsidR="00936605">
        <w:t>are</w:t>
      </w:r>
      <w:r>
        <w:t xml:space="preserve"> from </w:t>
      </w:r>
      <w:r w:rsidR="00B805AC">
        <w:t>the</w:t>
      </w:r>
      <w:r>
        <w:t xml:space="preserve"> </w:t>
      </w:r>
      <w:r w:rsidR="00E57FB0">
        <w:t xml:space="preserve">High Court judgment </w:t>
      </w:r>
      <w:r>
        <w:t xml:space="preserve">on a </w:t>
      </w:r>
      <w:r w:rsidR="009F7EED">
        <w:t>statutory appeal from</w:t>
      </w:r>
      <w:r w:rsidR="00B805AC">
        <w:t xml:space="preserve"> the</w:t>
      </w:r>
      <w:r w:rsidR="009F7EED">
        <w:t xml:space="preserve"> </w:t>
      </w:r>
      <w:r w:rsidR="001953C6">
        <w:t xml:space="preserve">refusal </w:t>
      </w:r>
      <w:r w:rsidR="009F7EED">
        <w:t xml:space="preserve">of the Commissioner for Environmental Information (“the Commissioner”) </w:t>
      </w:r>
      <w:r w:rsidR="001953C6">
        <w:t xml:space="preserve">of </w:t>
      </w:r>
      <w:r w:rsidRPr="00B805AC">
        <w:t>requests</w:t>
      </w:r>
      <w:r>
        <w:t xml:space="preserve"> </w:t>
      </w:r>
      <w:r w:rsidR="00B805AC">
        <w:t xml:space="preserve">made by </w:t>
      </w:r>
      <w:r w:rsidR="000A36DD">
        <w:t xml:space="preserve">Right to Know </w:t>
      </w:r>
      <w:r w:rsidR="00B805AC">
        <w:t>CLG</w:t>
      </w:r>
      <w:r w:rsidR="000A36DD">
        <w:t xml:space="preserve"> </w:t>
      </w:r>
      <w:r>
        <w:t xml:space="preserve">for information and documents </w:t>
      </w:r>
      <w:r w:rsidR="00F810DA">
        <w:t xml:space="preserve">under </w:t>
      </w:r>
      <w:r w:rsidR="00936605">
        <w:t xml:space="preserve">the </w:t>
      </w:r>
      <w:r w:rsidR="00F810DA">
        <w:t>European Communities (Access to Information on the Environment) Regulations 2007</w:t>
      </w:r>
      <w:r w:rsidR="00C207FF">
        <w:t>-2014</w:t>
      </w:r>
      <w:r w:rsidR="0010322A">
        <w:t xml:space="preserve">. </w:t>
      </w:r>
    </w:p>
    <w:p w14:paraId="7C4127A8" w14:textId="1C0E8E7B" w:rsidR="00F810DA" w:rsidRDefault="0010322A" w:rsidP="009B1377">
      <w:pPr>
        <w:numPr>
          <w:ilvl w:val="0"/>
          <w:numId w:val="1"/>
        </w:numPr>
        <w:spacing w:line="480" w:lineRule="auto"/>
        <w:ind w:left="0" w:firstLine="0"/>
        <w:jc w:val="both"/>
      </w:pPr>
      <w:r>
        <w:t xml:space="preserve">For ease, these Regulations will be referred to as the “AIE Regulations” </w:t>
      </w:r>
      <w:r w:rsidR="00826502">
        <w:t>bu</w:t>
      </w:r>
      <w:r w:rsidR="00094481">
        <w:t>t,</w:t>
      </w:r>
      <w:r w:rsidR="00B805AC">
        <w:t xml:space="preserve"> for reasons that will become apparent,</w:t>
      </w:r>
      <w:r w:rsidR="00826502">
        <w:t xml:space="preserve"> </w:t>
      </w:r>
      <w:r w:rsidR="005738CB">
        <w:t xml:space="preserve">I propose </w:t>
      </w:r>
      <w:r w:rsidR="00826502">
        <w:t>s</w:t>
      </w:r>
      <w:r w:rsidR="005738CB">
        <w:t>eparately</w:t>
      </w:r>
      <w:r w:rsidR="00A8550F">
        <w:t xml:space="preserve"> to</w:t>
      </w:r>
      <w:r w:rsidR="00826502">
        <w:t xml:space="preserve"> </w:t>
      </w:r>
      <w:r>
        <w:t xml:space="preserve">refer to the amendments made by </w:t>
      </w:r>
      <w:r w:rsidRPr="0010322A">
        <w:t xml:space="preserve">European Communities (Access to Information on the Environment) (Amendment) Regulations 2018 (S.I. </w:t>
      </w:r>
      <w:r w:rsidR="00366AC9">
        <w:t xml:space="preserve">No. </w:t>
      </w:r>
      <w:r w:rsidRPr="0010322A">
        <w:t>309 of 2018)</w:t>
      </w:r>
      <w:r>
        <w:t xml:space="preserve"> which will be </w:t>
      </w:r>
      <w:r w:rsidR="00826502">
        <w:t xml:space="preserve">called </w:t>
      </w:r>
      <w:r>
        <w:t>“</w:t>
      </w:r>
      <w:r w:rsidR="00E17C48">
        <w:t xml:space="preserve">the </w:t>
      </w:r>
      <w:r>
        <w:t>Regulations of 2018”.</w:t>
      </w:r>
    </w:p>
    <w:p w14:paraId="01C72D5D" w14:textId="6C170DC1" w:rsidR="00857E64" w:rsidRDefault="00857E64" w:rsidP="009B1377">
      <w:pPr>
        <w:numPr>
          <w:ilvl w:val="0"/>
          <w:numId w:val="1"/>
        </w:numPr>
        <w:spacing w:line="480" w:lineRule="auto"/>
        <w:ind w:left="0" w:firstLine="0"/>
        <w:jc w:val="both"/>
      </w:pPr>
      <w:r>
        <w:t>On appeal to the High Court</w:t>
      </w:r>
      <w:r w:rsidR="00234001">
        <w:t xml:space="preserve"> </w:t>
      </w:r>
      <w:r w:rsidR="00103646">
        <w:t xml:space="preserve">pursuant to </w:t>
      </w:r>
      <w:r w:rsidR="005738CB">
        <w:t>Article</w:t>
      </w:r>
      <w:r w:rsidR="00234001">
        <w:t xml:space="preserve"> 13 of the </w:t>
      </w:r>
      <w:r w:rsidR="0010322A">
        <w:t xml:space="preserve">AIE </w:t>
      </w:r>
      <w:r w:rsidR="00234001">
        <w:t>Regulations</w:t>
      </w:r>
      <w:r w:rsidR="001F21DC">
        <w:t>,</w:t>
      </w:r>
      <w:r>
        <w:t xml:space="preserve"> </w:t>
      </w:r>
      <w:r w:rsidR="00E73104">
        <w:t xml:space="preserve">Barr J. delivered one judgment </w:t>
      </w:r>
      <w:r w:rsidR="005738CB">
        <w:t>governing</w:t>
      </w:r>
      <w:r w:rsidR="00E73104">
        <w:t xml:space="preserve"> both appeals by which he </w:t>
      </w:r>
      <w:r>
        <w:t>allowed the appeal in part</w:t>
      </w:r>
      <w:r w:rsidR="0029664F">
        <w:t>:</w:t>
      </w:r>
      <w:r>
        <w:t xml:space="preserve"> </w:t>
      </w:r>
      <w:r w:rsidR="001F21DC" w:rsidRPr="00B448BF">
        <w:rPr>
          <w:bCs/>
        </w:rPr>
        <w:t>[2021] IEHC 273</w:t>
      </w:r>
      <w:r w:rsidR="0029664F" w:rsidRPr="00B448BF">
        <w:rPr>
          <w:bCs/>
        </w:rPr>
        <w:t>.</w:t>
      </w:r>
    </w:p>
    <w:p w14:paraId="5124004E" w14:textId="40FAC23A" w:rsidR="00E73104" w:rsidRDefault="00857E64" w:rsidP="009B1377">
      <w:pPr>
        <w:numPr>
          <w:ilvl w:val="0"/>
          <w:numId w:val="1"/>
        </w:numPr>
        <w:spacing w:line="480" w:lineRule="auto"/>
        <w:ind w:left="0" w:firstLine="0"/>
        <w:jc w:val="both"/>
      </w:pPr>
      <w:r>
        <w:t xml:space="preserve">This is the appeal of </w:t>
      </w:r>
      <w:r w:rsidR="003C6B7D">
        <w:t>the Minister for Communications, Climate Action and the Environment, Ireland and the Attorney General</w:t>
      </w:r>
      <w:r w:rsidR="002B5C30">
        <w:t xml:space="preserve"> (</w:t>
      </w:r>
      <w:r w:rsidR="001D1B1C">
        <w:t>“</w:t>
      </w:r>
      <w:r w:rsidR="002B5C30">
        <w:t>the State parties</w:t>
      </w:r>
      <w:r w:rsidR="001D1B1C">
        <w:t>”</w:t>
      </w:r>
      <w:r w:rsidR="003C6B7D">
        <w:t>) f</w:t>
      </w:r>
      <w:r w:rsidR="00E73104">
        <w:t xml:space="preserve">rom </w:t>
      </w:r>
      <w:r w:rsidR="00131AA4">
        <w:t xml:space="preserve">that </w:t>
      </w:r>
      <w:r w:rsidR="00781826">
        <w:t xml:space="preserve">part of </w:t>
      </w:r>
      <w:r w:rsidR="00E73104">
        <w:t>th</w:t>
      </w:r>
      <w:r w:rsidR="001D1B1C">
        <w:t>e</w:t>
      </w:r>
      <w:r w:rsidR="00E73104">
        <w:t xml:space="preserve"> decision of</w:t>
      </w:r>
      <w:r>
        <w:t xml:space="preserve"> Barr J.</w:t>
      </w:r>
      <w:r w:rsidR="00131AA4">
        <w:t>,</w:t>
      </w:r>
      <w:r>
        <w:t xml:space="preserve"> and also the appeal of </w:t>
      </w:r>
      <w:r w:rsidR="000A36DD">
        <w:t>Right to Know</w:t>
      </w:r>
      <w:r w:rsidR="001B5A20">
        <w:t xml:space="preserve"> </w:t>
      </w:r>
      <w:r w:rsidR="003C6985">
        <w:t>from</w:t>
      </w:r>
      <w:r w:rsidR="00E73104">
        <w:t xml:space="preserve"> the </w:t>
      </w:r>
      <w:r w:rsidR="00131AA4">
        <w:t xml:space="preserve">High Court’s </w:t>
      </w:r>
      <w:r w:rsidR="00E73104">
        <w:t>refusal to compel production of documents by the Council of State.  While</w:t>
      </w:r>
      <w:r w:rsidR="0029664F">
        <w:t>,</w:t>
      </w:r>
      <w:r w:rsidR="00E73104">
        <w:t xml:space="preserve"> strictly speaking</w:t>
      </w:r>
      <w:r w:rsidR="0029664F">
        <w:t>,</w:t>
      </w:r>
      <w:r w:rsidR="00E73104">
        <w:t xml:space="preserve"> th</w:t>
      </w:r>
      <w:r w:rsidR="00781826">
        <w:t xml:space="preserve">e second </w:t>
      </w:r>
      <w:r w:rsidR="00E73104">
        <w:t>question arises in a separate appeal</w:t>
      </w:r>
      <w:r w:rsidR="001D1B1C">
        <w:t>,</w:t>
      </w:r>
      <w:r w:rsidR="00E73104">
        <w:t xml:space="preserve"> the parties have for convenience called this </w:t>
      </w:r>
      <w:r w:rsidR="00E73104">
        <w:lastRenderedPageBreak/>
        <w:t>aspect of the appeal a “cross</w:t>
      </w:r>
      <w:r w:rsidR="0029664F">
        <w:t>-</w:t>
      </w:r>
      <w:r w:rsidR="00E73104">
        <w:t>appeal</w:t>
      </w:r>
      <w:r w:rsidR="002D7DCB">
        <w:t>”</w:t>
      </w:r>
      <w:r w:rsidR="00E73104">
        <w:t xml:space="preserve"> as both appeals were heard together in the High Court and </w:t>
      </w:r>
      <w:r w:rsidR="00781826">
        <w:t xml:space="preserve">resulted in the </w:t>
      </w:r>
      <w:r w:rsidR="0029664F">
        <w:t xml:space="preserve">single </w:t>
      </w:r>
      <w:r w:rsidR="00E73104">
        <w:t>judgment</w:t>
      </w:r>
      <w:r w:rsidR="002D7DCB">
        <w:t xml:space="preserve"> </w:t>
      </w:r>
      <w:r w:rsidR="00781826">
        <w:t xml:space="preserve">of </w:t>
      </w:r>
      <w:r w:rsidR="00E73104">
        <w:t>Barr J.</w:t>
      </w:r>
      <w:r w:rsidR="00826502">
        <w:t xml:space="preserve"> </w:t>
      </w:r>
      <w:r w:rsidR="002D7DCB">
        <w:t xml:space="preserve"> </w:t>
      </w:r>
    </w:p>
    <w:p w14:paraId="10764401" w14:textId="0D6E812E" w:rsidR="002B5C30" w:rsidRPr="00431E2B" w:rsidRDefault="002B5C30" w:rsidP="002B5C30">
      <w:pPr>
        <w:spacing w:line="480" w:lineRule="auto"/>
        <w:jc w:val="both"/>
        <w:rPr>
          <w:b/>
          <w:u w:val="single"/>
        </w:rPr>
      </w:pPr>
      <w:r w:rsidRPr="00431E2B">
        <w:rPr>
          <w:b/>
          <w:u w:val="single"/>
        </w:rPr>
        <w:t>Background facts</w:t>
      </w:r>
    </w:p>
    <w:p w14:paraId="46BAAD51" w14:textId="0B9D2FE1" w:rsidR="004B1D76" w:rsidRDefault="00F27750" w:rsidP="00D66596">
      <w:pPr>
        <w:numPr>
          <w:ilvl w:val="0"/>
          <w:numId w:val="1"/>
        </w:numPr>
        <w:spacing w:line="480" w:lineRule="auto"/>
        <w:ind w:left="0" w:firstLine="0"/>
        <w:jc w:val="both"/>
      </w:pPr>
      <w:r>
        <w:t>Right to Know</w:t>
      </w:r>
      <w:r w:rsidR="001B5A20">
        <w:t xml:space="preserve"> </w:t>
      </w:r>
      <w:r w:rsidR="004B1D76">
        <w:t>is a company limited by guarantee, with stated objects to improve, promote and advocate for increased rights of public information.  The requests in the first appeal were for documents concerning two speeches given by the President of Ireland, and</w:t>
      </w:r>
      <w:r w:rsidR="00131AA4">
        <w:t>,</w:t>
      </w:r>
      <w:r w:rsidR="004B1D76">
        <w:t xml:space="preserve"> in the second appeal</w:t>
      </w:r>
      <w:r w:rsidR="00131AA4">
        <w:t>,</w:t>
      </w:r>
      <w:r w:rsidR="004B1D76">
        <w:t xml:space="preserve"> for certain records held by or on behalf of the Council of State </w:t>
      </w:r>
      <w:r w:rsidR="00ED3077">
        <w:t xml:space="preserve">concerning the </w:t>
      </w:r>
      <w:r w:rsidR="00771098">
        <w:t>Planning and Development Bill 1999, and s. 24 of the Housing (Miscellaneous Provisions) (No. 2) Bill 2001</w:t>
      </w:r>
      <w:r w:rsidR="00771098" w:rsidRPr="00D66596">
        <w:rPr>
          <w:iCs/>
        </w:rPr>
        <w:t>.</w:t>
      </w:r>
      <w:r w:rsidR="004B1D76" w:rsidRPr="00AD720E">
        <w:t xml:space="preserve">  </w:t>
      </w:r>
    </w:p>
    <w:p w14:paraId="0297CBA1" w14:textId="757CB41C" w:rsidR="004B1D76" w:rsidRDefault="004B1D76" w:rsidP="004B1D76">
      <w:pPr>
        <w:numPr>
          <w:ilvl w:val="0"/>
          <w:numId w:val="1"/>
        </w:numPr>
        <w:spacing w:line="480" w:lineRule="auto"/>
        <w:ind w:left="0" w:firstLine="0"/>
        <w:jc w:val="both"/>
      </w:pPr>
      <w:r>
        <w:t xml:space="preserve">There being no reply to the requests, on the basis of the deemed refusal of access, </w:t>
      </w:r>
      <w:r w:rsidR="00F27750">
        <w:t>Right to Know</w:t>
      </w:r>
      <w:r>
        <w:t xml:space="preserve"> sought an internal review, and when it </w:t>
      </w:r>
      <w:r w:rsidR="00ED3077">
        <w:t xml:space="preserve">then </w:t>
      </w:r>
      <w:r>
        <w:t xml:space="preserve">received no response it appealed to the Commissioner under </w:t>
      </w:r>
      <w:r w:rsidR="00094481">
        <w:t>Article</w:t>
      </w:r>
      <w:r>
        <w:t xml:space="preserve"> 12 of the AIE Regulations. </w:t>
      </w:r>
    </w:p>
    <w:p w14:paraId="146B92BE" w14:textId="77777777" w:rsidR="004B1D76" w:rsidRDefault="004B1D76" w:rsidP="004B1D76">
      <w:pPr>
        <w:numPr>
          <w:ilvl w:val="0"/>
          <w:numId w:val="1"/>
        </w:numPr>
        <w:spacing w:line="480" w:lineRule="auto"/>
        <w:ind w:left="0" w:firstLine="0"/>
        <w:jc w:val="both"/>
      </w:pPr>
      <w:r>
        <w:t>The Commissioner determined that the two applications for access to information should be declined on the grounds that the President, the OSGP and the Council of State were excluded from the AIE Regulations in the light of the immunity of the President contained in Article 13.8.1</w:t>
      </w:r>
      <w:r>
        <w:rPr>
          <w:rFonts w:ascii="Arial" w:hAnsi="Arial" w:cs="Arial"/>
          <w:color w:val="666666"/>
          <w:sz w:val="21"/>
          <w:szCs w:val="21"/>
          <w:shd w:val="clear" w:color="auto" w:fill="FFFFFF"/>
        </w:rPr>
        <w:t>°</w:t>
      </w:r>
      <w:r>
        <w:t xml:space="preserve"> of the Constitution.</w:t>
      </w:r>
    </w:p>
    <w:p w14:paraId="2639D83E" w14:textId="3CA26301" w:rsidR="00ED3077" w:rsidRPr="00077CC4" w:rsidRDefault="00ED3077" w:rsidP="00077CC4">
      <w:pPr>
        <w:spacing w:line="480" w:lineRule="auto"/>
        <w:jc w:val="both"/>
        <w:rPr>
          <w:b/>
          <w:u w:val="single"/>
        </w:rPr>
      </w:pPr>
      <w:r w:rsidRPr="00077CC4">
        <w:rPr>
          <w:b/>
          <w:u w:val="single"/>
        </w:rPr>
        <w:t>The first request</w:t>
      </w:r>
    </w:p>
    <w:p w14:paraId="241B92B6" w14:textId="75FA2848" w:rsidR="002B5C30" w:rsidRDefault="002B5C30" w:rsidP="002B5C30">
      <w:pPr>
        <w:numPr>
          <w:ilvl w:val="0"/>
          <w:numId w:val="1"/>
        </w:numPr>
        <w:spacing w:line="480" w:lineRule="auto"/>
        <w:ind w:left="0" w:firstLine="0"/>
        <w:jc w:val="both"/>
      </w:pPr>
      <w:r>
        <w:t>The information sought in the first appeal concerns two speeches given by President Higgins</w:t>
      </w:r>
      <w:r w:rsidR="00103646">
        <w:t>,</w:t>
      </w:r>
      <w:r>
        <w:t xml:space="preserve"> and </w:t>
      </w:r>
      <w:r w:rsidR="00F27750">
        <w:t xml:space="preserve">Right to Know </w:t>
      </w:r>
      <w:r>
        <w:t xml:space="preserve">requested the following:  </w:t>
      </w:r>
    </w:p>
    <w:p w14:paraId="50D81A5F" w14:textId="4C16958D" w:rsidR="002B5C30" w:rsidRDefault="002B5C30" w:rsidP="002B5C30">
      <w:pPr>
        <w:pStyle w:val="ListParagraph"/>
        <w:numPr>
          <w:ilvl w:val="0"/>
          <w:numId w:val="6"/>
        </w:numPr>
        <w:spacing w:line="480" w:lineRule="auto"/>
        <w:jc w:val="both"/>
      </w:pPr>
      <w:r>
        <w:t>A copy of all records – to include emails, memos, letters, briefing notes, draft speeches and so on – relating to a speech given by President Higgins in Paris</w:t>
      </w:r>
      <w:r w:rsidR="008731FE">
        <w:t>, France</w:t>
      </w:r>
      <w:r>
        <w:t xml:space="preserve"> in July 2015 at the Summit of Conscience for the Climate.</w:t>
      </w:r>
    </w:p>
    <w:p w14:paraId="0D788894" w14:textId="77777777" w:rsidR="002B5C30" w:rsidRDefault="002B5C30" w:rsidP="002B5C30">
      <w:pPr>
        <w:pStyle w:val="ListParagraph"/>
        <w:numPr>
          <w:ilvl w:val="0"/>
          <w:numId w:val="6"/>
        </w:numPr>
        <w:spacing w:line="480" w:lineRule="auto"/>
        <w:jc w:val="both"/>
      </w:pPr>
      <w:r>
        <w:t>A copy of all records – to include emails, memos, letters, briefing notes, draft speeches and so on – relating to an address given by President Higgins at the New Year’s Greeting Ceremony in January 2016.</w:t>
      </w:r>
    </w:p>
    <w:p w14:paraId="641C55FA" w14:textId="5D4A71CC" w:rsidR="002B5C30" w:rsidRDefault="002B5C30" w:rsidP="002B5C30">
      <w:pPr>
        <w:spacing w:line="480" w:lineRule="auto"/>
        <w:jc w:val="both"/>
      </w:pPr>
      <w:r>
        <w:lastRenderedPageBreak/>
        <w:t xml:space="preserve">The request was made on 9 February 2017 by e-mail, </w:t>
      </w:r>
      <w:r w:rsidR="00771098">
        <w:t xml:space="preserve">sent to the </w:t>
      </w:r>
      <w:r w:rsidR="00771098" w:rsidRPr="00771098">
        <w:t xml:space="preserve">general information e-mail address for the President of Ireland as well as </w:t>
      </w:r>
      <w:r w:rsidR="000E45DC">
        <w:t xml:space="preserve">to </w:t>
      </w:r>
      <w:r w:rsidR="00771098" w:rsidRPr="00771098">
        <w:t xml:space="preserve">the head of communication and information at </w:t>
      </w:r>
      <w:proofErr w:type="spellStart"/>
      <w:r w:rsidR="002C1763">
        <w:t>Á</w:t>
      </w:r>
      <w:r w:rsidR="00771098" w:rsidRPr="00771098">
        <w:t>ras</w:t>
      </w:r>
      <w:proofErr w:type="spellEnd"/>
      <w:r w:rsidR="00771098" w:rsidRPr="00771098">
        <w:t xml:space="preserve"> an </w:t>
      </w:r>
      <w:proofErr w:type="spellStart"/>
      <w:r w:rsidR="00771098" w:rsidRPr="00771098">
        <w:t>Uachtar</w:t>
      </w:r>
      <w:r w:rsidR="00771098">
        <w:t>á</w:t>
      </w:r>
      <w:r w:rsidR="00771098" w:rsidRPr="00771098">
        <w:t>in</w:t>
      </w:r>
      <w:proofErr w:type="spellEnd"/>
      <w:r w:rsidR="00771098" w:rsidRPr="00771098">
        <w:t xml:space="preserve">/Office of the President of Ireland. </w:t>
      </w:r>
      <w:r w:rsidR="00103646">
        <w:t xml:space="preserve"> </w:t>
      </w:r>
      <w:r w:rsidR="00771098" w:rsidRPr="00771098">
        <w:t>The email was also forwarded to Mr</w:t>
      </w:r>
      <w:r w:rsidR="00366AC9">
        <w:t>.</w:t>
      </w:r>
      <w:r w:rsidR="00771098" w:rsidRPr="00771098">
        <w:t xml:space="preserve"> </w:t>
      </w:r>
      <w:proofErr w:type="spellStart"/>
      <w:r w:rsidR="00771098" w:rsidRPr="00771098">
        <w:t>Fin</w:t>
      </w:r>
      <w:r w:rsidR="00771098">
        <w:t>í</w:t>
      </w:r>
      <w:r w:rsidR="00771098" w:rsidRPr="00771098">
        <w:t>n</w:t>
      </w:r>
      <w:proofErr w:type="spellEnd"/>
      <w:r w:rsidR="00771098" w:rsidRPr="00771098">
        <w:t xml:space="preserve"> </w:t>
      </w:r>
      <w:r w:rsidR="00771098">
        <w:t>Ó</w:t>
      </w:r>
      <w:r w:rsidR="00771098" w:rsidRPr="00771098">
        <w:t xml:space="preserve"> </w:t>
      </w:r>
      <w:proofErr w:type="spellStart"/>
      <w:r w:rsidR="00771098" w:rsidRPr="00771098">
        <w:t>Murch</w:t>
      </w:r>
      <w:r w:rsidR="00771098">
        <w:t>ú</w:t>
      </w:r>
      <w:proofErr w:type="spellEnd"/>
      <w:r w:rsidR="00771098">
        <w:t>,</w:t>
      </w:r>
      <w:r w:rsidR="00771098" w:rsidRPr="00771098">
        <w:t xml:space="preserve"> a press officer in the President's Office. </w:t>
      </w:r>
      <w:r w:rsidR="00103646">
        <w:t xml:space="preserve"> </w:t>
      </w:r>
      <w:r>
        <w:t xml:space="preserve">The Commissioner accepted an appeal from the </w:t>
      </w:r>
      <w:r w:rsidR="00131AA4">
        <w:t xml:space="preserve">statutory </w:t>
      </w:r>
      <w:r>
        <w:t xml:space="preserve">deemed refusal of the President for the information. </w:t>
      </w:r>
      <w:r w:rsidR="00103646">
        <w:t xml:space="preserve"> </w:t>
      </w:r>
      <w:r>
        <w:t>The broad response of the office of the President on that appeal was that the President is not a public authority for the purposes of the AIE Regulations</w:t>
      </w:r>
      <w:r w:rsidR="00131AA4">
        <w:t>,</w:t>
      </w:r>
      <w:r>
        <w:t xml:space="preserve"> and was properly excluded from the definition of “public authority” under </w:t>
      </w:r>
      <w:r w:rsidR="005738CB">
        <w:t>Article</w:t>
      </w:r>
      <w:r>
        <w:t xml:space="preserve"> 2</w:t>
      </w:r>
      <w:r w:rsidR="00D66596">
        <w:t>(</w:t>
      </w:r>
      <w:r>
        <w:t>2</w:t>
      </w:r>
      <w:r w:rsidR="00D66596">
        <w:t>)</w:t>
      </w:r>
      <w:r>
        <w:t xml:space="preserve"> of the AIE Directive and Article 13.8.1</w:t>
      </w:r>
      <w:r>
        <w:rPr>
          <w:rFonts w:ascii="Arial" w:hAnsi="Arial" w:cs="Arial"/>
          <w:color w:val="666666"/>
          <w:sz w:val="21"/>
          <w:szCs w:val="21"/>
          <w:shd w:val="clear" w:color="auto" w:fill="FFFFFF"/>
        </w:rPr>
        <w:t>°</w:t>
      </w:r>
      <w:r>
        <w:t xml:space="preserve"> of the </w:t>
      </w:r>
      <w:r w:rsidRPr="00131AA4">
        <w:t>Constitution</w:t>
      </w:r>
      <w:r w:rsidR="00131AA4" w:rsidRPr="00131AA4">
        <w:t>, and could not be compelled to furnish the information.</w:t>
      </w:r>
      <w:r w:rsidR="00071FE6" w:rsidRPr="00131AA4">
        <w:t xml:space="preserve"> </w:t>
      </w:r>
    </w:p>
    <w:p w14:paraId="2E1B4B36" w14:textId="6813F3B3" w:rsidR="002B5C30" w:rsidRDefault="00537A34" w:rsidP="002B5C30">
      <w:pPr>
        <w:numPr>
          <w:ilvl w:val="0"/>
          <w:numId w:val="1"/>
        </w:numPr>
        <w:spacing w:line="480" w:lineRule="auto"/>
        <w:ind w:left="0" w:firstLine="0"/>
        <w:jc w:val="both"/>
      </w:pPr>
      <w:r w:rsidRPr="00131AA4">
        <w:t xml:space="preserve">The </w:t>
      </w:r>
      <w:r>
        <w:t xml:space="preserve">OSGP submitted that the President is also exempt from the definition of “public authority” under </w:t>
      </w:r>
      <w:r w:rsidR="005738CB">
        <w:t>Article</w:t>
      </w:r>
      <w:r>
        <w:t xml:space="preserve"> 3(2) of the AIE Regulations as he acts in a legislative capacity. </w:t>
      </w:r>
      <w:r w:rsidR="00F27750">
        <w:t xml:space="preserve">Right to Know </w:t>
      </w:r>
      <w:r w:rsidR="002B5C30">
        <w:t xml:space="preserve">submitted that the President is a public authority </w:t>
      </w:r>
      <w:r w:rsidR="005738CB">
        <w:t>by virtue of either</w:t>
      </w:r>
      <w:r w:rsidR="002B5C30">
        <w:t xml:space="preserve"> </w:t>
      </w:r>
      <w:r w:rsidR="005738CB">
        <w:t>Article</w:t>
      </w:r>
      <w:r w:rsidR="002B5C30">
        <w:t xml:space="preserve"> 3(1)(a) or </w:t>
      </w:r>
      <w:r w:rsidR="005738CB">
        <w:t xml:space="preserve">Article </w:t>
      </w:r>
      <w:r w:rsidR="002B5C30">
        <w:t>3(1)(b) of the AIE Regulations, and that, while the President does on occasion act in a legislative capacity, the exemption thereby afforded to the President does not extend beyond the role played in this legislative process.  It was also argued that the President was not acting in any legislative capacity when he delivered the speeches regarding climate change.</w:t>
      </w:r>
      <w:r w:rsidR="00F27750">
        <w:t xml:space="preserve"> </w:t>
      </w:r>
    </w:p>
    <w:p w14:paraId="2917919E" w14:textId="7E8686BB" w:rsidR="00071FE6" w:rsidRPr="00077CC4" w:rsidRDefault="00071FE6" w:rsidP="00077CC4">
      <w:pPr>
        <w:spacing w:line="480" w:lineRule="auto"/>
        <w:jc w:val="both"/>
        <w:rPr>
          <w:b/>
          <w:u w:val="single"/>
        </w:rPr>
      </w:pPr>
      <w:r w:rsidRPr="00077CC4">
        <w:rPr>
          <w:b/>
          <w:u w:val="single"/>
        </w:rPr>
        <w:t>The second request</w:t>
      </w:r>
    </w:p>
    <w:p w14:paraId="682125F7" w14:textId="0EE2AD1B" w:rsidR="002B5C30" w:rsidRDefault="002B5C30" w:rsidP="002B5C30">
      <w:pPr>
        <w:numPr>
          <w:ilvl w:val="0"/>
          <w:numId w:val="1"/>
        </w:numPr>
        <w:spacing w:line="480" w:lineRule="auto"/>
        <w:ind w:left="0" w:firstLine="0"/>
        <w:jc w:val="both"/>
      </w:pPr>
      <w:r>
        <w:t>The request which was the subject of the second appeal was directed to records held by the Council of State as follows:</w:t>
      </w:r>
    </w:p>
    <w:p w14:paraId="5ABA5C48" w14:textId="77777777" w:rsidR="002B5C30" w:rsidRDefault="002B5C30" w:rsidP="002B5C30">
      <w:pPr>
        <w:pStyle w:val="ListParagraph"/>
        <w:numPr>
          <w:ilvl w:val="0"/>
          <w:numId w:val="7"/>
        </w:numPr>
        <w:spacing w:line="480" w:lineRule="auto"/>
        <w:jc w:val="both"/>
      </w:pPr>
      <w:r>
        <w:t>Copies of all submissions, memoranda, briefing notes, prepared with regard to the following pieces of legislation, which were considered by the Council of State: the Planning and Development Bill 1999, s. 24 of the Housing (Miscellaneous Provisions) (No. 2) Bill 2001;</w:t>
      </w:r>
    </w:p>
    <w:p w14:paraId="3A73110C" w14:textId="42B37282" w:rsidR="002B5C30" w:rsidRDefault="002B5C30" w:rsidP="002B5C30">
      <w:pPr>
        <w:pStyle w:val="ListParagraph"/>
        <w:numPr>
          <w:ilvl w:val="0"/>
          <w:numId w:val="7"/>
        </w:numPr>
        <w:spacing w:line="480" w:lineRule="auto"/>
        <w:jc w:val="both"/>
      </w:pPr>
      <w:r>
        <w:t xml:space="preserve">Copies of the minutes of the </w:t>
      </w:r>
      <w:r w:rsidR="00103646">
        <w:t>C</w:t>
      </w:r>
      <w:r>
        <w:t>ouncil meetings held with regard to the above pieces of legislation;</w:t>
      </w:r>
    </w:p>
    <w:p w14:paraId="6B61B97F" w14:textId="77777777" w:rsidR="002B5C30" w:rsidRDefault="002B5C30" w:rsidP="002B5C30">
      <w:pPr>
        <w:pStyle w:val="ListParagraph"/>
        <w:numPr>
          <w:ilvl w:val="0"/>
          <w:numId w:val="7"/>
        </w:numPr>
        <w:spacing w:line="480" w:lineRule="auto"/>
        <w:jc w:val="both"/>
      </w:pPr>
      <w:r>
        <w:lastRenderedPageBreak/>
        <w:t>Copies of any communications between the Council of State and the President with regard to the above pieces of legislation;</w:t>
      </w:r>
    </w:p>
    <w:p w14:paraId="1F16298F" w14:textId="77777777" w:rsidR="002B5C30" w:rsidRDefault="002B5C30" w:rsidP="002B5C30">
      <w:pPr>
        <w:pStyle w:val="ListParagraph"/>
        <w:numPr>
          <w:ilvl w:val="0"/>
          <w:numId w:val="7"/>
        </w:numPr>
        <w:spacing w:line="480" w:lineRule="auto"/>
        <w:jc w:val="both"/>
      </w:pPr>
      <w:r>
        <w:t>Copies of any operating documents or terms of reference prepared in relation to the meetings outlined above.</w:t>
      </w:r>
    </w:p>
    <w:p w14:paraId="3045267F" w14:textId="353271F3" w:rsidR="002B5C30" w:rsidRDefault="00CF5BBE" w:rsidP="002B5C30">
      <w:pPr>
        <w:numPr>
          <w:ilvl w:val="0"/>
          <w:numId w:val="1"/>
        </w:numPr>
        <w:spacing w:line="480" w:lineRule="auto"/>
        <w:ind w:left="0" w:firstLine="0"/>
        <w:jc w:val="both"/>
      </w:pPr>
      <w:r>
        <w:t>O</w:t>
      </w:r>
      <w:r w:rsidRPr="00CF5BBE">
        <w:t>n 30</w:t>
      </w:r>
      <w:r>
        <w:t xml:space="preserve"> </w:t>
      </w:r>
      <w:r w:rsidRPr="00CF5BBE">
        <w:t>June 2000</w:t>
      </w:r>
      <w:r>
        <w:t>,</w:t>
      </w:r>
      <w:r w:rsidRPr="00CF5BBE">
        <w:t xml:space="preserve"> </w:t>
      </w:r>
      <w:r w:rsidR="00462B6A">
        <w:t xml:space="preserve">Her Excellency, </w:t>
      </w:r>
      <w:r w:rsidRPr="00CF5BBE">
        <w:t>President Mary McAleese, after consultation with the Council of State, referred</w:t>
      </w:r>
      <w:r w:rsidR="00875021">
        <w:t xml:space="preserve"> Part V of</w:t>
      </w:r>
      <w:r w:rsidRPr="00CF5BBE">
        <w:t> </w:t>
      </w:r>
      <w:r>
        <w:t>t</w:t>
      </w:r>
      <w:r w:rsidR="002B5C30">
        <w:t>he Planning and Development Bill 1999 to th</w:t>
      </w:r>
      <w:r w:rsidR="00462B6A">
        <w:t>is</w:t>
      </w:r>
      <w:r w:rsidR="002B5C30">
        <w:t xml:space="preserve"> Court under Article 26 of the Constitution</w:t>
      </w:r>
      <w:r w:rsidR="00875021">
        <w:t xml:space="preserve">: see </w:t>
      </w:r>
      <w:r w:rsidR="00875021" w:rsidRPr="00F935BD">
        <w:rPr>
          <w:i/>
        </w:rPr>
        <w:t>Re Article 26 and the Planning and Development Bill 1999</w:t>
      </w:r>
      <w:r w:rsidR="00875021">
        <w:t xml:space="preserve"> </w:t>
      </w:r>
      <w:r w:rsidRPr="00CF5BBE">
        <w:t>[2000] 2 I</w:t>
      </w:r>
      <w:r w:rsidR="00366AC9">
        <w:t>.</w:t>
      </w:r>
      <w:r w:rsidRPr="00CF5BBE">
        <w:t>R</w:t>
      </w:r>
      <w:r w:rsidR="00366AC9">
        <w:t>.</w:t>
      </w:r>
      <w:r w:rsidRPr="00CF5BBE">
        <w:t xml:space="preserve"> 321</w:t>
      </w:r>
      <w:r w:rsidR="002B5C30">
        <w:t>.  The Council of State was convened</w:t>
      </w:r>
      <w:r w:rsidR="0002084D">
        <w:t xml:space="preserve"> by the President</w:t>
      </w:r>
      <w:r w:rsidR="002B5C30">
        <w:t xml:space="preserve"> in respect of the Housing (Miscellaneous Provisions) (No. 2) Bill 2001 in 2002 but no reference to th</w:t>
      </w:r>
      <w:r w:rsidR="0002084D">
        <w:t>is</w:t>
      </w:r>
      <w:r w:rsidR="002B5C30">
        <w:t xml:space="preserve"> Court was</w:t>
      </w:r>
      <w:r w:rsidR="0002084D">
        <w:t xml:space="preserve"> subsequently</w:t>
      </w:r>
      <w:r w:rsidR="002B5C30">
        <w:t xml:space="preserve"> made. </w:t>
      </w:r>
    </w:p>
    <w:p w14:paraId="67E29DEA" w14:textId="16CE4DEE" w:rsidR="002B5C30" w:rsidRDefault="002B5C30" w:rsidP="002B5C30">
      <w:pPr>
        <w:numPr>
          <w:ilvl w:val="0"/>
          <w:numId w:val="1"/>
        </w:numPr>
        <w:spacing w:line="480" w:lineRule="auto"/>
        <w:ind w:left="0" w:firstLine="0"/>
        <w:jc w:val="both"/>
      </w:pPr>
      <w:r>
        <w:t xml:space="preserve">The </w:t>
      </w:r>
      <w:r w:rsidR="00537A34">
        <w:t>OSGP</w:t>
      </w:r>
      <w:r>
        <w:t xml:space="preserve"> made similar responses in submission to this request </w:t>
      </w:r>
      <w:r w:rsidR="00655388">
        <w:t>to</w:t>
      </w:r>
      <w:r>
        <w:t xml:space="preserve"> </w:t>
      </w:r>
      <w:r w:rsidR="003D2894">
        <w:t xml:space="preserve">those </w:t>
      </w:r>
      <w:r w:rsidR="00655388">
        <w:t xml:space="preserve">responses </w:t>
      </w:r>
      <w:r>
        <w:t xml:space="preserve">to the request regarding the two speeches given by the President.  </w:t>
      </w:r>
      <w:r w:rsidR="00F27750">
        <w:t xml:space="preserve">Right to Know </w:t>
      </w:r>
      <w:r>
        <w:t>argued that the Council of State established under Article 31 of the Constitution is a distinct and independent public body from that of the President, and that the status of the President, and any constitutional immunity he enjoys by virtue of his office, is irrelevant to a consideration of the request.</w:t>
      </w:r>
    </w:p>
    <w:p w14:paraId="5B91E3F3" w14:textId="03907164" w:rsidR="00684E5B" w:rsidRPr="00552B09" w:rsidRDefault="00684E5B" w:rsidP="00552B09">
      <w:pPr>
        <w:spacing w:line="480" w:lineRule="auto"/>
        <w:jc w:val="both"/>
        <w:rPr>
          <w:b/>
          <w:u w:val="single"/>
        </w:rPr>
      </w:pPr>
      <w:r w:rsidRPr="00552B09">
        <w:rPr>
          <w:b/>
          <w:u w:val="single"/>
        </w:rPr>
        <w:t xml:space="preserve">The legislation </w:t>
      </w:r>
      <w:r w:rsidR="001933DD" w:rsidRPr="00552B09">
        <w:rPr>
          <w:b/>
          <w:u w:val="single"/>
        </w:rPr>
        <w:t>permitting</w:t>
      </w:r>
      <w:r w:rsidRPr="00552B09">
        <w:rPr>
          <w:b/>
          <w:u w:val="single"/>
        </w:rPr>
        <w:t xml:space="preserve"> the request for disclosure</w:t>
      </w:r>
      <w:r w:rsidR="001933DD">
        <w:rPr>
          <w:b/>
          <w:u w:val="single"/>
        </w:rPr>
        <w:t xml:space="preserve">: </w:t>
      </w:r>
      <w:r w:rsidR="004338EA">
        <w:rPr>
          <w:b/>
          <w:u w:val="single"/>
        </w:rPr>
        <w:t>t</w:t>
      </w:r>
      <w:r w:rsidR="001933DD" w:rsidRPr="00D95818">
        <w:rPr>
          <w:b/>
          <w:u w:val="single"/>
        </w:rPr>
        <w:t xml:space="preserve">he Regulations and the Directive  </w:t>
      </w:r>
    </w:p>
    <w:p w14:paraId="446C2025" w14:textId="2FF208BE" w:rsidR="00684E5B" w:rsidRDefault="001933DD" w:rsidP="001933DD">
      <w:pPr>
        <w:numPr>
          <w:ilvl w:val="0"/>
          <w:numId w:val="1"/>
        </w:numPr>
        <w:spacing w:line="480" w:lineRule="auto"/>
        <w:ind w:left="0" w:firstLine="0"/>
        <w:jc w:val="both"/>
      </w:pPr>
      <w:r>
        <w:t xml:space="preserve">As the request for information was made by </w:t>
      </w:r>
      <w:r w:rsidR="00F27750">
        <w:t xml:space="preserve">Right to Know </w:t>
      </w:r>
      <w:r>
        <w:t xml:space="preserve">pursuant to the provisions of the </w:t>
      </w:r>
      <w:r w:rsidR="004625A6">
        <w:t xml:space="preserve">AIE </w:t>
      </w:r>
      <w:r>
        <w:t>Regulations</w:t>
      </w:r>
      <w:r w:rsidR="00F22B7F">
        <w:t>,</w:t>
      </w:r>
      <w:r>
        <w:t xml:space="preserve"> i</w:t>
      </w:r>
      <w:r w:rsidR="00684E5B">
        <w:t xml:space="preserve">t is useful at this juncture to identify the </w:t>
      </w:r>
      <w:r>
        <w:t>statutory provisions</w:t>
      </w:r>
      <w:r w:rsidR="00684E5B">
        <w:t>.</w:t>
      </w:r>
    </w:p>
    <w:p w14:paraId="4971C137" w14:textId="152EF174" w:rsidR="001933DD" w:rsidRPr="000E43BB" w:rsidRDefault="00CF5BBE" w:rsidP="001933DD">
      <w:pPr>
        <w:numPr>
          <w:ilvl w:val="0"/>
          <w:numId w:val="1"/>
        </w:numPr>
        <w:spacing w:line="480" w:lineRule="auto"/>
        <w:ind w:left="0" w:firstLine="0"/>
        <w:jc w:val="both"/>
        <w:rPr>
          <w:b/>
          <w:bCs/>
        </w:rPr>
      </w:pPr>
      <w:r>
        <w:t xml:space="preserve">The </w:t>
      </w:r>
      <w:r w:rsidR="004625A6">
        <w:t xml:space="preserve">AIE </w:t>
      </w:r>
      <w:r>
        <w:t xml:space="preserve">Regulations permit members of the public to seek </w:t>
      </w:r>
      <w:r w:rsidRPr="004D0CCC">
        <w:t>access to environmental information</w:t>
      </w:r>
      <w:r w:rsidR="00655388">
        <w:t>;</w:t>
      </w:r>
      <w:r w:rsidRPr="004D0CCC">
        <w:t xml:space="preserve"> provides for participation in environmental decision</w:t>
      </w:r>
      <w:r w:rsidR="004338EA">
        <w:t>-</w:t>
      </w:r>
      <w:r w:rsidRPr="004D0CCC">
        <w:t>making</w:t>
      </w:r>
      <w:r w:rsidR="00655388">
        <w:t>;</w:t>
      </w:r>
      <w:r w:rsidRPr="004D0CCC">
        <w:t xml:space="preserve"> and</w:t>
      </w:r>
      <w:r w:rsidR="00655388">
        <w:t>,</w:t>
      </w:r>
      <w:r w:rsidRPr="004D0CCC">
        <w:t xml:space="preserve"> allows the public to seek redress when environmental law is infringed</w:t>
      </w:r>
      <w:r>
        <w:t xml:space="preserve">. </w:t>
      </w:r>
      <w:r w:rsidR="001933DD" w:rsidRPr="004D0CCC">
        <w:t>The</w:t>
      </w:r>
      <w:r w:rsidR="001933DD">
        <w:t xml:space="preserve"> AIE</w:t>
      </w:r>
      <w:r w:rsidR="001933DD" w:rsidRPr="004D0CCC">
        <w:t xml:space="preserve"> Regulations give effect to </w:t>
      </w:r>
      <w:r w:rsidR="001933DD">
        <w:t xml:space="preserve">the AIE </w:t>
      </w:r>
      <w:r w:rsidR="001933DD" w:rsidRPr="004D1BFE">
        <w:t xml:space="preserve">Directive </w:t>
      </w:r>
      <w:r w:rsidR="00D66596" w:rsidRPr="00013B48">
        <w:rPr>
          <w:b/>
          <w:iCs/>
        </w:rPr>
        <w:t>(</w:t>
      </w:r>
      <w:r w:rsidR="00D66596" w:rsidRPr="004D1BFE">
        <w:rPr>
          <w:iCs/>
        </w:rPr>
        <w:t>Directive 2003/4/EC</w:t>
      </w:r>
      <w:r w:rsidR="00D66596" w:rsidRPr="00591BFE">
        <w:rPr>
          <w:b/>
          <w:iCs/>
        </w:rPr>
        <w:t>)</w:t>
      </w:r>
      <w:r w:rsidR="001933DD" w:rsidRPr="004D1BFE">
        <w:t xml:space="preserve"> </w:t>
      </w:r>
      <w:r w:rsidR="001933DD" w:rsidRPr="004D0CCC">
        <w:t xml:space="preserve">This </w:t>
      </w:r>
      <w:r w:rsidR="001933DD">
        <w:t xml:space="preserve">is the first of two </w:t>
      </w:r>
      <w:r w:rsidR="001933DD" w:rsidRPr="004D0CCC">
        <w:t>Directive</w:t>
      </w:r>
      <w:r w:rsidR="001933DD">
        <w:t>s which</w:t>
      </w:r>
      <w:r w:rsidR="001933DD" w:rsidRPr="004D0CCC">
        <w:t xml:space="preserve"> implement</w:t>
      </w:r>
      <w:r w:rsidR="001933DD">
        <w:t xml:space="preserve"> </w:t>
      </w:r>
      <w:r w:rsidR="001933DD" w:rsidRPr="004D0CCC">
        <w:t>the Aarhus Convention (UNECE Convention on Access to Public Participation in Decision</w:t>
      </w:r>
      <w:r w:rsidR="001933DD">
        <w:t>-</w:t>
      </w:r>
      <w:r w:rsidR="001933DD" w:rsidRPr="004D0CCC">
        <w:t>Making and Access to Justice in Environmental Matters 1998</w:t>
      </w:r>
      <w:r w:rsidR="001933DD">
        <w:t>), which</w:t>
      </w:r>
      <w:r w:rsidR="001933DD" w:rsidRPr="004D0CCC">
        <w:t xml:space="preserve"> </w:t>
      </w:r>
      <w:r w:rsidR="000E45DC">
        <w:t xml:space="preserve">provides </w:t>
      </w:r>
      <w:r w:rsidR="004338EA">
        <w:t xml:space="preserve">certain </w:t>
      </w:r>
      <w:r w:rsidR="00D66596" w:rsidRPr="00D66596">
        <w:t xml:space="preserve">rights </w:t>
      </w:r>
      <w:r w:rsidR="000E45DC">
        <w:t>to</w:t>
      </w:r>
      <w:r w:rsidR="00D66596" w:rsidRPr="00D66596">
        <w:t xml:space="preserve"> </w:t>
      </w:r>
      <w:r>
        <w:t>members of the</w:t>
      </w:r>
      <w:r w:rsidRPr="00D66596">
        <w:t xml:space="preserve"> </w:t>
      </w:r>
      <w:r w:rsidR="00D66596" w:rsidRPr="00D66596">
        <w:t>public with regard to the environmen</w:t>
      </w:r>
      <w:r w:rsidR="00D66596">
        <w:t>t in order t</w:t>
      </w:r>
      <w:r w:rsidR="00107204">
        <w:t xml:space="preserve">o </w:t>
      </w:r>
      <w:r w:rsidR="001933DD" w:rsidRPr="004D0CCC">
        <w:t xml:space="preserve">promote </w:t>
      </w:r>
      <w:r w:rsidR="001933DD" w:rsidRPr="004D0CCC">
        <w:lastRenderedPageBreak/>
        <w:t xml:space="preserve">citizens' involvement in environmental matters and improve </w:t>
      </w:r>
      <w:r w:rsidR="001933DD">
        <w:t xml:space="preserve">the </w:t>
      </w:r>
      <w:r w:rsidR="001933DD" w:rsidRPr="004D0CCC">
        <w:t xml:space="preserve">enforcement of environmental law. </w:t>
      </w:r>
    </w:p>
    <w:p w14:paraId="2C0E36C5" w14:textId="2ED07E45" w:rsidR="001933DD" w:rsidRDefault="001933DD" w:rsidP="001933DD">
      <w:pPr>
        <w:numPr>
          <w:ilvl w:val="0"/>
          <w:numId w:val="1"/>
        </w:numPr>
        <w:spacing w:line="480" w:lineRule="auto"/>
        <w:ind w:left="0" w:firstLine="0"/>
        <w:jc w:val="both"/>
      </w:pPr>
      <w:r w:rsidRPr="00013B48">
        <w:rPr>
          <w:bCs/>
          <w:iCs/>
        </w:rPr>
        <w:t xml:space="preserve">Article </w:t>
      </w:r>
      <w:r w:rsidR="00F53279" w:rsidRPr="00013B48">
        <w:rPr>
          <w:bCs/>
          <w:iCs/>
        </w:rPr>
        <w:t>3</w:t>
      </w:r>
      <w:r w:rsidR="00F53279">
        <w:rPr>
          <w:bCs/>
          <w:iCs/>
        </w:rPr>
        <w:t>(1)</w:t>
      </w:r>
      <w:r w:rsidR="00781826" w:rsidRPr="00013B48">
        <w:rPr>
          <w:bCs/>
          <w:iCs/>
        </w:rPr>
        <w:t xml:space="preserve"> </w:t>
      </w:r>
      <w:r w:rsidRPr="00013B48">
        <w:rPr>
          <w:bCs/>
          <w:iCs/>
        </w:rPr>
        <w:t>of</w:t>
      </w:r>
      <w:r w:rsidRPr="00C22A33">
        <w:rPr>
          <w:bCs/>
          <w:iCs/>
        </w:rPr>
        <w:t xml:space="preserve"> </w:t>
      </w:r>
      <w:r>
        <w:t xml:space="preserve">the AIE Directive </w:t>
      </w:r>
      <w:r w:rsidR="00CF5BBE">
        <w:t>requires M</w:t>
      </w:r>
      <w:r w:rsidR="00107204">
        <w:t xml:space="preserve">ember </w:t>
      </w:r>
      <w:r w:rsidR="00CF5BBE">
        <w:t>S</w:t>
      </w:r>
      <w:r w:rsidR="00107204">
        <w:t>tates</w:t>
      </w:r>
      <w:r w:rsidR="00CF5BBE">
        <w:t xml:space="preserve"> to</w:t>
      </w:r>
      <w:r w:rsidR="00107204">
        <w:t xml:space="preserve"> make provision </w:t>
      </w:r>
      <w:r>
        <w:t>for a</w:t>
      </w:r>
      <w:r w:rsidRPr="00A8008A">
        <w:t>ccess to environmental information upon request</w:t>
      </w:r>
      <w:r>
        <w:t>:</w:t>
      </w:r>
    </w:p>
    <w:p w14:paraId="49B9E0E5" w14:textId="580DE54F" w:rsidR="000A5D69" w:rsidRDefault="001933DD" w:rsidP="00FD4B90">
      <w:pPr>
        <w:spacing w:line="480" w:lineRule="auto"/>
        <w:ind w:left="720"/>
        <w:jc w:val="both"/>
      </w:pPr>
      <w:r>
        <w:t>“</w:t>
      </w:r>
      <w:r w:rsidRPr="00A8008A">
        <w:t>Member States shall ensure that public authorities are required, in accordance with the provisions of this Directive, to make available environmental information held by or for them to any applicant at his request and without his having to state an interest.</w:t>
      </w:r>
      <w:r>
        <w:t>”</w:t>
      </w:r>
    </w:p>
    <w:p w14:paraId="2B38ADF3" w14:textId="0F88F4A9" w:rsidR="00F53279" w:rsidRDefault="00071FE6" w:rsidP="001933DD">
      <w:pPr>
        <w:numPr>
          <w:ilvl w:val="0"/>
          <w:numId w:val="1"/>
        </w:numPr>
        <w:spacing w:line="480" w:lineRule="auto"/>
        <w:ind w:left="0" w:firstLine="0"/>
        <w:jc w:val="both"/>
      </w:pPr>
      <w:r>
        <w:t>Article 2(</w:t>
      </w:r>
      <w:r w:rsidR="00781826">
        <w:t xml:space="preserve">2) </w:t>
      </w:r>
      <w:r>
        <w:t xml:space="preserve">of the Directive envisages an exemption from </w:t>
      </w:r>
      <w:r w:rsidR="008B3142">
        <w:t>access</w:t>
      </w:r>
      <w:r>
        <w:t>:</w:t>
      </w:r>
    </w:p>
    <w:p w14:paraId="38D3890D" w14:textId="2F614467" w:rsidR="008B3142" w:rsidRDefault="00F53279" w:rsidP="008B3142">
      <w:pPr>
        <w:spacing w:line="480" w:lineRule="auto"/>
        <w:ind w:left="720"/>
        <w:jc w:val="both"/>
      </w:pPr>
      <w:r w:rsidRPr="00013B48">
        <w:t>“Member States may provide that this definition shall not include bodies or institutions when acting in a judicial or legislative capacity.  If their constitutional provisions of the date of adoption of this Directive make no provision for a review procedure within the meaning of Article 6, Member States may exclude those bodies or institutions from that definition.”</w:t>
      </w:r>
    </w:p>
    <w:p w14:paraId="6455AF33" w14:textId="425A37EF" w:rsidR="00E15534" w:rsidRDefault="000E1BAD" w:rsidP="00E15534">
      <w:pPr>
        <w:numPr>
          <w:ilvl w:val="0"/>
          <w:numId w:val="1"/>
        </w:numPr>
        <w:spacing w:line="480" w:lineRule="auto"/>
        <w:ind w:left="0" w:firstLine="0"/>
        <w:jc w:val="both"/>
      </w:pPr>
      <w:r>
        <w:t xml:space="preserve">This exception from access was implemented in </w:t>
      </w:r>
      <w:r w:rsidR="005738CB">
        <w:t xml:space="preserve">Article </w:t>
      </w:r>
      <w:r w:rsidR="00E15534" w:rsidRPr="000A5D69">
        <w:t>3(2)</w:t>
      </w:r>
      <w:r>
        <w:t xml:space="preserve"> of the AIE regulations</w:t>
      </w:r>
      <w:r w:rsidR="00E15534" w:rsidRPr="000A5D69">
        <w:t>:</w:t>
      </w:r>
    </w:p>
    <w:p w14:paraId="4189F3AB" w14:textId="61A58997" w:rsidR="00E15534" w:rsidRPr="006B7C6F" w:rsidRDefault="00E15534" w:rsidP="00FD4B90">
      <w:pPr>
        <w:spacing w:line="480" w:lineRule="auto"/>
        <w:ind w:left="720"/>
        <w:jc w:val="both"/>
      </w:pPr>
      <w:r w:rsidRPr="000A5D69">
        <w:t>“Notwithstanding anything in sub-Article (1)</w:t>
      </w:r>
      <w:r w:rsidR="00655388">
        <w:t>,</w:t>
      </w:r>
      <w:r w:rsidRPr="000A5D69">
        <w:t xml:space="preserve"> ‘public authority’ does not include any body when acting in a judicial or legislative capacity.</w:t>
      </w:r>
      <w:r w:rsidR="00655388">
        <w:t>”</w:t>
      </w:r>
    </w:p>
    <w:p w14:paraId="4472F207" w14:textId="24E43704" w:rsidR="00C17865" w:rsidRPr="001A03B8" w:rsidRDefault="00C17865" w:rsidP="001A03B8">
      <w:pPr>
        <w:numPr>
          <w:ilvl w:val="0"/>
          <w:numId w:val="1"/>
        </w:numPr>
        <w:spacing w:line="480" w:lineRule="auto"/>
        <w:ind w:left="0" w:firstLine="0"/>
        <w:jc w:val="both"/>
        <w:rPr>
          <w:b/>
        </w:rPr>
      </w:pPr>
      <w:r w:rsidRPr="00DD7381">
        <w:t xml:space="preserve">The Directive was transposed into domestic law by the AIE Regulations. </w:t>
      </w:r>
      <w:r w:rsidRPr="00013B48">
        <w:rPr>
          <w:bCs/>
        </w:rPr>
        <w:t>The following statutory instruments give effect to the AIE Directive in Ireland: S.I. No. 133</w:t>
      </w:r>
      <w:r>
        <w:rPr>
          <w:bCs/>
        </w:rPr>
        <w:t xml:space="preserve"> of </w:t>
      </w:r>
      <w:r w:rsidRPr="00013B48">
        <w:rPr>
          <w:bCs/>
        </w:rPr>
        <w:t>2007 - European Communities (Access to Information on the Environment) Regulations 2007, S.I. No. 662</w:t>
      </w:r>
      <w:r>
        <w:rPr>
          <w:bCs/>
        </w:rPr>
        <w:t xml:space="preserve"> of </w:t>
      </w:r>
      <w:r w:rsidRPr="00013B48">
        <w:rPr>
          <w:bCs/>
        </w:rPr>
        <w:t>2011 - European Communities (Access to Information on the Environment) (Amendment) Regulations 2011, S.I. No. 615</w:t>
      </w:r>
      <w:r>
        <w:rPr>
          <w:bCs/>
        </w:rPr>
        <w:t xml:space="preserve"> of </w:t>
      </w:r>
      <w:r w:rsidRPr="00013B48">
        <w:rPr>
          <w:bCs/>
        </w:rPr>
        <w:t>2014 - European Communities (Access to Information on the Environment) (Amendment) Regulations 2014, S.I. No. 309</w:t>
      </w:r>
      <w:r>
        <w:rPr>
          <w:bCs/>
        </w:rPr>
        <w:t xml:space="preserve"> of </w:t>
      </w:r>
      <w:r w:rsidRPr="00013B48">
        <w:rPr>
          <w:bCs/>
        </w:rPr>
        <w:t>2018 - European Communities (Access to Information on the Environment) (Amendment) Regulations 2018. Together, these are known as the European Communities (Access to Information on the Environment) (Amendment) Regulations 2007 to 2018</w:t>
      </w:r>
      <w:r>
        <w:rPr>
          <w:bCs/>
        </w:rPr>
        <w:t>.</w:t>
      </w:r>
    </w:p>
    <w:p w14:paraId="6A58FE6A" w14:textId="0BFC7654" w:rsidR="00781826" w:rsidRDefault="003D2894" w:rsidP="00C22A33">
      <w:pPr>
        <w:numPr>
          <w:ilvl w:val="0"/>
          <w:numId w:val="1"/>
        </w:numPr>
        <w:spacing w:line="480" w:lineRule="auto"/>
        <w:ind w:left="0" w:firstLine="0"/>
        <w:jc w:val="both"/>
      </w:pPr>
      <w:r>
        <w:lastRenderedPageBreak/>
        <w:t xml:space="preserve">There was no express exclusion in the </w:t>
      </w:r>
      <w:r w:rsidR="00C17865">
        <w:t xml:space="preserve">AIE </w:t>
      </w:r>
      <w:r>
        <w:t>Regulations to deal with any constitutional exclusion, although the Regulations of 2018 did expressly exclude the President and the Council of S</w:t>
      </w:r>
      <w:r w:rsidR="00B11796">
        <w:t>t</w:t>
      </w:r>
      <w:r>
        <w:t xml:space="preserve">ate from its provisions.  </w:t>
      </w:r>
      <w:r w:rsidR="00781826">
        <w:t>I</w:t>
      </w:r>
      <w:r>
        <w:t>t will be necessary to analyse</w:t>
      </w:r>
      <w:r w:rsidR="00781826">
        <w:t xml:space="preserve"> </w:t>
      </w:r>
      <w:r w:rsidR="009225F9">
        <w:t>A</w:t>
      </w:r>
      <w:r w:rsidR="004338EA">
        <w:t>rt</w:t>
      </w:r>
      <w:r w:rsidR="005738CB">
        <w:t>icle</w:t>
      </w:r>
      <w:r w:rsidR="004338EA">
        <w:t xml:space="preserve"> </w:t>
      </w:r>
      <w:r>
        <w:t xml:space="preserve">2(2) in </w:t>
      </w:r>
      <w:r w:rsidR="00781826">
        <w:t xml:space="preserve">more detail in the second part of this </w:t>
      </w:r>
      <w:r w:rsidR="00591BFE">
        <w:t>judgment</w:t>
      </w:r>
      <w:r w:rsidR="00781826">
        <w:t>.</w:t>
      </w:r>
    </w:p>
    <w:p w14:paraId="7BF2E451" w14:textId="7F1140B0" w:rsidR="00107204" w:rsidRPr="00DD7381" w:rsidRDefault="001933DD" w:rsidP="001933DD">
      <w:pPr>
        <w:numPr>
          <w:ilvl w:val="0"/>
          <w:numId w:val="1"/>
        </w:numPr>
        <w:spacing w:line="480" w:lineRule="auto"/>
        <w:ind w:left="0" w:firstLine="0"/>
        <w:jc w:val="both"/>
      </w:pPr>
      <w:r>
        <w:t>As is apparent</w:t>
      </w:r>
      <w:r w:rsidR="00CC3458">
        <w:t>,</w:t>
      </w:r>
      <w:r>
        <w:t xml:space="preserve"> only public authorities are required to make available environmental information</w:t>
      </w:r>
      <w:r w:rsidR="00107204">
        <w:t xml:space="preserve">. </w:t>
      </w:r>
      <w:r w:rsidR="00CC3458">
        <w:t xml:space="preserve"> A central issue identified in written submissions concerned </w:t>
      </w:r>
      <w:r w:rsidR="00107204">
        <w:t xml:space="preserve">whether the </w:t>
      </w:r>
      <w:r w:rsidR="008B3142">
        <w:t>P</w:t>
      </w:r>
      <w:r w:rsidR="00107204">
        <w:t>resident</w:t>
      </w:r>
      <w:r w:rsidR="008B3142">
        <w:t>,</w:t>
      </w:r>
      <w:r w:rsidR="00107204">
        <w:t xml:space="preserve"> his office and/or the </w:t>
      </w:r>
      <w:r w:rsidR="008B3142">
        <w:t>C</w:t>
      </w:r>
      <w:r w:rsidR="00107204">
        <w:t xml:space="preserve">ouncil of </w:t>
      </w:r>
      <w:r w:rsidR="008B3142">
        <w:t>S</w:t>
      </w:r>
      <w:r w:rsidR="00107204">
        <w:t xml:space="preserve">tate can properly be described as “public authorities” for </w:t>
      </w:r>
      <w:r w:rsidR="00107204" w:rsidRPr="00C22A33">
        <w:t xml:space="preserve">the purposes of a request for information. </w:t>
      </w:r>
      <w:r w:rsidR="00655388">
        <w:t xml:space="preserve"> </w:t>
      </w:r>
      <w:r w:rsidR="00F935BD">
        <w:t xml:space="preserve">That question will be considered </w:t>
      </w:r>
      <w:r w:rsidR="00A12F98">
        <w:t>la</w:t>
      </w:r>
      <w:r w:rsidR="00F935BD">
        <w:t>ter in this judgment</w:t>
      </w:r>
      <w:r w:rsidR="00CC3458" w:rsidRPr="00AD720E">
        <w:t xml:space="preserve">. </w:t>
      </w:r>
    </w:p>
    <w:p w14:paraId="507E092C" w14:textId="77137BE0" w:rsidR="004C5408" w:rsidRPr="00914CD3" w:rsidRDefault="004C5408" w:rsidP="00947CEB">
      <w:pPr>
        <w:spacing w:line="480" w:lineRule="auto"/>
        <w:jc w:val="both"/>
      </w:pPr>
      <w:r w:rsidRPr="00947CEB">
        <w:rPr>
          <w:b/>
          <w:u w:val="single"/>
        </w:rPr>
        <w:t>The decision of the Commissioner on the request relating to the two speeches</w:t>
      </w:r>
    </w:p>
    <w:p w14:paraId="0E32C19E" w14:textId="513C46F3" w:rsidR="004C5408" w:rsidRDefault="004C5408" w:rsidP="004C5408">
      <w:pPr>
        <w:numPr>
          <w:ilvl w:val="0"/>
          <w:numId w:val="1"/>
        </w:numPr>
        <w:spacing w:line="480" w:lineRule="auto"/>
        <w:ind w:left="0" w:firstLine="0"/>
        <w:jc w:val="both"/>
      </w:pPr>
      <w:r>
        <w:t xml:space="preserve">The Commissioner’s decision concerning the two speeches made by the President was delivered on 29 May 2019 and runs to 14 pages.  The Commissioner </w:t>
      </w:r>
      <w:r w:rsidR="003F4271">
        <w:t>found that</w:t>
      </w:r>
      <w:r w:rsidR="003F4271" w:rsidRPr="003F4271">
        <w:t xml:space="preserve"> Article 13.8.1</w:t>
      </w:r>
      <w:r w:rsidR="00455DF0">
        <w:rPr>
          <w:rFonts w:ascii="Arial" w:hAnsi="Arial" w:cs="Arial"/>
          <w:color w:val="666666"/>
          <w:sz w:val="21"/>
          <w:szCs w:val="21"/>
          <w:shd w:val="clear" w:color="auto" w:fill="FFFFFF"/>
        </w:rPr>
        <w:t>°</w:t>
      </w:r>
      <w:r w:rsidR="003F4271" w:rsidRPr="003F4271">
        <w:t xml:space="preserve"> of the Constitution precludes the OSGP from being subject to the review procedure under </w:t>
      </w:r>
      <w:r w:rsidR="00655388">
        <w:t>Art</w:t>
      </w:r>
      <w:r w:rsidR="004625A6">
        <w:t>icle</w:t>
      </w:r>
      <w:r w:rsidR="003F4271" w:rsidRPr="003F4271">
        <w:t xml:space="preserve"> 6 of the AIE Directive insofar as the information </w:t>
      </w:r>
      <w:r w:rsidR="003D2894">
        <w:t xml:space="preserve">sought </w:t>
      </w:r>
      <w:r w:rsidR="003F4271" w:rsidRPr="003F4271">
        <w:t>relates to the exercise and performance of the powers and functions of the President</w:t>
      </w:r>
      <w:r w:rsidR="004625A6">
        <w:t>.</w:t>
      </w:r>
      <w:r>
        <w:t xml:space="preserve">  </w:t>
      </w:r>
      <w:r w:rsidR="003F4271" w:rsidRPr="003F4271">
        <w:t xml:space="preserve">He </w:t>
      </w:r>
      <w:r w:rsidR="003D2894">
        <w:t xml:space="preserve">held </w:t>
      </w:r>
      <w:r w:rsidR="003F4271" w:rsidRPr="003F4271">
        <w:t>that the OSGP is not a public authority within</w:t>
      </w:r>
      <w:r w:rsidR="00C7750E">
        <w:t xml:space="preserve"> </w:t>
      </w:r>
      <w:r w:rsidR="003F4271" w:rsidRPr="003F4271">
        <w:t>the meaning of</w:t>
      </w:r>
      <w:r w:rsidR="00C7750E">
        <w:t xml:space="preserve"> </w:t>
      </w:r>
      <w:r w:rsidR="005738CB">
        <w:t>Article</w:t>
      </w:r>
      <w:r w:rsidR="004338EA" w:rsidRPr="003F4271">
        <w:t xml:space="preserve"> </w:t>
      </w:r>
      <w:r w:rsidR="003F4271" w:rsidRPr="003F4271">
        <w:t>3 of the AIE Regulation</w:t>
      </w:r>
      <w:r w:rsidR="003F4271">
        <w:t>s.</w:t>
      </w:r>
      <w:r w:rsidR="003F4271">
        <w:rPr>
          <w:b/>
          <w:color w:val="FF0000"/>
        </w:rPr>
        <w:t xml:space="preserve"> </w:t>
      </w:r>
      <w:r>
        <w:t xml:space="preserve">The Commissioner therefore declined to hear the reviews on the basis that he had no jurisdiction to review the decision of the </w:t>
      </w:r>
      <w:r w:rsidR="003F4271" w:rsidRPr="003F4271">
        <w:t>OSGP</w:t>
      </w:r>
      <w:r>
        <w:t xml:space="preserve">.  </w:t>
      </w:r>
    </w:p>
    <w:p w14:paraId="4C3A7BB3" w14:textId="0E13DA1F" w:rsidR="004C5408" w:rsidRDefault="004C5408" w:rsidP="004C5408">
      <w:pPr>
        <w:numPr>
          <w:ilvl w:val="0"/>
          <w:numId w:val="1"/>
        </w:numPr>
        <w:spacing w:line="480" w:lineRule="auto"/>
        <w:ind w:left="0" w:firstLine="0"/>
        <w:jc w:val="both"/>
      </w:pPr>
      <w:r>
        <w:t xml:space="preserve">The Commissioner had regard to a Guidance Document provided by the Minister for the Environment, Community and Local Government on the implementation of the AIE Regulations, on the AIE Directive upon which the AIE Regulations are based, the Aarhus Convention and </w:t>
      </w:r>
      <w:r w:rsidR="00AA660A">
        <w:t>I</w:t>
      </w:r>
      <w:r>
        <w:t xml:space="preserve">mplementation </w:t>
      </w:r>
      <w:r w:rsidR="00AA660A">
        <w:t>G</w:t>
      </w:r>
      <w:r>
        <w:t xml:space="preserve">uide to Aarhus (second edition published in June 2014) and to the Constitution of Ireland.  </w:t>
      </w:r>
    </w:p>
    <w:p w14:paraId="7AA86FCB" w14:textId="505A6030" w:rsidR="004C5408" w:rsidRDefault="004C5408" w:rsidP="004C5408">
      <w:pPr>
        <w:numPr>
          <w:ilvl w:val="0"/>
          <w:numId w:val="1"/>
        </w:numPr>
        <w:spacing w:line="480" w:lineRule="auto"/>
        <w:ind w:left="0" w:firstLine="0"/>
        <w:jc w:val="both"/>
      </w:pPr>
      <w:r>
        <w:t>The Commissioner noted the change made by the Regulations of 2018</w:t>
      </w:r>
      <w:r w:rsidR="00095B7D">
        <w:t xml:space="preserve"> wh</w:t>
      </w:r>
      <w:r w:rsidR="00655388">
        <w:t>ich at</w:t>
      </w:r>
      <w:r>
        <w:t xml:space="preserve"> </w:t>
      </w:r>
      <w:r w:rsidR="004625A6">
        <w:t>Article</w:t>
      </w:r>
      <w:r>
        <w:t xml:space="preserve"> 3(2) expressly excluded the President, the </w:t>
      </w:r>
      <w:r w:rsidR="00761E06">
        <w:t>OGSP</w:t>
      </w:r>
      <w:r>
        <w:t xml:space="preserve">, the Council of State, but considered the change to do no more than clarify the </w:t>
      </w:r>
      <w:r w:rsidR="00801D6B">
        <w:t>pre-existing legal situation</w:t>
      </w:r>
      <w:r>
        <w:t>.</w:t>
      </w:r>
      <w:r w:rsidRPr="00914CD3">
        <w:t xml:space="preserve"> </w:t>
      </w:r>
    </w:p>
    <w:p w14:paraId="2AD5C2EC" w14:textId="2B1C0161" w:rsidR="004C5408" w:rsidRDefault="004C5408" w:rsidP="004C5408">
      <w:pPr>
        <w:numPr>
          <w:ilvl w:val="0"/>
          <w:numId w:val="1"/>
        </w:numPr>
        <w:spacing w:line="480" w:lineRule="auto"/>
        <w:ind w:left="0" w:firstLine="0"/>
        <w:jc w:val="both"/>
      </w:pPr>
      <w:r>
        <w:lastRenderedPageBreak/>
        <w:t>The Commissioner relied on the opinion of Advocate General</w:t>
      </w:r>
      <w:r w:rsidR="005738CB">
        <w:t xml:space="preserve"> </w:t>
      </w:r>
      <w:proofErr w:type="spellStart"/>
      <w:r w:rsidR="005738CB">
        <w:t>Sharpston</w:t>
      </w:r>
      <w:proofErr w:type="spellEnd"/>
      <w:r>
        <w:t xml:space="preserve"> in C-204/09</w:t>
      </w:r>
      <w:r w:rsidR="008E0C9B">
        <w:t>,</w:t>
      </w:r>
      <w:r>
        <w:t xml:space="preserve"> </w:t>
      </w:r>
      <w:proofErr w:type="spellStart"/>
      <w:r w:rsidRPr="00914CD3">
        <w:rPr>
          <w:i/>
        </w:rPr>
        <w:t>Flachglas</w:t>
      </w:r>
      <w:proofErr w:type="spellEnd"/>
      <w:r w:rsidRPr="00914CD3">
        <w:rPr>
          <w:i/>
        </w:rPr>
        <w:t xml:space="preserve"> </w:t>
      </w:r>
      <w:proofErr w:type="spellStart"/>
      <w:r w:rsidRPr="00914CD3">
        <w:rPr>
          <w:i/>
        </w:rPr>
        <w:t>Torgau</w:t>
      </w:r>
      <w:proofErr w:type="spellEnd"/>
      <w:r w:rsidRPr="00914CD3">
        <w:rPr>
          <w:i/>
        </w:rPr>
        <w:t xml:space="preserve"> GmbH v</w:t>
      </w:r>
      <w:r w:rsidR="001C4CDA">
        <w:rPr>
          <w:i/>
        </w:rPr>
        <w:t>.</w:t>
      </w:r>
      <w:r w:rsidRPr="00914CD3">
        <w:rPr>
          <w:i/>
        </w:rPr>
        <w:t xml:space="preserve"> Federal Republic of Germany</w:t>
      </w:r>
      <w:r w:rsidR="001C4CDA">
        <w:rPr>
          <w:iCs/>
        </w:rPr>
        <w:t>,</w:t>
      </w:r>
      <w:r w:rsidR="00655388">
        <w:rPr>
          <w:iCs/>
        </w:rPr>
        <w:t xml:space="preserve"> </w:t>
      </w:r>
      <w:r w:rsidR="00655388" w:rsidRPr="00655388">
        <w:rPr>
          <w:iCs/>
        </w:rPr>
        <w:t>ECLI:EU:C:2011:413</w:t>
      </w:r>
      <w:r w:rsidR="00C7750E">
        <w:rPr>
          <w:iCs/>
        </w:rPr>
        <w:t xml:space="preserve"> </w:t>
      </w:r>
      <w:r>
        <w:t xml:space="preserve">as authority for a general proposition that two exclusions are envisaged in </w:t>
      </w:r>
      <w:r w:rsidR="00B37BAC">
        <w:t>A</w:t>
      </w:r>
      <w:r>
        <w:t>rt</w:t>
      </w:r>
      <w:r w:rsidR="005738CB">
        <w:t>icle</w:t>
      </w:r>
      <w:r>
        <w:t xml:space="preserve"> 2(2)</w:t>
      </w:r>
      <w:r w:rsidR="00B37BAC">
        <w:t xml:space="preserve"> of the AIE Directive</w:t>
      </w:r>
      <w:r>
        <w:t xml:space="preserve">:  </w:t>
      </w:r>
    </w:p>
    <w:p w14:paraId="65A39B18" w14:textId="77777777" w:rsidR="004C5408" w:rsidRDefault="004C5408" w:rsidP="004C5408">
      <w:pPr>
        <w:pStyle w:val="ListParagraph"/>
        <w:numPr>
          <w:ilvl w:val="0"/>
          <w:numId w:val="8"/>
        </w:numPr>
        <w:spacing w:line="480" w:lineRule="auto"/>
        <w:jc w:val="both"/>
      </w:pPr>
      <w:r>
        <w:t xml:space="preserve">One relates to bodies when acting in a legislative or judicial capacity; and </w:t>
      </w:r>
    </w:p>
    <w:p w14:paraId="6DE8922A" w14:textId="78365C07" w:rsidR="0000651F" w:rsidRDefault="004C5408" w:rsidP="0000651F">
      <w:pPr>
        <w:pStyle w:val="ListParagraph"/>
        <w:numPr>
          <w:ilvl w:val="0"/>
          <w:numId w:val="8"/>
        </w:numPr>
        <w:spacing w:line="480" w:lineRule="auto"/>
        <w:jc w:val="both"/>
      </w:pPr>
      <w:r>
        <w:t xml:space="preserve">the second where a member’s constitutional provisions preclude a body’s decision from the review procedures in the Directive. </w:t>
      </w:r>
    </w:p>
    <w:p w14:paraId="067958AD" w14:textId="31EC5A1B" w:rsidR="0000651F" w:rsidRDefault="0000651F" w:rsidP="0000651F">
      <w:pPr>
        <w:numPr>
          <w:ilvl w:val="0"/>
          <w:numId w:val="1"/>
        </w:numPr>
        <w:spacing w:line="480" w:lineRule="auto"/>
        <w:ind w:left="0" w:firstLine="0"/>
        <w:jc w:val="both"/>
      </w:pPr>
      <w:r>
        <w:t xml:space="preserve">The Commissioner considered that </w:t>
      </w:r>
      <w:r w:rsidR="00B11796">
        <w:t>A</w:t>
      </w:r>
      <w:r>
        <w:t>rt</w:t>
      </w:r>
      <w:r w:rsidR="005738CB">
        <w:t>icle</w:t>
      </w:r>
      <w:r>
        <w:t xml:space="preserve"> 2(2) of the AIE Directive “allows for the continuation of a member state’s constitutional arrangements” with a view to avoiding a conflict between the provisions of the AIE Directive and </w:t>
      </w:r>
      <w:r w:rsidR="003D2894">
        <w:t xml:space="preserve">a </w:t>
      </w:r>
      <w:r>
        <w:t>national constitutional order.</w:t>
      </w:r>
    </w:p>
    <w:p w14:paraId="17D58EA5" w14:textId="5349940D" w:rsidR="004C5408" w:rsidRDefault="004C5408" w:rsidP="004C5408">
      <w:pPr>
        <w:numPr>
          <w:ilvl w:val="0"/>
          <w:numId w:val="1"/>
        </w:numPr>
        <w:spacing w:line="480" w:lineRule="auto"/>
        <w:ind w:left="0" w:firstLine="0"/>
        <w:jc w:val="both"/>
      </w:pPr>
      <w:r>
        <w:t xml:space="preserve">The Commissioner also had regard to the Aarhus Convention and the declaration made by the Council in relation to </w:t>
      </w:r>
      <w:r w:rsidR="00B11796">
        <w:t>A</w:t>
      </w:r>
      <w:r>
        <w:t>rt</w:t>
      </w:r>
      <w:r w:rsidR="005738CB">
        <w:t>icle</w:t>
      </w:r>
      <w:r>
        <w:t xml:space="preserve"> 9</w:t>
      </w:r>
      <w:r w:rsidR="00564FE6">
        <w:t xml:space="preserve"> of that Convention</w:t>
      </w:r>
      <w:r>
        <w:t xml:space="preserve"> by which Member States were given the possibility “in exceptional cases and under strictly specified conditions, to exclude certain institutions and bodies from the rules on review procedures in relation to decisions on request for information”.  The declaration provides as follows:</w:t>
      </w:r>
    </w:p>
    <w:p w14:paraId="76CE0A02" w14:textId="77777777" w:rsidR="004C5408" w:rsidRDefault="004C5408" w:rsidP="004C5408">
      <w:pPr>
        <w:spacing w:line="480" w:lineRule="auto"/>
        <w:ind w:left="720"/>
        <w:jc w:val="both"/>
      </w:pPr>
      <w:r>
        <w:t>“Therefore the ratification by the European Community of the Aarhus Convention encompasses any reservation by a member state of the European Community to the extent that such reservation is compatible with Article 2(2) and Article 6 of Directive 2003/4/EC.”</w:t>
      </w:r>
    </w:p>
    <w:p w14:paraId="5962E629" w14:textId="012115A0" w:rsidR="004C5408" w:rsidRDefault="004C5408" w:rsidP="004C5408">
      <w:pPr>
        <w:numPr>
          <w:ilvl w:val="0"/>
          <w:numId w:val="1"/>
        </w:numPr>
        <w:spacing w:line="480" w:lineRule="auto"/>
        <w:ind w:left="0" w:firstLine="0"/>
        <w:jc w:val="both"/>
      </w:pPr>
      <w:r>
        <w:t xml:space="preserve">The Commissioner then considered that </w:t>
      </w:r>
      <w:r w:rsidR="00B37BAC">
        <w:t xml:space="preserve">Ireland’s </w:t>
      </w:r>
      <w:r>
        <w:t xml:space="preserve">constitutional order </w:t>
      </w:r>
      <w:r w:rsidR="00C7750E">
        <w:t xml:space="preserve">meant </w:t>
      </w:r>
      <w:r w:rsidR="00B37BAC">
        <w:t>that it</w:t>
      </w:r>
      <w:r>
        <w:t xml:space="preserve"> was competent to</w:t>
      </w:r>
      <w:r w:rsidR="00F66EE2">
        <w:t xml:space="preserve"> exclude, and had in fact </w:t>
      </w:r>
      <w:r>
        <w:t>exclude</w:t>
      </w:r>
      <w:r w:rsidR="00F66EE2">
        <w:t>d,</w:t>
      </w:r>
      <w:r>
        <w:t xml:space="preserve"> the </w:t>
      </w:r>
      <w:r w:rsidR="003D2894">
        <w:t>o</w:t>
      </w:r>
      <w:r>
        <w:t xml:space="preserve">ffice of the President from review.  </w:t>
      </w:r>
    </w:p>
    <w:p w14:paraId="0DA34E0D" w14:textId="48C1932F" w:rsidR="00567F59" w:rsidRDefault="00567F59" w:rsidP="00567F59">
      <w:pPr>
        <w:numPr>
          <w:ilvl w:val="0"/>
          <w:numId w:val="1"/>
        </w:numPr>
        <w:spacing w:line="480" w:lineRule="auto"/>
        <w:ind w:left="0" w:firstLine="0"/>
        <w:jc w:val="both"/>
      </w:pPr>
      <w:r>
        <w:t>Finally, the Commissioner was satisfied that Article 13.8.1</w:t>
      </w:r>
      <w:r>
        <w:rPr>
          <w:rFonts w:ascii="Arial" w:hAnsi="Arial" w:cs="Arial"/>
          <w:color w:val="666666"/>
          <w:sz w:val="21"/>
          <w:szCs w:val="21"/>
          <w:shd w:val="clear" w:color="auto" w:fill="FFFFFF"/>
        </w:rPr>
        <w:t>°</w:t>
      </w:r>
      <w:r>
        <w:t xml:space="preserve"> of the Constitution precludes the President from the review procedure in </w:t>
      </w:r>
      <w:r w:rsidR="00B11796">
        <w:t>A</w:t>
      </w:r>
      <w:r>
        <w:t>rt</w:t>
      </w:r>
      <w:r w:rsidR="00564FE6">
        <w:t>icle</w:t>
      </w:r>
      <w:r>
        <w:t xml:space="preserve"> 6 of the AIE Directive and that express exclusion was not necessary for a Member State to avail of the exclusion in the</w:t>
      </w:r>
      <w:r w:rsidR="00643BCA">
        <w:t xml:space="preserve"> AIE</w:t>
      </w:r>
      <w:r>
        <w:t xml:space="preserve"> Directive.  </w:t>
      </w:r>
    </w:p>
    <w:p w14:paraId="2D336694" w14:textId="2CB90ECB" w:rsidR="004C5408" w:rsidRDefault="004C5408" w:rsidP="004C5408">
      <w:pPr>
        <w:numPr>
          <w:ilvl w:val="0"/>
          <w:numId w:val="1"/>
        </w:numPr>
        <w:spacing w:line="480" w:lineRule="auto"/>
        <w:ind w:left="0" w:firstLine="0"/>
        <w:jc w:val="both"/>
      </w:pPr>
      <w:r>
        <w:lastRenderedPageBreak/>
        <w:t xml:space="preserve">The Commissioner </w:t>
      </w:r>
      <w:r w:rsidR="00352C1B">
        <w:t xml:space="preserve">determined </w:t>
      </w:r>
      <w:r>
        <w:t>that</w:t>
      </w:r>
      <w:r w:rsidR="00352C1B">
        <w:t>, as</w:t>
      </w:r>
      <w:r>
        <w:t xml:space="preserve"> the administrative staff of the President are “integral to the exercise and performance of the powers and functions of the President”</w:t>
      </w:r>
      <w:r w:rsidR="000D7A02">
        <w:t>,</w:t>
      </w:r>
      <w:r>
        <w:t xml:space="preserve"> insofar as the </w:t>
      </w:r>
      <w:r w:rsidR="003D2894">
        <w:t>o</w:t>
      </w:r>
      <w:r>
        <w:t>ffice of the President held the relevant material concerning the speeches given by the President</w:t>
      </w:r>
      <w:r w:rsidR="00352C1B">
        <w:t xml:space="preserve">, </w:t>
      </w:r>
      <w:r w:rsidR="003D2894">
        <w:t>th</w:t>
      </w:r>
      <w:r w:rsidR="00C7750E">
        <w:t>e</w:t>
      </w:r>
      <w:r w:rsidR="003D2894">
        <w:t xml:space="preserve"> </w:t>
      </w:r>
      <w:r>
        <w:t>information was held in its capacity “of providing the necessary administrative support to the President in carrying out his or her powers or functions” and making it subject to review would be inconsistent with the immunity of the President pursuant to Article 13.8.1</w:t>
      </w:r>
      <w:r>
        <w:rPr>
          <w:rFonts w:ascii="Arial" w:hAnsi="Arial" w:cs="Arial"/>
          <w:color w:val="666666"/>
          <w:sz w:val="21"/>
          <w:szCs w:val="21"/>
          <w:shd w:val="clear" w:color="auto" w:fill="FFFFFF"/>
        </w:rPr>
        <w:t>°</w:t>
      </w:r>
      <w:r>
        <w:t xml:space="preserve"> of the Constitution.  He held therefore that the constitutional immunity afforded to the President is not limited to the person of the President but extends to his or her office and any means necessary to carry out the functions of that office.</w:t>
      </w:r>
    </w:p>
    <w:p w14:paraId="2F5D9D5A" w14:textId="77777777" w:rsidR="004C5408" w:rsidRPr="00A70CC4" w:rsidRDefault="004C5408" w:rsidP="004C5408">
      <w:pPr>
        <w:spacing w:line="480" w:lineRule="auto"/>
        <w:jc w:val="both"/>
        <w:rPr>
          <w:b/>
          <w:u w:val="single"/>
        </w:rPr>
      </w:pPr>
      <w:r w:rsidRPr="00A70CC4">
        <w:rPr>
          <w:b/>
          <w:u w:val="single"/>
        </w:rPr>
        <w:t>The decision on the request to the Council of State</w:t>
      </w:r>
    </w:p>
    <w:p w14:paraId="481193CB" w14:textId="5B440F8D" w:rsidR="004C5408" w:rsidRDefault="004C5408" w:rsidP="003D2894">
      <w:pPr>
        <w:numPr>
          <w:ilvl w:val="0"/>
          <w:numId w:val="1"/>
        </w:numPr>
        <w:spacing w:line="480" w:lineRule="auto"/>
        <w:ind w:left="0" w:firstLine="0"/>
        <w:jc w:val="both"/>
      </w:pPr>
      <w:r>
        <w:t>Th</w:t>
      </w:r>
      <w:r w:rsidR="009130D2">
        <w:t>e</w:t>
      </w:r>
      <w:r>
        <w:t xml:space="preserve"> decision was given by the Commissioner on 17 June 2019 and runs to 13 pages.  Again he relied on the immunity afforded to the President under Article 13.8.1</w:t>
      </w:r>
      <w:r>
        <w:rPr>
          <w:rFonts w:ascii="Arial" w:hAnsi="Arial" w:cs="Arial"/>
          <w:color w:val="666666"/>
          <w:sz w:val="21"/>
          <w:szCs w:val="21"/>
          <w:shd w:val="clear" w:color="auto" w:fill="FFFFFF"/>
        </w:rPr>
        <w:t>°</w:t>
      </w:r>
      <w:r>
        <w:t xml:space="preserve"> of the Constitution and concluded first</w:t>
      </w:r>
      <w:r w:rsidR="003D2894">
        <w:t>,</w:t>
      </w:r>
      <w:r>
        <w:t xml:space="preserve"> that the request for information, while it was argued to have been made </w:t>
      </w:r>
      <w:r w:rsidR="009130D2">
        <w:t>to</w:t>
      </w:r>
      <w:r>
        <w:t xml:space="preserve"> the Council of State, was in substance made to the OSGP and that that </w:t>
      </w:r>
      <w:r w:rsidR="003D2894">
        <w:t>o</w:t>
      </w:r>
      <w:r>
        <w:t xml:space="preserve">ffice was the appropriate respondent.  His conclusion was that the information requested concerned the legislative powers and functions of the President under the Constitution and again relied on </w:t>
      </w:r>
      <w:proofErr w:type="spellStart"/>
      <w:r w:rsidR="001C4CDA" w:rsidRPr="00914CD3">
        <w:rPr>
          <w:i/>
        </w:rPr>
        <w:t>Flachglas</w:t>
      </w:r>
      <w:proofErr w:type="spellEnd"/>
      <w:r w:rsidR="001C4CDA" w:rsidRPr="00914CD3">
        <w:rPr>
          <w:i/>
        </w:rPr>
        <w:t xml:space="preserve"> </w:t>
      </w:r>
      <w:proofErr w:type="spellStart"/>
      <w:r w:rsidR="001C4CDA" w:rsidRPr="00914CD3">
        <w:rPr>
          <w:i/>
        </w:rPr>
        <w:t>Torgau</w:t>
      </w:r>
      <w:proofErr w:type="spellEnd"/>
      <w:r w:rsidR="001C4CDA" w:rsidRPr="00914CD3">
        <w:rPr>
          <w:i/>
        </w:rPr>
        <w:t xml:space="preserve"> GmbH v</w:t>
      </w:r>
      <w:r w:rsidR="001C4CDA">
        <w:rPr>
          <w:i/>
        </w:rPr>
        <w:t>.</w:t>
      </w:r>
      <w:r w:rsidR="001C4CDA" w:rsidRPr="00914CD3">
        <w:rPr>
          <w:i/>
        </w:rPr>
        <w:t xml:space="preserve"> Federal Republic of Germany</w:t>
      </w:r>
      <w:r w:rsidR="001C4CDA">
        <w:rPr>
          <w:iCs/>
        </w:rPr>
        <w:t>.</w:t>
      </w:r>
    </w:p>
    <w:p w14:paraId="022E01D2" w14:textId="5D156A77" w:rsidR="00883FC2" w:rsidRDefault="004C5408" w:rsidP="004C5408">
      <w:pPr>
        <w:numPr>
          <w:ilvl w:val="0"/>
          <w:numId w:val="1"/>
        </w:numPr>
        <w:spacing w:line="480" w:lineRule="auto"/>
        <w:ind w:left="0" w:firstLine="0"/>
        <w:jc w:val="both"/>
      </w:pPr>
      <w:r>
        <w:t xml:space="preserve">Specifically, the Commissioner decided that the </w:t>
      </w:r>
      <w:r w:rsidR="000E3F7D">
        <w:t xml:space="preserve">constitutional </w:t>
      </w:r>
      <w:r>
        <w:t xml:space="preserve">immunity of the President in the exercise and performance of his powers and functions extended to the Council of State as any other view would undermine </w:t>
      </w:r>
      <w:r w:rsidR="0083355D">
        <w:t xml:space="preserve">its </w:t>
      </w:r>
      <w:r>
        <w:t xml:space="preserve">constitutional advisory role to the President and would interfere with the exercise and performance of the President’s powers and functions.  He concluded that he did not have any jurisdiction to review a decision by the Council of State under </w:t>
      </w:r>
      <w:r w:rsidR="00564FE6">
        <w:t>Article</w:t>
      </w:r>
      <w:r>
        <w:t xml:space="preserve"> 12 of the AIE Regulations as this would “place an impediment between the President and his or her constitutional advisor, thereby interfering with the exercise and performance of the President’s powers and functions”. </w:t>
      </w:r>
    </w:p>
    <w:p w14:paraId="72992AD1" w14:textId="77777777" w:rsidR="00356047" w:rsidRPr="0047639F" w:rsidRDefault="00356047">
      <w:pPr>
        <w:spacing w:line="480" w:lineRule="auto"/>
        <w:jc w:val="both"/>
        <w:rPr>
          <w:b/>
          <w:u w:val="single"/>
        </w:rPr>
      </w:pPr>
    </w:p>
    <w:p w14:paraId="005FB488" w14:textId="3C2500B6" w:rsidR="00292FCA" w:rsidRPr="007A4707" w:rsidRDefault="00292FCA" w:rsidP="00292FCA">
      <w:pPr>
        <w:spacing w:line="480" w:lineRule="auto"/>
        <w:jc w:val="both"/>
        <w:rPr>
          <w:b/>
          <w:u w:val="single"/>
        </w:rPr>
      </w:pPr>
      <w:r w:rsidRPr="007A4707">
        <w:rPr>
          <w:b/>
          <w:u w:val="single"/>
        </w:rPr>
        <w:lastRenderedPageBreak/>
        <w:t xml:space="preserve">The </w:t>
      </w:r>
      <w:r>
        <w:rPr>
          <w:b/>
          <w:u w:val="single"/>
        </w:rPr>
        <w:t>High Court decision</w:t>
      </w:r>
    </w:p>
    <w:p w14:paraId="65516FAF" w14:textId="19A233B2" w:rsidR="00883FC2" w:rsidRDefault="00564FE6" w:rsidP="00292FCA">
      <w:pPr>
        <w:numPr>
          <w:ilvl w:val="0"/>
          <w:numId w:val="1"/>
        </w:numPr>
        <w:spacing w:line="480" w:lineRule="auto"/>
        <w:ind w:left="0" w:firstLine="0"/>
        <w:jc w:val="both"/>
      </w:pPr>
      <w:r>
        <w:t>In t</w:t>
      </w:r>
      <w:r w:rsidR="00292FCA">
        <w:t xml:space="preserve">he High Court </w:t>
      </w:r>
      <w:r>
        <w:t>Barr J.</w:t>
      </w:r>
      <w:r w:rsidR="00292FCA">
        <w:t xml:space="preserve"> held that the Commissioner had erred in law because, whilst the AIE Directive did permit a Member State to exclude bodies which</w:t>
      </w:r>
      <w:r w:rsidR="00883FC2">
        <w:t xml:space="preserve"> </w:t>
      </w:r>
      <w:r w:rsidR="00292FCA">
        <w:t xml:space="preserve">on the date of its adoption were constitutionally immune from review, this is an option </w:t>
      </w:r>
      <w:r w:rsidR="00883FC2">
        <w:t>to expressly exclude which was not</w:t>
      </w:r>
      <w:r w:rsidR="00292FCA">
        <w:t xml:space="preserve"> exercised by Ireland </w:t>
      </w:r>
      <w:r w:rsidR="0083355D">
        <w:t xml:space="preserve">in its implementing measures </w:t>
      </w:r>
      <w:r w:rsidR="00292FCA">
        <w:t xml:space="preserve">in the AIE Regulations.  </w:t>
      </w:r>
    </w:p>
    <w:p w14:paraId="729D8192" w14:textId="3E75D82E" w:rsidR="00292FCA" w:rsidRDefault="00173162" w:rsidP="00292FCA">
      <w:pPr>
        <w:numPr>
          <w:ilvl w:val="0"/>
          <w:numId w:val="1"/>
        </w:numPr>
        <w:spacing w:line="480" w:lineRule="auto"/>
        <w:ind w:left="0" w:firstLine="0"/>
        <w:jc w:val="both"/>
      </w:pPr>
      <w:r>
        <w:t>He therefore a</w:t>
      </w:r>
      <w:r w:rsidRPr="00173162">
        <w:t>llow</w:t>
      </w:r>
      <w:r>
        <w:t>ed</w:t>
      </w:r>
      <w:r w:rsidRPr="00173162">
        <w:t xml:space="preserve"> the appeal insofar as it relates to the request for documentation concerning the speeches made by the President</w:t>
      </w:r>
      <w:r>
        <w:t>,</w:t>
      </w:r>
      <w:r w:rsidR="004625A6">
        <w:t xml:space="preserve"> </w:t>
      </w:r>
      <w:r w:rsidRPr="00173162">
        <w:t xml:space="preserve">set aside the finding of the </w:t>
      </w:r>
      <w:r>
        <w:t xml:space="preserve">Commissioner </w:t>
      </w:r>
      <w:r w:rsidRPr="00173162">
        <w:t>that the notice party was not a public authority at the time of that request</w:t>
      </w:r>
      <w:r>
        <w:t xml:space="preserve"> and </w:t>
      </w:r>
      <w:r w:rsidRPr="00173162">
        <w:t>remi</w:t>
      </w:r>
      <w:r>
        <w:t>tte</w:t>
      </w:r>
      <w:r w:rsidRPr="00173162">
        <w:t xml:space="preserve">d the matter to the </w:t>
      </w:r>
      <w:r>
        <w:t xml:space="preserve">Commissioner </w:t>
      </w:r>
      <w:r w:rsidRPr="00173162">
        <w:t xml:space="preserve">for him to consider the request in light of this </w:t>
      </w:r>
      <w:r w:rsidR="0083355D">
        <w:t>conclusion</w:t>
      </w:r>
      <w:r>
        <w:t>.</w:t>
      </w:r>
      <w:r w:rsidR="00292FCA">
        <w:t xml:space="preserve">  </w:t>
      </w:r>
    </w:p>
    <w:p w14:paraId="1F80B8C6" w14:textId="088399EA" w:rsidR="00292FCA" w:rsidRDefault="00801D6B" w:rsidP="00292FCA">
      <w:pPr>
        <w:numPr>
          <w:ilvl w:val="0"/>
          <w:numId w:val="1"/>
        </w:numPr>
        <w:spacing w:line="480" w:lineRule="auto"/>
        <w:ind w:left="0" w:firstLine="0"/>
        <w:jc w:val="both"/>
      </w:pPr>
      <w:r>
        <w:t>Regarding the second request, o</w:t>
      </w:r>
      <w:r w:rsidR="00292FCA">
        <w:t>n the Council of State appeal</w:t>
      </w:r>
      <w:r>
        <w:t>,</w:t>
      </w:r>
      <w:r w:rsidR="00292FCA">
        <w:t xml:space="preserve"> </w:t>
      </w:r>
      <w:r w:rsidR="00564FE6">
        <w:t>Barr J.</w:t>
      </w:r>
      <w:r w:rsidR="00292FCA">
        <w:t xml:space="preserve"> concluded that the Council of State was not amenable to review because it was assisting the President in the exercise of his legislative function under Article 26 of the Constitution and was </w:t>
      </w:r>
      <w:r w:rsidR="0047639F">
        <w:t xml:space="preserve">therefore </w:t>
      </w:r>
      <w:r w:rsidR="00292FCA">
        <w:t xml:space="preserve">excluded under </w:t>
      </w:r>
      <w:r w:rsidR="005F7A44">
        <w:t xml:space="preserve">the first part of the exclusion in </w:t>
      </w:r>
      <w:r w:rsidR="00564FE6">
        <w:t>Article</w:t>
      </w:r>
      <w:r w:rsidR="00292FCA">
        <w:t xml:space="preserve"> 3(2) of the AIE Regulations.</w:t>
      </w:r>
    </w:p>
    <w:p w14:paraId="60774C2D" w14:textId="13BF42EE" w:rsidR="00CC3458" w:rsidRPr="00013B48" w:rsidRDefault="00CC3458" w:rsidP="00B2607B">
      <w:pPr>
        <w:spacing w:line="480" w:lineRule="auto"/>
        <w:jc w:val="both"/>
        <w:rPr>
          <w:b/>
          <w:bCs/>
          <w:u w:val="single"/>
        </w:rPr>
      </w:pPr>
      <w:r w:rsidRPr="00013B48">
        <w:rPr>
          <w:b/>
          <w:bCs/>
          <w:u w:val="single"/>
        </w:rPr>
        <w:t xml:space="preserve">This appeal </w:t>
      </w:r>
    </w:p>
    <w:p w14:paraId="4705586F" w14:textId="300511A8" w:rsidR="00CC3458" w:rsidRPr="00B2607B" w:rsidRDefault="00CC3458" w:rsidP="00CC3458">
      <w:pPr>
        <w:numPr>
          <w:ilvl w:val="0"/>
          <w:numId w:val="1"/>
        </w:numPr>
        <w:spacing w:line="480" w:lineRule="auto"/>
        <w:ind w:left="0" w:firstLine="0"/>
        <w:jc w:val="both"/>
        <w:rPr>
          <w:b/>
          <w:i/>
        </w:rPr>
      </w:pPr>
      <w:r>
        <w:t>The parties were granted leave to bring a leapfrog appeal</w:t>
      </w:r>
      <w:r w:rsidR="00875021">
        <w:t xml:space="preserve"> pursuant to Article 34.5.4</w:t>
      </w:r>
      <w:r w:rsidR="004625A6">
        <w:rPr>
          <w:rFonts w:ascii="Arial" w:hAnsi="Arial" w:cs="Arial"/>
          <w:color w:val="666666"/>
          <w:sz w:val="21"/>
          <w:szCs w:val="21"/>
          <w:shd w:val="clear" w:color="auto" w:fill="FFFFFF"/>
        </w:rPr>
        <w:t>°</w:t>
      </w:r>
      <w:r w:rsidR="00875021">
        <w:t xml:space="preserve"> of the Constitution</w:t>
      </w:r>
      <w:r>
        <w:t xml:space="preserve"> to this Court on the grounds that the matters </w:t>
      </w:r>
      <w:r w:rsidR="0047639F">
        <w:t xml:space="preserve">raised </w:t>
      </w:r>
      <w:r>
        <w:t xml:space="preserve">were of </w:t>
      </w:r>
      <w:r w:rsidR="00173162" w:rsidRPr="00173162">
        <w:t xml:space="preserve">general public </w:t>
      </w:r>
      <w:r>
        <w:t xml:space="preserve">importance.  </w:t>
      </w:r>
    </w:p>
    <w:p w14:paraId="77E114F5" w14:textId="49F3380C" w:rsidR="00CC3458" w:rsidRDefault="00CC3458" w:rsidP="00CC3458">
      <w:pPr>
        <w:numPr>
          <w:ilvl w:val="0"/>
          <w:numId w:val="1"/>
        </w:numPr>
        <w:spacing w:line="480" w:lineRule="auto"/>
        <w:ind w:left="0" w:firstLine="0"/>
        <w:jc w:val="both"/>
      </w:pPr>
      <w:r>
        <w:t xml:space="preserve">Extensive submissions have been furnished by the State parties, by the Commissioner and by </w:t>
      </w:r>
      <w:r w:rsidR="00F27750">
        <w:t>Right to Know</w:t>
      </w:r>
      <w:r>
        <w:t>, and there are replying submissions by the State parties to the cross</w:t>
      </w:r>
      <w:r w:rsidR="00C42236">
        <w:t>-</w:t>
      </w:r>
      <w:r>
        <w:t xml:space="preserve">appeal.  </w:t>
      </w:r>
    </w:p>
    <w:p w14:paraId="3D6383E2" w14:textId="12BA0E50" w:rsidR="00292FCA" w:rsidRDefault="00CC3458" w:rsidP="00292FCA">
      <w:pPr>
        <w:numPr>
          <w:ilvl w:val="0"/>
          <w:numId w:val="1"/>
        </w:numPr>
        <w:spacing w:line="480" w:lineRule="auto"/>
        <w:ind w:left="0" w:firstLine="0"/>
        <w:jc w:val="both"/>
      </w:pPr>
      <w:r w:rsidRPr="00587C50">
        <w:t>I</w:t>
      </w:r>
      <w:r w:rsidR="00292FCA" w:rsidRPr="00A30D25">
        <w:t>t</w:t>
      </w:r>
      <w:r w:rsidR="00292FCA">
        <w:t xml:space="preserve"> is fair to say that the arguments evolved considerably in the course of oral submissions to th</w:t>
      </w:r>
      <w:r w:rsidR="00D66A10">
        <w:t>is</w:t>
      </w:r>
      <w:r w:rsidR="00292FCA">
        <w:t xml:space="preserve"> </w:t>
      </w:r>
      <w:r w:rsidR="00D66A10">
        <w:t>C</w:t>
      </w:r>
      <w:r w:rsidR="00292FCA">
        <w:t>ourt</w:t>
      </w:r>
      <w:r w:rsidR="00883FC2">
        <w:t>, where</w:t>
      </w:r>
      <w:r w:rsidR="00292FCA">
        <w:t xml:space="preserve"> the primary issue engaged </w:t>
      </w:r>
      <w:r w:rsidR="00883FC2">
        <w:t>was</w:t>
      </w:r>
      <w:r w:rsidR="00292FCA">
        <w:t xml:space="preserve"> the possible effect of the </w:t>
      </w:r>
      <w:r w:rsidR="0066000C">
        <w:t xml:space="preserve">constitutional </w:t>
      </w:r>
      <w:r w:rsidR="00292FCA">
        <w:t xml:space="preserve">immunity </w:t>
      </w:r>
      <w:r w:rsidR="005F7A44">
        <w:t xml:space="preserve">of the </w:t>
      </w:r>
      <w:r w:rsidR="00E959F3">
        <w:t>P</w:t>
      </w:r>
      <w:r w:rsidR="005F7A44">
        <w:t xml:space="preserve">resident </w:t>
      </w:r>
      <w:r w:rsidR="00292FCA">
        <w:t xml:space="preserve">and whether this could provide a complete answer to the appeal. </w:t>
      </w:r>
      <w:r w:rsidR="001C4CDA">
        <w:t xml:space="preserve"> </w:t>
      </w:r>
      <w:r w:rsidR="00292FCA">
        <w:t xml:space="preserve">Counsel for the </w:t>
      </w:r>
      <w:r w:rsidR="0066000C">
        <w:t>S</w:t>
      </w:r>
      <w:r w:rsidR="00292FCA">
        <w:t xml:space="preserve">tate parties argued that the immunity precluded the application to the Commissioner and </w:t>
      </w:r>
      <w:r w:rsidR="00292FCA" w:rsidRPr="00552B09">
        <w:rPr>
          <w:i/>
        </w:rPr>
        <w:t>ipso facto</w:t>
      </w:r>
      <w:r w:rsidR="00292FCA">
        <w:t xml:space="preserve"> the appeal to the High Court and to this </w:t>
      </w:r>
      <w:r w:rsidR="00394139">
        <w:t>C</w:t>
      </w:r>
      <w:r w:rsidR="00292FCA">
        <w:t xml:space="preserve">ourt. </w:t>
      </w:r>
      <w:r w:rsidR="00883FC2">
        <w:t xml:space="preserve"> </w:t>
      </w:r>
      <w:r w:rsidR="00F27750">
        <w:t xml:space="preserve">Right to Know </w:t>
      </w:r>
      <w:r w:rsidR="00292FCA">
        <w:t xml:space="preserve">argued that the presidential immunity must have regard to the </w:t>
      </w:r>
      <w:r w:rsidR="004625A6">
        <w:lastRenderedPageBreak/>
        <w:t xml:space="preserve">supremacy </w:t>
      </w:r>
      <w:r w:rsidR="00292FCA">
        <w:t xml:space="preserve">of </w:t>
      </w:r>
      <w:r w:rsidR="00B74CBF">
        <w:t>U</w:t>
      </w:r>
      <w:r w:rsidR="00292FCA">
        <w:t xml:space="preserve">nion law and must give way where EU membership requires implementation of </w:t>
      </w:r>
      <w:r w:rsidR="001C4CDA">
        <w:t xml:space="preserve">EU </w:t>
      </w:r>
      <w:r w:rsidR="00292FCA">
        <w:t xml:space="preserve">law with which it is inconsistent. </w:t>
      </w:r>
      <w:r w:rsidR="001C4CDA">
        <w:t xml:space="preserve"> </w:t>
      </w:r>
      <w:r w:rsidR="00292FCA">
        <w:t>That argument will in due course involve a consideration of whether the presidential immunity is to be understood as having been displaced by reason of the AI</w:t>
      </w:r>
      <w:r w:rsidR="00B74CBF">
        <w:t>E</w:t>
      </w:r>
      <w:r w:rsidR="00292FCA">
        <w:t xml:space="preserve"> </w:t>
      </w:r>
      <w:r w:rsidR="00B74CBF">
        <w:t>D</w:t>
      </w:r>
      <w:r w:rsidR="00292FCA">
        <w:t>irective and whether transposition necessitated a relaxation of that immunity.</w:t>
      </w:r>
    </w:p>
    <w:p w14:paraId="4ED71B4A" w14:textId="1D4D4760" w:rsidR="00B74CBF" w:rsidRDefault="00B74CBF" w:rsidP="00292FCA">
      <w:pPr>
        <w:numPr>
          <w:ilvl w:val="0"/>
          <w:numId w:val="1"/>
        </w:numPr>
        <w:spacing w:line="480" w:lineRule="auto"/>
        <w:ind w:left="0" w:firstLine="0"/>
        <w:jc w:val="both"/>
      </w:pPr>
      <w:r>
        <w:t>I propose to first deal with the parties to the appeal and their functions and place in the constitutional order</w:t>
      </w:r>
      <w:r w:rsidR="00D66A10">
        <w:t xml:space="preserve"> before considering the constitutional immunity of the President.</w:t>
      </w:r>
    </w:p>
    <w:p w14:paraId="5323DD83" w14:textId="522732C3" w:rsidR="00245850" w:rsidRPr="004951C1" w:rsidRDefault="00245850" w:rsidP="00245850">
      <w:pPr>
        <w:spacing w:line="480" w:lineRule="auto"/>
        <w:jc w:val="both"/>
        <w:rPr>
          <w:b/>
          <w:u w:val="single"/>
        </w:rPr>
      </w:pPr>
      <w:r w:rsidRPr="004951C1">
        <w:rPr>
          <w:b/>
          <w:u w:val="single"/>
        </w:rPr>
        <w:t xml:space="preserve">The President </w:t>
      </w:r>
    </w:p>
    <w:p w14:paraId="21F5D0DE" w14:textId="775AE180" w:rsidR="00245850" w:rsidRDefault="00245850" w:rsidP="00245850">
      <w:pPr>
        <w:numPr>
          <w:ilvl w:val="0"/>
          <w:numId w:val="1"/>
        </w:numPr>
        <w:spacing w:line="480" w:lineRule="auto"/>
        <w:ind w:left="0" w:firstLine="0"/>
        <w:jc w:val="both"/>
      </w:pPr>
      <w:r>
        <w:t xml:space="preserve">The </w:t>
      </w:r>
      <w:r w:rsidR="00D66A10">
        <w:t>o</w:t>
      </w:r>
      <w:r>
        <w:t>ffice of the President of Ireland is created by Article 12</w:t>
      </w:r>
      <w:r w:rsidR="00801D6B">
        <w:t>.1</w:t>
      </w:r>
      <w:r>
        <w:t xml:space="preserve"> of the Constitution:</w:t>
      </w:r>
    </w:p>
    <w:p w14:paraId="6E5AAC2A" w14:textId="77777777" w:rsidR="00245850" w:rsidRDefault="00245850" w:rsidP="00245850">
      <w:pPr>
        <w:spacing w:line="480" w:lineRule="auto"/>
        <w:ind w:left="720"/>
        <w:jc w:val="both"/>
      </w:pPr>
      <w:r>
        <w:t>“</w:t>
      </w:r>
      <w:r w:rsidRPr="0027144F">
        <w:t>There shall be a President of Ireland (</w:t>
      </w:r>
      <w:proofErr w:type="spellStart"/>
      <w:r w:rsidRPr="006F568F">
        <w:t>Uachtarán</w:t>
      </w:r>
      <w:proofErr w:type="spellEnd"/>
      <w:r w:rsidRPr="006F568F">
        <w:t xml:space="preserve"> </w:t>
      </w:r>
      <w:proofErr w:type="spellStart"/>
      <w:r w:rsidRPr="006F568F">
        <w:t>na</w:t>
      </w:r>
      <w:proofErr w:type="spellEnd"/>
      <w:r w:rsidRPr="006F568F">
        <w:t xml:space="preserve"> </w:t>
      </w:r>
      <w:proofErr w:type="spellStart"/>
      <w:r w:rsidRPr="006F568F">
        <w:t>hÉireann</w:t>
      </w:r>
      <w:proofErr w:type="spellEnd"/>
      <w:r w:rsidRPr="0027144F">
        <w:t>), hereinafter called the President, who shall take precedence over all other persons in the State and who shall exercise and perform the powers and functions conferred on the President by this Constitution and by law.</w:t>
      </w:r>
      <w:r>
        <w:t>”</w:t>
      </w:r>
    </w:p>
    <w:p w14:paraId="5B171AC5" w14:textId="1EB8B869" w:rsidR="00354ADF" w:rsidRPr="006B7C6F" w:rsidRDefault="000026AC" w:rsidP="00354ADF">
      <w:pPr>
        <w:numPr>
          <w:ilvl w:val="0"/>
          <w:numId w:val="1"/>
        </w:numPr>
        <w:spacing w:line="480" w:lineRule="auto"/>
        <w:ind w:left="0" w:firstLine="0"/>
        <w:jc w:val="both"/>
        <w:rPr>
          <w:i/>
        </w:rPr>
      </w:pPr>
      <w:r>
        <w:t>Th</w:t>
      </w:r>
      <w:r w:rsidR="00F935BD">
        <w:t>is</w:t>
      </w:r>
      <w:r>
        <w:t xml:space="preserve"> </w:t>
      </w:r>
      <w:r w:rsidR="00354ADF">
        <w:t xml:space="preserve">overarching </w:t>
      </w:r>
      <w:r w:rsidR="00F935BD">
        <w:t xml:space="preserve">constitutional role </w:t>
      </w:r>
      <w:r w:rsidR="00354ADF">
        <w:t>of the President</w:t>
      </w:r>
      <w:r w:rsidR="00F935BD">
        <w:t>, albeit one constrained by the limitations of office analysed below,</w:t>
      </w:r>
      <w:r w:rsidR="00354ADF">
        <w:t xml:space="preserve"> must be seen as a fundamental principle which guides any approach to an analysis of h</w:t>
      </w:r>
      <w:r w:rsidR="001C4CDA">
        <w:t>is</w:t>
      </w:r>
      <w:r w:rsidR="00354ADF">
        <w:t xml:space="preserve"> or her powers, especially when taken in conjunction with the immunity conferred by Ar</w:t>
      </w:r>
      <w:r w:rsidR="00883FC2">
        <w:t>ticle</w:t>
      </w:r>
      <w:r w:rsidR="00354ADF">
        <w:t xml:space="preserve"> 13.8.1</w:t>
      </w:r>
      <w:r w:rsidR="00455DF0">
        <w:rPr>
          <w:rFonts w:ascii="Arial" w:hAnsi="Arial" w:cs="Arial"/>
          <w:color w:val="666666"/>
          <w:sz w:val="21"/>
          <w:szCs w:val="21"/>
          <w:shd w:val="clear" w:color="auto" w:fill="FFFFFF"/>
        </w:rPr>
        <w:t>°</w:t>
      </w:r>
      <w:r w:rsidR="00883FC2">
        <w:t>.</w:t>
      </w:r>
    </w:p>
    <w:p w14:paraId="278BA718" w14:textId="2F876631" w:rsidR="00245850" w:rsidRPr="006C1C78" w:rsidRDefault="00245850" w:rsidP="00245850">
      <w:pPr>
        <w:numPr>
          <w:ilvl w:val="0"/>
          <w:numId w:val="1"/>
        </w:numPr>
        <w:spacing w:line="480" w:lineRule="auto"/>
        <w:ind w:left="0" w:firstLine="0"/>
        <w:jc w:val="both"/>
        <w:rPr>
          <w:i/>
        </w:rPr>
      </w:pPr>
      <w:r>
        <w:t>The President enjoys from the Constitution a number of different and sometimes overlapping roles.  First, the President has a ceremonial role a</w:t>
      </w:r>
      <w:r w:rsidR="00EE7FE9">
        <w:t xml:space="preserve">nd takes precedence </w:t>
      </w:r>
      <w:r w:rsidR="00A405F1">
        <w:t xml:space="preserve">over all other persons in the State </w:t>
      </w:r>
      <w:r>
        <w:t xml:space="preserve">under Article 12.  </w:t>
      </w:r>
      <w:r w:rsidR="005F7A44">
        <w:t>He or she</w:t>
      </w:r>
      <w:r>
        <w:t xml:space="preserve"> is the Commander in Chief of the Defence Forces (Article 13.4 and</w:t>
      </w:r>
      <w:r w:rsidR="00564FE6">
        <w:t xml:space="preserve"> Article</w:t>
      </w:r>
      <w:r>
        <w:t xml:space="preserve"> 13.5).  The President may </w:t>
      </w:r>
      <w:r w:rsidR="005F7A44" w:rsidRPr="005F7A44">
        <w:t xml:space="preserve">communicate with the </w:t>
      </w:r>
      <w:r w:rsidR="005F7A44">
        <w:t>H</w:t>
      </w:r>
      <w:r w:rsidR="005F7A44" w:rsidRPr="005F7A44">
        <w:t>ouses of the Oireachtas by message or address on any matter of national or public importance</w:t>
      </w:r>
      <w:r>
        <w:t xml:space="preserve"> </w:t>
      </w:r>
      <w:r w:rsidR="00D1387A">
        <w:t xml:space="preserve">and </w:t>
      </w:r>
      <w:r>
        <w:t xml:space="preserve">may address a message to the nation at any time on any such matter (Article 13.7).  </w:t>
      </w:r>
      <w:r w:rsidR="00282D59">
        <w:t>In each case the power is exercisable after consultation with the Council of State.</w:t>
      </w:r>
    </w:p>
    <w:p w14:paraId="47FC3233" w14:textId="599734C0" w:rsidR="00AC4185" w:rsidRPr="006578DB" w:rsidRDefault="005F7A44" w:rsidP="00245850">
      <w:pPr>
        <w:numPr>
          <w:ilvl w:val="0"/>
          <w:numId w:val="1"/>
        </w:numPr>
        <w:spacing w:line="480" w:lineRule="auto"/>
        <w:ind w:left="0" w:firstLine="0"/>
        <w:jc w:val="both"/>
        <w:rPr>
          <w:rStyle w:val="CommentReference"/>
          <w:i/>
          <w:sz w:val="24"/>
          <w:szCs w:val="24"/>
        </w:rPr>
      </w:pPr>
      <w:r>
        <w:t>T</w:t>
      </w:r>
      <w:r w:rsidR="00A6665B">
        <w:t xml:space="preserve">he </w:t>
      </w:r>
      <w:r w:rsidR="00245850">
        <w:t xml:space="preserve">President also performs </w:t>
      </w:r>
      <w:r w:rsidR="000034D0">
        <w:t>constitutional functions</w:t>
      </w:r>
      <w:r w:rsidR="00382A12">
        <w:t>,</w:t>
      </w:r>
      <w:r w:rsidR="00245850">
        <w:t xml:space="preserve"> including </w:t>
      </w:r>
      <w:r w:rsidR="000D668F">
        <w:t xml:space="preserve">those </w:t>
      </w:r>
      <w:r w:rsidR="00245850">
        <w:t xml:space="preserve">relating to the appointment of An Taoiseach and members of government (Article 13.1), the appointment </w:t>
      </w:r>
      <w:r w:rsidR="00245850">
        <w:lastRenderedPageBreak/>
        <w:t>of judges (Article 34.6 and 35.1)</w:t>
      </w:r>
      <w:r w:rsidR="007A12D8">
        <w:t xml:space="preserve">.  </w:t>
      </w:r>
      <w:r w:rsidR="00AC4185">
        <w:t xml:space="preserve">(See </w:t>
      </w:r>
      <w:r w:rsidR="006E2FD2">
        <w:t>on the role of the President in the appointment of judges</w:t>
      </w:r>
      <w:r w:rsidR="00AC4185">
        <w:t xml:space="preserve">: </w:t>
      </w:r>
      <w:proofErr w:type="spellStart"/>
      <w:r w:rsidR="00AC4185" w:rsidRPr="00422464">
        <w:rPr>
          <w:i/>
        </w:rPr>
        <w:t>Beades</w:t>
      </w:r>
      <w:proofErr w:type="spellEnd"/>
      <w:r w:rsidR="00AC4185" w:rsidRPr="00422464">
        <w:rPr>
          <w:i/>
        </w:rPr>
        <w:t xml:space="preserve"> v</w:t>
      </w:r>
      <w:r w:rsidR="00AC4185">
        <w:rPr>
          <w:i/>
        </w:rPr>
        <w:t>.</w:t>
      </w:r>
      <w:r w:rsidR="00AC4185" w:rsidRPr="00422464">
        <w:rPr>
          <w:i/>
        </w:rPr>
        <w:t xml:space="preserve"> Ireland</w:t>
      </w:r>
      <w:r w:rsidR="00AC4185">
        <w:rPr>
          <w:i/>
        </w:rPr>
        <w:t xml:space="preserve"> </w:t>
      </w:r>
      <w:r w:rsidR="00AC4185" w:rsidRPr="006C3551">
        <w:t>[2016] IEHC 302, [2016] 2 I</w:t>
      </w:r>
      <w:r w:rsidR="00AC4185">
        <w:t>.</w:t>
      </w:r>
      <w:r w:rsidR="00AC4185" w:rsidRPr="006C3551">
        <w:t>R</w:t>
      </w:r>
      <w:r w:rsidR="00AC4185">
        <w:t>.</w:t>
      </w:r>
      <w:r w:rsidR="00AC4185" w:rsidRPr="006C3551">
        <w:t xml:space="preserve"> 224</w:t>
      </w:r>
      <w:r w:rsidR="00AC4185">
        <w:rPr>
          <w:rStyle w:val="CommentReference"/>
        </w:rPr>
        <w:t>)</w:t>
      </w:r>
    </w:p>
    <w:p w14:paraId="373E6C19" w14:textId="420847D5" w:rsidR="007A12D8" w:rsidRPr="006578DB" w:rsidRDefault="00E83DF2" w:rsidP="00245850">
      <w:pPr>
        <w:numPr>
          <w:ilvl w:val="0"/>
          <w:numId w:val="1"/>
        </w:numPr>
        <w:spacing w:line="480" w:lineRule="auto"/>
        <w:ind w:left="0" w:firstLine="0"/>
        <w:jc w:val="both"/>
        <w:rPr>
          <w:i/>
        </w:rPr>
      </w:pPr>
      <w:r>
        <w:t>Article 13.3.1</w:t>
      </w:r>
      <w:r w:rsidR="00082592">
        <w:rPr>
          <w:rFonts w:ascii="Arial" w:hAnsi="Arial" w:cs="Arial"/>
          <w:color w:val="666666"/>
          <w:sz w:val="21"/>
          <w:szCs w:val="21"/>
          <w:shd w:val="clear" w:color="auto" w:fill="FFFFFF"/>
        </w:rPr>
        <w:t>°</w:t>
      </w:r>
      <w:r>
        <w:t xml:space="preserve"> requires that every Bill passed or deemed to have been passed by both Houses of the Oireachtas</w:t>
      </w:r>
      <w:r w:rsidR="007A12D8">
        <w:t xml:space="preserve"> “shall require the signature of the President for their enactment into law”</w:t>
      </w:r>
      <w:r w:rsidR="000D668F">
        <w:t xml:space="preserve">.  </w:t>
      </w:r>
      <w:r w:rsidR="007A12D8">
        <w:t>Article 13.5.2</w:t>
      </w:r>
      <w:r w:rsidR="00082592">
        <w:rPr>
          <w:rFonts w:ascii="Arial" w:hAnsi="Arial" w:cs="Arial"/>
          <w:color w:val="666666"/>
          <w:sz w:val="21"/>
          <w:szCs w:val="21"/>
          <w:shd w:val="clear" w:color="auto" w:fill="FFFFFF"/>
        </w:rPr>
        <w:t>°</w:t>
      </w:r>
      <w:r w:rsidR="007A12D8">
        <w:t xml:space="preserve"> provides that all commissioned officers of the Defence Forces “shall hold their commissions from the President.” </w:t>
      </w:r>
    </w:p>
    <w:p w14:paraId="58A886EC" w14:textId="148512ED" w:rsidR="000D668F" w:rsidRPr="006578DB" w:rsidRDefault="000D668F" w:rsidP="00245850">
      <w:pPr>
        <w:numPr>
          <w:ilvl w:val="0"/>
          <w:numId w:val="1"/>
        </w:numPr>
        <w:spacing w:line="480" w:lineRule="auto"/>
        <w:ind w:left="0" w:firstLine="0"/>
        <w:jc w:val="both"/>
        <w:rPr>
          <w:i/>
        </w:rPr>
      </w:pPr>
      <w:r>
        <w:t>In</w:t>
      </w:r>
      <w:r w:rsidR="00564FE6">
        <w:t xml:space="preserve"> all of</w:t>
      </w:r>
      <w:r>
        <w:t xml:space="preserve"> these instances </w:t>
      </w:r>
      <w:r w:rsidR="0004052B">
        <w:t>the President</w:t>
      </w:r>
      <w:r w:rsidR="007A12D8">
        <w:t xml:space="preserve"> </w:t>
      </w:r>
      <w:r>
        <w:t xml:space="preserve">is implementing decisions made by the </w:t>
      </w:r>
      <w:r w:rsidR="000A3F4E">
        <w:t>E</w:t>
      </w:r>
      <w:r>
        <w:t xml:space="preserve">xecutive </w:t>
      </w:r>
      <w:r w:rsidR="007A12D8">
        <w:t xml:space="preserve">and performing a </w:t>
      </w:r>
      <w:r>
        <w:t xml:space="preserve">function essential to the completion of </w:t>
      </w:r>
      <w:r w:rsidR="007A12D8">
        <w:t>a process</w:t>
      </w:r>
      <w:r w:rsidR="00564FE6">
        <w:t>.</w:t>
      </w:r>
      <w:r w:rsidR="00082592">
        <w:t xml:space="preserve"> </w:t>
      </w:r>
      <w:r w:rsidR="00564FE6">
        <w:t xml:space="preserve"> This does not mean, however, that the</w:t>
      </w:r>
      <w:r w:rsidR="007A12D8">
        <w:t xml:space="preserve"> President is thereby exercising executive or decision</w:t>
      </w:r>
      <w:r w:rsidR="000A3F4E">
        <w:t>-</w:t>
      </w:r>
      <w:r w:rsidR="007A12D8">
        <w:t>making power</w:t>
      </w:r>
      <w:r w:rsidR="00564FE6">
        <w:t>: he or she</w:t>
      </w:r>
      <w:r w:rsidR="007A12D8">
        <w:t xml:space="preserve"> is</w:t>
      </w:r>
      <w:r w:rsidR="00564FE6">
        <w:t xml:space="preserve"> in such instances</w:t>
      </w:r>
      <w:r w:rsidR="007A12D8">
        <w:t xml:space="preserve"> implementing and completing the formal process to complete a decision made by the </w:t>
      </w:r>
      <w:r w:rsidR="000A3F4E">
        <w:t>E</w:t>
      </w:r>
      <w:r w:rsidR="007A12D8">
        <w:t>xecutive</w:t>
      </w:r>
      <w:r w:rsidR="00564FE6">
        <w:t>, thereby emphasising the importance of the decision in question</w:t>
      </w:r>
      <w:r w:rsidR="007A12D8">
        <w:t xml:space="preserve">. </w:t>
      </w:r>
      <w:r w:rsidR="00082592">
        <w:t xml:space="preserve"> </w:t>
      </w:r>
      <w:r w:rsidR="005C04DB">
        <w:t>The participation of the President in these decisions lends formality and dignity to the occasion.</w:t>
      </w:r>
    </w:p>
    <w:p w14:paraId="20D2AE14" w14:textId="0D07707F" w:rsidR="00820B69" w:rsidRPr="006578DB" w:rsidRDefault="007A12D8" w:rsidP="007A12D8">
      <w:pPr>
        <w:numPr>
          <w:ilvl w:val="0"/>
          <w:numId w:val="1"/>
        </w:numPr>
        <w:spacing w:line="480" w:lineRule="auto"/>
        <w:ind w:left="0" w:firstLine="0"/>
        <w:jc w:val="both"/>
        <w:rPr>
          <w:i/>
        </w:rPr>
      </w:pPr>
      <w:r>
        <w:t>Thus</w:t>
      </w:r>
      <w:r w:rsidR="00082592">
        <w:t>,</w:t>
      </w:r>
      <w:r>
        <w:t xml:space="preserve"> while the President is part of the Oireachtas by reason of Article 15.1.2</w:t>
      </w:r>
      <w:r w:rsidR="00082592">
        <w:rPr>
          <w:rFonts w:ascii="Arial" w:hAnsi="Arial" w:cs="Arial"/>
          <w:color w:val="666666"/>
          <w:sz w:val="21"/>
          <w:szCs w:val="21"/>
          <w:shd w:val="clear" w:color="auto" w:fill="FFFFFF"/>
        </w:rPr>
        <w:t>°</w:t>
      </w:r>
      <w:r>
        <w:t xml:space="preserve"> which defines the Oireachtas as consisting of the President, a House of Representatives (Dáil Éireann) and a Senate (Seanad Éireann), he </w:t>
      </w:r>
      <w:r w:rsidR="00D4728E">
        <w:t xml:space="preserve">or she </w:t>
      </w:r>
      <w:r>
        <w:t xml:space="preserve">is not part of their decision </w:t>
      </w:r>
      <w:r w:rsidR="0004052B">
        <w:t>or law</w:t>
      </w:r>
      <w:r w:rsidR="000A3F4E">
        <w:t>-</w:t>
      </w:r>
      <w:r>
        <w:t xml:space="preserve">making powers. </w:t>
      </w:r>
      <w:r w:rsidR="00820B69">
        <w:t>By signing a Bill into law</w:t>
      </w:r>
      <w:r w:rsidR="00082592">
        <w:t>,</w:t>
      </w:r>
      <w:r w:rsidR="00820B69">
        <w:t xml:space="preserve"> he or she is not</w:t>
      </w:r>
      <w:r w:rsidR="005C04DB">
        <w:t xml:space="preserve"> in any sense</w:t>
      </w:r>
      <w:r w:rsidR="00820B69">
        <w:t xml:space="preserve"> approving the legislation</w:t>
      </w:r>
      <w:r w:rsidR="005C04DB">
        <w:t xml:space="preserve"> which the Houses of the Oireachtas have presented for presidential signature</w:t>
      </w:r>
      <w:r w:rsidR="000A3F4E">
        <w:t>, as</w:t>
      </w:r>
      <w:r w:rsidR="00820B69">
        <w:t xml:space="preserve"> at that stage of the formal process of enactment </w:t>
      </w:r>
      <w:r w:rsidR="0004052B">
        <w:t xml:space="preserve">the President has </w:t>
      </w:r>
      <w:r w:rsidR="00820B69">
        <w:t>no po</w:t>
      </w:r>
      <w:r w:rsidR="0004052B">
        <w:t>wer</w:t>
      </w:r>
      <w:r w:rsidR="00820B69">
        <w:t xml:space="preserve"> </w:t>
      </w:r>
      <w:r w:rsidR="0004052B">
        <w:t xml:space="preserve">to </w:t>
      </w:r>
      <w:r w:rsidR="00820B69">
        <w:t>amend the legislation as passed by both Houses</w:t>
      </w:r>
      <w:r w:rsidR="005C04DB">
        <w:t xml:space="preserve">. </w:t>
      </w:r>
      <w:r w:rsidR="00082592">
        <w:t xml:space="preserve"> </w:t>
      </w:r>
      <w:r w:rsidR="005C04DB">
        <w:t xml:space="preserve">Save for the special </w:t>
      </w:r>
      <w:r w:rsidR="009D0313">
        <w:t xml:space="preserve">instances of </w:t>
      </w:r>
      <w:r w:rsidR="007D1294">
        <w:t>the reference of a Bill to this Court under Article 26 or the reference of a Bill to the People under Article 27</w:t>
      </w:r>
      <w:r w:rsidR="004C7DBA">
        <w:t>,</w:t>
      </w:r>
      <w:r w:rsidR="00082592">
        <w:t xml:space="preserve"> </w:t>
      </w:r>
      <w:r w:rsidR="00820B69">
        <w:t>Article 25</w:t>
      </w:r>
      <w:r w:rsidR="007D1294">
        <w:t>.2.1</w:t>
      </w:r>
      <w:r w:rsidR="00082592">
        <w:rPr>
          <w:rFonts w:ascii="Arial" w:hAnsi="Arial" w:cs="Arial"/>
          <w:color w:val="666666"/>
          <w:sz w:val="21"/>
          <w:szCs w:val="21"/>
          <w:shd w:val="clear" w:color="auto" w:fill="FFFFFF"/>
        </w:rPr>
        <w:t>°</w:t>
      </w:r>
      <w:r w:rsidR="007D1294">
        <w:t xml:space="preserve"> makes</w:t>
      </w:r>
      <w:r w:rsidR="00820B69">
        <w:t xml:space="preserve"> </w:t>
      </w:r>
      <w:r w:rsidR="007D1294">
        <w:t>clear</w:t>
      </w:r>
      <w:r w:rsidR="00820B69">
        <w:t xml:space="preserve"> that the President m</w:t>
      </w:r>
      <w:r w:rsidR="004211F3">
        <w:t>ust</w:t>
      </w:r>
      <w:r w:rsidR="00820B69">
        <w:t xml:space="preserve"> sign the Bill as p</w:t>
      </w:r>
      <w:r w:rsidR="007D1294">
        <w:t>assed by both Houses of the Oireachtas</w:t>
      </w:r>
      <w:r w:rsidR="00820B69">
        <w:t xml:space="preserve">.  </w:t>
      </w:r>
    </w:p>
    <w:p w14:paraId="345380D5" w14:textId="080845EE" w:rsidR="00245850" w:rsidRDefault="00245850" w:rsidP="0004052B">
      <w:pPr>
        <w:numPr>
          <w:ilvl w:val="0"/>
          <w:numId w:val="1"/>
        </w:numPr>
        <w:spacing w:line="480" w:lineRule="auto"/>
        <w:ind w:left="0" w:firstLine="0"/>
        <w:jc w:val="both"/>
      </w:pPr>
      <w:r>
        <w:t xml:space="preserve">The President’s powers are constrained by the </w:t>
      </w:r>
      <w:r w:rsidR="00082592">
        <w:t>Constitution,</w:t>
      </w:r>
      <w:r>
        <w:t xml:space="preserve"> and </w:t>
      </w:r>
      <w:r w:rsidR="00382A12">
        <w:t>most are not exercised on his or her own authority</w:t>
      </w:r>
      <w:r w:rsidR="000C0881">
        <w:t>, discretion or</w:t>
      </w:r>
      <w:r w:rsidR="00382A12">
        <w:t xml:space="preserve"> initiative, </w:t>
      </w:r>
      <w:r w:rsidR="005F7A44">
        <w:t xml:space="preserve">but </w:t>
      </w:r>
      <w:r>
        <w:t xml:space="preserve">on the direct advice of the </w:t>
      </w:r>
      <w:r w:rsidR="0087307D">
        <w:t>G</w:t>
      </w:r>
      <w:r>
        <w:t>overnment</w:t>
      </w:r>
      <w:r w:rsidR="0004052B">
        <w:t xml:space="preserve">. </w:t>
      </w:r>
      <w:r>
        <w:t xml:space="preserve"> This is reflected in Article 13.9 of the Constitution:</w:t>
      </w:r>
    </w:p>
    <w:p w14:paraId="0282350A" w14:textId="77777777" w:rsidR="00245850" w:rsidRDefault="00245850" w:rsidP="00245850">
      <w:pPr>
        <w:spacing w:line="480" w:lineRule="auto"/>
        <w:ind w:left="720"/>
        <w:jc w:val="both"/>
      </w:pPr>
      <w:r>
        <w:lastRenderedPageBreak/>
        <w:t>“</w:t>
      </w:r>
      <w:r w:rsidRPr="00E4320C">
        <w:t>The powers and functions conferred on the President by this Constitution shall be exercisable and performable by him only on the advice of the Government, save where it is provided by this Constitution that he shall act in his absolute discretion or after consultation with or in relation to the Council of State, or on the advice or nomination of, or on receipt of any other communication from, any other person or body.</w:t>
      </w:r>
      <w:r>
        <w:t>”</w:t>
      </w:r>
    </w:p>
    <w:p w14:paraId="2DA9FFA2" w14:textId="55440AF1" w:rsidR="00B43B36" w:rsidRPr="00EE4207" w:rsidRDefault="0004052B" w:rsidP="00EE4207">
      <w:pPr>
        <w:numPr>
          <w:ilvl w:val="0"/>
          <w:numId w:val="1"/>
        </w:numPr>
        <w:spacing w:line="480" w:lineRule="auto"/>
        <w:ind w:left="0" w:firstLine="0"/>
        <w:jc w:val="both"/>
        <w:rPr>
          <w:i/>
        </w:rPr>
      </w:pPr>
      <w:r>
        <w:t xml:space="preserve">The </w:t>
      </w:r>
      <w:r w:rsidR="007D1294">
        <w:t xml:space="preserve">sole </w:t>
      </w:r>
      <w:r>
        <w:t>autonomous and discretionary power</w:t>
      </w:r>
      <w:r w:rsidR="007D1294">
        <w:t xml:space="preserve"> enjoyed by the President is the power</w:t>
      </w:r>
      <w:r w:rsidR="00B325F5">
        <w:t xml:space="preserve"> granted by Article 13.2.2</w:t>
      </w:r>
      <w:r w:rsidR="00082592">
        <w:rPr>
          <w:rFonts w:ascii="Arial" w:hAnsi="Arial" w:cs="Arial"/>
          <w:color w:val="666666"/>
          <w:sz w:val="21"/>
          <w:szCs w:val="21"/>
          <w:shd w:val="clear" w:color="auto" w:fill="FFFFFF"/>
        </w:rPr>
        <w:t>°</w:t>
      </w:r>
      <w:r>
        <w:t xml:space="preserve"> to refuse </w:t>
      </w:r>
      <w:r w:rsidR="007D1294">
        <w:t xml:space="preserve">a </w:t>
      </w:r>
      <w:r>
        <w:t>dissolution of Dáil Éireann</w:t>
      </w:r>
      <w:r w:rsidR="007D1294">
        <w:t xml:space="preserve"> where </w:t>
      </w:r>
      <w:r w:rsidR="00036659">
        <w:t>the</w:t>
      </w:r>
      <w:r w:rsidR="002647A7">
        <w:t xml:space="preserve"> </w:t>
      </w:r>
      <w:r w:rsidR="007D1294">
        <w:t>Taoiseach</w:t>
      </w:r>
      <w:r w:rsidR="00B325F5">
        <w:t xml:space="preserve"> requesting the dissolution</w:t>
      </w:r>
      <w:r w:rsidR="007D1294">
        <w:t xml:space="preserve"> has lost the support of a majority of the Dáil.</w:t>
      </w:r>
      <w:r w:rsidR="00082592">
        <w:t xml:space="preserve"> </w:t>
      </w:r>
      <w:r w:rsidR="007D1294">
        <w:t xml:space="preserve"> The other independent powers enjoyed</w:t>
      </w:r>
      <w:r w:rsidR="00B325F5">
        <w:t xml:space="preserve"> by the President are exercisable only following prior consultation with the Council of State: these include</w:t>
      </w:r>
      <w:r w:rsidR="00087C33">
        <w:t>, for example,</w:t>
      </w:r>
      <w:r>
        <w:t xml:space="preserve"> the power to convene a meeting of either or both Houses (Article 13.2</w:t>
      </w:r>
      <w:r w:rsidR="00B325F5">
        <w:t>.3</w:t>
      </w:r>
      <w:r w:rsidR="00082592">
        <w:rPr>
          <w:rFonts w:ascii="Arial" w:hAnsi="Arial" w:cs="Arial"/>
          <w:color w:val="666666"/>
          <w:sz w:val="21"/>
          <w:szCs w:val="21"/>
          <w:shd w:val="clear" w:color="auto" w:fill="FFFFFF"/>
        </w:rPr>
        <w:t>°</w:t>
      </w:r>
      <w:r>
        <w:t>)</w:t>
      </w:r>
      <w:r w:rsidR="00EE4207">
        <w:t xml:space="preserve">, the power under Article 22 to refer a question to a Committee of Privileges to assess whether a Bill is a Money Bill, </w:t>
      </w:r>
      <w:r>
        <w:t>and</w:t>
      </w:r>
      <w:r w:rsidR="002D302D">
        <w:t xml:space="preserve"> the power to agree to abridge the time for the consideration by the Seanad of a Bill which </w:t>
      </w:r>
      <w:r w:rsidR="00036659">
        <w:t>the</w:t>
      </w:r>
      <w:r w:rsidR="002D302D">
        <w:t xml:space="preserve"> Taoiseach has certified is “urgent and immediately necessary” by reason of a public emergency (Article 24.1</w:t>
      </w:r>
      <w:r w:rsidR="00EE4207">
        <w:rPr>
          <w:rFonts w:ascii="Arial" w:hAnsi="Arial" w:cs="Arial"/>
          <w:color w:val="666666"/>
          <w:sz w:val="21"/>
          <w:szCs w:val="21"/>
          <w:shd w:val="clear" w:color="auto" w:fill="FFFFFF"/>
        </w:rPr>
        <w:t>°</w:t>
      </w:r>
      <w:r w:rsidR="002D302D">
        <w:t xml:space="preserve">). </w:t>
      </w:r>
      <w:r w:rsidR="00082592">
        <w:t xml:space="preserve"> </w:t>
      </w:r>
      <w:r w:rsidR="008E5C03">
        <w:t>T</w:t>
      </w:r>
      <w:r w:rsidR="00245850">
        <w:t>he power to refer</w:t>
      </w:r>
      <w:r w:rsidR="00AC76C7">
        <w:t xml:space="preserve"> a B</w:t>
      </w:r>
      <w:r w:rsidR="00245850">
        <w:t>ill to th</w:t>
      </w:r>
      <w:r w:rsidR="00B43B36">
        <w:t xml:space="preserve">is </w:t>
      </w:r>
      <w:r w:rsidR="00245850">
        <w:t xml:space="preserve">Court </w:t>
      </w:r>
      <w:r w:rsidR="00B43B36">
        <w:t>by virtue of Article 26 i</w:t>
      </w:r>
      <w:r w:rsidR="00245850">
        <w:t xml:space="preserve">s </w:t>
      </w:r>
      <w:r w:rsidR="00AC76C7">
        <w:t>another such example.</w:t>
      </w:r>
      <w:r w:rsidR="00B43B36">
        <w:t xml:space="preserve"> </w:t>
      </w:r>
      <w:r w:rsidR="00082592">
        <w:t xml:space="preserve"> </w:t>
      </w:r>
      <w:r w:rsidR="00B43B36">
        <w:t>I</w:t>
      </w:r>
      <w:r w:rsidR="00AC76C7">
        <w:t xml:space="preserve"> propose to</w:t>
      </w:r>
      <w:r w:rsidR="00B43B36">
        <w:t xml:space="preserve"> return below to consider this and the other discretionary powers of the President</w:t>
      </w:r>
      <w:r w:rsidR="000D7A02">
        <w:t>.</w:t>
      </w:r>
      <w:r w:rsidR="00B43B36">
        <w:t xml:space="preserve">  </w:t>
      </w:r>
    </w:p>
    <w:p w14:paraId="7204A46F" w14:textId="10D30BBB" w:rsidR="0054767E" w:rsidRDefault="000A0464" w:rsidP="00B43B36">
      <w:pPr>
        <w:numPr>
          <w:ilvl w:val="0"/>
          <w:numId w:val="1"/>
        </w:numPr>
        <w:spacing w:line="480" w:lineRule="auto"/>
        <w:ind w:left="0" w:firstLine="0"/>
        <w:jc w:val="both"/>
        <w:rPr>
          <w:bCs/>
        </w:rPr>
      </w:pPr>
      <w:r w:rsidRPr="00B43B36">
        <w:rPr>
          <w:bCs/>
        </w:rPr>
        <w:t>T</w:t>
      </w:r>
      <w:r w:rsidR="008E5C03" w:rsidRPr="00B43B36">
        <w:rPr>
          <w:bCs/>
        </w:rPr>
        <w:t xml:space="preserve">he Attorney General who </w:t>
      </w:r>
      <w:r w:rsidR="00B52DEF" w:rsidRPr="00B43B36">
        <w:rPr>
          <w:bCs/>
        </w:rPr>
        <w:t xml:space="preserve">personally </w:t>
      </w:r>
      <w:r w:rsidR="008E5C03" w:rsidRPr="00B43B36">
        <w:rPr>
          <w:bCs/>
        </w:rPr>
        <w:t xml:space="preserve">represented </w:t>
      </w:r>
      <w:r w:rsidR="00D66A10" w:rsidRPr="00B43B36">
        <w:rPr>
          <w:bCs/>
        </w:rPr>
        <w:t>the State parties</w:t>
      </w:r>
      <w:r w:rsidR="008E5C03" w:rsidRPr="00B43B36">
        <w:rPr>
          <w:bCs/>
        </w:rPr>
        <w:t xml:space="preserve"> </w:t>
      </w:r>
      <w:r w:rsidR="00B52DEF" w:rsidRPr="00B43B36">
        <w:rPr>
          <w:bCs/>
        </w:rPr>
        <w:t xml:space="preserve">at the hearing of the appeal </w:t>
      </w:r>
      <w:r w:rsidR="008E5C03" w:rsidRPr="00143616">
        <w:rPr>
          <w:bCs/>
        </w:rPr>
        <w:t>suggested</w:t>
      </w:r>
      <w:r w:rsidR="00D66A10" w:rsidRPr="00143616">
        <w:rPr>
          <w:bCs/>
        </w:rPr>
        <w:t xml:space="preserve"> that the President does not exercise any political power in the real sense</w:t>
      </w:r>
      <w:r w:rsidR="00A12F98">
        <w:rPr>
          <w:bCs/>
        </w:rPr>
        <w:t>.</w:t>
      </w:r>
      <w:r w:rsidR="003165E4" w:rsidRPr="00143616">
        <w:rPr>
          <w:bCs/>
        </w:rPr>
        <w:t xml:space="preserve"> </w:t>
      </w:r>
      <w:r w:rsidR="00082592">
        <w:rPr>
          <w:bCs/>
        </w:rPr>
        <w:t xml:space="preserve"> </w:t>
      </w:r>
      <w:r w:rsidR="00A12F98">
        <w:rPr>
          <w:bCs/>
        </w:rPr>
        <w:t xml:space="preserve">This must be correct as </w:t>
      </w:r>
      <w:r w:rsidR="00D66A10" w:rsidRPr="00454CB0">
        <w:rPr>
          <w:bCs/>
        </w:rPr>
        <w:t xml:space="preserve">he or she </w:t>
      </w:r>
      <w:r w:rsidR="00A12F98">
        <w:rPr>
          <w:bCs/>
        </w:rPr>
        <w:t xml:space="preserve">is </w:t>
      </w:r>
      <w:r w:rsidR="00A12F98" w:rsidRPr="001F4DA4">
        <w:rPr>
          <w:bCs/>
        </w:rPr>
        <w:t xml:space="preserve">disconnected from </w:t>
      </w:r>
      <w:r w:rsidR="00A12F98" w:rsidRPr="001F67E2">
        <w:rPr>
          <w:bCs/>
        </w:rPr>
        <w:t>the G</w:t>
      </w:r>
      <w:r w:rsidR="00A12F98" w:rsidRPr="00A12F98">
        <w:rPr>
          <w:bCs/>
        </w:rPr>
        <w:t>overnment and Government decisions</w:t>
      </w:r>
      <w:r w:rsidR="00A12F98" w:rsidRPr="00454CB0">
        <w:rPr>
          <w:bCs/>
        </w:rPr>
        <w:t xml:space="preserve"> </w:t>
      </w:r>
      <w:r w:rsidR="00A12F98">
        <w:rPr>
          <w:bCs/>
        </w:rPr>
        <w:t xml:space="preserve">and </w:t>
      </w:r>
      <w:r w:rsidR="00D66A10" w:rsidRPr="00454CB0">
        <w:rPr>
          <w:bCs/>
        </w:rPr>
        <w:t>is often described as being “above politics</w:t>
      </w:r>
      <w:r w:rsidR="00D66A10" w:rsidRPr="00454CB0">
        <w:rPr>
          <w:bCs/>
          <w:i/>
        </w:rPr>
        <w:t>”</w:t>
      </w:r>
      <w:r w:rsidR="00A12F98">
        <w:rPr>
          <w:bCs/>
        </w:rPr>
        <w:t xml:space="preserve"> in the sense that the President does not make political decisions, albeit the President is directly elected by the people</w:t>
      </w:r>
      <w:r w:rsidR="00D66A10" w:rsidRPr="00A12F98">
        <w:rPr>
          <w:bCs/>
        </w:rPr>
        <w:t xml:space="preserve">.  </w:t>
      </w:r>
    </w:p>
    <w:p w14:paraId="1DA67706" w14:textId="54E32D8B" w:rsidR="004E6B7F" w:rsidRPr="00876AC5" w:rsidRDefault="004E6B7F" w:rsidP="004E6B7F">
      <w:pPr>
        <w:spacing w:line="480" w:lineRule="auto"/>
        <w:jc w:val="both"/>
        <w:rPr>
          <w:b/>
          <w:i/>
          <w:u w:val="single"/>
        </w:rPr>
      </w:pPr>
      <w:r w:rsidRPr="00876AC5">
        <w:rPr>
          <w:b/>
          <w:u w:val="single"/>
        </w:rPr>
        <w:t xml:space="preserve">The </w:t>
      </w:r>
      <w:r w:rsidRPr="00030A2D">
        <w:rPr>
          <w:b/>
          <w:u w:val="single"/>
        </w:rPr>
        <w:t xml:space="preserve">Secretary General to the President </w:t>
      </w:r>
    </w:p>
    <w:p w14:paraId="1630D76E" w14:textId="478F6979" w:rsidR="004E6B7F" w:rsidRPr="00AD720E" w:rsidRDefault="004E6B7F" w:rsidP="004E6B7F">
      <w:pPr>
        <w:numPr>
          <w:ilvl w:val="0"/>
          <w:numId w:val="1"/>
        </w:numPr>
        <w:spacing w:line="480" w:lineRule="auto"/>
        <w:ind w:left="0" w:firstLine="0"/>
        <w:jc w:val="both"/>
        <w:rPr>
          <w:b/>
          <w:i/>
        </w:rPr>
      </w:pPr>
      <w:r>
        <w:t xml:space="preserve">The secretary to the President was established by the </w:t>
      </w:r>
      <w:r w:rsidR="008E5C03" w:rsidRPr="00DC3FC1">
        <w:t>Presidential Establishment Act 1938</w:t>
      </w:r>
      <w:r w:rsidR="008E5C03">
        <w:t xml:space="preserve"> (“the Act of 1938”) </w:t>
      </w:r>
      <w:r>
        <w:t xml:space="preserve">to assist the President </w:t>
      </w:r>
      <w:r w:rsidR="0067139E" w:rsidRPr="0067139E">
        <w:t>in the carrying out of his duties and functions as President under the Constitution</w:t>
      </w:r>
      <w:r>
        <w:t xml:space="preserve">. </w:t>
      </w:r>
      <w:r w:rsidR="0067139E">
        <w:rPr>
          <w:b/>
          <w:color w:val="FF0000"/>
        </w:rPr>
        <w:t xml:space="preserve"> </w:t>
      </w:r>
    </w:p>
    <w:p w14:paraId="6AC55DEA" w14:textId="1426257C" w:rsidR="004E6B7F" w:rsidRPr="00552B09" w:rsidRDefault="004E6B7F" w:rsidP="004E6B7F">
      <w:pPr>
        <w:numPr>
          <w:ilvl w:val="0"/>
          <w:numId w:val="1"/>
        </w:numPr>
        <w:spacing w:line="480" w:lineRule="auto"/>
        <w:ind w:left="0" w:firstLine="0"/>
        <w:jc w:val="both"/>
        <w:rPr>
          <w:i/>
        </w:rPr>
      </w:pPr>
      <w:r>
        <w:lastRenderedPageBreak/>
        <w:t>Section 6 of the</w:t>
      </w:r>
      <w:r w:rsidR="008E5C03" w:rsidRPr="008E5C03">
        <w:t xml:space="preserve"> </w:t>
      </w:r>
      <w:r w:rsidR="008E5C03">
        <w:t>Act of 1938</w:t>
      </w:r>
      <w:r w:rsidR="009709DB">
        <w:t xml:space="preserve"> </w:t>
      </w:r>
      <w:r>
        <w:t>created the position then known as the secretary to the President and since the enactment of s.</w:t>
      </w:r>
      <w:r w:rsidR="003165E4">
        <w:t xml:space="preserve"> </w:t>
      </w:r>
      <w:r>
        <w:t>27 of the Civil Service Regulation (Amendment) Act 2005 the office or post is now known as</w:t>
      </w:r>
      <w:r w:rsidR="002647A7">
        <w:t xml:space="preserve"> the</w:t>
      </w:r>
      <w:r>
        <w:t xml:space="preserve"> “Secretary General to the President”</w:t>
      </w:r>
      <w:r w:rsidR="009709DB">
        <w:t>.</w:t>
      </w:r>
      <w:r>
        <w:t xml:space="preserve"> </w:t>
      </w:r>
    </w:p>
    <w:p w14:paraId="30B0DABC" w14:textId="63CE1CD3" w:rsidR="004E6B7F" w:rsidRPr="00AD720E" w:rsidRDefault="004E6B7F" w:rsidP="004E6B7F">
      <w:pPr>
        <w:numPr>
          <w:ilvl w:val="0"/>
          <w:numId w:val="1"/>
        </w:numPr>
        <w:spacing w:line="480" w:lineRule="auto"/>
        <w:ind w:left="0" w:firstLine="0"/>
        <w:jc w:val="both"/>
        <w:rPr>
          <w:b/>
          <w:i/>
        </w:rPr>
      </w:pPr>
      <w:r>
        <w:t xml:space="preserve">Section 6(3) of the Act of 1938 provides that the appointment is made by government </w:t>
      </w:r>
      <w:r w:rsidR="003165E4">
        <w:t>but “</w:t>
      </w:r>
      <w:r w:rsidR="003165E4" w:rsidRPr="003165E4">
        <w:t>no such appointment shall be made while there is an elected President in office without consultation with such President</w:t>
      </w:r>
      <w:r w:rsidR="003165E4">
        <w:t xml:space="preserve">”.  </w:t>
      </w:r>
      <w:r>
        <w:t>This power of the President</w:t>
      </w:r>
      <w:r w:rsidR="00AC76C7">
        <w:t xml:space="preserve"> does not amount, however, to a power of</w:t>
      </w:r>
      <w:r>
        <w:t xml:space="preserve"> veto. </w:t>
      </w:r>
      <w:r w:rsidR="00C22A33">
        <w:t xml:space="preserve"> </w:t>
      </w:r>
      <w:r>
        <w:t xml:space="preserve">Section 7 provides that every officer or person attached to the office of </w:t>
      </w:r>
      <w:r w:rsidR="008E5C03">
        <w:t>s</w:t>
      </w:r>
      <w:r>
        <w:t xml:space="preserve">ecretary to the President shall be appointed by </w:t>
      </w:r>
      <w:r w:rsidR="00036659">
        <w:t>the</w:t>
      </w:r>
      <w:r>
        <w:t xml:space="preserve"> Taoiseach with the concurrence of the Minister for Finance, as well as the </w:t>
      </w:r>
      <w:r w:rsidR="003C2A72">
        <w:t>s</w:t>
      </w:r>
      <w:r>
        <w:t>ecretary to the President, are subject to the Civil Service Regulation Act</w:t>
      </w:r>
      <w:r w:rsidR="008731FE">
        <w:t>s 1956-2005</w:t>
      </w:r>
      <w:r>
        <w:t xml:space="preserve">. </w:t>
      </w:r>
    </w:p>
    <w:p w14:paraId="0BC43A8A" w14:textId="7534AAA2" w:rsidR="004E6B7F" w:rsidRPr="0040606F" w:rsidRDefault="004E6B7F" w:rsidP="004E6B7F">
      <w:pPr>
        <w:numPr>
          <w:ilvl w:val="0"/>
          <w:numId w:val="1"/>
        </w:numPr>
        <w:spacing w:line="480" w:lineRule="auto"/>
        <w:ind w:left="0" w:firstLine="0"/>
        <w:jc w:val="both"/>
        <w:rPr>
          <w:i/>
        </w:rPr>
      </w:pPr>
      <w:r>
        <w:t xml:space="preserve">The person appointed holds a permanent post in the Civil Service and has such duties and functions in relation to the President under Article 14 of the Constitution as the </w:t>
      </w:r>
      <w:r w:rsidR="003165E4">
        <w:t>G</w:t>
      </w:r>
      <w:r>
        <w:t xml:space="preserve">overnment shall from time to time direct. The position is treated as part of the Department of </w:t>
      </w:r>
      <w:r w:rsidR="00036659">
        <w:t>the</w:t>
      </w:r>
      <w:r>
        <w:t xml:space="preserve"> Taoiseach but is recognised as a separate office.</w:t>
      </w:r>
    </w:p>
    <w:p w14:paraId="02066441" w14:textId="108167B9" w:rsidR="004E6B7F" w:rsidRDefault="004E6B7F" w:rsidP="004E6B7F">
      <w:pPr>
        <w:numPr>
          <w:ilvl w:val="0"/>
          <w:numId w:val="1"/>
        </w:numPr>
        <w:spacing w:line="480" w:lineRule="auto"/>
        <w:ind w:left="0" w:firstLine="0"/>
        <w:jc w:val="both"/>
      </w:pPr>
      <w:r>
        <w:t xml:space="preserve">The </w:t>
      </w:r>
      <w:r w:rsidR="00F84C20">
        <w:t>S</w:t>
      </w:r>
      <w:r>
        <w:t xml:space="preserve">ecretary </w:t>
      </w:r>
      <w:r w:rsidR="002357B1">
        <w:t xml:space="preserve">General </w:t>
      </w:r>
      <w:r w:rsidR="0002084D">
        <w:t xml:space="preserve">acts as </w:t>
      </w:r>
      <w:r w:rsidR="001278E9">
        <w:t xml:space="preserve">“clerk” or </w:t>
      </w:r>
      <w:r w:rsidR="00B43B36">
        <w:t>secretary</w:t>
      </w:r>
      <w:r>
        <w:t xml:space="preserve"> to the Council of State. </w:t>
      </w:r>
    </w:p>
    <w:p w14:paraId="5D7C72E5" w14:textId="3C6D8F71" w:rsidR="00DC1264" w:rsidRPr="00422464" w:rsidRDefault="00DC1264" w:rsidP="00422464">
      <w:pPr>
        <w:spacing w:line="480" w:lineRule="auto"/>
        <w:jc w:val="both"/>
        <w:rPr>
          <w:b/>
          <w:u w:val="single"/>
        </w:rPr>
      </w:pPr>
      <w:r w:rsidRPr="00422464">
        <w:rPr>
          <w:b/>
          <w:u w:val="single"/>
        </w:rPr>
        <w:t>Discussion</w:t>
      </w:r>
      <w:r w:rsidR="00D21A37">
        <w:rPr>
          <w:b/>
          <w:u w:val="single"/>
        </w:rPr>
        <w:t>:</w:t>
      </w:r>
      <w:r w:rsidRPr="00422464">
        <w:rPr>
          <w:b/>
          <w:u w:val="single"/>
        </w:rPr>
        <w:t xml:space="preserve"> the identity of the notice party</w:t>
      </w:r>
    </w:p>
    <w:p w14:paraId="4A40B3DB" w14:textId="76D5518E" w:rsidR="004E6B7F" w:rsidRDefault="004E6B7F" w:rsidP="004E6B7F">
      <w:pPr>
        <w:numPr>
          <w:ilvl w:val="0"/>
          <w:numId w:val="1"/>
        </w:numPr>
        <w:spacing w:line="480" w:lineRule="auto"/>
        <w:ind w:left="0" w:firstLine="0"/>
        <w:jc w:val="both"/>
      </w:pPr>
      <w:r>
        <w:t xml:space="preserve">As will be apparent from the title to these proceedings there is named as notice party and entity known as the </w:t>
      </w:r>
      <w:r w:rsidR="003C2A72">
        <w:t>“</w:t>
      </w:r>
      <w:r w:rsidR="007144A6">
        <w:t>O</w:t>
      </w:r>
      <w:r>
        <w:t xml:space="preserve">ffice of the </w:t>
      </w:r>
      <w:r w:rsidR="007144A6">
        <w:t>S</w:t>
      </w:r>
      <w:r>
        <w:t xml:space="preserve">ecretary </w:t>
      </w:r>
      <w:r w:rsidR="00117611">
        <w:t xml:space="preserve">General </w:t>
      </w:r>
      <w:r>
        <w:t xml:space="preserve">to the </w:t>
      </w:r>
      <w:r w:rsidR="007144A6">
        <w:t>P</w:t>
      </w:r>
      <w:r>
        <w:t>resident</w:t>
      </w:r>
      <w:r w:rsidR="003C2A72">
        <w:t>”</w:t>
      </w:r>
      <w:r>
        <w:t>.</w:t>
      </w:r>
      <w:r w:rsidR="003165E4">
        <w:t xml:space="preserve"> </w:t>
      </w:r>
      <w:r>
        <w:t xml:space="preserve"> In the course of oral argument before the </w:t>
      </w:r>
      <w:r w:rsidR="007144A6">
        <w:t>C</w:t>
      </w:r>
      <w:r>
        <w:t xml:space="preserve">ourt it became clear that there </w:t>
      </w:r>
      <w:r w:rsidR="00A26AE1">
        <w:t xml:space="preserve">does not </w:t>
      </w:r>
      <w:r>
        <w:t>exist a</w:t>
      </w:r>
      <w:r w:rsidR="00A26AE1">
        <w:t xml:space="preserve"> statutory </w:t>
      </w:r>
      <w:r>
        <w:t>office or corporation sole with that name</w:t>
      </w:r>
      <w:r w:rsidR="00032CAA">
        <w:t>,</w:t>
      </w:r>
      <w:r>
        <w:t xml:space="preserve"> or which </w:t>
      </w:r>
      <w:r w:rsidR="00032CAA">
        <w:t>i</w:t>
      </w:r>
      <w:r>
        <w:t>s capable of being treated as a separate legal entity for the purposes of litigation.</w:t>
      </w:r>
      <w:r w:rsidR="003165E4">
        <w:t xml:space="preserve"> </w:t>
      </w:r>
      <w:r>
        <w:t xml:space="preserve"> </w:t>
      </w:r>
      <w:r w:rsidR="009709DB">
        <w:t>N</w:t>
      </w:r>
      <w:r>
        <w:t xml:space="preserve">o such entity was created by the statutory scheme which </w:t>
      </w:r>
      <w:r w:rsidR="003165E4">
        <w:t xml:space="preserve">instead </w:t>
      </w:r>
      <w:r>
        <w:t xml:space="preserve">envisages the appointment of a </w:t>
      </w:r>
      <w:r w:rsidR="00AC76C7">
        <w:t>S</w:t>
      </w:r>
      <w:r>
        <w:t>ecretary</w:t>
      </w:r>
      <w:r w:rsidR="002357B1">
        <w:t xml:space="preserve"> General</w:t>
      </w:r>
      <w:r>
        <w:t xml:space="preserve"> to the </w:t>
      </w:r>
      <w:r w:rsidR="00AE65A9">
        <w:t>P</w:t>
      </w:r>
      <w:r>
        <w:t xml:space="preserve">resident, a </w:t>
      </w:r>
      <w:r w:rsidR="007144A6">
        <w:t xml:space="preserve">natural </w:t>
      </w:r>
      <w:r>
        <w:t>person who is a civil servant holding a permanent post</w:t>
      </w:r>
      <w:r w:rsidR="00AC76C7">
        <w:t xml:space="preserve"> in the civil service of the State</w:t>
      </w:r>
      <w:r>
        <w:t xml:space="preserve"> and whose function is to advise and assist the </w:t>
      </w:r>
      <w:r w:rsidR="00AE65A9">
        <w:t>P</w:t>
      </w:r>
      <w:r>
        <w:t>resident</w:t>
      </w:r>
      <w:r w:rsidR="003C2A72">
        <w:t>.</w:t>
      </w:r>
      <w:r w:rsidR="003165E4">
        <w:t xml:space="preserve"> </w:t>
      </w:r>
      <w:r w:rsidR="00A26AE1">
        <w:t xml:space="preserve"> </w:t>
      </w:r>
      <w:r w:rsidR="003C2A72">
        <w:t>T</w:t>
      </w:r>
      <w:r>
        <w:t xml:space="preserve">hat person has no autonomous power of decision-making and cannot in any sense be seen as an autonomous body with separate legal personality. </w:t>
      </w:r>
      <w:r w:rsidR="00314375">
        <w:t xml:space="preserve"> </w:t>
      </w:r>
      <w:r w:rsidR="00AE65A9">
        <w:t>The office</w:t>
      </w:r>
      <w:r>
        <w:t xml:space="preserve"> does not therefore exist as a</w:t>
      </w:r>
      <w:r w:rsidR="00D33DFC">
        <w:t xml:space="preserve"> statutory</w:t>
      </w:r>
      <w:r w:rsidR="00A26AE1">
        <w:t xml:space="preserve"> or corporate</w:t>
      </w:r>
      <w:r>
        <w:t xml:space="preserve"> entity which can </w:t>
      </w:r>
      <w:r>
        <w:lastRenderedPageBreak/>
        <w:t xml:space="preserve">be sued as holding separate legal status, and whilst it may well be the case that </w:t>
      </w:r>
      <w:r w:rsidR="00F27750">
        <w:t xml:space="preserve">Right to Know </w:t>
      </w:r>
      <w:r>
        <w:t>opted</w:t>
      </w:r>
      <w:r w:rsidR="00032CAA">
        <w:t>,</w:t>
      </w:r>
      <w:r>
        <w:t xml:space="preserve"> </w:t>
      </w:r>
      <w:r w:rsidR="00032CAA">
        <w:t xml:space="preserve">for reasons of propriety or on account of the constitutional immunity, </w:t>
      </w:r>
      <w:r>
        <w:t xml:space="preserve">not to name the </w:t>
      </w:r>
      <w:r w:rsidR="00032CAA">
        <w:t>P</w:t>
      </w:r>
      <w:r>
        <w:t xml:space="preserve">resident, the joinder of </w:t>
      </w:r>
      <w:r w:rsidR="00A26AE1">
        <w:t xml:space="preserve">an </w:t>
      </w:r>
      <w:r>
        <w:t xml:space="preserve">entity called </w:t>
      </w:r>
      <w:r w:rsidR="00A26AE1">
        <w:t>“</w:t>
      </w:r>
      <w:r>
        <w:t>OSGP</w:t>
      </w:r>
      <w:r w:rsidR="00A26AE1">
        <w:t>”</w:t>
      </w:r>
      <w:r>
        <w:t xml:space="preserve"> is impermissible at law.</w:t>
      </w:r>
    </w:p>
    <w:p w14:paraId="2F40B2C7" w14:textId="07D914B0" w:rsidR="004E6B7F" w:rsidRDefault="00A26AE1" w:rsidP="004E6B7F">
      <w:pPr>
        <w:numPr>
          <w:ilvl w:val="0"/>
          <w:numId w:val="1"/>
        </w:numPr>
        <w:spacing w:line="480" w:lineRule="auto"/>
        <w:ind w:left="0" w:firstLine="0"/>
        <w:jc w:val="both"/>
      </w:pPr>
      <w:r>
        <w:t xml:space="preserve">Further, and as I will more fully explore in this judgment, </w:t>
      </w:r>
      <w:r w:rsidR="004E6B7F">
        <w:t xml:space="preserve">the </w:t>
      </w:r>
      <w:r w:rsidR="00D778A8">
        <w:t>S</w:t>
      </w:r>
      <w:r w:rsidR="004E6B7F">
        <w:t>ecretary</w:t>
      </w:r>
      <w:r w:rsidR="002357B1">
        <w:t xml:space="preserve"> General</w:t>
      </w:r>
      <w:r w:rsidR="004E6B7F">
        <w:t xml:space="preserve"> to the </w:t>
      </w:r>
      <w:r w:rsidR="00AE65A9">
        <w:t>P</w:t>
      </w:r>
      <w:r w:rsidR="004E6B7F">
        <w:t xml:space="preserve">resident works on behalf of the </w:t>
      </w:r>
      <w:r w:rsidR="00AE65A9">
        <w:t>P</w:t>
      </w:r>
      <w:r w:rsidR="004E6B7F">
        <w:t xml:space="preserve">resident and at his or her direction. </w:t>
      </w:r>
      <w:r w:rsidR="003165E4">
        <w:t xml:space="preserve"> </w:t>
      </w:r>
      <w:r w:rsidR="004E6B7F">
        <w:t xml:space="preserve">It is therefore incorrect to </w:t>
      </w:r>
      <w:r w:rsidR="00AC76C7">
        <w:t>suggest</w:t>
      </w:r>
      <w:r w:rsidR="004E6B7F">
        <w:t xml:space="preserve"> that the </w:t>
      </w:r>
      <w:r w:rsidR="00D778A8">
        <w:t>S</w:t>
      </w:r>
      <w:r w:rsidR="004E6B7F">
        <w:t xml:space="preserve">ecretary </w:t>
      </w:r>
      <w:r w:rsidR="002357B1">
        <w:t xml:space="preserve">General </w:t>
      </w:r>
      <w:r w:rsidR="004E6B7F">
        <w:t xml:space="preserve">holds any relevant information or documents under his or her own autonomous control or direction, or that that the </w:t>
      </w:r>
      <w:r w:rsidR="00AC76C7">
        <w:t>S</w:t>
      </w:r>
      <w:r w:rsidR="004E6B7F">
        <w:t xml:space="preserve">ecretary </w:t>
      </w:r>
      <w:r w:rsidR="002357B1">
        <w:t xml:space="preserve">General </w:t>
      </w:r>
      <w:r w:rsidR="004E6B7F">
        <w:t xml:space="preserve">may by autonomous decision </w:t>
      </w:r>
      <w:r>
        <w:t>disclose</w:t>
      </w:r>
      <w:r w:rsidR="00AB4AB3">
        <w:t>,</w:t>
      </w:r>
      <w:r>
        <w:t xml:space="preserve"> or </w:t>
      </w:r>
      <w:r w:rsidR="004E6B7F">
        <w:t>refuse to disclose</w:t>
      </w:r>
      <w:r w:rsidR="00AB4AB3">
        <w:t>,</w:t>
      </w:r>
      <w:r w:rsidR="004E6B7F">
        <w:t xml:space="preserve"> that information on request.</w:t>
      </w:r>
    </w:p>
    <w:p w14:paraId="30028CD7" w14:textId="7711EEEE" w:rsidR="00947112" w:rsidRDefault="00947112" w:rsidP="004E6B7F">
      <w:pPr>
        <w:numPr>
          <w:ilvl w:val="0"/>
          <w:numId w:val="1"/>
        </w:numPr>
        <w:spacing w:line="480" w:lineRule="auto"/>
        <w:ind w:left="0" w:firstLine="0"/>
        <w:jc w:val="both"/>
      </w:pPr>
      <w:r>
        <w:t xml:space="preserve">I note that the amendment made by the Regulations of 2018 expressly excluded the </w:t>
      </w:r>
      <w:r w:rsidR="009709DB">
        <w:t>President</w:t>
      </w:r>
      <w:r>
        <w:t xml:space="preserve">, the Council of State and a body there called “the Office of the Secretary General to the President” from the definition of “public authority”.  It may be that the title by which the notice party is named derives from that, but no such entity can be said to exist at law notwithstanding these provisions.  </w:t>
      </w:r>
    </w:p>
    <w:p w14:paraId="60173B15" w14:textId="2DB09557" w:rsidR="004E6B7F" w:rsidRDefault="004E6B7F" w:rsidP="004E6B7F">
      <w:pPr>
        <w:numPr>
          <w:ilvl w:val="0"/>
          <w:numId w:val="1"/>
        </w:numPr>
        <w:spacing w:line="480" w:lineRule="auto"/>
        <w:ind w:left="0" w:firstLine="0"/>
        <w:jc w:val="both"/>
      </w:pPr>
      <w:r>
        <w:t xml:space="preserve">This question of standing was not argued in the High Court. </w:t>
      </w:r>
      <w:r w:rsidR="00ED2155">
        <w:t xml:space="preserve"> </w:t>
      </w:r>
      <w:r>
        <w:t>Nonetheless</w:t>
      </w:r>
      <w:r w:rsidR="00ED2155">
        <w:t>,</w:t>
      </w:r>
      <w:r>
        <w:t xml:space="preserve"> I must conclude </w:t>
      </w:r>
      <w:r w:rsidR="00A26AE1">
        <w:t>for these reasons</w:t>
      </w:r>
      <w:r w:rsidR="00ED2155">
        <w:t>,</w:t>
      </w:r>
      <w:r w:rsidR="00A26AE1">
        <w:t xml:space="preserve"> </w:t>
      </w:r>
      <w:r>
        <w:t>that the joinder of the notice party is procedurally and legally incorrect and that no relief may be sought against the notice party.</w:t>
      </w:r>
    </w:p>
    <w:p w14:paraId="093E9B2E" w14:textId="10E3B94F" w:rsidR="004B2BC9" w:rsidRPr="007F0FF2" w:rsidRDefault="004B2BC9" w:rsidP="004B2BC9">
      <w:pPr>
        <w:spacing w:line="480" w:lineRule="auto"/>
        <w:jc w:val="both"/>
      </w:pPr>
      <w:r w:rsidRPr="001435A0">
        <w:rPr>
          <w:b/>
          <w:u w:val="single"/>
        </w:rPr>
        <w:t>The Council of State</w:t>
      </w:r>
    </w:p>
    <w:p w14:paraId="41D3F559" w14:textId="1197BCAF" w:rsidR="004B2BC9" w:rsidRDefault="004B2BC9" w:rsidP="004B2BC9">
      <w:pPr>
        <w:numPr>
          <w:ilvl w:val="0"/>
          <w:numId w:val="1"/>
        </w:numPr>
        <w:spacing w:line="480" w:lineRule="auto"/>
        <w:ind w:left="0" w:firstLine="0"/>
        <w:jc w:val="both"/>
      </w:pPr>
      <w:r>
        <w:t xml:space="preserve">The Council of State was established </w:t>
      </w:r>
      <w:r w:rsidR="0002084D">
        <w:t>by virtue of</w:t>
      </w:r>
      <w:r>
        <w:t xml:space="preserve"> Article 31.1 of the Constitution:</w:t>
      </w:r>
    </w:p>
    <w:p w14:paraId="7B7835AA" w14:textId="77777777" w:rsidR="004B2BC9" w:rsidRDefault="004B2BC9" w:rsidP="004B2BC9">
      <w:pPr>
        <w:spacing w:line="480" w:lineRule="auto"/>
        <w:ind w:left="720"/>
        <w:jc w:val="both"/>
      </w:pPr>
      <w:r>
        <w:t>“</w:t>
      </w:r>
      <w:r w:rsidRPr="00A835A3">
        <w:t>There shall be a Council of State to aid and counsel the President on all matters on which the President may consult the said Council in relation to the exercise and performance by him of such of his powers and functions as are by this Constitution expressed to be exercisable and performable after consultation with the Council of State, and to exercise such other functions as are conferred on the said Council by this Constitution.</w:t>
      </w:r>
      <w:r>
        <w:t>”</w:t>
      </w:r>
    </w:p>
    <w:p w14:paraId="4DAFAEE5" w14:textId="4EAD53FB" w:rsidR="004B2BC9" w:rsidRDefault="003C2A72" w:rsidP="004B2BC9">
      <w:pPr>
        <w:numPr>
          <w:ilvl w:val="0"/>
          <w:numId w:val="1"/>
        </w:numPr>
        <w:spacing w:line="480" w:lineRule="auto"/>
        <w:ind w:left="0" w:firstLine="0"/>
        <w:jc w:val="both"/>
      </w:pPr>
      <w:r>
        <w:t xml:space="preserve">Some of the powers vested in the President are exercisable only after consultation with the Council of State in accordance with </w:t>
      </w:r>
      <w:r w:rsidR="004B2BC9">
        <w:t>Article 32 of the Constitution:</w:t>
      </w:r>
    </w:p>
    <w:p w14:paraId="67D57602" w14:textId="77777777" w:rsidR="004B2BC9" w:rsidRDefault="004B2BC9" w:rsidP="004B2BC9">
      <w:pPr>
        <w:spacing w:line="480" w:lineRule="auto"/>
        <w:ind w:left="720"/>
        <w:jc w:val="both"/>
      </w:pPr>
      <w:r>
        <w:lastRenderedPageBreak/>
        <w:t>“</w:t>
      </w:r>
      <w:r w:rsidRPr="00A835A3">
        <w:t>The President shall not exercise or perform any of the powers or functions which are by this Constitution expressed to be exercisable or performable by him after consultation with the Council of State unless, and on every occasion before so doing, he shall have convened a meeting of the Council of State and the members present at such meeting shall have been heard by him.</w:t>
      </w:r>
      <w:r>
        <w:t>”</w:t>
      </w:r>
    </w:p>
    <w:p w14:paraId="031D1D5F" w14:textId="281C7B8C" w:rsidR="004B2BC9" w:rsidRDefault="004B2BC9" w:rsidP="00EE2894">
      <w:pPr>
        <w:numPr>
          <w:ilvl w:val="0"/>
          <w:numId w:val="1"/>
        </w:numPr>
        <w:spacing w:line="480" w:lineRule="auto"/>
        <w:ind w:left="0" w:firstLine="0"/>
        <w:jc w:val="both"/>
      </w:pPr>
      <w:r>
        <w:t xml:space="preserve">The President </w:t>
      </w:r>
      <w:r w:rsidR="00EE2894">
        <w:t>must</w:t>
      </w:r>
      <w:r>
        <w:t xml:space="preserve"> consult with the Council of State </w:t>
      </w:r>
      <w:r w:rsidR="00EE2894">
        <w:t>before referring a Bill</w:t>
      </w:r>
      <w:r w:rsidR="00087C33">
        <w:t xml:space="preserve"> to this Court</w:t>
      </w:r>
      <w:r w:rsidR="00EE2894">
        <w:t xml:space="preserve"> </w:t>
      </w:r>
      <w:r>
        <w:t>as provided in Article 26.1.1</w:t>
      </w:r>
      <w:r w:rsidRPr="00EE2894">
        <w:rPr>
          <w:rFonts w:ascii="Arial" w:hAnsi="Arial" w:cs="Arial"/>
          <w:color w:val="666666"/>
          <w:sz w:val="21"/>
          <w:szCs w:val="21"/>
          <w:shd w:val="clear" w:color="auto" w:fill="FFFFFF"/>
        </w:rPr>
        <w:t>°</w:t>
      </w:r>
      <w:r>
        <w:t xml:space="preserve"> of the Constitution:</w:t>
      </w:r>
    </w:p>
    <w:p w14:paraId="0EFC758B" w14:textId="36FDC042" w:rsidR="004B2BC9" w:rsidRDefault="004B2BC9" w:rsidP="006B7C6F">
      <w:pPr>
        <w:spacing w:line="480" w:lineRule="auto"/>
        <w:ind w:left="720"/>
        <w:jc w:val="both"/>
      </w:pPr>
      <w:r>
        <w:t>“</w:t>
      </w:r>
      <w:r w:rsidRPr="00A835A3">
        <w:t>The President may, after consultation with the Council of State, refer any Bill to which this Article applies to the Supreme Court for a decision on the question as to whether such Bill or any specified provision or provisions of such Bill is or are repugnant to this Constitution or to any provision thereof.</w:t>
      </w:r>
      <w:r>
        <w:t>”</w:t>
      </w:r>
    </w:p>
    <w:p w14:paraId="4A2569E1" w14:textId="77777777" w:rsidR="00EE1860" w:rsidRDefault="003C2A72" w:rsidP="004C0C53">
      <w:pPr>
        <w:numPr>
          <w:ilvl w:val="0"/>
          <w:numId w:val="1"/>
        </w:numPr>
        <w:spacing w:line="480" w:lineRule="auto"/>
        <w:ind w:left="0" w:firstLine="0"/>
        <w:jc w:val="both"/>
      </w:pPr>
      <w:r>
        <w:t xml:space="preserve">The power to convene a meeting of the House of the Oireachtas is also subject to constraints under </w:t>
      </w:r>
      <w:r w:rsidR="00A53918">
        <w:t>Article 13.2.3</w:t>
      </w:r>
      <w:r w:rsidR="00A53918" w:rsidRPr="00A53918">
        <w:rPr>
          <w:rFonts w:ascii="Arial" w:hAnsi="Arial" w:cs="Arial"/>
          <w:color w:val="666666"/>
          <w:sz w:val="21"/>
          <w:szCs w:val="21"/>
          <w:shd w:val="clear" w:color="auto" w:fill="FFFFFF"/>
        </w:rPr>
        <w:t>°</w:t>
      </w:r>
      <w:r w:rsidR="00A53918">
        <w:t xml:space="preserve">: </w:t>
      </w:r>
    </w:p>
    <w:p w14:paraId="74FF926E" w14:textId="58CC8EC8" w:rsidR="00A53918" w:rsidRDefault="00EE1860" w:rsidP="006B7C6F">
      <w:pPr>
        <w:spacing w:line="480" w:lineRule="auto"/>
        <w:ind w:left="720"/>
        <w:jc w:val="both"/>
      </w:pPr>
      <w:r>
        <w:t>“</w:t>
      </w:r>
      <w:r w:rsidR="00A53918">
        <w:t>T</w:t>
      </w:r>
      <w:r w:rsidR="00A53918" w:rsidRPr="00C22A33">
        <w:t xml:space="preserve">he President may at any time, after consultation with the </w:t>
      </w:r>
      <w:r w:rsidR="00EE2894">
        <w:t>C</w:t>
      </w:r>
      <w:r w:rsidR="00A53918" w:rsidRPr="00C22A33">
        <w:t xml:space="preserve">ouncil of </w:t>
      </w:r>
      <w:r w:rsidR="00EE2894">
        <w:t>S</w:t>
      </w:r>
      <w:r w:rsidR="00A53918" w:rsidRPr="00C22A33">
        <w:t>tate, convene a meeting of either or both of the houses of the Oireachtas.</w:t>
      </w:r>
      <w:r w:rsidR="00A53918">
        <w:t>"</w:t>
      </w:r>
    </w:p>
    <w:p w14:paraId="3586D3FC" w14:textId="5D4F908F" w:rsidR="00EE1860" w:rsidRDefault="00087C33" w:rsidP="004C0C53">
      <w:pPr>
        <w:numPr>
          <w:ilvl w:val="0"/>
          <w:numId w:val="1"/>
        </w:numPr>
        <w:spacing w:line="480" w:lineRule="auto"/>
        <w:ind w:left="0" w:firstLine="0"/>
        <w:jc w:val="both"/>
      </w:pPr>
      <w:r>
        <w:t xml:space="preserve">Article 13.7 </w:t>
      </w:r>
      <w:r w:rsidR="00802CF4">
        <w:t>provides that the</w:t>
      </w:r>
      <w:r w:rsidR="00EE1860">
        <w:t xml:space="preserve"> power to communicate with the Houses of the </w:t>
      </w:r>
      <w:r w:rsidR="0046375D">
        <w:t>Oireachtas</w:t>
      </w:r>
      <w:r w:rsidR="00EE1860">
        <w:t xml:space="preserve"> and the </w:t>
      </w:r>
      <w:r w:rsidR="0002084D">
        <w:t>N</w:t>
      </w:r>
      <w:r w:rsidR="00EE1860">
        <w:t xml:space="preserve">ation are </w:t>
      </w:r>
      <w:r w:rsidR="00EE2894">
        <w:t>exercisable</w:t>
      </w:r>
      <w:r>
        <w:t xml:space="preserve"> only</w:t>
      </w:r>
      <w:r w:rsidR="00EE2894">
        <w:t xml:space="preserve"> after</w:t>
      </w:r>
      <w:r w:rsidR="00802CF4">
        <w:t xml:space="preserve"> prior</w:t>
      </w:r>
      <w:r w:rsidR="00EE2894">
        <w:t xml:space="preserve"> consultation </w:t>
      </w:r>
      <w:r w:rsidR="00802CF4">
        <w:t>with the Council of State</w:t>
      </w:r>
      <w:r w:rsidR="00C41AE0">
        <w:t>:</w:t>
      </w:r>
    </w:p>
    <w:p w14:paraId="4FA49F6B" w14:textId="71737966" w:rsidR="00A53918" w:rsidRDefault="00EE1860" w:rsidP="006B7C6F">
      <w:pPr>
        <w:spacing w:line="480" w:lineRule="auto"/>
        <w:ind w:left="720"/>
        <w:jc w:val="both"/>
      </w:pPr>
      <w:r>
        <w:t>“</w:t>
      </w:r>
      <w:r w:rsidR="00A53918" w:rsidRPr="00205CD0">
        <w:t>1</w:t>
      </w:r>
      <w:r w:rsidR="00A53AF6" w:rsidRPr="00A53918">
        <w:rPr>
          <w:rFonts w:ascii="Arial" w:hAnsi="Arial" w:cs="Arial"/>
          <w:color w:val="666666"/>
          <w:sz w:val="21"/>
          <w:szCs w:val="21"/>
          <w:shd w:val="clear" w:color="auto" w:fill="FFFFFF"/>
        </w:rPr>
        <w:t>°</w:t>
      </w:r>
      <w:r w:rsidR="00A53918">
        <w:t>:</w:t>
      </w:r>
      <w:r w:rsidR="00A53918" w:rsidRPr="00205CD0">
        <w:t xml:space="preserve"> </w:t>
      </w:r>
      <w:r w:rsidR="00A53918">
        <w:t>T</w:t>
      </w:r>
      <w:r w:rsidR="00A53918" w:rsidRPr="00205CD0">
        <w:t xml:space="preserve">he President may, after consultation with the </w:t>
      </w:r>
      <w:r>
        <w:t>C</w:t>
      </w:r>
      <w:r w:rsidR="00A53918" w:rsidRPr="00205CD0">
        <w:t xml:space="preserve">ouncil of </w:t>
      </w:r>
      <w:r>
        <w:t>S</w:t>
      </w:r>
      <w:r w:rsidR="00A53918" w:rsidRPr="00205CD0">
        <w:t xml:space="preserve">tate, communicate with the </w:t>
      </w:r>
      <w:r w:rsidR="0002084D">
        <w:t>H</w:t>
      </w:r>
      <w:r w:rsidR="00A53918" w:rsidRPr="00205CD0">
        <w:t xml:space="preserve">ouses of the Oireachtas by message or address on any matter of national or public importance. </w:t>
      </w:r>
    </w:p>
    <w:p w14:paraId="7984B61E" w14:textId="3510EC75" w:rsidR="00A53918" w:rsidRDefault="00A53918" w:rsidP="006B7C6F">
      <w:pPr>
        <w:spacing w:line="480" w:lineRule="auto"/>
        <w:ind w:left="720"/>
        <w:jc w:val="both"/>
      </w:pPr>
      <w:r w:rsidRPr="00205CD0">
        <w:t>2°</w:t>
      </w:r>
      <w:r>
        <w:t>: T</w:t>
      </w:r>
      <w:r w:rsidRPr="00205CD0">
        <w:t xml:space="preserve">he President may, after consultation with the </w:t>
      </w:r>
      <w:r w:rsidR="0002084D">
        <w:t>C</w:t>
      </w:r>
      <w:r w:rsidRPr="00205CD0">
        <w:t xml:space="preserve">ouncil of </w:t>
      </w:r>
      <w:r w:rsidR="0002084D">
        <w:t>S</w:t>
      </w:r>
      <w:r w:rsidRPr="00205CD0">
        <w:t xml:space="preserve">tate, address a message to the </w:t>
      </w:r>
      <w:r w:rsidR="0002084D">
        <w:t>N</w:t>
      </w:r>
      <w:r w:rsidRPr="00205CD0">
        <w:t>ation at any time on any such matter.</w:t>
      </w:r>
      <w:r w:rsidR="00EE1860">
        <w:t>”</w:t>
      </w:r>
    </w:p>
    <w:p w14:paraId="4726D5D0" w14:textId="0082FCD8" w:rsidR="00087C33" w:rsidRDefault="00087C33" w:rsidP="00013B48">
      <w:pPr>
        <w:numPr>
          <w:ilvl w:val="0"/>
          <w:numId w:val="1"/>
        </w:numPr>
        <w:spacing w:line="480" w:lineRule="auto"/>
        <w:ind w:left="0" w:firstLine="0"/>
        <w:jc w:val="both"/>
      </w:pPr>
      <w:r>
        <w:t xml:space="preserve">The same is true where the President is asked to agree to an abridgment of time for the consideration of a Bill by the Seanad where </w:t>
      </w:r>
      <w:r w:rsidR="00036659">
        <w:t>the</w:t>
      </w:r>
      <w:r w:rsidR="002647A7">
        <w:t xml:space="preserve"> </w:t>
      </w:r>
      <w:r>
        <w:t>Taoiseach has certified that the Bill i</w:t>
      </w:r>
      <w:r w:rsidR="00202E54">
        <w:t>s</w:t>
      </w:r>
      <w:r>
        <w:t xml:space="preserve"> urgent and immediately necessary “for the preservation of the public peace and security or </w:t>
      </w:r>
      <w:r>
        <w:lastRenderedPageBreak/>
        <w:t>by reason of the existence</w:t>
      </w:r>
      <w:r w:rsidR="00262762">
        <w:t xml:space="preserve"> of a public emergency, whether domestic or international.” Article 24.1 requires the President to consult first with the Council of State before making an</w:t>
      </w:r>
      <w:r w:rsidR="004211F3">
        <w:t>y</w:t>
      </w:r>
      <w:r w:rsidR="00262762">
        <w:t xml:space="preserve"> such decision.</w:t>
      </w:r>
      <w:r>
        <w:t xml:space="preserve"> </w:t>
      </w:r>
    </w:p>
    <w:p w14:paraId="431E3F03" w14:textId="76051FE8" w:rsidR="00EE1860" w:rsidRPr="003312A7" w:rsidRDefault="00EE1860" w:rsidP="0083073C">
      <w:pPr>
        <w:numPr>
          <w:ilvl w:val="0"/>
          <w:numId w:val="1"/>
        </w:numPr>
        <w:spacing w:line="480" w:lineRule="auto"/>
        <w:ind w:left="0" w:firstLine="0"/>
        <w:jc w:val="both"/>
      </w:pPr>
      <w:r>
        <w:t>Under Article 27</w:t>
      </w:r>
      <w:r w:rsidR="00ED2155">
        <w:t xml:space="preserve"> of the Constitution</w:t>
      </w:r>
      <w:r>
        <w:t xml:space="preserve">, a </w:t>
      </w:r>
      <w:r w:rsidRPr="00EE1860">
        <w:t xml:space="preserve">petition </w:t>
      </w:r>
      <w:r>
        <w:t xml:space="preserve">may be submitted </w:t>
      </w:r>
      <w:r w:rsidR="00EE2894">
        <w:t>that</w:t>
      </w:r>
      <w:r w:rsidR="000F31BA">
        <w:t xml:space="preserve"> requests the</w:t>
      </w:r>
      <w:r w:rsidR="00EE2894">
        <w:t xml:space="preserve"> </w:t>
      </w:r>
      <w:r w:rsidRPr="00EE1860">
        <w:t xml:space="preserve">President </w:t>
      </w:r>
      <w:r w:rsidR="000F31BA">
        <w:t xml:space="preserve">to </w:t>
      </w:r>
      <w:r w:rsidRPr="00EE1860">
        <w:t>decline to sign and promulgate a</w:t>
      </w:r>
      <w:r>
        <w:t xml:space="preserve"> </w:t>
      </w:r>
      <w:r w:rsidRPr="00EE1860">
        <w:t xml:space="preserve">Bill </w:t>
      </w:r>
      <w:r>
        <w:t xml:space="preserve">if it </w:t>
      </w:r>
      <w:r w:rsidRPr="00EE1860">
        <w:t xml:space="preserve">contains a proposal of such national importance that the will of the </w:t>
      </w:r>
      <w:r w:rsidR="000F31BA">
        <w:t>p</w:t>
      </w:r>
      <w:r w:rsidRPr="00EE1860">
        <w:t>eople thereon ought to be ascertained</w:t>
      </w:r>
      <w:r>
        <w:t xml:space="preserve">, and the President can exercise discretion in considering this </w:t>
      </w:r>
      <w:r w:rsidR="0046375D">
        <w:t>request</w:t>
      </w:r>
      <w:r>
        <w:t xml:space="preserve"> under </w:t>
      </w:r>
      <w:r w:rsidR="0046375D" w:rsidRPr="003312A7">
        <w:t>Article 27.4.1</w:t>
      </w:r>
      <w:r w:rsidR="00A53AF6" w:rsidRPr="00A53918">
        <w:rPr>
          <w:rFonts w:ascii="Arial" w:hAnsi="Arial" w:cs="Arial"/>
          <w:color w:val="666666"/>
          <w:sz w:val="21"/>
          <w:szCs w:val="21"/>
          <w:shd w:val="clear" w:color="auto" w:fill="FFFFFF"/>
        </w:rPr>
        <w:t>°</w:t>
      </w:r>
      <w:r w:rsidR="00EE2894" w:rsidRPr="00262762">
        <w:rPr>
          <w:shd w:val="clear" w:color="auto" w:fill="FFFFFF"/>
        </w:rPr>
        <w:t xml:space="preserve"> again after consultation with the Council of State</w:t>
      </w:r>
      <w:r w:rsidR="00216317" w:rsidRPr="00262762">
        <w:rPr>
          <w:shd w:val="clear" w:color="auto" w:fill="FFFFFF"/>
        </w:rPr>
        <w:t>:</w:t>
      </w:r>
    </w:p>
    <w:p w14:paraId="34589CE7" w14:textId="44118BCC" w:rsidR="00A53918" w:rsidRDefault="0046375D" w:rsidP="006B7C6F">
      <w:pPr>
        <w:spacing w:line="480" w:lineRule="auto"/>
        <w:ind w:left="720"/>
        <w:jc w:val="both"/>
      </w:pPr>
      <w:r w:rsidRPr="00D1679E">
        <w:t>“</w:t>
      </w:r>
      <w:r w:rsidR="00A53918" w:rsidRPr="009225F9">
        <w:t xml:space="preserve">Upon receipt of a petition addressed to </w:t>
      </w:r>
      <w:r w:rsidR="00A53918" w:rsidRPr="00205CD0">
        <w:t xml:space="preserve">him under this </w:t>
      </w:r>
      <w:r w:rsidR="00216317">
        <w:t>A</w:t>
      </w:r>
      <w:r w:rsidR="00A53918" w:rsidRPr="00205CD0">
        <w:t xml:space="preserve">rticle, the President shall forthwith consider such petition and shall, after consultation with the </w:t>
      </w:r>
      <w:r w:rsidR="009709DB">
        <w:t>C</w:t>
      </w:r>
      <w:r w:rsidR="00A53918" w:rsidRPr="00205CD0">
        <w:t xml:space="preserve">ouncil of </w:t>
      </w:r>
      <w:r w:rsidR="009709DB">
        <w:t>S</w:t>
      </w:r>
      <w:r w:rsidR="00A53918" w:rsidRPr="00205CD0">
        <w:t xml:space="preserve">tate, pronounce his decision thereon not later than ten days after the date on which the Bill to which such petition relates shall have been deemed to have been passed by both </w:t>
      </w:r>
      <w:r w:rsidR="00216317">
        <w:t>H</w:t>
      </w:r>
      <w:r w:rsidR="00A53918" w:rsidRPr="00205CD0">
        <w:t>ouses of the Oireachtas.</w:t>
      </w:r>
      <w:r>
        <w:t>”</w:t>
      </w:r>
    </w:p>
    <w:p w14:paraId="5CC71158" w14:textId="59E1F98A" w:rsidR="00D74B70" w:rsidRDefault="000555A8" w:rsidP="00F17763">
      <w:pPr>
        <w:numPr>
          <w:ilvl w:val="0"/>
          <w:numId w:val="1"/>
        </w:numPr>
        <w:spacing w:line="480" w:lineRule="auto"/>
        <w:ind w:left="0" w:firstLine="0"/>
        <w:jc w:val="both"/>
      </w:pPr>
      <w:r>
        <w:t>T</w:t>
      </w:r>
      <w:r w:rsidR="00F17763">
        <w:t>he Council of State is, like the President, a creature of wholly constitutional origin and</w:t>
      </w:r>
      <w:r w:rsidR="009709DB">
        <w:t xml:space="preserve">, </w:t>
      </w:r>
      <w:r w:rsidR="00F17763">
        <w:t>for the reasons I will now explain</w:t>
      </w:r>
      <w:r w:rsidR="005A4DE6">
        <w:t>,</w:t>
      </w:r>
      <w:r w:rsidR="009709DB">
        <w:t xml:space="preserve"> I consider</w:t>
      </w:r>
      <w:r w:rsidR="00F17763">
        <w:t xml:space="preserve"> </w:t>
      </w:r>
      <w:r w:rsidR="00D74B70">
        <w:t xml:space="preserve">that </w:t>
      </w:r>
      <w:r w:rsidR="00F17763">
        <w:t xml:space="preserve">the Council of State has no function </w:t>
      </w:r>
      <w:r w:rsidR="00817E98">
        <w:t xml:space="preserve">material to this appeal </w:t>
      </w:r>
      <w:r w:rsidR="00F17763">
        <w:t>separate from its advisory role to the President.</w:t>
      </w:r>
    </w:p>
    <w:p w14:paraId="6E8F7416" w14:textId="0D95328A" w:rsidR="00F17763" w:rsidRDefault="005A4DE6" w:rsidP="00A377C8">
      <w:pPr>
        <w:numPr>
          <w:ilvl w:val="0"/>
          <w:numId w:val="1"/>
        </w:numPr>
        <w:spacing w:line="480" w:lineRule="auto"/>
        <w:ind w:left="0" w:firstLine="0"/>
        <w:jc w:val="both"/>
      </w:pPr>
      <w:r>
        <w:t>T</w:t>
      </w:r>
      <w:r w:rsidR="00F17763">
        <w:t xml:space="preserve">he Council of State </w:t>
      </w:r>
      <w:r w:rsidR="00D74B70">
        <w:t>can</w:t>
      </w:r>
      <w:r w:rsidR="00F17763">
        <w:t xml:space="preserve">not meet without being convened by the </w:t>
      </w:r>
      <w:r w:rsidR="003E489D">
        <w:t>President.</w:t>
      </w:r>
      <w:r w:rsidR="00F17763">
        <w:t xml:space="preserve">  The President activates a request for </w:t>
      </w:r>
      <w:r w:rsidR="00A377C8">
        <w:t xml:space="preserve">a </w:t>
      </w:r>
      <w:r w:rsidR="00D74B70">
        <w:t xml:space="preserve">consultation </w:t>
      </w:r>
      <w:r w:rsidR="00A377C8">
        <w:t xml:space="preserve">with </w:t>
      </w:r>
      <w:r w:rsidR="00F17763">
        <w:t>the Council of State</w:t>
      </w:r>
      <w:r w:rsidR="0002084D">
        <w:t xml:space="preserve"> in order</w:t>
      </w:r>
      <w:r w:rsidR="00A377C8">
        <w:t xml:space="preserve"> to seek its advice</w:t>
      </w:r>
      <w:r w:rsidR="0002084D">
        <w:t xml:space="preserve"> and counsel</w:t>
      </w:r>
      <w:r w:rsidR="00667105">
        <w:t>.  T</w:t>
      </w:r>
      <w:r w:rsidR="00F17763">
        <w:t xml:space="preserve">he Council of State has no independent status or role outside that of the President and </w:t>
      </w:r>
      <w:r w:rsidR="00A377C8">
        <w:t xml:space="preserve">its advisory role </w:t>
      </w:r>
      <w:r w:rsidR="00F17763">
        <w:t>is invoked by him or her under the constitutional discretion</w:t>
      </w:r>
      <w:r w:rsidR="003E489D">
        <w:t>ary</w:t>
      </w:r>
      <w:r w:rsidR="00F17763">
        <w:t xml:space="preserve"> power.  </w:t>
      </w:r>
    </w:p>
    <w:p w14:paraId="10655599" w14:textId="3DA6102D" w:rsidR="00F17763" w:rsidRDefault="005A4DE6" w:rsidP="00F17763">
      <w:pPr>
        <w:numPr>
          <w:ilvl w:val="0"/>
          <w:numId w:val="1"/>
        </w:numPr>
        <w:spacing w:line="480" w:lineRule="auto"/>
        <w:ind w:left="0" w:firstLine="0"/>
        <w:jc w:val="both"/>
      </w:pPr>
      <w:r>
        <w:t>T</w:t>
      </w:r>
      <w:r w:rsidR="00F17763">
        <w:t>he constitutional role of the Council of State is</w:t>
      </w:r>
      <w:r w:rsidR="00262762">
        <w:t>, in the words of Article 31.1,</w:t>
      </w:r>
      <w:r w:rsidR="00F17763">
        <w:t xml:space="preserve"> to</w:t>
      </w:r>
      <w:r w:rsidR="00262762">
        <w:t xml:space="preserve"> “aid and counsel”</w:t>
      </w:r>
      <w:r w:rsidR="00D74B70">
        <w:t xml:space="preserve"> </w:t>
      </w:r>
      <w:r w:rsidR="00F17763">
        <w:t xml:space="preserve">the </w:t>
      </w:r>
      <w:r w:rsidR="00D74B70">
        <w:t>President. It does have an independent role to</w:t>
      </w:r>
      <w:r w:rsidR="00F17763">
        <w:t xml:space="preserve"> act in lieu of the President </w:t>
      </w:r>
      <w:r w:rsidR="006B7C6F">
        <w:t>under</w:t>
      </w:r>
      <w:r w:rsidR="00667105">
        <w:t xml:space="preserve"> Article 14.4 in certain circumstances </w:t>
      </w:r>
      <w:r w:rsidR="009225F9">
        <w:t xml:space="preserve">as </w:t>
      </w:r>
      <w:r w:rsidR="00667105">
        <w:t>defined by Article 14.5</w:t>
      </w:r>
      <w:r w:rsidR="00817E98">
        <w:t>, a power</w:t>
      </w:r>
      <w:r w:rsidR="006B7C6F">
        <w:t xml:space="preserve"> not relevant to </w:t>
      </w:r>
      <w:r w:rsidR="004C7DBA">
        <w:t>any issue arising in the course of this appeal</w:t>
      </w:r>
      <w:r w:rsidR="009709DB">
        <w:t>.</w:t>
      </w:r>
    </w:p>
    <w:p w14:paraId="2C6C7094" w14:textId="5726934D" w:rsidR="005A4DE6" w:rsidRDefault="00D74B70" w:rsidP="00F17763">
      <w:pPr>
        <w:numPr>
          <w:ilvl w:val="0"/>
          <w:numId w:val="1"/>
        </w:numPr>
        <w:spacing w:line="480" w:lineRule="auto"/>
        <w:ind w:left="0" w:firstLine="0"/>
        <w:jc w:val="both"/>
      </w:pPr>
      <w:r>
        <w:lastRenderedPageBreak/>
        <w:t xml:space="preserve">For the purpose of the present appeal, </w:t>
      </w:r>
      <w:r w:rsidR="00817E98">
        <w:t xml:space="preserve">the Council of State </w:t>
      </w:r>
      <w:r w:rsidR="005A4DE6">
        <w:t>could not have met without the presence of the President or have made a</w:t>
      </w:r>
      <w:r w:rsidR="003E489D">
        <w:t xml:space="preserve">n independent </w:t>
      </w:r>
      <w:r w:rsidR="005A4DE6">
        <w:t>determination to disclose some of its working documents or the documents sought in the request</w:t>
      </w:r>
      <w:r w:rsidR="003E489D">
        <w:t xml:space="preserve">.  </w:t>
      </w:r>
    </w:p>
    <w:p w14:paraId="22FB7592" w14:textId="3CC2534A" w:rsidR="00B17F40" w:rsidRDefault="00262762" w:rsidP="00F17763">
      <w:pPr>
        <w:numPr>
          <w:ilvl w:val="0"/>
          <w:numId w:val="1"/>
        </w:numPr>
        <w:spacing w:line="480" w:lineRule="auto"/>
        <w:ind w:left="0" w:firstLine="0"/>
        <w:jc w:val="both"/>
      </w:pPr>
      <w:r>
        <w:t>T</w:t>
      </w:r>
      <w:r w:rsidR="00B17F40">
        <w:t xml:space="preserve">he Council of State </w:t>
      </w:r>
      <w:r w:rsidR="00516A45">
        <w:t>does have a separate legal personality or status</w:t>
      </w:r>
      <w:r w:rsidR="000F31BA">
        <w:t>,</w:t>
      </w:r>
      <w:r w:rsidR="00516A45">
        <w:t xml:space="preserve"> but its powers are</w:t>
      </w:r>
      <w:r w:rsidR="00667105">
        <w:t xml:space="preserve"> limited to </w:t>
      </w:r>
      <w:r w:rsidR="00EE4207">
        <w:t xml:space="preserve">affording assistance to </w:t>
      </w:r>
      <w:r w:rsidR="00667105">
        <w:t>the President and</w:t>
      </w:r>
      <w:r w:rsidR="00EE4207">
        <w:t>,</w:t>
      </w:r>
      <w:r w:rsidR="00667105">
        <w:t xml:space="preserve"> </w:t>
      </w:r>
      <w:r w:rsidR="00EE4207">
        <w:t xml:space="preserve">on request, to </w:t>
      </w:r>
      <w:r w:rsidR="00667105">
        <w:t>giving him or her advice.  I</w:t>
      </w:r>
      <w:r w:rsidR="00516A45">
        <w:t xml:space="preserve">t </w:t>
      </w:r>
      <w:r w:rsidR="00B17F40">
        <w:t>is properly to be considered as protected by the constitutional immunity of the President insofar as it assists the President in the performance of his or her functions or powers.  No order could be made against the Council of State if that directly or indirectly interfered with that immunity.  I return later to a more complete discussion of this point.</w:t>
      </w:r>
    </w:p>
    <w:p w14:paraId="1565A0B1" w14:textId="6EEF9E40" w:rsidR="001510EE" w:rsidRPr="004A58D1" w:rsidRDefault="001510EE" w:rsidP="004A58D1">
      <w:pPr>
        <w:spacing w:line="480" w:lineRule="auto"/>
        <w:jc w:val="both"/>
        <w:rPr>
          <w:b/>
          <w:u w:val="single"/>
        </w:rPr>
      </w:pPr>
      <w:r w:rsidRPr="004A58D1">
        <w:rPr>
          <w:b/>
          <w:u w:val="single"/>
        </w:rPr>
        <w:t xml:space="preserve">Analysis of the </w:t>
      </w:r>
      <w:r w:rsidR="00552B09" w:rsidRPr="004A58D1">
        <w:rPr>
          <w:b/>
          <w:u w:val="single"/>
        </w:rPr>
        <w:t>powers</w:t>
      </w:r>
      <w:r w:rsidRPr="004A58D1">
        <w:rPr>
          <w:b/>
          <w:u w:val="single"/>
        </w:rPr>
        <w:t xml:space="preserve"> of the </w:t>
      </w:r>
      <w:r w:rsidR="00552B09" w:rsidRPr="004A58D1">
        <w:rPr>
          <w:b/>
          <w:u w:val="single"/>
        </w:rPr>
        <w:t>President</w:t>
      </w:r>
    </w:p>
    <w:p w14:paraId="68E43EC0" w14:textId="3FE49528" w:rsidR="0075581C" w:rsidRDefault="00314375" w:rsidP="00A30D25">
      <w:pPr>
        <w:numPr>
          <w:ilvl w:val="0"/>
          <w:numId w:val="1"/>
        </w:numPr>
        <w:spacing w:line="480" w:lineRule="auto"/>
        <w:ind w:left="0" w:firstLine="0"/>
        <w:jc w:val="both"/>
      </w:pPr>
      <w:r>
        <w:t>A significant part of the</w:t>
      </w:r>
      <w:r w:rsidR="0075581C" w:rsidRPr="00D23708">
        <w:t xml:space="preserve"> President’s role is to speak to </w:t>
      </w:r>
      <w:r w:rsidR="003C6985">
        <w:t xml:space="preserve">the </w:t>
      </w:r>
      <w:r w:rsidR="00262762">
        <w:t>P</w:t>
      </w:r>
      <w:r>
        <w:t>eople of Ireland, and</w:t>
      </w:r>
      <w:r w:rsidR="0002084D">
        <w:t>,</w:t>
      </w:r>
      <w:r>
        <w:t xml:space="preserve"> in appropriate cases</w:t>
      </w:r>
      <w:r w:rsidR="0002084D">
        <w:t>, on</w:t>
      </w:r>
      <w:r w:rsidR="0075581C" w:rsidRPr="00D23708">
        <w:t xml:space="preserve"> behalf of the Nation. Having consulted with the Council of State, </w:t>
      </w:r>
      <w:r w:rsidR="0075581C">
        <w:t xml:space="preserve">he or </w:t>
      </w:r>
      <w:r w:rsidR="0075581C" w:rsidRPr="00D23708">
        <w:t xml:space="preserve">she may convene a meeting of the Houses of the Oireachtas, address the Houses of the Oireachtas and address the Nation. </w:t>
      </w:r>
      <w:r w:rsidR="00667105">
        <w:t xml:space="preserve"> </w:t>
      </w:r>
      <w:r w:rsidR="0075581C" w:rsidRPr="00D23708">
        <w:t>Every such message or address, however, must have received the approval of the Government.</w:t>
      </w:r>
    </w:p>
    <w:p w14:paraId="2275F1A7" w14:textId="2423A556" w:rsidR="00AC0997" w:rsidRPr="0075581C" w:rsidRDefault="00202A8C" w:rsidP="00287896">
      <w:pPr>
        <w:numPr>
          <w:ilvl w:val="0"/>
          <w:numId w:val="1"/>
        </w:numPr>
        <w:spacing w:line="480" w:lineRule="auto"/>
        <w:ind w:left="0" w:firstLine="0"/>
        <w:jc w:val="both"/>
      </w:pPr>
      <w:r>
        <w:t xml:space="preserve">Recent Presidents have </w:t>
      </w:r>
      <w:r w:rsidR="00D941F1">
        <w:t xml:space="preserve">promoted the causes of diversity, innovation </w:t>
      </w:r>
      <w:r w:rsidR="001008A8">
        <w:t xml:space="preserve">and encouraged </w:t>
      </w:r>
      <w:r w:rsidR="00D941F1">
        <w:t xml:space="preserve">the sciences </w:t>
      </w:r>
      <w:r w:rsidR="001008A8">
        <w:t>and the arts</w:t>
      </w:r>
      <w:r w:rsidR="003C5885">
        <w:t xml:space="preserve">. </w:t>
      </w:r>
      <w:r w:rsidR="001008A8">
        <w:t xml:space="preserve"> </w:t>
      </w:r>
      <w:r w:rsidR="00D66A10">
        <w:t xml:space="preserve">It could be said that </w:t>
      </w:r>
      <w:r w:rsidR="000D6449">
        <w:t xml:space="preserve">the exercise of </w:t>
      </w:r>
      <w:r w:rsidR="00D66A10">
        <w:t>these functions the President benefit</w:t>
      </w:r>
      <w:r w:rsidR="00314375">
        <w:t>s</w:t>
      </w:r>
      <w:r w:rsidR="00D66A10">
        <w:t xml:space="preserve"> the public, advance</w:t>
      </w:r>
      <w:r w:rsidR="00314375">
        <w:t>s</w:t>
      </w:r>
      <w:r w:rsidR="00D66A10">
        <w:t xml:space="preserve"> the common good</w:t>
      </w:r>
      <w:r w:rsidR="000D6449">
        <w:t xml:space="preserve">, </w:t>
      </w:r>
      <w:r w:rsidR="00D66A10">
        <w:t>express</w:t>
      </w:r>
      <w:r w:rsidR="00314375">
        <w:t>es</w:t>
      </w:r>
      <w:r w:rsidR="00D66A10">
        <w:t xml:space="preserve"> the ideals of democracy or the ideals of good neighbourliness</w:t>
      </w:r>
      <w:r w:rsidR="002904C4">
        <w:t xml:space="preserve"> at home and at an international level</w:t>
      </w:r>
      <w:r w:rsidR="00A377C8">
        <w:t xml:space="preserve">. </w:t>
      </w:r>
      <w:r w:rsidR="00AC0997">
        <w:t>These functions are in no sense decision</w:t>
      </w:r>
      <w:r w:rsidR="006578DB">
        <w:t>-</w:t>
      </w:r>
      <w:r w:rsidR="00AC0997">
        <w:t>making or policy</w:t>
      </w:r>
      <w:r w:rsidR="006578DB">
        <w:t>-</w:t>
      </w:r>
      <w:r w:rsidR="00AC0997">
        <w:t xml:space="preserve">making functions, but rather </w:t>
      </w:r>
      <w:r w:rsidR="002904C4" w:rsidRPr="0075581C">
        <w:t xml:space="preserve">operate </w:t>
      </w:r>
      <w:r w:rsidR="00AC0997" w:rsidRPr="0075581C">
        <w:t>at a constitutional level and as a reflection of domestic values and principles</w:t>
      </w:r>
      <w:r w:rsidR="002904C4" w:rsidRPr="0075581C">
        <w:t>.</w:t>
      </w:r>
    </w:p>
    <w:p w14:paraId="12367C70" w14:textId="775AA352" w:rsidR="00FB7CF8" w:rsidRPr="00A30D25" w:rsidRDefault="00817E98">
      <w:pPr>
        <w:numPr>
          <w:ilvl w:val="0"/>
          <w:numId w:val="1"/>
        </w:numPr>
        <w:spacing w:line="480" w:lineRule="auto"/>
        <w:ind w:left="0" w:firstLine="0"/>
        <w:jc w:val="both"/>
        <w:rPr>
          <w:rStyle w:val="Hyperlink"/>
          <w:color w:val="auto"/>
          <w:u w:val="none"/>
        </w:rPr>
      </w:pPr>
      <w:r>
        <w:t>A</w:t>
      </w:r>
      <w:r w:rsidR="00BF7421" w:rsidRPr="00587C50">
        <w:t xml:space="preserve">s Doyle </w:t>
      </w:r>
      <w:r w:rsidR="0075581C" w:rsidRPr="00587C50">
        <w:t>said at p. 77-78</w:t>
      </w:r>
      <w:r w:rsidR="00F37F3E" w:rsidRPr="00587C50">
        <w:t xml:space="preserve"> </w:t>
      </w:r>
      <w:r w:rsidR="00802CAF">
        <w:t xml:space="preserve">in </w:t>
      </w:r>
      <w:r w:rsidR="0075581C" w:rsidRPr="00587C50">
        <w:rPr>
          <w:i/>
          <w:iCs/>
        </w:rPr>
        <w:t>The Constitution of Ireland</w:t>
      </w:r>
      <w:r w:rsidR="00802CAF" w:rsidRPr="00D22D94">
        <w:rPr>
          <w:i/>
          <w:iCs/>
        </w:rPr>
        <w:t>:</w:t>
      </w:r>
      <w:r w:rsidR="0075581C" w:rsidRPr="00F64D72">
        <w:rPr>
          <w:i/>
          <w:iCs/>
        </w:rPr>
        <w:t xml:space="preserve"> A</w:t>
      </w:r>
      <w:r w:rsidR="0075581C" w:rsidRPr="00587C50">
        <w:rPr>
          <w:i/>
          <w:iCs/>
        </w:rPr>
        <w:t xml:space="preserve"> Contextual Analysis</w:t>
      </w:r>
      <w:r w:rsidR="00802CAF">
        <w:t xml:space="preserve"> (</w:t>
      </w:r>
      <w:r w:rsidR="00A377C8">
        <w:t>Hart</w:t>
      </w:r>
      <w:r w:rsidR="000F31BA">
        <w:t xml:space="preserve"> Publishing</w:t>
      </w:r>
      <w:r w:rsidR="00A377C8">
        <w:t xml:space="preserve">, </w:t>
      </w:r>
      <w:r w:rsidR="00802CAF">
        <w:t>2018</w:t>
      </w:r>
      <w:r w:rsidR="000F31BA">
        <w:t>, 1</w:t>
      </w:r>
      <w:r w:rsidR="000F31BA" w:rsidRPr="001A03B8">
        <w:rPr>
          <w:vertAlign w:val="superscript"/>
        </w:rPr>
        <w:t>st</w:t>
      </w:r>
      <w:r w:rsidR="000F31BA">
        <w:t xml:space="preserve"> ed.</w:t>
      </w:r>
      <w:r w:rsidR="00A377C8">
        <w:t>)</w:t>
      </w:r>
    </w:p>
    <w:p w14:paraId="430ED828" w14:textId="31D64087" w:rsidR="00BF7421" w:rsidRPr="00A30D25" w:rsidRDefault="00E52DDE" w:rsidP="005C6F6B">
      <w:pPr>
        <w:spacing w:line="480" w:lineRule="auto"/>
        <w:ind w:left="720"/>
        <w:jc w:val="both"/>
      </w:pPr>
      <w:r w:rsidRPr="00587C50">
        <w:t>“</w:t>
      </w:r>
      <w:r w:rsidR="00BF7421" w:rsidRPr="00587C50">
        <w:t xml:space="preserve">In more recent years, Presidents have informally expanded this role into one of generally speaking on behalf of civil society, without seeking Government approval. </w:t>
      </w:r>
      <w:r w:rsidR="00BF7421" w:rsidRPr="00587C50">
        <w:lastRenderedPageBreak/>
        <w:t>This has allowed Presidents to articulate themes for their presidencies, which they can then implement through their choice of engagements.”</w:t>
      </w:r>
    </w:p>
    <w:p w14:paraId="765521AB" w14:textId="5269229E" w:rsidR="00E52DDE" w:rsidRPr="00A30D25" w:rsidRDefault="00802CAF" w:rsidP="00E52DDE">
      <w:pPr>
        <w:numPr>
          <w:ilvl w:val="0"/>
          <w:numId w:val="1"/>
        </w:numPr>
        <w:spacing w:line="480" w:lineRule="auto"/>
        <w:ind w:left="0" w:firstLine="0"/>
        <w:jc w:val="both"/>
      </w:pPr>
      <w:r>
        <w:t>Doyle</w:t>
      </w:r>
      <w:r w:rsidR="00E52DDE" w:rsidRPr="00587C50">
        <w:t xml:space="preserve"> echoes the description given by counsel for the State parties at the oral hearing of the appeal, that the President is “above politics”:</w:t>
      </w:r>
    </w:p>
    <w:p w14:paraId="777735AD" w14:textId="5FC55A1D" w:rsidR="00E52DDE" w:rsidRPr="00A30D25" w:rsidRDefault="00E52DDE" w:rsidP="005C6F6B">
      <w:pPr>
        <w:spacing w:line="480" w:lineRule="auto"/>
        <w:ind w:left="720"/>
        <w:jc w:val="both"/>
      </w:pPr>
      <w:r w:rsidRPr="00587C50">
        <w:t>“There is now a popular expectation that the President be a leader of civil society, resolutely removed from party politics and impeccably neutral in the performance of constitutional functions, while engaging public debate on broad themes of public concern.”</w:t>
      </w:r>
      <w:r w:rsidR="0075581C" w:rsidRPr="00587C50">
        <w:t xml:space="preserve"> (at p. 79)</w:t>
      </w:r>
    </w:p>
    <w:p w14:paraId="02EB32C9" w14:textId="15CE4E7D" w:rsidR="000D6449" w:rsidRPr="00587C50" w:rsidRDefault="00C41AE0" w:rsidP="00F37F3E">
      <w:pPr>
        <w:numPr>
          <w:ilvl w:val="0"/>
          <w:numId w:val="1"/>
        </w:numPr>
        <w:spacing w:line="480" w:lineRule="auto"/>
        <w:ind w:left="0" w:firstLine="0"/>
        <w:jc w:val="both"/>
        <w:rPr>
          <w:b/>
        </w:rPr>
      </w:pPr>
      <w:r w:rsidRPr="0075581C">
        <w:t>I tu</w:t>
      </w:r>
      <w:r w:rsidR="003312A7">
        <w:t>r</w:t>
      </w:r>
      <w:r w:rsidRPr="0075581C">
        <w:t>n now to examine th</w:t>
      </w:r>
      <w:r w:rsidR="00E52DDE" w:rsidRPr="0075581C">
        <w:t>e</w:t>
      </w:r>
      <w:r w:rsidR="00A377C8">
        <w:t xml:space="preserve"> power</w:t>
      </w:r>
      <w:r w:rsidR="00E97FBD">
        <w:t>s</w:t>
      </w:r>
      <w:r w:rsidR="00A377C8">
        <w:t xml:space="preserve"> of the </w:t>
      </w:r>
      <w:r w:rsidR="00262762">
        <w:t>P</w:t>
      </w:r>
      <w:r w:rsidR="00A377C8">
        <w:t xml:space="preserve">resident under </w:t>
      </w:r>
      <w:r w:rsidR="00A377C8" w:rsidRPr="0075581C">
        <w:t>Art</w:t>
      </w:r>
      <w:r w:rsidR="00A377C8">
        <w:t>icle</w:t>
      </w:r>
      <w:r w:rsidR="00A377C8" w:rsidRPr="0075581C">
        <w:t xml:space="preserve"> 26</w:t>
      </w:r>
      <w:r w:rsidR="00E97FBD">
        <w:t xml:space="preserve"> to refer a Bill to the </w:t>
      </w:r>
      <w:r w:rsidR="001008A8">
        <w:t>Supreme</w:t>
      </w:r>
      <w:r w:rsidR="00E97FBD">
        <w:t xml:space="preserve"> Court </w:t>
      </w:r>
      <w:r w:rsidR="00A377C8" w:rsidRPr="0075581C">
        <w:t xml:space="preserve">and to speak </w:t>
      </w:r>
      <w:r w:rsidR="00A377C8">
        <w:t>to</w:t>
      </w:r>
      <w:r w:rsidR="00E97FBD">
        <w:t>,</w:t>
      </w:r>
      <w:r w:rsidR="00A377C8">
        <w:t xml:space="preserve"> or </w:t>
      </w:r>
      <w:r w:rsidR="00A377C8" w:rsidRPr="0075581C">
        <w:t>on behalf of</w:t>
      </w:r>
      <w:r w:rsidR="00E97FBD">
        <w:t>,</w:t>
      </w:r>
      <w:r w:rsidR="00A377C8" w:rsidRPr="0075581C">
        <w:t xml:space="preserve"> civil society</w:t>
      </w:r>
      <w:r w:rsidR="00FB7FFD">
        <w:t xml:space="preserve">, both of which </w:t>
      </w:r>
      <w:r w:rsidR="00F0420C">
        <w:t>a</w:t>
      </w:r>
      <w:r w:rsidR="00FB7FFD">
        <w:t xml:space="preserve">re engaged </w:t>
      </w:r>
      <w:r w:rsidR="00F0420C">
        <w:t>in the circumstances giving rise to the request the subject of this appeal</w:t>
      </w:r>
      <w:r w:rsidRPr="0075581C">
        <w:t>.</w:t>
      </w:r>
      <w:r w:rsidR="00ED2B34" w:rsidRPr="0075581C">
        <w:t xml:space="preserve"> </w:t>
      </w:r>
    </w:p>
    <w:p w14:paraId="544AA0CD" w14:textId="3497C4A1" w:rsidR="00F17763" w:rsidRPr="008357B5" w:rsidRDefault="00F17763" w:rsidP="00F17763">
      <w:pPr>
        <w:spacing w:line="480" w:lineRule="auto"/>
        <w:jc w:val="both"/>
        <w:rPr>
          <w:b/>
          <w:u w:val="single"/>
        </w:rPr>
      </w:pPr>
      <w:r w:rsidRPr="00A30D25">
        <w:rPr>
          <w:b/>
          <w:u w:val="single"/>
        </w:rPr>
        <w:t xml:space="preserve">Two presidential discretionary powers </w:t>
      </w:r>
      <w:r w:rsidR="00EE4207">
        <w:rPr>
          <w:b/>
          <w:u w:val="single"/>
        </w:rPr>
        <w:t>in the present appeal</w:t>
      </w:r>
    </w:p>
    <w:p w14:paraId="20AFBA9E" w14:textId="3D09E6E1" w:rsidR="004C7DBA" w:rsidRDefault="00F17763" w:rsidP="003A57A9">
      <w:pPr>
        <w:numPr>
          <w:ilvl w:val="0"/>
          <w:numId w:val="1"/>
        </w:numPr>
        <w:spacing w:line="480" w:lineRule="auto"/>
        <w:ind w:left="0" w:firstLine="0"/>
        <w:jc w:val="both"/>
      </w:pPr>
      <w:r w:rsidRPr="0075581C">
        <w:t xml:space="preserve">In the making of a reference </w:t>
      </w:r>
      <w:r w:rsidR="00F03F96">
        <w:t xml:space="preserve">of a Bill to the Supreme Court </w:t>
      </w:r>
      <w:r w:rsidRPr="0075581C">
        <w:t xml:space="preserve">under Article 26 the President is to be seen as guardian of the Constitution or guardian of the public interest </w:t>
      </w:r>
      <w:r w:rsidR="00D778A8">
        <w:t>regarding the</w:t>
      </w:r>
      <w:r w:rsidRPr="0075581C">
        <w:t xml:space="preserve"> constitutionality of</w:t>
      </w:r>
      <w:r w:rsidR="00D778A8">
        <w:t xml:space="preserve"> Bills which have been passed by both Houses of the Oireachtas</w:t>
      </w:r>
      <w:r w:rsidRPr="0075581C">
        <w:t>.</w:t>
      </w:r>
      <w:r w:rsidR="009225F9">
        <w:t xml:space="preserve"> </w:t>
      </w:r>
      <w:r w:rsidRPr="0075581C">
        <w:t xml:space="preserve"> </w:t>
      </w:r>
      <w:r w:rsidR="00E078E2" w:rsidRPr="0075581C">
        <w:t xml:space="preserve">A reference under </w:t>
      </w:r>
      <w:r w:rsidRPr="0075581C">
        <w:t>Article 26</w:t>
      </w:r>
      <w:r w:rsidR="00643032" w:rsidRPr="0075581C">
        <w:t xml:space="preserve"> </w:t>
      </w:r>
      <w:r w:rsidRPr="0075581C">
        <w:t>could no</w:t>
      </w:r>
      <w:r w:rsidR="0025507F">
        <w:t>t</w:t>
      </w:r>
      <w:r w:rsidR="00262762">
        <w:t xml:space="preserve">, however, </w:t>
      </w:r>
      <w:r w:rsidRPr="0075581C">
        <w:t>be</w:t>
      </w:r>
      <w:r>
        <w:t xml:space="preserve"> called </w:t>
      </w:r>
      <w:r w:rsidR="00E078E2">
        <w:t xml:space="preserve">the exercise of a </w:t>
      </w:r>
      <w:r>
        <w:t>“legislative function”</w:t>
      </w:r>
      <w:r w:rsidR="006E089A">
        <w:t xml:space="preserve">, and I consider that the High Court was incorrect to so determine. </w:t>
      </w:r>
      <w:r>
        <w:t xml:space="preserve"> </w:t>
      </w:r>
      <w:r w:rsidR="00F0420C">
        <w:t xml:space="preserve">The </w:t>
      </w:r>
      <w:r w:rsidR="00262762">
        <w:t>P</w:t>
      </w:r>
      <w:r w:rsidR="00F0420C">
        <w:t xml:space="preserve">resident does not exercise political or legislative power in making a reference.  </w:t>
      </w:r>
      <w:r w:rsidR="00262762">
        <w:t>It is true that,</w:t>
      </w:r>
      <w:r w:rsidR="00F0420C">
        <w:t xml:space="preserve"> taking advice from the Council of State, </w:t>
      </w:r>
      <w:r w:rsidR="00262762">
        <w:t xml:space="preserve">the President </w:t>
      </w:r>
      <w:r w:rsidR="00F0420C">
        <w:t>exercise</w:t>
      </w:r>
      <w:r w:rsidR="00262762">
        <w:t>s</w:t>
      </w:r>
      <w:r w:rsidR="00F0420C">
        <w:t xml:space="preserve"> personal judgment regarding whether to refer</w:t>
      </w:r>
      <w:r w:rsidR="00262762">
        <w:t xml:space="preserve"> a Bill.</w:t>
      </w:r>
      <w:r w:rsidR="00F03F96">
        <w:t xml:space="preserve"> </w:t>
      </w:r>
      <w:r w:rsidR="00262762">
        <w:t xml:space="preserve"> </w:t>
      </w:r>
      <w:r w:rsidR="004C7DBA">
        <w:t xml:space="preserve">Apart from legal and political considerations, the principles which guide that decision may be said to involve a judgment as the desire for legal certainty in regard to a Bill on the one hand balanced against the desirability that the constitutionality of the measure be tested in the ordinary way before the High Court. </w:t>
      </w:r>
    </w:p>
    <w:p w14:paraId="1356739E" w14:textId="1E810DFE" w:rsidR="005E26F7" w:rsidRPr="0083073C" w:rsidRDefault="005E26F7" w:rsidP="003A57A9">
      <w:pPr>
        <w:numPr>
          <w:ilvl w:val="0"/>
          <w:numId w:val="1"/>
        </w:numPr>
        <w:spacing w:line="480" w:lineRule="auto"/>
        <w:ind w:left="0" w:firstLine="0"/>
        <w:jc w:val="both"/>
      </w:pPr>
      <w:r w:rsidRPr="005E26F7">
        <w:t>Thus, for example, the President might be personally doubtful as to the constitutionality of the Bill</w:t>
      </w:r>
      <w:r w:rsidRPr="0083073C">
        <w:t xml:space="preserve"> in question but think that this issue would be better tested in the ordinary way before the High Court in which the respective parties would have the </w:t>
      </w:r>
      <w:r w:rsidRPr="0083073C">
        <w:lastRenderedPageBreak/>
        <w:t>opportunity of leading evidence so that an Article 26 reference was not appropriate</w:t>
      </w:r>
      <w:r w:rsidR="004C7DBA">
        <w:t xml:space="preserve"> in the circumstances</w:t>
      </w:r>
      <w:r w:rsidRPr="0083073C">
        <w:t>. Conversely the President might entertain few personal doubts regarding the constitutionality of the measure</w:t>
      </w:r>
      <w:r>
        <w:t>,</w:t>
      </w:r>
      <w:r w:rsidRPr="005E26F7">
        <w:t xml:space="preserve"> but he might nonetheless consider that an Article 26 reference was appropriate on the basis </w:t>
      </w:r>
      <w:r w:rsidRPr="0083073C">
        <w:t>that legal certainty in respect of this particular measure was desirable.</w:t>
      </w:r>
    </w:p>
    <w:p w14:paraId="1B80D402" w14:textId="0B474379" w:rsidR="00F17763" w:rsidRDefault="00F0420C" w:rsidP="00F17763">
      <w:pPr>
        <w:numPr>
          <w:ilvl w:val="0"/>
          <w:numId w:val="1"/>
        </w:numPr>
        <w:spacing w:line="480" w:lineRule="auto"/>
        <w:ind w:left="0" w:firstLine="0"/>
        <w:jc w:val="both"/>
      </w:pPr>
      <w:r>
        <w:t xml:space="preserve">The </w:t>
      </w:r>
      <w:r w:rsidR="006E089A">
        <w:t xml:space="preserve">power to refer </w:t>
      </w:r>
      <w:r w:rsidR="00F17763">
        <w:t xml:space="preserve">is </w:t>
      </w:r>
      <w:r>
        <w:t xml:space="preserve">not the power to influence or decide policy and is </w:t>
      </w:r>
      <w:r w:rsidR="00AF5FFB">
        <w:t xml:space="preserve">genuinely a power which is </w:t>
      </w:r>
      <w:r w:rsidR="00F17763" w:rsidRPr="00731921">
        <w:rPr>
          <w:i/>
        </w:rPr>
        <w:t>sui generis</w:t>
      </w:r>
      <w:r w:rsidR="00F17763">
        <w:t xml:space="preserve">, a constitutional power that </w:t>
      </w:r>
      <w:r w:rsidR="00643032">
        <w:t xml:space="preserve">promotes </w:t>
      </w:r>
      <w:r w:rsidR="00F17763">
        <w:t xml:space="preserve">the position of the </w:t>
      </w:r>
      <w:r w:rsidR="00AF5FFB">
        <w:t>C</w:t>
      </w:r>
      <w:r w:rsidR="00F17763">
        <w:t>onstitution in the legislative process</w:t>
      </w:r>
      <w:r>
        <w:t>, and to</w:t>
      </w:r>
      <w:r w:rsidR="00681404">
        <w:t xml:space="preserve"> avoid the possibility of unconstitutional legislation having effect whilst an individual challenge is ongoing and not yet determined in the courts. </w:t>
      </w:r>
      <w:r w:rsidR="00F17763">
        <w:t xml:space="preserve"> </w:t>
      </w:r>
    </w:p>
    <w:p w14:paraId="385216A3" w14:textId="7D47CAA8" w:rsidR="00F17763" w:rsidRDefault="00F17763" w:rsidP="00F17763">
      <w:pPr>
        <w:numPr>
          <w:ilvl w:val="0"/>
          <w:numId w:val="1"/>
        </w:numPr>
        <w:spacing w:line="480" w:lineRule="auto"/>
        <w:ind w:left="0" w:firstLine="0"/>
        <w:jc w:val="both"/>
      </w:pPr>
      <w:r>
        <w:t>In his</w:t>
      </w:r>
      <w:r w:rsidR="003312A7">
        <w:t xml:space="preserve"> or her</w:t>
      </w:r>
      <w:r>
        <w:t xml:space="preserve"> role under Article 26</w:t>
      </w:r>
      <w:r w:rsidR="00EE3D74">
        <w:t xml:space="preserve">, </w:t>
      </w:r>
      <w:r>
        <w:t>the President performs a role which is protective of the legislation and the Constitution</w:t>
      </w:r>
      <w:r w:rsidR="00143616">
        <w:t xml:space="preserve">, but the President does not thereby exercise any </w:t>
      </w:r>
      <w:r w:rsidR="0020331A">
        <w:t>legislative</w:t>
      </w:r>
      <w:r w:rsidR="00143616">
        <w:t xml:space="preserve"> power</w:t>
      </w:r>
      <w:r w:rsidR="00314375">
        <w:t xml:space="preserve">.  </w:t>
      </w:r>
    </w:p>
    <w:p w14:paraId="270ADC6D" w14:textId="32618E15" w:rsidR="00143616" w:rsidRDefault="004C7DBA" w:rsidP="0083073C">
      <w:pPr>
        <w:numPr>
          <w:ilvl w:val="0"/>
          <w:numId w:val="1"/>
        </w:numPr>
        <w:spacing w:line="480" w:lineRule="auto"/>
        <w:ind w:left="0" w:firstLine="0"/>
        <w:jc w:val="both"/>
      </w:pPr>
      <w:r>
        <w:t>It may equally be said by analogy that</w:t>
      </w:r>
      <w:r w:rsidR="00AF5FFB">
        <w:t xml:space="preserve"> t</w:t>
      </w:r>
      <w:r w:rsidR="00F17763">
        <w:t>he power to refuse the dissolution of the Dáil</w:t>
      </w:r>
      <w:r w:rsidR="002A57E0">
        <w:t xml:space="preserve"> where the requesting Taoiseach has lost the support of the Dáil</w:t>
      </w:r>
      <w:r w:rsidR="00F17763">
        <w:t xml:space="preserve">, while </w:t>
      </w:r>
      <w:r w:rsidR="00AF5FFB">
        <w:t>also a</w:t>
      </w:r>
      <w:r w:rsidR="00F17763">
        <w:t xml:space="preserve"> wholly discretionary power, does not vest in the President a </w:t>
      </w:r>
      <w:r w:rsidR="002A57E0">
        <w:t>power comparable</w:t>
      </w:r>
      <w:r w:rsidR="00F17763">
        <w:t xml:space="preserve"> </w:t>
      </w:r>
      <w:r w:rsidR="002A57E0">
        <w:t xml:space="preserve">to the legislative powers enjoyed by </w:t>
      </w:r>
      <w:r w:rsidR="00F17763">
        <w:t>the Dáil or Seana</w:t>
      </w:r>
      <w:r w:rsidR="00130666">
        <w:t>d</w:t>
      </w:r>
      <w:r w:rsidR="002A57E0">
        <w:t>. This is an instance of where</w:t>
      </w:r>
      <w:r w:rsidR="00F17763">
        <w:t xml:space="preserve"> the President </w:t>
      </w:r>
      <w:r w:rsidR="00EE3D74">
        <w:t xml:space="preserve">acts </w:t>
      </w:r>
      <w:r w:rsidR="00F17763">
        <w:t xml:space="preserve">as guardian of the public interest </w:t>
      </w:r>
      <w:r w:rsidR="00EE3D74">
        <w:t xml:space="preserve">to </w:t>
      </w:r>
      <w:r>
        <w:t xml:space="preserve">prevent </w:t>
      </w:r>
      <w:r w:rsidR="00F17763">
        <w:t xml:space="preserve">the dissolution of the Dáil </w:t>
      </w:r>
      <w:r>
        <w:t xml:space="preserve">at that juncture </w:t>
      </w:r>
      <w:r w:rsidR="002A57E0">
        <w:t xml:space="preserve">in order </w:t>
      </w:r>
      <w:r w:rsidR="00F17763">
        <w:t xml:space="preserve">to give thinking or negotiating space </w:t>
      </w:r>
      <w:r>
        <w:t xml:space="preserve">to the members of the House </w:t>
      </w:r>
      <w:r w:rsidR="00F17763">
        <w:t>and</w:t>
      </w:r>
      <w:r w:rsidR="002A57E0">
        <w:t xml:space="preserve"> generally</w:t>
      </w:r>
      <w:r w:rsidR="00F17763">
        <w:t xml:space="preserve"> to </w:t>
      </w:r>
      <w:r w:rsidR="00143616">
        <w:t>avoid an election where this might be premature or unnecessary</w:t>
      </w:r>
      <w:r w:rsidR="00F17763">
        <w:t>.</w:t>
      </w:r>
      <w:r w:rsidR="00793D72">
        <w:t xml:space="preserve">  </w:t>
      </w:r>
      <w:r w:rsidR="00143616" w:rsidRPr="00143616">
        <w:t xml:space="preserve">While this power has never yet been exercised, we know as a matter of constitutional history that there have been occasions </w:t>
      </w:r>
      <w:r w:rsidR="00143616" w:rsidRPr="00E95664">
        <w:t>when in the past the President of the day seriously considered refusing a dissolution in such circumstances</w:t>
      </w:r>
      <w:r w:rsidR="00143616">
        <w:t xml:space="preserve">, </w:t>
      </w:r>
      <w:r w:rsidR="00F03F96">
        <w:t>for example,</w:t>
      </w:r>
      <w:r w:rsidR="00143616" w:rsidRPr="00143616">
        <w:t xml:space="preserve"> </w:t>
      </w:r>
      <w:r w:rsidR="00143616">
        <w:t xml:space="preserve">in </w:t>
      </w:r>
      <w:r w:rsidR="00143616" w:rsidRPr="00143616">
        <w:t xml:space="preserve">May 1944 when </w:t>
      </w:r>
      <w:r w:rsidR="00F03F96">
        <w:t xml:space="preserve">An </w:t>
      </w:r>
      <w:r w:rsidR="00143616" w:rsidRPr="00143616">
        <w:t>Taoiseach</w:t>
      </w:r>
      <w:r w:rsidR="00F03F96">
        <w:t xml:space="preserve">, </w:t>
      </w:r>
      <w:proofErr w:type="spellStart"/>
      <w:r w:rsidR="00F03F96" w:rsidRPr="00F03F96">
        <w:t>Éamon</w:t>
      </w:r>
      <w:proofErr w:type="spellEnd"/>
      <w:r w:rsidR="00F03F96" w:rsidRPr="00F03F96">
        <w:t xml:space="preserve"> de Valera</w:t>
      </w:r>
      <w:r w:rsidR="00F03F96">
        <w:t xml:space="preserve"> </w:t>
      </w:r>
      <w:r w:rsidR="00143616" w:rsidRPr="00143616">
        <w:t xml:space="preserve">sought a dissolution from </w:t>
      </w:r>
      <w:r w:rsidR="00C60775">
        <w:t xml:space="preserve">the </w:t>
      </w:r>
      <w:r w:rsidR="00143616" w:rsidRPr="00143616">
        <w:t xml:space="preserve">President </w:t>
      </w:r>
      <w:r w:rsidR="00F03F96">
        <w:t xml:space="preserve">Douglas </w:t>
      </w:r>
      <w:r w:rsidR="00143616" w:rsidRPr="00143616">
        <w:t>Hyde having (narrowly) lost a Dáil vote on the Transport Bill 1944.</w:t>
      </w:r>
    </w:p>
    <w:p w14:paraId="3492D7DB" w14:textId="5D15D5EA" w:rsidR="00143616" w:rsidRPr="00EB2C5A" w:rsidRDefault="00143616" w:rsidP="00DD4FB1">
      <w:pPr>
        <w:numPr>
          <w:ilvl w:val="0"/>
          <w:numId w:val="1"/>
        </w:numPr>
        <w:spacing w:line="480" w:lineRule="auto"/>
        <w:ind w:left="0" w:firstLine="0"/>
        <w:jc w:val="both"/>
      </w:pPr>
      <w:r>
        <w:lastRenderedPageBreak/>
        <w:t>Similar considerations apply to t</w:t>
      </w:r>
      <w:r w:rsidRPr="00143616">
        <w:t>he President’s power provided by Article 13.2.3</w:t>
      </w:r>
      <w:r w:rsidR="00EE4207">
        <w:rPr>
          <w:rFonts w:ascii="Arial" w:hAnsi="Arial" w:cs="Arial"/>
          <w:color w:val="666666"/>
          <w:sz w:val="21"/>
          <w:szCs w:val="21"/>
          <w:shd w:val="clear" w:color="auto" w:fill="FFFFFF"/>
        </w:rPr>
        <w:t>°</w:t>
      </w:r>
      <w:r w:rsidRPr="00143616">
        <w:t xml:space="preserve"> to convene a meeting of either or both Houses of the Oireachtas following a meeting of the Council of State. While Article 15.7 requires that the Oireachtas shall hold “at least one session every year”, there might nonetheless be circumstances where it might be thought appropriate or expedient to require either or both Houses to sit. Here again the Constitution reflects our historical experience: the drafters were presumably thinking of the disputed events which occurred following the election of the Third Dáil </w:t>
      </w:r>
      <w:r w:rsidRPr="00454CB0">
        <w:t>on 16 June 1922, the start of the Civil War on 28</w:t>
      </w:r>
      <w:r w:rsidRPr="001F67E2">
        <w:t xml:space="preserve"> June 1</w:t>
      </w:r>
      <w:r w:rsidRPr="0020331A">
        <w:t xml:space="preserve">922 and the first sitting of that new Dáil which was itself postponed on several occasions until 9 September 1922. </w:t>
      </w:r>
      <w:r w:rsidR="00454CB0">
        <w:t>T</w:t>
      </w:r>
      <w:r w:rsidRPr="00454CB0">
        <w:t>his experience presumably informed the decision to provide for an independent political personage such as the President who c</w:t>
      </w:r>
      <w:r w:rsidRPr="001F4DA4">
        <w:t>ould be called upon to make an independent judgment as to desirability of requiring either or both Houses to sit. This is</w:t>
      </w:r>
      <w:r w:rsidR="00EB2C5A">
        <w:t>,</w:t>
      </w:r>
      <w:r w:rsidRPr="00EB2C5A">
        <w:t xml:space="preserve"> in the words of </w:t>
      </w:r>
      <w:proofErr w:type="spellStart"/>
      <w:r w:rsidR="00C60775" w:rsidRPr="00C60775">
        <w:t>Ó</w:t>
      </w:r>
      <w:r w:rsidR="00C60775">
        <w:t>’</w:t>
      </w:r>
      <w:r w:rsidR="00C60775" w:rsidRPr="00C60775">
        <w:t>Dálaigh</w:t>
      </w:r>
      <w:proofErr w:type="spellEnd"/>
      <w:r w:rsidR="00C60775" w:rsidRPr="00C60775">
        <w:t xml:space="preserve"> J</w:t>
      </w:r>
      <w:r w:rsidR="00C60775">
        <w:t>.</w:t>
      </w:r>
      <w:r w:rsidRPr="00EB2C5A">
        <w:t xml:space="preserve"> in </w:t>
      </w:r>
      <w:r w:rsidRPr="00EB2C5A">
        <w:rPr>
          <w:i/>
        </w:rPr>
        <w:t>Melling v. O</w:t>
      </w:r>
      <w:r w:rsidR="00C60775">
        <w:rPr>
          <w:i/>
        </w:rPr>
        <w:t xml:space="preserve"> </w:t>
      </w:r>
      <w:proofErr w:type="spellStart"/>
      <w:r w:rsidRPr="00EB2C5A">
        <w:rPr>
          <w:i/>
        </w:rPr>
        <w:t>Mathghamhna</w:t>
      </w:r>
      <w:proofErr w:type="spellEnd"/>
      <w:r w:rsidR="00C60775">
        <w:rPr>
          <w:i/>
        </w:rPr>
        <w:t xml:space="preserve"> and the Attorney General</w:t>
      </w:r>
      <w:r w:rsidRPr="00EB2C5A">
        <w:t xml:space="preserve"> [1962] I</w:t>
      </w:r>
      <w:r w:rsidR="00C60775">
        <w:t>.</w:t>
      </w:r>
      <w:r w:rsidRPr="00EB2C5A">
        <w:t>R</w:t>
      </w:r>
      <w:r w:rsidR="00C60775">
        <w:t>.</w:t>
      </w:r>
      <w:r w:rsidRPr="00EB2C5A">
        <w:t xml:space="preserve"> 1 at </w:t>
      </w:r>
      <w:r w:rsidR="00C60775">
        <w:t xml:space="preserve">p. </w:t>
      </w:r>
      <w:r w:rsidRPr="00EB2C5A">
        <w:t>39</w:t>
      </w:r>
      <w:r w:rsidR="00EB2C5A">
        <w:t xml:space="preserve">, </w:t>
      </w:r>
      <w:r w:rsidRPr="00EB2C5A">
        <w:t>a constitutional safeguard “against an improbable but not-to-be-overlooked future; and it is for th</w:t>
      </w:r>
      <w:r w:rsidR="00C60775">
        <w:t>is reason</w:t>
      </w:r>
      <w:r w:rsidRPr="00EB2C5A">
        <w:t xml:space="preserve"> the Constitution enshrines it.” </w:t>
      </w:r>
    </w:p>
    <w:p w14:paraId="6BEA304E" w14:textId="55E951C2" w:rsidR="00AF5FFB" w:rsidRDefault="00EE3D74" w:rsidP="00143616">
      <w:pPr>
        <w:numPr>
          <w:ilvl w:val="0"/>
          <w:numId w:val="1"/>
        </w:numPr>
        <w:spacing w:line="480" w:lineRule="auto"/>
        <w:ind w:left="0" w:firstLine="0"/>
        <w:jc w:val="both"/>
      </w:pPr>
      <w:r>
        <w:t>T</w:t>
      </w:r>
      <w:r w:rsidR="00F17763">
        <w:t xml:space="preserve">he </w:t>
      </w:r>
      <w:r w:rsidR="00EE4207">
        <w:t xml:space="preserve">second power of the </w:t>
      </w:r>
      <w:r w:rsidR="004A1109">
        <w:t>President</w:t>
      </w:r>
      <w:r w:rsidR="00EE4207">
        <w:t xml:space="preserve"> </w:t>
      </w:r>
      <w:r w:rsidR="004A1109">
        <w:t>under consideration in the present appeal is the</w:t>
      </w:r>
      <w:r w:rsidR="000D7A02">
        <w:t xml:space="preserve"> </w:t>
      </w:r>
      <w:r w:rsidR="00F17763">
        <w:t xml:space="preserve">exercise of </w:t>
      </w:r>
      <w:r w:rsidR="008357B5">
        <w:t xml:space="preserve">his role </w:t>
      </w:r>
      <w:r w:rsidR="009B354A">
        <w:t>as</w:t>
      </w:r>
      <w:r w:rsidR="008357B5">
        <w:t xml:space="preserve"> </w:t>
      </w:r>
      <w:r w:rsidR="009B354A">
        <w:t>H</w:t>
      </w:r>
      <w:r w:rsidR="008357B5">
        <w:t>ead of State to represent Ireland international</w:t>
      </w:r>
      <w:r w:rsidR="00860CF6">
        <w:t>ly</w:t>
      </w:r>
      <w:r w:rsidR="008357B5">
        <w:t>.</w:t>
      </w:r>
    </w:p>
    <w:p w14:paraId="72FBC574" w14:textId="77777777" w:rsidR="0027066E" w:rsidRPr="00077CC4" w:rsidRDefault="0027066E" w:rsidP="00077CC4">
      <w:pPr>
        <w:spacing w:line="480" w:lineRule="auto"/>
        <w:jc w:val="both"/>
        <w:rPr>
          <w:b/>
          <w:u w:val="single"/>
        </w:rPr>
      </w:pPr>
      <w:r w:rsidRPr="00077CC4">
        <w:rPr>
          <w:b/>
          <w:u w:val="single"/>
        </w:rPr>
        <w:t xml:space="preserve">The immunity </w:t>
      </w:r>
    </w:p>
    <w:p w14:paraId="194DEE01" w14:textId="4FBA5E0E" w:rsidR="00B74CBF" w:rsidRDefault="00B74CBF" w:rsidP="00B74CBF">
      <w:pPr>
        <w:numPr>
          <w:ilvl w:val="0"/>
          <w:numId w:val="1"/>
        </w:numPr>
        <w:spacing w:line="480" w:lineRule="auto"/>
        <w:ind w:left="0" w:firstLine="0"/>
        <w:jc w:val="both"/>
      </w:pPr>
      <w:r>
        <w:t>The High Court judge at para</w:t>
      </w:r>
      <w:r w:rsidR="003312A7">
        <w:t>s</w:t>
      </w:r>
      <w:r>
        <w:t xml:space="preserve">. </w:t>
      </w:r>
      <w:r w:rsidR="00104C05">
        <w:t>71-</w:t>
      </w:r>
      <w:r>
        <w:t>7</w:t>
      </w:r>
      <w:r w:rsidR="00104C05">
        <w:t>3</w:t>
      </w:r>
      <w:r>
        <w:t xml:space="preserve"> of his judgment held that </w:t>
      </w:r>
      <w:r w:rsidR="00C60775">
        <w:t xml:space="preserve">the </w:t>
      </w:r>
      <w:r w:rsidR="00104C05">
        <w:t xml:space="preserve">Commissioner was correct in his finding that </w:t>
      </w:r>
      <w:r w:rsidR="00104C05" w:rsidRPr="00104C05">
        <w:t>by making the President amenable to a review before him, he would in effect be making the President answerable to the courts contrary to the immunity conferred on the President by Art</w:t>
      </w:r>
      <w:r w:rsidR="009225F9">
        <w:t>icle</w:t>
      </w:r>
      <w:r w:rsidR="00104C05" w:rsidRPr="00104C05">
        <w:t xml:space="preserve"> 13.8.1</w:t>
      </w:r>
      <w:r w:rsidR="00455DF0">
        <w:rPr>
          <w:rFonts w:ascii="Arial" w:hAnsi="Arial" w:cs="Arial"/>
          <w:color w:val="666666"/>
          <w:sz w:val="21"/>
          <w:szCs w:val="21"/>
          <w:shd w:val="clear" w:color="auto" w:fill="FFFFFF"/>
        </w:rPr>
        <w:t>°</w:t>
      </w:r>
      <w:r w:rsidR="00104C05" w:rsidRPr="00104C05">
        <w:t xml:space="preserve"> of the Constitution</w:t>
      </w:r>
      <w:r w:rsidR="00104C05">
        <w:t xml:space="preserve">, and </w:t>
      </w:r>
      <w:r w:rsidR="00104C05" w:rsidRPr="00104C05">
        <w:t>that the immunity enjoyed by the President extends to the</w:t>
      </w:r>
      <w:r w:rsidR="006E089A">
        <w:t xml:space="preserve"> Council of State</w:t>
      </w:r>
      <w:r w:rsidR="00104C05" w:rsidRPr="00104C05">
        <w:t xml:space="preserve">. </w:t>
      </w:r>
      <w:r w:rsidR="0011209F">
        <w:t xml:space="preserve"> </w:t>
      </w:r>
      <w:r w:rsidR="00587C50">
        <w:t xml:space="preserve">He held however that the supremacy of EU law did not permit this conclusion as Ireland had not expressly excluded the President from review. </w:t>
      </w:r>
    </w:p>
    <w:p w14:paraId="725AB5E0" w14:textId="52B0108D" w:rsidR="00EE3D74" w:rsidRDefault="00CB1E75" w:rsidP="00CB1E75">
      <w:pPr>
        <w:numPr>
          <w:ilvl w:val="0"/>
          <w:numId w:val="1"/>
        </w:numPr>
        <w:spacing w:line="480" w:lineRule="auto"/>
        <w:ind w:left="0" w:firstLine="0"/>
        <w:jc w:val="both"/>
      </w:pPr>
      <w:r>
        <w:lastRenderedPageBreak/>
        <w:t xml:space="preserve">The President did not appear and was not represented in the High </w:t>
      </w:r>
      <w:r w:rsidR="00EE3D74">
        <w:t>C</w:t>
      </w:r>
      <w:r>
        <w:t xml:space="preserve">ourt or on this appeal.  The Council of State was </w:t>
      </w:r>
      <w:r w:rsidR="00AF5FFB">
        <w:t xml:space="preserve">also </w:t>
      </w:r>
      <w:r>
        <w:t xml:space="preserve">not represented at the </w:t>
      </w:r>
      <w:r w:rsidR="006E089A">
        <w:t xml:space="preserve">appeal </w:t>
      </w:r>
      <w:r>
        <w:t xml:space="preserve">hearing nor did it make any submission to the High Court.  The same can be said of the secretary to the President and submissions and arguments were made in the High Court and on these appeals by the Attorney General, who appeared in person and </w:t>
      </w:r>
      <w:r w:rsidR="00EE3D74">
        <w:t>with</w:t>
      </w:r>
      <w:r>
        <w:t xml:space="preserve"> senior and junior counsel, in fulfilment of his function as guardian of the public interest </w:t>
      </w:r>
      <w:r w:rsidR="00AF5FFB">
        <w:t>and</w:t>
      </w:r>
      <w:r>
        <w:t xml:space="preserve"> the Constitution.  The Minister for the Environment</w:t>
      </w:r>
      <w:r w:rsidR="001857B0">
        <w:t>,</w:t>
      </w:r>
      <w:r>
        <w:t xml:space="preserve"> </w:t>
      </w:r>
      <w:r w:rsidRPr="00A951D1">
        <w:t xml:space="preserve">Climate Action </w:t>
      </w:r>
      <w:r>
        <w:t xml:space="preserve">and Communications </w:t>
      </w:r>
      <w:r w:rsidR="00EE3D74">
        <w:t>was joined</w:t>
      </w:r>
      <w:r>
        <w:t xml:space="preserve"> in response to a declaration that the Regulations of 2018 are invalid.</w:t>
      </w:r>
    </w:p>
    <w:p w14:paraId="0325C652" w14:textId="2F8CBF7B" w:rsidR="00CB1E75" w:rsidRDefault="00CB1E75" w:rsidP="00CB1E75">
      <w:pPr>
        <w:numPr>
          <w:ilvl w:val="0"/>
          <w:numId w:val="1"/>
        </w:numPr>
        <w:spacing w:line="480" w:lineRule="auto"/>
        <w:ind w:left="0" w:firstLine="0"/>
        <w:jc w:val="both"/>
      </w:pPr>
      <w:r>
        <w:t>Th</w:t>
      </w:r>
      <w:r w:rsidR="00EE3D74">
        <w:t xml:space="preserve">e conduct of the appeal </w:t>
      </w:r>
      <w:r>
        <w:t xml:space="preserve">in practical terms reflects the reality and importance of the constitutional immunity from suit enjoyed by the President.  It reflects too the approach in the few cases in which the Courts have considered whether the President of Ireland was correctly joined in proceedings.  In </w:t>
      </w:r>
      <w:r w:rsidRPr="00A951D1">
        <w:rPr>
          <w:i/>
        </w:rPr>
        <w:t>Draper v</w:t>
      </w:r>
      <w:r w:rsidR="003312A7">
        <w:rPr>
          <w:i/>
        </w:rPr>
        <w:t xml:space="preserve">. Attorney General </w:t>
      </w:r>
      <w:r w:rsidR="003312A7">
        <w:t>[</w:t>
      </w:r>
      <w:r>
        <w:t>1984] I</w:t>
      </w:r>
      <w:r w:rsidR="003312A7">
        <w:t>.</w:t>
      </w:r>
      <w:r>
        <w:t>R</w:t>
      </w:r>
      <w:r w:rsidR="003312A7">
        <w:t>.</w:t>
      </w:r>
      <w:r>
        <w:t xml:space="preserve"> 277 it is recorded (at p. 27) that the plaintiff had named the President of Ireland and An Taoiseach as defendant</w:t>
      </w:r>
      <w:r w:rsidR="0011209F">
        <w:t>s</w:t>
      </w:r>
      <w:r>
        <w:t xml:space="preserve"> but that this Court struck out these defendants from the proceedings “being satisfied that the joinder of the President of Ireland was a breach </w:t>
      </w:r>
      <w:r w:rsidR="00457C9D">
        <w:t xml:space="preserve">of </w:t>
      </w:r>
      <w:r w:rsidR="00457C9D" w:rsidRPr="00457C9D">
        <w:t>Article 13, s. 8, sub.-s. 1, of the Constitution</w:t>
      </w:r>
      <w:r>
        <w:t>”</w:t>
      </w:r>
      <w:r w:rsidR="00A22759">
        <w:t>. T</w:t>
      </w:r>
      <w:r>
        <w:t>he claim against An Taoiseach</w:t>
      </w:r>
      <w:r w:rsidR="00A22759">
        <w:t xml:space="preserve"> was dismissed</w:t>
      </w:r>
      <w:r>
        <w:t xml:space="preserve"> on wholly different grounds concerning the dearth of evidence that would have justified his joinder.</w:t>
      </w:r>
    </w:p>
    <w:p w14:paraId="5B35F515" w14:textId="0EFAF53F" w:rsidR="00CB1E75" w:rsidRDefault="00CB1E75" w:rsidP="00CB1E75">
      <w:pPr>
        <w:numPr>
          <w:ilvl w:val="0"/>
          <w:numId w:val="1"/>
        </w:numPr>
        <w:spacing w:line="480" w:lineRule="auto"/>
        <w:ind w:left="0" w:firstLine="0"/>
        <w:jc w:val="both"/>
      </w:pPr>
      <w:r>
        <w:t xml:space="preserve">Similarly, in </w:t>
      </w:r>
      <w:r w:rsidRPr="00E00055">
        <w:rPr>
          <w:i/>
        </w:rPr>
        <w:t>O’Malley v</w:t>
      </w:r>
      <w:r w:rsidR="00457C9D">
        <w:rPr>
          <w:i/>
        </w:rPr>
        <w:t>.</w:t>
      </w:r>
      <w:r w:rsidRPr="00E00055">
        <w:rPr>
          <w:i/>
        </w:rPr>
        <w:t xml:space="preserve"> An Taoiseach</w:t>
      </w:r>
      <w:r>
        <w:t xml:space="preserve"> [1990] ILRM 46</w:t>
      </w:r>
      <w:r w:rsidR="00457C9D">
        <w:t>1</w:t>
      </w:r>
      <w:r>
        <w:t xml:space="preserve"> an application for an injunction restraining An Taoiseach from advising the President to dissolve the Dáil was rejected</w:t>
      </w:r>
      <w:r w:rsidR="002A57E0">
        <w:t xml:space="preserve"> by Hamilton P.</w:t>
      </w:r>
      <w:r>
        <w:t xml:space="preserve"> in a single paragraph:</w:t>
      </w:r>
    </w:p>
    <w:p w14:paraId="4007FBEF" w14:textId="5ADE9A31" w:rsidR="00CB1E75" w:rsidRDefault="00CB1E75" w:rsidP="00CB1E75">
      <w:pPr>
        <w:spacing w:line="480" w:lineRule="auto"/>
        <w:ind w:left="720"/>
        <w:jc w:val="both"/>
      </w:pPr>
      <w:r>
        <w:t xml:space="preserve">“The constitutional duty of dissolving the Dáil is vested in the President and he is not answerable to any </w:t>
      </w:r>
      <w:r w:rsidR="00457C9D">
        <w:t>C</w:t>
      </w:r>
      <w:r>
        <w:t>ourt for the exercise and performance of this duty.  The constitutional duty of advising the President i</w:t>
      </w:r>
      <w:r w:rsidR="00457C9D">
        <w:t>n</w:t>
      </w:r>
      <w:r>
        <w:t xml:space="preserve"> relation to this question is vested in the Taoiseach and in my opinion the Courts have no jurisdiction to place any impediment between the President and his constitutional advisor in this important matter, which is solely the prerogative of the President.”</w:t>
      </w:r>
    </w:p>
    <w:p w14:paraId="22E87459" w14:textId="0683BBAA" w:rsidR="00CB1E75" w:rsidRDefault="00A22759" w:rsidP="00CB1E75">
      <w:pPr>
        <w:numPr>
          <w:ilvl w:val="0"/>
          <w:numId w:val="1"/>
        </w:numPr>
        <w:spacing w:line="480" w:lineRule="auto"/>
        <w:ind w:left="0" w:firstLine="0"/>
        <w:jc w:val="both"/>
      </w:pPr>
      <w:r>
        <w:lastRenderedPageBreak/>
        <w:t xml:space="preserve">In </w:t>
      </w:r>
      <w:proofErr w:type="spellStart"/>
      <w:r w:rsidR="00CB1E75" w:rsidRPr="000D758B">
        <w:rPr>
          <w:i/>
        </w:rPr>
        <w:t>Haugh</w:t>
      </w:r>
      <w:r w:rsidR="00130666">
        <w:rPr>
          <w:i/>
        </w:rPr>
        <w:t>ey</w:t>
      </w:r>
      <w:proofErr w:type="spellEnd"/>
      <w:r w:rsidR="00CB1E75" w:rsidRPr="000D758B">
        <w:rPr>
          <w:i/>
        </w:rPr>
        <w:t xml:space="preserve"> v</w:t>
      </w:r>
      <w:r w:rsidR="00457C9D">
        <w:rPr>
          <w:i/>
        </w:rPr>
        <w:t>.</w:t>
      </w:r>
      <w:r w:rsidR="00CB1E75" w:rsidRPr="000D758B">
        <w:rPr>
          <w:i/>
        </w:rPr>
        <w:t xml:space="preserve"> Moriarty</w:t>
      </w:r>
      <w:r w:rsidR="00CB1E75">
        <w:t xml:space="preserve"> [1999] 3 I</w:t>
      </w:r>
      <w:r w:rsidR="00457C9D">
        <w:t>.</w:t>
      </w:r>
      <w:r w:rsidR="00CB1E75">
        <w:t>R</w:t>
      </w:r>
      <w:r w:rsidR="00457C9D">
        <w:t>.</w:t>
      </w:r>
      <w:r w:rsidR="00CB1E75">
        <w:t xml:space="preserve"> 1, this Court dismissed </w:t>
      </w:r>
      <w:r>
        <w:rPr>
          <w:i/>
          <w:iCs/>
        </w:rPr>
        <w:t xml:space="preserve">in </w:t>
      </w:r>
      <w:proofErr w:type="spellStart"/>
      <w:r>
        <w:rPr>
          <w:i/>
          <w:iCs/>
        </w:rPr>
        <w:t>limine</w:t>
      </w:r>
      <w:proofErr w:type="spellEnd"/>
      <w:r>
        <w:rPr>
          <w:i/>
          <w:iCs/>
        </w:rPr>
        <w:t xml:space="preserve"> </w:t>
      </w:r>
      <w:r w:rsidR="00CB1E75">
        <w:t xml:space="preserve">that part of the challenge to the validity of an order made by the Houses of the Oireachtas grounded on the alleged failure by An Taoiseach to advise the President regarding the first meeting of the Seanad.  The statement by </w:t>
      </w:r>
      <w:r w:rsidR="00787AD2">
        <w:t>Hamilton C.J.</w:t>
      </w:r>
      <w:r w:rsidR="00CB1E75">
        <w:t xml:space="preserve"> is short a</w:t>
      </w:r>
      <w:r w:rsidR="003F2231">
        <w:t>nd</w:t>
      </w:r>
      <w:r w:rsidR="00CB1E75">
        <w:t xml:space="preserve"> is to the effect that the </w:t>
      </w:r>
      <w:r w:rsidR="00787AD2">
        <w:t>impugned order “was made</w:t>
      </w:r>
      <w:r w:rsidR="00787AD2" w:rsidRPr="00787AD2">
        <w:t xml:space="preserve"> by the President in the exercise of the powers and functions of her office</w:t>
      </w:r>
      <w:r w:rsidR="00787AD2">
        <w:t>”</w:t>
      </w:r>
      <w:r w:rsidR="003F2231">
        <w:t xml:space="preserve"> </w:t>
      </w:r>
      <w:r w:rsidR="00CB1E75">
        <w:t xml:space="preserve">and </w:t>
      </w:r>
      <w:r w:rsidR="003F2231">
        <w:t>therefore on account of Article 13.8.1</w:t>
      </w:r>
      <w:r w:rsidR="00455DF0">
        <w:rPr>
          <w:rFonts w:ascii="Arial" w:hAnsi="Arial" w:cs="Arial"/>
          <w:color w:val="666666"/>
          <w:sz w:val="21"/>
          <w:szCs w:val="21"/>
          <w:shd w:val="clear" w:color="auto" w:fill="FFFFFF"/>
        </w:rPr>
        <w:t>°</w:t>
      </w:r>
      <w:r w:rsidR="003F2231">
        <w:t xml:space="preserve"> </w:t>
      </w:r>
      <w:r w:rsidR="00CB1E75">
        <w:t>“this ground of challenge to the validity of the resolution must fail</w:t>
      </w:r>
      <w:r w:rsidR="003F2231">
        <w:t>.”</w:t>
      </w:r>
      <w:r w:rsidR="00787AD2">
        <w:t xml:space="preserve"> </w:t>
      </w:r>
      <w:r w:rsidR="003F2231">
        <w:t>(</w:t>
      </w:r>
      <w:r w:rsidR="00787AD2">
        <w:t xml:space="preserve">p. </w:t>
      </w:r>
      <w:r w:rsidR="003F2231">
        <w:t>51)</w:t>
      </w:r>
    </w:p>
    <w:p w14:paraId="4AC44230" w14:textId="04FF8868" w:rsidR="00CB1E75" w:rsidRDefault="00CB1E75" w:rsidP="00CB1E75">
      <w:pPr>
        <w:numPr>
          <w:ilvl w:val="0"/>
          <w:numId w:val="1"/>
        </w:numPr>
        <w:spacing w:line="480" w:lineRule="auto"/>
        <w:ind w:left="0" w:firstLine="0"/>
        <w:jc w:val="both"/>
      </w:pPr>
      <w:r>
        <w:t xml:space="preserve">It is clear that the same question concerning the absence of jurisdiction </w:t>
      </w:r>
      <w:r w:rsidR="00A22759">
        <w:t xml:space="preserve">arises </w:t>
      </w:r>
      <w:r>
        <w:t>in the present appeal</w:t>
      </w:r>
      <w:r w:rsidR="00A22759">
        <w:t>,</w:t>
      </w:r>
      <w:r>
        <w:t xml:space="preserve"> and I agree with the observations of counsel for the Commissioner </w:t>
      </w:r>
      <w:r w:rsidR="00AF5FFB">
        <w:t xml:space="preserve">that </w:t>
      </w:r>
      <w:r>
        <w:t xml:space="preserve">the consistent approach of the Courts </w:t>
      </w:r>
      <w:r w:rsidR="00A22759">
        <w:t xml:space="preserve">has been </w:t>
      </w:r>
      <w:r>
        <w:t xml:space="preserve">to decline to adjudicate upon any challenge </w:t>
      </w:r>
      <w:r w:rsidR="007E1ECF">
        <w:t>to</w:t>
      </w:r>
      <w:r>
        <w:t xml:space="preserve"> the President</w:t>
      </w:r>
      <w:r w:rsidR="007E1ECF">
        <w:t xml:space="preserve"> in the performance</w:t>
      </w:r>
      <w:r>
        <w:t xml:space="preserve"> of his or her functions.  I would go further and say that the</w:t>
      </w:r>
      <w:r w:rsidR="00A22759">
        <w:t xml:space="preserve"> </w:t>
      </w:r>
      <w:r w:rsidR="006E089A">
        <w:t>approach of the c</w:t>
      </w:r>
      <w:r w:rsidR="00A22759">
        <w:t>ourts ha</w:t>
      </w:r>
      <w:r w:rsidR="006E089A">
        <w:t>s</w:t>
      </w:r>
      <w:r w:rsidR="00A22759">
        <w:t xml:space="preserve"> been</w:t>
      </w:r>
      <w:r>
        <w:t xml:space="preserve"> consistent with the clear terms of the constitutional immunity and when the issue has arisen</w:t>
      </w:r>
      <w:r w:rsidR="003F2231">
        <w:t>,</w:t>
      </w:r>
      <w:r>
        <w:t xml:space="preserve"> the courts have not assumed jurisdiction to make the President answerable in respect </w:t>
      </w:r>
      <w:r w:rsidR="0011209F">
        <w:t>o</w:t>
      </w:r>
      <w:r>
        <w:t xml:space="preserve">f any </w:t>
      </w:r>
      <w:r w:rsidR="00A22759">
        <w:t xml:space="preserve">of his or her </w:t>
      </w:r>
      <w:r>
        <w:t>constitutional role</w:t>
      </w:r>
      <w:r w:rsidR="00A22759">
        <w:t>s</w:t>
      </w:r>
      <w:r>
        <w:t xml:space="preserve">.  The prohibition is stated in the </w:t>
      </w:r>
      <w:r w:rsidR="0011209F">
        <w:t>broadest</w:t>
      </w:r>
      <w:r>
        <w:t xml:space="preserve"> terms to </w:t>
      </w:r>
      <w:r w:rsidR="00AF5FFB">
        <w:t>provide</w:t>
      </w:r>
      <w:r>
        <w:t xml:space="preserve"> immunity from suit “for the exercise and performance of the powers and functions of his office”.  I agree with counsel that this is more than an immunity from a legal sanction or order but is a constitutional prohibition on any court analysis </w:t>
      </w:r>
      <w:r w:rsidR="00AF5FFB">
        <w:t xml:space="preserve">of, </w:t>
      </w:r>
      <w:r>
        <w:t>challenge to</w:t>
      </w:r>
      <w:r w:rsidR="00AF5FFB">
        <w:t>,</w:t>
      </w:r>
      <w:r>
        <w:t xml:space="preserve"> adjudication upon</w:t>
      </w:r>
      <w:r w:rsidR="00AF5FFB">
        <w:t>,</w:t>
      </w:r>
      <w:r>
        <w:t xml:space="preserve"> or order in relation to</w:t>
      </w:r>
      <w:r w:rsidR="00AF5FFB">
        <w:t>,</w:t>
      </w:r>
      <w:r>
        <w:t xml:space="preserve"> the performance of the President’s functions.  </w:t>
      </w:r>
    </w:p>
    <w:p w14:paraId="6BB2299E" w14:textId="54A65EC8" w:rsidR="00A22759" w:rsidRDefault="002D4A8A" w:rsidP="00CB1E75">
      <w:pPr>
        <w:numPr>
          <w:ilvl w:val="0"/>
          <w:numId w:val="1"/>
        </w:numPr>
        <w:spacing w:line="480" w:lineRule="auto"/>
        <w:ind w:left="0" w:firstLine="0"/>
        <w:jc w:val="both"/>
      </w:pPr>
      <w:r>
        <w:t>The language of Article 13.8.1</w:t>
      </w:r>
      <w:r w:rsidR="00455DF0">
        <w:rPr>
          <w:rFonts w:ascii="Arial" w:hAnsi="Arial" w:cs="Arial"/>
          <w:color w:val="666666"/>
          <w:sz w:val="21"/>
          <w:szCs w:val="21"/>
          <w:shd w:val="clear" w:color="auto" w:fill="FFFFFF"/>
        </w:rPr>
        <w:t>°</w:t>
      </w:r>
      <w:r>
        <w:t xml:space="preserve"> is expressed in clear mandatory terms and leaves no scope for doubt.  </w:t>
      </w:r>
      <w:r w:rsidR="00CB1E75">
        <w:t>It is important to note the constitutional language: the President is not “answerable”</w:t>
      </w:r>
      <w:r w:rsidR="002434E8">
        <w:t xml:space="preserve"> </w:t>
      </w:r>
      <w:r w:rsidR="00A22759" w:rsidRPr="00A22759">
        <w:t xml:space="preserve">to either </w:t>
      </w:r>
      <w:r w:rsidR="00A22759">
        <w:t>H</w:t>
      </w:r>
      <w:r w:rsidR="00A22759" w:rsidRPr="00A22759">
        <w:t xml:space="preserve">ouse of the </w:t>
      </w:r>
      <w:r w:rsidR="00A22759">
        <w:t>O</w:t>
      </w:r>
      <w:r w:rsidR="00A22759" w:rsidRPr="00A22759">
        <w:t xml:space="preserve">ireachtas or to any court </w:t>
      </w:r>
      <w:r w:rsidR="00CB1E75">
        <w:t xml:space="preserve">in respect of the performance </w:t>
      </w:r>
      <w:r w:rsidR="00A22759">
        <w:t xml:space="preserve">or exercise </w:t>
      </w:r>
      <w:r w:rsidR="00CB1E75">
        <w:t>of his duties, and this must mean that he is not open to scrutiny</w:t>
      </w:r>
      <w:r w:rsidR="00A22759">
        <w:t xml:space="preserve"> from those institutions</w:t>
      </w:r>
      <w:r w:rsidR="00CB1E75">
        <w:t>, may not be called to account in respect of that performance, or be asked or compelled to answer questions in regard thereto.</w:t>
      </w:r>
      <w:r>
        <w:t xml:space="preserve">  The only means by which a President can </w:t>
      </w:r>
      <w:r>
        <w:lastRenderedPageBreak/>
        <w:t>be called to account is by</w:t>
      </w:r>
      <w:r w:rsidR="007777FD">
        <w:t xml:space="preserve"> the Houses of the Oireachtas and only then by</w:t>
      </w:r>
      <w:r w:rsidR="002A57E0">
        <w:t xml:space="preserve"> virtue of</w:t>
      </w:r>
      <w:r w:rsidR="007777FD">
        <w:t xml:space="preserve"> the </w:t>
      </w:r>
      <w:r>
        <w:t xml:space="preserve">impeachment </w:t>
      </w:r>
      <w:r w:rsidR="007777FD">
        <w:t>process</w:t>
      </w:r>
      <w:r w:rsidR="002A57E0">
        <w:t xml:space="preserve"> provided for</w:t>
      </w:r>
      <w:r w:rsidR="007777FD">
        <w:t xml:space="preserve"> </w:t>
      </w:r>
      <w:r>
        <w:t>under Article 12.10 of the Constitution.</w:t>
      </w:r>
    </w:p>
    <w:p w14:paraId="04ADCD05" w14:textId="0D8F05E9" w:rsidR="00793D72" w:rsidRDefault="00AF1563" w:rsidP="00CB1E75">
      <w:pPr>
        <w:numPr>
          <w:ilvl w:val="0"/>
          <w:numId w:val="1"/>
        </w:numPr>
        <w:spacing w:line="480" w:lineRule="auto"/>
        <w:ind w:left="0" w:firstLine="0"/>
        <w:jc w:val="both"/>
      </w:pPr>
      <w:r>
        <w:t>In a similar vein Article</w:t>
      </w:r>
      <w:r w:rsidR="00E42DDC">
        <w:t xml:space="preserve"> </w:t>
      </w:r>
      <w:r>
        <w:t xml:space="preserve">15.13 provides that the </w:t>
      </w:r>
      <w:r w:rsidR="000958C5">
        <w:t>members</w:t>
      </w:r>
      <w:r>
        <w:t xml:space="preserve"> of each House of the Oireachtas </w:t>
      </w:r>
      <w:r w:rsidR="000958C5">
        <w:t>are</w:t>
      </w:r>
      <w:r>
        <w:t xml:space="preserve"> not </w:t>
      </w:r>
      <w:r w:rsidR="000958C5">
        <w:t xml:space="preserve">in respect of any utterance in the House </w:t>
      </w:r>
      <w:r>
        <w:t xml:space="preserve">“amenable” to any court or any authority other than the House itself.  In </w:t>
      </w:r>
      <w:proofErr w:type="spellStart"/>
      <w:r w:rsidRPr="002D75FE">
        <w:rPr>
          <w:i/>
        </w:rPr>
        <w:t>Kerins</w:t>
      </w:r>
      <w:proofErr w:type="spellEnd"/>
      <w:r w:rsidRPr="002D75FE">
        <w:rPr>
          <w:i/>
        </w:rPr>
        <w:t xml:space="preserve"> v</w:t>
      </w:r>
      <w:r w:rsidR="00FB009B">
        <w:rPr>
          <w:i/>
        </w:rPr>
        <w:t>.</w:t>
      </w:r>
      <w:r w:rsidRPr="002D75FE">
        <w:rPr>
          <w:i/>
        </w:rPr>
        <w:t xml:space="preserve"> McGuinness</w:t>
      </w:r>
      <w:r>
        <w:t xml:space="preserve"> </w:t>
      </w:r>
      <w:r w:rsidR="002A57E0">
        <w:t>[</w:t>
      </w:r>
      <w:r>
        <w:t>2019</w:t>
      </w:r>
      <w:r w:rsidR="002A57E0">
        <w:t>]</w:t>
      </w:r>
      <w:r>
        <w:t xml:space="preserve"> IESC 11, </w:t>
      </w:r>
      <w:r w:rsidR="002A57E0">
        <w:t>[</w:t>
      </w:r>
      <w:r>
        <w:t>2020</w:t>
      </w:r>
      <w:r w:rsidR="002A57E0">
        <w:t>]</w:t>
      </w:r>
      <w:r>
        <w:t xml:space="preserve"> 1 I</w:t>
      </w:r>
      <w:r w:rsidR="00FB009B">
        <w:t>.</w:t>
      </w:r>
      <w:r>
        <w:t>R</w:t>
      </w:r>
      <w:r w:rsidR="00FB009B">
        <w:t>.</w:t>
      </w:r>
      <w:r>
        <w:t xml:space="preserve"> 1 this Court concluded that the constitutional exclusion afforded privileges and immunities on the Houses of the Oireachtas and its members and that the people intended by the constitutional measures to make the members answerable to the Houses and not to the courts. A similar </w:t>
      </w:r>
      <w:r w:rsidR="000958C5">
        <w:t>conclusion</w:t>
      </w:r>
      <w:r>
        <w:t xml:space="preserve"> was </w:t>
      </w:r>
      <w:r w:rsidR="000958C5">
        <w:t>arrived</w:t>
      </w:r>
      <w:r>
        <w:t xml:space="preserve"> at in </w:t>
      </w:r>
      <w:r w:rsidRPr="00DB2E5B">
        <w:rPr>
          <w:i/>
        </w:rPr>
        <w:t>O’Brien v</w:t>
      </w:r>
      <w:r w:rsidR="00FB009B">
        <w:rPr>
          <w:i/>
        </w:rPr>
        <w:t>.</w:t>
      </w:r>
      <w:r w:rsidRPr="00DB2E5B">
        <w:rPr>
          <w:i/>
        </w:rPr>
        <w:t xml:space="preserve"> Clerk of </w:t>
      </w:r>
      <w:r w:rsidRPr="00AF1563">
        <w:rPr>
          <w:i/>
        </w:rPr>
        <w:t>Dáil</w:t>
      </w:r>
      <w:r w:rsidRPr="00DB2E5B">
        <w:rPr>
          <w:i/>
        </w:rPr>
        <w:t xml:space="preserve"> Eireann</w:t>
      </w:r>
      <w:r>
        <w:t xml:space="preserve"> </w:t>
      </w:r>
      <w:r w:rsidR="002A57E0">
        <w:t>[</w:t>
      </w:r>
      <w:r w:rsidR="000958C5">
        <w:t>2019</w:t>
      </w:r>
      <w:r w:rsidR="002A57E0">
        <w:t>]</w:t>
      </w:r>
      <w:r w:rsidR="000958C5">
        <w:t xml:space="preserve"> IESC 12, </w:t>
      </w:r>
      <w:r w:rsidR="002A57E0">
        <w:t>[</w:t>
      </w:r>
      <w:r>
        <w:t>2020</w:t>
      </w:r>
      <w:r w:rsidR="002A57E0">
        <w:t>] 1</w:t>
      </w:r>
      <w:r>
        <w:t xml:space="preserve"> I</w:t>
      </w:r>
      <w:r w:rsidR="00FB009B">
        <w:t>.</w:t>
      </w:r>
      <w:r>
        <w:t>R</w:t>
      </w:r>
      <w:r w:rsidR="00FB009B">
        <w:t>.</w:t>
      </w:r>
      <w:r>
        <w:t xml:space="preserve"> 90</w:t>
      </w:r>
      <w:r w:rsidR="000958C5">
        <w:t>,</w:t>
      </w:r>
      <w:r>
        <w:t xml:space="preserve"> </w:t>
      </w:r>
      <w:r w:rsidR="000958C5">
        <w:t xml:space="preserve">where </w:t>
      </w:r>
      <w:r>
        <w:t xml:space="preserve">this Court held that </w:t>
      </w:r>
      <w:r w:rsidR="000958C5">
        <w:t xml:space="preserve">the immunity extends to utterances which relate indirectly or collaterally to utterances made in the Houses. </w:t>
      </w:r>
    </w:p>
    <w:p w14:paraId="47A1A54D" w14:textId="1D869A12" w:rsidR="00AF1563" w:rsidRDefault="00793D72" w:rsidP="00CB1E75">
      <w:pPr>
        <w:numPr>
          <w:ilvl w:val="0"/>
          <w:numId w:val="1"/>
        </w:numPr>
        <w:spacing w:line="480" w:lineRule="auto"/>
        <w:ind w:left="0" w:firstLine="0"/>
        <w:jc w:val="both"/>
      </w:pPr>
      <w:r>
        <w:t xml:space="preserve">The immunity of the President and that afforded to members of the Houses of the Oireachtas perform similar functions of acknowledging, and affording protection to, the separation of powers. </w:t>
      </w:r>
    </w:p>
    <w:p w14:paraId="06766BD7" w14:textId="05887605" w:rsidR="00464C5D" w:rsidRDefault="000958C5" w:rsidP="00CB1E75">
      <w:pPr>
        <w:numPr>
          <w:ilvl w:val="0"/>
          <w:numId w:val="1"/>
        </w:numPr>
        <w:spacing w:line="480" w:lineRule="auto"/>
        <w:ind w:left="0" w:firstLine="0"/>
        <w:jc w:val="both"/>
      </w:pPr>
      <w:r>
        <w:t>In regard to the President</w:t>
      </w:r>
      <w:r w:rsidR="002D75FE">
        <w:t>,</w:t>
      </w:r>
      <w:r>
        <w:t xml:space="preserve"> t</w:t>
      </w:r>
      <w:r w:rsidR="00464C5D">
        <w:t xml:space="preserve">he </w:t>
      </w:r>
      <w:r w:rsidR="002A57E0">
        <w:t>P</w:t>
      </w:r>
      <w:r w:rsidR="00464C5D">
        <w:t>eople</w:t>
      </w:r>
      <w:r w:rsidR="002A57E0">
        <w:t xml:space="preserve"> must be understood to have</w:t>
      </w:r>
      <w:r w:rsidR="00464C5D">
        <w:t xml:space="preserve"> adopted a constitutional order that limited </w:t>
      </w:r>
      <w:r w:rsidR="00A3788A">
        <w:t xml:space="preserve">the </w:t>
      </w:r>
      <w:r w:rsidR="00464C5D">
        <w:t>cour</w:t>
      </w:r>
      <w:r w:rsidR="00A3788A">
        <w:t xml:space="preserve">ts from </w:t>
      </w:r>
      <w:r w:rsidR="0049608E">
        <w:t>engaging</w:t>
      </w:r>
      <w:r w:rsidR="00A3788A">
        <w:t xml:space="preserve"> in any form of</w:t>
      </w:r>
      <w:r w:rsidR="00464C5D">
        <w:t xml:space="preserve"> </w:t>
      </w:r>
      <w:r w:rsidR="00A92FD2">
        <w:t xml:space="preserve">scrutiny </w:t>
      </w:r>
      <w:r w:rsidR="0049608E">
        <w:t xml:space="preserve">of the exercise by the </w:t>
      </w:r>
      <w:r w:rsidR="00130666">
        <w:t>P</w:t>
      </w:r>
      <w:r w:rsidR="0049608E">
        <w:t>resident of his or her powers.</w:t>
      </w:r>
      <w:r w:rsidR="00FB009B">
        <w:t xml:space="preserve"> </w:t>
      </w:r>
      <w:r w:rsidR="00F27750">
        <w:t xml:space="preserve"> </w:t>
      </w:r>
      <w:r w:rsidR="0049608E">
        <w:t xml:space="preserve">That reflects the </w:t>
      </w:r>
      <w:r w:rsidR="009B354A">
        <w:t xml:space="preserve">fact that </w:t>
      </w:r>
      <w:r w:rsidR="0049608E">
        <w:t xml:space="preserve">the President </w:t>
      </w:r>
      <w:r w:rsidR="009B354A">
        <w:t xml:space="preserve">has no power </w:t>
      </w:r>
      <w:r w:rsidR="0049608E">
        <w:t>to affect, limit or enhance the rights of individuals or legal persons, and the President does not need to be answerable</w:t>
      </w:r>
      <w:r w:rsidR="002A57E0">
        <w:t xml:space="preserve"> to the judicial branch of </w:t>
      </w:r>
      <w:r w:rsidR="00FB009B">
        <w:t>G</w:t>
      </w:r>
      <w:r w:rsidR="002A57E0">
        <w:t>overnment,</w:t>
      </w:r>
      <w:r w:rsidR="0049608E">
        <w:t xml:space="preserve"> precisely because he does not have such power.</w:t>
      </w:r>
    </w:p>
    <w:p w14:paraId="2B869915" w14:textId="266F2BF3" w:rsidR="00DF51E7" w:rsidRDefault="00CB1E75" w:rsidP="001A03B8">
      <w:pPr>
        <w:numPr>
          <w:ilvl w:val="0"/>
          <w:numId w:val="1"/>
        </w:numPr>
        <w:spacing w:line="480" w:lineRule="auto"/>
        <w:ind w:left="0" w:firstLine="0"/>
        <w:jc w:val="both"/>
      </w:pPr>
      <w:r>
        <w:t xml:space="preserve">This makes the President different from </w:t>
      </w:r>
      <w:r w:rsidR="002434E8">
        <w:t xml:space="preserve">those </w:t>
      </w:r>
      <w:r>
        <w:t xml:space="preserve">other organs of State </w:t>
      </w:r>
      <w:r w:rsidR="002434E8">
        <w:t>which exercise political, legislative or administrative power</w:t>
      </w:r>
      <w:r w:rsidR="002A57E0">
        <w:t>. It</w:t>
      </w:r>
      <w:r>
        <w:t xml:space="preserve"> does not merely mean that he is “above politics”, a</w:t>
      </w:r>
      <w:r w:rsidR="002434E8">
        <w:t>s I observed above,</w:t>
      </w:r>
      <w:r>
        <w:t xml:space="preserve"> </w:t>
      </w:r>
      <w:r w:rsidR="002434E8">
        <w:t xml:space="preserve">a </w:t>
      </w:r>
      <w:r>
        <w:t xml:space="preserve">commonly used phrase to describe the office of </w:t>
      </w:r>
      <w:r w:rsidR="00FB009B">
        <w:t xml:space="preserve">the </w:t>
      </w:r>
      <w:r>
        <w:t>President, but</w:t>
      </w:r>
      <w:r w:rsidR="00181679">
        <w:t xml:space="preserve"> rather that it</w:t>
      </w:r>
      <w:r>
        <w:t xml:space="preserve"> </w:t>
      </w:r>
      <w:r w:rsidR="00E46068">
        <w:t xml:space="preserve">means </w:t>
      </w:r>
      <w:r>
        <w:t xml:space="preserve">that he </w:t>
      </w:r>
      <w:r w:rsidR="002D4A8A">
        <w:t xml:space="preserve">or she </w:t>
      </w:r>
      <w:r>
        <w:t xml:space="preserve">stands constitutionally in a role </w:t>
      </w:r>
      <w:r w:rsidRPr="00D1679E">
        <w:t>which</w:t>
      </w:r>
      <w:r>
        <w:t xml:space="preserve"> </w:t>
      </w:r>
      <w:r w:rsidR="002D4A8A" w:rsidRPr="009225F9">
        <w:t>is</w:t>
      </w:r>
      <w:r w:rsidR="002D4A8A" w:rsidRPr="00655388">
        <w:t xml:space="preserve"> </w:t>
      </w:r>
      <w:r w:rsidR="002D4A8A" w:rsidRPr="00FB009B">
        <w:rPr>
          <w:i/>
          <w:iCs/>
        </w:rPr>
        <w:t>sui generis</w:t>
      </w:r>
      <w:r>
        <w:t xml:space="preserve"> </w:t>
      </w:r>
      <w:r w:rsidR="009B354A">
        <w:t xml:space="preserve">and </w:t>
      </w:r>
      <w:r>
        <w:t>outside those structures which are amenable to court interference.</w:t>
      </w:r>
    </w:p>
    <w:p w14:paraId="11F5D482" w14:textId="77777777" w:rsidR="00DF51E7" w:rsidRDefault="00DF51E7">
      <w:r>
        <w:br w:type="page"/>
      </w:r>
    </w:p>
    <w:p w14:paraId="6CDF5973" w14:textId="69DBACF1" w:rsidR="00FA6FA9" w:rsidRDefault="00FA6FA9" w:rsidP="00FA6FA9">
      <w:pPr>
        <w:spacing w:line="480" w:lineRule="auto"/>
        <w:jc w:val="both"/>
        <w:rPr>
          <w:b/>
          <w:u w:val="single"/>
        </w:rPr>
      </w:pPr>
      <w:r w:rsidRPr="00872194">
        <w:rPr>
          <w:b/>
          <w:u w:val="single"/>
        </w:rPr>
        <w:lastRenderedPageBreak/>
        <w:t xml:space="preserve">The powers of the Commissioner to invoke </w:t>
      </w:r>
      <w:r>
        <w:rPr>
          <w:b/>
          <w:u w:val="single"/>
        </w:rPr>
        <w:t xml:space="preserve">the </w:t>
      </w:r>
      <w:r w:rsidRPr="00872194">
        <w:rPr>
          <w:b/>
          <w:u w:val="single"/>
        </w:rPr>
        <w:t>court process</w:t>
      </w:r>
      <w:r>
        <w:rPr>
          <w:b/>
          <w:u w:val="single"/>
        </w:rPr>
        <w:t xml:space="preserve"> </w:t>
      </w:r>
    </w:p>
    <w:p w14:paraId="4F77799A" w14:textId="77777777" w:rsidR="00FA6FA9" w:rsidRDefault="00FA6FA9" w:rsidP="00FA6FA9">
      <w:pPr>
        <w:numPr>
          <w:ilvl w:val="0"/>
          <w:numId w:val="1"/>
        </w:numPr>
        <w:spacing w:line="480" w:lineRule="auto"/>
        <w:ind w:left="0" w:firstLine="0"/>
        <w:jc w:val="both"/>
      </w:pPr>
      <w:r>
        <w:t xml:space="preserve">I propose to now consider the various elements of the Commissioner’s powers and functions to illustrate the proposition that the President could not opt to engage in the process of the Commissioner.  </w:t>
      </w:r>
    </w:p>
    <w:p w14:paraId="3580E748" w14:textId="5898E96A" w:rsidR="00FA6FA9" w:rsidRDefault="00FA6FA9" w:rsidP="00FA6FA9">
      <w:pPr>
        <w:numPr>
          <w:ilvl w:val="0"/>
          <w:numId w:val="1"/>
        </w:numPr>
        <w:spacing w:line="480" w:lineRule="auto"/>
        <w:ind w:left="0" w:firstLine="0"/>
        <w:jc w:val="both"/>
      </w:pPr>
      <w:r>
        <w:t xml:space="preserve">The Commissioner has a number of statutory powers which engage the courts.  The Commissioner may refer a question to the High Court for clarification under </w:t>
      </w:r>
      <w:r w:rsidR="00181679">
        <w:t>Article</w:t>
      </w:r>
      <w:r>
        <w:t xml:space="preserve"> 12(9)(a) of the AIE Regulations, and has broad powers in support of the performance of his or her functions, including the power to </w:t>
      </w:r>
      <w:r w:rsidRPr="007D593F">
        <w:t>enter any premises occupied by a public authority and there requ</w:t>
      </w:r>
      <w:r>
        <w:t>est</w:t>
      </w:r>
      <w:r w:rsidRPr="007D593F">
        <w:t xml:space="preserve"> such environmental information as he or she may reasonably require, or take such copies of, or extracts from, any environmental information found or made available on the premises</w:t>
      </w:r>
      <w:r>
        <w:t xml:space="preserve">, under </w:t>
      </w:r>
      <w:r w:rsidR="00181679">
        <w:t>Articles</w:t>
      </w:r>
      <w:r>
        <w:t xml:space="preserve"> 12(6)(b) and 12(6)(c) of the AIE Regulations. </w:t>
      </w:r>
    </w:p>
    <w:p w14:paraId="2D3582EF" w14:textId="04AE77B0" w:rsidR="00FA6FA9" w:rsidRDefault="00FA6FA9" w:rsidP="00FA6FA9">
      <w:pPr>
        <w:numPr>
          <w:ilvl w:val="0"/>
          <w:numId w:val="1"/>
        </w:numPr>
        <w:spacing w:line="480" w:lineRule="auto"/>
        <w:ind w:left="0" w:firstLine="0"/>
        <w:jc w:val="both"/>
      </w:pPr>
      <w:r>
        <w:t xml:space="preserve">Even more telling is the fact that the Commissioner has a power of enforcement under </w:t>
      </w:r>
      <w:r w:rsidR="00181679">
        <w:t>Article</w:t>
      </w:r>
      <w:r>
        <w:t xml:space="preserve"> 12(5) of the AIE Regulations, by which the Commissioner can, following </w:t>
      </w:r>
      <w:r w:rsidRPr="00AD5DBB">
        <w:t>receipt of an appeal</w:t>
      </w:r>
      <w:r>
        <w:t xml:space="preserve"> and a review of the decision of a public authority, require a</w:t>
      </w:r>
      <w:r w:rsidRPr="007D593F">
        <w:t xml:space="preserve"> public authority to make available environmental information to </w:t>
      </w:r>
      <w:r>
        <w:t>an</w:t>
      </w:r>
      <w:r w:rsidRPr="007D593F">
        <w:t xml:space="preserve"> applicant</w:t>
      </w:r>
      <w:r>
        <w:t xml:space="preserve">, and under </w:t>
      </w:r>
      <w:r w:rsidR="00181679">
        <w:t>Article</w:t>
      </w:r>
      <w:r>
        <w:t xml:space="preserve"> 12(6), by which the Commissioner can</w:t>
      </w:r>
      <w:r w:rsidRPr="007D593F">
        <w:t xml:space="preserve"> require </w:t>
      </w:r>
      <w:r>
        <w:t>the</w:t>
      </w:r>
      <w:r w:rsidRPr="007D593F">
        <w:t xml:space="preserve"> public authority to attend before the Commissioner for </w:t>
      </w:r>
      <w:r>
        <w:t xml:space="preserve">the purpose of making environmental information available to the Commissioner, who can </w:t>
      </w:r>
      <w:r w:rsidRPr="007D593F">
        <w:t>examine and take copies of any environmental information and retain it in his or her possession for a reasonable period</w:t>
      </w:r>
      <w:r>
        <w:t xml:space="preserve">. </w:t>
      </w:r>
    </w:p>
    <w:p w14:paraId="78ECD320" w14:textId="6249484C" w:rsidR="00FA6FA9" w:rsidRDefault="00FA6FA9" w:rsidP="00FA6FA9">
      <w:pPr>
        <w:numPr>
          <w:ilvl w:val="0"/>
          <w:numId w:val="1"/>
        </w:numPr>
        <w:spacing w:line="480" w:lineRule="auto"/>
        <w:ind w:left="0" w:firstLine="0"/>
        <w:jc w:val="both"/>
      </w:pPr>
      <w:r>
        <w:t>Under</w:t>
      </w:r>
      <w:r w:rsidR="00181679">
        <w:t xml:space="preserve"> Article</w:t>
      </w:r>
      <w:r>
        <w:t xml:space="preserve"> 12(7), public authorities must comply with a</w:t>
      </w:r>
      <w:r w:rsidRPr="005856D1">
        <w:t xml:space="preserve"> decision of the Commissioner within 3 weeks after its receipt.</w:t>
      </w:r>
      <w:r>
        <w:t xml:space="preserve"> </w:t>
      </w:r>
      <w:r w:rsidR="00F3192C">
        <w:t xml:space="preserve"> </w:t>
      </w:r>
      <w:r w:rsidR="00181679">
        <w:t>Article</w:t>
      </w:r>
      <w:r>
        <w:t xml:space="preserve"> 12(8)</w:t>
      </w:r>
      <w:r w:rsidR="00181679">
        <w:t xml:space="preserve"> further provides that</w:t>
      </w:r>
      <w:r>
        <w:t xml:space="preserve"> w</w:t>
      </w:r>
      <w:r w:rsidRPr="005856D1">
        <w:t>here a public authority fails to comply</w:t>
      </w:r>
      <w:r>
        <w:t xml:space="preserve">, </w:t>
      </w:r>
      <w:r w:rsidRPr="005856D1">
        <w:t>the Commissioner may apply to the High Court for an order directing compl</w:t>
      </w:r>
      <w:r>
        <w:t xml:space="preserve">iance. </w:t>
      </w:r>
    </w:p>
    <w:p w14:paraId="306C7DB1" w14:textId="14704ABB" w:rsidR="00FA6FA9" w:rsidRDefault="00FA6FA9" w:rsidP="00FA6FA9">
      <w:pPr>
        <w:numPr>
          <w:ilvl w:val="0"/>
          <w:numId w:val="1"/>
        </w:numPr>
        <w:spacing w:line="480" w:lineRule="auto"/>
        <w:ind w:left="0" w:firstLine="0"/>
        <w:jc w:val="both"/>
      </w:pPr>
      <w:r>
        <w:t xml:space="preserve">Finally, the decision of the Commissioner made under </w:t>
      </w:r>
      <w:r w:rsidR="00181679">
        <w:t>Article</w:t>
      </w:r>
      <w:r>
        <w:t xml:space="preserve"> 12 of the AIE Regulations is amenable to appeal to the High Court, and thereafter to this Court, or the Court of Appeal, under </w:t>
      </w:r>
      <w:r w:rsidR="00181679">
        <w:t>Article</w:t>
      </w:r>
      <w:r>
        <w:t xml:space="preserve"> 13 of the AIE Regulations, by</w:t>
      </w:r>
      <w:r w:rsidRPr="002F7C9C">
        <w:t xml:space="preserve"> </w:t>
      </w:r>
      <w:r>
        <w:t>a</w:t>
      </w:r>
      <w:r w:rsidRPr="002F7C9C">
        <w:t xml:space="preserve"> party to </w:t>
      </w:r>
      <w:r>
        <w:t xml:space="preserve">an appeal under </w:t>
      </w:r>
      <w:r w:rsidR="00181679">
        <w:lastRenderedPageBreak/>
        <w:t>Article</w:t>
      </w:r>
      <w:r>
        <w:t xml:space="preserve"> 12 of the AIE Regulations </w:t>
      </w:r>
      <w:r w:rsidRPr="002F7C9C">
        <w:t>or any other person affected by the decision of the Commissioner</w:t>
      </w:r>
      <w:r>
        <w:t>.</w:t>
      </w:r>
    </w:p>
    <w:p w14:paraId="4D1ECDEF" w14:textId="27CFAA10" w:rsidR="00FA6FA9" w:rsidRDefault="00FA6FA9" w:rsidP="00FA6FA9">
      <w:pPr>
        <w:numPr>
          <w:ilvl w:val="0"/>
          <w:numId w:val="1"/>
        </w:numPr>
        <w:spacing w:line="480" w:lineRule="auto"/>
        <w:ind w:left="0" w:firstLine="0"/>
        <w:jc w:val="both"/>
      </w:pPr>
      <w:r>
        <w:t xml:space="preserve">It is wholly unclear how </w:t>
      </w:r>
      <w:r w:rsidR="00F3192C">
        <w:t>Right to Know</w:t>
      </w:r>
      <w:r>
        <w:t xml:space="preserve"> envisages</w:t>
      </w:r>
      <w:r w:rsidR="00181679">
        <w:t xml:space="preserve"> that</w:t>
      </w:r>
      <w:r>
        <w:t xml:space="preserve"> the Commissioner</w:t>
      </w:r>
      <w:r w:rsidR="00181679">
        <w:t xml:space="preserve"> can</w:t>
      </w:r>
      <w:r>
        <w:t xml:space="preserve"> properly or fully enga</w:t>
      </w:r>
      <w:r w:rsidR="00181679">
        <w:t>ge</w:t>
      </w:r>
      <w:r>
        <w:t xml:space="preserve"> his function without the assistance of these judicial remedies, or how the Commissioner is to deal with circumstances where the President does engage with a request but gives reasons for refusing access which the Commissioner regards as unsatisfactory or incomplete.  Could the Commissioner in those circumstances interrogate those answers, and if so, could the Commissioner seek the assistance of the High Court on any legal interpretation arising from those answers?  The constitutional immunity in its clear terms precludes the courts from holding the President to account.</w:t>
      </w:r>
      <w:r w:rsidR="00F3192C">
        <w:t xml:space="preserve"> </w:t>
      </w:r>
      <w:r>
        <w:t xml:space="preserve"> The appellant’s reasoning fails to have regard to these difficulties, but that no answer is apparent is not surprising, as the difficulties stem from the clear reach and express depth of the presidential immunity, allied with the general proposition from the authorities that indirect or collateral enforcement is constitutionally impermissible where such an immunity or privilege arises.</w:t>
      </w:r>
    </w:p>
    <w:p w14:paraId="29B52A46" w14:textId="6015DC98" w:rsidR="0054767E" w:rsidRPr="00587C50" w:rsidRDefault="00FA6FA9" w:rsidP="00587C50">
      <w:pPr>
        <w:numPr>
          <w:ilvl w:val="0"/>
          <w:numId w:val="1"/>
        </w:numPr>
        <w:spacing w:line="480" w:lineRule="auto"/>
        <w:ind w:left="0" w:firstLine="0"/>
        <w:jc w:val="both"/>
        <w:rPr>
          <w:b/>
          <w:u w:val="single"/>
        </w:rPr>
      </w:pPr>
      <w:r>
        <w:t>For these reasons I accept the argument made by the Commissioner that his process is inextricably linked with the judicial process.</w:t>
      </w:r>
    </w:p>
    <w:p w14:paraId="1190D8F2" w14:textId="77777777" w:rsidR="0049608E" w:rsidRPr="00587C50" w:rsidRDefault="0049608E" w:rsidP="00587C50">
      <w:pPr>
        <w:spacing w:line="480" w:lineRule="auto"/>
        <w:jc w:val="both"/>
        <w:rPr>
          <w:b/>
          <w:u w:val="single"/>
        </w:rPr>
      </w:pPr>
      <w:r w:rsidRPr="00587C50">
        <w:rPr>
          <w:b/>
          <w:u w:val="single"/>
        </w:rPr>
        <w:t>Collateral challenge?</w:t>
      </w:r>
    </w:p>
    <w:p w14:paraId="28EB0B05" w14:textId="43306106" w:rsidR="00104C05" w:rsidRPr="00013B48" w:rsidRDefault="00CB1E75" w:rsidP="00CB1E75">
      <w:pPr>
        <w:numPr>
          <w:ilvl w:val="0"/>
          <w:numId w:val="1"/>
        </w:numPr>
        <w:spacing w:line="480" w:lineRule="auto"/>
        <w:ind w:left="0" w:firstLine="0"/>
        <w:jc w:val="both"/>
        <w:rPr>
          <w:b/>
        </w:rPr>
      </w:pPr>
      <w:r>
        <w:t>In the light of established jurisprudence</w:t>
      </w:r>
      <w:r w:rsidR="005807D0">
        <w:t>,</w:t>
      </w:r>
      <w:r>
        <w:t xml:space="preserve"> the immunity </w:t>
      </w:r>
      <w:r w:rsidR="0049608E">
        <w:t xml:space="preserve">of the President </w:t>
      </w:r>
      <w:r>
        <w:t xml:space="preserve">may not be </w:t>
      </w:r>
      <w:r w:rsidR="0049608E">
        <w:t xml:space="preserve">circumvented </w:t>
      </w:r>
      <w:r>
        <w:t xml:space="preserve">by an action which would amount to an indirect enforcement.  The appellant argues that an order made either by the Commissioner or by a </w:t>
      </w:r>
      <w:r w:rsidR="0049608E">
        <w:t>c</w:t>
      </w:r>
      <w:r>
        <w:t xml:space="preserve">ourt against either the secretary to the President or the Council of State would not directly involve the person of the President. </w:t>
      </w:r>
      <w:r w:rsidR="002D4A8A">
        <w:t xml:space="preserve"> </w:t>
      </w:r>
      <w:r>
        <w:t>That argument presupposes first, that each of those bodies has a separate legal personality and is capable therefore of acting independently or separately from the President, a proposition I have already rejected above.  Leaving that point to one side for the present, the approach for which the appellant contends is not consistent with the principle explained</w:t>
      </w:r>
      <w:r w:rsidR="00C17727">
        <w:t xml:space="preserve"> by Clarke C.J.</w:t>
      </w:r>
      <w:r>
        <w:t xml:space="preserve"> in </w:t>
      </w:r>
      <w:proofErr w:type="spellStart"/>
      <w:r w:rsidR="00AD720E" w:rsidRPr="00165FE2">
        <w:rPr>
          <w:i/>
        </w:rPr>
        <w:t>Kerins</w:t>
      </w:r>
      <w:proofErr w:type="spellEnd"/>
      <w:r w:rsidR="00AD720E" w:rsidRPr="00165FE2">
        <w:rPr>
          <w:i/>
        </w:rPr>
        <w:t xml:space="preserve"> v</w:t>
      </w:r>
      <w:r w:rsidR="002D4A8A">
        <w:rPr>
          <w:i/>
        </w:rPr>
        <w:t>.</w:t>
      </w:r>
      <w:r w:rsidR="00AD720E" w:rsidRPr="00165FE2">
        <w:rPr>
          <w:i/>
        </w:rPr>
        <w:t xml:space="preserve"> </w:t>
      </w:r>
      <w:r w:rsidR="00C17727" w:rsidRPr="00165FE2">
        <w:rPr>
          <w:i/>
        </w:rPr>
        <w:t>McGuinness</w:t>
      </w:r>
      <w:r w:rsidR="002D4A8A">
        <w:rPr>
          <w:iCs/>
        </w:rPr>
        <w:t>:</w:t>
      </w:r>
      <w:r>
        <w:t xml:space="preserve"> </w:t>
      </w:r>
    </w:p>
    <w:p w14:paraId="067E0FCD" w14:textId="64BBE21B" w:rsidR="00CB1E75" w:rsidRPr="00013B48" w:rsidRDefault="00617108" w:rsidP="00013B48">
      <w:pPr>
        <w:spacing w:line="480" w:lineRule="auto"/>
        <w:ind w:left="720"/>
        <w:jc w:val="both"/>
        <w:rPr>
          <w:bCs/>
        </w:rPr>
      </w:pPr>
      <w:r w:rsidRPr="00013B48">
        <w:rPr>
          <w:bCs/>
        </w:rPr>
        <w:lastRenderedPageBreak/>
        <w:t>“</w:t>
      </w:r>
      <w:r w:rsidR="00103A3F" w:rsidRPr="00103A3F">
        <w:rPr>
          <w:bCs/>
        </w:rPr>
        <w:t>It also seems to the Court to follow that that which cannot be achieved directly cannot be achieved by collateral means.</w:t>
      </w:r>
      <w:r w:rsidR="00103A3F">
        <w:rPr>
          <w:bCs/>
        </w:rPr>
        <w:t xml:space="preserve"> </w:t>
      </w:r>
      <w:r w:rsidRPr="00013B48">
        <w:rPr>
          <w:bCs/>
        </w:rPr>
        <w:t>It would clearly be impermissible to ask a court to intervene in a way which would, by necessary implication, require the Court to at least indirectly make a member amenable or breach a privilege conferred on a member. Thus, there is a clear area of non-justiciability which surrounds utterances made in the Houses or their committees or matters which are sufficiently closely connected to such utterances as to enjoy the same privileges and immunities.”</w:t>
      </w:r>
      <w:r w:rsidR="00F3192C">
        <w:rPr>
          <w:bCs/>
        </w:rPr>
        <w:t xml:space="preserve"> </w:t>
      </w:r>
      <w:r w:rsidR="002D4A8A">
        <w:t>(</w:t>
      </w:r>
      <w:r w:rsidR="00103A3F">
        <w:t>p. 55</w:t>
      </w:r>
      <w:r w:rsidR="002D4A8A">
        <w:t>)</w:t>
      </w:r>
    </w:p>
    <w:p w14:paraId="44F77831" w14:textId="0389F383" w:rsidR="00CB1E75" w:rsidRDefault="00CB1E75" w:rsidP="00013B48">
      <w:pPr>
        <w:numPr>
          <w:ilvl w:val="0"/>
          <w:numId w:val="1"/>
        </w:numPr>
        <w:spacing w:line="480" w:lineRule="auto"/>
        <w:ind w:left="0" w:firstLine="0"/>
        <w:jc w:val="both"/>
      </w:pPr>
      <w:r>
        <w:t xml:space="preserve">This proposition was affirmed in a consideration of the immunity of parliamentarians in </w:t>
      </w:r>
      <w:r w:rsidRPr="008D124D">
        <w:rPr>
          <w:i/>
        </w:rPr>
        <w:t>O’Brien v</w:t>
      </w:r>
      <w:r w:rsidR="00F3192C">
        <w:rPr>
          <w:i/>
        </w:rPr>
        <w:t>.</w:t>
      </w:r>
      <w:r w:rsidRPr="008D124D">
        <w:rPr>
          <w:i/>
        </w:rPr>
        <w:t xml:space="preserve"> Dáil Éireann</w:t>
      </w:r>
      <w:r>
        <w:t xml:space="preserve">.  </w:t>
      </w:r>
    </w:p>
    <w:p w14:paraId="64CADB79" w14:textId="6A790F3D" w:rsidR="00CB1E75" w:rsidRDefault="00CB1E75" w:rsidP="00CB1E75">
      <w:pPr>
        <w:numPr>
          <w:ilvl w:val="0"/>
          <w:numId w:val="1"/>
        </w:numPr>
        <w:spacing w:line="480" w:lineRule="auto"/>
        <w:ind w:left="0" w:firstLine="0"/>
        <w:jc w:val="both"/>
      </w:pPr>
      <w:r>
        <w:t xml:space="preserve">Similar considerations must be said to apply in the present case and any review in the High Court or on appeal to this Court or to the Court of Appeal would be an indirect or collateral attempt to make the President answerable for a refusal to disclose information or otherwise respond to the Commissioner. </w:t>
      </w:r>
      <w:r w:rsidR="005807D0">
        <w:t xml:space="preserve"> </w:t>
      </w:r>
    </w:p>
    <w:p w14:paraId="233E2FBE" w14:textId="658BB0D7" w:rsidR="00FA6FA9" w:rsidRPr="00337216" w:rsidRDefault="00F27750" w:rsidP="00FA6FA9">
      <w:pPr>
        <w:numPr>
          <w:ilvl w:val="0"/>
          <w:numId w:val="1"/>
        </w:numPr>
        <w:spacing w:line="480" w:lineRule="auto"/>
        <w:ind w:left="0" w:firstLine="0"/>
        <w:jc w:val="both"/>
        <w:rPr>
          <w:b/>
          <w:bCs/>
        </w:rPr>
      </w:pPr>
      <w:r>
        <w:t xml:space="preserve">Right to Know </w:t>
      </w:r>
      <w:r w:rsidR="00FA6FA9">
        <w:t>invokes the decision of the High Court</w:t>
      </w:r>
      <w:r w:rsidR="00181679">
        <w:t xml:space="preserve"> in</w:t>
      </w:r>
      <w:r w:rsidR="00FA6FA9">
        <w:t xml:space="preserve"> </w:t>
      </w:r>
      <w:r w:rsidR="00181679" w:rsidRPr="0083073C">
        <w:rPr>
          <w:i/>
        </w:rPr>
        <w:t>The</w:t>
      </w:r>
      <w:r w:rsidR="00181679">
        <w:t xml:space="preserve"> </w:t>
      </w:r>
      <w:r w:rsidR="00FA6FA9" w:rsidRPr="006C3551">
        <w:rPr>
          <w:i/>
          <w:iCs/>
        </w:rPr>
        <w:t>State (Walshe) v</w:t>
      </w:r>
      <w:r w:rsidR="00FA6FA9">
        <w:rPr>
          <w:i/>
          <w:iCs/>
        </w:rPr>
        <w:t>.</w:t>
      </w:r>
      <w:r w:rsidR="00FA6FA9" w:rsidRPr="006C3551">
        <w:rPr>
          <w:i/>
          <w:iCs/>
        </w:rPr>
        <w:t xml:space="preserve"> </w:t>
      </w:r>
      <w:r w:rsidR="00FA6FA9" w:rsidRPr="003312A7">
        <w:rPr>
          <w:i/>
          <w:iCs/>
        </w:rPr>
        <w:t>Murphy</w:t>
      </w:r>
      <w:r w:rsidR="00FA6FA9" w:rsidRPr="00337216">
        <w:t>,</w:t>
      </w:r>
      <w:r w:rsidR="00FA6FA9" w:rsidRPr="003312A7">
        <w:rPr>
          <w:b/>
          <w:bCs/>
        </w:rPr>
        <w:t xml:space="preserve"> </w:t>
      </w:r>
      <w:r w:rsidR="00FA6FA9">
        <w:t>which concerned a challenge to an order made by a person appointed as judge of the District Court who did not meet the qualifying requirements</w:t>
      </w:r>
      <w:r w:rsidR="00181679">
        <w:t xml:space="preserve"> prescribed by statute</w:t>
      </w:r>
      <w:r w:rsidR="00FA6FA9">
        <w:t>.  The decision of the Divisional Court rejected the argument of the respondent that the challenge was inadmissible on account of the presidential immunity.  Finlay P. held that the challenge there was not to the appointment by the President of Ireland of that person to judicial office, but</w:t>
      </w:r>
      <w:r w:rsidR="00130666">
        <w:t xml:space="preserve"> rather that</w:t>
      </w:r>
      <w:r w:rsidR="00FA6FA9">
        <w:t xml:space="preserve"> of the decision of the Executive that he be appointed</w:t>
      </w:r>
      <w:r w:rsidR="00181679">
        <w:t>,</w:t>
      </w:r>
      <w:r w:rsidR="00FA6FA9">
        <w:t xml:space="preserve"> albeit, </w:t>
      </w:r>
      <w:r w:rsidR="00FA6FA9" w:rsidRPr="009225F9">
        <w:rPr>
          <w:bCs/>
        </w:rPr>
        <w:t>as</w:t>
      </w:r>
      <w:r w:rsidR="00FA6FA9" w:rsidRPr="00655388">
        <w:rPr>
          <w:bCs/>
        </w:rPr>
        <w:t xml:space="preserve"> </w:t>
      </w:r>
      <w:r w:rsidR="00FA6FA9" w:rsidRPr="00337216">
        <w:rPr>
          <w:bCs/>
        </w:rPr>
        <w:t>Finlay P.</w:t>
      </w:r>
      <w:r w:rsidR="00FA6FA9" w:rsidRPr="009225F9">
        <w:rPr>
          <w:bCs/>
        </w:rPr>
        <w:t xml:space="preserve"> noted</w:t>
      </w:r>
      <w:r w:rsidR="00FA6FA9">
        <w:t>, the appointment required the “intervention” of the President for its effectiveness in law.  The impugned decision and act were those of the Executive and not of the President:</w:t>
      </w:r>
    </w:p>
    <w:p w14:paraId="23BA4366" w14:textId="16DE0BCA" w:rsidR="00FA6FA9" w:rsidRDefault="00FA6FA9" w:rsidP="00FA6FA9">
      <w:pPr>
        <w:spacing w:line="480" w:lineRule="auto"/>
        <w:ind w:left="720"/>
        <w:jc w:val="both"/>
      </w:pPr>
      <w:r>
        <w:t xml:space="preserve">“The President has a very great number of powers and functions which he performs on the advice of the Government, without any discretion on his part.  In respect of these matters, apparently, he cannot refuse to exceed to that advice within the Constitution.” (p. 283) </w:t>
      </w:r>
    </w:p>
    <w:p w14:paraId="3BB85C73" w14:textId="6178ED78" w:rsidR="00FA6FA9" w:rsidRDefault="00FA6FA9" w:rsidP="00FA6FA9">
      <w:pPr>
        <w:numPr>
          <w:ilvl w:val="0"/>
          <w:numId w:val="1"/>
        </w:numPr>
        <w:spacing w:line="480" w:lineRule="auto"/>
        <w:ind w:left="0" w:firstLine="0"/>
        <w:jc w:val="both"/>
      </w:pPr>
      <w:r>
        <w:lastRenderedPageBreak/>
        <w:t xml:space="preserve"> Explaining the role and power of the President later</w:t>
      </w:r>
      <w:r w:rsidR="00F3192C">
        <w:t>,</w:t>
      </w:r>
      <w:r>
        <w:t xml:space="preserve"> </w:t>
      </w:r>
      <w:r w:rsidRPr="00337216">
        <w:rPr>
          <w:bCs/>
        </w:rPr>
        <w:t>Finlay P.</w:t>
      </w:r>
      <w:r w:rsidRPr="00337216">
        <w:rPr>
          <w:b/>
        </w:rPr>
        <w:t xml:space="preserve"> </w:t>
      </w:r>
      <w:r>
        <w:t>said:</w:t>
      </w:r>
    </w:p>
    <w:p w14:paraId="2ABF6AB1" w14:textId="5F770006" w:rsidR="00FA6FA9" w:rsidRDefault="00FA6FA9" w:rsidP="00FA6FA9">
      <w:pPr>
        <w:spacing w:line="480" w:lineRule="auto"/>
        <w:ind w:left="720"/>
        <w:jc w:val="both"/>
      </w:pPr>
      <w:r>
        <w:t>“If the submission made on behalf of this respondent were correct, it would mean that the Executive would be in a position to act under the Constitution in respect of a number of matters contrary to the law and even contrary to the Constitution: and that, if such act required for its effectiveness the exercise of a function by the President, such illegal or unconstitutional act could not be reviewed by any court.” (p. 283)</w:t>
      </w:r>
    </w:p>
    <w:p w14:paraId="0C6CC3A6" w14:textId="7348D67F" w:rsidR="00FA6FA9" w:rsidRPr="00337216" w:rsidRDefault="00FA6FA9" w:rsidP="00FA6FA9">
      <w:pPr>
        <w:numPr>
          <w:ilvl w:val="0"/>
          <w:numId w:val="1"/>
        </w:numPr>
        <w:spacing w:line="480" w:lineRule="auto"/>
        <w:ind w:left="0" w:firstLine="0"/>
        <w:jc w:val="both"/>
        <w:rPr>
          <w:b/>
          <w:bCs/>
        </w:rPr>
      </w:pPr>
      <w:r>
        <w:t xml:space="preserve">The recent decision of Haughton J. in </w:t>
      </w:r>
      <w:proofErr w:type="spellStart"/>
      <w:r w:rsidRPr="000F2BEA">
        <w:rPr>
          <w:i/>
        </w:rPr>
        <w:t>Beades</w:t>
      </w:r>
      <w:proofErr w:type="spellEnd"/>
      <w:r w:rsidRPr="000F2BEA">
        <w:rPr>
          <w:i/>
        </w:rPr>
        <w:t xml:space="preserve"> v</w:t>
      </w:r>
      <w:r>
        <w:rPr>
          <w:i/>
        </w:rPr>
        <w:t>.</w:t>
      </w:r>
      <w:r w:rsidRPr="000F2BEA">
        <w:rPr>
          <w:i/>
        </w:rPr>
        <w:t xml:space="preserve"> Ireland</w:t>
      </w:r>
      <w:r>
        <w:t xml:space="preserve"> in which the plaintiff sought to restrain the appointment of a new President of the High Court</w:t>
      </w:r>
      <w:r w:rsidRPr="006C3551">
        <w:rPr>
          <w:rFonts w:ascii="Arial" w:hAnsi="Arial" w:cs="Arial"/>
          <w:color w:val="333333"/>
          <w:sz w:val="21"/>
          <w:szCs w:val="21"/>
        </w:rPr>
        <w:t xml:space="preserve"> </w:t>
      </w:r>
      <w:r w:rsidRPr="00337216">
        <w:t>relied on</w:t>
      </w:r>
      <w:r>
        <w:rPr>
          <w:b/>
        </w:rPr>
        <w:t xml:space="preserve"> </w:t>
      </w:r>
      <w:r w:rsidR="00181679" w:rsidRPr="0083073C">
        <w:rPr>
          <w:i/>
        </w:rPr>
        <w:t>The</w:t>
      </w:r>
      <w:r w:rsidR="00181679">
        <w:rPr>
          <w:b/>
        </w:rPr>
        <w:t xml:space="preserve"> </w:t>
      </w:r>
      <w:r w:rsidRPr="006C3551">
        <w:rPr>
          <w:i/>
          <w:iCs/>
        </w:rPr>
        <w:t>State (Walshe) v</w:t>
      </w:r>
      <w:r>
        <w:rPr>
          <w:i/>
          <w:iCs/>
        </w:rPr>
        <w:t>.</w:t>
      </w:r>
      <w:r w:rsidRPr="006C3551">
        <w:rPr>
          <w:i/>
          <w:iCs/>
        </w:rPr>
        <w:t xml:space="preserve"> Murphy</w:t>
      </w:r>
      <w:r w:rsidRPr="006C3551">
        <w:t> </w:t>
      </w:r>
      <w:r>
        <w:t xml:space="preserve">and described the function of the President as one which he was “mandated” to perform (at p. 241).  That judgment therefore is not authority for any proposition that limits or restricts the immunity of the President from suit and offers no support to the arguments of </w:t>
      </w:r>
      <w:r w:rsidR="00F27750">
        <w:t>Right to Know</w:t>
      </w:r>
      <w:r>
        <w:t xml:space="preserve">. </w:t>
      </w:r>
    </w:p>
    <w:p w14:paraId="439A6563" w14:textId="1A8DA802" w:rsidR="00FA6FA9" w:rsidRDefault="00FA6FA9" w:rsidP="00FA6FA9">
      <w:pPr>
        <w:numPr>
          <w:ilvl w:val="0"/>
          <w:numId w:val="1"/>
        </w:numPr>
        <w:spacing w:line="480" w:lineRule="auto"/>
        <w:ind w:left="0" w:firstLine="0"/>
        <w:jc w:val="both"/>
      </w:pPr>
      <w:r>
        <w:t>The starting point in those two cases was the identification of the impugned decision as being one of the Executive and not the President.  The powers exercised by the President which gave rise to the requests in the present appeal are part of the small class of powers which the President may exercise in his or her discretion</w:t>
      </w:r>
      <w:r w:rsidR="00181679">
        <w:t xml:space="preserve"> (albeit, save for one instance, only following prior consultation with the Council of State)</w:t>
      </w:r>
      <w:r>
        <w:t>: the power to give speeches (although the content may be reviewed by the Executive under</w:t>
      </w:r>
      <w:r>
        <w:rPr>
          <w:b/>
        </w:rPr>
        <w:t xml:space="preserve"> </w:t>
      </w:r>
      <w:r w:rsidRPr="00A30D25">
        <w:rPr>
          <w:bCs/>
        </w:rPr>
        <w:t>Article</w:t>
      </w:r>
      <w:r w:rsidRPr="00337216">
        <w:rPr>
          <w:bCs/>
        </w:rPr>
        <w:t xml:space="preserve"> 13.7.3°)</w:t>
      </w:r>
      <w:r>
        <w:t xml:space="preserve"> and the power to make a reference to the Supreme Court under Article 26 of the Constitution on the advice of the Council of State.  But the argument from </w:t>
      </w:r>
      <w:r w:rsidRPr="006C3551">
        <w:rPr>
          <w:i/>
          <w:iCs/>
        </w:rPr>
        <w:t>State (Walshe) v</w:t>
      </w:r>
      <w:r>
        <w:rPr>
          <w:i/>
          <w:iCs/>
        </w:rPr>
        <w:t>.</w:t>
      </w:r>
      <w:r w:rsidRPr="006C3551">
        <w:rPr>
          <w:i/>
          <w:iCs/>
        </w:rPr>
        <w:t xml:space="preserve"> Murphy</w:t>
      </w:r>
      <w:r w:rsidRPr="006C3551">
        <w:t> </w:t>
      </w:r>
      <w:r>
        <w:t xml:space="preserve">and </w:t>
      </w:r>
      <w:proofErr w:type="spellStart"/>
      <w:r w:rsidRPr="00FE7BFF">
        <w:rPr>
          <w:i/>
        </w:rPr>
        <w:t>Beades</w:t>
      </w:r>
      <w:proofErr w:type="spellEnd"/>
      <w:r w:rsidRPr="00FE7BFF">
        <w:rPr>
          <w:i/>
        </w:rPr>
        <w:t xml:space="preserve"> v</w:t>
      </w:r>
      <w:r>
        <w:rPr>
          <w:i/>
        </w:rPr>
        <w:t>.</w:t>
      </w:r>
      <w:r w:rsidRPr="00FE7BFF">
        <w:rPr>
          <w:i/>
        </w:rPr>
        <w:t xml:space="preserve"> Ireland</w:t>
      </w:r>
      <w:r>
        <w:t xml:space="preserve"> concerned not immunity of the person of the President, but whether it extended to exclude review of actions or decisions of a person other than the President.  Those authorities, while they throw light on the role of the President </w:t>
      </w:r>
      <w:r w:rsidRPr="000E5081">
        <w:t>and illustrate</w:t>
      </w:r>
      <w:r w:rsidRPr="00FE7BFF">
        <w:rPr>
          <w:i/>
        </w:rPr>
        <w:t xml:space="preserve"> </w:t>
      </w:r>
      <w:r>
        <w:t xml:space="preserve">the limitations of presidential power and the extent to which many of those powers are exercisable without any discretionary element of choice by the President, involved the courts looking at the substance </w:t>
      </w:r>
      <w:r>
        <w:lastRenderedPageBreak/>
        <w:t xml:space="preserve">of the decision and its source, and in each case the decisions were in substance not those of the President.  </w:t>
      </w:r>
    </w:p>
    <w:p w14:paraId="55528B78" w14:textId="1A7BD4B1" w:rsidR="00CB1E75" w:rsidRDefault="00CB1E75" w:rsidP="00CB1E75">
      <w:pPr>
        <w:numPr>
          <w:ilvl w:val="0"/>
          <w:numId w:val="1"/>
        </w:numPr>
        <w:spacing w:line="480" w:lineRule="auto"/>
        <w:ind w:left="0" w:firstLine="0"/>
        <w:jc w:val="both"/>
      </w:pPr>
      <w:r>
        <w:t>The appellant argues that the correct approach to the immunity would be a somewhat narrow one: the President could opt in or out of the process before the Commissioner</w:t>
      </w:r>
      <w:r w:rsidR="0049608E">
        <w:t>,</w:t>
      </w:r>
      <w:r>
        <w:t xml:space="preserve"> and could for example decline to answer</w:t>
      </w:r>
      <w:r w:rsidR="0049608E">
        <w:t xml:space="preserve"> at all,</w:t>
      </w:r>
      <w:r>
        <w:t xml:space="preserve"> or give reasons for declining a request.  He could</w:t>
      </w:r>
      <w:r w:rsidR="00181679">
        <w:t>,</w:t>
      </w:r>
      <w:r>
        <w:t xml:space="preserve"> for example</w:t>
      </w:r>
      <w:r w:rsidR="00181679">
        <w:t xml:space="preserve">, have refused </w:t>
      </w:r>
      <w:r>
        <w:t>in the present case to furnish any information regarding his meetings with the Council of State by invoking his personal immunity, but it is argued that the President could as</w:t>
      </w:r>
      <w:r w:rsidR="00A353FA">
        <w:t xml:space="preserve"> </w:t>
      </w:r>
      <w:r>
        <w:t>readily opt to furnish the information or engage with the Commissioner up to a point but not thereafter.</w:t>
      </w:r>
    </w:p>
    <w:p w14:paraId="6ABFD0AD" w14:textId="1CD8A031" w:rsidR="00C738A0" w:rsidRDefault="00CB1E75" w:rsidP="00CB1E75">
      <w:pPr>
        <w:numPr>
          <w:ilvl w:val="0"/>
          <w:numId w:val="1"/>
        </w:numPr>
        <w:spacing w:line="480" w:lineRule="auto"/>
        <w:ind w:left="0" w:firstLine="0"/>
        <w:jc w:val="both"/>
      </w:pPr>
      <w:r>
        <w:t>This argument discloses a number of problems. First, it would render the Commissioner</w:t>
      </w:r>
      <w:r w:rsidR="00393E4B">
        <w:t>,</w:t>
      </w:r>
      <w:r>
        <w:t xml:space="preserve"> in effect</w:t>
      </w:r>
      <w:r w:rsidR="00393E4B">
        <w:t>,</w:t>
      </w:r>
      <w:r>
        <w:t xml:space="preserve"> toothless and would preclude the Commissioner from engaging the very powers that enable the fulfilment of his statutory mandate.  </w:t>
      </w:r>
    </w:p>
    <w:p w14:paraId="5ABD649E" w14:textId="62B5233F" w:rsidR="00CB1E75" w:rsidRDefault="00CB1E75" w:rsidP="00CB1E75">
      <w:pPr>
        <w:numPr>
          <w:ilvl w:val="0"/>
          <w:numId w:val="1"/>
        </w:numPr>
        <w:spacing w:line="480" w:lineRule="auto"/>
        <w:ind w:left="0" w:firstLine="0"/>
        <w:jc w:val="both"/>
      </w:pPr>
      <w:r>
        <w:t>Second, the possibility that the President could arbitrarily choose to engage or not engage at his or her absolute discretion would lead to a degree of uncertainty, and again would render the Commissioner powerless.  Such an absurd result could not reflect the legislative intent</w:t>
      </w:r>
      <w:r w:rsidR="00591C14">
        <w:t>, but importantly is in conflict with t</w:t>
      </w:r>
      <w:r>
        <w:t>he constitutional protection for the President generally.</w:t>
      </w:r>
    </w:p>
    <w:p w14:paraId="49A2D466" w14:textId="4A2FA045" w:rsidR="00F34D6E" w:rsidRDefault="00CB1E75" w:rsidP="00F34D6E">
      <w:pPr>
        <w:numPr>
          <w:ilvl w:val="0"/>
          <w:numId w:val="1"/>
        </w:numPr>
        <w:spacing w:line="480" w:lineRule="auto"/>
        <w:ind w:left="0" w:firstLine="0"/>
        <w:jc w:val="both"/>
      </w:pPr>
      <w:r>
        <w:t>Third, and more fundamentally, the immunity operates not merely as a privilege conferred on the President, but also</w:t>
      </w:r>
      <w:r w:rsidR="00C17727">
        <w:t xml:space="preserve"> </w:t>
      </w:r>
      <w:r>
        <w:t>as a limitation on the court or the legislature engaging in acts of scrutiny.</w:t>
      </w:r>
      <w:r w:rsidR="00E972E4">
        <w:t xml:space="preserve"> </w:t>
      </w:r>
      <w:r w:rsidRPr="00872194">
        <w:t xml:space="preserve"> </w:t>
      </w:r>
      <w:r w:rsidR="00C17727">
        <w:t xml:space="preserve">This immunity is a corollary to the prohibition of making the President answerable to </w:t>
      </w:r>
      <w:r w:rsidR="00C17727" w:rsidRPr="00C17727">
        <w:t xml:space="preserve">either </w:t>
      </w:r>
      <w:r w:rsidR="00393E4B">
        <w:t>H</w:t>
      </w:r>
      <w:r w:rsidR="00C17727" w:rsidRPr="00C17727">
        <w:t>ouse of the Oireachtas or to any court for the exercise and performance of the powers and functions of his office</w:t>
      </w:r>
      <w:r w:rsidR="00C17727">
        <w:t xml:space="preserve"> under Article 13.8.</w:t>
      </w:r>
      <w:r w:rsidR="00C17727" w:rsidRPr="00C17727">
        <w:t>1</w:t>
      </w:r>
      <w:r w:rsidR="00455DF0">
        <w:rPr>
          <w:rFonts w:ascii="Arial" w:hAnsi="Arial" w:cs="Arial"/>
          <w:color w:val="666666"/>
          <w:sz w:val="21"/>
          <w:szCs w:val="21"/>
          <w:shd w:val="clear" w:color="auto" w:fill="FFFFFF"/>
        </w:rPr>
        <w:t>°</w:t>
      </w:r>
      <w:r w:rsidR="00C17727">
        <w:t>, and as such th</w:t>
      </w:r>
      <w:r w:rsidR="0049608E">
        <w:t>e</w:t>
      </w:r>
      <w:r w:rsidR="00C17727">
        <w:t xml:space="preserve"> immunity cannot be waived or opted out of at the discretion of the President. </w:t>
      </w:r>
      <w:r w:rsidR="00E972E4">
        <w:t xml:space="preserve"> </w:t>
      </w:r>
      <w:r w:rsidR="00F34D6E">
        <w:t xml:space="preserve">The presidential immunity precludes the President making a choice to submit to the Commissioner and/or to a court, as the immunity must be seen as absolute in the sense that it has the effect of limiting </w:t>
      </w:r>
      <w:r w:rsidR="00F34D6E">
        <w:lastRenderedPageBreak/>
        <w:t xml:space="preserve">scrutiny by the courts and is not a voluntarily assumed privilege but one inherent in the constitutional order. </w:t>
      </w:r>
    </w:p>
    <w:p w14:paraId="77E9771F" w14:textId="29B5606F" w:rsidR="006C3551" w:rsidRPr="00A578FC" w:rsidRDefault="00CB1E75" w:rsidP="00587C50">
      <w:pPr>
        <w:numPr>
          <w:ilvl w:val="0"/>
          <w:numId w:val="1"/>
        </w:numPr>
        <w:spacing w:line="480" w:lineRule="auto"/>
        <w:ind w:left="0" w:firstLine="0"/>
        <w:jc w:val="both"/>
      </w:pPr>
      <w:r>
        <w:t xml:space="preserve">The difficulty </w:t>
      </w:r>
      <w:r w:rsidR="0002226B">
        <w:t xml:space="preserve">with the approach for which </w:t>
      </w:r>
      <w:r w:rsidR="000A36DD">
        <w:t xml:space="preserve">Right to Know </w:t>
      </w:r>
      <w:r w:rsidR="0002226B">
        <w:t xml:space="preserve">contends </w:t>
      </w:r>
      <w:r>
        <w:t xml:space="preserve">is apparent from </w:t>
      </w:r>
      <w:r w:rsidR="00FE69D0">
        <w:t>the</w:t>
      </w:r>
      <w:r>
        <w:t xml:space="preserve"> pleadings </w:t>
      </w:r>
      <w:r w:rsidR="00FE69D0">
        <w:t xml:space="preserve">as </w:t>
      </w:r>
      <w:r w:rsidR="006F02E5">
        <w:t xml:space="preserve">the originating </w:t>
      </w:r>
      <w:r w:rsidR="00FE69D0">
        <w:t>notice</w:t>
      </w:r>
      <w:r w:rsidR="006F02E5">
        <w:t xml:space="preserve"> of motion seeks</w:t>
      </w:r>
      <w:r w:rsidR="00E972E4">
        <w:t>,</w:t>
      </w:r>
      <w:r w:rsidR="006F02E5">
        <w:t xml:space="preserve"> </w:t>
      </w:r>
      <w:r w:rsidR="00393E4B">
        <w:t>in addition to declaratory relief</w:t>
      </w:r>
      <w:r w:rsidR="00E972E4">
        <w:t>,</w:t>
      </w:r>
      <w:r w:rsidR="00393E4B">
        <w:t xml:space="preserve"> </w:t>
      </w:r>
      <w:r w:rsidR="006F02E5" w:rsidRPr="00587C50">
        <w:rPr>
          <w:i/>
        </w:rPr>
        <w:t>inter alia</w:t>
      </w:r>
      <w:r w:rsidR="006F02E5">
        <w:t xml:space="preserve"> </w:t>
      </w:r>
      <w:r w:rsidR="00FE69D0">
        <w:t>an order that the Commissioner direct the release of the information to the applicant (para</w:t>
      </w:r>
      <w:r w:rsidR="001857B0">
        <w:t>.</w:t>
      </w:r>
      <w:r w:rsidR="00FE69D0">
        <w:t xml:space="preserve"> j). </w:t>
      </w:r>
    </w:p>
    <w:p w14:paraId="1143CCEE" w14:textId="190E8B54" w:rsidR="00CB1E75" w:rsidRDefault="006C3551" w:rsidP="00587C50">
      <w:pPr>
        <w:numPr>
          <w:ilvl w:val="0"/>
          <w:numId w:val="1"/>
        </w:numPr>
        <w:spacing w:line="480" w:lineRule="auto"/>
        <w:ind w:left="0" w:firstLine="0"/>
        <w:jc w:val="both"/>
      </w:pPr>
      <w:r w:rsidRPr="00AD720E" w:rsidDel="006C3551">
        <w:rPr>
          <w:b/>
          <w:i/>
        </w:rPr>
        <w:t xml:space="preserve"> </w:t>
      </w:r>
      <w:r w:rsidR="00CB1E75">
        <w:t>This pleading is in substance a plea that the President answer for the performance of his powers and functions</w:t>
      </w:r>
      <w:r w:rsidR="00393E4B">
        <w:t>.  It</w:t>
      </w:r>
      <w:r w:rsidR="00CB1E75">
        <w:t xml:space="preserve"> </w:t>
      </w:r>
      <w:r w:rsidR="00FE69D0">
        <w:t xml:space="preserve">illustrates that </w:t>
      </w:r>
      <w:r w:rsidR="00CB1E75">
        <w:t xml:space="preserve">the purpose of the High Court proceedings and this appeal is to compel the President to furnish information to </w:t>
      </w:r>
      <w:r w:rsidR="00F27750">
        <w:t>Right to Know</w:t>
      </w:r>
      <w:r w:rsidR="00CB1E75">
        <w:t xml:space="preserve">.  The </w:t>
      </w:r>
      <w:r w:rsidR="00FE69D0">
        <w:t xml:space="preserve">prayer that the President </w:t>
      </w:r>
      <w:r w:rsidR="00CB1E75">
        <w:t>be subject to an order directing him</w:t>
      </w:r>
      <w:r w:rsidR="00FE69D0">
        <w:t>, whether directly or indirectly,</w:t>
      </w:r>
      <w:r w:rsidR="00CB1E75">
        <w:t xml:space="preserve"> to </w:t>
      </w:r>
      <w:r w:rsidR="006116B5">
        <w:t>comply</w:t>
      </w:r>
      <w:r w:rsidR="00CB1E75">
        <w:t xml:space="preserve"> is incompatible with the constitutional </w:t>
      </w:r>
      <w:r w:rsidR="006116B5">
        <w:t>immunity</w:t>
      </w:r>
      <w:r w:rsidR="00CB1E75">
        <w:t>.</w:t>
      </w:r>
    </w:p>
    <w:p w14:paraId="7EEB043D" w14:textId="3670E140" w:rsidR="001531A7" w:rsidRDefault="001966B0" w:rsidP="001F4DA4">
      <w:pPr>
        <w:numPr>
          <w:ilvl w:val="0"/>
          <w:numId w:val="1"/>
        </w:numPr>
        <w:spacing w:line="480" w:lineRule="auto"/>
        <w:ind w:left="0" w:firstLine="0"/>
        <w:jc w:val="both"/>
      </w:pPr>
      <w:r>
        <w:t>A</w:t>
      </w:r>
      <w:r w:rsidR="001531A7">
        <w:t xml:space="preserve">s is apparent from the examples above, this is a plea no court could entertain and illustrates the reality of the case. </w:t>
      </w:r>
      <w:r w:rsidR="00E972E4">
        <w:t xml:space="preserve"> </w:t>
      </w:r>
      <w:r w:rsidR="001531A7">
        <w:t>Furthermore</w:t>
      </w:r>
      <w:r w:rsidR="00E972E4">
        <w:t>,</w:t>
      </w:r>
      <w:r w:rsidR="001531A7">
        <w:t xml:space="preserve"> it also illustrates the profound error underlying the proceedings: the President, consistent with the Constitution, is not a party to the proceedings and did not take part in the proceedings before the Commissioner, yet the Court is being asked to make an order which in substance is an order against the President. </w:t>
      </w:r>
      <w:r w:rsidR="00E972E4">
        <w:t xml:space="preserve"> </w:t>
      </w:r>
      <w:r w:rsidR="001531A7">
        <w:t xml:space="preserve">The President was being put in the very dilemma </w:t>
      </w:r>
      <w:r w:rsidR="00EC1E2C">
        <w:t>from which the</w:t>
      </w:r>
      <w:r w:rsidR="001531A7">
        <w:t xml:space="preserve"> Constitution was meant to protect him: in order to defend himself and his position he would have to make himself answerable to a court or other authority.</w:t>
      </w:r>
      <w:r w:rsidR="00E972E4">
        <w:t xml:space="preserve"> </w:t>
      </w:r>
      <w:r w:rsidR="001531A7">
        <w:t xml:space="preserve"> There is something very disquieting about the position of the President being debated, and ruled upon</w:t>
      </w:r>
      <w:r w:rsidR="00EC1E2C">
        <w:t>,</w:t>
      </w:r>
      <w:r w:rsidR="001531A7">
        <w:t xml:space="preserve"> in the absence of argument from the President.</w:t>
      </w:r>
    </w:p>
    <w:p w14:paraId="6ABDA1C1" w14:textId="27510797" w:rsidR="00CB1E75" w:rsidRDefault="00CB1E75" w:rsidP="001531A7">
      <w:pPr>
        <w:numPr>
          <w:ilvl w:val="0"/>
          <w:numId w:val="1"/>
        </w:numPr>
        <w:spacing w:line="480" w:lineRule="auto"/>
        <w:ind w:left="0" w:firstLine="0"/>
        <w:jc w:val="both"/>
      </w:pPr>
      <w:r>
        <w:t>I return to a proposition</w:t>
      </w:r>
      <w:r w:rsidR="00CA13DB">
        <w:t>,</w:t>
      </w:r>
      <w:r>
        <w:t xml:space="preserve"> advanced earlier</w:t>
      </w:r>
      <w:r w:rsidR="00CA13DB">
        <w:t>,</w:t>
      </w:r>
      <w:r>
        <w:t xml:space="preserve"> that the Council of State </w:t>
      </w:r>
      <w:r w:rsidR="00CA13DB">
        <w:t xml:space="preserve">and the </w:t>
      </w:r>
      <w:r w:rsidR="003C5885">
        <w:t>S</w:t>
      </w:r>
      <w:r>
        <w:t xml:space="preserve">ecretary </w:t>
      </w:r>
      <w:r w:rsidR="002357B1">
        <w:t xml:space="preserve">General </w:t>
      </w:r>
      <w:r>
        <w:t>to the President</w:t>
      </w:r>
      <w:r w:rsidR="00A30D25">
        <w:t xml:space="preserve"> </w:t>
      </w:r>
      <w:r>
        <w:t>assist</w:t>
      </w:r>
      <w:r w:rsidR="003C5885">
        <w:t xml:space="preserve">, </w:t>
      </w:r>
      <w:proofErr w:type="spellStart"/>
      <w:r w:rsidR="003C5885">
        <w:t>advise</w:t>
      </w:r>
      <w:proofErr w:type="spellEnd"/>
      <w:r w:rsidR="003C5885">
        <w:t xml:space="preserve"> and counsel</w:t>
      </w:r>
      <w:r>
        <w:t xml:space="preserve"> the President in the performance of his or her functions and to require either of them to engage with a request from the Commissioner, and thereafter</w:t>
      </w:r>
      <w:r w:rsidR="0065674E">
        <w:t xml:space="preserve"> to permit the invocation of </w:t>
      </w:r>
      <w:r>
        <w:t xml:space="preserve">court scrutiny of that request by the various means available from the </w:t>
      </w:r>
      <w:r w:rsidR="00591C14">
        <w:t>AIE Regulations</w:t>
      </w:r>
      <w:r>
        <w:t xml:space="preserve">, would involve </w:t>
      </w:r>
      <w:r w:rsidR="0065674E">
        <w:t xml:space="preserve">scrutiny of </w:t>
      </w:r>
      <w:r>
        <w:t xml:space="preserve">an answer by those bodies </w:t>
      </w:r>
      <w:r w:rsidR="00CA13DB">
        <w:lastRenderedPageBreak/>
        <w:t xml:space="preserve">who act at all times </w:t>
      </w:r>
      <w:r>
        <w:t xml:space="preserve">on behalf of the President.  The </w:t>
      </w:r>
      <w:r w:rsidR="001531A7">
        <w:t>S</w:t>
      </w:r>
      <w:r>
        <w:t>ecretary</w:t>
      </w:r>
      <w:r w:rsidR="002357B1">
        <w:t xml:space="preserve"> General to the President</w:t>
      </w:r>
      <w:r>
        <w:t xml:space="preserve"> cannot be said to hold papers on his or her own personal behalf but does so </w:t>
      </w:r>
      <w:r w:rsidR="00AC0168">
        <w:t xml:space="preserve">in the course of </w:t>
      </w:r>
      <w:r>
        <w:t xml:space="preserve">assisting the President in the performance of his </w:t>
      </w:r>
      <w:r w:rsidR="00BB4EA8">
        <w:t xml:space="preserve">or her </w:t>
      </w:r>
      <w:r>
        <w:t>duties.  The Council of State equally has no independent existence</w:t>
      </w:r>
      <w:r w:rsidR="00591C14">
        <w:t xml:space="preserve">, </w:t>
      </w:r>
      <w:r>
        <w:t xml:space="preserve">and it </w:t>
      </w:r>
      <w:r w:rsidR="001531A7">
        <w:t xml:space="preserve">has the constitutional role of advising and </w:t>
      </w:r>
      <w:r>
        <w:t xml:space="preserve">the President at his request to </w:t>
      </w:r>
      <w:r w:rsidR="003C5885">
        <w:t>“</w:t>
      </w:r>
      <w:r>
        <w:t>a</w:t>
      </w:r>
      <w:r w:rsidR="003C5885">
        <w:t>id</w:t>
      </w:r>
      <w:r>
        <w:t xml:space="preserve"> </w:t>
      </w:r>
      <w:r w:rsidR="001531A7">
        <w:t>and counsel</w:t>
      </w:r>
      <w:r w:rsidR="003C5885">
        <w:t>”</w:t>
      </w:r>
      <w:r w:rsidR="001531A7">
        <w:t xml:space="preserve"> </w:t>
      </w:r>
      <w:r>
        <w:t xml:space="preserve">the President in the performance of his </w:t>
      </w:r>
      <w:r w:rsidR="00BB4EA8">
        <w:t xml:space="preserve">or her </w:t>
      </w:r>
      <w:r>
        <w:t>functions.  It has no separate or independent function</w:t>
      </w:r>
      <w:r w:rsidR="00A22F2A">
        <w:t xml:space="preserve"> by which it would </w:t>
      </w:r>
      <w:r w:rsidR="003C5885">
        <w:t xml:space="preserve">independently </w:t>
      </w:r>
      <w:r w:rsidR="00A22F2A">
        <w:t>hold information that might be the subject of a request for disclosure</w:t>
      </w:r>
      <w:r>
        <w:t xml:space="preserve">.  </w:t>
      </w:r>
    </w:p>
    <w:p w14:paraId="7238B6C7" w14:textId="28F909C1" w:rsidR="00E0422B" w:rsidRPr="00E0422B" w:rsidRDefault="00CB1E75" w:rsidP="006B7C6F">
      <w:pPr>
        <w:numPr>
          <w:ilvl w:val="0"/>
          <w:numId w:val="1"/>
        </w:numPr>
        <w:spacing w:line="480" w:lineRule="auto"/>
        <w:ind w:left="0" w:firstLine="0"/>
        <w:jc w:val="both"/>
        <w:rPr>
          <w:b/>
          <w:u w:val="single"/>
        </w:rPr>
      </w:pPr>
      <w:r>
        <w:t xml:space="preserve">This proposition is apparent </w:t>
      </w:r>
      <w:r w:rsidR="00A22F2A">
        <w:t>not only fr</w:t>
      </w:r>
      <w:r w:rsidR="00D1679E">
        <w:t>o</w:t>
      </w:r>
      <w:r w:rsidR="00A22F2A">
        <w:t>m the general principle that the immunity may not be avoi</w:t>
      </w:r>
      <w:r w:rsidR="00D1679E">
        <w:t>d</w:t>
      </w:r>
      <w:r w:rsidR="000F382D">
        <w:t>e</w:t>
      </w:r>
      <w:r w:rsidR="00A22F2A">
        <w:t>d by a collateral request</w:t>
      </w:r>
      <w:r w:rsidR="000F382D">
        <w:t>,</w:t>
      </w:r>
      <w:r w:rsidR="00A22F2A">
        <w:t xml:space="preserve"> but also </w:t>
      </w:r>
      <w:r>
        <w:t xml:space="preserve">from the language of the constitutional provision </w:t>
      </w:r>
      <w:r w:rsidR="00A22F2A">
        <w:t xml:space="preserve">which provides a broad </w:t>
      </w:r>
      <w:r>
        <w:t xml:space="preserve">immunity </w:t>
      </w:r>
      <w:r w:rsidR="00A22F2A">
        <w:t xml:space="preserve">including </w:t>
      </w:r>
      <w:r>
        <w:t xml:space="preserve">for acts “purporting” to be done by the President and extends the reach of the immunity to acts which are not directly and personally done by the President but </w:t>
      </w:r>
      <w:r w:rsidR="00BB4EA8">
        <w:t xml:space="preserve">to those </w:t>
      </w:r>
      <w:r>
        <w:t>done by or on behalf of the President.</w:t>
      </w:r>
    </w:p>
    <w:p w14:paraId="04C8DDFE" w14:textId="45540B36" w:rsidR="00E0422B" w:rsidRPr="00E0422B" w:rsidRDefault="00E0422B" w:rsidP="00E0422B">
      <w:pPr>
        <w:numPr>
          <w:ilvl w:val="0"/>
          <w:numId w:val="1"/>
        </w:numPr>
        <w:spacing w:line="480" w:lineRule="auto"/>
        <w:ind w:left="0" w:firstLine="0"/>
        <w:jc w:val="both"/>
        <w:rPr>
          <w:b/>
          <w:u w:val="single"/>
        </w:rPr>
      </w:pPr>
      <w:r>
        <w:t xml:space="preserve">It is also apparent </w:t>
      </w:r>
      <w:r w:rsidR="002357B1">
        <w:t>f</w:t>
      </w:r>
      <w:r>
        <w:t xml:space="preserve">rom the fact that the Constitution provides that the only method of </w:t>
      </w:r>
      <w:r w:rsidR="002357B1">
        <w:t xml:space="preserve">reviewing </w:t>
      </w:r>
      <w:r>
        <w:t>the President</w:t>
      </w:r>
      <w:r w:rsidR="002357B1">
        <w:t>’s</w:t>
      </w:r>
      <w:r>
        <w:t xml:space="preserve"> conduct is under Article 13.8.2</w:t>
      </w:r>
      <w:r w:rsidR="00455DF0">
        <w:rPr>
          <w:rFonts w:ascii="Arial" w:hAnsi="Arial" w:cs="Arial"/>
          <w:color w:val="666666"/>
          <w:sz w:val="21"/>
          <w:szCs w:val="21"/>
          <w:shd w:val="clear" w:color="auto" w:fill="FFFFFF"/>
        </w:rPr>
        <w:t>°.</w:t>
      </w:r>
    </w:p>
    <w:p w14:paraId="634E80F4" w14:textId="72F2550B" w:rsidR="001531A7" w:rsidRDefault="00BB4EA8" w:rsidP="00E0422B">
      <w:pPr>
        <w:numPr>
          <w:ilvl w:val="0"/>
          <w:numId w:val="1"/>
        </w:numPr>
        <w:spacing w:line="480" w:lineRule="auto"/>
        <w:ind w:left="0" w:firstLine="0"/>
        <w:jc w:val="both"/>
      </w:pPr>
      <w:r>
        <w:t>In summary,</w:t>
      </w:r>
      <w:r w:rsidR="00591C14">
        <w:t xml:space="preserve"> and</w:t>
      </w:r>
      <w:r>
        <w:t xml:space="preserve"> as already </w:t>
      </w:r>
      <w:r w:rsidR="00EE3D74">
        <w:t>noted</w:t>
      </w:r>
      <w:r>
        <w:t>,</w:t>
      </w:r>
      <w:r w:rsidR="00EE3D74">
        <w:t xml:space="preserve"> no request was made directly to the President for the documents or information.  Nonetheless, the request was made to his </w:t>
      </w:r>
      <w:r w:rsidR="001531A7">
        <w:t>S</w:t>
      </w:r>
      <w:r w:rsidR="00EE3D74">
        <w:t>ecretary</w:t>
      </w:r>
      <w:r w:rsidR="002357B1">
        <w:t xml:space="preserve"> General</w:t>
      </w:r>
      <w:r w:rsidR="001531A7">
        <w:t>,</w:t>
      </w:r>
      <w:r w:rsidR="00EE3D74">
        <w:t xml:space="preserve"> and because of the view that I take that the </w:t>
      </w:r>
      <w:r w:rsidR="00181679">
        <w:t>S</w:t>
      </w:r>
      <w:r w:rsidR="00EE3D74">
        <w:t>ecretary</w:t>
      </w:r>
      <w:r w:rsidR="002357B1">
        <w:t xml:space="preserve"> General</w:t>
      </w:r>
      <w:r w:rsidR="00EE3D74">
        <w:t xml:space="preserve"> to the President is a person and not a corporation sole or statutory office with separate legal personality</w:t>
      </w:r>
      <w:r w:rsidR="001531A7">
        <w:t>,</w:t>
      </w:r>
      <w:r w:rsidR="00EE3D74">
        <w:t xml:space="preserve"> the request must be one which was in truth made to the President himself</w:t>
      </w:r>
      <w:r w:rsidR="000F382D">
        <w:t>.  I</w:t>
      </w:r>
      <w:r w:rsidR="00EE3D74">
        <w:t xml:space="preserve">t had the function of seeking to compel the President through his </w:t>
      </w:r>
      <w:r w:rsidR="001531A7">
        <w:t>S</w:t>
      </w:r>
      <w:r w:rsidR="00EE3D74">
        <w:t>ecretary</w:t>
      </w:r>
      <w:r w:rsidR="00C7019E">
        <w:t xml:space="preserve"> </w:t>
      </w:r>
      <w:r w:rsidR="002357B1">
        <w:t>General</w:t>
      </w:r>
      <w:r w:rsidR="00EE3D74">
        <w:t xml:space="preserve"> to furnish those documents and information.  </w:t>
      </w:r>
    </w:p>
    <w:p w14:paraId="744FB5B3" w14:textId="0ABBD68E" w:rsidR="00EE3D74" w:rsidRDefault="001531A7" w:rsidP="00E0422B">
      <w:pPr>
        <w:numPr>
          <w:ilvl w:val="0"/>
          <w:numId w:val="1"/>
        </w:numPr>
        <w:spacing w:line="480" w:lineRule="auto"/>
        <w:ind w:left="0" w:firstLine="0"/>
        <w:jc w:val="both"/>
      </w:pPr>
      <w:r>
        <w:t>Equally, a</w:t>
      </w:r>
      <w:r w:rsidR="00EE3D74">
        <w:t xml:space="preserve"> request for information or documentation under the </w:t>
      </w:r>
      <w:r w:rsidR="00117611">
        <w:t xml:space="preserve">AIE </w:t>
      </w:r>
      <w:r w:rsidR="00EE3D74">
        <w:t xml:space="preserve">Regulations cannot be made to the Council of State </w:t>
      </w:r>
      <w:r>
        <w:t xml:space="preserve">as this is </w:t>
      </w:r>
      <w:r w:rsidR="00DB2E5B">
        <w:t>also</w:t>
      </w:r>
      <w:r>
        <w:t xml:space="preserve"> in substance a request to the </w:t>
      </w:r>
      <w:r w:rsidR="00DB2E5B">
        <w:t>President</w:t>
      </w:r>
      <w:r>
        <w:t xml:space="preserve"> and a request thus framed cannot be entertained</w:t>
      </w:r>
      <w:r w:rsidR="00DB2E5B">
        <w:t>,</w:t>
      </w:r>
      <w:r>
        <w:t xml:space="preserve"> as </w:t>
      </w:r>
      <w:r w:rsidR="00A30D25">
        <w:t>it</w:t>
      </w:r>
      <w:r w:rsidR="00EE3D74">
        <w:t xml:space="preserve"> </w:t>
      </w:r>
      <w:r>
        <w:t xml:space="preserve">has as its effect, or purpose, the </w:t>
      </w:r>
      <w:r w:rsidR="00EE3D74">
        <w:t>circumvent</w:t>
      </w:r>
      <w:r>
        <w:t>ion of</w:t>
      </w:r>
      <w:r w:rsidR="00EE3D74">
        <w:t xml:space="preserve"> the presidential immunity.</w:t>
      </w:r>
    </w:p>
    <w:p w14:paraId="4B83B333" w14:textId="273D137E" w:rsidR="0088142F" w:rsidRPr="00A30D25" w:rsidRDefault="0088142F" w:rsidP="0088142F">
      <w:pPr>
        <w:numPr>
          <w:ilvl w:val="0"/>
          <w:numId w:val="1"/>
        </w:numPr>
        <w:spacing w:line="480" w:lineRule="auto"/>
        <w:ind w:left="0" w:firstLine="0"/>
        <w:jc w:val="both"/>
      </w:pPr>
      <w:r>
        <w:lastRenderedPageBreak/>
        <w:t xml:space="preserve">It will be necessary to return to </w:t>
      </w:r>
      <w:r w:rsidR="005C2725">
        <w:t>E</w:t>
      </w:r>
      <w:r w:rsidR="000F382D">
        <w:t>U</w:t>
      </w:r>
      <w:r>
        <w:t xml:space="preserve"> law later in this judgment, but the </w:t>
      </w:r>
      <w:r w:rsidR="005C2725">
        <w:t>proposition</w:t>
      </w:r>
      <w:r>
        <w:t xml:space="preserve"> that a</w:t>
      </w:r>
      <w:r w:rsidR="005C2725">
        <w:t xml:space="preserve"> request for information that </w:t>
      </w:r>
      <w:r>
        <w:t>indirect</w:t>
      </w:r>
      <w:r w:rsidR="005C2725">
        <w:t>ly has the effect of compelling compliance by an excluded body may be impermissible is</w:t>
      </w:r>
      <w:r w:rsidR="00181679">
        <w:t xml:space="preserve"> also</w:t>
      </w:r>
      <w:r w:rsidR="005C2725">
        <w:t xml:space="preserve"> found in</w:t>
      </w:r>
      <w:r w:rsidR="00181679">
        <w:t xml:space="preserve"> the jurisprudence of the</w:t>
      </w:r>
      <w:r w:rsidR="005C2725">
        <w:t xml:space="preserve"> CJEU. </w:t>
      </w:r>
      <w:r>
        <w:t xml:space="preserve"> </w:t>
      </w:r>
      <w:r w:rsidRPr="001F4132">
        <w:t xml:space="preserve">The decision of the CJEU in </w:t>
      </w:r>
      <w:r w:rsidR="00883FC2">
        <w:t xml:space="preserve">C-204/09, </w:t>
      </w:r>
      <w:proofErr w:type="spellStart"/>
      <w:r w:rsidRPr="001F4132">
        <w:rPr>
          <w:i/>
        </w:rPr>
        <w:t>Flachglas</w:t>
      </w:r>
      <w:proofErr w:type="spellEnd"/>
      <w:r w:rsidRPr="001F4132">
        <w:rPr>
          <w:i/>
        </w:rPr>
        <w:t xml:space="preserve"> </w:t>
      </w:r>
      <w:proofErr w:type="spellStart"/>
      <w:r w:rsidRPr="001F4132">
        <w:rPr>
          <w:i/>
        </w:rPr>
        <w:t>Torgau</w:t>
      </w:r>
      <w:proofErr w:type="spellEnd"/>
      <w:r w:rsidRPr="001F4132">
        <w:rPr>
          <w:i/>
        </w:rPr>
        <w:t xml:space="preserve"> GmbH v</w:t>
      </w:r>
      <w:r w:rsidR="000F382D">
        <w:rPr>
          <w:i/>
        </w:rPr>
        <w:t>.</w:t>
      </w:r>
      <w:r w:rsidRPr="001F4132">
        <w:rPr>
          <w:i/>
        </w:rPr>
        <w:t xml:space="preserve"> Germany</w:t>
      </w:r>
      <w:r w:rsidR="00883FC2">
        <w:rPr>
          <w:i/>
        </w:rPr>
        <w:t xml:space="preserve">, </w:t>
      </w:r>
      <w:r w:rsidR="00883FC2" w:rsidRPr="00587C50">
        <w:rPr>
          <w:iCs/>
        </w:rPr>
        <w:t>ECLI:EU:C:2012:71</w:t>
      </w:r>
      <w:r w:rsidR="00883FC2">
        <w:t xml:space="preserve"> </w:t>
      </w:r>
      <w:r w:rsidRPr="001F4132">
        <w:t>concerned the scope of the exemption under Article 2(</w:t>
      </w:r>
      <w:r>
        <w:t xml:space="preserve">2) of the </w:t>
      </w:r>
      <w:r w:rsidR="000F382D">
        <w:t xml:space="preserve">AIE </w:t>
      </w:r>
      <w:r>
        <w:t xml:space="preserve">Directive in regard to institutions acting in a “legislative capacity”. </w:t>
      </w:r>
      <w:r w:rsidR="00A30D25">
        <w:t xml:space="preserve"> </w:t>
      </w:r>
      <w:r>
        <w:t xml:space="preserve">The question that arose there concerned </w:t>
      </w:r>
      <w:r w:rsidR="00BF7C3D" w:rsidRPr="00587C50">
        <w:rPr>
          <w:i/>
          <w:iCs/>
        </w:rPr>
        <w:t>inter alia</w:t>
      </w:r>
      <w:r w:rsidR="00BF7C3D">
        <w:t xml:space="preserve"> an </w:t>
      </w:r>
      <w:r w:rsidR="006116B5">
        <w:t>argument</w:t>
      </w:r>
      <w:r w:rsidR="00BF7C3D">
        <w:t xml:space="preserve"> that the request for information might interrupt the legislative process</w:t>
      </w:r>
      <w:r w:rsidR="006116B5">
        <w:t xml:space="preserve">, and whether the executive branch was exercising a legislative function or </w:t>
      </w:r>
      <w:r w:rsidR="00B11796">
        <w:t xml:space="preserve">a function </w:t>
      </w:r>
      <w:r w:rsidR="006116B5" w:rsidRPr="006116B5">
        <w:t>“</w:t>
      </w:r>
      <w:r w:rsidR="006116B5" w:rsidRPr="005C6F6B">
        <w:t>at the interface between executive and legislative activity”</w:t>
      </w:r>
      <w:r w:rsidR="00BF7C3D">
        <w:t xml:space="preserve">. </w:t>
      </w:r>
      <w:r w:rsidR="00A30D25">
        <w:t xml:space="preserve">On this point, </w:t>
      </w:r>
      <w:r>
        <w:t xml:space="preserve">Advocate </w:t>
      </w:r>
      <w:r w:rsidRPr="00A30D25">
        <w:t xml:space="preserve">General </w:t>
      </w:r>
      <w:proofErr w:type="spellStart"/>
      <w:r w:rsidR="00A30D25" w:rsidRPr="00587C50">
        <w:t>Sharpston</w:t>
      </w:r>
      <w:proofErr w:type="spellEnd"/>
      <w:r w:rsidR="00A30D25" w:rsidRPr="00587C50">
        <w:t xml:space="preserve"> stated</w:t>
      </w:r>
      <w:r w:rsidR="00883FC2">
        <w:t xml:space="preserve"> at para. 60 </w:t>
      </w:r>
      <w:r w:rsidR="00883FC2">
        <w:rPr>
          <w:i/>
          <w:iCs/>
        </w:rPr>
        <w:t>et seq.</w:t>
      </w:r>
      <w:r w:rsidRPr="00A30D25">
        <w:t>:</w:t>
      </w:r>
    </w:p>
    <w:p w14:paraId="11759A4D" w14:textId="4ABFBE2B" w:rsidR="0088142F" w:rsidRDefault="0088142F" w:rsidP="00BF7C3D">
      <w:pPr>
        <w:spacing w:line="480" w:lineRule="auto"/>
        <w:ind w:left="720"/>
        <w:jc w:val="both"/>
      </w:pPr>
      <w:r>
        <w:t>“</w:t>
      </w:r>
      <w:r w:rsidRPr="004226A1">
        <w:t>60</w:t>
      </w:r>
      <w:r w:rsidRPr="006B7C6F">
        <w:rPr>
          <w:b/>
        </w:rPr>
        <w:t xml:space="preserve">. </w:t>
      </w:r>
      <w:r w:rsidRPr="004226A1">
        <w:t>Yet, although the two functions can clearly be seen, it is impossible to separate them, at least in the context and during the course of the legislative process proper, from submission of the draft measure to final enactment of the legislation. They are, in that context, two sides of the same coin.</w:t>
      </w:r>
    </w:p>
    <w:p w14:paraId="67AD47DF" w14:textId="77777777" w:rsidR="0088142F" w:rsidRDefault="0088142F" w:rsidP="0088142F">
      <w:pPr>
        <w:spacing w:line="480" w:lineRule="auto"/>
        <w:ind w:left="720"/>
        <w:jc w:val="both"/>
      </w:pPr>
      <w:r w:rsidRPr="004226A1">
        <w:t>61. Consequently, it seems to me, the concern to ensure that the legislative process takes place without disruption must prevail in that context, or the very purpose of the exclusion would be frustrated. The conduct of the procedure would not be protected by an exclusion which applied to only one route of access to information (a request to the legislature itself) while another route (a request to the relevant part of the executive) remained open.</w:t>
      </w:r>
      <w:r>
        <w:t>”</w:t>
      </w:r>
    </w:p>
    <w:p w14:paraId="1B32F3DD" w14:textId="2334AF9B" w:rsidR="0088142F" w:rsidRDefault="00C046CE" w:rsidP="005C6F6B">
      <w:pPr>
        <w:numPr>
          <w:ilvl w:val="0"/>
          <w:numId w:val="1"/>
        </w:numPr>
        <w:spacing w:line="480" w:lineRule="auto"/>
        <w:ind w:left="0" w:firstLine="0"/>
        <w:jc w:val="both"/>
      </w:pPr>
      <w:r>
        <w:t xml:space="preserve">The </w:t>
      </w:r>
      <w:r w:rsidR="00B11796">
        <w:t>CJEU</w:t>
      </w:r>
      <w:r>
        <w:t xml:space="preserve"> rejected a narrow interpretation of the meaning of “legislative function” in the AIE Directive and proposed that the exemption be considered to apply to “consultation and advice during the course of the legislative process” although two functions could “clearly be seen”.  They could not be separated “in the context and during the course of the legislative process proper”.  </w:t>
      </w:r>
      <w:r w:rsidR="0088142F">
        <w:t xml:space="preserve">The Court adopted </w:t>
      </w:r>
      <w:r>
        <w:t>a</w:t>
      </w:r>
      <w:r w:rsidR="0088142F">
        <w:t xml:space="preserve"> “functional interpretation of the phrase” </w:t>
      </w:r>
      <w:r>
        <w:t xml:space="preserve">and </w:t>
      </w:r>
      <w:r w:rsidR="0088142F">
        <w:t>associated those ancillary powers with the legislative process itself.</w:t>
      </w:r>
    </w:p>
    <w:p w14:paraId="4592878C" w14:textId="6322C57F" w:rsidR="00C046CE" w:rsidRDefault="00C046CE" w:rsidP="00EE3D74">
      <w:pPr>
        <w:numPr>
          <w:ilvl w:val="0"/>
          <w:numId w:val="1"/>
        </w:numPr>
        <w:spacing w:line="480" w:lineRule="auto"/>
        <w:ind w:left="0" w:firstLine="0"/>
        <w:jc w:val="both"/>
      </w:pPr>
      <w:r>
        <w:lastRenderedPageBreak/>
        <w:t xml:space="preserve">The same must be said of domestic provisions and is </w:t>
      </w:r>
      <w:r w:rsidR="006674C0">
        <w:t xml:space="preserve">mirrored </w:t>
      </w:r>
      <w:r>
        <w:t xml:space="preserve">in the jurisprudence </w:t>
      </w:r>
      <w:r w:rsidR="006674C0">
        <w:t xml:space="preserve">concerning an impermissible collateral process </w:t>
      </w:r>
      <w:r w:rsidR="00BB4EA8">
        <w:t xml:space="preserve">as outlined </w:t>
      </w:r>
      <w:r>
        <w:t>above</w:t>
      </w:r>
      <w:r w:rsidR="003F2E68">
        <w:t xml:space="preserve">. </w:t>
      </w:r>
      <w:r w:rsidR="00117611">
        <w:t xml:space="preserve"> </w:t>
      </w:r>
      <w:r w:rsidR="006674C0">
        <w:t>It is not correct to separate the powers of the Council of S</w:t>
      </w:r>
      <w:r w:rsidR="004223FE">
        <w:t>t</w:t>
      </w:r>
      <w:r w:rsidR="006674C0">
        <w:t xml:space="preserve">ate or the </w:t>
      </w:r>
      <w:r w:rsidR="004223FE">
        <w:t>S</w:t>
      </w:r>
      <w:r w:rsidR="006674C0">
        <w:t xml:space="preserve">ecretary </w:t>
      </w:r>
      <w:r w:rsidR="002357B1">
        <w:t xml:space="preserve">General </w:t>
      </w:r>
      <w:r w:rsidR="006674C0">
        <w:t xml:space="preserve">to the </w:t>
      </w:r>
      <w:r w:rsidR="004223FE">
        <w:t>P</w:t>
      </w:r>
      <w:r w:rsidR="006674C0">
        <w:t xml:space="preserve">resident from the powers vested in the President by the Constitution. </w:t>
      </w:r>
    </w:p>
    <w:p w14:paraId="1A2A5DF3" w14:textId="63B7C0B5" w:rsidR="00B95AE7" w:rsidRDefault="00C046CE" w:rsidP="00EE3D74">
      <w:pPr>
        <w:numPr>
          <w:ilvl w:val="0"/>
          <w:numId w:val="1"/>
        </w:numPr>
        <w:spacing w:line="480" w:lineRule="auto"/>
        <w:ind w:left="0" w:firstLine="0"/>
        <w:jc w:val="both"/>
      </w:pPr>
      <w:r>
        <w:t xml:space="preserve">Accordingly, </w:t>
      </w:r>
      <w:r w:rsidR="00B95AE7">
        <w:t xml:space="preserve">I conclude that the </w:t>
      </w:r>
      <w:r w:rsidR="00043768">
        <w:t>Commissioner</w:t>
      </w:r>
      <w:r w:rsidR="00B95AE7">
        <w:t xml:space="preserve"> was correct that the </w:t>
      </w:r>
      <w:r w:rsidR="00A268AA">
        <w:t>President’s</w:t>
      </w:r>
      <w:r w:rsidR="00B95AE7">
        <w:t xml:space="preserve"> immunity from Art</w:t>
      </w:r>
      <w:r w:rsidR="00B11796">
        <w:t>icle</w:t>
      </w:r>
      <w:r w:rsidR="00B95AE7">
        <w:t xml:space="preserve"> 13.8.1</w:t>
      </w:r>
      <w:r w:rsidR="00117611">
        <w:rPr>
          <w:rFonts w:ascii="Arial" w:hAnsi="Arial" w:cs="Arial"/>
          <w:color w:val="666666"/>
          <w:sz w:val="21"/>
          <w:szCs w:val="21"/>
          <w:shd w:val="clear" w:color="auto" w:fill="FFFFFF"/>
        </w:rPr>
        <w:t>°</w:t>
      </w:r>
      <w:r w:rsidR="00B95AE7">
        <w:t xml:space="preserve"> is such as to preclude the </w:t>
      </w:r>
      <w:r w:rsidR="00A268AA">
        <w:t>request</w:t>
      </w:r>
      <w:r w:rsidR="00B95AE7">
        <w:t xml:space="preserve"> to the </w:t>
      </w:r>
      <w:r w:rsidR="00A268AA">
        <w:t>President</w:t>
      </w:r>
      <w:r w:rsidR="00B95AE7">
        <w:t xml:space="preserve"> or, because this would be an indirect </w:t>
      </w:r>
      <w:r w:rsidR="00A268AA">
        <w:t>means</w:t>
      </w:r>
      <w:r w:rsidR="00B95AE7">
        <w:t xml:space="preserve"> of making a </w:t>
      </w:r>
      <w:r w:rsidR="00A268AA">
        <w:t>request</w:t>
      </w:r>
      <w:r w:rsidR="00B95AE7">
        <w:t xml:space="preserve"> to the </w:t>
      </w:r>
      <w:r w:rsidR="00A268AA">
        <w:t>President</w:t>
      </w:r>
      <w:r w:rsidR="00B95AE7">
        <w:t xml:space="preserve">, </w:t>
      </w:r>
      <w:r w:rsidR="00A268AA">
        <w:t xml:space="preserve">a request to his </w:t>
      </w:r>
      <w:r w:rsidR="002357B1">
        <w:t>S</w:t>
      </w:r>
      <w:r w:rsidR="00A268AA">
        <w:t>ecretary</w:t>
      </w:r>
      <w:r w:rsidR="002357B1">
        <w:t xml:space="preserve"> General</w:t>
      </w:r>
      <w:r w:rsidR="00A268AA">
        <w:t xml:space="preserve"> or to the Council of State </w:t>
      </w:r>
      <w:r w:rsidR="00B95AE7">
        <w:t xml:space="preserve">for the </w:t>
      </w:r>
      <w:r w:rsidR="00A268AA">
        <w:t>release</w:t>
      </w:r>
      <w:r w:rsidR="00B95AE7">
        <w:t xml:space="preserve"> of the information.  The High </w:t>
      </w:r>
      <w:r w:rsidR="003F2E68">
        <w:t>C</w:t>
      </w:r>
      <w:r w:rsidR="00B95AE7">
        <w:t xml:space="preserve">ourt was in </w:t>
      </w:r>
      <w:r w:rsidR="00A268AA">
        <w:t>error</w:t>
      </w:r>
      <w:r w:rsidR="00B95AE7">
        <w:t xml:space="preserve"> in coming to the view that the </w:t>
      </w:r>
      <w:r w:rsidR="00BB4EA8">
        <w:t xml:space="preserve">response to </w:t>
      </w:r>
      <w:r w:rsidR="00117611">
        <w:t xml:space="preserve">the </w:t>
      </w:r>
      <w:r w:rsidR="00B95AE7">
        <w:t xml:space="preserve">first request could </w:t>
      </w:r>
      <w:r w:rsidR="00BB4EA8">
        <w:t xml:space="preserve">be reviewed by </w:t>
      </w:r>
      <w:r w:rsidR="00B95AE7">
        <w:t xml:space="preserve">the </w:t>
      </w:r>
      <w:r w:rsidR="00A268AA">
        <w:t>Commissioner</w:t>
      </w:r>
      <w:r w:rsidR="00B95AE7">
        <w:t xml:space="preserve"> and also </w:t>
      </w:r>
      <w:r w:rsidR="00A268AA">
        <w:t>incorrect</w:t>
      </w:r>
      <w:r w:rsidR="00B95AE7">
        <w:t xml:space="preserve"> in the approach taken to the </w:t>
      </w:r>
      <w:r w:rsidR="00A268AA">
        <w:t>request</w:t>
      </w:r>
      <w:r w:rsidR="00B95AE7">
        <w:t xml:space="preserve"> to the </w:t>
      </w:r>
      <w:r w:rsidR="00BB4EA8">
        <w:t>C</w:t>
      </w:r>
      <w:r w:rsidR="00B95AE7">
        <w:t xml:space="preserve">ouncil of </w:t>
      </w:r>
      <w:r w:rsidR="00A268AA">
        <w:t>State</w:t>
      </w:r>
      <w:r w:rsidR="00B95AE7">
        <w:t>.  The Council of S</w:t>
      </w:r>
      <w:r w:rsidR="00A268AA">
        <w:t>t</w:t>
      </w:r>
      <w:r w:rsidR="00B95AE7">
        <w:t xml:space="preserve">ate is </w:t>
      </w:r>
      <w:r w:rsidR="00A268AA">
        <w:t>excluded</w:t>
      </w:r>
      <w:r w:rsidR="00B95AE7">
        <w:t xml:space="preserve"> f</w:t>
      </w:r>
      <w:r w:rsidR="00A268AA">
        <w:t>ro</w:t>
      </w:r>
      <w:r w:rsidR="00B95AE7">
        <w:t>m</w:t>
      </w:r>
      <w:r w:rsidR="006E363B">
        <w:t xml:space="preserve"> such</w:t>
      </w:r>
      <w:r w:rsidR="00B95AE7">
        <w:t xml:space="preserve"> </w:t>
      </w:r>
      <w:r w:rsidR="00A268AA">
        <w:t>requests</w:t>
      </w:r>
      <w:r w:rsidR="00B95AE7">
        <w:t xml:space="preserve"> </w:t>
      </w:r>
      <w:r w:rsidR="00BB4EA8">
        <w:t xml:space="preserve">not </w:t>
      </w:r>
      <w:r w:rsidR="00A268AA">
        <w:t>because</w:t>
      </w:r>
      <w:r w:rsidR="00B95AE7">
        <w:t xml:space="preserve"> it </w:t>
      </w:r>
      <w:r w:rsidR="00A268AA">
        <w:t>engages</w:t>
      </w:r>
      <w:r w:rsidR="00117611">
        <w:t xml:space="preserve"> </w:t>
      </w:r>
      <w:r w:rsidR="00B95AE7">
        <w:t xml:space="preserve">or assists the </w:t>
      </w:r>
      <w:r w:rsidR="00A268AA">
        <w:t>engagement</w:t>
      </w:r>
      <w:r w:rsidR="00B95AE7">
        <w:t xml:space="preserve"> by the </w:t>
      </w:r>
      <w:r w:rsidR="00A268AA">
        <w:t>President</w:t>
      </w:r>
      <w:r w:rsidR="00B95AE7">
        <w:t xml:space="preserve"> in </w:t>
      </w:r>
      <w:r w:rsidR="003F2E68">
        <w:t xml:space="preserve">a </w:t>
      </w:r>
      <w:r w:rsidR="00A268AA">
        <w:t>legislative</w:t>
      </w:r>
      <w:r w:rsidR="00B95AE7">
        <w:t xml:space="preserve"> function, but</w:t>
      </w:r>
      <w:r w:rsidR="004223FE">
        <w:t xml:space="preserve"> rather</w:t>
      </w:r>
      <w:r w:rsidR="00B95AE7">
        <w:t xml:space="preserve"> because the Council of State is a body that acts under and by the </w:t>
      </w:r>
      <w:r w:rsidR="00A268AA">
        <w:t>direction</w:t>
      </w:r>
      <w:r w:rsidR="00B95AE7">
        <w:t xml:space="preserve"> of the </w:t>
      </w:r>
      <w:r w:rsidR="00A268AA">
        <w:t>President</w:t>
      </w:r>
      <w:r w:rsidR="00B95AE7">
        <w:t xml:space="preserve"> a</w:t>
      </w:r>
      <w:r w:rsidR="00A268AA">
        <w:t>nd</w:t>
      </w:r>
      <w:r w:rsidR="00B95AE7">
        <w:t xml:space="preserve"> it could not </w:t>
      </w:r>
      <w:r w:rsidR="00A268AA">
        <w:t>independently</w:t>
      </w:r>
      <w:r w:rsidR="00B95AE7">
        <w:t xml:space="preserve"> hold </w:t>
      </w:r>
      <w:r w:rsidR="00A268AA">
        <w:t>information</w:t>
      </w:r>
      <w:r w:rsidR="00B95AE7">
        <w:t xml:space="preserve"> nor </w:t>
      </w:r>
      <w:r w:rsidR="00A268AA">
        <w:t>decide</w:t>
      </w:r>
      <w:r w:rsidR="00B95AE7">
        <w:t xml:space="preserve"> to </w:t>
      </w:r>
      <w:r w:rsidR="00A268AA">
        <w:t>furnish</w:t>
      </w:r>
      <w:r w:rsidR="00B95AE7">
        <w:t xml:space="preserve"> the information </w:t>
      </w:r>
      <w:r w:rsidR="00A268AA">
        <w:t>sought</w:t>
      </w:r>
      <w:r w:rsidR="00B95AE7">
        <w:t xml:space="preserve">. </w:t>
      </w:r>
    </w:p>
    <w:p w14:paraId="08B0EE1F" w14:textId="288B420C" w:rsidR="003C6985" w:rsidRDefault="00B95AE7" w:rsidP="00DB2E5B">
      <w:pPr>
        <w:numPr>
          <w:ilvl w:val="0"/>
          <w:numId w:val="1"/>
        </w:numPr>
        <w:spacing w:line="480" w:lineRule="auto"/>
        <w:ind w:left="0" w:firstLine="0"/>
        <w:jc w:val="both"/>
      </w:pPr>
      <w:r>
        <w:t xml:space="preserve">In both cases the </w:t>
      </w:r>
      <w:r w:rsidR="00A268AA">
        <w:t>request</w:t>
      </w:r>
      <w:r>
        <w:t xml:space="preserve"> was an indirect </w:t>
      </w:r>
      <w:r w:rsidR="00A268AA">
        <w:t>means</w:t>
      </w:r>
      <w:r>
        <w:t xml:space="preserve"> of </w:t>
      </w:r>
      <w:r w:rsidR="00A268AA">
        <w:t>requiring</w:t>
      </w:r>
      <w:r>
        <w:t xml:space="preserve"> information f</w:t>
      </w:r>
      <w:r w:rsidR="00A268AA">
        <w:t>ro</w:t>
      </w:r>
      <w:r>
        <w:t xml:space="preserve">m the </w:t>
      </w:r>
      <w:r w:rsidR="00A268AA">
        <w:t>President</w:t>
      </w:r>
      <w:r>
        <w:t xml:space="preserve"> personally, and this is not </w:t>
      </w:r>
      <w:r w:rsidR="00A268AA">
        <w:t xml:space="preserve">permissible </w:t>
      </w:r>
      <w:r>
        <w:t xml:space="preserve">as a matter of </w:t>
      </w:r>
      <w:r w:rsidR="00A268AA">
        <w:t>constitutional</w:t>
      </w:r>
      <w:r>
        <w:t xml:space="preserve"> law. </w:t>
      </w:r>
    </w:p>
    <w:p w14:paraId="3342BA05" w14:textId="77777777" w:rsidR="007073E6" w:rsidRPr="00552B09" w:rsidRDefault="007073E6" w:rsidP="00F34D6E">
      <w:pPr>
        <w:spacing w:line="480" w:lineRule="auto"/>
        <w:jc w:val="both"/>
      </w:pPr>
      <w:r w:rsidRPr="00FA6FA9">
        <w:rPr>
          <w:b/>
          <w:u w:val="single"/>
        </w:rPr>
        <w:t>Supremacy of EU law</w:t>
      </w:r>
    </w:p>
    <w:p w14:paraId="21E713FB" w14:textId="1B68BF37" w:rsidR="007073E6" w:rsidRDefault="003F2E68" w:rsidP="007073E6">
      <w:pPr>
        <w:numPr>
          <w:ilvl w:val="0"/>
          <w:numId w:val="1"/>
        </w:numPr>
        <w:spacing w:line="480" w:lineRule="auto"/>
        <w:ind w:left="0" w:firstLine="0"/>
        <w:jc w:val="both"/>
      </w:pPr>
      <w:r>
        <w:t xml:space="preserve">The </w:t>
      </w:r>
      <w:r w:rsidR="007073E6">
        <w:t xml:space="preserve">focus of the appeal changed somewhat in the course of oral submissions and counsel for </w:t>
      </w:r>
      <w:r w:rsidR="00F27750">
        <w:t>Right to Know</w:t>
      </w:r>
      <w:r w:rsidR="00117611">
        <w:t>,</w:t>
      </w:r>
      <w:r w:rsidR="00F27750">
        <w:t xml:space="preserve"> </w:t>
      </w:r>
      <w:r w:rsidR="00BB4EA8">
        <w:t xml:space="preserve">while he submitted that the constitutional immunity of the </w:t>
      </w:r>
      <w:r w:rsidR="007073E6">
        <w:t xml:space="preserve">President </w:t>
      </w:r>
      <w:r w:rsidR="00BB4EA8">
        <w:t xml:space="preserve">did not exempt review by the Commissioner, argued that </w:t>
      </w:r>
      <w:r w:rsidR="007073E6">
        <w:t xml:space="preserve">the supremacy of </w:t>
      </w:r>
      <w:r w:rsidR="00117611">
        <w:t xml:space="preserve">EU </w:t>
      </w:r>
      <w:r w:rsidR="007073E6">
        <w:t xml:space="preserve">law requires that the President be subject to a request for environmental information under the AIE Directive, and </w:t>
      </w:r>
      <w:r w:rsidR="007073E6" w:rsidRPr="00AE23C2">
        <w:rPr>
          <w:i/>
        </w:rPr>
        <w:t>ipso facto</w:t>
      </w:r>
      <w:r w:rsidR="007073E6">
        <w:t xml:space="preserve"> to the jurisdiction of the Commissioner, and thereafter on appeal, or for the purposes of enforcement, to the courts.  </w:t>
      </w:r>
    </w:p>
    <w:p w14:paraId="38F64692" w14:textId="6B1C8304" w:rsidR="007073E6" w:rsidRDefault="007073E6" w:rsidP="007073E6">
      <w:pPr>
        <w:numPr>
          <w:ilvl w:val="0"/>
          <w:numId w:val="1"/>
        </w:numPr>
        <w:spacing w:line="480" w:lineRule="auto"/>
        <w:ind w:left="0" w:firstLine="0"/>
        <w:jc w:val="both"/>
      </w:pPr>
      <w:r>
        <w:t xml:space="preserve">The trial judge at para. 119 </w:t>
      </w:r>
      <w:r w:rsidRPr="009853EF">
        <w:rPr>
          <w:i/>
        </w:rPr>
        <w:t>et seq</w:t>
      </w:r>
      <w:r w:rsidR="00591C14">
        <w:rPr>
          <w:i/>
        </w:rPr>
        <w:t>.</w:t>
      </w:r>
      <w:r>
        <w:t xml:space="preserve"> of his judgment concluded that Article 13.8.1</w:t>
      </w:r>
      <w:r w:rsidR="00117611">
        <w:rPr>
          <w:rFonts w:ascii="Arial" w:hAnsi="Arial" w:cs="Arial"/>
          <w:color w:val="666666"/>
          <w:sz w:val="21"/>
          <w:szCs w:val="21"/>
          <w:shd w:val="clear" w:color="auto" w:fill="FFFFFF"/>
        </w:rPr>
        <w:t>°</w:t>
      </w:r>
      <w:r w:rsidRPr="009853EF">
        <w:rPr>
          <w:color w:val="4D5156"/>
          <w:shd w:val="clear" w:color="auto" w:fill="FFFFFF"/>
        </w:rPr>
        <w:t> </w:t>
      </w:r>
      <w:r>
        <w:t xml:space="preserve">and the </w:t>
      </w:r>
      <w:r w:rsidR="00660E2C">
        <w:t xml:space="preserve">AIE </w:t>
      </w:r>
      <w:r>
        <w:t>Directive were “in direct conflict” and concluded by reference to Article 29.</w:t>
      </w:r>
      <w:r w:rsidR="006E363B">
        <w:t>4.6</w:t>
      </w:r>
      <w:r w:rsidR="00117611">
        <w:rPr>
          <w:rFonts w:ascii="Arial" w:hAnsi="Arial" w:cs="Arial"/>
          <w:color w:val="666666"/>
          <w:sz w:val="21"/>
          <w:szCs w:val="21"/>
          <w:shd w:val="clear" w:color="auto" w:fill="FFFFFF"/>
        </w:rPr>
        <w:t>°</w:t>
      </w:r>
      <w:r>
        <w:t xml:space="preserve"> of the Constitution that the </w:t>
      </w:r>
      <w:r w:rsidR="00643BCA">
        <w:t xml:space="preserve">AIE </w:t>
      </w:r>
      <w:r>
        <w:t>Directive and the implementing</w:t>
      </w:r>
      <w:r w:rsidR="008731FE">
        <w:t xml:space="preserve"> AIE R</w:t>
      </w:r>
      <w:r>
        <w:t xml:space="preserve">egulations must be read </w:t>
      </w:r>
      <w:r>
        <w:lastRenderedPageBreak/>
        <w:t xml:space="preserve">in the light of the supremacy of EU law.  His conclusion is in essence that </w:t>
      </w:r>
      <w:r w:rsidR="00BB4EA8">
        <w:t xml:space="preserve">whilst </w:t>
      </w:r>
      <w:r>
        <w:t xml:space="preserve">the exclusion of the President from the </w:t>
      </w:r>
      <w:r w:rsidR="00643BCA">
        <w:t xml:space="preserve">AIE </w:t>
      </w:r>
      <w:r>
        <w:t xml:space="preserve">Directive may have been permissible, the provisions of the </w:t>
      </w:r>
      <w:r w:rsidR="00660E2C">
        <w:t>AIE</w:t>
      </w:r>
      <w:r>
        <w:t xml:space="preserve"> Directive were to be read as being “necessitated” by the obligations of membership.</w:t>
      </w:r>
    </w:p>
    <w:p w14:paraId="5AFE2654" w14:textId="30D9B117" w:rsidR="007073E6" w:rsidRDefault="007073E6" w:rsidP="007073E6">
      <w:pPr>
        <w:numPr>
          <w:ilvl w:val="0"/>
          <w:numId w:val="1"/>
        </w:numPr>
        <w:spacing w:line="480" w:lineRule="auto"/>
        <w:ind w:left="0" w:firstLine="0"/>
        <w:jc w:val="both"/>
      </w:pPr>
      <w:r>
        <w:t xml:space="preserve">As </w:t>
      </w:r>
      <w:r w:rsidR="00643BCA">
        <w:t xml:space="preserve">Hogan </w:t>
      </w:r>
      <w:r w:rsidR="00643BCA">
        <w:rPr>
          <w:i/>
          <w:iCs/>
        </w:rPr>
        <w:t xml:space="preserve">et al </w:t>
      </w:r>
      <w:r w:rsidR="00643BCA">
        <w:t xml:space="preserve">in </w:t>
      </w:r>
      <w:r w:rsidRPr="00D22D94">
        <w:rPr>
          <w:i/>
          <w:iCs/>
        </w:rPr>
        <w:t>Kelly: The Irish Constitution</w:t>
      </w:r>
      <w:r>
        <w:t xml:space="preserve"> (</w:t>
      </w:r>
      <w:r w:rsidR="00000633">
        <w:t>Bloomsbury Professional,</w:t>
      </w:r>
      <w:r w:rsidR="00643BCA">
        <w:t xml:space="preserve"> 20</w:t>
      </w:r>
      <w:r w:rsidR="00000633">
        <w:t>18</w:t>
      </w:r>
      <w:r w:rsidR="00643BCA">
        <w:t>, 5</w:t>
      </w:r>
      <w:r w:rsidR="00643BCA" w:rsidRPr="00587C50">
        <w:rPr>
          <w:vertAlign w:val="superscript"/>
        </w:rPr>
        <w:t>th</w:t>
      </w:r>
      <w:r w:rsidR="00643BCA">
        <w:t xml:space="preserve"> ed.</w:t>
      </w:r>
      <w:r>
        <w:t>) noted</w:t>
      </w:r>
      <w:r w:rsidR="000B399E">
        <w:t>,</w:t>
      </w:r>
      <w:r>
        <w:t xml:space="preserve"> the correct interpretation of Article 29.4.6</w:t>
      </w:r>
      <w:r w:rsidR="00455DF0">
        <w:rPr>
          <w:rFonts w:ascii="Arial" w:hAnsi="Arial" w:cs="Arial"/>
          <w:color w:val="666666"/>
          <w:sz w:val="21"/>
          <w:szCs w:val="21"/>
          <w:shd w:val="clear" w:color="auto" w:fill="FFFFFF"/>
        </w:rPr>
        <w:t>°</w:t>
      </w:r>
      <w:r>
        <w:t xml:space="preserve"> of the Constitution has become “a quagmire of complexity” and the matter is of particular complexity when discretion is vested in a </w:t>
      </w:r>
      <w:r w:rsidR="00BB4EA8">
        <w:t>M</w:t>
      </w:r>
      <w:r>
        <w:t xml:space="preserve">ember </w:t>
      </w:r>
      <w:r w:rsidR="00BB4EA8">
        <w:t>S</w:t>
      </w:r>
      <w:r>
        <w:t xml:space="preserve">tate as to the particular manner in which obligations of membership are to be met.  It was argued in the course of the oral hearing by counsel for </w:t>
      </w:r>
      <w:r w:rsidR="00F27750">
        <w:t xml:space="preserve">Right to Know </w:t>
      </w:r>
      <w:r>
        <w:t>that European Union membership required or “necessitated” that there be either an express exclusion of the President from the scope of the implement</w:t>
      </w:r>
      <w:r w:rsidR="00BB4EA8">
        <w:t>ing</w:t>
      </w:r>
      <w:r>
        <w:t xml:space="preserve"> measures, or, and this it is argued is the correct approach, that domestic legislation be read in such a way as to be consistent with European law, and specifically that proper effect </w:t>
      </w:r>
      <w:r w:rsidR="00BB4EA8">
        <w:t xml:space="preserve">and meaning is </w:t>
      </w:r>
      <w:r>
        <w:t xml:space="preserve">given to the exclusion provisions in </w:t>
      </w:r>
      <w:r w:rsidR="00275A33">
        <w:t>Art</w:t>
      </w:r>
      <w:r w:rsidR="006E363B">
        <w:t>icle</w:t>
      </w:r>
      <w:r w:rsidR="00275A33">
        <w:t xml:space="preserve"> </w:t>
      </w:r>
      <w:r>
        <w:t>2.2 of the Directive if</w:t>
      </w:r>
      <w:r w:rsidR="00BB4EA8">
        <w:t>,</w:t>
      </w:r>
      <w:r>
        <w:t xml:space="preserve"> and only </w:t>
      </w:r>
      <w:r w:rsidR="00BB4EA8">
        <w:t xml:space="preserve">if, </w:t>
      </w:r>
      <w:r>
        <w:t>domestic measures are interpreted in a way that permits the widest access by the public to environmental information.</w:t>
      </w:r>
    </w:p>
    <w:p w14:paraId="631155CE" w14:textId="539F148A" w:rsidR="007073E6" w:rsidRDefault="00D1304F" w:rsidP="007073E6">
      <w:pPr>
        <w:numPr>
          <w:ilvl w:val="0"/>
          <w:numId w:val="1"/>
        </w:numPr>
        <w:spacing w:line="480" w:lineRule="auto"/>
        <w:ind w:left="0" w:firstLine="0"/>
        <w:jc w:val="both"/>
      </w:pPr>
      <w:r>
        <w:t>It will be necessary to return to ask whether the President is a “public authority” within the meaning of the Directive</w:t>
      </w:r>
      <w:r w:rsidR="0067535D">
        <w:t>,</w:t>
      </w:r>
      <w:r>
        <w:t xml:space="preserve"> but for the present I propose to explain why </w:t>
      </w:r>
      <w:r w:rsidR="00DB2E5B">
        <w:t>t</w:t>
      </w:r>
      <w:r w:rsidR="007073E6">
        <w:t xml:space="preserve">he exception for which </w:t>
      </w:r>
      <w:r w:rsidR="0067535D">
        <w:t>Article</w:t>
      </w:r>
      <w:r w:rsidR="00095B7D">
        <w:t xml:space="preserve"> </w:t>
      </w:r>
      <w:r w:rsidR="007073E6">
        <w:t>2(2) provides does not preclude the immunity to which the President is entitled under Article 13.8.1</w:t>
      </w:r>
      <w:r w:rsidR="00455DF0">
        <w:rPr>
          <w:rFonts w:ascii="Arial" w:hAnsi="Arial" w:cs="Arial"/>
          <w:color w:val="666666"/>
          <w:sz w:val="21"/>
          <w:szCs w:val="21"/>
          <w:shd w:val="clear" w:color="auto" w:fill="FFFFFF"/>
        </w:rPr>
        <w:t>°</w:t>
      </w:r>
      <w:r w:rsidR="007073E6">
        <w:t xml:space="preserve">.  </w:t>
      </w:r>
    </w:p>
    <w:p w14:paraId="2B15B241" w14:textId="6EC268E4" w:rsidR="007073E6" w:rsidRPr="00DA345A" w:rsidRDefault="00F27750" w:rsidP="007073E6">
      <w:pPr>
        <w:numPr>
          <w:ilvl w:val="0"/>
          <w:numId w:val="1"/>
        </w:numPr>
        <w:spacing w:line="480" w:lineRule="auto"/>
        <w:ind w:left="0" w:firstLine="0"/>
        <w:jc w:val="both"/>
        <w:rPr>
          <w:b/>
        </w:rPr>
      </w:pPr>
      <w:r>
        <w:t xml:space="preserve">Right to Know </w:t>
      </w:r>
      <w:r w:rsidR="007073E6">
        <w:t xml:space="preserve">limited its arguments to the provisions of </w:t>
      </w:r>
      <w:r w:rsidR="00095B7D">
        <w:t>Art</w:t>
      </w:r>
      <w:r w:rsidR="007670C8">
        <w:t>icle</w:t>
      </w:r>
      <w:r w:rsidR="00095B7D">
        <w:t xml:space="preserve"> </w:t>
      </w:r>
      <w:r w:rsidR="007073E6">
        <w:t xml:space="preserve">2(2) of the Directive and argued that the mere fact that the President is Head of State does not exclude him from the obligations under the Directive and that the implementing </w:t>
      </w:r>
      <w:r w:rsidR="008731FE">
        <w:t xml:space="preserve">AIE </w:t>
      </w:r>
      <w:r w:rsidR="007073E6">
        <w:t xml:space="preserve">Regulations may not be read to so exclude the President from the Directive. </w:t>
      </w:r>
    </w:p>
    <w:p w14:paraId="7A642919" w14:textId="792B5D90" w:rsidR="007073E6" w:rsidRDefault="007073E6" w:rsidP="007073E6">
      <w:pPr>
        <w:numPr>
          <w:ilvl w:val="0"/>
          <w:numId w:val="1"/>
        </w:numPr>
        <w:spacing w:line="480" w:lineRule="auto"/>
        <w:ind w:left="0" w:firstLine="0"/>
        <w:jc w:val="both"/>
      </w:pPr>
      <w:r>
        <w:t>Counsel for the State parties argue</w:t>
      </w:r>
      <w:r w:rsidR="003F2E68">
        <w:t>d</w:t>
      </w:r>
      <w:r>
        <w:t xml:space="preserve"> that nothing in the </w:t>
      </w:r>
      <w:r w:rsidR="00455DF0">
        <w:t>AIE</w:t>
      </w:r>
      <w:r>
        <w:t xml:space="preserve"> Directive necessitates the inclusion of the President as a body answerable to a request for environmental </w:t>
      </w:r>
      <w:r>
        <w:lastRenderedPageBreak/>
        <w:t xml:space="preserve">information. </w:t>
      </w:r>
      <w:r w:rsidR="004257FC">
        <w:t xml:space="preserve"> </w:t>
      </w:r>
      <w:r>
        <w:t xml:space="preserve">It is argued also that the legislature was not competent to make the President answerable to the Commissioner and </w:t>
      </w:r>
      <w:r w:rsidRPr="00DA345A">
        <w:rPr>
          <w:i/>
        </w:rPr>
        <w:t>ipso facto</w:t>
      </w:r>
      <w:r>
        <w:t xml:space="preserve"> to the High Court</w:t>
      </w:r>
      <w:r w:rsidR="00BB4EA8">
        <w:t xml:space="preserve"> because </w:t>
      </w:r>
      <w:r w:rsidR="0059225A">
        <w:t xml:space="preserve">this was not necessitated by membership on a correct reading of the </w:t>
      </w:r>
      <w:r w:rsidR="00455DF0">
        <w:t>AIE</w:t>
      </w:r>
      <w:r w:rsidR="0059225A">
        <w:t xml:space="preserve"> Directive</w:t>
      </w:r>
      <w:r>
        <w:t xml:space="preserve">.  </w:t>
      </w:r>
    </w:p>
    <w:p w14:paraId="6F899AD7" w14:textId="2B525C7B" w:rsidR="007073E6" w:rsidRPr="00457528" w:rsidRDefault="007073E6" w:rsidP="007073E6">
      <w:pPr>
        <w:spacing w:line="480" w:lineRule="auto"/>
        <w:jc w:val="both"/>
        <w:rPr>
          <w:b/>
          <w:u w:val="single"/>
        </w:rPr>
      </w:pPr>
      <w:r w:rsidRPr="00457528">
        <w:rPr>
          <w:b/>
          <w:u w:val="single"/>
        </w:rPr>
        <w:t xml:space="preserve">The scope of </w:t>
      </w:r>
      <w:r>
        <w:rPr>
          <w:b/>
          <w:u w:val="single"/>
        </w:rPr>
        <w:t>Art</w:t>
      </w:r>
      <w:r w:rsidR="007670C8">
        <w:rPr>
          <w:b/>
          <w:u w:val="single"/>
        </w:rPr>
        <w:t>icle</w:t>
      </w:r>
      <w:r>
        <w:rPr>
          <w:b/>
          <w:u w:val="single"/>
        </w:rPr>
        <w:t xml:space="preserve"> </w:t>
      </w:r>
      <w:r w:rsidRPr="00457528">
        <w:rPr>
          <w:b/>
          <w:u w:val="single"/>
        </w:rPr>
        <w:t xml:space="preserve">2.2 of the </w:t>
      </w:r>
      <w:r w:rsidR="00455DF0">
        <w:rPr>
          <w:b/>
          <w:u w:val="single"/>
        </w:rPr>
        <w:t xml:space="preserve">AIE </w:t>
      </w:r>
      <w:r w:rsidRPr="00457528">
        <w:rPr>
          <w:b/>
          <w:u w:val="single"/>
        </w:rPr>
        <w:t>Directive</w:t>
      </w:r>
    </w:p>
    <w:p w14:paraId="791781B2" w14:textId="77777777" w:rsidR="003F2E68" w:rsidRPr="00552B09" w:rsidRDefault="003F2E68" w:rsidP="003F2E68">
      <w:pPr>
        <w:numPr>
          <w:ilvl w:val="0"/>
          <w:numId w:val="1"/>
        </w:numPr>
        <w:spacing w:line="480" w:lineRule="auto"/>
        <w:ind w:left="0" w:firstLine="0"/>
        <w:jc w:val="both"/>
      </w:pPr>
      <w:r w:rsidRPr="00552B09">
        <w:t>Article 2(2) of the AIE Directive permits Member States to exclude certain bodies from the definition of public authority in limited circumstances:</w:t>
      </w:r>
    </w:p>
    <w:p w14:paraId="15D7715E" w14:textId="77777777" w:rsidR="003F2E68" w:rsidRPr="00552B09" w:rsidRDefault="003F2E68" w:rsidP="003F2E68">
      <w:pPr>
        <w:spacing w:line="480" w:lineRule="auto"/>
        <w:ind w:left="720"/>
        <w:jc w:val="both"/>
      </w:pPr>
      <w:r w:rsidRPr="00552B09">
        <w:t>“Member States may provide that this definition shall not include bodies or institutions when acting in a judicial or legislative capacity.  If their constitutional provisions of the date of adoption of this Directive make no provision for a review procedure within the meaning of Article 6, Member States may exclude those bodies or institutions from that definition.”</w:t>
      </w:r>
    </w:p>
    <w:p w14:paraId="0D062691" w14:textId="2FE881B0" w:rsidR="007073E6" w:rsidRDefault="004228C4" w:rsidP="007073E6">
      <w:pPr>
        <w:numPr>
          <w:ilvl w:val="0"/>
          <w:numId w:val="1"/>
        </w:numPr>
        <w:spacing w:line="480" w:lineRule="auto"/>
        <w:ind w:left="0" w:firstLine="0"/>
        <w:jc w:val="both"/>
      </w:pPr>
      <w:r>
        <w:t>Right to Know</w:t>
      </w:r>
      <w:r w:rsidR="007073E6">
        <w:t xml:space="preserve"> argues that the constitutional provision must give way to the Directive on account of the </w:t>
      </w:r>
      <w:r>
        <w:t>supremacy of EU</w:t>
      </w:r>
      <w:r w:rsidR="007073E6">
        <w:t xml:space="preserve"> law.  The Commissioner and the State parties argue that by reason of the exclusions contained in </w:t>
      </w:r>
      <w:r w:rsidR="009374FB">
        <w:t xml:space="preserve">the second sentence in </w:t>
      </w:r>
      <w:r w:rsidR="00095B7D">
        <w:t>Art</w:t>
      </w:r>
      <w:r w:rsidR="003F145E">
        <w:t>icle</w:t>
      </w:r>
      <w:r w:rsidR="00095B7D">
        <w:t xml:space="preserve"> </w:t>
      </w:r>
      <w:r w:rsidR="007073E6">
        <w:t xml:space="preserve">2(2), an exemption </w:t>
      </w:r>
      <w:r w:rsidR="0059225A">
        <w:t xml:space="preserve">may </w:t>
      </w:r>
      <w:r w:rsidR="007073E6">
        <w:t>exist from domestic constitutional provisions</w:t>
      </w:r>
      <w:r w:rsidR="0059225A">
        <w:t xml:space="preserve"> without express derogation, and that</w:t>
      </w:r>
      <w:r w:rsidR="007073E6">
        <w:t xml:space="preserve"> the effect of Ar</w:t>
      </w:r>
      <w:r w:rsidR="00095B7D">
        <w:t>ticle</w:t>
      </w:r>
      <w:r w:rsidR="007073E6">
        <w:t xml:space="preserve"> 13.8.1</w:t>
      </w:r>
      <w:r w:rsidR="00455DF0">
        <w:rPr>
          <w:rFonts w:ascii="Arial" w:hAnsi="Arial" w:cs="Arial"/>
          <w:color w:val="666666"/>
          <w:sz w:val="21"/>
          <w:szCs w:val="21"/>
          <w:shd w:val="clear" w:color="auto" w:fill="FFFFFF"/>
        </w:rPr>
        <w:t>°</w:t>
      </w:r>
      <w:r w:rsidR="007073E6">
        <w:t xml:space="preserve"> is such that domestic law “… made no provision for a review procedure within the meaning of Article 6.”</w:t>
      </w:r>
    </w:p>
    <w:p w14:paraId="44D586E5" w14:textId="11D02224" w:rsidR="007073E6" w:rsidRDefault="007073E6" w:rsidP="007073E6">
      <w:pPr>
        <w:numPr>
          <w:ilvl w:val="0"/>
          <w:numId w:val="1"/>
        </w:numPr>
        <w:spacing w:line="480" w:lineRule="auto"/>
        <w:ind w:left="0" w:firstLine="0"/>
        <w:jc w:val="both"/>
      </w:pPr>
      <w:r>
        <w:t xml:space="preserve">Advocate General </w:t>
      </w:r>
      <w:proofErr w:type="spellStart"/>
      <w:r>
        <w:t>Sharpston</w:t>
      </w:r>
      <w:proofErr w:type="spellEnd"/>
      <w:r>
        <w:t xml:space="preserve"> in </w:t>
      </w:r>
      <w:proofErr w:type="spellStart"/>
      <w:r w:rsidRPr="0035257A">
        <w:rPr>
          <w:i/>
        </w:rPr>
        <w:t>Flachglas</w:t>
      </w:r>
      <w:proofErr w:type="spellEnd"/>
      <w:r>
        <w:t xml:space="preserve"> </w:t>
      </w:r>
      <w:proofErr w:type="spellStart"/>
      <w:r w:rsidRPr="00914CD3">
        <w:rPr>
          <w:i/>
        </w:rPr>
        <w:t>Torgau</w:t>
      </w:r>
      <w:proofErr w:type="spellEnd"/>
      <w:r w:rsidRPr="00914CD3">
        <w:rPr>
          <w:i/>
        </w:rPr>
        <w:t xml:space="preserve"> GmbH v</w:t>
      </w:r>
      <w:r w:rsidR="00095B7D">
        <w:rPr>
          <w:i/>
        </w:rPr>
        <w:t>.</w:t>
      </w:r>
      <w:r w:rsidRPr="00914CD3">
        <w:rPr>
          <w:i/>
        </w:rPr>
        <w:t xml:space="preserve"> Federal Republic of Germany</w:t>
      </w:r>
      <w:r>
        <w:t xml:space="preserve"> at para</w:t>
      </w:r>
      <w:r w:rsidR="00095B7D">
        <w:t>.</w:t>
      </w:r>
      <w:r>
        <w:t xml:space="preserve"> 43 considered that this exemption was a standalone exemption “entirely separate” from the other excluding provisions of Art</w:t>
      </w:r>
      <w:r w:rsidR="007670C8">
        <w:t>icle</w:t>
      </w:r>
      <w:r w:rsidR="00095B7D">
        <w:t xml:space="preserve"> </w:t>
      </w:r>
      <w:r>
        <w:t xml:space="preserve">2(2) and must be seen as being protective of domestic constitutional provisions. </w:t>
      </w:r>
    </w:p>
    <w:p w14:paraId="01D8B622" w14:textId="261E64D5" w:rsidR="009374FB" w:rsidRDefault="009374FB" w:rsidP="009374FB">
      <w:pPr>
        <w:numPr>
          <w:ilvl w:val="0"/>
          <w:numId w:val="1"/>
        </w:numPr>
        <w:spacing w:line="480" w:lineRule="auto"/>
        <w:ind w:left="0" w:firstLine="0"/>
        <w:jc w:val="both"/>
      </w:pPr>
      <w:r w:rsidRPr="006132B7">
        <w:t xml:space="preserve">It is useful to briefly examine here the evolution of the exemption from review in the case law of the CJEU.  </w:t>
      </w:r>
    </w:p>
    <w:p w14:paraId="71CFF537" w14:textId="2CCEE6C8" w:rsidR="009374FB" w:rsidRDefault="009374FB" w:rsidP="009374FB">
      <w:pPr>
        <w:numPr>
          <w:ilvl w:val="0"/>
          <w:numId w:val="1"/>
        </w:numPr>
        <w:spacing w:line="480" w:lineRule="auto"/>
        <w:ind w:left="0" w:firstLine="0"/>
        <w:jc w:val="both"/>
      </w:pPr>
      <w:r w:rsidRPr="006132B7">
        <w:t xml:space="preserve">The </w:t>
      </w:r>
      <w:r w:rsidR="004C7DBA">
        <w:t>Aarhus</w:t>
      </w:r>
      <w:r>
        <w:t xml:space="preserve"> </w:t>
      </w:r>
      <w:r w:rsidRPr="006132B7">
        <w:t>Convention was approved on behalf of the</w:t>
      </w:r>
      <w:r w:rsidR="007670C8">
        <w:t xml:space="preserve"> (then)</w:t>
      </w:r>
      <w:r w:rsidRPr="006132B7">
        <w:t xml:space="preserve"> European Community by Council Decision 2005/370 and its declaration was contained in an annex to the effect that </w:t>
      </w:r>
      <w:r w:rsidR="007670C8">
        <w:t>A</w:t>
      </w:r>
      <w:r w:rsidRPr="006132B7">
        <w:t xml:space="preserve">rticle 9 of the </w:t>
      </w:r>
      <w:r w:rsidR="004C7DBA">
        <w:t>Aarhus</w:t>
      </w:r>
      <w:r w:rsidRPr="006132B7">
        <w:t xml:space="preserve"> Convention</w:t>
      </w:r>
      <w:r w:rsidR="007670C8">
        <w:t xml:space="preserve"> </w:t>
      </w:r>
      <w:r w:rsidRPr="006132B7">
        <w:t xml:space="preserve">gives Member States the possibility “in exceptional </w:t>
      </w:r>
      <w:r w:rsidRPr="006132B7">
        <w:lastRenderedPageBreak/>
        <w:t>cases and under strict specified conditions” to exclude certain bodies and institutions from the review procedures for review of decisions on request for information.</w:t>
      </w:r>
    </w:p>
    <w:p w14:paraId="51FF2808" w14:textId="1878467F" w:rsidR="009374FB" w:rsidRDefault="009374FB" w:rsidP="009374FB">
      <w:pPr>
        <w:numPr>
          <w:ilvl w:val="0"/>
          <w:numId w:val="1"/>
        </w:numPr>
        <w:spacing w:line="480" w:lineRule="auto"/>
        <w:ind w:left="0" w:firstLine="0"/>
        <w:jc w:val="both"/>
      </w:pPr>
      <w:r w:rsidRPr="006132B7">
        <w:t xml:space="preserve">At the time of the ratification by the European Union of the </w:t>
      </w:r>
      <w:r w:rsidR="004C7DBA">
        <w:t>Aarhus</w:t>
      </w:r>
      <w:r w:rsidRPr="006132B7">
        <w:t xml:space="preserve"> Convention, Sweden entered a reservation in relation of </w:t>
      </w:r>
      <w:r w:rsidR="007670C8">
        <w:t>A</w:t>
      </w:r>
      <w:r w:rsidRPr="006132B7">
        <w:t xml:space="preserve">rticle 9.1 with regard to access to a review procedure before a court of law of decisions taken by the Parliament, the Government and Ministers on issues involving the release of official documents. A reservation was also lodged in relation to </w:t>
      </w:r>
      <w:r w:rsidR="007670C8">
        <w:t>A</w:t>
      </w:r>
      <w:r w:rsidRPr="006132B7">
        <w:t>rticle 9.2 not relevant to this judgment.</w:t>
      </w:r>
    </w:p>
    <w:p w14:paraId="44AF9EC9" w14:textId="6A629A59" w:rsidR="009374FB" w:rsidRDefault="009374FB" w:rsidP="009374FB">
      <w:pPr>
        <w:numPr>
          <w:ilvl w:val="0"/>
          <w:numId w:val="1"/>
        </w:numPr>
        <w:spacing w:line="480" w:lineRule="auto"/>
        <w:ind w:left="0" w:firstLine="0"/>
        <w:jc w:val="both"/>
      </w:pPr>
      <w:r w:rsidRPr="006132B7">
        <w:t>At the time, although declarations were made by several other EU countries, none was made, nor was a reservation entered, by Ireland</w:t>
      </w:r>
      <w:r>
        <w:t>.</w:t>
      </w:r>
    </w:p>
    <w:p w14:paraId="206B63BB" w14:textId="34C38D3D" w:rsidR="009374FB" w:rsidRDefault="009374FB" w:rsidP="009374FB">
      <w:pPr>
        <w:numPr>
          <w:ilvl w:val="0"/>
          <w:numId w:val="1"/>
        </w:numPr>
        <w:spacing w:line="480" w:lineRule="auto"/>
        <w:ind w:left="0" w:firstLine="0"/>
        <w:jc w:val="both"/>
      </w:pPr>
      <w:r w:rsidRPr="006132B7">
        <w:t>It is settled that implementation of a Directive does not necessarily require legislative action in each Member State and that the existence of general principles of constitutional or administrative law may render implementation by specific legislation superfluous, subject only to the principles of equivalence and effectiveness:  see</w:t>
      </w:r>
      <w:r w:rsidR="007670C8">
        <w:t>,</w:t>
      </w:r>
      <w:r w:rsidRPr="006132B7">
        <w:t xml:space="preserve"> for example</w:t>
      </w:r>
      <w:r w:rsidR="007670C8">
        <w:t>,</w:t>
      </w:r>
      <w:r w:rsidRPr="006132B7">
        <w:t xml:space="preserve"> the early case of </w:t>
      </w:r>
      <w:r w:rsidR="004228C4" w:rsidRPr="006132B7">
        <w:t xml:space="preserve">Case </w:t>
      </w:r>
      <w:r w:rsidR="005A63DE">
        <w:t>C-</w:t>
      </w:r>
      <w:r w:rsidR="004228C4" w:rsidRPr="006132B7">
        <w:t>29/84</w:t>
      </w:r>
      <w:r w:rsidR="004228C4">
        <w:t xml:space="preserve">, </w:t>
      </w:r>
      <w:r w:rsidRPr="009374FB">
        <w:rPr>
          <w:i/>
        </w:rPr>
        <w:t>Commission v. Germany</w:t>
      </w:r>
      <w:r w:rsidR="004228C4">
        <w:t xml:space="preserve">, </w:t>
      </w:r>
      <w:r w:rsidR="005F1754">
        <w:t xml:space="preserve">EU:C:1985:229. </w:t>
      </w:r>
    </w:p>
    <w:p w14:paraId="52DDC730" w14:textId="45260556" w:rsidR="009374FB" w:rsidRDefault="009374FB" w:rsidP="009374FB">
      <w:pPr>
        <w:numPr>
          <w:ilvl w:val="0"/>
          <w:numId w:val="1"/>
        </w:numPr>
        <w:spacing w:line="480" w:lineRule="auto"/>
        <w:ind w:left="0" w:firstLine="0"/>
        <w:jc w:val="both"/>
      </w:pPr>
      <w:r w:rsidRPr="006132B7">
        <w:t>That principle formed the backdrop to the argument some years later</w:t>
      </w:r>
      <w:r w:rsidR="005A63DE">
        <w:t xml:space="preserve"> in 2012</w:t>
      </w:r>
      <w:r w:rsidRPr="006132B7">
        <w:t xml:space="preserve"> in a request for a preliminary ruling in </w:t>
      </w:r>
      <w:proofErr w:type="spellStart"/>
      <w:r w:rsidR="00C97A7A" w:rsidRPr="0035257A">
        <w:rPr>
          <w:i/>
        </w:rPr>
        <w:t>Flachglas</w:t>
      </w:r>
      <w:proofErr w:type="spellEnd"/>
      <w:r w:rsidR="00C97A7A">
        <w:t xml:space="preserve"> </w:t>
      </w:r>
      <w:proofErr w:type="spellStart"/>
      <w:r w:rsidR="00C97A7A" w:rsidRPr="00914CD3">
        <w:rPr>
          <w:i/>
        </w:rPr>
        <w:t>Torgau</w:t>
      </w:r>
      <w:proofErr w:type="spellEnd"/>
      <w:r w:rsidR="00C97A7A" w:rsidRPr="00914CD3">
        <w:rPr>
          <w:i/>
        </w:rPr>
        <w:t xml:space="preserve"> GmbH v</w:t>
      </w:r>
      <w:r w:rsidR="00C97A7A">
        <w:rPr>
          <w:i/>
        </w:rPr>
        <w:t>.</w:t>
      </w:r>
      <w:r w:rsidR="00C97A7A" w:rsidRPr="00914CD3">
        <w:rPr>
          <w:i/>
        </w:rPr>
        <w:t xml:space="preserve"> Federal Republic of Germany</w:t>
      </w:r>
      <w:r w:rsidR="005A63DE">
        <w:t>.  T</w:t>
      </w:r>
      <w:r w:rsidRPr="006132B7">
        <w:t xml:space="preserve">he question specifically concerned which authorities of the state might be regarded as acting in a legislative capacity for the purposes of the exclusion from the definition of “public authority” within the Directive. </w:t>
      </w:r>
      <w:r w:rsidR="005A63DE">
        <w:t xml:space="preserve"> </w:t>
      </w:r>
      <w:r w:rsidRPr="006132B7">
        <w:t xml:space="preserve">The Court held that where the domestic law of a Member State provides for the confidentiality of certain proceedings of public authorities, that may provide a ground for refusing access to environmental information provided the confidentiality of proceedings is provided for under national law by an express provision with a precisely defined scope and not merely arising from a general legal context. </w:t>
      </w:r>
    </w:p>
    <w:p w14:paraId="30165314" w14:textId="3666EACE" w:rsidR="009374FB" w:rsidRDefault="009374FB" w:rsidP="006529E6">
      <w:pPr>
        <w:numPr>
          <w:ilvl w:val="0"/>
          <w:numId w:val="1"/>
        </w:numPr>
        <w:spacing w:line="480" w:lineRule="auto"/>
        <w:ind w:left="0" w:firstLine="0"/>
        <w:jc w:val="both"/>
      </w:pPr>
      <w:r w:rsidRPr="006132B7">
        <w:t xml:space="preserve">In </w:t>
      </w:r>
      <w:proofErr w:type="spellStart"/>
      <w:r w:rsidR="00C97A7A" w:rsidRPr="0035257A">
        <w:rPr>
          <w:i/>
        </w:rPr>
        <w:t>Flachglas</w:t>
      </w:r>
      <w:proofErr w:type="spellEnd"/>
      <w:r w:rsidR="00C97A7A">
        <w:t xml:space="preserve"> </w:t>
      </w:r>
      <w:proofErr w:type="spellStart"/>
      <w:r w:rsidR="00C97A7A" w:rsidRPr="00914CD3">
        <w:rPr>
          <w:i/>
        </w:rPr>
        <w:t>Torgau</w:t>
      </w:r>
      <w:proofErr w:type="spellEnd"/>
      <w:r w:rsidR="00C97A7A" w:rsidRPr="00914CD3">
        <w:rPr>
          <w:i/>
        </w:rPr>
        <w:t xml:space="preserve"> GmbH v</w:t>
      </w:r>
      <w:r w:rsidR="00C97A7A">
        <w:rPr>
          <w:i/>
        </w:rPr>
        <w:t>.</w:t>
      </w:r>
      <w:r w:rsidR="00C97A7A" w:rsidRPr="00914CD3">
        <w:rPr>
          <w:i/>
        </w:rPr>
        <w:t xml:space="preserve"> Federal Republic of Germany</w:t>
      </w:r>
      <w:r w:rsidR="00C97A7A">
        <w:t xml:space="preserve"> </w:t>
      </w:r>
      <w:r w:rsidRPr="006132B7">
        <w:t>the Court accepted the opinion of Advocate Gen</w:t>
      </w:r>
      <w:r w:rsidR="00892010">
        <w:t>eral</w:t>
      </w:r>
      <w:r w:rsidRPr="006132B7">
        <w:t xml:space="preserve"> </w:t>
      </w:r>
      <w:proofErr w:type="spellStart"/>
      <w:r w:rsidRPr="006132B7">
        <w:t>Sharpston</w:t>
      </w:r>
      <w:proofErr w:type="spellEnd"/>
      <w:r w:rsidRPr="006132B7">
        <w:t xml:space="preserve"> that two independent options to exclude were envisaged. </w:t>
      </w:r>
      <w:r w:rsidR="005A63DE">
        <w:t xml:space="preserve"> </w:t>
      </w:r>
      <w:r w:rsidRPr="006132B7">
        <w:t xml:space="preserve">She thought that the second option was intended to permit the in the light of the </w:t>
      </w:r>
      <w:r w:rsidRPr="006132B7">
        <w:lastRenderedPageBreak/>
        <w:t xml:space="preserve">declaration by the EU gives Member States the possibility of such exclusion and “encompasses” or “embodies” any reservation by a Member </w:t>
      </w:r>
      <w:r w:rsidR="006455CC">
        <w:t>S</w:t>
      </w:r>
      <w:r w:rsidRPr="006132B7">
        <w:t xml:space="preserve">tate compatible with those </w:t>
      </w:r>
      <w:r w:rsidR="003F145E">
        <w:t>A</w:t>
      </w:r>
      <w:r w:rsidRPr="006132B7">
        <w:t>rticles.</w:t>
      </w:r>
    </w:p>
    <w:p w14:paraId="7A52520C" w14:textId="77777777" w:rsidR="007321C5" w:rsidRDefault="007321C5" w:rsidP="007321C5">
      <w:pPr>
        <w:numPr>
          <w:ilvl w:val="0"/>
          <w:numId w:val="1"/>
        </w:numPr>
        <w:spacing w:line="480" w:lineRule="auto"/>
        <w:ind w:left="0" w:firstLine="0"/>
        <w:jc w:val="both"/>
      </w:pPr>
      <w:r>
        <w:t xml:space="preserve">At para. 46 of its judgment in </w:t>
      </w:r>
      <w:proofErr w:type="spellStart"/>
      <w:r w:rsidRPr="0035257A">
        <w:rPr>
          <w:i/>
        </w:rPr>
        <w:t>Flachglas</w:t>
      </w:r>
      <w:proofErr w:type="spellEnd"/>
      <w:r>
        <w:t xml:space="preserve"> </w:t>
      </w:r>
      <w:proofErr w:type="spellStart"/>
      <w:r w:rsidRPr="00914CD3">
        <w:rPr>
          <w:i/>
        </w:rPr>
        <w:t>Torgau</w:t>
      </w:r>
      <w:proofErr w:type="spellEnd"/>
      <w:r w:rsidRPr="00914CD3">
        <w:rPr>
          <w:i/>
        </w:rPr>
        <w:t xml:space="preserve"> GmbH v</w:t>
      </w:r>
      <w:r>
        <w:rPr>
          <w:i/>
        </w:rPr>
        <w:t>.</w:t>
      </w:r>
      <w:r w:rsidRPr="00914CD3">
        <w:rPr>
          <w:i/>
        </w:rPr>
        <w:t xml:space="preserve"> Federal Republic of Germany</w:t>
      </w:r>
      <w:r>
        <w:t xml:space="preserve"> the CJEU agreed and said as follows:</w:t>
      </w:r>
    </w:p>
    <w:p w14:paraId="43229D01" w14:textId="77777777" w:rsidR="007321C5" w:rsidRDefault="007321C5" w:rsidP="007321C5">
      <w:pPr>
        <w:spacing w:line="480" w:lineRule="auto"/>
        <w:ind w:left="720"/>
        <w:jc w:val="both"/>
      </w:pPr>
      <w:r>
        <w:t xml:space="preserve">“That provision was intended to deal with the specific situation of certain national authorities, and in particular authorities acting in an administrative capacity, whose decisions, at the date of adoption of Directive 2003/4, could not, according to the national </w:t>
      </w:r>
      <w:r w:rsidRPr="000466AC">
        <w:t xml:space="preserve">law </w:t>
      </w:r>
      <w:r w:rsidRPr="00587C50">
        <w:t>in force</w:t>
      </w:r>
      <w:r>
        <w:t xml:space="preserve"> in certain member states, be subject to review in accordance with the requirements of that Directive.”</w:t>
      </w:r>
    </w:p>
    <w:p w14:paraId="71EB5398" w14:textId="6BF1E818" w:rsidR="009374FB" w:rsidRDefault="009374FB" w:rsidP="006529E6">
      <w:pPr>
        <w:numPr>
          <w:ilvl w:val="0"/>
          <w:numId w:val="1"/>
        </w:numPr>
        <w:spacing w:line="480" w:lineRule="auto"/>
        <w:ind w:left="0" w:firstLine="0"/>
        <w:jc w:val="both"/>
      </w:pPr>
      <w:r w:rsidRPr="006132B7">
        <w:t>The matter came for consideration again in 2021 in</w:t>
      </w:r>
      <w:r w:rsidR="006455CC">
        <w:t xml:space="preserve"> the Opinion of Advocate General Bobek in</w:t>
      </w:r>
      <w:r w:rsidRPr="006132B7">
        <w:t xml:space="preserve"> </w:t>
      </w:r>
      <w:r w:rsidR="006455CC">
        <w:t xml:space="preserve">Case C-470/19, </w:t>
      </w:r>
      <w:r w:rsidR="006455CC" w:rsidRPr="0047032C">
        <w:rPr>
          <w:i/>
        </w:rPr>
        <w:t xml:space="preserve">Friends of the Irish Environment v. Commissioner for Environmental Information, </w:t>
      </w:r>
      <w:r w:rsidR="006455CC" w:rsidRPr="0047032C">
        <w:rPr>
          <w:iCs/>
        </w:rPr>
        <w:t>ECLI:EU:C:202</w:t>
      </w:r>
      <w:r w:rsidR="006455CC">
        <w:rPr>
          <w:iCs/>
        </w:rPr>
        <w:t>0</w:t>
      </w:r>
      <w:r w:rsidR="006455CC" w:rsidRPr="0047032C">
        <w:rPr>
          <w:iCs/>
        </w:rPr>
        <w:t>:</w:t>
      </w:r>
      <w:r w:rsidR="006455CC">
        <w:rPr>
          <w:iCs/>
        </w:rPr>
        <w:t>986</w:t>
      </w:r>
      <w:r w:rsidR="006455CC">
        <w:t xml:space="preserve"> </w:t>
      </w:r>
      <w:r w:rsidRPr="006132B7">
        <w:t xml:space="preserve">considering the scope of “judicial capacity” within the meaning of </w:t>
      </w:r>
      <w:r w:rsidR="000E2C12">
        <w:t>A</w:t>
      </w:r>
      <w:r w:rsidRPr="006132B7">
        <w:t xml:space="preserve">rticle 2(2) of the </w:t>
      </w:r>
      <w:r w:rsidR="00455DF0">
        <w:t xml:space="preserve">AIE </w:t>
      </w:r>
      <w:r w:rsidR="006529E6">
        <w:t>D</w:t>
      </w:r>
      <w:r w:rsidRPr="006132B7">
        <w:t xml:space="preserve">irective. </w:t>
      </w:r>
      <w:r w:rsidR="006455CC">
        <w:t xml:space="preserve"> </w:t>
      </w:r>
      <w:r w:rsidRPr="006132B7">
        <w:t xml:space="preserve">He expressed a view that the second part of the exclusionary provision was intended to address the position of certain national authorities whose decisions could not be reviewed according to national law in force at the date of the adoption of the </w:t>
      </w:r>
      <w:r w:rsidR="006529E6">
        <w:t>D</w:t>
      </w:r>
      <w:r w:rsidRPr="006132B7">
        <w:t>irective.</w:t>
      </w:r>
      <w:r w:rsidR="00D331FD">
        <w:t xml:space="preserve"> </w:t>
      </w:r>
      <w:r w:rsidRPr="006132B7">
        <w:t xml:space="preserve"> He noted (at</w:t>
      </w:r>
      <w:r w:rsidR="000E2C12">
        <w:t xml:space="preserve"> </w:t>
      </w:r>
      <w:r w:rsidR="006455CC">
        <w:t xml:space="preserve">para. </w:t>
      </w:r>
      <w:r w:rsidRPr="006132B7">
        <w:t>39) that Ireland confirmed at the hearing that such a situation “does not arise” in Irish law, although that seems to be to have been given in answer to a question concerning the precise issue in that case, namely</w:t>
      </w:r>
      <w:r w:rsidR="000E2C12">
        <w:t>,</w:t>
      </w:r>
      <w:r w:rsidRPr="006132B7">
        <w:t xml:space="preserve"> whether the Courts Service of Ireland was acting in a judicial capacity.</w:t>
      </w:r>
    </w:p>
    <w:p w14:paraId="5DFFC19A" w14:textId="72AA8DA3" w:rsidR="009374FB" w:rsidRDefault="009374FB" w:rsidP="006529E6">
      <w:pPr>
        <w:numPr>
          <w:ilvl w:val="0"/>
          <w:numId w:val="1"/>
        </w:numPr>
        <w:spacing w:line="480" w:lineRule="auto"/>
        <w:ind w:left="0" w:firstLine="0"/>
        <w:jc w:val="both"/>
      </w:pPr>
      <w:r w:rsidRPr="006132B7">
        <w:t>The decision of the Court and the opinion of Advocate Gen</w:t>
      </w:r>
      <w:r w:rsidR="000E2C12">
        <w:t>eral</w:t>
      </w:r>
      <w:r w:rsidRPr="006132B7">
        <w:t xml:space="preserve"> Bobek in </w:t>
      </w:r>
      <w:r w:rsidRPr="006529E6">
        <w:rPr>
          <w:i/>
        </w:rPr>
        <w:t xml:space="preserve">Friends </w:t>
      </w:r>
      <w:r w:rsidRPr="006132B7">
        <w:t xml:space="preserve">concerned a body that did come within the definition of “public authority”, as did those in </w:t>
      </w:r>
      <w:proofErr w:type="spellStart"/>
      <w:r w:rsidR="00C97A7A" w:rsidRPr="0035257A">
        <w:rPr>
          <w:i/>
        </w:rPr>
        <w:t>Flachglas</w:t>
      </w:r>
      <w:proofErr w:type="spellEnd"/>
      <w:r w:rsidR="00C97A7A">
        <w:t xml:space="preserve"> </w:t>
      </w:r>
      <w:proofErr w:type="spellStart"/>
      <w:r w:rsidR="00C97A7A" w:rsidRPr="00914CD3">
        <w:rPr>
          <w:i/>
        </w:rPr>
        <w:t>Torgau</w:t>
      </w:r>
      <w:proofErr w:type="spellEnd"/>
      <w:r w:rsidR="00C97A7A" w:rsidRPr="00914CD3">
        <w:rPr>
          <w:i/>
        </w:rPr>
        <w:t xml:space="preserve"> GmbH v</w:t>
      </w:r>
      <w:r w:rsidR="00C97A7A">
        <w:rPr>
          <w:i/>
        </w:rPr>
        <w:t>.</w:t>
      </w:r>
      <w:r w:rsidR="00C97A7A" w:rsidRPr="00914CD3">
        <w:rPr>
          <w:i/>
        </w:rPr>
        <w:t xml:space="preserve"> Federal Republic of Germany</w:t>
      </w:r>
      <w:r w:rsidRPr="006132B7">
        <w:t xml:space="preserve">. As will appear later in this judgment, I am of the view that the President is not a “public authority” within the meaning of the </w:t>
      </w:r>
      <w:r w:rsidR="00455DF0">
        <w:t>AIE</w:t>
      </w:r>
      <w:r w:rsidR="007321C5">
        <w:t xml:space="preserve"> </w:t>
      </w:r>
      <w:r w:rsidRPr="006132B7">
        <w:t xml:space="preserve">Directive or the Irish implementing </w:t>
      </w:r>
      <w:r w:rsidR="00D331FD">
        <w:t>R</w:t>
      </w:r>
      <w:r w:rsidRPr="006132B7">
        <w:t>egulations, but the case law suggest</w:t>
      </w:r>
      <w:r w:rsidR="006529E6">
        <w:t>s</w:t>
      </w:r>
      <w:r w:rsidRPr="006132B7">
        <w:t xml:space="preserve"> that EU law </w:t>
      </w:r>
      <w:r w:rsidR="006529E6">
        <w:t xml:space="preserve">envisages </w:t>
      </w:r>
      <w:r w:rsidRPr="006132B7">
        <w:t xml:space="preserve">that where the constitutional or legal provisions of domestic law exclude </w:t>
      </w:r>
      <w:r w:rsidRPr="006132B7">
        <w:lastRenderedPageBreak/>
        <w:t xml:space="preserve">a review of a refusal to afford access to information, </w:t>
      </w:r>
      <w:r w:rsidR="007321C5">
        <w:t xml:space="preserve">those </w:t>
      </w:r>
      <w:r w:rsidRPr="006132B7">
        <w:t>national provision</w:t>
      </w:r>
      <w:r w:rsidR="007321C5">
        <w:t>s</w:t>
      </w:r>
      <w:r w:rsidRPr="006132B7">
        <w:t xml:space="preserve"> can be accommodated within, and </w:t>
      </w:r>
      <w:r w:rsidR="007321C5">
        <w:t>are</w:t>
      </w:r>
      <w:r w:rsidRPr="006132B7">
        <w:t xml:space="preserve"> not incompatible with the </w:t>
      </w:r>
      <w:r w:rsidR="00455DF0">
        <w:t>AIE</w:t>
      </w:r>
      <w:r w:rsidR="007321C5">
        <w:t xml:space="preserve"> </w:t>
      </w:r>
      <w:r w:rsidRPr="006132B7">
        <w:t>Directive, provided the national excluding measure is clear and was in existence at the date of the adoption of the Directive.</w:t>
      </w:r>
    </w:p>
    <w:p w14:paraId="37B32576" w14:textId="2C2B8681" w:rsidR="009374FB" w:rsidRPr="006132B7" w:rsidRDefault="009374FB" w:rsidP="00133179">
      <w:pPr>
        <w:numPr>
          <w:ilvl w:val="0"/>
          <w:numId w:val="1"/>
        </w:numPr>
        <w:spacing w:line="480" w:lineRule="auto"/>
        <w:ind w:left="0" w:firstLine="0"/>
        <w:jc w:val="both"/>
      </w:pPr>
      <w:r w:rsidRPr="006132B7">
        <w:t xml:space="preserve">It follows therefore that as a matter of EU law the availability of a judicial remedy from a refusal of the President to afford access to information is not necessitated by EU membership, and that </w:t>
      </w:r>
      <w:r w:rsidR="000E2C12">
        <w:t>A</w:t>
      </w:r>
      <w:r w:rsidRPr="006132B7">
        <w:t>rticle 2(2) may be seen as protective of domestic constitutional provisions.</w:t>
      </w:r>
    </w:p>
    <w:p w14:paraId="21FFD324" w14:textId="2E63ECA0" w:rsidR="007073E6" w:rsidRDefault="007073E6" w:rsidP="007073E6">
      <w:pPr>
        <w:numPr>
          <w:ilvl w:val="0"/>
          <w:numId w:val="1"/>
        </w:numPr>
        <w:spacing w:line="480" w:lineRule="auto"/>
        <w:ind w:left="0" w:firstLine="0"/>
        <w:jc w:val="both"/>
      </w:pPr>
      <w:r>
        <w:t xml:space="preserve">The one requirement apparent from the decision of </w:t>
      </w:r>
      <w:proofErr w:type="spellStart"/>
      <w:r w:rsidR="00E61669" w:rsidRPr="0035257A">
        <w:rPr>
          <w:i/>
        </w:rPr>
        <w:t>Flachglas</w:t>
      </w:r>
      <w:proofErr w:type="spellEnd"/>
      <w:r w:rsidR="00E61669">
        <w:t xml:space="preserve"> </w:t>
      </w:r>
      <w:proofErr w:type="spellStart"/>
      <w:r w:rsidR="00E61669" w:rsidRPr="00914CD3">
        <w:rPr>
          <w:i/>
        </w:rPr>
        <w:t>Torgau</w:t>
      </w:r>
      <w:proofErr w:type="spellEnd"/>
      <w:r w:rsidR="00E61669" w:rsidRPr="00914CD3">
        <w:rPr>
          <w:i/>
        </w:rPr>
        <w:t xml:space="preserve"> GmbH v</w:t>
      </w:r>
      <w:r w:rsidR="00E61669">
        <w:rPr>
          <w:i/>
        </w:rPr>
        <w:t>.</w:t>
      </w:r>
      <w:r w:rsidR="00E61669" w:rsidRPr="00914CD3">
        <w:rPr>
          <w:i/>
        </w:rPr>
        <w:t xml:space="preserve"> Federal Republic of Germany</w:t>
      </w:r>
      <w:r>
        <w:t xml:space="preserve"> and that is that the domestic legal provision be clear</w:t>
      </w:r>
      <w:r w:rsidR="00095B7D">
        <w:t>:</w:t>
      </w:r>
    </w:p>
    <w:p w14:paraId="7A4B9A4A" w14:textId="79A7EE61" w:rsidR="000466AC" w:rsidRPr="000466AC" w:rsidRDefault="000466AC" w:rsidP="00587C50">
      <w:pPr>
        <w:spacing w:line="480" w:lineRule="auto"/>
        <w:ind w:left="720"/>
        <w:jc w:val="both"/>
      </w:pPr>
      <w:r>
        <w:rPr>
          <w:bCs/>
        </w:rPr>
        <w:t>“</w:t>
      </w:r>
      <w:r w:rsidRPr="000466AC">
        <w:rPr>
          <w:bCs/>
        </w:rPr>
        <w:t>According to settled case</w:t>
      </w:r>
      <w:r w:rsidRPr="000466AC">
        <w:rPr>
          <w:bCs/>
        </w:rPr>
        <w:noBreakHyphen/>
        <w:t>law, while it is essential that the legal situation resulting from national implementing measures is sufficiently precise and clear to enable the individuals concerned to know the extent of their rights</w:t>
      </w:r>
      <w:r w:rsidR="00E61669">
        <w:rPr>
          <w:bCs/>
        </w:rPr>
        <w:t xml:space="preserve"> and obligations</w:t>
      </w:r>
      <w:r>
        <w:rPr>
          <w:bCs/>
        </w:rPr>
        <w:t xml:space="preserve">” (at para. 60) </w:t>
      </w:r>
    </w:p>
    <w:p w14:paraId="06CBBDA6" w14:textId="50DE4269" w:rsidR="0059225A" w:rsidRDefault="0059225A" w:rsidP="007073E6">
      <w:pPr>
        <w:numPr>
          <w:ilvl w:val="0"/>
          <w:numId w:val="1"/>
        </w:numPr>
        <w:spacing w:line="480" w:lineRule="auto"/>
        <w:ind w:left="0" w:firstLine="0"/>
        <w:jc w:val="both"/>
      </w:pPr>
      <w:r>
        <w:t xml:space="preserve">And later: </w:t>
      </w:r>
    </w:p>
    <w:p w14:paraId="61A2F4F4" w14:textId="007C58BD" w:rsidR="0059225A" w:rsidRDefault="0059225A" w:rsidP="00587C50">
      <w:pPr>
        <w:spacing w:line="480" w:lineRule="auto"/>
        <w:ind w:left="720"/>
        <w:jc w:val="both"/>
      </w:pPr>
      <w:r w:rsidRPr="0059225A">
        <w:rPr>
          <w:bCs/>
        </w:rPr>
        <w:t>“</w:t>
      </w:r>
      <w:r w:rsidR="00E61669">
        <w:rPr>
          <w:bCs/>
        </w:rPr>
        <w:t xml:space="preserve">[…] </w:t>
      </w:r>
      <w:r w:rsidRPr="0059225A">
        <w:rPr>
          <w:bCs/>
        </w:rPr>
        <w:t>national law must clearly establish the scope of the concept of ‘proceedings’ of public authorities referred to in that provision, which refers to the final stages of the decision‑making process of public authorities.”</w:t>
      </w:r>
      <w:r>
        <w:t xml:space="preserve"> (at para. 63)</w:t>
      </w:r>
    </w:p>
    <w:p w14:paraId="63E0297E" w14:textId="593546AF" w:rsidR="00C7019E" w:rsidRPr="001A03B8" w:rsidRDefault="007073E6" w:rsidP="001A03B8">
      <w:pPr>
        <w:numPr>
          <w:ilvl w:val="0"/>
          <w:numId w:val="1"/>
        </w:numPr>
        <w:spacing w:line="480" w:lineRule="auto"/>
        <w:ind w:left="0" w:firstLine="0"/>
        <w:jc w:val="both"/>
        <w:rPr>
          <w:b/>
          <w:u w:val="single"/>
        </w:rPr>
      </w:pPr>
      <w:r>
        <w:t xml:space="preserve">For the reasons </w:t>
      </w:r>
      <w:r w:rsidR="004223FE">
        <w:t>set out above</w:t>
      </w:r>
      <w:r>
        <w:t xml:space="preserve"> it seems to me that the constitutional prohibition on making the President answerable contained in Article 13.8.1</w:t>
      </w:r>
      <w:r w:rsidR="00455DF0">
        <w:rPr>
          <w:rFonts w:ascii="Arial" w:hAnsi="Arial" w:cs="Arial"/>
          <w:color w:val="666666"/>
          <w:sz w:val="21"/>
          <w:szCs w:val="21"/>
          <w:shd w:val="clear" w:color="auto" w:fill="FFFFFF"/>
        </w:rPr>
        <w:t>°</w:t>
      </w:r>
      <w:r>
        <w:t xml:space="preserve"> is </w:t>
      </w:r>
      <w:r w:rsidR="00095B7D">
        <w:t>“sufficiently precise and clear”</w:t>
      </w:r>
      <w:r>
        <w:t xml:space="preserve"> and has been treated as such by domestic courts on the rare occasions when the immunity has been invoked in litigation.  The Irish constitutional immunity has been present since 1937 and long pre-dated the adoption of the Directive.  </w:t>
      </w:r>
      <w:r w:rsidR="003C6985">
        <w:t xml:space="preserve">EU law permits the exclusion of a power of review where the Member State’s constitutional order so requires, and therefore does not necessitate that the clear constitutional immunity of the President be abrogated for the purpose of the AIE Directive. </w:t>
      </w:r>
      <w:r w:rsidR="00856B55">
        <w:t xml:space="preserve"> </w:t>
      </w:r>
    </w:p>
    <w:p w14:paraId="5458F3D2" w14:textId="77777777" w:rsidR="001A03B8" w:rsidRDefault="001A03B8" w:rsidP="007073E6">
      <w:pPr>
        <w:spacing w:line="480" w:lineRule="auto"/>
        <w:jc w:val="both"/>
        <w:rPr>
          <w:b/>
          <w:u w:val="single"/>
        </w:rPr>
      </w:pPr>
    </w:p>
    <w:p w14:paraId="6BCB9CAC" w14:textId="738EB0CD" w:rsidR="007073E6" w:rsidRPr="00552B09" w:rsidRDefault="007073E6" w:rsidP="007073E6">
      <w:pPr>
        <w:spacing w:line="480" w:lineRule="auto"/>
        <w:jc w:val="both"/>
      </w:pPr>
      <w:r w:rsidRPr="0031717D">
        <w:rPr>
          <w:b/>
          <w:u w:val="single"/>
        </w:rPr>
        <w:lastRenderedPageBreak/>
        <w:t>The option to exclude: must it be invoked expressly?</w:t>
      </w:r>
    </w:p>
    <w:p w14:paraId="7D466D10" w14:textId="205CE6C0" w:rsidR="007073E6" w:rsidRPr="00032AFE" w:rsidRDefault="007073E6" w:rsidP="007073E6">
      <w:pPr>
        <w:numPr>
          <w:ilvl w:val="0"/>
          <w:numId w:val="1"/>
        </w:numPr>
        <w:spacing w:line="480" w:lineRule="auto"/>
        <w:ind w:left="0" w:firstLine="0"/>
        <w:jc w:val="both"/>
        <w:rPr>
          <w:i/>
        </w:rPr>
      </w:pPr>
      <w:r>
        <w:t xml:space="preserve">The trial judge found that a Member State must </w:t>
      </w:r>
      <w:r w:rsidR="00B11796">
        <w:t xml:space="preserve">expressly </w:t>
      </w:r>
      <w:r>
        <w:t xml:space="preserve">elect to exclude a body from the AIE Directive and that as Ireland had not so elected in the AIE Regulations, the President, the OSGP and the Council of State are not excluded from an application and are amenable to the jurisdiction of the Commissioner.  </w:t>
      </w:r>
    </w:p>
    <w:p w14:paraId="11D30550" w14:textId="4A770587" w:rsidR="007073E6" w:rsidRPr="00E40C77" w:rsidRDefault="007073E6" w:rsidP="007073E6">
      <w:pPr>
        <w:numPr>
          <w:ilvl w:val="0"/>
          <w:numId w:val="1"/>
        </w:numPr>
        <w:spacing w:line="480" w:lineRule="auto"/>
        <w:ind w:left="0" w:firstLine="0"/>
        <w:jc w:val="both"/>
        <w:rPr>
          <w:i/>
        </w:rPr>
      </w:pPr>
      <w:r>
        <w:t xml:space="preserve">It was argued by the State parties that the use of the words “may exclude” in the second sentence of the second subparagraph of </w:t>
      </w:r>
      <w:r w:rsidR="00B11796">
        <w:t>A</w:t>
      </w:r>
      <w:r>
        <w:t>rt</w:t>
      </w:r>
      <w:r w:rsidR="000E2C12">
        <w:t>icle</w:t>
      </w:r>
      <w:r>
        <w:t xml:space="preserve"> 2(2) does not support the conclusion drawn by the High Court judge that an exclusion must be made express</w:t>
      </w:r>
      <w:r w:rsidR="00E61669">
        <w:t>ly in the</w:t>
      </w:r>
      <w:r>
        <w:t xml:space="preserve"> transposing legislation and the State parties point to the fact that the Directive does not make any provision as to how an exclusion might be implemented, thereby leaving to the Member States</w:t>
      </w:r>
      <w:r w:rsidR="00866DED">
        <w:t>, in the words of Article 288(3) TF</w:t>
      </w:r>
      <w:r w:rsidR="00BA72DC">
        <w:t>E</w:t>
      </w:r>
      <w:r w:rsidR="00866DED">
        <w:t>U, the “choice and form of methods” regarding the</w:t>
      </w:r>
      <w:r>
        <w:t xml:space="preserve"> mode of</w:t>
      </w:r>
      <w:r w:rsidR="00866DED">
        <w:t xml:space="preserve"> its transposition</w:t>
      </w:r>
      <w:r>
        <w:t xml:space="preserve">.  </w:t>
      </w:r>
    </w:p>
    <w:p w14:paraId="677F8356" w14:textId="43928628" w:rsidR="007073E6" w:rsidRPr="00E40C77" w:rsidRDefault="007073E6" w:rsidP="007073E6">
      <w:pPr>
        <w:numPr>
          <w:ilvl w:val="0"/>
          <w:numId w:val="1"/>
        </w:numPr>
        <w:spacing w:line="480" w:lineRule="auto"/>
        <w:ind w:left="0" w:firstLine="0"/>
        <w:jc w:val="both"/>
        <w:rPr>
          <w:i/>
        </w:rPr>
      </w:pPr>
      <w:r>
        <w:t>The Directive recognises the constitutional specificity of the Member States and that constitutional exemption did not need legislative action</w:t>
      </w:r>
      <w:r w:rsidR="006121F1">
        <w:t xml:space="preserve"> on the part of the Member States concerned. In the case of Ireland</w:t>
      </w:r>
      <w:r w:rsidR="00BA72DC">
        <w:t>,</w:t>
      </w:r>
      <w:r>
        <w:t xml:space="preserve"> it arises by virtue of the Irish constitutional order</w:t>
      </w:r>
      <w:r w:rsidR="006121F1">
        <w:t xml:space="preserve"> as a separate free-standing prohibition provided for by Article 13.8.1</w:t>
      </w:r>
      <w:r w:rsidR="00117611">
        <w:rPr>
          <w:rFonts w:ascii="Arial" w:hAnsi="Arial" w:cs="Arial"/>
          <w:color w:val="666666"/>
          <w:sz w:val="21"/>
          <w:szCs w:val="21"/>
          <w:shd w:val="clear" w:color="auto" w:fill="FFFFFF"/>
        </w:rPr>
        <w:t>°</w:t>
      </w:r>
      <w:r>
        <w:t xml:space="preserve">. Given the clarity of the constitutional prohibition on making the President </w:t>
      </w:r>
      <w:r w:rsidR="006121F1">
        <w:t>answerable to any legal or administrative process (other than that specified by Article 13.8.2</w:t>
      </w:r>
      <w:r w:rsidR="00455DF0">
        <w:rPr>
          <w:rFonts w:ascii="Arial" w:hAnsi="Arial" w:cs="Arial"/>
          <w:color w:val="666666"/>
          <w:sz w:val="21"/>
          <w:szCs w:val="21"/>
          <w:shd w:val="clear" w:color="auto" w:fill="FFFFFF"/>
        </w:rPr>
        <w:t>°</w:t>
      </w:r>
      <w:r w:rsidR="006121F1">
        <w:t>)</w:t>
      </w:r>
      <w:r>
        <w:t>, it would have been “superfluous” or unnecessary to make express provision for</w:t>
      </w:r>
      <w:r w:rsidR="006121F1">
        <w:t xml:space="preserve"> any such</w:t>
      </w:r>
      <w:r>
        <w:t xml:space="preserve"> exemption in </w:t>
      </w:r>
      <w:r w:rsidR="00E61669">
        <w:t xml:space="preserve">the </w:t>
      </w:r>
      <w:r>
        <w:t>national implementing measure.</w:t>
      </w:r>
      <w:r w:rsidR="005E476C">
        <w:t xml:space="preserve"> </w:t>
      </w:r>
      <w:r>
        <w:t>As</w:t>
      </w:r>
      <w:r w:rsidR="005E476C">
        <w:t xml:space="preserve"> </w:t>
      </w:r>
      <w:r>
        <w:t>the CJEU said in Case C-29/8</w:t>
      </w:r>
      <w:r w:rsidR="00E61669">
        <w:t xml:space="preserve">4, </w:t>
      </w:r>
      <w:r w:rsidR="00E61669" w:rsidRPr="00E40C77">
        <w:rPr>
          <w:i/>
        </w:rPr>
        <w:t>Commission v</w:t>
      </w:r>
      <w:r w:rsidR="00E61669">
        <w:rPr>
          <w:i/>
        </w:rPr>
        <w:t>.</w:t>
      </w:r>
      <w:r w:rsidR="00E61669" w:rsidRPr="00E40C77">
        <w:rPr>
          <w:i/>
        </w:rPr>
        <w:t xml:space="preserve"> </w:t>
      </w:r>
      <w:r w:rsidR="00E61669" w:rsidRPr="00E61669">
        <w:rPr>
          <w:i/>
        </w:rPr>
        <w:t>Germany</w:t>
      </w:r>
      <w:r w:rsidR="00E61669">
        <w:rPr>
          <w:iCs/>
        </w:rPr>
        <w:t xml:space="preserve">, </w:t>
      </w:r>
      <w:r w:rsidR="00E61669" w:rsidRPr="00BA408B">
        <w:rPr>
          <w:iCs/>
        </w:rPr>
        <w:t>ECLI</w:t>
      </w:r>
      <w:r w:rsidR="00E61669" w:rsidRPr="00E61669">
        <w:t>:EU:C:1985:229</w:t>
      </w:r>
      <w:r>
        <w:t>:</w:t>
      </w:r>
    </w:p>
    <w:p w14:paraId="21DE59B4" w14:textId="410FD296" w:rsidR="007073E6" w:rsidRPr="000B2E83" w:rsidRDefault="007073E6" w:rsidP="007073E6">
      <w:pPr>
        <w:spacing w:line="480" w:lineRule="auto"/>
        <w:ind w:left="720"/>
        <w:jc w:val="both"/>
        <w:rPr>
          <w:i/>
        </w:rPr>
      </w:pPr>
      <w:r>
        <w:t xml:space="preserve">“the existence of general principles of constitutional or administrative law may render implementation by specific legislation superfluous, provided however that those principles guarantee that the national authorities will in fact apply the </w:t>
      </w:r>
      <w:r w:rsidR="0054767E">
        <w:t>d</w:t>
      </w:r>
      <w:r>
        <w:t>irective fully and that, where the</w:t>
      </w:r>
      <w:r w:rsidR="0054767E">
        <w:t xml:space="preserve"> d</w:t>
      </w:r>
      <w:r>
        <w:t xml:space="preserve">irective is intended to create rights for individuals, the legal position arising from these principles is sufficiently precise and clear …”.  </w:t>
      </w:r>
    </w:p>
    <w:p w14:paraId="6A241199" w14:textId="531BEA14" w:rsidR="007073E6" w:rsidRDefault="007073E6" w:rsidP="007073E6">
      <w:pPr>
        <w:numPr>
          <w:ilvl w:val="0"/>
          <w:numId w:val="1"/>
        </w:numPr>
        <w:spacing w:line="480" w:lineRule="auto"/>
        <w:ind w:left="0" w:firstLine="0"/>
        <w:jc w:val="both"/>
      </w:pPr>
      <w:r>
        <w:lastRenderedPageBreak/>
        <w:t xml:space="preserve">Thus, if a structurally superior constitutional immunity exists, legislation did not need to repeat it, and the immunity </w:t>
      </w:r>
      <w:r w:rsidR="00BA72DC">
        <w:t xml:space="preserve">was </w:t>
      </w:r>
      <w:r>
        <w:t>not require</w:t>
      </w:r>
      <w:r w:rsidR="00BA72DC">
        <w:t>d</w:t>
      </w:r>
      <w:r>
        <w:t xml:space="preserve"> to be express in legislation, provided the relevant measures are sufficiently clear and precise.  The form in which the exclusion is found is not mandated by </w:t>
      </w:r>
      <w:r w:rsidR="00B11796">
        <w:t xml:space="preserve">EU </w:t>
      </w:r>
      <w:r>
        <w:t xml:space="preserve">law. </w:t>
      </w:r>
    </w:p>
    <w:p w14:paraId="5403FDC5" w14:textId="558A2655" w:rsidR="0059225A" w:rsidRDefault="0059225A" w:rsidP="0059225A">
      <w:pPr>
        <w:numPr>
          <w:ilvl w:val="0"/>
          <w:numId w:val="1"/>
        </w:numPr>
        <w:spacing w:line="480" w:lineRule="auto"/>
        <w:ind w:left="0" w:firstLine="0"/>
        <w:jc w:val="both"/>
      </w:pPr>
      <w:r>
        <w:t>The CJEU has in fact answered the question regarding the requirement of express derogation or exclusion.  E</w:t>
      </w:r>
      <w:r w:rsidR="00B11796">
        <w:t>U</w:t>
      </w:r>
      <w:r>
        <w:t xml:space="preserve"> law accepts that a restriction may exist at domestic level and may lawfully be seen to have the effect of excluding that body from the provisions of the Directive and any national transposing legislation.</w:t>
      </w:r>
      <w:r w:rsidR="00B11796">
        <w:t xml:space="preserve">  </w:t>
      </w:r>
      <w:r>
        <w:t>The exclusion may pre-exist the Directive, as occurred in Ireland, and in that instance, there is no requirement of express derogation or exclusion.</w:t>
      </w:r>
      <w:r w:rsidR="00F27750">
        <w:t xml:space="preserve"> </w:t>
      </w:r>
    </w:p>
    <w:p w14:paraId="57B1DFC9" w14:textId="70EFD987" w:rsidR="00E2765E" w:rsidRDefault="007073E6" w:rsidP="007073E6">
      <w:pPr>
        <w:numPr>
          <w:ilvl w:val="0"/>
          <w:numId w:val="1"/>
        </w:numPr>
        <w:spacing w:line="480" w:lineRule="auto"/>
        <w:ind w:left="0" w:firstLine="0"/>
        <w:jc w:val="both"/>
      </w:pPr>
      <w:r>
        <w:t xml:space="preserve">Finally, I reject the argument of </w:t>
      </w:r>
      <w:r w:rsidR="00F27750">
        <w:t xml:space="preserve">Right to Know </w:t>
      </w:r>
      <w:r>
        <w:t xml:space="preserve">that, as the purpose of the Directive is to make available access to environmental information generally, that the President must be made amenable to this request. </w:t>
      </w:r>
      <w:r w:rsidR="00B11796">
        <w:t xml:space="preserve"> </w:t>
      </w:r>
      <w:r>
        <w:t xml:space="preserve">No power or function of the President involves him or her making decisions on environmental matters, </w:t>
      </w:r>
      <w:r w:rsidR="0059225A">
        <w:t xml:space="preserve">or in </w:t>
      </w:r>
      <w:r>
        <w:t>holding environmental information which is relevant to individual decision</w:t>
      </w:r>
      <w:r w:rsidR="00095B7D">
        <w:t>-</w:t>
      </w:r>
      <w:r>
        <w:t>making</w:t>
      </w:r>
      <w:r w:rsidR="000466AC">
        <w:t>.</w:t>
      </w:r>
      <w:r w:rsidR="00B11796">
        <w:t xml:space="preserve"> </w:t>
      </w:r>
      <w:r w:rsidR="000466AC">
        <w:t xml:space="preserve"> T</w:t>
      </w:r>
      <w:r>
        <w:t xml:space="preserve">he information or documentation that might have been read or consulted by the President for the purposes of giving the two speeches for example, must be regarded as documentation of high principle and not ones that show or illustrate any decision or administrative act by the President which might have impacted individual persons or bodies. </w:t>
      </w:r>
    </w:p>
    <w:p w14:paraId="04E7171F" w14:textId="77777777" w:rsidR="002578D6" w:rsidRPr="00080B9B" w:rsidRDefault="002578D6" w:rsidP="002578D6">
      <w:pPr>
        <w:spacing w:line="480" w:lineRule="auto"/>
        <w:jc w:val="both"/>
        <w:rPr>
          <w:b/>
          <w:u w:val="single"/>
        </w:rPr>
      </w:pPr>
      <w:r>
        <w:rPr>
          <w:b/>
          <w:u w:val="single"/>
        </w:rPr>
        <w:t>I</w:t>
      </w:r>
      <w:r w:rsidRPr="00080B9B">
        <w:rPr>
          <w:b/>
          <w:u w:val="single"/>
        </w:rPr>
        <w:t xml:space="preserve">s the President and/or the </w:t>
      </w:r>
      <w:r>
        <w:rPr>
          <w:b/>
          <w:u w:val="single"/>
        </w:rPr>
        <w:t xml:space="preserve">Council of State </w:t>
      </w:r>
      <w:r w:rsidRPr="00080B9B">
        <w:rPr>
          <w:b/>
          <w:u w:val="single"/>
        </w:rPr>
        <w:t>a “public authority”?</w:t>
      </w:r>
    </w:p>
    <w:p w14:paraId="306EBF6D" w14:textId="3C790F32" w:rsidR="002578D6" w:rsidRDefault="002578D6" w:rsidP="002578D6">
      <w:pPr>
        <w:numPr>
          <w:ilvl w:val="0"/>
          <w:numId w:val="1"/>
        </w:numPr>
        <w:spacing w:line="480" w:lineRule="auto"/>
        <w:ind w:left="0" w:firstLine="0"/>
        <w:jc w:val="both"/>
      </w:pPr>
      <w:r>
        <w:t>As already discussed above, Art</w:t>
      </w:r>
      <w:r w:rsidR="000E2C12">
        <w:t>icle</w:t>
      </w:r>
      <w:r>
        <w:t xml:space="preserve"> 2(2) </w:t>
      </w:r>
      <w:r w:rsidR="000E3475">
        <w:t xml:space="preserve">of the AIE Directive </w:t>
      </w:r>
      <w:r>
        <w:t xml:space="preserve">permits the exclusion of certain national bodies or institutions from the requirement of disclosure in order to protect the constitutional order of a Member State.  But it is useful to consider the question arising in this appeal from an analysis of the logically prior question of whether either the President and/or the Council of State could properly be described as a “public authority” for the purposes of the Directive and the domestic Regulations.  </w:t>
      </w:r>
      <w:r w:rsidRPr="00552B09">
        <w:t xml:space="preserve">A </w:t>
      </w:r>
      <w:r>
        <w:t xml:space="preserve">resolution of that question </w:t>
      </w:r>
      <w:r>
        <w:lastRenderedPageBreak/>
        <w:t xml:space="preserve">has important consequences for the operation of the Regulations generally, and a </w:t>
      </w:r>
      <w:r w:rsidRPr="00552B09">
        <w:t xml:space="preserve">decision that the President </w:t>
      </w:r>
      <w:r>
        <w:t xml:space="preserve">and/or the Council of State do not fall within the definition </w:t>
      </w:r>
      <w:r w:rsidRPr="00552B09">
        <w:t xml:space="preserve">is capable of resolving the appeal.  </w:t>
      </w:r>
    </w:p>
    <w:p w14:paraId="23B29729" w14:textId="77777777" w:rsidR="002578D6" w:rsidRDefault="002578D6" w:rsidP="002578D6">
      <w:pPr>
        <w:numPr>
          <w:ilvl w:val="0"/>
          <w:numId w:val="1"/>
        </w:numPr>
        <w:spacing w:line="480" w:lineRule="auto"/>
        <w:ind w:left="0" w:firstLine="0"/>
        <w:jc w:val="both"/>
      </w:pPr>
      <w:r w:rsidRPr="00552B09">
        <w:t>Th</w:t>
      </w:r>
      <w:r>
        <w:t>e</w:t>
      </w:r>
      <w:r w:rsidRPr="00552B09">
        <w:t xml:space="preserve"> </w:t>
      </w:r>
      <w:r>
        <w:t xml:space="preserve">scope of the exemption and the interpretation of the definition of “public authority” </w:t>
      </w:r>
      <w:r w:rsidRPr="00552B09">
        <w:t>was not c</w:t>
      </w:r>
      <w:r>
        <w:t xml:space="preserve">onsidered in </w:t>
      </w:r>
      <w:r w:rsidRPr="00552B09">
        <w:t>the High Court judgment, but the Determination granting leave did propose that this question be</w:t>
      </w:r>
      <w:r>
        <w:t xml:space="preserve"> addressed in submissions</w:t>
      </w:r>
      <w:r w:rsidRPr="00552B09">
        <w:t xml:space="preserve">. </w:t>
      </w:r>
    </w:p>
    <w:p w14:paraId="155DBC37" w14:textId="685AA79A" w:rsidR="002578D6" w:rsidRPr="00552B09" w:rsidRDefault="002578D6" w:rsidP="002578D6">
      <w:pPr>
        <w:numPr>
          <w:ilvl w:val="0"/>
          <w:numId w:val="1"/>
        </w:numPr>
        <w:spacing w:line="480" w:lineRule="auto"/>
        <w:ind w:left="0" w:firstLine="0"/>
        <w:jc w:val="both"/>
      </w:pPr>
      <w:r>
        <w:t>A “public authority” is defined at Art</w:t>
      </w:r>
      <w:r w:rsidR="000E2C12">
        <w:t>icle</w:t>
      </w:r>
      <w:r>
        <w:t xml:space="preserve"> 2 of the </w:t>
      </w:r>
      <w:r w:rsidRPr="00552B09">
        <w:t>AIE Directive as:</w:t>
      </w:r>
    </w:p>
    <w:p w14:paraId="480A45EC" w14:textId="77777777" w:rsidR="002578D6" w:rsidRPr="00552B09" w:rsidRDefault="002578D6" w:rsidP="002578D6">
      <w:pPr>
        <w:spacing w:line="480" w:lineRule="auto"/>
        <w:ind w:left="720"/>
        <w:jc w:val="both"/>
      </w:pPr>
      <w:r>
        <w:t>“</w:t>
      </w:r>
      <w:r w:rsidRPr="00552B09">
        <w:t xml:space="preserve">(a) </w:t>
      </w:r>
      <w:r w:rsidRPr="00552B09">
        <w:tab/>
        <w:t xml:space="preserve"> Government or other public administration, including public advisory bodies, at national, regional or local level;</w:t>
      </w:r>
    </w:p>
    <w:p w14:paraId="4D295490" w14:textId="77777777" w:rsidR="002578D6" w:rsidRPr="00552B09" w:rsidRDefault="002578D6" w:rsidP="002578D6">
      <w:pPr>
        <w:spacing w:line="480" w:lineRule="auto"/>
        <w:ind w:left="720"/>
        <w:jc w:val="both"/>
      </w:pPr>
      <w:r w:rsidRPr="00552B09">
        <w:t>(b)</w:t>
      </w:r>
      <w:r w:rsidRPr="00552B09">
        <w:tab/>
        <w:t>Any natural or legal person performing public administrative functions under national law, including specific duties, activities or service in relation to the environment; and</w:t>
      </w:r>
    </w:p>
    <w:p w14:paraId="459DEC62" w14:textId="77777777" w:rsidR="002578D6" w:rsidRPr="00552B09" w:rsidRDefault="002578D6" w:rsidP="002578D6">
      <w:pPr>
        <w:spacing w:line="480" w:lineRule="auto"/>
        <w:ind w:left="720"/>
        <w:jc w:val="both"/>
      </w:pPr>
      <w:r w:rsidRPr="00552B09">
        <w:t>(c)</w:t>
      </w:r>
      <w:r w:rsidRPr="00552B09">
        <w:tab/>
        <w:t>Any natural or legal person having public responsibilities or functions, or providing public services relating to the environment under the control of a body or person falling within (a) or (b).</w:t>
      </w:r>
      <w:r>
        <w:t>”</w:t>
      </w:r>
      <w:r w:rsidRPr="00552B09">
        <w:t xml:space="preserve">  </w:t>
      </w:r>
    </w:p>
    <w:p w14:paraId="56823DCC" w14:textId="78DCBB40" w:rsidR="002578D6" w:rsidRDefault="002578D6" w:rsidP="002578D6">
      <w:pPr>
        <w:spacing w:line="480" w:lineRule="auto"/>
        <w:jc w:val="both"/>
      </w:pPr>
      <w:r>
        <w:t>Article</w:t>
      </w:r>
      <w:r w:rsidRPr="00552B09">
        <w:t xml:space="preserve"> 3 of the AIE Regulations transposes this definition exactly and added a non-exhaustive list of bodies (</w:t>
      </w:r>
      <w:proofErr w:type="spellStart"/>
      <w:r w:rsidRPr="00552B09">
        <w:t>i</w:t>
      </w:r>
      <w:proofErr w:type="spellEnd"/>
      <w:r w:rsidRPr="00552B09">
        <w:t xml:space="preserve">) to (vii). </w:t>
      </w:r>
    </w:p>
    <w:p w14:paraId="5D899EEA" w14:textId="77777777" w:rsidR="002578D6" w:rsidRPr="005932E1" w:rsidRDefault="002578D6" w:rsidP="002578D6">
      <w:pPr>
        <w:spacing w:line="480" w:lineRule="auto"/>
        <w:ind w:left="720"/>
        <w:jc w:val="both"/>
        <w:rPr>
          <w:bCs/>
        </w:rPr>
      </w:pPr>
      <w:r>
        <w:rPr>
          <w:b/>
        </w:rPr>
        <w:t>“</w:t>
      </w:r>
      <w:r w:rsidRPr="005932E1">
        <w:rPr>
          <w:bCs/>
        </w:rPr>
        <w:t>3. (1) In these Regulations—</w:t>
      </w:r>
    </w:p>
    <w:p w14:paraId="03A24EC1" w14:textId="77777777" w:rsidR="002578D6" w:rsidRPr="005932E1" w:rsidRDefault="002578D6" w:rsidP="002578D6">
      <w:pPr>
        <w:spacing w:line="480" w:lineRule="auto"/>
        <w:ind w:left="720"/>
        <w:jc w:val="both"/>
        <w:rPr>
          <w:bCs/>
        </w:rPr>
      </w:pPr>
      <w:r>
        <w:rPr>
          <w:bCs/>
        </w:rPr>
        <w:t>[…]</w:t>
      </w:r>
    </w:p>
    <w:p w14:paraId="04B3EA21" w14:textId="77777777" w:rsidR="002578D6" w:rsidRPr="005932E1" w:rsidRDefault="002578D6" w:rsidP="002578D6">
      <w:pPr>
        <w:spacing w:line="480" w:lineRule="auto"/>
        <w:ind w:left="720"/>
        <w:jc w:val="both"/>
        <w:rPr>
          <w:bCs/>
        </w:rPr>
      </w:pPr>
      <w:r w:rsidRPr="005932E1">
        <w:rPr>
          <w:bCs/>
        </w:rPr>
        <w:t>“public authority” means, subject to sub-article (2)—</w:t>
      </w:r>
    </w:p>
    <w:p w14:paraId="0529A751" w14:textId="77777777" w:rsidR="002578D6" w:rsidRPr="005932E1" w:rsidRDefault="002578D6" w:rsidP="002578D6">
      <w:pPr>
        <w:spacing w:line="480" w:lineRule="auto"/>
        <w:ind w:left="1440"/>
        <w:jc w:val="both"/>
        <w:rPr>
          <w:bCs/>
        </w:rPr>
      </w:pPr>
      <w:r w:rsidRPr="005932E1">
        <w:rPr>
          <w:bCs/>
        </w:rPr>
        <w:t>(a) government or other public administration, including public advisory bodies, at national, regional or local level,</w:t>
      </w:r>
    </w:p>
    <w:p w14:paraId="2A04922A" w14:textId="77777777" w:rsidR="002578D6" w:rsidRPr="005932E1" w:rsidRDefault="002578D6" w:rsidP="002578D6">
      <w:pPr>
        <w:spacing w:line="480" w:lineRule="auto"/>
        <w:ind w:left="1440"/>
        <w:jc w:val="both"/>
        <w:rPr>
          <w:bCs/>
        </w:rPr>
      </w:pPr>
      <w:r w:rsidRPr="005932E1">
        <w:rPr>
          <w:bCs/>
        </w:rPr>
        <w:t>(b) any natural or legal person performing public administrative functions under national law, including specific duties, activities or services in relation to the environment, and</w:t>
      </w:r>
    </w:p>
    <w:p w14:paraId="0C681088" w14:textId="77777777" w:rsidR="002578D6" w:rsidRPr="005932E1" w:rsidRDefault="002578D6" w:rsidP="002578D6">
      <w:pPr>
        <w:spacing w:line="480" w:lineRule="auto"/>
        <w:ind w:left="1440"/>
        <w:jc w:val="both"/>
        <w:rPr>
          <w:bCs/>
        </w:rPr>
      </w:pPr>
      <w:r w:rsidRPr="005932E1">
        <w:rPr>
          <w:bCs/>
        </w:rPr>
        <w:lastRenderedPageBreak/>
        <w:t>(c) any natural or legal person having public responsibilities or functions, or providing public services, relating to the environment under the control of a body or person falling within paragraph (a) or (b),</w:t>
      </w:r>
    </w:p>
    <w:p w14:paraId="0F4ED886" w14:textId="77777777" w:rsidR="002578D6" w:rsidRPr="005932E1" w:rsidRDefault="002578D6" w:rsidP="002578D6">
      <w:pPr>
        <w:spacing w:line="480" w:lineRule="auto"/>
        <w:ind w:left="720"/>
        <w:jc w:val="both"/>
        <w:rPr>
          <w:bCs/>
        </w:rPr>
      </w:pPr>
      <w:r w:rsidRPr="005932E1">
        <w:rPr>
          <w:bCs/>
        </w:rPr>
        <w:t>and includes—</w:t>
      </w:r>
    </w:p>
    <w:p w14:paraId="5ED5391C" w14:textId="77777777" w:rsidR="002578D6" w:rsidRPr="005932E1" w:rsidRDefault="002578D6" w:rsidP="002578D6">
      <w:pPr>
        <w:spacing w:line="480" w:lineRule="auto"/>
        <w:ind w:left="1440"/>
        <w:jc w:val="both"/>
        <w:rPr>
          <w:bCs/>
        </w:rPr>
      </w:pPr>
      <w:r w:rsidRPr="005932E1">
        <w:rPr>
          <w:bCs/>
        </w:rPr>
        <w:t>(</w:t>
      </w:r>
      <w:proofErr w:type="spellStart"/>
      <w:r w:rsidRPr="005932E1">
        <w:rPr>
          <w:bCs/>
        </w:rPr>
        <w:t>i</w:t>
      </w:r>
      <w:proofErr w:type="spellEnd"/>
      <w:r w:rsidRPr="005932E1">
        <w:rPr>
          <w:bCs/>
        </w:rPr>
        <w:t>) a Minister of the Government,</w:t>
      </w:r>
    </w:p>
    <w:p w14:paraId="34FCDC5C" w14:textId="77777777" w:rsidR="002578D6" w:rsidRPr="005932E1" w:rsidRDefault="002578D6" w:rsidP="002578D6">
      <w:pPr>
        <w:spacing w:line="480" w:lineRule="auto"/>
        <w:ind w:left="1440"/>
        <w:jc w:val="both"/>
        <w:rPr>
          <w:bCs/>
        </w:rPr>
      </w:pPr>
      <w:r w:rsidRPr="005932E1">
        <w:rPr>
          <w:bCs/>
        </w:rPr>
        <w:t>(ii) the Commissioners of Public Works in Ireland,</w:t>
      </w:r>
    </w:p>
    <w:p w14:paraId="639E928E" w14:textId="77777777" w:rsidR="002578D6" w:rsidRPr="005932E1" w:rsidRDefault="002578D6" w:rsidP="002578D6">
      <w:pPr>
        <w:spacing w:line="480" w:lineRule="auto"/>
        <w:ind w:left="1440"/>
        <w:jc w:val="both"/>
        <w:rPr>
          <w:bCs/>
        </w:rPr>
      </w:pPr>
      <w:r w:rsidRPr="005932E1">
        <w:rPr>
          <w:bCs/>
        </w:rPr>
        <w:t>(iii) a local authority for the purposes of the Local Government Act 2001 (No. 37 of 2001),</w:t>
      </w:r>
    </w:p>
    <w:p w14:paraId="55694952" w14:textId="77777777" w:rsidR="002578D6" w:rsidRPr="005932E1" w:rsidRDefault="002578D6" w:rsidP="002578D6">
      <w:pPr>
        <w:spacing w:line="480" w:lineRule="auto"/>
        <w:ind w:left="1440"/>
        <w:jc w:val="both"/>
        <w:rPr>
          <w:bCs/>
        </w:rPr>
      </w:pPr>
      <w:r w:rsidRPr="005932E1">
        <w:rPr>
          <w:bCs/>
        </w:rPr>
        <w:t>(iv) a harbour authority within the meaning of the Harbours Act 1946 (No. 9 of 1946),</w:t>
      </w:r>
    </w:p>
    <w:p w14:paraId="432EB2AB" w14:textId="77777777" w:rsidR="002578D6" w:rsidRPr="005932E1" w:rsidRDefault="002578D6" w:rsidP="002578D6">
      <w:pPr>
        <w:spacing w:line="480" w:lineRule="auto"/>
        <w:ind w:left="1440"/>
        <w:jc w:val="both"/>
        <w:rPr>
          <w:bCs/>
        </w:rPr>
      </w:pPr>
      <w:r w:rsidRPr="005932E1">
        <w:rPr>
          <w:bCs/>
        </w:rPr>
        <w:t>(v) the Health Service Executive established under the Health Act 2004 (No. 42 of 2004),</w:t>
      </w:r>
    </w:p>
    <w:p w14:paraId="718928D4" w14:textId="77777777" w:rsidR="002578D6" w:rsidRPr="005932E1" w:rsidRDefault="002578D6" w:rsidP="002578D6">
      <w:pPr>
        <w:spacing w:line="480" w:lineRule="auto"/>
        <w:ind w:left="1440"/>
        <w:jc w:val="both"/>
        <w:rPr>
          <w:bCs/>
        </w:rPr>
      </w:pPr>
      <w:r w:rsidRPr="005932E1">
        <w:rPr>
          <w:bCs/>
        </w:rPr>
        <w:t>(vi) a board or other body (but not including a company under the Companies Acts) established by or under statute,</w:t>
      </w:r>
    </w:p>
    <w:p w14:paraId="35F03DA2" w14:textId="77777777" w:rsidR="002578D6" w:rsidRPr="005932E1" w:rsidRDefault="002578D6" w:rsidP="002578D6">
      <w:pPr>
        <w:spacing w:line="480" w:lineRule="auto"/>
        <w:ind w:left="720" w:firstLine="720"/>
        <w:jc w:val="both"/>
        <w:rPr>
          <w:bCs/>
        </w:rPr>
      </w:pPr>
      <w:r w:rsidRPr="005932E1">
        <w:rPr>
          <w:bCs/>
        </w:rPr>
        <w:t>(vii) a company under the Companies Acts, in which all the shares are held—</w:t>
      </w:r>
    </w:p>
    <w:p w14:paraId="5C7949FD" w14:textId="77777777" w:rsidR="002578D6" w:rsidRPr="005932E1" w:rsidRDefault="002578D6" w:rsidP="002578D6">
      <w:pPr>
        <w:spacing w:line="480" w:lineRule="auto"/>
        <w:ind w:left="2160"/>
        <w:jc w:val="both"/>
        <w:rPr>
          <w:bCs/>
        </w:rPr>
      </w:pPr>
      <w:r w:rsidRPr="005932E1">
        <w:rPr>
          <w:bCs/>
        </w:rPr>
        <w:t>(I) by or on behalf of a Minister of the Government,</w:t>
      </w:r>
    </w:p>
    <w:p w14:paraId="34185C75" w14:textId="77777777" w:rsidR="002578D6" w:rsidRPr="005932E1" w:rsidRDefault="002578D6" w:rsidP="002578D6">
      <w:pPr>
        <w:spacing w:line="480" w:lineRule="auto"/>
        <w:ind w:left="2160"/>
        <w:jc w:val="both"/>
        <w:rPr>
          <w:bCs/>
        </w:rPr>
      </w:pPr>
      <w:r w:rsidRPr="005932E1">
        <w:rPr>
          <w:bCs/>
        </w:rPr>
        <w:t>(II) by directors appointed by a Minister of the Government,</w:t>
      </w:r>
    </w:p>
    <w:p w14:paraId="259FBD69" w14:textId="77777777" w:rsidR="002578D6" w:rsidRPr="005932E1" w:rsidRDefault="002578D6" w:rsidP="002578D6">
      <w:pPr>
        <w:spacing w:line="480" w:lineRule="auto"/>
        <w:ind w:left="2160"/>
        <w:jc w:val="both"/>
        <w:rPr>
          <w:bCs/>
        </w:rPr>
      </w:pPr>
      <w:r w:rsidRPr="005932E1">
        <w:rPr>
          <w:bCs/>
        </w:rPr>
        <w:t>(III) by a board or other body within the meaning of paragraph (vi), or</w:t>
      </w:r>
    </w:p>
    <w:p w14:paraId="7C3234DD" w14:textId="77777777" w:rsidR="002578D6" w:rsidRPr="005932E1" w:rsidRDefault="002578D6" w:rsidP="002578D6">
      <w:pPr>
        <w:spacing w:line="480" w:lineRule="auto"/>
        <w:ind w:left="2160"/>
        <w:jc w:val="both"/>
        <w:rPr>
          <w:bCs/>
        </w:rPr>
      </w:pPr>
      <w:r w:rsidRPr="005932E1">
        <w:rPr>
          <w:bCs/>
        </w:rPr>
        <w:t>(IV) by a company to which subparagraph (I) or (II) applies, having public administrative functions and responsibilities, and possessing environmental information;</w:t>
      </w:r>
    </w:p>
    <w:p w14:paraId="2D230CAE" w14:textId="77777777" w:rsidR="002578D6" w:rsidRDefault="002578D6" w:rsidP="002578D6">
      <w:pPr>
        <w:numPr>
          <w:ilvl w:val="0"/>
          <w:numId w:val="1"/>
        </w:numPr>
        <w:spacing w:line="480" w:lineRule="auto"/>
        <w:ind w:left="0" w:firstLine="0"/>
        <w:jc w:val="both"/>
      </w:pPr>
      <w:r>
        <w:t>The list of excluded bodies was expanded by the Regulations of 2018 to include the President and the Council of State:</w:t>
      </w:r>
    </w:p>
    <w:p w14:paraId="34AA3592" w14:textId="040AE6BE" w:rsidR="002578D6" w:rsidRDefault="002578D6" w:rsidP="002578D6">
      <w:pPr>
        <w:spacing w:line="480" w:lineRule="auto"/>
        <w:ind w:left="720"/>
        <w:jc w:val="both"/>
      </w:pPr>
      <w:r>
        <w:lastRenderedPageBreak/>
        <w:t>“2. Article 3 of the European Communities (Access to Information on the Environment) Regulations 2007 (S.I. No. 133 of 2007) is amended by the substitution of the following sub-article for sub-article (2):</w:t>
      </w:r>
    </w:p>
    <w:p w14:paraId="00D5EB06" w14:textId="77777777" w:rsidR="002578D6" w:rsidRDefault="002578D6" w:rsidP="002578D6">
      <w:pPr>
        <w:spacing w:line="480" w:lineRule="auto"/>
        <w:ind w:left="1440"/>
        <w:jc w:val="both"/>
      </w:pPr>
      <w:r>
        <w:t>“(2) Notwithstanding anything in sub-article (1), in these Regulations “public authority” does not include—</w:t>
      </w:r>
    </w:p>
    <w:p w14:paraId="29A5F583" w14:textId="77777777" w:rsidR="002578D6" w:rsidRDefault="002578D6" w:rsidP="002578D6">
      <w:pPr>
        <w:spacing w:line="480" w:lineRule="auto"/>
        <w:ind w:left="1440"/>
        <w:jc w:val="both"/>
      </w:pPr>
      <w:r>
        <w:t>(a) the President,</w:t>
      </w:r>
    </w:p>
    <w:p w14:paraId="5EC85C22" w14:textId="77777777" w:rsidR="002578D6" w:rsidRDefault="002578D6" w:rsidP="002578D6">
      <w:pPr>
        <w:spacing w:line="480" w:lineRule="auto"/>
        <w:ind w:left="1440"/>
        <w:jc w:val="both"/>
      </w:pPr>
      <w:r>
        <w:t>(b) the Office of the Secretary General to the President,</w:t>
      </w:r>
    </w:p>
    <w:p w14:paraId="47837CE0" w14:textId="77777777" w:rsidR="002578D6" w:rsidRDefault="002578D6" w:rsidP="002578D6">
      <w:pPr>
        <w:spacing w:line="480" w:lineRule="auto"/>
        <w:ind w:left="1440"/>
        <w:jc w:val="both"/>
      </w:pPr>
      <w:r>
        <w:t>(c) the Council of State,</w:t>
      </w:r>
    </w:p>
    <w:p w14:paraId="1A5A6A8E" w14:textId="77777777" w:rsidR="002578D6" w:rsidRDefault="002578D6" w:rsidP="002578D6">
      <w:pPr>
        <w:spacing w:line="480" w:lineRule="auto"/>
        <w:ind w:left="1440"/>
        <w:jc w:val="both"/>
      </w:pPr>
      <w:r>
        <w:t>(d) any Commission for the time being lawfully exercising the powers and performing the duties of the President, or</w:t>
      </w:r>
    </w:p>
    <w:p w14:paraId="19B68083" w14:textId="77777777" w:rsidR="002578D6" w:rsidRDefault="002578D6" w:rsidP="002578D6">
      <w:pPr>
        <w:spacing w:line="480" w:lineRule="auto"/>
        <w:ind w:left="1440"/>
        <w:jc w:val="both"/>
      </w:pPr>
      <w:r>
        <w:t xml:space="preserve">(e) </w:t>
      </w:r>
      <w:proofErr w:type="spellStart"/>
      <w:r>
        <w:t>any body</w:t>
      </w:r>
      <w:proofErr w:type="spellEnd"/>
      <w:r>
        <w:t xml:space="preserve"> when acting in a judicial or legislative capacity.’”</w:t>
      </w:r>
    </w:p>
    <w:p w14:paraId="096CDA8A" w14:textId="3142CBE2" w:rsidR="002578D6" w:rsidRPr="007E6A59" w:rsidRDefault="002578D6" w:rsidP="002578D6">
      <w:pPr>
        <w:numPr>
          <w:ilvl w:val="0"/>
          <w:numId w:val="1"/>
        </w:numPr>
        <w:spacing w:line="480" w:lineRule="auto"/>
        <w:ind w:left="0" w:firstLine="0"/>
        <w:jc w:val="both"/>
        <w:rPr>
          <w:i/>
        </w:rPr>
      </w:pPr>
      <w:r w:rsidRPr="00552B09">
        <w:t>The AIE Regulations contain an express provision excluding bodies that act in a judicial or legislative capacity from the definition of public authority</w:t>
      </w:r>
      <w:r>
        <w:t xml:space="preserve">, at </w:t>
      </w:r>
      <w:r w:rsidR="003F145E">
        <w:t>Article</w:t>
      </w:r>
      <w:r>
        <w:t xml:space="preserve"> 3(2):</w:t>
      </w:r>
    </w:p>
    <w:p w14:paraId="30089568" w14:textId="77777777" w:rsidR="002578D6" w:rsidRPr="00552B09" w:rsidRDefault="002578D6" w:rsidP="002578D6">
      <w:pPr>
        <w:spacing w:line="480" w:lineRule="auto"/>
        <w:ind w:left="720"/>
        <w:jc w:val="both"/>
      </w:pPr>
      <w:r>
        <w:t>“</w:t>
      </w:r>
      <w:r w:rsidRPr="00552B09">
        <w:t>Notwithstanding anything in sub-article (1), “public authority” does not include any body when acting in a judicial or legislative capacity.</w:t>
      </w:r>
      <w:r>
        <w:t>”</w:t>
      </w:r>
    </w:p>
    <w:p w14:paraId="5458963D" w14:textId="5C397202" w:rsidR="002578D6" w:rsidRDefault="002578D6" w:rsidP="002578D6">
      <w:pPr>
        <w:numPr>
          <w:ilvl w:val="0"/>
          <w:numId w:val="1"/>
        </w:numPr>
        <w:spacing w:line="480" w:lineRule="auto"/>
        <w:ind w:left="0" w:firstLine="0"/>
        <w:jc w:val="both"/>
      </w:pPr>
      <w:r>
        <w:t>For the reasons already explained earlier in this judgment</w:t>
      </w:r>
      <w:r w:rsidR="00AE44A2">
        <w:t>,</w:t>
      </w:r>
      <w:r>
        <w:t xml:space="preserve"> I do not consider that either the President or the Council of State acts in either a judicial or legislative capacity and therefore the exclusion in </w:t>
      </w:r>
      <w:r w:rsidR="003F145E">
        <w:t>Article</w:t>
      </w:r>
      <w:r>
        <w:t xml:space="preserve"> 3(2) is not applicable.</w:t>
      </w:r>
    </w:p>
    <w:p w14:paraId="65888BBB" w14:textId="22D78F25" w:rsidR="002578D6" w:rsidRDefault="002578D6" w:rsidP="002578D6">
      <w:pPr>
        <w:numPr>
          <w:ilvl w:val="0"/>
          <w:numId w:val="1"/>
        </w:numPr>
        <w:spacing w:line="480" w:lineRule="auto"/>
        <w:ind w:left="0" w:firstLine="0"/>
        <w:jc w:val="both"/>
      </w:pPr>
      <w:r>
        <w:t>The State parties contend that the President, the OSGP and the Council of State fall outside the definition of public authority in Art</w:t>
      </w:r>
      <w:r w:rsidR="003F145E">
        <w:t xml:space="preserve">icles </w:t>
      </w:r>
      <w:r>
        <w:t xml:space="preserve">2(2)(a), (b) and (c) of the AIE Directive.  Right to Know argues that the President does have a public advisory or public administration function which are “quasi-public administrative functions”.  </w:t>
      </w:r>
    </w:p>
    <w:p w14:paraId="42658283" w14:textId="77777777" w:rsidR="002578D6" w:rsidRPr="002756C4" w:rsidRDefault="002578D6" w:rsidP="002578D6">
      <w:pPr>
        <w:spacing w:line="480" w:lineRule="auto"/>
        <w:jc w:val="both"/>
        <w:rPr>
          <w:b/>
          <w:u w:val="single"/>
        </w:rPr>
      </w:pPr>
      <w:r w:rsidRPr="002756C4">
        <w:rPr>
          <w:b/>
          <w:u w:val="single"/>
        </w:rPr>
        <w:t>Discussion</w:t>
      </w:r>
    </w:p>
    <w:p w14:paraId="4B4CC5EA" w14:textId="77777777" w:rsidR="002578D6" w:rsidRPr="006C0B55" w:rsidRDefault="002578D6" w:rsidP="002578D6">
      <w:pPr>
        <w:numPr>
          <w:ilvl w:val="0"/>
          <w:numId w:val="1"/>
        </w:numPr>
        <w:spacing w:line="480" w:lineRule="auto"/>
        <w:ind w:left="0" w:firstLine="0"/>
        <w:jc w:val="both"/>
        <w:rPr>
          <w:i/>
        </w:rPr>
      </w:pPr>
      <w:r>
        <w:t xml:space="preserve">The concept of “public authority” is an autonomous concept of EU law, and the fact that domestic implementing provisions use precisely the language of the Directive further compels an approach to interpretation in the light of recent CJEU jurisprudence. </w:t>
      </w:r>
    </w:p>
    <w:p w14:paraId="5B51722E" w14:textId="77777777" w:rsidR="002578D6" w:rsidRPr="00DC08C9" w:rsidRDefault="002578D6" w:rsidP="002578D6">
      <w:pPr>
        <w:numPr>
          <w:ilvl w:val="0"/>
          <w:numId w:val="1"/>
        </w:numPr>
        <w:spacing w:line="480" w:lineRule="auto"/>
        <w:ind w:left="0" w:firstLine="0"/>
        <w:jc w:val="both"/>
        <w:rPr>
          <w:i/>
        </w:rPr>
      </w:pPr>
      <w:r>
        <w:lastRenderedPageBreak/>
        <w:t xml:space="preserve">In </w:t>
      </w:r>
      <w:r w:rsidRPr="00263582">
        <w:rPr>
          <w:i/>
          <w:iCs/>
        </w:rPr>
        <w:t>NAMA v</w:t>
      </w:r>
      <w:r>
        <w:rPr>
          <w:i/>
          <w:iCs/>
        </w:rPr>
        <w:t>.</w:t>
      </w:r>
      <w:r w:rsidRPr="00263582">
        <w:rPr>
          <w:i/>
          <w:iCs/>
        </w:rPr>
        <w:t xml:space="preserve"> Commissioner for Environmental Information</w:t>
      </w:r>
      <w:r w:rsidRPr="00263582">
        <w:rPr>
          <w:iCs/>
        </w:rPr>
        <w:t> [2015] IESC 51, [2015] 4 I</w:t>
      </w:r>
      <w:r>
        <w:rPr>
          <w:iCs/>
        </w:rPr>
        <w:t>.</w:t>
      </w:r>
      <w:r w:rsidRPr="00263582">
        <w:rPr>
          <w:iCs/>
        </w:rPr>
        <w:t>R</w:t>
      </w:r>
      <w:r>
        <w:rPr>
          <w:iCs/>
        </w:rPr>
        <w:t>.</w:t>
      </w:r>
      <w:r w:rsidRPr="00263582">
        <w:rPr>
          <w:iCs/>
        </w:rPr>
        <w:t xml:space="preserve"> 626</w:t>
      </w:r>
      <w:r>
        <w:rPr>
          <w:iCs/>
        </w:rPr>
        <w:t xml:space="preserve"> O’Donnell J. (as he then was) quoted from the </w:t>
      </w:r>
      <w:r>
        <w:t xml:space="preserve">decision of the Grand Chamber of the CJEU in Case C-279/12, </w:t>
      </w:r>
      <w:r w:rsidRPr="00E31222">
        <w:rPr>
          <w:i/>
        </w:rPr>
        <w:t>Fish Legal and Shirley v. Information Commissioner</w:t>
      </w:r>
      <w:r>
        <w:t xml:space="preserve">, </w:t>
      </w:r>
      <w:r w:rsidRPr="00CB4199">
        <w:t>ECLI:EU:C:2013:853</w:t>
      </w:r>
      <w:r>
        <w:t xml:space="preserve"> which provided that the concept was to be seen as a European concept to be given an autonomous interpretation with a view to achieving uniform application of EU law.  </w:t>
      </w:r>
    </w:p>
    <w:p w14:paraId="5E96362F" w14:textId="6BE58B87" w:rsidR="002578D6" w:rsidRDefault="002578D6" w:rsidP="002578D6">
      <w:pPr>
        <w:numPr>
          <w:ilvl w:val="0"/>
          <w:numId w:val="1"/>
        </w:numPr>
        <w:spacing w:line="480" w:lineRule="auto"/>
        <w:ind w:left="0" w:firstLine="0"/>
        <w:jc w:val="both"/>
      </w:pPr>
      <w:r w:rsidRPr="00D65CF3">
        <w:t xml:space="preserve">It must also be borne in mind that in adopting the </w:t>
      </w:r>
      <w:r>
        <w:t>D</w:t>
      </w:r>
      <w:r w:rsidRPr="00D65CF3">
        <w:t>irective</w:t>
      </w:r>
      <w:r>
        <w:t>, the EU</w:t>
      </w:r>
      <w:r w:rsidRPr="00D65CF3">
        <w:t xml:space="preserve"> intended to ensure the consistency of its law with </w:t>
      </w:r>
      <w:r>
        <w:t xml:space="preserve">the </w:t>
      </w:r>
      <w:r w:rsidR="004C7DBA">
        <w:t>Aarhus</w:t>
      </w:r>
      <w:r>
        <w:t xml:space="preserve"> </w:t>
      </w:r>
      <w:r w:rsidRPr="00D65CF3">
        <w:t>Convention and this proposition</w:t>
      </w:r>
      <w:r>
        <w:t>,</w:t>
      </w:r>
      <w:r w:rsidRPr="00D65CF3">
        <w:t xml:space="preserve"> stated in the preamble to the </w:t>
      </w:r>
      <w:r>
        <w:t>D</w:t>
      </w:r>
      <w:r w:rsidRPr="00D65CF3">
        <w:t>irective</w:t>
      </w:r>
      <w:r>
        <w:t>,</w:t>
      </w:r>
      <w:r w:rsidRPr="00D65CF3">
        <w:t xml:space="preserve"> was a factor in the decision of the CJEU in </w:t>
      </w:r>
      <w:proofErr w:type="spellStart"/>
      <w:r w:rsidR="00C97A7A" w:rsidRPr="0035257A">
        <w:rPr>
          <w:i/>
        </w:rPr>
        <w:t>Flachglas</w:t>
      </w:r>
      <w:proofErr w:type="spellEnd"/>
      <w:r w:rsidR="00C97A7A">
        <w:t xml:space="preserve"> </w:t>
      </w:r>
      <w:proofErr w:type="spellStart"/>
      <w:r w:rsidR="00C97A7A" w:rsidRPr="00914CD3">
        <w:rPr>
          <w:i/>
        </w:rPr>
        <w:t>Torgau</w:t>
      </w:r>
      <w:proofErr w:type="spellEnd"/>
      <w:r w:rsidR="00C97A7A" w:rsidRPr="00914CD3">
        <w:rPr>
          <w:i/>
        </w:rPr>
        <w:t xml:space="preserve"> GmbH v</w:t>
      </w:r>
      <w:r w:rsidR="00C97A7A">
        <w:rPr>
          <w:i/>
        </w:rPr>
        <w:t>.</w:t>
      </w:r>
      <w:r w:rsidR="00C97A7A" w:rsidRPr="00914CD3">
        <w:rPr>
          <w:i/>
        </w:rPr>
        <w:t xml:space="preserve"> Federal Republic of Germany</w:t>
      </w:r>
      <w:r w:rsidRPr="00B448BF">
        <w:rPr>
          <w:i/>
        </w:rPr>
        <w:t xml:space="preserve"> </w:t>
      </w:r>
      <w:r>
        <w:t>discussed below.</w:t>
      </w:r>
    </w:p>
    <w:p w14:paraId="43A9A35B" w14:textId="44CA426A" w:rsidR="002578D6" w:rsidRPr="00D65CF3" w:rsidRDefault="002578D6" w:rsidP="002578D6">
      <w:pPr>
        <w:numPr>
          <w:ilvl w:val="0"/>
          <w:numId w:val="1"/>
        </w:numPr>
        <w:spacing w:line="480" w:lineRule="auto"/>
        <w:ind w:left="0" w:firstLine="0"/>
        <w:jc w:val="both"/>
      </w:pPr>
      <w:r>
        <w:t>T</w:t>
      </w:r>
      <w:r w:rsidRPr="00D65CF3">
        <w:t xml:space="preserve">he </w:t>
      </w:r>
      <w:r>
        <w:t>CJEU also said this in</w:t>
      </w:r>
      <w:r w:rsidRPr="00D65CF3">
        <w:t xml:space="preserve"> </w:t>
      </w:r>
      <w:r w:rsidRPr="00E31222">
        <w:rPr>
          <w:i/>
        </w:rPr>
        <w:t>Fish Legal and Shirley v. Information Commissione</w:t>
      </w:r>
      <w:r>
        <w:rPr>
          <w:i/>
        </w:rPr>
        <w:t xml:space="preserve">r </w:t>
      </w:r>
      <w:r>
        <w:t xml:space="preserve">commenting that </w:t>
      </w:r>
      <w:r w:rsidRPr="00D65CF3">
        <w:t>account</w:t>
      </w:r>
      <w:r>
        <w:t xml:space="preserve"> is</w:t>
      </w:r>
      <w:r w:rsidRPr="00D65CF3">
        <w:t xml:space="preserve"> to be taken of the wording and aim of the </w:t>
      </w:r>
      <w:r w:rsidR="004C7DBA">
        <w:t>Aarhus</w:t>
      </w:r>
      <w:r>
        <w:t xml:space="preserve"> C</w:t>
      </w:r>
      <w:r w:rsidRPr="00D65CF3">
        <w:t xml:space="preserve">onvention and the </w:t>
      </w:r>
      <w:r w:rsidR="004C7DBA">
        <w:t>Aarhus</w:t>
      </w:r>
      <w:r w:rsidRPr="00D65CF3">
        <w:t xml:space="preserve"> Convention </w:t>
      </w:r>
      <w:r>
        <w:t>I</w:t>
      </w:r>
      <w:r w:rsidRPr="00D65CF3">
        <w:t xml:space="preserve">mplementation </w:t>
      </w:r>
      <w:r>
        <w:t>G</w:t>
      </w:r>
      <w:r w:rsidRPr="00D65CF3">
        <w:t>uide</w:t>
      </w:r>
      <w:r w:rsidR="009207E0">
        <w:t>,</w:t>
      </w:r>
      <w:r w:rsidRPr="00D65CF3">
        <w:t xml:space="preserve"> although the latter does not have binding or normative effect.</w:t>
      </w:r>
    </w:p>
    <w:p w14:paraId="5DECC4AE" w14:textId="77777777" w:rsidR="002578D6" w:rsidRPr="00BE4AD4" w:rsidRDefault="002578D6" w:rsidP="002578D6">
      <w:pPr>
        <w:numPr>
          <w:ilvl w:val="0"/>
          <w:numId w:val="1"/>
        </w:numPr>
        <w:spacing w:line="480" w:lineRule="auto"/>
        <w:ind w:left="0" w:firstLine="0"/>
        <w:jc w:val="both"/>
      </w:pPr>
      <w:r w:rsidRPr="00BE4AD4">
        <w:t xml:space="preserve">In </w:t>
      </w:r>
      <w:r w:rsidRPr="00E31222">
        <w:rPr>
          <w:i/>
        </w:rPr>
        <w:t>Fish Legal and Shirley v. Information Commissione</w:t>
      </w:r>
      <w:r>
        <w:rPr>
          <w:i/>
        </w:rPr>
        <w:t xml:space="preserve">r </w:t>
      </w:r>
      <w:r>
        <w:rPr>
          <w:iCs/>
        </w:rPr>
        <w:t xml:space="preserve">at paras 51-2 </w:t>
      </w:r>
      <w:r w:rsidRPr="00BE4AD4">
        <w:t>the CJEU identified 2 categories of public authorities</w:t>
      </w:r>
      <w:r>
        <w:t>, which O’Donnell J. quoted at para.</w:t>
      </w:r>
      <w:r w:rsidRPr="00BE4AD4">
        <w:t xml:space="preserve"> </w:t>
      </w:r>
      <w:r>
        <w:t>48</w:t>
      </w:r>
      <w:r w:rsidRPr="00BE4AD4">
        <w:t xml:space="preserve"> of </w:t>
      </w:r>
      <w:r w:rsidRPr="00263582">
        <w:rPr>
          <w:i/>
          <w:iCs/>
        </w:rPr>
        <w:t>NAMA v</w:t>
      </w:r>
      <w:r>
        <w:rPr>
          <w:i/>
          <w:iCs/>
        </w:rPr>
        <w:t>.</w:t>
      </w:r>
      <w:r w:rsidRPr="00263582">
        <w:rPr>
          <w:i/>
          <w:iCs/>
        </w:rPr>
        <w:t xml:space="preserve"> Commissioner for Environmental Information</w:t>
      </w:r>
      <w:r w:rsidRPr="00BE4AD4">
        <w:t>:</w:t>
      </w:r>
    </w:p>
    <w:p w14:paraId="5F423342" w14:textId="47086D34" w:rsidR="002578D6" w:rsidRPr="006C0B55" w:rsidRDefault="002578D6" w:rsidP="002578D6">
      <w:pPr>
        <w:spacing w:line="480" w:lineRule="auto"/>
        <w:ind w:left="720"/>
        <w:jc w:val="both"/>
        <w:rPr>
          <w:bCs/>
        </w:rPr>
      </w:pPr>
      <w:r>
        <w:rPr>
          <w:bCs/>
        </w:rPr>
        <w:t>“</w:t>
      </w:r>
      <w:r w:rsidRPr="006C0B55">
        <w:rPr>
          <w:bCs/>
        </w:rPr>
        <w:t>51</w:t>
      </w:r>
      <w:r w:rsidR="000E2C12">
        <w:rPr>
          <w:bCs/>
        </w:rPr>
        <w:t>.</w:t>
      </w:r>
      <w:r w:rsidRPr="006C0B55">
        <w:rPr>
          <w:bCs/>
        </w:rPr>
        <w:t xml:space="preserve"> Entities which, organically, are administrative authorities, namely those which form part of the public administration or the executive of the State at whatever level, are public authorities for the purposes of Article 2(2)(a) of Directive 2003/4. This first category includes all legal persons governed by public law which have been set up by the State and which it alone can decide to dissolve.</w:t>
      </w:r>
    </w:p>
    <w:p w14:paraId="09B541F9" w14:textId="29522D8C" w:rsidR="002578D6" w:rsidRPr="00163D42" w:rsidRDefault="002578D6" w:rsidP="002578D6">
      <w:pPr>
        <w:spacing w:line="480" w:lineRule="auto"/>
        <w:ind w:left="720"/>
        <w:jc w:val="both"/>
        <w:rPr>
          <w:b/>
        </w:rPr>
      </w:pPr>
      <w:r w:rsidRPr="006C0B55">
        <w:rPr>
          <w:bCs/>
        </w:rPr>
        <w:t>52</w:t>
      </w:r>
      <w:r w:rsidR="000E2C12">
        <w:rPr>
          <w:bCs/>
        </w:rPr>
        <w:t>.</w:t>
      </w:r>
      <w:r w:rsidRPr="006C0B55">
        <w:rPr>
          <w:bCs/>
        </w:rPr>
        <w:t xml:space="preserve"> The second category of public authorities, defined in Article 2(2)(b) of Directive 2003/4, concerns administrative authorities defined in functional terms, namely entities, be they legal persons governed by public law or by private law, which are entrusted, under the legal regime which is applicable to them, with the performance </w:t>
      </w:r>
      <w:r w:rsidRPr="006C0B55">
        <w:rPr>
          <w:bCs/>
        </w:rPr>
        <w:lastRenderedPageBreak/>
        <w:t>of services of public interest, inter alia in the environmental field, and which are, for this purpose, vested with special powers beyond those which result from the normal rules applicable in relations between persons governed by private law.</w:t>
      </w:r>
      <w:r>
        <w:rPr>
          <w:bCs/>
        </w:rPr>
        <w:t>”</w:t>
      </w:r>
      <w:r w:rsidRPr="00163D42" w:rsidDel="00163D42">
        <w:rPr>
          <w:b/>
          <w:i/>
        </w:rPr>
        <w:t xml:space="preserve"> </w:t>
      </w:r>
    </w:p>
    <w:p w14:paraId="09B09C84" w14:textId="77777777" w:rsidR="002578D6" w:rsidRPr="00BE4AD4" w:rsidRDefault="002578D6" w:rsidP="002578D6">
      <w:pPr>
        <w:numPr>
          <w:ilvl w:val="0"/>
          <w:numId w:val="1"/>
        </w:numPr>
        <w:spacing w:line="480" w:lineRule="auto"/>
        <w:ind w:left="0" w:firstLine="0"/>
        <w:jc w:val="both"/>
      </w:pPr>
      <w:r w:rsidRPr="00BE4AD4">
        <w:t>The defining features considered in</w:t>
      </w:r>
      <w:r>
        <w:t xml:space="preserve"> </w:t>
      </w:r>
      <w:r w:rsidRPr="00263582">
        <w:rPr>
          <w:i/>
          <w:iCs/>
        </w:rPr>
        <w:t>NAMA v</w:t>
      </w:r>
      <w:r>
        <w:rPr>
          <w:i/>
          <w:iCs/>
        </w:rPr>
        <w:t>.</w:t>
      </w:r>
      <w:r w:rsidRPr="00263582">
        <w:rPr>
          <w:i/>
          <w:iCs/>
        </w:rPr>
        <w:t xml:space="preserve"> Commissioner for Environmental Information</w:t>
      </w:r>
      <w:r w:rsidRPr="00BE4AD4">
        <w:t xml:space="preserve"> were those exercisable by bodies</w:t>
      </w:r>
      <w:r>
        <w:t xml:space="preserve"> </w:t>
      </w:r>
      <w:r w:rsidRPr="00BE4AD4">
        <w:t xml:space="preserve">which </w:t>
      </w:r>
      <w:r>
        <w:t xml:space="preserve">while they </w:t>
      </w:r>
      <w:r w:rsidRPr="00BE4AD4">
        <w:t>might have a commercial or private law power</w:t>
      </w:r>
      <w:r>
        <w:t xml:space="preserve">, had </w:t>
      </w:r>
      <w:r w:rsidRPr="00BE4AD4">
        <w:t xml:space="preserve">further powers </w:t>
      </w:r>
      <w:r>
        <w:t xml:space="preserve">which </w:t>
      </w:r>
      <w:r w:rsidRPr="00BE4AD4">
        <w:t xml:space="preserve">went beyond those normally applicable in private law, and </w:t>
      </w:r>
      <w:r w:rsidRPr="00BE4AD4">
        <w:rPr>
          <w:i/>
        </w:rPr>
        <w:t>ipso facto</w:t>
      </w:r>
      <w:r w:rsidRPr="00BE4AD4">
        <w:t xml:space="preserve"> powers that could affect or impact upon private rights.</w:t>
      </w:r>
      <w:r>
        <w:t xml:space="preserve"> </w:t>
      </w:r>
    </w:p>
    <w:p w14:paraId="57712A20" w14:textId="1E62BDEB" w:rsidR="002578D6" w:rsidRDefault="002578D6" w:rsidP="002578D6">
      <w:pPr>
        <w:numPr>
          <w:ilvl w:val="0"/>
          <w:numId w:val="1"/>
        </w:numPr>
        <w:spacing w:line="480" w:lineRule="auto"/>
        <w:ind w:left="0" w:firstLine="0"/>
        <w:jc w:val="both"/>
      </w:pPr>
      <w:r>
        <w:t xml:space="preserve">In his opinion in </w:t>
      </w:r>
      <w:r w:rsidRPr="0047032C">
        <w:rPr>
          <w:i/>
        </w:rPr>
        <w:t>Friends of the Irish Environment v. Commissioner for Environmental Information</w:t>
      </w:r>
      <w:r>
        <w:t xml:space="preserve"> Advocate General Bobek warned against an approach to meaning that was over-broad, or what he termed “an interpretative creativity”, notwithstanding that the overall aim of the instrument is to increase public participation and accountability in decision</w:t>
      </w:r>
      <w:r w:rsidR="00C7019E">
        <w:t>-</w:t>
      </w:r>
      <w:r>
        <w:t xml:space="preserve">making. </w:t>
      </w:r>
      <w:r w:rsidR="0033176F">
        <w:t>Because</w:t>
      </w:r>
      <w:r>
        <w:t xml:space="preserve"> of </w:t>
      </w:r>
      <w:r w:rsidR="00C7019E">
        <w:t>this</w:t>
      </w:r>
      <w:r>
        <w:t xml:space="preserve"> aim</w:t>
      </w:r>
      <w:r w:rsidR="00C7019E">
        <w:t>,</w:t>
      </w:r>
      <w:r>
        <w:t xml:space="preserve"> and in the light of the purpose of </w:t>
      </w:r>
      <w:r w:rsidR="004C7DBA">
        <w:t>Aarhus</w:t>
      </w:r>
      <w:r>
        <w:t xml:space="preserve">, the bodies from which information may be sought should be those bodies or institutions “before which decision-making effectively takes place”.  </w:t>
      </w:r>
    </w:p>
    <w:p w14:paraId="2B69F3FB" w14:textId="4D1C98F1" w:rsidR="002578D6" w:rsidRDefault="002578D6" w:rsidP="002578D6">
      <w:pPr>
        <w:numPr>
          <w:ilvl w:val="0"/>
          <w:numId w:val="1"/>
        </w:numPr>
        <w:spacing w:line="480" w:lineRule="auto"/>
        <w:ind w:left="0" w:firstLine="0"/>
        <w:jc w:val="both"/>
      </w:pPr>
      <w:r>
        <w:t xml:space="preserve">It is important also to recognise that in </w:t>
      </w:r>
      <w:proofErr w:type="spellStart"/>
      <w:r w:rsidR="00C97A7A" w:rsidRPr="0035257A">
        <w:rPr>
          <w:i/>
        </w:rPr>
        <w:t>Flachglas</w:t>
      </w:r>
      <w:proofErr w:type="spellEnd"/>
      <w:r w:rsidR="00C97A7A">
        <w:t xml:space="preserve"> </w:t>
      </w:r>
      <w:proofErr w:type="spellStart"/>
      <w:r w:rsidR="00C97A7A" w:rsidRPr="00914CD3">
        <w:rPr>
          <w:i/>
        </w:rPr>
        <w:t>Torgau</w:t>
      </w:r>
      <w:proofErr w:type="spellEnd"/>
      <w:r w:rsidR="00C97A7A" w:rsidRPr="00914CD3">
        <w:rPr>
          <w:i/>
        </w:rPr>
        <w:t xml:space="preserve"> GmbH v</w:t>
      </w:r>
      <w:r w:rsidR="00C97A7A">
        <w:rPr>
          <w:i/>
        </w:rPr>
        <w:t>.</w:t>
      </w:r>
      <w:r w:rsidR="00C97A7A" w:rsidRPr="00914CD3">
        <w:rPr>
          <w:i/>
        </w:rPr>
        <w:t xml:space="preserve"> Federal Republic of Germany</w:t>
      </w:r>
      <w:r w:rsidRPr="00B448BF">
        <w:rPr>
          <w:i/>
        </w:rPr>
        <w:t xml:space="preserve"> </w:t>
      </w:r>
      <w:r>
        <w:t xml:space="preserve">the CJEU held that the context, purpose and aims of the </w:t>
      </w:r>
      <w:r w:rsidR="004C7DBA">
        <w:t>Aarhus</w:t>
      </w:r>
      <w:r>
        <w:t xml:space="preserve"> Convention and the AIE Directive was to permit access to information from public authorities only to the extent that they act as administrative authorities holding environmental information in the exercise of their functions (paras. 40 and 48).</w:t>
      </w:r>
    </w:p>
    <w:p w14:paraId="1AC19C4F" w14:textId="76F0A3DE" w:rsidR="002578D6" w:rsidRPr="00E4328F" w:rsidRDefault="002578D6" w:rsidP="002578D6">
      <w:pPr>
        <w:numPr>
          <w:ilvl w:val="0"/>
          <w:numId w:val="1"/>
        </w:numPr>
        <w:spacing w:line="480" w:lineRule="auto"/>
        <w:ind w:left="0" w:firstLine="0"/>
        <w:jc w:val="both"/>
      </w:pPr>
      <w:r>
        <w:t xml:space="preserve">In </w:t>
      </w:r>
      <w:proofErr w:type="spellStart"/>
      <w:r w:rsidR="00C97A7A" w:rsidRPr="0035257A">
        <w:rPr>
          <w:i/>
        </w:rPr>
        <w:t>Flachglas</w:t>
      </w:r>
      <w:proofErr w:type="spellEnd"/>
      <w:r w:rsidR="00C97A7A">
        <w:t xml:space="preserve"> </w:t>
      </w:r>
      <w:proofErr w:type="spellStart"/>
      <w:r w:rsidR="00C97A7A" w:rsidRPr="00914CD3">
        <w:rPr>
          <w:i/>
        </w:rPr>
        <w:t>Torgau</w:t>
      </w:r>
      <w:proofErr w:type="spellEnd"/>
      <w:r w:rsidR="00C97A7A" w:rsidRPr="00914CD3">
        <w:rPr>
          <w:i/>
        </w:rPr>
        <w:t xml:space="preserve"> GmbH v</w:t>
      </w:r>
      <w:r w:rsidR="00C97A7A">
        <w:rPr>
          <w:i/>
        </w:rPr>
        <w:t>.</w:t>
      </w:r>
      <w:r w:rsidR="00C97A7A" w:rsidRPr="00914CD3">
        <w:rPr>
          <w:i/>
        </w:rPr>
        <w:t xml:space="preserve"> Federal Republic of Germany</w:t>
      </w:r>
      <w:r w:rsidR="00C97A7A">
        <w:t xml:space="preserve"> </w:t>
      </w:r>
      <w:r>
        <w:t xml:space="preserve">the CJEU adopted a “functional” approach to the interpretation of the phrase in the light of the varying constitutional administrative and legislative structures in the different Member States.  </w:t>
      </w:r>
    </w:p>
    <w:p w14:paraId="1096380D" w14:textId="08CB85E5" w:rsidR="002578D6" w:rsidRPr="0047032C" w:rsidRDefault="002578D6" w:rsidP="002578D6">
      <w:pPr>
        <w:numPr>
          <w:ilvl w:val="0"/>
          <w:numId w:val="1"/>
        </w:numPr>
        <w:spacing w:line="480" w:lineRule="auto"/>
        <w:ind w:left="0" w:firstLine="0"/>
        <w:jc w:val="both"/>
        <w:rPr>
          <w:b/>
          <w:u w:val="single"/>
        </w:rPr>
      </w:pPr>
      <w:r>
        <w:t xml:space="preserve">This approach was further modified and explained in the decision of the CJEU in Case C-470/19, </w:t>
      </w:r>
      <w:r w:rsidRPr="0047032C">
        <w:rPr>
          <w:i/>
        </w:rPr>
        <w:t xml:space="preserve">Friends of the Irish Environment v. Commissioner for Environmental Information, </w:t>
      </w:r>
      <w:r w:rsidRPr="0047032C">
        <w:rPr>
          <w:iCs/>
        </w:rPr>
        <w:t>ECLI:EU:C:2021:271</w:t>
      </w:r>
      <w:r>
        <w:rPr>
          <w:i/>
        </w:rPr>
        <w:t xml:space="preserve"> </w:t>
      </w:r>
      <w:r w:rsidRPr="0047032C">
        <w:t>where</w:t>
      </w:r>
      <w:r>
        <w:t xml:space="preserve"> it concluded that the excluding grounds in the second subparagraph of Art</w:t>
      </w:r>
      <w:r w:rsidR="003F145E">
        <w:t>icle</w:t>
      </w:r>
      <w:r>
        <w:t xml:space="preserve"> 2(2) of the AIE Directive arise only if the body in question </w:t>
      </w:r>
      <w:r>
        <w:lastRenderedPageBreak/>
        <w:t>meets one of the three definitions of a public authority laid down in the first paragraph, and went on to say as follows:</w:t>
      </w:r>
    </w:p>
    <w:p w14:paraId="6DF10AC9" w14:textId="5D2434B5" w:rsidR="002578D6" w:rsidRDefault="002578D6" w:rsidP="002578D6">
      <w:pPr>
        <w:spacing w:line="480" w:lineRule="auto"/>
        <w:ind w:left="720"/>
        <w:jc w:val="both"/>
      </w:pPr>
      <w:r>
        <w:t>“</w:t>
      </w:r>
      <w:r w:rsidRPr="00A126DC">
        <w:t xml:space="preserve">It follows from Article 2, point 2, of Directive 2003/4, taken as a whole, that the option available to Member States to exclude from the notion of ‘public authority’ bodies or institutions acting in a legislative or judicial capacity, provided for in the first sentence of the second subparagraph of Article 2, point 2, of that directive, which must be interpreted in a functional manner (see, by analogy, judgment of 14 February 2012, </w:t>
      </w:r>
      <w:proofErr w:type="spellStart"/>
      <w:r w:rsidRPr="00B448BF">
        <w:rPr>
          <w:i/>
        </w:rPr>
        <w:t>Flachglas</w:t>
      </w:r>
      <w:proofErr w:type="spellEnd"/>
      <w:r w:rsidRPr="00B448BF">
        <w:rPr>
          <w:i/>
        </w:rPr>
        <w:t xml:space="preserve"> </w:t>
      </w:r>
      <w:proofErr w:type="spellStart"/>
      <w:r w:rsidRPr="00B448BF">
        <w:rPr>
          <w:i/>
        </w:rPr>
        <w:t>Torgau</w:t>
      </w:r>
      <w:proofErr w:type="spellEnd"/>
      <w:r w:rsidRPr="00A126DC">
        <w:t xml:space="preserve">, C‑204/09, EU:C:2012:71, </w:t>
      </w:r>
      <w:r w:rsidR="00D22D94" w:rsidRPr="00A126DC">
        <w:t>para</w:t>
      </w:r>
      <w:r w:rsidR="00D22D94">
        <w:t>.</w:t>
      </w:r>
      <w:r w:rsidR="00D22D94" w:rsidRPr="00A126DC">
        <w:t xml:space="preserve"> </w:t>
      </w:r>
      <w:r w:rsidRPr="00A126DC">
        <w:t>49), can affect only bodies or institutions which correspond to the institutional definition of the notion of ‘public authority’ set out in the first subparagraph of Article 2, point 2, of that directive. Satisfaction of that definition is an essential prerequisite for the exercise of the power to derogate provided for in the first sentence of the second subparagraph of Article 2, point 2, of Directive 2003/4.</w:t>
      </w:r>
      <w:r>
        <w:t>” (para. 33)</w:t>
      </w:r>
    </w:p>
    <w:p w14:paraId="5337A679" w14:textId="01064454" w:rsidR="002578D6" w:rsidRDefault="002578D6" w:rsidP="002578D6">
      <w:pPr>
        <w:numPr>
          <w:ilvl w:val="0"/>
          <w:numId w:val="1"/>
        </w:numPr>
        <w:spacing w:line="480" w:lineRule="auto"/>
        <w:ind w:left="0" w:firstLine="0"/>
        <w:jc w:val="both"/>
      </w:pPr>
      <w:r>
        <w:t xml:space="preserve">The litigation in </w:t>
      </w:r>
      <w:r w:rsidRPr="005F358B">
        <w:rPr>
          <w:i/>
        </w:rPr>
        <w:t>Friend</w:t>
      </w:r>
      <w:r>
        <w:rPr>
          <w:i/>
        </w:rPr>
        <w:t>s of the Irish Environment v. Commissioner for Environmental Information</w:t>
      </w:r>
      <w:r w:rsidRPr="005F358B">
        <w:rPr>
          <w:i/>
        </w:rPr>
        <w:t xml:space="preserve"> </w:t>
      </w:r>
      <w:r>
        <w:t xml:space="preserve">concerned a request to the Central Office of the High Court under the AIE Regulations for pleadings, affidavits, documents etc. lodged by parties to an environmental case which had been fully determined in the High Court.  The refusal of the Office to furnish the information was appealed to the Commissioner, and his refusal in turn was appealed to the High Court on a point of law under the Regulations.  The conclusion was that the request ought properly to have been made to the Courts Service which is responsible for storing, archiving and managing court files on behalf of the court concerned.  The question specifically considered by the High Court was whether the Courts Service was “acting in a judicial capacity” and that led to a reference under Article 267 </w:t>
      </w:r>
      <w:r w:rsidR="00C97A7A">
        <w:t>TFEU</w:t>
      </w:r>
      <w:r>
        <w:t xml:space="preserve"> which concluded that the courts are outside the scope of the definition of a public authority as they exercised institutionally judicial functions.  The CJEU concluded that the concept of “public </w:t>
      </w:r>
      <w:r>
        <w:lastRenderedPageBreak/>
        <w:t>authorities” encompassed administrative authority, and that courts themselves are not performing administrative functions under Ar</w:t>
      </w:r>
      <w:r w:rsidR="003F145E">
        <w:t>ticle</w:t>
      </w:r>
      <w:r>
        <w:t xml:space="preserve"> 2(2)(b) of the Directive at para. 35.  </w:t>
      </w:r>
    </w:p>
    <w:p w14:paraId="18FA47B3" w14:textId="68780B07" w:rsidR="002578D6" w:rsidRDefault="002578D6" w:rsidP="002578D6">
      <w:pPr>
        <w:numPr>
          <w:ilvl w:val="0"/>
          <w:numId w:val="1"/>
        </w:numPr>
        <w:spacing w:line="480" w:lineRule="auto"/>
        <w:ind w:left="0" w:firstLine="0"/>
        <w:jc w:val="both"/>
      </w:pPr>
      <w:r>
        <w:t xml:space="preserve">The opinion of Advocate General Bobek in </w:t>
      </w:r>
      <w:r w:rsidRPr="005F358B">
        <w:rPr>
          <w:i/>
        </w:rPr>
        <w:t>Friend</w:t>
      </w:r>
      <w:r>
        <w:rPr>
          <w:i/>
        </w:rPr>
        <w:t>s of the Irish Environment v. Commissioner for Environmental Information</w:t>
      </w:r>
      <w:r w:rsidRPr="005F358B">
        <w:rPr>
          <w:i/>
        </w:rPr>
        <w:t xml:space="preserve"> </w:t>
      </w:r>
      <w:r>
        <w:t>offers a useful analysis of the meaning of “public authority” and he concluded that the phrase should not be interpreted as “entertaining a purely functional or a purely institutional” interpretation. Instead, an “institutional definition with the functional corrective” is proposed</w:t>
      </w:r>
    </w:p>
    <w:p w14:paraId="549D6C67" w14:textId="29A3888B" w:rsidR="002578D6" w:rsidRDefault="002578D6" w:rsidP="002578D6">
      <w:pPr>
        <w:numPr>
          <w:ilvl w:val="0"/>
          <w:numId w:val="1"/>
        </w:numPr>
        <w:spacing w:line="480" w:lineRule="auto"/>
        <w:ind w:left="0" w:firstLine="0"/>
        <w:jc w:val="both"/>
      </w:pPr>
      <w:r>
        <w:t>That proposition requires some further elucidation.</w:t>
      </w:r>
      <w:r w:rsidR="00C97A7A">
        <w:t xml:space="preserve">  In </w:t>
      </w:r>
      <w:proofErr w:type="spellStart"/>
      <w:r w:rsidR="00C97A7A" w:rsidRPr="0035257A">
        <w:rPr>
          <w:i/>
        </w:rPr>
        <w:t>Flachglas</w:t>
      </w:r>
      <w:proofErr w:type="spellEnd"/>
      <w:r w:rsidR="00C97A7A">
        <w:t xml:space="preserve"> </w:t>
      </w:r>
      <w:proofErr w:type="spellStart"/>
      <w:r w:rsidR="00C97A7A" w:rsidRPr="00914CD3">
        <w:rPr>
          <w:i/>
        </w:rPr>
        <w:t>Torgau</w:t>
      </w:r>
      <w:proofErr w:type="spellEnd"/>
      <w:r w:rsidR="00C97A7A" w:rsidRPr="00914CD3">
        <w:rPr>
          <w:i/>
        </w:rPr>
        <w:t xml:space="preserve"> GmbH v</w:t>
      </w:r>
      <w:r w:rsidR="00C97A7A">
        <w:rPr>
          <w:i/>
        </w:rPr>
        <w:t>.</w:t>
      </w:r>
      <w:r w:rsidR="00C97A7A" w:rsidRPr="00914CD3">
        <w:rPr>
          <w:i/>
        </w:rPr>
        <w:t xml:space="preserve"> Federal Republic of Germany</w:t>
      </w:r>
      <w:r w:rsidR="00C97A7A">
        <w:t xml:space="preserve"> </w:t>
      </w:r>
      <w:r>
        <w:t xml:space="preserve">the question concerned the application of the exclusion to all activities of the Federal Ministry, an entity which was undoubtedly a public authority.  The CJEU determined that, in the light of the need to reconcile the plurality of processes in different Member States, the derogation from the general rules on access was to be interpreted in a “functional” manner (at para. 49).  The question posed concerned whether that public authority was, in its decisions leading to the adoption of a law concerning the allocation of emissions licences and its implementation, acting in a legislative capacity or was rather to be seen as functionally different in that role and no longer legislative.  As Advocate General </w:t>
      </w:r>
      <w:proofErr w:type="spellStart"/>
      <w:r>
        <w:t>Sharpston</w:t>
      </w:r>
      <w:proofErr w:type="spellEnd"/>
      <w:r>
        <w:t xml:space="preserve"> noted at para. 63 of her opinion, the body was structurally a branch of the executive, and therefore a public authority, but was functionally engaged in activities which were part of the protected and excluded legislative activities.  She reasoned that what is institutionally included could temporarily be functionally excluded on account of the activity actually engaged by the body.</w:t>
      </w:r>
    </w:p>
    <w:p w14:paraId="3654851C" w14:textId="69EEEA8C" w:rsidR="002578D6" w:rsidRDefault="002578D6" w:rsidP="002578D6">
      <w:pPr>
        <w:numPr>
          <w:ilvl w:val="0"/>
          <w:numId w:val="1"/>
        </w:numPr>
        <w:spacing w:line="480" w:lineRule="auto"/>
        <w:ind w:left="0" w:firstLine="0"/>
        <w:jc w:val="both"/>
      </w:pPr>
      <w:r>
        <w:t>When the question came again before the CJ</w:t>
      </w:r>
      <w:r w:rsidR="000E2C12">
        <w:t>EU</w:t>
      </w:r>
      <w:r>
        <w:t xml:space="preserve"> in </w:t>
      </w:r>
      <w:r w:rsidRPr="005F358B">
        <w:rPr>
          <w:i/>
        </w:rPr>
        <w:t>Friend</w:t>
      </w:r>
      <w:r>
        <w:rPr>
          <w:i/>
        </w:rPr>
        <w:t>s of the Irish Environment v. Commissioner for Environmental Information</w:t>
      </w:r>
      <w:r>
        <w:t xml:space="preserve">, Advocate General Bobek reviewed that analysis and concluded that the decision </w:t>
      </w:r>
      <w:r w:rsidR="00C97A7A">
        <w:t>in</w:t>
      </w:r>
      <w:r w:rsidR="00C97A7A" w:rsidRPr="00C97A7A">
        <w:rPr>
          <w:i/>
        </w:rPr>
        <w:t xml:space="preserve"> </w:t>
      </w:r>
      <w:proofErr w:type="spellStart"/>
      <w:r w:rsidR="00C97A7A" w:rsidRPr="0035257A">
        <w:rPr>
          <w:i/>
        </w:rPr>
        <w:t>Flachglas</w:t>
      </w:r>
      <w:proofErr w:type="spellEnd"/>
      <w:r w:rsidR="00C97A7A">
        <w:t xml:space="preserve"> </w:t>
      </w:r>
      <w:proofErr w:type="spellStart"/>
      <w:r w:rsidR="00C97A7A" w:rsidRPr="00914CD3">
        <w:rPr>
          <w:i/>
        </w:rPr>
        <w:t>Torgau</w:t>
      </w:r>
      <w:proofErr w:type="spellEnd"/>
      <w:r w:rsidR="00C97A7A" w:rsidRPr="00914CD3">
        <w:rPr>
          <w:i/>
        </w:rPr>
        <w:t xml:space="preserve"> GmbH v</w:t>
      </w:r>
      <w:r w:rsidR="00C97A7A">
        <w:rPr>
          <w:i/>
        </w:rPr>
        <w:t>.</w:t>
      </w:r>
      <w:r w:rsidR="00C97A7A" w:rsidRPr="00914CD3">
        <w:rPr>
          <w:i/>
        </w:rPr>
        <w:t xml:space="preserve"> Federal Republic of Germany</w:t>
      </w:r>
      <w:r>
        <w:rPr>
          <w:i/>
        </w:rPr>
        <w:t xml:space="preserve"> </w:t>
      </w:r>
      <w:r>
        <w:t xml:space="preserve">did not mean that the entire definition in </w:t>
      </w:r>
      <w:r w:rsidR="003F145E">
        <w:t>Article</w:t>
      </w:r>
      <w:r>
        <w:t xml:space="preserve"> 2(2) of the Directive was “purely functional”, without regard being had to the institutional dimension: </w:t>
      </w:r>
    </w:p>
    <w:p w14:paraId="638346E8" w14:textId="135DF4A1" w:rsidR="002578D6" w:rsidRDefault="002578D6" w:rsidP="002578D6">
      <w:pPr>
        <w:spacing w:line="480" w:lineRule="auto"/>
        <w:ind w:left="720"/>
        <w:jc w:val="both"/>
      </w:pPr>
      <w:r>
        <w:lastRenderedPageBreak/>
        <w:t>“The functional use of the legislative capacity derogation was employed only in a second step, in order to temporarily exclude what would otherwise be ‘in’, but not in the first step, in order to define what will be covered by the definition in the first place” (</w:t>
      </w:r>
      <w:r w:rsidR="00D22D94">
        <w:t xml:space="preserve">para. </w:t>
      </w:r>
      <w:r>
        <w:t>65)</w:t>
      </w:r>
    </w:p>
    <w:p w14:paraId="3E4413EA" w14:textId="167E86F4" w:rsidR="002578D6" w:rsidRDefault="002578D6" w:rsidP="002578D6">
      <w:pPr>
        <w:numPr>
          <w:ilvl w:val="0"/>
          <w:numId w:val="1"/>
        </w:numPr>
        <w:spacing w:line="480" w:lineRule="auto"/>
        <w:ind w:left="0" w:firstLine="0"/>
        <w:jc w:val="both"/>
      </w:pPr>
      <w:r>
        <w:t xml:space="preserve">That approach could logically have the effect of excluding a body on an </w:t>
      </w:r>
      <w:r w:rsidRPr="003B199C">
        <w:rPr>
          <w:i/>
        </w:rPr>
        <w:t>a priori</w:t>
      </w:r>
      <w:r>
        <w:t xml:space="preserve"> basis without reference to its functions: “what is already (permanently) excluded, does not need to be (temporarily) excluded again”.    </w:t>
      </w:r>
    </w:p>
    <w:p w14:paraId="54BCC57C" w14:textId="77777777" w:rsidR="002578D6" w:rsidRDefault="002578D6" w:rsidP="002578D6">
      <w:pPr>
        <w:numPr>
          <w:ilvl w:val="0"/>
          <w:numId w:val="1"/>
        </w:numPr>
        <w:spacing w:line="480" w:lineRule="auto"/>
        <w:ind w:left="0" w:firstLine="0"/>
        <w:jc w:val="both"/>
      </w:pPr>
      <w:r>
        <w:t xml:space="preserve">On that test the President could be seen as institutionally not within the realm of “public authority” because, as the analysis in the earlier part of this judgment shows, he or she is outside the policy and decision making realm.  </w:t>
      </w:r>
    </w:p>
    <w:p w14:paraId="68F0F8D7" w14:textId="0F0BF68A" w:rsidR="002578D6" w:rsidRDefault="002578D6" w:rsidP="002578D6">
      <w:pPr>
        <w:numPr>
          <w:ilvl w:val="0"/>
          <w:numId w:val="1"/>
        </w:numPr>
        <w:spacing w:line="480" w:lineRule="auto"/>
        <w:ind w:left="0" w:firstLine="0"/>
        <w:jc w:val="both"/>
      </w:pPr>
      <w:r>
        <w:t>Advocate General Bobek thought also that “government” in Art</w:t>
      </w:r>
      <w:r w:rsidR="000E2C12">
        <w:t>icle</w:t>
      </w:r>
      <w:r>
        <w:t xml:space="preserve"> 2(2)(a) is not to be understood as including all powers of state and the disjunctive in Ar</w:t>
      </w:r>
      <w:r w:rsidR="000E2C12">
        <w:t>ticle</w:t>
      </w:r>
      <w:r>
        <w:t xml:space="preserve"> 2(2)(a) “government or other public administration” meant that for the purpose of the Directive government is linked to political power, and that was the preferred approach in the </w:t>
      </w:r>
      <w:r w:rsidR="004C7DBA">
        <w:t>Aarhus</w:t>
      </w:r>
      <w:r>
        <w:t xml:space="preserve"> Convention Implementation Guide (at para 52). </w:t>
      </w:r>
    </w:p>
    <w:p w14:paraId="7F87454A" w14:textId="5DA5FB55" w:rsidR="002578D6" w:rsidRDefault="002578D6" w:rsidP="002578D6">
      <w:pPr>
        <w:numPr>
          <w:ilvl w:val="0"/>
          <w:numId w:val="1"/>
        </w:numPr>
        <w:spacing w:line="480" w:lineRule="auto"/>
        <w:ind w:left="0" w:firstLine="0"/>
        <w:jc w:val="both"/>
      </w:pPr>
      <w:r>
        <w:t>Advocate General Bobek also observed that, whilst Art</w:t>
      </w:r>
      <w:r w:rsidR="000E2C12">
        <w:t>icle</w:t>
      </w:r>
      <w:r>
        <w:t xml:space="preserve"> 2(2)(b) provided greater flexibility, again by reference to the purpose and spirit of the Aarhus Convention, the bodies there included “should logically cover the type of bodies and institutions before which such decision making effectively takes place” (at para. 55).</w:t>
      </w:r>
    </w:p>
    <w:p w14:paraId="037A2B63" w14:textId="77777777" w:rsidR="002578D6" w:rsidRDefault="002578D6" w:rsidP="002578D6">
      <w:pPr>
        <w:numPr>
          <w:ilvl w:val="0"/>
          <w:numId w:val="1"/>
        </w:numPr>
        <w:spacing w:line="480" w:lineRule="auto"/>
        <w:ind w:left="0" w:firstLine="0"/>
        <w:jc w:val="both"/>
      </w:pPr>
      <w:r>
        <w:t>He described it in memorable terms at para. 55:</w:t>
      </w:r>
    </w:p>
    <w:p w14:paraId="00DF200E" w14:textId="77777777" w:rsidR="002578D6" w:rsidRDefault="002578D6" w:rsidP="002578D6">
      <w:pPr>
        <w:spacing w:line="480" w:lineRule="auto"/>
        <w:ind w:left="720"/>
        <w:jc w:val="both"/>
      </w:pPr>
      <w:r>
        <w:t xml:space="preserve">“That is, </w:t>
      </w:r>
      <w:r w:rsidRPr="003B199C">
        <w:rPr>
          <w:i/>
          <w:iCs/>
        </w:rPr>
        <w:t>a priori</w:t>
      </w:r>
      <w:r>
        <w:t xml:space="preserve"> and from an abstract point of view at an institutional level, neither upstream in a legislature (where the rules for that decision-making or developed), nor downstream in cases of judicial review (where the legality of the decision once taken may be reviewed and, in the event of irregularities is typically referred back to the public authority so that it can adopt a new)”.</w:t>
      </w:r>
    </w:p>
    <w:p w14:paraId="0ADD5736" w14:textId="77777777" w:rsidR="002578D6" w:rsidRDefault="002578D6" w:rsidP="002578D6">
      <w:pPr>
        <w:numPr>
          <w:ilvl w:val="0"/>
          <w:numId w:val="1"/>
        </w:numPr>
        <w:spacing w:line="480" w:lineRule="auto"/>
        <w:ind w:left="0" w:firstLine="0"/>
        <w:jc w:val="both"/>
      </w:pPr>
      <w:r>
        <w:lastRenderedPageBreak/>
        <w:t>Thus it must be correct to say in the light of the opinion of Advocate General Bobek that functionality is not the sole, or perhaps even the primary, condition for the assessment of whether a body is exempt under the Directive.</w:t>
      </w:r>
    </w:p>
    <w:p w14:paraId="686766D7" w14:textId="1C9233FB" w:rsidR="002578D6" w:rsidRDefault="002578D6" w:rsidP="002578D6">
      <w:pPr>
        <w:numPr>
          <w:ilvl w:val="0"/>
          <w:numId w:val="1"/>
        </w:numPr>
        <w:spacing w:line="480" w:lineRule="auto"/>
        <w:ind w:left="0" w:firstLine="0"/>
        <w:jc w:val="both"/>
      </w:pPr>
      <w:r>
        <w:t>Bodies which are included in the meaning of “public authority” are those “before which such decision-making effectively takes place”.</w:t>
      </w:r>
    </w:p>
    <w:p w14:paraId="61E14299" w14:textId="6150ADF6" w:rsidR="002578D6" w:rsidRDefault="002578D6" w:rsidP="002578D6">
      <w:pPr>
        <w:numPr>
          <w:ilvl w:val="0"/>
          <w:numId w:val="1"/>
        </w:numPr>
        <w:spacing w:line="480" w:lineRule="auto"/>
        <w:ind w:left="0" w:firstLine="0"/>
        <w:jc w:val="both"/>
      </w:pPr>
      <w:r>
        <w:t>It follows that the decision-making power, the power to make decisions which affect or are capable of affecting the environment, or policy on the environment, is the key institutional and functional test.  Institutionally the President does not have any decision-making functions in this sense, and functionally his powers are constitutionally defined and constrained to those ceremonial, symbolic and limited reserved or discretionary powers</w:t>
      </w:r>
      <w:r w:rsidRPr="0047032C">
        <w:rPr>
          <w:b/>
        </w:rPr>
        <w:t xml:space="preserve"> </w:t>
      </w:r>
      <w:r>
        <w:t xml:space="preserve">already explained in this judgment, none of which involve the President in any decision-making role, although his role is constitutionally essential in that some of his functions are exercised in order to complete the process such as the passing of legislation, the appointment of judges, or the commissioning of a member of the </w:t>
      </w:r>
      <w:r w:rsidR="000E2C12">
        <w:t>D</w:t>
      </w:r>
      <w:r>
        <w:t xml:space="preserve">efence </w:t>
      </w:r>
      <w:r w:rsidR="000E2C12">
        <w:t>F</w:t>
      </w:r>
      <w:r>
        <w:t>orces.</w:t>
      </w:r>
      <w:r w:rsidRPr="00726DE6">
        <w:t xml:space="preserve"> </w:t>
      </w:r>
      <w:r>
        <w:t xml:space="preserve">In no case does the President exercise any role as decision maker in the realm of the environment or by which he or she impacts on policy or the rights of any individual.  </w:t>
      </w:r>
    </w:p>
    <w:p w14:paraId="19C4CCBD" w14:textId="77777777" w:rsidR="002578D6" w:rsidRDefault="002578D6" w:rsidP="002578D6">
      <w:pPr>
        <w:numPr>
          <w:ilvl w:val="0"/>
          <w:numId w:val="1"/>
        </w:numPr>
        <w:spacing w:line="480" w:lineRule="auto"/>
        <w:ind w:left="0" w:firstLine="0"/>
        <w:jc w:val="both"/>
      </w:pPr>
      <w:r>
        <w:t xml:space="preserve">Institutionally in the Irish constitutional order the President operates neither upstream in the legislative function nor downstream in the judicial function. </w:t>
      </w:r>
      <w:r w:rsidRPr="0047032C">
        <w:t xml:space="preserve"> </w:t>
      </w:r>
      <w:r>
        <w:t xml:space="preserve">The various roles vested in the President by the Constitution are roles of upholding the constitutional and democratic structures and systems of the State and of the rule of law.  He or she is not a policy or decision-maker or a public authority in the sense explained in these authorities.  Even in the exercise of the autonomous constitutional power under Article 26, the role of the President is not to approve, reject or amend legalisation, but to make a choice on whether a reference to this Court is desirable. </w:t>
      </w:r>
    </w:p>
    <w:p w14:paraId="2DEF2A61" w14:textId="6F2E8E41" w:rsidR="002578D6" w:rsidRPr="00366AFC" w:rsidRDefault="002578D6" w:rsidP="002578D6">
      <w:pPr>
        <w:numPr>
          <w:ilvl w:val="0"/>
          <w:numId w:val="1"/>
        </w:numPr>
        <w:spacing w:line="480" w:lineRule="auto"/>
        <w:ind w:left="0" w:firstLine="0"/>
        <w:jc w:val="both"/>
      </w:pPr>
      <w:r>
        <w:t xml:space="preserve">Right to Know argues for a purposive or teleological approach to the definition of “public authority” in the light of the approach in the decision of the High Court in </w:t>
      </w:r>
      <w:r w:rsidRPr="00366AFC">
        <w:rPr>
          <w:i/>
        </w:rPr>
        <w:t xml:space="preserve">Minch v. </w:t>
      </w:r>
      <w:r w:rsidRPr="00366AFC">
        <w:rPr>
          <w:i/>
        </w:rPr>
        <w:lastRenderedPageBreak/>
        <w:t xml:space="preserve">Commissioner for Environmental Information </w:t>
      </w:r>
      <w:r>
        <w:t>[2016] IEHC 91 and the Court of Appeal decision [2017] IECA 223.  Hogan J.</w:t>
      </w:r>
      <w:r w:rsidR="000E2C12">
        <w:t>,</w:t>
      </w:r>
      <w:r>
        <w:t xml:space="preserve"> giving the decision in the Court of Appeal</w:t>
      </w:r>
      <w:r w:rsidR="000E2C12">
        <w:t>,</w:t>
      </w:r>
      <w:r>
        <w:t xml:space="preserve"> applied a teleological approach because of the aim of the Directive and </w:t>
      </w:r>
      <w:r w:rsidR="004C7DBA">
        <w:t>Aarhus</w:t>
      </w:r>
      <w:r>
        <w:t xml:space="preserve"> to encourage effective public participation in environmental decision making and eventually to a better environment.</w:t>
      </w:r>
    </w:p>
    <w:p w14:paraId="4B399C29" w14:textId="77777777" w:rsidR="002578D6" w:rsidRPr="00366AFC" w:rsidRDefault="002578D6" w:rsidP="002578D6">
      <w:pPr>
        <w:numPr>
          <w:ilvl w:val="0"/>
          <w:numId w:val="1"/>
        </w:numPr>
        <w:spacing w:line="480" w:lineRule="auto"/>
        <w:ind w:left="0" w:firstLine="0"/>
        <w:jc w:val="both"/>
        <w:rPr>
          <w:i/>
        </w:rPr>
      </w:pPr>
      <w:r>
        <w:t xml:space="preserve">A similar teleological approach is found in </w:t>
      </w:r>
      <w:r w:rsidRPr="00337138">
        <w:rPr>
          <w:i/>
        </w:rPr>
        <w:t>Redmond v</w:t>
      </w:r>
      <w:r>
        <w:rPr>
          <w:i/>
        </w:rPr>
        <w:t>.</w:t>
      </w:r>
      <w:r w:rsidRPr="00337138">
        <w:rPr>
          <w:i/>
        </w:rPr>
        <w:t xml:space="preserve"> Commissioner for Environmental Information </w:t>
      </w:r>
      <w:r>
        <w:t xml:space="preserve">[2017] IEHC 827, and the Court of Appeal decision [2020] IECA 83, where the Court noted that the question of what is a “public authority” for the purpose of the Regulations is one of some complexity.  </w:t>
      </w:r>
    </w:p>
    <w:p w14:paraId="7C28B153" w14:textId="77777777" w:rsidR="002578D6" w:rsidRPr="00DC08C9" w:rsidRDefault="002578D6" w:rsidP="002578D6">
      <w:pPr>
        <w:numPr>
          <w:ilvl w:val="0"/>
          <w:numId w:val="1"/>
        </w:numPr>
        <w:spacing w:line="480" w:lineRule="auto"/>
        <w:ind w:left="0" w:firstLine="0"/>
        <w:jc w:val="both"/>
        <w:rPr>
          <w:i/>
        </w:rPr>
      </w:pPr>
      <w:r>
        <w:t xml:space="preserve">The decisions in </w:t>
      </w:r>
      <w:r w:rsidRPr="00E31222">
        <w:rPr>
          <w:i/>
        </w:rPr>
        <w:t>Minch</w:t>
      </w:r>
      <w:r>
        <w:t xml:space="preserve"> and </w:t>
      </w:r>
      <w:r w:rsidRPr="00E31222">
        <w:rPr>
          <w:i/>
        </w:rPr>
        <w:t>Redmond</w:t>
      </w:r>
      <w:r>
        <w:t xml:space="preserve"> were mostly concerned with whether the information was environmental information and are not directly on point. </w:t>
      </w:r>
    </w:p>
    <w:p w14:paraId="4027B497" w14:textId="77777777" w:rsidR="002578D6" w:rsidRPr="006C0B55" w:rsidRDefault="002578D6" w:rsidP="002578D6">
      <w:pPr>
        <w:numPr>
          <w:ilvl w:val="0"/>
          <w:numId w:val="1"/>
        </w:numPr>
        <w:spacing w:line="480" w:lineRule="auto"/>
        <w:ind w:left="0" w:firstLine="0"/>
        <w:jc w:val="both"/>
        <w:rPr>
          <w:i/>
        </w:rPr>
      </w:pPr>
      <w:r>
        <w:t xml:space="preserve">Further a teleological approach cannot lawfully result in an interpretation that offends the meaning of the exclusion found in the authorities discussed above, see the decision of the CJEU in Case C-71/10, </w:t>
      </w:r>
      <w:r w:rsidRPr="00D15163">
        <w:rPr>
          <w:i/>
        </w:rPr>
        <w:t>Office of Communications v</w:t>
      </w:r>
      <w:r>
        <w:rPr>
          <w:i/>
        </w:rPr>
        <w:t>.</w:t>
      </w:r>
      <w:r w:rsidRPr="00D15163">
        <w:rPr>
          <w:i/>
        </w:rPr>
        <w:t xml:space="preserve"> Information Commissioner</w:t>
      </w:r>
      <w:r>
        <w:t xml:space="preserve">, </w:t>
      </w:r>
      <w:r w:rsidRPr="00E804F4">
        <w:t>ECLI:EU:C:2011:525</w:t>
      </w:r>
      <w:r>
        <w:t>.</w:t>
      </w:r>
    </w:p>
    <w:p w14:paraId="4E47CD03" w14:textId="77777777" w:rsidR="002578D6" w:rsidRPr="006C0B55" w:rsidRDefault="002578D6" w:rsidP="002578D6">
      <w:pPr>
        <w:spacing w:line="480" w:lineRule="auto"/>
        <w:jc w:val="both"/>
        <w:rPr>
          <w:b/>
          <w:u w:val="single"/>
        </w:rPr>
      </w:pPr>
      <w:r w:rsidRPr="006C0B55">
        <w:rPr>
          <w:b/>
          <w:u w:val="single"/>
        </w:rPr>
        <w:t>Summary</w:t>
      </w:r>
    </w:p>
    <w:p w14:paraId="3390C2DC" w14:textId="0B5A9AB4" w:rsidR="002578D6" w:rsidRPr="006C0B55" w:rsidRDefault="002578D6" w:rsidP="002578D6">
      <w:pPr>
        <w:numPr>
          <w:ilvl w:val="0"/>
          <w:numId w:val="1"/>
        </w:numPr>
        <w:spacing w:line="480" w:lineRule="auto"/>
        <w:ind w:left="0" w:firstLine="0"/>
        <w:jc w:val="both"/>
        <w:rPr>
          <w:i/>
        </w:rPr>
      </w:pPr>
      <w:r>
        <w:t>In summary then the President does not come within the category (a) of Art</w:t>
      </w:r>
      <w:r w:rsidR="000E2C12">
        <w:t>icle</w:t>
      </w:r>
      <w:r>
        <w:t xml:space="preserve"> 2 (2) of the AIE Directive because he or she is not involved in “government or other public administration”. Nor does the President perform “public administrative functions” under national law within the meaning of category (b) because he or she plays no administrative role, and is not a person having “public responsibilities or functions, or providing public services relating to the environment” under the control of the body or person falling within </w:t>
      </w:r>
      <w:r w:rsidR="000E2C12">
        <w:t>A</w:t>
      </w:r>
      <w:r>
        <w:t>rticle 2 (2) (a) or (b). The President has no such responsibilities, function or roles and is not a public authority for the purposes of European or domestic law.</w:t>
      </w:r>
    </w:p>
    <w:p w14:paraId="62F0AF4A" w14:textId="77777777" w:rsidR="00C7019E" w:rsidRDefault="00C7019E" w:rsidP="002578D6">
      <w:pPr>
        <w:spacing w:line="480" w:lineRule="auto"/>
        <w:jc w:val="both"/>
        <w:rPr>
          <w:b/>
          <w:u w:val="single"/>
        </w:rPr>
      </w:pPr>
    </w:p>
    <w:p w14:paraId="72EBF343" w14:textId="77777777" w:rsidR="00C7019E" w:rsidRDefault="00C7019E" w:rsidP="002578D6">
      <w:pPr>
        <w:spacing w:line="480" w:lineRule="auto"/>
        <w:jc w:val="both"/>
        <w:rPr>
          <w:b/>
          <w:u w:val="single"/>
        </w:rPr>
      </w:pPr>
    </w:p>
    <w:p w14:paraId="5390326F" w14:textId="6F9F6495" w:rsidR="002578D6" w:rsidRPr="006C0B55" w:rsidRDefault="003F145E" w:rsidP="002578D6">
      <w:pPr>
        <w:spacing w:line="480" w:lineRule="auto"/>
        <w:jc w:val="both"/>
        <w:rPr>
          <w:b/>
          <w:u w:val="single"/>
        </w:rPr>
      </w:pPr>
      <w:r>
        <w:rPr>
          <w:b/>
          <w:u w:val="single"/>
        </w:rPr>
        <w:lastRenderedPageBreak/>
        <w:t>Preliminary r</w:t>
      </w:r>
      <w:r w:rsidR="002578D6" w:rsidRPr="006C0B55">
        <w:rPr>
          <w:b/>
          <w:u w:val="single"/>
        </w:rPr>
        <w:t xml:space="preserve">eference under </w:t>
      </w:r>
      <w:r>
        <w:rPr>
          <w:b/>
          <w:u w:val="single"/>
        </w:rPr>
        <w:t>A</w:t>
      </w:r>
      <w:r w:rsidR="002578D6" w:rsidRPr="006C0B55">
        <w:rPr>
          <w:b/>
          <w:u w:val="single"/>
        </w:rPr>
        <w:t>rticle 267</w:t>
      </w:r>
      <w:r w:rsidR="002578D6">
        <w:rPr>
          <w:b/>
          <w:u w:val="single"/>
        </w:rPr>
        <w:t xml:space="preserve"> </w:t>
      </w:r>
      <w:r w:rsidR="002578D6" w:rsidRPr="006C0B55">
        <w:rPr>
          <w:b/>
          <w:u w:val="single"/>
        </w:rPr>
        <w:t>TFEU</w:t>
      </w:r>
      <w:r w:rsidR="0033176F">
        <w:rPr>
          <w:b/>
          <w:u w:val="single"/>
        </w:rPr>
        <w:t>?</w:t>
      </w:r>
    </w:p>
    <w:p w14:paraId="5DEBB539" w14:textId="2DEDB2F3" w:rsidR="002578D6" w:rsidRPr="006C0B55" w:rsidRDefault="002578D6" w:rsidP="002578D6">
      <w:pPr>
        <w:numPr>
          <w:ilvl w:val="0"/>
          <w:numId w:val="1"/>
        </w:numPr>
        <w:spacing w:line="480" w:lineRule="auto"/>
        <w:ind w:left="0" w:firstLine="0"/>
        <w:jc w:val="both"/>
      </w:pPr>
      <w:r w:rsidRPr="006C0B55">
        <w:t>I consider that the meaning of the term “public authority” has already been sufficiently interpreted by the CJ</w:t>
      </w:r>
      <w:r>
        <w:t>EU</w:t>
      </w:r>
      <w:r w:rsidRPr="006C0B55">
        <w:t xml:space="preserve"> and its application does not </w:t>
      </w:r>
      <w:r>
        <w:t xml:space="preserve">accordingly </w:t>
      </w:r>
      <w:r w:rsidRPr="006C0B55">
        <w:t xml:space="preserve">give rise to any doubt, and although there is no judicial remedy under national law from the decision of this </w:t>
      </w:r>
      <w:r>
        <w:t>C</w:t>
      </w:r>
      <w:r w:rsidRPr="006C0B55">
        <w:t xml:space="preserve">ourt, in the light of the test </w:t>
      </w:r>
      <w:r>
        <w:t xml:space="preserve">explained </w:t>
      </w:r>
      <w:r w:rsidRPr="006C0B55">
        <w:t xml:space="preserve">in </w:t>
      </w:r>
      <w:proofErr w:type="spellStart"/>
      <w:r w:rsidRPr="006C0B55">
        <w:rPr>
          <w:i/>
        </w:rPr>
        <w:t>Consorzio</w:t>
      </w:r>
      <w:proofErr w:type="spellEnd"/>
      <w:r w:rsidRPr="006C0B55">
        <w:rPr>
          <w:i/>
        </w:rPr>
        <w:t xml:space="preserve"> Italian Management</w:t>
      </w:r>
      <w:r>
        <w:t xml:space="preserve"> Case C-561/19 </w:t>
      </w:r>
      <w:r w:rsidRPr="006C0B55">
        <w:t xml:space="preserve">I consider that a reference to the court under </w:t>
      </w:r>
      <w:r w:rsidR="000E2C12">
        <w:t>A</w:t>
      </w:r>
      <w:r w:rsidRPr="006C0B55">
        <w:t>rticle 267</w:t>
      </w:r>
      <w:r w:rsidR="000E2C12">
        <w:t xml:space="preserve"> TFEU</w:t>
      </w:r>
      <w:r w:rsidRPr="006C0B55">
        <w:t xml:space="preserve"> is not necessary.</w:t>
      </w:r>
    </w:p>
    <w:p w14:paraId="30EA7F85" w14:textId="6C30CE21" w:rsidR="007073E6" w:rsidRPr="00EC1E2C" w:rsidRDefault="007073E6" w:rsidP="00EC1E2C">
      <w:pPr>
        <w:spacing w:line="480" w:lineRule="auto"/>
        <w:jc w:val="both"/>
        <w:rPr>
          <w:b/>
          <w:u w:val="single"/>
        </w:rPr>
      </w:pPr>
      <w:r w:rsidRPr="00EC1E2C">
        <w:rPr>
          <w:b/>
          <w:u w:val="single"/>
        </w:rPr>
        <w:t xml:space="preserve">Conclusion </w:t>
      </w:r>
    </w:p>
    <w:p w14:paraId="2F2AD295" w14:textId="50E2AB41" w:rsidR="007073E6" w:rsidRDefault="007073E6" w:rsidP="007073E6">
      <w:pPr>
        <w:numPr>
          <w:ilvl w:val="0"/>
          <w:numId w:val="1"/>
        </w:numPr>
        <w:spacing w:line="480" w:lineRule="auto"/>
        <w:ind w:left="0" w:firstLine="0"/>
        <w:jc w:val="both"/>
      </w:pPr>
      <w:r>
        <w:t>In conclusion therefore</w:t>
      </w:r>
      <w:r w:rsidR="00095B7D">
        <w:t>,</w:t>
      </w:r>
      <w:r>
        <w:t xml:space="preserve"> I consider that this appeal is answered by the </w:t>
      </w:r>
      <w:r w:rsidR="000E2C12">
        <w:t>p</w:t>
      </w:r>
      <w:r>
        <w:t xml:space="preserve">residential immunity from suit, that the President is not amenable to request under the Directive and the Regulations, and that, as a consequence of the immunity, </w:t>
      </w:r>
      <w:r w:rsidR="0059225A">
        <w:t xml:space="preserve">this </w:t>
      </w:r>
      <w:r>
        <w:t xml:space="preserve">Court has no jurisdiction to engage the appeal from the decision of the Commissioner.  </w:t>
      </w:r>
      <w:r w:rsidR="003B0826">
        <w:t>I also conclude that the President is not a “pub</w:t>
      </w:r>
      <w:r w:rsidR="00455DF0">
        <w:t>l</w:t>
      </w:r>
      <w:r w:rsidR="003B0826">
        <w:t xml:space="preserve">ic authority” within the meaning of the </w:t>
      </w:r>
      <w:r w:rsidR="00455DF0">
        <w:t>AIE</w:t>
      </w:r>
      <w:r w:rsidR="003B0826">
        <w:t xml:space="preserve"> Directive and the Regulations. </w:t>
      </w:r>
      <w:r w:rsidR="006674C0">
        <w:t xml:space="preserve">The Commissioner was correct to conclude that the Regulations of 2018 did no more than restate the existing law. </w:t>
      </w:r>
    </w:p>
    <w:p w14:paraId="7EC40B24" w14:textId="0865A969" w:rsidR="007073E6" w:rsidRPr="003B0826" w:rsidRDefault="007073E6" w:rsidP="007073E6">
      <w:pPr>
        <w:numPr>
          <w:ilvl w:val="0"/>
          <w:numId w:val="1"/>
        </w:numPr>
        <w:spacing w:line="480" w:lineRule="auto"/>
        <w:ind w:left="0" w:firstLine="0"/>
        <w:jc w:val="both"/>
      </w:pPr>
      <w:r w:rsidRPr="003B0826">
        <w:t xml:space="preserve">I would </w:t>
      </w:r>
      <w:r w:rsidR="006674C0" w:rsidRPr="003B0826">
        <w:t xml:space="preserve">for these reasons </w:t>
      </w:r>
      <w:r w:rsidRPr="003B0826">
        <w:t xml:space="preserve">dismiss the cross-appeal of </w:t>
      </w:r>
      <w:r w:rsidR="00F27750" w:rsidRPr="003B0826">
        <w:t xml:space="preserve">Right to Know </w:t>
      </w:r>
      <w:r w:rsidRPr="003B0826">
        <w:t xml:space="preserve">and allow the appeal of the State parties.  This has the effect that the decision of the High Court is overturned to the extent that it made any direction regarding disclosure by the President and/or the notice party.  </w:t>
      </w:r>
    </w:p>
    <w:p w14:paraId="41EC50E0" w14:textId="77777777" w:rsidR="007073E6" w:rsidRDefault="007073E6" w:rsidP="007073E6"/>
    <w:p w14:paraId="151AB67C" w14:textId="77777777" w:rsidR="008E4B50" w:rsidRDefault="008E4B50" w:rsidP="006B7C6F">
      <w:pPr>
        <w:spacing w:line="480" w:lineRule="auto"/>
        <w:jc w:val="both"/>
      </w:pPr>
    </w:p>
    <w:sectPr w:rsidR="008E4B50" w:rsidSect="003F5F1A">
      <w:headerReference w:type="default" r:id="rId9"/>
      <w:headerReference w:type="first" r:id="rId10"/>
      <w:pgSz w:w="11906" w:h="16838" w:code="9"/>
      <w:pgMar w:top="1134" w:right="1134" w:bottom="1134" w:left="1985"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F251" w16cex:dateUtc="2022-04-05T15:52:00Z"/>
  <w16cex:commentExtensible w16cex:durableId="25F6F24D" w16cex:dateUtc="2022-04-05T15:52:00Z"/>
  <w16cex:commentExtensible w16cex:durableId="25F6F269" w16cex:dateUtc="2022-04-05T15:52:00Z"/>
  <w16cex:commentExtensible w16cex:durableId="25F7FC5D" w16cex:dateUtc="2022-04-06T10:47:00Z"/>
  <w16cex:commentExtensible w16cex:durableId="25F7FE16" w16cex:dateUtc="2022-04-06T10:55:00Z"/>
  <w16cex:commentExtensible w16cex:durableId="25F7FFBA" w16cex:dateUtc="2022-04-06T11:02:00Z"/>
  <w16cex:commentExtensible w16cex:durableId="25F823FD" w16cex:dateUtc="2022-04-06T13: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A9845" w14:textId="77777777" w:rsidR="003D7D50" w:rsidRDefault="003D7D50" w:rsidP="000C42AF">
      <w:r>
        <w:separator/>
      </w:r>
    </w:p>
  </w:endnote>
  <w:endnote w:type="continuationSeparator" w:id="0">
    <w:p w14:paraId="73AEA9C7" w14:textId="77777777" w:rsidR="003D7D50" w:rsidRDefault="003D7D50" w:rsidP="000C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B97D9" w14:textId="77777777" w:rsidR="003D7D50" w:rsidRDefault="003D7D50" w:rsidP="000C42AF">
      <w:r>
        <w:separator/>
      </w:r>
    </w:p>
  </w:footnote>
  <w:footnote w:type="continuationSeparator" w:id="0">
    <w:p w14:paraId="059063EC" w14:textId="77777777" w:rsidR="003D7D50" w:rsidRDefault="003D7D50" w:rsidP="000C4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277019"/>
      <w:docPartObj>
        <w:docPartGallery w:val="Page Numbers (Top of Page)"/>
        <w:docPartUnique/>
      </w:docPartObj>
    </w:sdtPr>
    <w:sdtEndPr>
      <w:rPr>
        <w:noProof/>
      </w:rPr>
    </w:sdtEndPr>
    <w:sdtContent>
      <w:p w14:paraId="5B3715B2" w14:textId="77777777" w:rsidR="005738CB" w:rsidRDefault="005738C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B4834B0" w14:textId="77777777" w:rsidR="005738CB" w:rsidRDefault="00573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9B11" w14:textId="77777777" w:rsidR="005738CB" w:rsidRDefault="005738CB">
    <w:pPr>
      <w:pStyle w:val="Header"/>
      <w:jc w:val="center"/>
    </w:pPr>
  </w:p>
  <w:p w14:paraId="2D42AC8D" w14:textId="77777777" w:rsidR="005738CB" w:rsidRDefault="00573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2B5D"/>
    <w:multiLevelType w:val="hybridMultilevel"/>
    <w:tmpl w:val="9A064EC2"/>
    <w:lvl w:ilvl="0" w:tplc="3D1A86DE">
      <w:start w:val="59"/>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1E1109"/>
    <w:multiLevelType w:val="hybridMultilevel"/>
    <w:tmpl w:val="92B4ABB2"/>
    <w:lvl w:ilvl="0" w:tplc="24260A54">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075EA8"/>
    <w:multiLevelType w:val="hybridMultilevel"/>
    <w:tmpl w:val="FB4411FE"/>
    <w:lvl w:ilvl="0" w:tplc="18090001">
      <w:numFmt w:val="bullet"/>
      <w:lvlText w:val=""/>
      <w:lvlJc w:val="left"/>
      <w:pPr>
        <w:ind w:left="720" w:hanging="360"/>
      </w:pPr>
      <w:rPr>
        <w:rFonts w:ascii="Symbol" w:eastAsia="Times New Roman" w:hAnsi="Symbol" w:cs="Times New Roman" w:hint="default"/>
        <w:i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274A27"/>
    <w:multiLevelType w:val="hybridMultilevel"/>
    <w:tmpl w:val="A3A47E60"/>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8CE4AFB"/>
    <w:multiLevelType w:val="hybridMultilevel"/>
    <w:tmpl w:val="A4340C50"/>
    <w:lvl w:ilvl="0" w:tplc="58705992">
      <w:start w:val="1"/>
      <w:numFmt w:val="bullet"/>
      <w:lvlText w:val=""/>
      <w:lvlJc w:val="left"/>
      <w:pPr>
        <w:ind w:left="720" w:hanging="360"/>
      </w:pPr>
      <w:rPr>
        <w:rFonts w:ascii="Symbol" w:hAnsi="Symbol"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8087602"/>
    <w:multiLevelType w:val="multilevel"/>
    <w:tmpl w:val="EB96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E3FB3"/>
    <w:multiLevelType w:val="hybridMultilevel"/>
    <w:tmpl w:val="E684EEAE"/>
    <w:numStyleLink w:val="ImportedStyle1"/>
  </w:abstractNum>
  <w:abstractNum w:abstractNumId="7" w15:restartNumberingAfterBreak="0">
    <w:nsid w:val="37224257"/>
    <w:multiLevelType w:val="hybridMultilevel"/>
    <w:tmpl w:val="315013AA"/>
    <w:lvl w:ilvl="0" w:tplc="4DE82E78">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7A56BD2"/>
    <w:multiLevelType w:val="hybridMultilevel"/>
    <w:tmpl w:val="9252FC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8D0865"/>
    <w:multiLevelType w:val="hybridMultilevel"/>
    <w:tmpl w:val="3F4835DA"/>
    <w:lvl w:ilvl="0" w:tplc="D38AEA82">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43142618"/>
    <w:multiLevelType w:val="hybridMultilevel"/>
    <w:tmpl w:val="1CB811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1DD48BF"/>
    <w:multiLevelType w:val="hybridMultilevel"/>
    <w:tmpl w:val="B0AC3332"/>
    <w:lvl w:ilvl="0" w:tplc="98DEEC30">
      <w:start w:val="1"/>
      <w:numFmt w:val="lowerLetter"/>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B3B3D6C"/>
    <w:multiLevelType w:val="hybridMultilevel"/>
    <w:tmpl w:val="1A7E972E"/>
    <w:lvl w:ilvl="0" w:tplc="53AEC716">
      <w:start w:val="1"/>
      <w:numFmt w:val="decimal"/>
      <w:lvlText w:val="%1."/>
      <w:lvlJc w:val="left"/>
      <w:pPr>
        <w:ind w:left="3490" w:hanging="360"/>
      </w:pPr>
      <w:rPr>
        <w:b/>
        <w:i w:val="0"/>
        <w:color w:val="auto"/>
      </w:rPr>
    </w:lvl>
    <w:lvl w:ilvl="1" w:tplc="18090019">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13" w15:restartNumberingAfterBreak="0">
    <w:nsid w:val="7AA137F4"/>
    <w:multiLevelType w:val="hybridMultilevel"/>
    <w:tmpl w:val="A5CC2B20"/>
    <w:lvl w:ilvl="0" w:tplc="272C3BC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B0E1241"/>
    <w:multiLevelType w:val="hybridMultilevel"/>
    <w:tmpl w:val="E684EEAE"/>
    <w:styleLink w:val="ImportedStyle1"/>
    <w:lvl w:ilvl="0" w:tplc="4E78B220">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05E1AEC">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22AE664">
      <w:start w:val="1"/>
      <w:numFmt w:val="lowerRoman"/>
      <w:lvlText w:val="%3."/>
      <w:lvlJc w:val="left"/>
      <w:pPr>
        <w:ind w:left="1440" w:hanging="660"/>
      </w:pPr>
      <w:rPr>
        <w:rFonts w:hAnsi="Arial Unicode MS"/>
        <w:caps w:val="0"/>
        <w:smallCaps w:val="0"/>
        <w:strike w:val="0"/>
        <w:dstrike w:val="0"/>
        <w:outline w:val="0"/>
        <w:emboss w:val="0"/>
        <w:imprint w:val="0"/>
        <w:spacing w:val="0"/>
        <w:w w:val="100"/>
        <w:kern w:val="0"/>
        <w:position w:val="0"/>
        <w:highlight w:val="none"/>
        <w:vertAlign w:val="baseline"/>
      </w:rPr>
    </w:lvl>
    <w:lvl w:ilvl="3" w:tplc="4F4ED522">
      <w:start w:val="1"/>
      <w:numFmt w:val="decimal"/>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F3F8066C">
      <w:start w:val="1"/>
      <w:numFmt w:val="low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C2A4C1A4">
      <w:start w:val="1"/>
      <w:numFmt w:val="lowerRoman"/>
      <w:lvlText w:val="%6."/>
      <w:lvlJc w:val="left"/>
      <w:pPr>
        <w:ind w:left="3600" w:hanging="660"/>
      </w:pPr>
      <w:rPr>
        <w:rFonts w:hAnsi="Arial Unicode MS"/>
        <w:caps w:val="0"/>
        <w:smallCaps w:val="0"/>
        <w:strike w:val="0"/>
        <w:dstrike w:val="0"/>
        <w:outline w:val="0"/>
        <w:emboss w:val="0"/>
        <w:imprint w:val="0"/>
        <w:spacing w:val="0"/>
        <w:w w:val="100"/>
        <w:kern w:val="0"/>
        <w:position w:val="0"/>
        <w:highlight w:val="none"/>
        <w:vertAlign w:val="baseline"/>
      </w:rPr>
    </w:lvl>
    <w:lvl w:ilvl="6" w:tplc="638A2B82">
      <w:start w:val="1"/>
      <w:numFmt w:val="decimal"/>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2C874A0">
      <w:start w:val="1"/>
      <w:numFmt w:val="lowerLetter"/>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99C8222E">
      <w:start w:val="1"/>
      <w:numFmt w:val="lowerRoman"/>
      <w:lvlText w:val="%9."/>
      <w:lvlJc w:val="left"/>
      <w:pPr>
        <w:ind w:left="5760" w:hanging="6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DF610FD"/>
    <w:multiLevelType w:val="hybridMultilevel"/>
    <w:tmpl w:val="509E2CE2"/>
    <w:lvl w:ilvl="0" w:tplc="4C8C2358">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7E7476C8"/>
    <w:multiLevelType w:val="hybridMultilevel"/>
    <w:tmpl w:val="648837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4"/>
  </w:num>
  <w:num w:numId="3">
    <w:abstractNumId w:val="7"/>
  </w:num>
  <w:num w:numId="4">
    <w:abstractNumId w:val="2"/>
  </w:num>
  <w:num w:numId="5">
    <w:abstractNumId w:val="11"/>
  </w:num>
  <w:num w:numId="6">
    <w:abstractNumId w:val="15"/>
  </w:num>
  <w:num w:numId="7">
    <w:abstractNumId w:val="13"/>
  </w:num>
  <w:num w:numId="8">
    <w:abstractNumId w:val="9"/>
  </w:num>
  <w:num w:numId="9">
    <w:abstractNumId w:val="16"/>
  </w:num>
  <w:num w:numId="10">
    <w:abstractNumId w:val="10"/>
  </w:num>
  <w:num w:numId="11">
    <w:abstractNumId w:val="5"/>
  </w:num>
  <w:num w:numId="12">
    <w:abstractNumId w:val="0"/>
  </w:num>
  <w:num w:numId="13">
    <w:abstractNumId w:val="1"/>
  </w:num>
  <w:num w:numId="14">
    <w:abstractNumId w:val="8"/>
  </w:num>
  <w:num w:numId="15">
    <w:abstractNumId w:val="3"/>
  </w:num>
  <w:num w:numId="16">
    <w:abstractNumId w:val="14"/>
  </w:num>
  <w:num w:numId="17">
    <w:abstractNumId w:val="6"/>
    <w:lvlOverride w:ilvl="0">
      <w:lvl w:ilvl="0" w:tplc="BA84F00C">
        <w:start w:val="1"/>
        <w:numFmt w:val="decimal"/>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EF81FE7-7824-45D1-9D94-681E132ED30F}"/>
    <w:docVar w:name="dgnword-eventsink" w:val="2061592901152"/>
    <w:docVar w:name="dgnword-lastRevisionsView" w:val="0"/>
  </w:docVars>
  <w:rsids>
    <w:rsidRoot w:val="009D3D65"/>
    <w:rsid w:val="00000633"/>
    <w:rsid w:val="000026AC"/>
    <w:rsid w:val="000033FC"/>
    <w:rsid w:val="000034D0"/>
    <w:rsid w:val="0000651F"/>
    <w:rsid w:val="00013B48"/>
    <w:rsid w:val="000144C8"/>
    <w:rsid w:val="0002084D"/>
    <w:rsid w:val="0002226B"/>
    <w:rsid w:val="00027B25"/>
    <w:rsid w:val="00030A2D"/>
    <w:rsid w:val="00032CAA"/>
    <w:rsid w:val="00033402"/>
    <w:rsid w:val="00035FAC"/>
    <w:rsid w:val="00036659"/>
    <w:rsid w:val="0004052B"/>
    <w:rsid w:val="00042BA0"/>
    <w:rsid w:val="00043768"/>
    <w:rsid w:val="00045992"/>
    <w:rsid w:val="000466AC"/>
    <w:rsid w:val="00053355"/>
    <w:rsid w:val="000555A8"/>
    <w:rsid w:val="000578DB"/>
    <w:rsid w:val="000579D6"/>
    <w:rsid w:val="000672C8"/>
    <w:rsid w:val="00071CCC"/>
    <w:rsid w:val="00071FE6"/>
    <w:rsid w:val="00073129"/>
    <w:rsid w:val="00077C4F"/>
    <w:rsid w:val="00077CC4"/>
    <w:rsid w:val="00080B9B"/>
    <w:rsid w:val="0008221C"/>
    <w:rsid w:val="00082592"/>
    <w:rsid w:val="00085228"/>
    <w:rsid w:val="00087C33"/>
    <w:rsid w:val="00094481"/>
    <w:rsid w:val="000958C5"/>
    <w:rsid w:val="00095B7D"/>
    <w:rsid w:val="00095C9F"/>
    <w:rsid w:val="000A0464"/>
    <w:rsid w:val="000A2860"/>
    <w:rsid w:val="000A36DD"/>
    <w:rsid w:val="000A3D75"/>
    <w:rsid w:val="000A3F4E"/>
    <w:rsid w:val="000A49DD"/>
    <w:rsid w:val="000A5D69"/>
    <w:rsid w:val="000B2E83"/>
    <w:rsid w:val="000B399E"/>
    <w:rsid w:val="000C0881"/>
    <w:rsid w:val="000C2EC6"/>
    <w:rsid w:val="000C42AF"/>
    <w:rsid w:val="000D6449"/>
    <w:rsid w:val="000D668F"/>
    <w:rsid w:val="000D7A02"/>
    <w:rsid w:val="000E1BAD"/>
    <w:rsid w:val="000E2C12"/>
    <w:rsid w:val="000E3475"/>
    <w:rsid w:val="000E3F7D"/>
    <w:rsid w:val="000E43BB"/>
    <w:rsid w:val="000E45DC"/>
    <w:rsid w:val="000F31BA"/>
    <w:rsid w:val="000F37CC"/>
    <w:rsid w:val="000F382D"/>
    <w:rsid w:val="000F62CB"/>
    <w:rsid w:val="001008A8"/>
    <w:rsid w:val="0010322A"/>
    <w:rsid w:val="00103646"/>
    <w:rsid w:val="00103A3F"/>
    <w:rsid w:val="00104C05"/>
    <w:rsid w:val="00107204"/>
    <w:rsid w:val="0011209F"/>
    <w:rsid w:val="001146D6"/>
    <w:rsid w:val="00117611"/>
    <w:rsid w:val="001278E9"/>
    <w:rsid w:val="00130666"/>
    <w:rsid w:val="00131AA4"/>
    <w:rsid w:val="00133179"/>
    <w:rsid w:val="001435A0"/>
    <w:rsid w:val="00143616"/>
    <w:rsid w:val="0014634A"/>
    <w:rsid w:val="001510EE"/>
    <w:rsid w:val="001531A7"/>
    <w:rsid w:val="001621E9"/>
    <w:rsid w:val="001657CC"/>
    <w:rsid w:val="00165FE2"/>
    <w:rsid w:val="00166BA5"/>
    <w:rsid w:val="00173162"/>
    <w:rsid w:val="00181679"/>
    <w:rsid w:val="00181CEC"/>
    <w:rsid w:val="001857B0"/>
    <w:rsid w:val="00192186"/>
    <w:rsid w:val="001933DD"/>
    <w:rsid w:val="001953C6"/>
    <w:rsid w:val="00196637"/>
    <w:rsid w:val="001966B0"/>
    <w:rsid w:val="001A03B8"/>
    <w:rsid w:val="001A2EF9"/>
    <w:rsid w:val="001B5A20"/>
    <w:rsid w:val="001B6CF0"/>
    <w:rsid w:val="001C1F18"/>
    <w:rsid w:val="001C4CDA"/>
    <w:rsid w:val="001D1B1C"/>
    <w:rsid w:val="001E19B4"/>
    <w:rsid w:val="001E2FFB"/>
    <w:rsid w:val="001E4EC1"/>
    <w:rsid w:val="001E5C95"/>
    <w:rsid w:val="001E7210"/>
    <w:rsid w:val="001F0361"/>
    <w:rsid w:val="001F21DC"/>
    <w:rsid w:val="001F394F"/>
    <w:rsid w:val="001F4DA4"/>
    <w:rsid w:val="001F50E1"/>
    <w:rsid w:val="001F67E2"/>
    <w:rsid w:val="001F72A2"/>
    <w:rsid w:val="001F7B85"/>
    <w:rsid w:val="00201C2D"/>
    <w:rsid w:val="00202A8C"/>
    <w:rsid w:val="00202E54"/>
    <w:rsid w:val="0020331A"/>
    <w:rsid w:val="00203903"/>
    <w:rsid w:val="002041F5"/>
    <w:rsid w:val="00205CD0"/>
    <w:rsid w:val="002079D6"/>
    <w:rsid w:val="002156B1"/>
    <w:rsid w:val="00216317"/>
    <w:rsid w:val="00227730"/>
    <w:rsid w:val="00234001"/>
    <w:rsid w:val="002357B1"/>
    <w:rsid w:val="00241F93"/>
    <w:rsid w:val="00242EC5"/>
    <w:rsid w:val="002434E8"/>
    <w:rsid w:val="00245850"/>
    <w:rsid w:val="00253EBE"/>
    <w:rsid w:val="0025507F"/>
    <w:rsid w:val="002578D6"/>
    <w:rsid w:val="00262762"/>
    <w:rsid w:val="002647A7"/>
    <w:rsid w:val="002667D8"/>
    <w:rsid w:val="0027066E"/>
    <w:rsid w:val="0027144F"/>
    <w:rsid w:val="00273735"/>
    <w:rsid w:val="00275A33"/>
    <w:rsid w:val="002763DF"/>
    <w:rsid w:val="00282D59"/>
    <w:rsid w:val="0028538E"/>
    <w:rsid w:val="00285832"/>
    <w:rsid w:val="00287896"/>
    <w:rsid w:val="002904C4"/>
    <w:rsid w:val="0029257E"/>
    <w:rsid w:val="00292FCA"/>
    <w:rsid w:val="00294194"/>
    <w:rsid w:val="0029664F"/>
    <w:rsid w:val="00296954"/>
    <w:rsid w:val="002A2B5C"/>
    <w:rsid w:val="002A57E0"/>
    <w:rsid w:val="002B567F"/>
    <w:rsid w:val="002B5C30"/>
    <w:rsid w:val="002C1763"/>
    <w:rsid w:val="002C2B26"/>
    <w:rsid w:val="002C353F"/>
    <w:rsid w:val="002C4E06"/>
    <w:rsid w:val="002D302D"/>
    <w:rsid w:val="002D324F"/>
    <w:rsid w:val="002D4A8A"/>
    <w:rsid w:val="002D75FE"/>
    <w:rsid w:val="002D7DCB"/>
    <w:rsid w:val="002E6E92"/>
    <w:rsid w:val="002F3E86"/>
    <w:rsid w:val="002F5CBA"/>
    <w:rsid w:val="00314375"/>
    <w:rsid w:val="003165E4"/>
    <w:rsid w:val="0031717D"/>
    <w:rsid w:val="00321CE2"/>
    <w:rsid w:val="00322C3E"/>
    <w:rsid w:val="003312A7"/>
    <w:rsid w:val="0033176F"/>
    <w:rsid w:val="00331AF2"/>
    <w:rsid w:val="0033229F"/>
    <w:rsid w:val="00337138"/>
    <w:rsid w:val="00346A18"/>
    <w:rsid w:val="0035156A"/>
    <w:rsid w:val="00352C1B"/>
    <w:rsid w:val="00353679"/>
    <w:rsid w:val="00354ADF"/>
    <w:rsid w:val="00356047"/>
    <w:rsid w:val="00356F93"/>
    <w:rsid w:val="003633EE"/>
    <w:rsid w:val="00366AC9"/>
    <w:rsid w:val="00373521"/>
    <w:rsid w:val="003761F7"/>
    <w:rsid w:val="0038159D"/>
    <w:rsid w:val="00382A12"/>
    <w:rsid w:val="003851A0"/>
    <w:rsid w:val="00385DD8"/>
    <w:rsid w:val="00386140"/>
    <w:rsid w:val="00393E4B"/>
    <w:rsid w:val="00394139"/>
    <w:rsid w:val="003B0826"/>
    <w:rsid w:val="003B4DF0"/>
    <w:rsid w:val="003B57C3"/>
    <w:rsid w:val="003B5926"/>
    <w:rsid w:val="003B671C"/>
    <w:rsid w:val="003C2A72"/>
    <w:rsid w:val="003C5885"/>
    <w:rsid w:val="003C6985"/>
    <w:rsid w:val="003C6B7D"/>
    <w:rsid w:val="003D0452"/>
    <w:rsid w:val="003D05F9"/>
    <w:rsid w:val="003D2894"/>
    <w:rsid w:val="003D3435"/>
    <w:rsid w:val="003D5874"/>
    <w:rsid w:val="003D6491"/>
    <w:rsid w:val="003D7D50"/>
    <w:rsid w:val="003E2E89"/>
    <w:rsid w:val="003E3C16"/>
    <w:rsid w:val="003E4676"/>
    <w:rsid w:val="003E489D"/>
    <w:rsid w:val="003F145E"/>
    <w:rsid w:val="003F2231"/>
    <w:rsid w:val="003F2E68"/>
    <w:rsid w:val="003F4271"/>
    <w:rsid w:val="003F541E"/>
    <w:rsid w:val="003F5F1A"/>
    <w:rsid w:val="003F6D91"/>
    <w:rsid w:val="00401E65"/>
    <w:rsid w:val="00403DBA"/>
    <w:rsid w:val="0040606F"/>
    <w:rsid w:val="00407BCD"/>
    <w:rsid w:val="004211F3"/>
    <w:rsid w:val="004223FE"/>
    <w:rsid w:val="00422464"/>
    <w:rsid w:val="004226A1"/>
    <w:rsid w:val="004228C4"/>
    <w:rsid w:val="004257FC"/>
    <w:rsid w:val="00431E2B"/>
    <w:rsid w:val="004338EA"/>
    <w:rsid w:val="00434EF2"/>
    <w:rsid w:val="00436E6A"/>
    <w:rsid w:val="00441E25"/>
    <w:rsid w:val="00447940"/>
    <w:rsid w:val="004479B1"/>
    <w:rsid w:val="00454CB0"/>
    <w:rsid w:val="00455DF0"/>
    <w:rsid w:val="00457C9D"/>
    <w:rsid w:val="00461ACB"/>
    <w:rsid w:val="004625A6"/>
    <w:rsid w:val="00462B6A"/>
    <w:rsid w:val="0046375D"/>
    <w:rsid w:val="00463DC7"/>
    <w:rsid w:val="00464C5D"/>
    <w:rsid w:val="00467410"/>
    <w:rsid w:val="00472493"/>
    <w:rsid w:val="0047639F"/>
    <w:rsid w:val="004850E8"/>
    <w:rsid w:val="00491B2B"/>
    <w:rsid w:val="004951C1"/>
    <w:rsid w:val="0049608E"/>
    <w:rsid w:val="004A1109"/>
    <w:rsid w:val="004A2EC6"/>
    <w:rsid w:val="004A58D1"/>
    <w:rsid w:val="004B1D76"/>
    <w:rsid w:val="004B2BC9"/>
    <w:rsid w:val="004C0C53"/>
    <w:rsid w:val="004C2D6D"/>
    <w:rsid w:val="004C5408"/>
    <w:rsid w:val="004C7DBA"/>
    <w:rsid w:val="004C7F0F"/>
    <w:rsid w:val="004D0CCC"/>
    <w:rsid w:val="004D1BFE"/>
    <w:rsid w:val="004D2E80"/>
    <w:rsid w:val="004D6489"/>
    <w:rsid w:val="004E6B7F"/>
    <w:rsid w:val="004F21F7"/>
    <w:rsid w:val="004F32F6"/>
    <w:rsid w:val="004F6AD2"/>
    <w:rsid w:val="004F79A1"/>
    <w:rsid w:val="005022DA"/>
    <w:rsid w:val="00506E23"/>
    <w:rsid w:val="00513F0C"/>
    <w:rsid w:val="00516A45"/>
    <w:rsid w:val="00521439"/>
    <w:rsid w:val="00537A34"/>
    <w:rsid w:val="00546C07"/>
    <w:rsid w:val="0054767E"/>
    <w:rsid w:val="00547EA2"/>
    <w:rsid w:val="00552B09"/>
    <w:rsid w:val="00553EAE"/>
    <w:rsid w:val="00562A3E"/>
    <w:rsid w:val="00563C93"/>
    <w:rsid w:val="00564FE6"/>
    <w:rsid w:val="00566272"/>
    <w:rsid w:val="00567F59"/>
    <w:rsid w:val="005738CB"/>
    <w:rsid w:val="0057732B"/>
    <w:rsid w:val="005807D0"/>
    <w:rsid w:val="00581919"/>
    <w:rsid w:val="00587C50"/>
    <w:rsid w:val="00591BFE"/>
    <w:rsid w:val="00591C14"/>
    <w:rsid w:val="0059225A"/>
    <w:rsid w:val="00595943"/>
    <w:rsid w:val="00595AED"/>
    <w:rsid w:val="005A4DE6"/>
    <w:rsid w:val="005A51AF"/>
    <w:rsid w:val="005A63DE"/>
    <w:rsid w:val="005B6035"/>
    <w:rsid w:val="005C04DB"/>
    <w:rsid w:val="005C2725"/>
    <w:rsid w:val="005C4FA8"/>
    <w:rsid w:val="005C6F6B"/>
    <w:rsid w:val="005C761A"/>
    <w:rsid w:val="005E26F7"/>
    <w:rsid w:val="005E476C"/>
    <w:rsid w:val="005F1754"/>
    <w:rsid w:val="005F358B"/>
    <w:rsid w:val="005F3FA4"/>
    <w:rsid w:val="005F4BCD"/>
    <w:rsid w:val="005F659F"/>
    <w:rsid w:val="005F7A44"/>
    <w:rsid w:val="005F7E85"/>
    <w:rsid w:val="006116B5"/>
    <w:rsid w:val="00611D63"/>
    <w:rsid w:val="006121F1"/>
    <w:rsid w:val="00617108"/>
    <w:rsid w:val="00617878"/>
    <w:rsid w:val="00624B2F"/>
    <w:rsid w:val="00632D76"/>
    <w:rsid w:val="006368C4"/>
    <w:rsid w:val="00636D1F"/>
    <w:rsid w:val="00640079"/>
    <w:rsid w:val="00643032"/>
    <w:rsid w:val="00643BCA"/>
    <w:rsid w:val="006455CC"/>
    <w:rsid w:val="00646CC5"/>
    <w:rsid w:val="006521AE"/>
    <w:rsid w:val="006529E6"/>
    <w:rsid w:val="00655388"/>
    <w:rsid w:val="0065674E"/>
    <w:rsid w:val="006578DB"/>
    <w:rsid w:val="0066000C"/>
    <w:rsid w:val="00660C4B"/>
    <w:rsid w:val="00660E2C"/>
    <w:rsid w:val="00664B1F"/>
    <w:rsid w:val="00667105"/>
    <w:rsid w:val="006674C0"/>
    <w:rsid w:val="00671108"/>
    <w:rsid w:val="0067139E"/>
    <w:rsid w:val="0067535D"/>
    <w:rsid w:val="00681115"/>
    <w:rsid w:val="00681404"/>
    <w:rsid w:val="00684E5B"/>
    <w:rsid w:val="0069376F"/>
    <w:rsid w:val="006A78BF"/>
    <w:rsid w:val="006B2E5A"/>
    <w:rsid w:val="006B7C6F"/>
    <w:rsid w:val="006C1C78"/>
    <w:rsid w:val="006C3551"/>
    <w:rsid w:val="006C436C"/>
    <w:rsid w:val="006C4401"/>
    <w:rsid w:val="006E089A"/>
    <w:rsid w:val="006E2F24"/>
    <w:rsid w:val="006E2FD2"/>
    <w:rsid w:val="006E363B"/>
    <w:rsid w:val="006E67C7"/>
    <w:rsid w:val="006F020B"/>
    <w:rsid w:val="006F02E5"/>
    <w:rsid w:val="006F23B5"/>
    <w:rsid w:val="006F568F"/>
    <w:rsid w:val="006F5C22"/>
    <w:rsid w:val="00701FEA"/>
    <w:rsid w:val="007032E2"/>
    <w:rsid w:val="00703831"/>
    <w:rsid w:val="00706CAB"/>
    <w:rsid w:val="007073E6"/>
    <w:rsid w:val="00707865"/>
    <w:rsid w:val="0071382E"/>
    <w:rsid w:val="007144A6"/>
    <w:rsid w:val="00714631"/>
    <w:rsid w:val="00715A18"/>
    <w:rsid w:val="00716071"/>
    <w:rsid w:val="00716C08"/>
    <w:rsid w:val="007321C5"/>
    <w:rsid w:val="00746D0A"/>
    <w:rsid w:val="0075581C"/>
    <w:rsid w:val="00755E7B"/>
    <w:rsid w:val="00761E06"/>
    <w:rsid w:val="007634FF"/>
    <w:rsid w:val="00765BD4"/>
    <w:rsid w:val="0076692F"/>
    <w:rsid w:val="007670C8"/>
    <w:rsid w:val="00771098"/>
    <w:rsid w:val="00772F2A"/>
    <w:rsid w:val="007777FD"/>
    <w:rsid w:val="007810C8"/>
    <w:rsid w:val="00781826"/>
    <w:rsid w:val="00787AD2"/>
    <w:rsid w:val="0079267D"/>
    <w:rsid w:val="007927E7"/>
    <w:rsid w:val="00793D72"/>
    <w:rsid w:val="00796553"/>
    <w:rsid w:val="007A12D8"/>
    <w:rsid w:val="007A4707"/>
    <w:rsid w:val="007A5F60"/>
    <w:rsid w:val="007B3EFE"/>
    <w:rsid w:val="007C71BA"/>
    <w:rsid w:val="007D1294"/>
    <w:rsid w:val="007D40A2"/>
    <w:rsid w:val="007D7E31"/>
    <w:rsid w:val="007E1ECF"/>
    <w:rsid w:val="007E458D"/>
    <w:rsid w:val="007F0FF2"/>
    <w:rsid w:val="007F1605"/>
    <w:rsid w:val="00801D6B"/>
    <w:rsid w:val="00802CAF"/>
    <w:rsid w:val="00802CF4"/>
    <w:rsid w:val="00817E98"/>
    <w:rsid w:val="00820B69"/>
    <w:rsid w:val="00822E3C"/>
    <w:rsid w:val="00826502"/>
    <w:rsid w:val="0083073C"/>
    <w:rsid w:val="0083355D"/>
    <w:rsid w:val="00835413"/>
    <w:rsid w:val="008357B5"/>
    <w:rsid w:val="008369C1"/>
    <w:rsid w:val="008459FE"/>
    <w:rsid w:val="00852F6F"/>
    <w:rsid w:val="00856B55"/>
    <w:rsid w:val="00857E64"/>
    <w:rsid w:val="00860CF6"/>
    <w:rsid w:val="00862B6F"/>
    <w:rsid w:val="00866DED"/>
    <w:rsid w:val="00867235"/>
    <w:rsid w:val="0087307D"/>
    <w:rsid w:val="008731FE"/>
    <w:rsid w:val="00875021"/>
    <w:rsid w:val="00876AC5"/>
    <w:rsid w:val="0088142F"/>
    <w:rsid w:val="00883FC2"/>
    <w:rsid w:val="00892010"/>
    <w:rsid w:val="008933F9"/>
    <w:rsid w:val="008B3142"/>
    <w:rsid w:val="008B5C06"/>
    <w:rsid w:val="008B6FFD"/>
    <w:rsid w:val="008C5B4D"/>
    <w:rsid w:val="008D6690"/>
    <w:rsid w:val="008E0C9B"/>
    <w:rsid w:val="008E4B50"/>
    <w:rsid w:val="008E5C03"/>
    <w:rsid w:val="008E7FF0"/>
    <w:rsid w:val="00906734"/>
    <w:rsid w:val="00910F81"/>
    <w:rsid w:val="00911717"/>
    <w:rsid w:val="009124D3"/>
    <w:rsid w:val="009130D2"/>
    <w:rsid w:val="00914CD3"/>
    <w:rsid w:val="00914F4A"/>
    <w:rsid w:val="00917F7F"/>
    <w:rsid w:val="009207E0"/>
    <w:rsid w:val="009225F9"/>
    <w:rsid w:val="009276D5"/>
    <w:rsid w:val="00936605"/>
    <w:rsid w:val="009374FB"/>
    <w:rsid w:val="00942324"/>
    <w:rsid w:val="00947112"/>
    <w:rsid w:val="00947CEB"/>
    <w:rsid w:val="009556ED"/>
    <w:rsid w:val="009640DC"/>
    <w:rsid w:val="009709DB"/>
    <w:rsid w:val="00971D1C"/>
    <w:rsid w:val="0097265F"/>
    <w:rsid w:val="009736C2"/>
    <w:rsid w:val="00986B15"/>
    <w:rsid w:val="00991153"/>
    <w:rsid w:val="00994C86"/>
    <w:rsid w:val="009A5744"/>
    <w:rsid w:val="009B1377"/>
    <w:rsid w:val="009B354A"/>
    <w:rsid w:val="009B4291"/>
    <w:rsid w:val="009C1975"/>
    <w:rsid w:val="009D0313"/>
    <w:rsid w:val="009D1950"/>
    <w:rsid w:val="009D3D65"/>
    <w:rsid w:val="009E0539"/>
    <w:rsid w:val="009E79B3"/>
    <w:rsid w:val="009F7EED"/>
    <w:rsid w:val="00A01350"/>
    <w:rsid w:val="00A04DD7"/>
    <w:rsid w:val="00A05765"/>
    <w:rsid w:val="00A1124E"/>
    <w:rsid w:val="00A126DC"/>
    <w:rsid w:val="00A12F98"/>
    <w:rsid w:val="00A14DFB"/>
    <w:rsid w:val="00A15C4C"/>
    <w:rsid w:val="00A22759"/>
    <w:rsid w:val="00A22F2A"/>
    <w:rsid w:val="00A2495A"/>
    <w:rsid w:val="00A268AA"/>
    <w:rsid w:val="00A26AE1"/>
    <w:rsid w:val="00A30D25"/>
    <w:rsid w:val="00A34401"/>
    <w:rsid w:val="00A353FA"/>
    <w:rsid w:val="00A377C8"/>
    <w:rsid w:val="00A3788A"/>
    <w:rsid w:val="00A405F1"/>
    <w:rsid w:val="00A41C50"/>
    <w:rsid w:val="00A430D4"/>
    <w:rsid w:val="00A443D9"/>
    <w:rsid w:val="00A455AB"/>
    <w:rsid w:val="00A4563C"/>
    <w:rsid w:val="00A50F18"/>
    <w:rsid w:val="00A510C4"/>
    <w:rsid w:val="00A53918"/>
    <w:rsid w:val="00A53AF6"/>
    <w:rsid w:val="00A6289E"/>
    <w:rsid w:val="00A63E9A"/>
    <w:rsid w:val="00A65FD4"/>
    <w:rsid w:val="00A6665B"/>
    <w:rsid w:val="00A70CC4"/>
    <w:rsid w:val="00A80F90"/>
    <w:rsid w:val="00A835A3"/>
    <w:rsid w:val="00A8550F"/>
    <w:rsid w:val="00A92FD2"/>
    <w:rsid w:val="00A97492"/>
    <w:rsid w:val="00AA5267"/>
    <w:rsid w:val="00AA660A"/>
    <w:rsid w:val="00AB4AB3"/>
    <w:rsid w:val="00AC0168"/>
    <w:rsid w:val="00AC0997"/>
    <w:rsid w:val="00AC2367"/>
    <w:rsid w:val="00AC4185"/>
    <w:rsid w:val="00AC76C7"/>
    <w:rsid w:val="00AD6CD8"/>
    <w:rsid w:val="00AD720E"/>
    <w:rsid w:val="00AE1D52"/>
    <w:rsid w:val="00AE44A2"/>
    <w:rsid w:val="00AE65A9"/>
    <w:rsid w:val="00AF136E"/>
    <w:rsid w:val="00AF1563"/>
    <w:rsid w:val="00AF5FFB"/>
    <w:rsid w:val="00B059A0"/>
    <w:rsid w:val="00B11796"/>
    <w:rsid w:val="00B17F40"/>
    <w:rsid w:val="00B21540"/>
    <w:rsid w:val="00B24AD9"/>
    <w:rsid w:val="00B2607B"/>
    <w:rsid w:val="00B26EFE"/>
    <w:rsid w:val="00B325F5"/>
    <w:rsid w:val="00B37BAC"/>
    <w:rsid w:val="00B43B36"/>
    <w:rsid w:val="00B448BF"/>
    <w:rsid w:val="00B4495E"/>
    <w:rsid w:val="00B44EDF"/>
    <w:rsid w:val="00B45DA8"/>
    <w:rsid w:val="00B46191"/>
    <w:rsid w:val="00B46DFB"/>
    <w:rsid w:val="00B52DEF"/>
    <w:rsid w:val="00B62CBF"/>
    <w:rsid w:val="00B71907"/>
    <w:rsid w:val="00B74CBF"/>
    <w:rsid w:val="00B805AC"/>
    <w:rsid w:val="00B8400B"/>
    <w:rsid w:val="00B95AE7"/>
    <w:rsid w:val="00BA3F7F"/>
    <w:rsid w:val="00BA408B"/>
    <w:rsid w:val="00BA6062"/>
    <w:rsid w:val="00BA72DC"/>
    <w:rsid w:val="00BB1C2C"/>
    <w:rsid w:val="00BB4EA8"/>
    <w:rsid w:val="00BB6AD0"/>
    <w:rsid w:val="00BC0CD4"/>
    <w:rsid w:val="00BF2CCB"/>
    <w:rsid w:val="00BF55F2"/>
    <w:rsid w:val="00BF7421"/>
    <w:rsid w:val="00BF7C3D"/>
    <w:rsid w:val="00C01CB1"/>
    <w:rsid w:val="00C02230"/>
    <w:rsid w:val="00C03FFC"/>
    <w:rsid w:val="00C046CE"/>
    <w:rsid w:val="00C058B8"/>
    <w:rsid w:val="00C1367C"/>
    <w:rsid w:val="00C17158"/>
    <w:rsid w:val="00C17727"/>
    <w:rsid w:val="00C17865"/>
    <w:rsid w:val="00C207FF"/>
    <w:rsid w:val="00C22A33"/>
    <w:rsid w:val="00C2453E"/>
    <w:rsid w:val="00C249B8"/>
    <w:rsid w:val="00C40994"/>
    <w:rsid w:val="00C41AE0"/>
    <w:rsid w:val="00C42236"/>
    <w:rsid w:val="00C509AB"/>
    <w:rsid w:val="00C52717"/>
    <w:rsid w:val="00C60775"/>
    <w:rsid w:val="00C64177"/>
    <w:rsid w:val="00C7019E"/>
    <w:rsid w:val="00C72CBF"/>
    <w:rsid w:val="00C73202"/>
    <w:rsid w:val="00C738A0"/>
    <w:rsid w:val="00C7453A"/>
    <w:rsid w:val="00C773EB"/>
    <w:rsid w:val="00C7750E"/>
    <w:rsid w:val="00C808F4"/>
    <w:rsid w:val="00C9036E"/>
    <w:rsid w:val="00C97A7A"/>
    <w:rsid w:val="00CA13DB"/>
    <w:rsid w:val="00CA65F6"/>
    <w:rsid w:val="00CB1E75"/>
    <w:rsid w:val="00CB4199"/>
    <w:rsid w:val="00CC0A48"/>
    <w:rsid w:val="00CC3458"/>
    <w:rsid w:val="00CC6076"/>
    <w:rsid w:val="00CD2EE5"/>
    <w:rsid w:val="00CD3C02"/>
    <w:rsid w:val="00CE43D4"/>
    <w:rsid w:val="00CE54D8"/>
    <w:rsid w:val="00CE7E3C"/>
    <w:rsid w:val="00CF3CF7"/>
    <w:rsid w:val="00CF4A2E"/>
    <w:rsid w:val="00CF5214"/>
    <w:rsid w:val="00CF5BBE"/>
    <w:rsid w:val="00CF787A"/>
    <w:rsid w:val="00D05C1E"/>
    <w:rsid w:val="00D068C9"/>
    <w:rsid w:val="00D11CE7"/>
    <w:rsid w:val="00D1304F"/>
    <w:rsid w:val="00D1387A"/>
    <w:rsid w:val="00D15163"/>
    <w:rsid w:val="00D1679E"/>
    <w:rsid w:val="00D21A37"/>
    <w:rsid w:val="00D22D94"/>
    <w:rsid w:val="00D2407F"/>
    <w:rsid w:val="00D25316"/>
    <w:rsid w:val="00D26EBC"/>
    <w:rsid w:val="00D331FD"/>
    <w:rsid w:val="00D33DFC"/>
    <w:rsid w:val="00D35E80"/>
    <w:rsid w:val="00D371AE"/>
    <w:rsid w:val="00D43167"/>
    <w:rsid w:val="00D45017"/>
    <w:rsid w:val="00D4728E"/>
    <w:rsid w:val="00D50D51"/>
    <w:rsid w:val="00D5757B"/>
    <w:rsid w:val="00D605F1"/>
    <w:rsid w:val="00D629F1"/>
    <w:rsid w:val="00D66596"/>
    <w:rsid w:val="00D66A10"/>
    <w:rsid w:val="00D74B70"/>
    <w:rsid w:val="00D778A8"/>
    <w:rsid w:val="00D842E0"/>
    <w:rsid w:val="00D86D06"/>
    <w:rsid w:val="00D941F1"/>
    <w:rsid w:val="00D95156"/>
    <w:rsid w:val="00D95818"/>
    <w:rsid w:val="00DA2BAC"/>
    <w:rsid w:val="00DA3BF7"/>
    <w:rsid w:val="00DA46D6"/>
    <w:rsid w:val="00DB05BD"/>
    <w:rsid w:val="00DB226A"/>
    <w:rsid w:val="00DB2E5B"/>
    <w:rsid w:val="00DC1264"/>
    <w:rsid w:val="00DC3FC1"/>
    <w:rsid w:val="00DD34D6"/>
    <w:rsid w:val="00DD4FB1"/>
    <w:rsid w:val="00DD7381"/>
    <w:rsid w:val="00DE6FA8"/>
    <w:rsid w:val="00DF45C0"/>
    <w:rsid w:val="00DF51E7"/>
    <w:rsid w:val="00E03BF3"/>
    <w:rsid w:val="00E0422B"/>
    <w:rsid w:val="00E078E2"/>
    <w:rsid w:val="00E12643"/>
    <w:rsid w:val="00E15534"/>
    <w:rsid w:val="00E17C48"/>
    <w:rsid w:val="00E216CC"/>
    <w:rsid w:val="00E2225A"/>
    <w:rsid w:val="00E2765E"/>
    <w:rsid w:val="00E31222"/>
    <w:rsid w:val="00E373BB"/>
    <w:rsid w:val="00E42DDC"/>
    <w:rsid w:val="00E43117"/>
    <w:rsid w:val="00E4320C"/>
    <w:rsid w:val="00E46068"/>
    <w:rsid w:val="00E519AA"/>
    <w:rsid w:val="00E52DDE"/>
    <w:rsid w:val="00E53418"/>
    <w:rsid w:val="00E541B3"/>
    <w:rsid w:val="00E57FB0"/>
    <w:rsid w:val="00E61669"/>
    <w:rsid w:val="00E64473"/>
    <w:rsid w:val="00E73104"/>
    <w:rsid w:val="00E740FB"/>
    <w:rsid w:val="00E773E4"/>
    <w:rsid w:val="00E83DF2"/>
    <w:rsid w:val="00E91425"/>
    <w:rsid w:val="00E936A6"/>
    <w:rsid w:val="00E959F3"/>
    <w:rsid w:val="00E968BD"/>
    <w:rsid w:val="00E9705C"/>
    <w:rsid w:val="00E972E4"/>
    <w:rsid w:val="00E97FBD"/>
    <w:rsid w:val="00EA1499"/>
    <w:rsid w:val="00EB2C5A"/>
    <w:rsid w:val="00EB40EA"/>
    <w:rsid w:val="00EB778B"/>
    <w:rsid w:val="00EC1E2C"/>
    <w:rsid w:val="00EC28D8"/>
    <w:rsid w:val="00EC2ACD"/>
    <w:rsid w:val="00EC36CC"/>
    <w:rsid w:val="00EC7240"/>
    <w:rsid w:val="00EC77EA"/>
    <w:rsid w:val="00ED2155"/>
    <w:rsid w:val="00ED2B34"/>
    <w:rsid w:val="00ED3077"/>
    <w:rsid w:val="00EE1585"/>
    <w:rsid w:val="00EE1860"/>
    <w:rsid w:val="00EE2894"/>
    <w:rsid w:val="00EE3D74"/>
    <w:rsid w:val="00EE4098"/>
    <w:rsid w:val="00EE4207"/>
    <w:rsid w:val="00EE7FE9"/>
    <w:rsid w:val="00EF212B"/>
    <w:rsid w:val="00EF2D06"/>
    <w:rsid w:val="00EF72B6"/>
    <w:rsid w:val="00F03F96"/>
    <w:rsid w:val="00F0420C"/>
    <w:rsid w:val="00F05A0B"/>
    <w:rsid w:val="00F05DA2"/>
    <w:rsid w:val="00F067D6"/>
    <w:rsid w:val="00F17763"/>
    <w:rsid w:val="00F2168F"/>
    <w:rsid w:val="00F22B7F"/>
    <w:rsid w:val="00F2411B"/>
    <w:rsid w:val="00F27750"/>
    <w:rsid w:val="00F277FD"/>
    <w:rsid w:val="00F3192C"/>
    <w:rsid w:val="00F34D6E"/>
    <w:rsid w:val="00F37F3E"/>
    <w:rsid w:val="00F4032E"/>
    <w:rsid w:val="00F42458"/>
    <w:rsid w:val="00F45566"/>
    <w:rsid w:val="00F45770"/>
    <w:rsid w:val="00F517D0"/>
    <w:rsid w:val="00F53279"/>
    <w:rsid w:val="00F54050"/>
    <w:rsid w:val="00F643CF"/>
    <w:rsid w:val="00F64D72"/>
    <w:rsid w:val="00F66EE2"/>
    <w:rsid w:val="00F711C2"/>
    <w:rsid w:val="00F7529C"/>
    <w:rsid w:val="00F810DA"/>
    <w:rsid w:val="00F82421"/>
    <w:rsid w:val="00F84C20"/>
    <w:rsid w:val="00F935BD"/>
    <w:rsid w:val="00FA1CA5"/>
    <w:rsid w:val="00FA6FA9"/>
    <w:rsid w:val="00FB009B"/>
    <w:rsid w:val="00FB3F76"/>
    <w:rsid w:val="00FB67F8"/>
    <w:rsid w:val="00FB7CF8"/>
    <w:rsid w:val="00FB7FFD"/>
    <w:rsid w:val="00FC1B72"/>
    <w:rsid w:val="00FC5F34"/>
    <w:rsid w:val="00FD4B90"/>
    <w:rsid w:val="00FD5484"/>
    <w:rsid w:val="00FD6028"/>
    <w:rsid w:val="00FE1FB9"/>
    <w:rsid w:val="00FE4E4D"/>
    <w:rsid w:val="00FE57C0"/>
    <w:rsid w:val="00FE69D0"/>
    <w:rsid w:val="00FE7B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01FA2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92"/>
    <w:rPr>
      <w:sz w:val="24"/>
      <w:szCs w:val="24"/>
    </w:rPr>
  </w:style>
  <w:style w:type="paragraph" w:styleId="Heading3">
    <w:name w:val="heading 3"/>
    <w:basedOn w:val="Normal"/>
    <w:next w:val="Normal"/>
    <w:link w:val="Heading3Char"/>
    <w:uiPriority w:val="9"/>
    <w:semiHidden/>
    <w:unhideWhenUsed/>
    <w:qFormat/>
    <w:rsid w:val="00DC3FC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ParagraphtextJ">
    <w:name w:val="13. Paragraph text J"/>
    <w:autoRedefine/>
    <w:rsid w:val="002E6E92"/>
    <w:pPr>
      <w:tabs>
        <w:tab w:val="left" w:pos="567"/>
      </w:tabs>
      <w:spacing w:after="240" w:line="360" w:lineRule="auto"/>
      <w:ind w:left="567" w:hanging="567"/>
    </w:pPr>
    <w:rPr>
      <w:rFonts w:ascii="Verdana" w:hAnsi="Verdana"/>
      <w:sz w:val="18"/>
    </w:rPr>
  </w:style>
  <w:style w:type="paragraph" w:customStyle="1" w:styleId="Harp">
    <w:name w:val="Harp"/>
    <w:rsid w:val="002E6E92"/>
    <w:pPr>
      <w:jc w:val="center"/>
    </w:pPr>
    <w:rPr>
      <w:rFonts w:ascii="Verdana" w:hAnsi="Verdana"/>
      <w:sz w:val="18"/>
    </w:rPr>
  </w:style>
  <w:style w:type="character" w:styleId="CommentReference">
    <w:name w:val="annotation reference"/>
    <w:basedOn w:val="DefaultParagraphFont"/>
    <w:uiPriority w:val="99"/>
    <w:semiHidden/>
    <w:unhideWhenUsed/>
    <w:rsid w:val="00521439"/>
    <w:rPr>
      <w:sz w:val="16"/>
      <w:szCs w:val="16"/>
    </w:rPr>
  </w:style>
  <w:style w:type="paragraph" w:styleId="CommentText">
    <w:name w:val="annotation text"/>
    <w:basedOn w:val="Normal"/>
    <w:link w:val="CommentTextChar"/>
    <w:uiPriority w:val="99"/>
    <w:unhideWhenUsed/>
    <w:rsid w:val="00521439"/>
    <w:rPr>
      <w:sz w:val="20"/>
      <w:szCs w:val="20"/>
    </w:rPr>
  </w:style>
  <w:style w:type="character" w:customStyle="1" w:styleId="CommentTextChar">
    <w:name w:val="Comment Text Char"/>
    <w:basedOn w:val="DefaultParagraphFont"/>
    <w:link w:val="CommentText"/>
    <w:uiPriority w:val="99"/>
    <w:rsid w:val="00521439"/>
  </w:style>
  <w:style w:type="paragraph" w:styleId="CommentSubject">
    <w:name w:val="annotation subject"/>
    <w:basedOn w:val="CommentText"/>
    <w:next w:val="CommentText"/>
    <w:link w:val="CommentSubjectChar"/>
    <w:uiPriority w:val="99"/>
    <w:semiHidden/>
    <w:unhideWhenUsed/>
    <w:rsid w:val="00521439"/>
    <w:rPr>
      <w:b/>
      <w:bCs/>
    </w:rPr>
  </w:style>
  <w:style w:type="character" w:customStyle="1" w:styleId="CommentSubjectChar">
    <w:name w:val="Comment Subject Char"/>
    <w:basedOn w:val="CommentTextChar"/>
    <w:link w:val="CommentSubject"/>
    <w:uiPriority w:val="99"/>
    <w:semiHidden/>
    <w:rsid w:val="00521439"/>
    <w:rPr>
      <w:b/>
      <w:bCs/>
    </w:rPr>
  </w:style>
  <w:style w:type="paragraph" w:styleId="BalloonText">
    <w:name w:val="Balloon Text"/>
    <w:basedOn w:val="Normal"/>
    <w:link w:val="BalloonTextChar"/>
    <w:uiPriority w:val="99"/>
    <w:semiHidden/>
    <w:unhideWhenUsed/>
    <w:rsid w:val="005214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439"/>
    <w:rPr>
      <w:rFonts w:ascii="Segoe UI" w:hAnsi="Segoe UI" w:cs="Segoe UI"/>
      <w:sz w:val="18"/>
      <w:szCs w:val="18"/>
    </w:rPr>
  </w:style>
  <w:style w:type="paragraph" w:styleId="ListParagraph">
    <w:name w:val="List Paragraph"/>
    <w:basedOn w:val="Normal"/>
    <w:uiPriority w:val="34"/>
    <w:qFormat/>
    <w:rsid w:val="00B24AD9"/>
    <w:pPr>
      <w:ind w:left="720"/>
      <w:contextualSpacing/>
    </w:pPr>
    <w:rPr>
      <w:lang w:val="en-GB" w:eastAsia="en-GB"/>
    </w:rPr>
  </w:style>
  <w:style w:type="paragraph" w:styleId="Header">
    <w:name w:val="header"/>
    <w:basedOn w:val="Normal"/>
    <w:link w:val="HeaderChar"/>
    <w:uiPriority w:val="99"/>
    <w:unhideWhenUsed/>
    <w:rsid w:val="000C42AF"/>
    <w:pPr>
      <w:tabs>
        <w:tab w:val="center" w:pos="4513"/>
        <w:tab w:val="right" w:pos="9026"/>
      </w:tabs>
    </w:pPr>
  </w:style>
  <w:style w:type="character" w:customStyle="1" w:styleId="HeaderChar">
    <w:name w:val="Header Char"/>
    <w:basedOn w:val="DefaultParagraphFont"/>
    <w:link w:val="Header"/>
    <w:uiPriority w:val="99"/>
    <w:rsid w:val="000C42AF"/>
    <w:rPr>
      <w:sz w:val="24"/>
      <w:szCs w:val="24"/>
    </w:rPr>
  </w:style>
  <w:style w:type="paragraph" w:styleId="Footer">
    <w:name w:val="footer"/>
    <w:basedOn w:val="Normal"/>
    <w:link w:val="FooterChar"/>
    <w:uiPriority w:val="99"/>
    <w:unhideWhenUsed/>
    <w:rsid w:val="000C42AF"/>
    <w:pPr>
      <w:tabs>
        <w:tab w:val="center" w:pos="4513"/>
        <w:tab w:val="right" w:pos="9026"/>
      </w:tabs>
    </w:pPr>
  </w:style>
  <w:style w:type="character" w:customStyle="1" w:styleId="FooterChar">
    <w:name w:val="Footer Char"/>
    <w:basedOn w:val="DefaultParagraphFont"/>
    <w:link w:val="Footer"/>
    <w:uiPriority w:val="99"/>
    <w:rsid w:val="000C42AF"/>
    <w:rPr>
      <w:sz w:val="24"/>
      <w:szCs w:val="24"/>
    </w:rPr>
  </w:style>
  <w:style w:type="character" w:customStyle="1" w:styleId="Heading3Char">
    <w:name w:val="Heading 3 Char"/>
    <w:basedOn w:val="DefaultParagraphFont"/>
    <w:link w:val="Heading3"/>
    <w:uiPriority w:val="9"/>
    <w:semiHidden/>
    <w:rsid w:val="00DC3FC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65FE2"/>
    <w:rPr>
      <w:color w:val="0563C1" w:themeColor="hyperlink"/>
      <w:u w:val="single"/>
    </w:rPr>
  </w:style>
  <w:style w:type="character" w:styleId="UnresolvedMention">
    <w:name w:val="Unresolved Mention"/>
    <w:basedOn w:val="DefaultParagraphFont"/>
    <w:uiPriority w:val="99"/>
    <w:semiHidden/>
    <w:unhideWhenUsed/>
    <w:rsid w:val="00165FE2"/>
    <w:rPr>
      <w:color w:val="605E5C"/>
      <w:shd w:val="clear" w:color="auto" w:fill="E1DFDD"/>
    </w:rPr>
  </w:style>
  <w:style w:type="character" w:styleId="FollowedHyperlink">
    <w:name w:val="FollowedHyperlink"/>
    <w:basedOn w:val="DefaultParagraphFont"/>
    <w:uiPriority w:val="99"/>
    <w:semiHidden/>
    <w:unhideWhenUsed/>
    <w:rsid w:val="00165FE2"/>
    <w:rPr>
      <w:color w:val="954F72" w:themeColor="followedHyperlink"/>
      <w:u w:val="single"/>
    </w:rPr>
  </w:style>
  <w:style w:type="paragraph" w:styleId="NormalWeb">
    <w:name w:val="Normal (Web)"/>
    <w:basedOn w:val="Normal"/>
    <w:uiPriority w:val="99"/>
    <w:semiHidden/>
    <w:unhideWhenUsed/>
    <w:rsid w:val="00DD7381"/>
  </w:style>
  <w:style w:type="paragraph" w:customStyle="1" w:styleId="BodyAA">
    <w:name w:val="Body A A"/>
    <w:rsid w:val="0069376F"/>
    <w:pPr>
      <w:pBdr>
        <w:top w:val="nil"/>
        <w:left w:val="nil"/>
        <w:bottom w:val="nil"/>
        <w:right w:val="nil"/>
        <w:between w:val="nil"/>
        <w:bar w:val="nil"/>
      </w:pBdr>
    </w:pPr>
    <w:rPr>
      <w:rFonts w:eastAsia="Arial Unicode MS" w:cs="Arial Unicode MS"/>
      <w:color w:val="000000"/>
      <w:sz w:val="24"/>
      <w:szCs w:val="24"/>
      <w:u w:color="000000"/>
      <w:bdr w:val="nil"/>
      <w:lang w:val="en-US"/>
    </w:rPr>
  </w:style>
  <w:style w:type="paragraph" w:customStyle="1" w:styleId="BodyB">
    <w:name w:val="Body B"/>
    <w:rsid w:val="00143616"/>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n-US"/>
    </w:rPr>
  </w:style>
  <w:style w:type="numbering" w:customStyle="1" w:styleId="ImportedStyle1">
    <w:name w:val="Imported Style 1"/>
    <w:rsid w:val="00143616"/>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2608">
      <w:bodyDiv w:val="1"/>
      <w:marLeft w:val="0"/>
      <w:marRight w:val="0"/>
      <w:marTop w:val="0"/>
      <w:marBottom w:val="0"/>
      <w:divBdr>
        <w:top w:val="none" w:sz="0" w:space="0" w:color="auto"/>
        <w:left w:val="none" w:sz="0" w:space="0" w:color="auto"/>
        <w:bottom w:val="none" w:sz="0" w:space="0" w:color="auto"/>
        <w:right w:val="none" w:sz="0" w:space="0" w:color="auto"/>
      </w:divBdr>
      <w:divsChild>
        <w:div w:id="1301957355">
          <w:marLeft w:val="0"/>
          <w:marRight w:val="0"/>
          <w:marTop w:val="0"/>
          <w:marBottom w:val="0"/>
          <w:divBdr>
            <w:top w:val="none" w:sz="0" w:space="0" w:color="auto"/>
            <w:left w:val="none" w:sz="0" w:space="0" w:color="auto"/>
            <w:bottom w:val="none" w:sz="0" w:space="0" w:color="auto"/>
            <w:right w:val="none" w:sz="0" w:space="0" w:color="auto"/>
          </w:divBdr>
        </w:div>
        <w:div w:id="910238233">
          <w:marLeft w:val="0"/>
          <w:marRight w:val="0"/>
          <w:marTop w:val="0"/>
          <w:marBottom w:val="0"/>
          <w:divBdr>
            <w:top w:val="none" w:sz="0" w:space="0" w:color="auto"/>
            <w:left w:val="none" w:sz="0" w:space="0" w:color="auto"/>
            <w:bottom w:val="none" w:sz="0" w:space="0" w:color="auto"/>
            <w:right w:val="none" w:sz="0" w:space="0" w:color="auto"/>
          </w:divBdr>
        </w:div>
        <w:div w:id="740785611">
          <w:marLeft w:val="0"/>
          <w:marRight w:val="0"/>
          <w:marTop w:val="0"/>
          <w:marBottom w:val="0"/>
          <w:divBdr>
            <w:top w:val="none" w:sz="0" w:space="0" w:color="auto"/>
            <w:left w:val="none" w:sz="0" w:space="0" w:color="auto"/>
            <w:bottom w:val="none" w:sz="0" w:space="0" w:color="auto"/>
            <w:right w:val="none" w:sz="0" w:space="0" w:color="auto"/>
          </w:divBdr>
        </w:div>
      </w:divsChild>
    </w:div>
    <w:div w:id="150146340">
      <w:bodyDiv w:val="1"/>
      <w:marLeft w:val="0"/>
      <w:marRight w:val="0"/>
      <w:marTop w:val="0"/>
      <w:marBottom w:val="0"/>
      <w:divBdr>
        <w:top w:val="none" w:sz="0" w:space="0" w:color="auto"/>
        <w:left w:val="none" w:sz="0" w:space="0" w:color="auto"/>
        <w:bottom w:val="none" w:sz="0" w:space="0" w:color="auto"/>
        <w:right w:val="none" w:sz="0" w:space="0" w:color="auto"/>
      </w:divBdr>
    </w:div>
    <w:div w:id="364327088">
      <w:bodyDiv w:val="1"/>
      <w:marLeft w:val="0"/>
      <w:marRight w:val="0"/>
      <w:marTop w:val="0"/>
      <w:marBottom w:val="0"/>
      <w:divBdr>
        <w:top w:val="none" w:sz="0" w:space="0" w:color="auto"/>
        <w:left w:val="none" w:sz="0" w:space="0" w:color="auto"/>
        <w:bottom w:val="none" w:sz="0" w:space="0" w:color="auto"/>
        <w:right w:val="none" w:sz="0" w:space="0" w:color="auto"/>
      </w:divBdr>
    </w:div>
    <w:div w:id="515924775">
      <w:bodyDiv w:val="1"/>
      <w:marLeft w:val="0"/>
      <w:marRight w:val="0"/>
      <w:marTop w:val="0"/>
      <w:marBottom w:val="0"/>
      <w:divBdr>
        <w:top w:val="none" w:sz="0" w:space="0" w:color="auto"/>
        <w:left w:val="none" w:sz="0" w:space="0" w:color="auto"/>
        <w:bottom w:val="none" w:sz="0" w:space="0" w:color="auto"/>
        <w:right w:val="none" w:sz="0" w:space="0" w:color="auto"/>
      </w:divBdr>
      <w:divsChild>
        <w:div w:id="90391716">
          <w:marLeft w:val="0"/>
          <w:marRight w:val="0"/>
          <w:marTop w:val="0"/>
          <w:marBottom w:val="0"/>
          <w:divBdr>
            <w:top w:val="none" w:sz="0" w:space="0" w:color="auto"/>
            <w:left w:val="none" w:sz="0" w:space="0" w:color="auto"/>
            <w:bottom w:val="none" w:sz="0" w:space="0" w:color="auto"/>
            <w:right w:val="none" w:sz="0" w:space="0" w:color="auto"/>
          </w:divBdr>
        </w:div>
        <w:div w:id="1560288636">
          <w:marLeft w:val="0"/>
          <w:marRight w:val="0"/>
          <w:marTop w:val="0"/>
          <w:marBottom w:val="0"/>
          <w:divBdr>
            <w:top w:val="none" w:sz="0" w:space="0" w:color="auto"/>
            <w:left w:val="none" w:sz="0" w:space="0" w:color="auto"/>
            <w:bottom w:val="none" w:sz="0" w:space="0" w:color="auto"/>
            <w:right w:val="none" w:sz="0" w:space="0" w:color="auto"/>
          </w:divBdr>
        </w:div>
      </w:divsChild>
    </w:div>
    <w:div w:id="683554209">
      <w:bodyDiv w:val="1"/>
      <w:marLeft w:val="0"/>
      <w:marRight w:val="0"/>
      <w:marTop w:val="0"/>
      <w:marBottom w:val="0"/>
      <w:divBdr>
        <w:top w:val="none" w:sz="0" w:space="0" w:color="auto"/>
        <w:left w:val="none" w:sz="0" w:space="0" w:color="auto"/>
        <w:bottom w:val="none" w:sz="0" w:space="0" w:color="auto"/>
        <w:right w:val="none" w:sz="0" w:space="0" w:color="auto"/>
      </w:divBdr>
      <w:divsChild>
        <w:div w:id="772167186">
          <w:marLeft w:val="0"/>
          <w:marRight w:val="0"/>
          <w:marTop w:val="0"/>
          <w:marBottom w:val="0"/>
          <w:divBdr>
            <w:top w:val="none" w:sz="0" w:space="0" w:color="auto"/>
            <w:left w:val="none" w:sz="0" w:space="0" w:color="auto"/>
            <w:bottom w:val="none" w:sz="0" w:space="0" w:color="auto"/>
            <w:right w:val="none" w:sz="0" w:space="0" w:color="auto"/>
          </w:divBdr>
        </w:div>
        <w:div w:id="288241275">
          <w:marLeft w:val="0"/>
          <w:marRight w:val="0"/>
          <w:marTop w:val="0"/>
          <w:marBottom w:val="0"/>
          <w:divBdr>
            <w:top w:val="none" w:sz="0" w:space="0" w:color="auto"/>
            <w:left w:val="none" w:sz="0" w:space="0" w:color="auto"/>
            <w:bottom w:val="none" w:sz="0" w:space="0" w:color="auto"/>
            <w:right w:val="none" w:sz="0" w:space="0" w:color="auto"/>
          </w:divBdr>
        </w:div>
      </w:divsChild>
    </w:div>
    <w:div w:id="694968125">
      <w:bodyDiv w:val="1"/>
      <w:marLeft w:val="0"/>
      <w:marRight w:val="0"/>
      <w:marTop w:val="0"/>
      <w:marBottom w:val="0"/>
      <w:divBdr>
        <w:top w:val="none" w:sz="0" w:space="0" w:color="auto"/>
        <w:left w:val="none" w:sz="0" w:space="0" w:color="auto"/>
        <w:bottom w:val="none" w:sz="0" w:space="0" w:color="auto"/>
        <w:right w:val="none" w:sz="0" w:space="0" w:color="auto"/>
      </w:divBdr>
    </w:div>
    <w:div w:id="714502145">
      <w:bodyDiv w:val="1"/>
      <w:marLeft w:val="0"/>
      <w:marRight w:val="0"/>
      <w:marTop w:val="0"/>
      <w:marBottom w:val="0"/>
      <w:divBdr>
        <w:top w:val="none" w:sz="0" w:space="0" w:color="auto"/>
        <w:left w:val="none" w:sz="0" w:space="0" w:color="auto"/>
        <w:bottom w:val="none" w:sz="0" w:space="0" w:color="auto"/>
        <w:right w:val="none" w:sz="0" w:space="0" w:color="auto"/>
      </w:divBdr>
    </w:div>
    <w:div w:id="757871266">
      <w:bodyDiv w:val="1"/>
      <w:marLeft w:val="0"/>
      <w:marRight w:val="0"/>
      <w:marTop w:val="0"/>
      <w:marBottom w:val="0"/>
      <w:divBdr>
        <w:top w:val="none" w:sz="0" w:space="0" w:color="auto"/>
        <w:left w:val="none" w:sz="0" w:space="0" w:color="auto"/>
        <w:bottom w:val="none" w:sz="0" w:space="0" w:color="auto"/>
        <w:right w:val="none" w:sz="0" w:space="0" w:color="auto"/>
      </w:divBdr>
      <w:divsChild>
        <w:div w:id="1703674597">
          <w:marLeft w:val="600"/>
          <w:marRight w:val="0"/>
          <w:marTop w:val="0"/>
          <w:marBottom w:val="0"/>
          <w:divBdr>
            <w:top w:val="none" w:sz="0" w:space="0" w:color="auto"/>
            <w:left w:val="none" w:sz="0" w:space="0" w:color="auto"/>
            <w:bottom w:val="none" w:sz="0" w:space="0" w:color="auto"/>
            <w:right w:val="none" w:sz="0" w:space="0" w:color="auto"/>
          </w:divBdr>
        </w:div>
        <w:div w:id="50739053">
          <w:marLeft w:val="600"/>
          <w:marRight w:val="0"/>
          <w:marTop w:val="0"/>
          <w:marBottom w:val="0"/>
          <w:divBdr>
            <w:top w:val="none" w:sz="0" w:space="0" w:color="auto"/>
            <w:left w:val="none" w:sz="0" w:space="0" w:color="auto"/>
            <w:bottom w:val="none" w:sz="0" w:space="0" w:color="auto"/>
            <w:right w:val="none" w:sz="0" w:space="0" w:color="auto"/>
          </w:divBdr>
        </w:div>
        <w:div w:id="2068609141">
          <w:marLeft w:val="600"/>
          <w:marRight w:val="0"/>
          <w:marTop w:val="0"/>
          <w:marBottom w:val="0"/>
          <w:divBdr>
            <w:top w:val="none" w:sz="0" w:space="0" w:color="auto"/>
            <w:left w:val="none" w:sz="0" w:space="0" w:color="auto"/>
            <w:bottom w:val="none" w:sz="0" w:space="0" w:color="auto"/>
            <w:right w:val="none" w:sz="0" w:space="0" w:color="auto"/>
          </w:divBdr>
        </w:div>
        <w:div w:id="1469323346">
          <w:marLeft w:val="600"/>
          <w:marRight w:val="0"/>
          <w:marTop w:val="0"/>
          <w:marBottom w:val="0"/>
          <w:divBdr>
            <w:top w:val="none" w:sz="0" w:space="0" w:color="auto"/>
            <w:left w:val="none" w:sz="0" w:space="0" w:color="auto"/>
            <w:bottom w:val="none" w:sz="0" w:space="0" w:color="auto"/>
            <w:right w:val="none" w:sz="0" w:space="0" w:color="auto"/>
          </w:divBdr>
        </w:div>
        <w:div w:id="136725955">
          <w:marLeft w:val="600"/>
          <w:marRight w:val="0"/>
          <w:marTop w:val="0"/>
          <w:marBottom w:val="0"/>
          <w:divBdr>
            <w:top w:val="none" w:sz="0" w:space="0" w:color="auto"/>
            <w:left w:val="none" w:sz="0" w:space="0" w:color="auto"/>
            <w:bottom w:val="none" w:sz="0" w:space="0" w:color="auto"/>
            <w:right w:val="none" w:sz="0" w:space="0" w:color="auto"/>
          </w:divBdr>
        </w:div>
        <w:div w:id="1740515916">
          <w:marLeft w:val="1200"/>
          <w:marRight w:val="0"/>
          <w:marTop w:val="0"/>
          <w:marBottom w:val="0"/>
          <w:divBdr>
            <w:top w:val="none" w:sz="0" w:space="0" w:color="auto"/>
            <w:left w:val="none" w:sz="0" w:space="0" w:color="auto"/>
            <w:bottom w:val="none" w:sz="0" w:space="0" w:color="auto"/>
            <w:right w:val="none" w:sz="0" w:space="0" w:color="auto"/>
          </w:divBdr>
        </w:div>
        <w:div w:id="1127698690">
          <w:marLeft w:val="1200"/>
          <w:marRight w:val="0"/>
          <w:marTop w:val="0"/>
          <w:marBottom w:val="0"/>
          <w:divBdr>
            <w:top w:val="none" w:sz="0" w:space="0" w:color="auto"/>
            <w:left w:val="none" w:sz="0" w:space="0" w:color="auto"/>
            <w:bottom w:val="none" w:sz="0" w:space="0" w:color="auto"/>
            <w:right w:val="none" w:sz="0" w:space="0" w:color="auto"/>
          </w:divBdr>
        </w:div>
        <w:div w:id="1713995023">
          <w:marLeft w:val="1200"/>
          <w:marRight w:val="0"/>
          <w:marTop w:val="0"/>
          <w:marBottom w:val="0"/>
          <w:divBdr>
            <w:top w:val="none" w:sz="0" w:space="0" w:color="auto"/>
            <w:left w:val="none" w:sz="0" w:space="0" w:color="auto"/>
            <w:bottom w:val="none" w:sz="0" w:space="0" w:color="auto"/>
            <w:right w:val="none" w:sz="0" w:space="0" w:color="auto"/>
          </w:divBdr>
        </w:div>
        <w:div w:id="1575818743">
          <w:marLeft w:val="1200"/>
          <w:marRight w:val="0"/>
          <w:marTop w:val="0"/>
          <w:marBottom w:val="0"/>
          <w:divBdr>
            <w:top w:val="none" w:sz="0" w:space="0" w:color="auto"/>
            <w:left w:val="none" w:sz="0" w:space="0" w:color="auto"/>
            <w:bottom w:val="none" w:sz="0" w:space="0" w:color="auto"/>
            <w:right w:val="none" w:sz="0" w:space="0" w:color="auto"/>
          </w:divBdr>
        </w:div>
        <w:div w:id="953444126">
          <w:marLeft w:val="1200"/>
          <w:marRight w:val="0"/>
          <w:marTop w:val="0"/>
          <w:marBottom w:val="0"/>
          <w:divBdr>
            <w:top w:val="none" w:sz="0" w:space="0" w:color="auto"/>
            <w:left w:val="none" w:sz="0" w:space="0" w:color="auto"/>
            <w:bottom w:val="none" w:sz="0" w:space="0" w:color="auto"/>
            <w:right w:val="none" w:sz="0" w:space="0" w:color="auto"/>
          </w:divBdr>
        </w:div>
        <w:div w:id="13965081">
          <w:marLeft w:val="1200"/>
          <w:marRight w:val="0"/>
          <w:marTop w:val="0"/>
          <w:marBottom w:val="0"/>
          <w:divBdr>
            <w:top w:val="none" w:sz="0" w:space="0" w:color="auto"/>
            <w:left w:val="none" w:sz="0" w:space="0" w:color="auto"/>
            <w:bottom w:val="none" w:sz="0" w:space="0" w:color="auto"/>
            <w:right w:val="none" w:sz="0" w:space="0" w:color="auto"/>
          </w:divBdr>
        </w:div>
        <w:div w:id="850875402">
          <w:marLeft w:val="1200"/>
          <w:marRight w:val="0"/>
          <w:marTop w:val="0"/>
          <w:marBottom w:val="0"/>
          <w:divBdr>
            <w:top w:val="none" w:sz="0" w:space="0" w:color="auto"/>
            <w:left w:val="none" w:sz="0" w:space="0" w:color="auto"/>
            <w:bottom w:val="none" w:sz="0" w:space="0" w:color="auto"/>
            <w:right w:val="none" w:sz="0" w:space="0" w:color="auto"/>
          </w:divBdr>
        </w:div>
        <w:div w:id="592862348">
          <w:marLeft w:val="1800"/>
          <w:marRight w:val="0"/>
          <w:marTop w:val="0"/>
          <w:marBottom w:val="0"/>
          <w:divBdr>
            <w:top w:val="none" w:sz="0" w:space="0" w:color="auto"/>
            <w:left w:val="none" w:sz="0" w:space="0" w:color="auto"/>
            <w:bottom w:val="none" w:sz="0" w:space="0" w:color="auto"/>
            <w:right w:val="none" w:sz="0" w:space="0" w:color="auto"/>
          </w:divBdr>
        </w:div>
        <w:div w:id="433405277">
          <w:marLeft w:val="1800"/>
          <w:marRight w:val="0"/>
          <w:marTop w:val="0"/>
          <w:marBottom w:val="0"/>
          <w:divBdr>
            <w:top w:val="none" w:sz="0" w:space="0" w:color="auto"/>
            <w:left w:val="none" w:sz="0" w:space="0" w:color="auto"/>
            <w:bottom w:val="none" w:sz="0" w:space="0" w:color="auto"/>
            <w:right w:val="none" w:sz="0" w:space="0" w:color="auto"/>
          </w:divBdr>
        </w:div>
        <w:div w:id="928083364">
          <w:marLeft w:val="1800"/>
          <w:marRight w:val="0"/>
          <w:marTop w:val="0"/>
          <w:marBottom w:val="0"/>
          <w:divBdr>
            <w:top w:val="none" w:sz="0" w:space="0" w:color="auto"/>
            <w:left w:val="none" w:sz="0" w:space="0" w:color="auto"/>
            <w:bottom w:val="none" w:sz="0" w:space="0" w:color="auto"/>
            <w:right w:val="none" w:sz="0" w:space="0" w:color="auto"/>
          </w:divBdr>
        </w:div>
        <w:div w:id="1300914207">
          <w:marLeft w:val="1800"/>
          <w:marRight w:val="0"/>
          <w:marTop w:val="0"/>
          <w:marBottom w:val="0"/>
          <w:divBdr>
            <w:top w:val="none" w:sz="0" w:space="0" w:color="auto"/>
            <w:left w:val="none" w:sz="0" w:space="0" w:color="auto"/>
            <w:bottom w:val="none" w:sz="0" w:space="0" w:color="auto"/>
            <w:right w:val="none" w:sz="0" w:space="0" w:color="auto"/>
          </w:divBdr>
        </w:div>
      </w:divsChild>
    </w:div>
    <w:div w:id="823398851">
      <w:bodyDiv w:val="1"/>
      <w:marLeft w:val="0"/>
      <w:marRight w:val="0"/>
      <w:marTop w:val="0"/>
      <w:marBottom w:val="0"/>
      <w:divBdr>
        <w:top w:val="none" w:sz="0" w:space="0" w:color="auto"/>
        <w:left w:val="none" w:sz="0" w:space="0" w:color="auto"/>
        <w:bottom w:val="none" w:sz="0" w:space="0" w:color="auto"/>
        <w:right w:val="none" w:sz="0" w:space="0" w:color="auto"/>
      </w:divBdr>
      <w:divsChild>
        <w:div w:id="767579601">
          <w:marLeft w:val="600"/>
          <w:marRight w:val="0"/>
          <w:marTop w:val="0"/>
          <w:marBottom w:val="0"/>
          <w:divBdr>
            <w:top w:val="none" w:sz="0" w:space="0" w:color="auto"/>
            <w:left w:val="none" w:sz="0" w:space="0" w:color="auto"/>
            <w:bottom w:val="none" w:sz="0" w:space="0" w:color="auto"/>
            <w:right w:val="none" w:sz="0" w:space="0" w:color="auto"/>
          </w:divBdr>
        </w:div>
        <w:div w:id="1425883373">
          <w:marLeft w:val="600"/>
          <w:marRight w:val="0"/>
          <w:marTop w:val="0"/>
          <w:marBottom w:val="0"/>
          <w:divBdr>
            <w:top w:val="none" w:sz="0" w:space="0" w:color="auto"/>
            <w:left w:val="none" w:sz="0" w:space="0" w:color="auto"/>
            <w:bottom w:val="none" w:sz="0" w:space="0" w:color="auto"/>
            <w:right w:val="none" w:sz="0" w:space="0" w:color="auto"/>
          </w:divBdr>
        </w:div>
        <w:div w:id="1312096414">
          <w:marLeft w:val="600"/>
          <w:marRight w:val="0"/>
          <w:marTop w:val="0"/>
          <w:marBottom w:val="0"/>
          <w:divBdr>
            <w:top w:val="none" w:sz="0" w:space="0" w:color="auto"/>
            <w:left w:val="none" w:sz="0" w:space="0" w:color="auto"/>
            <w:bottom w:val="none" w:sz="0" w:space="0" w:color="auto"/>
            <w:right w:val="none" w:sz="0" w:space="0" w:color="auto"/>
          </w:divBdr>
        </w:div>
        <w:div w:id="742990015">
          <w:marLeft w:val="600"/>
          <w:marRight w:val="0"/>
          <w:marTop w:val="0"/>
          <w:marBottom w:val="0"/>
          <w:divBdr>
            <w:top w:val="none" w:sz="0" w:space="0" w:color="auto"/>
            <w:left w:val="none" w:sz="0" w:space="0" w:color="auto"/>
            <w:bottom w:val="none" w:sz="0" w:space="0" w:color="auto"/>
            <w:right w:val="none" w:sz="0" w:space="0" w:color="auto"/>
          </w:divBdr>
        </w:div>
        <w:div w:id="1537498329">
          <w:marLeft w:val="600"/>
          <w:marRight w:val="0"/>
          <w:marTop w:val="0"/>
          <w:marBottom w:val="0"/>
          <w:divBdr>
            <w:top w:val="none" w:sz="0" w:space="0" w:color="auto"/>
            <w:left w:val="none" w:sz="0" w:space="0" w:color="auto"/>
            <w:bottom w:val="none" w:sz="0" w:space="0" w:color="auto"/>
            <w:right w:val="none" w:sz="0" w:space="0" w:color="auto"/>
          </w:divBdr>
        </w:div>
        <w:div w:id="63727128">
          <w:marLeft w:val="1200"/>
          <w:marRight w:val="0"/>
          <w:marTop w:val="0"/>
          <w:marBottom w:val="0"/>
          <w:divBdr>
            <w:top w:val="none" w:sz="0" w:space="0" w:color="auto"/>
            <w:left w:val="none" w:sz="0" w:space="0" w:color="auto"/>
            <w:bottom w:val="none" w:sz="0" w:space="0" w:color="auto"/>
            <w:right w:val="none" w:sz="0" w:space="0" w:color="auto"/>
          </w:divBdr>
        </w:div>
        <w:div w:id="1599831286">
          <w:marLeft w:val="1200"/>
          <w:marRight w:val="0"/>
          <w:marTop w:val="0"/>
          <w:marBottom w:val="0"/>
          <w:divBdr>
            <w:top w:val="none" w:sz="0" w:space="0" w:color="auto"/>
            <w:left w:val="none" w:sz="0" w:space="0" w:color="auto"/>
            <w:bottom w:val="none" w:sz="0" w:space="0" w:color="auto"/>
            <w:right w:val="none" w:sz="0" w:space="0" w:color="auto"/>
          </w:divBdr>
        </w:div>
        <w:div w:id="625283215">
          <w:marLeft w:val="1200"/>
          <w:marRight w:val="0"/>
          <w:marTop w:val="0"/>
          <w:marBottom w:val="0"/>
          <w:divBdr>
            <w:top w:val="none" w:sz="0" w:space="0" w:color="auto"/>
            <w:left w:val="none" w:sz="0" w:space="0" w:color="auto"/>
            <w:bottom w:val="none" w:sz="0" w:space="0" w:color="auto"/>
            <w:right w:val="none" w:sz="0" w:space="0" w:color="auto"/>
          </w:divBdr>
        </w:div>
        <w:div w:id="1057358356">
          <w:marLeft w:val="1200"/>
          <w:marRight w:val="0"/>
          <w:marTop w:val="0"/>
          <w:marBottom w:val="0"/>
          <w:divBdr>
            <w:top w:val="none" w:sz="0" w:space="0" w:color="auto"/>
            <w:left w:val="none" w:sz="0" w:space="0" w:color="auto"/>
            <w:bottom w:val="none" w:sz="0" w:space="0" w:color="auto"/>
            <w:right w:val="none" w:sz="0" w:space="0" w:color="auto"/>
          </w:divBdr>
        </w:div>
        <w:div w:id="940839200">
          <w:marLeft w:val="1200"/>
          <w:marRight w:val="0"/>
          <w:marTop w:val="0"/>
          <w:marBottom w:val="0"/>
          <w:divBdr>
            <w:top w:val="none" w:sz="0" w:space="0" w:color="auto"/>
            <w:left w:val="none" w:sz="0" w:space="0" w:color="auto"/>
            <w:bottom w:val="none" w:sz="0" w:space="0" w:color="auto"/>
            <w:right w:val="none" w:sz="0" w:space="0" w:color="auto"/>
          </w:divBdr>
        </w:div>
        <w:div w:id="2041130540">
          <w:marLeft w:val="1200"/>
          <w:marRight w:val="0"/>
          <w:marTop w:val="0"/>
          <w:marBottom w:val="0"/>
          <w:divBdr>
            <w:top w:val="none" w:sz="0" w:space="0" w:color="auto"/>
            <w:left w:val="none" w:sz="0" w:space="0" w:color="auto"/>
            <w:bottom w:val="none" w:sz="0" w:space="0" w:color="auto"/>
            <w:right w:val="none" w:sz="0" w:space="0" w:color="auto"/>
          </w:divBdr>
        </w:div>
        <w:div w:id="1523855913">
          <w:marLeft w:val="1200"/>
          <w:marRight w:val="0"/>
          <w:marTop w:val="0"/>
          <w:marBottom w:val="0"/>
          <w:divBdr>
            <w:top w:val="none" w:sz="0" w:space="0" w:color="auto"/>
            <w:left w:val="none" w:sz="0" w:space="0" w:color="auto"/>
            <w:bottom w:val="none" w:sz="0" w:space="0" w:color="auto"/>
            <w:right w:val="none" w:sz="0" w:space="0" w:color="auto"/>
          </w:divBdr>
        </w:div>
        <w:div w:id="1528982943">
          <w:marLeft w:val="1800"/>
          <w:marRight w:val="0"/>
          <w:marTop w:val="0"/>
          <w:marBottom w:val="0"/>
          <w:divBdr>
            <w:top w:val="none" w:sz="0" w:space="0" w:color="auto"/>
            <w:left w:val="none" w:sz="0" w:space="0" w:color="auto"/>
            <w:bottom w:val="none" w:sz="0" w:space="0" w:color="auto"/>
            <w:right w:val="none" w:sz="0" w:space="0" w:color="auto"/>
          </w:divBdr>
        </w:div>
        <w:div w:id="383723140">
          <w:marLeft w:val="1800"/>
          <w:marRight w:val="0"/>
          <w:marTop w:val="0"/>
          <w:marBottom w:val="0"/>
          <w:divBdr>
            <w:top w:val="none" w:sz="0" w:space="0" w:color="auto"/>
            <w:left w:val="none" w:sz="0" w:space="0" w:color="auto"/>
            <w:bottom w:val="none" w:sz="0" w:space="0" w:color="auto"/>
            <w:right w:val="none" w:sz="0" w:space="0" w:color="auto"/>
          </w:divBdr>
        </w:div>
        <w:div w:id="726339065">
          <w:marLeft w:val="1800"/>
          <w:marRight w:val="0"/>
          <w:marTop w:val="0"/>
          <w:marBottom w:val="0"/>
          <w:divBdr>
            <w:top w:val="none" w:sz="0" w:space="0" w:color="auto"/>
            <w:left w:val="none" w:sz="0" w:space="0" w:color="auto"/>
            <w:bottom w:val="none" w:sz="0" w:space="0" w:color="auto"/>
            <w:right w:val="none" w:sz="0" w:space="0" w:color="auto"/>
          </w:divBdr>
        </w:div>
        <w:div w:id="369766431">
          <w:marLeft w:val="1800"/>
          <w:marRight w:val="0"/>
          <w:marTop w:val="0"/>
          <w:marBottom w:val="0"/>
          <w:divBdr>
            <w:top w:val="none" w:sz="0" w:space="0" w:color="auto"/>
            <w:left w:val="none" w:sz="0" w:space="0" w:color="auto"/>
            <w:bottom w:val="none" w:sz="0" w:space="0" w:color="auto"/>
            <w:right w:val="none" w:sz="0" w:space="0" w:color="auto"/>
          </w:divBdr>
        </w:div>
      </w:divsChild>
    </w:div>
    <w:div w:id="867522790">
      <w:bodyDiv w:val="1"/>
      <w:marLeft w:val="0"/>
      <w:marRight w:val="0"/>
      <w:marTop w:val="0"/>
      <w:marBottom w:val="0"/>
      <w:divBdr>
        <w:top w:val="none" w:sz="0" w:space="0" w:color="auto"/>
        <w:left w:val="none" w:sz="0" w:space="0" w:color="auto"/>
        <w:bottom w:val="none" w:sz="0" w:space="0" w:color="auto"/>
        <w:right w:val="none" w:sz="0" w:space="0" w:color="auto"/>
      </w:divBdr>
    </w:div>
    <w:div w:id="888033539">
      <w:bodyDiv w:val="1"/>
      <w:marLeft w:val="0"/>
      <w:marRight w:val="0"/>
      <w:marTop w:val="0"/>
      <w:marBottom w:val="0"/>
      <w:divBdr>
        <w:top w:val="none" w:sz="0" w:space="0" w:color="auto"/>
        <w:left w:val="none" w:sz="0" w:space="0" w:color="auto"/>
        <w:bottom w:val="none" w:sz="0" w:space="0" w:color="auto"/>
        <w:right w:val="none" w:sz="0" w:space="0" w:color="auto"/>
      </w:divBdr>
    </w:div>
    <w:div w:id="937105435">
      <w:bodyDiv w:val="1"/>
      <w:marLeft w:val="0"/>
      <w:marRight w:val="0"/>
      <w:marTop w:val="0"/>
      <w:marBottom w:val="0"/>
      <w:divBdr>
        <w:top w:val="none" w:sz="0" w:space="0" w:color="auto"/>
        <w:left w:val="none" w:sz="0" w:space="0" w:color="auto"/>
        <w:bottom w:val="none" w:sz="0" w:space="0" w:color="auto"/>
        <w:right w:val="none" w:sz="0" w:space="0" w:color="auto"/>
      </w:divBdr>
    </w:div>
    <w:div w:id="999163540">
      <w:bodyDiv w:val="1"/>
      <w:marLeft w:val="0"/>
      <w:marRight w:val="0"/>
      <w:marTop w:val="0"/>
      <w:marBottom w:val="0"/>
      <w:divBdr>
        <w:top w:val="none" w:sz="0" w:space="0" w:color="auto"/>
        <w:left w:val="none" w:sz="0" w:space="0" w:color="auto"/>
        <w:bottom w:val="none" w:sz="0" w:space="0" w:color="auto"/>
        <w:right w:val="none" w:sz="0" w:space="0" w:color="auto"/>
      </w:divBdr>
    </w:div>
    <w:div w:id="1112553376">
      <w:bodyDiv w:val="1"/>
      <w:marLeft w:val="0"/>
      <w:marRight w:val="0"/>
      <w:marTop w:val="0"/>
      <w:marBottom w:val="0"/>
      <w:divBdr>
        <w:top w:val="none" w:sz="0" w:space="0" w:color="auto"/>
        <w:left w:val="none" w:sz="0" w:space="0" w:color="auto"/>
        <w:bottom w:val="none" w:sz="0" w:space="0" w:color="auto"/>
        <w:right w:val="none" w:sz="0" w:space="0" w:color="auto"/>
      </w:divBdr>
    </w:div>
    <w:div w:id="1127699240">
      <w:bodyDiv w:val="1"/>
      <w:marLeft w:val="0"/>
      <w:marRight w:val="0"/>
      <w:marTop w:val="0"/>
      <w:marBottom w:val="0"/>
      <w:divBdr>
        <w:top w:val="none" w:sz="0" w:space="0" w:color="auto"/>
        <w:left w:val="none" w:sz="0" w:space="0" w:color="auto"/>
        <w:bottom w:val="none" w:sz="0" w:space="0" w:color="auto"/>
        <w:right w:val="none" w:sz="0" w:space="0" w:color="auto"/>
      </w:divBdr>
    </w:div>
    <w:div w:id="1501504673">
      <w:bodyDiv w:val="1"/>
      <w:marLeft w:val="0"/>
      <w:marRight w:val="0"/>
      <w:marTop w:val="0"/>
      <w:marBottom w:val="0"/>
      <w:divBdr>
        <w:top w:val="none" w:sz="0" w:space="0" w:color="auto"/>
        <w:left w:val="none" w:sz="0" w:space="0" w:color="auto"/>
        <w:bottom w:val="none" w:sz="0" w:space="0" w:color="auto"/>
        <w:right w:val="none" w:sz="0" w:space="0" w:color="auto"/>
      </w:divBdr>
    </w:div>
    <w:div w:id="1519808059">
      <w:bodyDiv w:val="1"/>
      <w:marLeft w:val="0"/>
      <w:marRight w:val="0"/>
      <w:marTop w:val="0"/>
      <w:marBottom w:val="0"/>
      <w:divBdr>
        <w:top w:val="none" w:sz="0" w:space="0" w:color="auto"/>
        <w:left w:val="none" w:sz="0" w:space="0" w:color="auto"/>
        <w:bottom w:val="none" w:sz="0" w:space="0" w:color="auto"/>
        <w:right w:val="none" w:sz="0" w:space="0" w:color="auto"/>
      </w:divBdr>
    </w:div>
    <w:div w:id="1603103881">
      <w:bodyDiv w:val="1"/>
      <w:marLeft w:val="0"/>
      <w:marRight w:val="0"/>
      <w:marTop w:val="0"/>
      <w:marBottom w:val="0"/>
      <w:divBdr>
        <w:top w:val="none" w:sz="0" w:space="0" w:color="auto"/>
        <w:left w:val="none" w:sz="0" w:space="0" w:color="auto"/>
        <w:bottom w:val="none" w:sz="0" w:space="0" w:color="auto"/>
        <w:right w:val="none" w:sz="0" w:space="0" w:color="auto"/>
      </w:divBdr>
    </w:div>
    <w:div w:id="1724212026">
      <w:bodyDiv w:val="1"/>
      <w:marLeft w:val="0"/>
      <w:marRight w:val="0"/>
      <w:marTop w:val="0"/>
      <w:marBottom w:val="0"/>
      <w:divBdr>
        <w:top w:val="none" w:sz="0" w:space="0" w:color="auto"/>
        <w:left w:val="none" w:sz="0" w:space="0" w:color="auto"/>
        <w:bottom w:val="none" w:sz="0" w:space="0" w:color="auto"/>
        <w:right w:val="none" w:sz="0" w:space="0" w:color="auto"/>
      </w:divBdr>
    </w:div>
    <w:div w:id="1768692124">
      <w:bodyDiv w:val="1"/>
      <w:marLeft w:val="0"/>
      <w:marRight w:val="0"/>
      <w:marTop w:val="0"/>
      <w:marBottom w:val="0"/>
      <w:divBdr>
        <w:top w:val="none" w:sz="0" w:space="0" w:color="auto"/>
        <w:left w:val="none" w:sz="0" w:space="0" w:color="auto"/>
        <w:bottom w:val="none" w:sz="0" w:space="0" w:color="auto"/>
        <w:right w:val="none" w:sz="0" w:space="0" w:color="auto"/>
      </w:divBdr>
    </w:div>
    <w:div w:id="1913616697">
      <w:bodyDiv w:val="1"/>
      <w:marLeft w:val="0"/>
      <w:marRight w:val="0"/>
      <w:marTop w:val="0"/>
      <w:marBottom w:val="0"/>
      <w:divBdr>
        <w:top w:val="none" w:sz="0" w:space="0" w:color="auto"/>
        <w:left w:val="none" w:sz="0" w:space="0" w:color="auto"/>
        <w:bottom w:val="none" w:sz="0" w:space="0" w:color="auto"/>
        <w:right w:val="none" w:sz="0" w:space="0" w:color="auto"/>
      </w:divBdr>
    </w:div>
    <w:div w:id="1967271851">
      <w:bodyDiv w:val="1"/>
      <w:marLeft w:val="0"/>
      <w:marRight w:val="0"/>
      <w:marTop w:val="0"/>
      <w:marBottom w:val="0"/>
      <w:divBdr>
        <w:top w:val="none" w:sz="0" w:space="0" w:color="auto"/>
        <w:left w:val="none" w:sz="0" w:space="0" w:color="auto"/>
        <w:bottom w:val="none" w:sz="0" w:space="0" w:color="auto"/>
        <w:right w:val="none" w:sz="0" w:space="0" w:color="auto"/>
      </w:divBdr>
    </w:div>
    <w:div w:id="2006666440">
      <w:bodyDiv w:val="1"/>
      <w:marLeft w:val="0"/>
      <w:marRight w:val="0"/>
      <w:marTop w:val="0"/>
      <w:marBottom w:val="0"/>
      <w:divBdr>
        <w:top w:val="none" w:sz="0" w:space="0" w:color="auto"/>
        <w:left w:val="none" w:sz="0" w:space="0" w:color="auto"/>
        <w:bottom w:val="none" w:sz="0" w:space="0" w:color="auto"/>
        <w:right w:val="none" w:sz="0" w:space="0" w:color="auto"/>
      </w:divBdr>
    </w:div>
    <w:div w:id="2014645968">
      <w:bodyDiv w:val="1"/>
      <w:marLeft w:val="0"/>
      <w:marRight w:val="0"/>
      <w:marTop w:val="0"/>
      <w:marBottom w:val="0"/>
      <w:divBdr>
        <w:top w:val="none" w:sz="0" w:space="0" w:color="auto"/>
        <w:left w:val="none" w:sz="0" w:space="0" w:color="auto"/>
        <w:bottom w:val="none" w:sz="0" w:space="0" w:color="auto"/>
        <w:right w:val="none" w:sz="0" w:space="0" w:color="auto"/>
      </w:divBdr>
    </w:div>
    <w:div w:id="2040155726">
      <w:bodyDiv w:val="1"/>
      <w:marLeft w:val="0"/>
      <w:marRight w:val="0"/>
      <w:marTop w:val="0"/>
      <w:marBottom w:val="0"/>
      <w:divBdr>
        <w:top w:val="none" w:sz="0" w:space="0" w:color="auto"/>
        <w:left w:val="none" w:sz="0" w:space="0" w:color="auto"/>
        <w:bottom w:val="none" w:sz="0" w:space="0" w:color="auto"/>
        <w:right w:val="none" w:sz="0" w:space="0" w:color="auto"/>
      </w:divBdr>
    </w:div>
    <w:div w:id="2068189442">
      <w:bodyDiv w:val="1"/>
      <w:marLeft w:val="0"/>
      <w:marRight w:val="0"/>
      <w:marTop w:val="0"/>
      <w:marBottom w:val="0"/>
      <w:divBdr>
        <w:top w:val="none" w:sz="0" w:space="0" w:color="auto"/>
        <w:left w:val="none" w:sz="0" w:space="0" w:color="auto"/>
        <w:bottom w:val="none" w:sz="0" w:space="0" w:color="auto"/>
        <w:right w:val="none" w:sz="0" w:space="0" w:color="auto"/>
      </w:divBdr>
    </w:div>
    <w:div w:id="209959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E587B-B5EC-4692-8ECC-4044D3BC9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16864</Words>
  <Characters>85487</Characters>
  <Application>Microsoft Office Word</Application>
  <DocSecurity>0</DocSecurity>
  <Lines>712</Lines>
  <Paragraphs>204</Paragraphs>
  <ScaleCrop>false</ScaleCrop>
  <Company/>
  <LinksUpToDate>false</LinksUpToDate>
  <CharactersWithSpaces>102147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2022-04-29T10:09:00Z</dcterms:created>
  <dcterms:modified xsi:type="dcterms:W3CDTF">2022-04-29T10:09:00Z</dcterms:modified>
</cp:coreProperties>
</file>