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7D584" w14:textId="77777777" w:rsidR="00CF3B5C" w:rsidRDefault="00CF3B5C" w:rsidP="008811FE">
      <w:pPr>
        <w:spacing w:line="480" w:lineRule="auto"/>
        <w:jc w:val="center"/>
        <w:rPr>
          <w:b/>
          <w:sz w:val="28"/>
          <w:szCs w:val="28"/>
        </w:rPr>
      </w:pPr>
      <w:bookmarkStart w:id="0" w:name="_Hlk95392143"/>
      <w:bookmarkStart w:id="1" w:name="_GoBack"/>
      <w:bookmarkEnd w:id="1"/>
      <w:r>
        <w:rPr>
          <w:b/>
          <w:noProof/>
          <w:sz w:val="28"/>
          <w:szCs w:val="28"/>
        </w:rPr>
        <w:drawing>
          <wp:inline distT="0" distB="0" distL="0" distR="0" wp14:anchorId="03B4B6B2" wp14:editId="46D1748D">
            <wp:extent cx="389890" cy="603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p w14:paraId="0756F5FC" w14:textId="77777777" w:rsidR="008811FE" w:rsidRPr="008811FE" w:rsidRDefault="008811FE" w:rsidP="008811FE">
      <w:pPr>
        <w:spacing w:line="480" w:lineRule="auto"/>
        <w:jc w:val="center"/>
        <w:rPr>
          <w:b/>
          <w:sz w:val="28"/>
          <w:szCs w:val="28"/>
        </w:rPr>
      </w:pPr>
      <w:r w:rsidRPr="008811FE">
        <w:rPr>
          <w:b/>
          <w:sz w:val="28"/>
          <w:szCs w:val="28"/>
        </w:rPr>
        <w:t>THE COURT OF APPEAL</w:t>
      </w:r>
    </w:p>
    <w:p w14:paraId="2E276D89" w14:textId="77777777" w:rsidR="008811FE" w:rsidRPr="008811FE" w:rsidRDefault="008811FE" w:rsidP="008811FE">
      <w:pPr>
        <w:spacing w:line="480" w:lineRule="auto"/>
        <w:jc w:val="center"/>
        <w:rPr>
          <w:b/>
          <w:sz w:val="28"/>
          <w:szCs w:val="28"/>
        </w:rPr>
      </w:pPr>
      <w:r w:rsidRPr="008811FE">
        <w:rPr>
          <w:b/>
          <w:sz w:val="28"/>
          <w:szCs w:val="28"/>
        </w:rPr>
        <w:t>CIVIL</w:t>
      </w:r>
    </w:p>
    <w:p w14:paraId="39A1E1F5" w14:textId="77777777" w:rsidR="008811FE" w:rsidRPr="008811FE" w:rsidRDefault="008811FE" w:rsidP="008811FE">
      <w:pPr>
        <w:spacing w:line="480" w:lineRule="auto"/>
        <w:jc w:val="right"/>
        <w:rPr>
          <w:b/>
        </w:rPr>
      </w:pPr>
      <w:r w:rsidRPr="008811FE">
        <w:rPr>
          <w:b/>
        </w:rPr>
        <w:t>Appeal Number: 2018/305</w:t>
      </w:r>
    </w:p>
    <w:p w14:paraId="12664EE5" w14:textId="780B554D" w:rsidR="008811FE" w:rsidRPr="008811FE" w:rsidRDefault="008811FE" w:rsidP="008811FE">
      <w:pPr>
        <w:spacing w:line="480" w:lineRule="auto"/>
        <w:jc w:val="right"/>
        <w:rPr>
          <w:b/>
          <w:lang w:val="en-GB"/>
        </w:rPr>
      </w:pPr>
      <w:r w:rsidRPr="008811FE">
        <w:rPr>
          <w:b/>
          <w:lang w:val="en-GB"/>
        </w:rPr>
        <w:t xml:space="preserve">Neutral Citation No [2022] IECA </w:t>
      </w:r>
      <w:r w:rsidR="00B45E62">
        <w:rPr>
          <w:b/>
          <w:lang w:val="en-GB"/>
        </w:rPr>
        <w:t>50</w:t>
      </w:r>
    </w:p>
    <w:p w14:paraId="79ED6754" w14:textId="77777777" w:rsidR="008811FE" w:rsidRPr="008811FE" w:rsidRDefault="008811FE" w:rsidP="008811FE">
      <w:pPr>
        <w:spacing w:line="480" w:lineRule="auto"/>
        <w:rPr>
          <w:b/>
        </w:rPr>
      </w:pPr>
    </w:p>
    <w:p w14:paraId="23A1EDF0" w14:textId="77777777" w:rsidR="008811FE" w:rsidRPr="008811FE" w:rsidRDefault="008811FE" w:rsidP="008811FE">
      <w:pPr>
        <w:spacing w:line="480" w:lineRule="auto"/>
        <w:rPr>
          <w:b/>
        </w:rPr>
      </w:pPr>
      <w:r w:rsidRPr="008811FE">
        <w:rPr>
          <w:b/>
        </w:rPr>
        <w:t>Whelan J.</w:t>
      </w:r>
    </w:p>
    <w:p w14:paraId="1631E3BC" w14:textId="77777777" w:rsidR="008811FE" w:rsidRPr="008811FE" w:rsidRDefault="008811FE" w:rsidP="008811FE">
      <w:pPr>
        <w:spacing w:line="480" w:lineRule="auto"/>
        <w:rPr>
          <w:b/>
        </w:rPr>
      </w:pPr>
      <w:r w:rsidRPr="008811FE">
        <w:rPr>
          <w:b/>
        </w:rPr>
        <w:t>Collins J.</w:t>
      </w:r>
    </w:p>
    <w:p w14:paraId="12FA6B15" w14:textId="77777777" w:rsidR="008811FE" w:rsidRPr="008811FE" w:rsidRDefault="008811FE" w:rsidP="008811FE">
      <w:pPr>
        <w:spacing w:line="480" w:lineRule="auto"/>
        <w:rPr>
          <w:b/>
        </w:rPr>
      </w:pPr>
      <w:r w:rsidRPr="008811FE">
        <w:rPr>
          <w:b/>
        </w:rPr>
        <w:t>Pilkington J.</w:t>
      </w:r>
    </w:p>
    <w:p w14:paraId="2BEAB88E" w14:textId="77777777" w:rsidR="008811FE" w:rsidRDefault="008811FE" w:rsidP="008811FE">
      <w:pPr>
        <w:spacing w:line="480" w:lineRule="auto"/>
        <w:rPr>
          <w:b/>
        </w:rPr>
      </w:pPr>
      <w:r w:rsidRPr="008811FE">
        <w:rPr>
          <w:b/>
        </w:rPr>
        <w:t>BETWEEN</w:t>
      </w:r>
    </w:p>
    <w:p w14:paraId="66B6F4B4" w14:textId="77777777" w:rsidR="008811FE" w:rsidRPr="008811FE" w:rsidRDefault="008811FE" w:rsidP="008811FE">
      <w:pPr>
        <w:spacing w:line="480" w:lineRule="auto"/>
        <w:jc w:val="center"/>
        <w:rPr>
          <w:b/>
        </w:rPr>
      </w:pPr>
      <w:r w:rsidRPr="008811FE">
        <w:rPr>
          <w:b/>
        </w:rPr>
        <w:t>THOMAS CONDRON</w:t>
      </w:r>
    </w:p>
    <w:p w14:paraId="13D6846C" w14:textId="77777777" w:rsidR="008811FE" w:rsidRPr="008811FE" w:rsidRDefault="008811FE" w:rsidP="008811FE">
      <w:pPr>
        <w:spacing w:line="480" w:lineRule="auto"/>
        <w:jc w:val="right"/>
        <w:rPr>
          <w:i/>
        </w:rPr>
      </w:pPr>
      <w:r w:rsidRPr="008811FE">
        <w:rPr>
          <w:i/>
        </w:rPr>
        <w:t>Plaintiff/Respondent</w:t>
      </w:r>
    </w:p>
    <w:p w14:paraId="27A2CD59" w14:textId="77777777" w:rsidR="008811FE" w:rsidRPr="008811FE" w:rsidRDefault="008811FE" w:rsidP="008811FE">
      <w:pPr>
        <w:spacing w:line="480" w:lineRule="auto"/>
        <w:rPr>
          <w:b/>
        </w:rPr>
      </w:pPr>
      <w:r w:rsidRPr="008811FE">
        <w:rPr>
          <w:b/>
        </w:rPr>
        <w:t>AND</w:t>
      </w:r>
    </w:p>
    <w:p w14:paraId="2BAC85F5" w14:textId="77777777" w:rsidR="008811FE" w:rsidRPr="008811FE" w:rsidRDefault="008811FE" w:rsidP="008811FE">
      <w:pPr>
        <w:spacing w:line="480" w:lineRule="auto"/>
        <w:jc w:val="center"/>
        <w:rPr>
          <w:b/>
        </w:rPr>
      </w:pPr>
    </w:p>
    <w:p w14:paraId="149BCB71" w14:textId="77777777" w:rsidR="008811FE" w:rsidRPr="008811FE" w:rsidRDefault="008811FE" w:rsidP="008811FE">
      <w:pPr>
        <w:spacing w:line="480" w:lineRule="auto"/>
        <w:jc w:val="center"/>
        <w:rPr>
          <w:b/>
        </w:rPr>
      </w:pPr>
      <w:r w:rsidRPr="008811FE">
        <w:rPr>
          <w:b/>
        </w:rPr>
        <w:t>GALWAY HOLDING COMPANY LIMITED AND DANMAR CONSTRUCTION LIMITED AND STEPHEN TREACY AND MAUREEN TREAC</w:t>
      </w:r>
      <w:r>
        <w:rPr>
          <w:b/>
        </w:rPr>
        <w:t>Y</w:t>
      </w:r>
    </w:p>
    <w:p w14:paraId="37D873CF" w14:textId="77777777" w:rsidR="008811FE" w:rsidRPr="008811FE" w:rsidRDefault="008811FE" w:rsidP="008811FE">
      <w:pPr>
        <w:spacing w:line="480" w:lineRule="auto"/>
        <w:jc w:val="right"/>
        <w:rPr>
          <w:i/>
        </w:rPr>
      </w:pPr>
      <w:r w:rsidRPr="008811FE">
        <w:rPr>
          <w:i/>
        </w:rPr>
        <w:t>Defendants/Appellants</w:t>
      </w:r>
    </w:p>
    <w:p w14:paraId="05DFAA2A" w14:textId="77777777" w:rsidR="008811FE" w:rsidRPr="008811FE" w:rsidRDefault="008811FE" w:rsidP="008811FE">
      <w:pPr>
        <w:spacing w:line="480" w:lineRule="auto"/>
        <w:jc w:val="right"/>
        <w:rPr>
          <w:b/>
        </w:rPr>
      </w:pPr>
    </w:p>
    <w:p w14:paraId="708FB830" w14:textId="77777777" w:rsidR="008811FE" w:rsidRPr="008811FE" w:rsidRDefault="008811FE" w:rsidP="008811FE">
      <w:pPr>
        <w:spacing w:line="480" w:lineRule="auto"/>
        <w:jc w:val="right"/>
        <w:rPr>
          <w:b/>
        </w:rPr>
      </w:pPr>
    </w:p>
    <w:p w14:paraId="549A0CB6" w14:textId="6EF324DC" w:rsidR="008811FE" w:rsidRPr="008811FE" w:rsidRDefault="008811FE" w:rsidP="00527E62">
      <w:pPr>
        <w:widowControl w:val="0"/>
        <w:spacing w:line="480" w:lineRule="auto"/>
        <w:jc w:val="center"/>
        <w:rPr>
          <w:rFonts w:eastAsia="SimSun"/>
          <w:b/>
          <w:u w:val="single"/>
        </w:rPr>
      </w:pPr>
      <w:r w:rsidRPr="008811FE">
        <w:rPr>
          <w:rFonts w:eastAsia="SimSun"/>
          <w:b/>
          <w:u w:val="single"/>
        </w:rPr>
        <w:t>Judgment of M</w:t>
      </w:r>
      <w:r w:rsidR="0063371B">
        <w:rPr>
          <w:rFonts w:eastAsia="SimSun"/>
          <w:b/>
          <w:u w:val="single"/>
        </w:rPr>
        <w:t>r</w:t>
      </w:r>
      <w:r w:rsidRPr="008811FE">
        <w:rPr>
          <w:rFonts w:eastAsia="SimSun"/>
          <w:b/>
          <w:u w:val="single"/>
        </w:rPr>
        <w:t xml:space="preserve"> Justice </w:t>
      </w:r>
      <w:r>
        <w:rPr>
          <w:rFonts w:eastAsia="SimSun"/>
          <w:b/>
          <w:u w:val="single"/>
        </w:rPr>
        <w:t>Maurice Collins</w:t>
      </w:r>
      <w:r w:rsidRPr="008811FE">
        <w:rPr>
          <w:rFonts w:eastAsia="SimSun"/>
          <w:b/>
          <w:u w:val="single"/>
        </w:rPr>
        <w:t xml:space="preserve"> delivered on</w:t>
      </w:r>
      <w:r>
        <w:rPr>
          <w:rFonts w:eastAsia="SimSun"/>
          <w:b/>
          <w:u w:val="single"/>
        </w:rPr>
        <w:t xml:space="preserve"> </w:t>
      </w:r>
      <w:r w:rsidR="00C529A4">
        <w:rPr>
          <w:rFonts w:eastAsia="SimSun"/>
          <w:b/>
          <w:u w:val="single"/>
        </w:rPr>
        <w:t>2</w:t>
      </w:r>
      <w:r w:rsidR="0090398E">
        <w:rPr>
          <w:rFonts w:eastAsia="SimSun"/>
          <w:b/>
          <w:u w:val="single"/>
        </w:rPr>
        <w:t xml:space="preserve"> </w:t>
      </w:r>
      <w:r w:rsidR="00C529A4">
        <w:rPr>
          <w:rFonts w:eastAsia="SimSun"/>
          <w:b/>
          <w:u w:val="single"/>
        </w:rPr>
        <w:t>March</w:t>
      </w:r>
      <w:r w:rsidRPr="008811FE">
        <w:rPr>
          <w:rFonts w:eastAsia="SimSun"/>
          <w:b/>
          <w:u w:val="single"/>
        </w:rPr>
        <w:t xml:space="preserve"> 2022</w:t>
      </w:r>
    </w:p>
    <w:bookmarkEnd w:id="0"/>
    <w:p w14:paraId="34E684F3" w14:textId="77777777" w:rsidR="00A05199" w:rsidRDefault="00A05199" w:rsidP="00527E62">
      <w:pPr>
        <w:spacing w:line="480" w:lineRule="auto"/>
      </w:pPr>
    </w:p>
    <w:p w14:paraId="0A872829" w14:textId="77777777" w:rsidR="006F7535" w:rsidRDefault="00527E62" w:rsidP="00E10277">
      <w:pPr>
        <w:pStyle w:val="ListParagraph"/>
        <w:numPr>
          <w:ilvl w:val="0"/>
          <w:numId w:val="1"/>
        </w:numPr>
        <w:spacing w:line="480" w:lineRule="auto"/>
        <w:ind w:hanging="720"/>
        <w:jc w:val="both"/>
      </w:pPr>
      <w:r>
        <w:t xml:space="preserve">I agree with the </w:t>
      </w:r>
      <w:r w:rsidR="006F7535">
        <w:t xml:space="preserve">judgment of </w:t>
      </w:r>
      <w:r>
        <w:t>Whelan J</w:t>
      </w:r>
      <w:r w:rsidR="006F7535">
        <w:t xml:space="preserve"> and with the order she proposes.</w:t>
      </w:r>
    </w:p>
    <w:p w14:paraId="7E1C641D" w14:textId="77777777" w:rsidR="006F7535" w:rsidRDefault="006F7535" w:rsidP="006F7535">
      <w:pPr>
        <w:pStyle w:val="ListParagraph"/>
        <w:spacing w:line="480" w:lineRule="auto"/>
        <w:jc w:val="both"/>
      </w:pPr>
    </w:p>
    <w:p w14:paraId="2239A7B8" w14:textId="77777777" w:rsidR="008811FE" w:rsidRDefault="00E10277" w:rsidP="00E10277">
      <w:pPr>
        <w:pStyle w:val="ListParagraph"/>
        <w:numPr>
          <w:ilvl w:val="0"/>
          <w:numId w:val="1"/>
        </w:numPr>
        <w:spacing w:line="480" w:lineRule="auto"/>
        <w:ind w:hanging="720"/>
        <w:jc w:val="both"/>
      </w:pPr>
      <w:r>
        <w:t xml:space="preserve">I do so </w:t>
      </w:r>
      <w:r w:rsidR="00527E62">
        <w:t>in the</w:t>
      </w:r>
      <w:r>
        <w:t xml:space="preserve"> very</w:t>
      </w:r>
      <w:r w:rsidR="00527E62">
        <w:t xml:space="preserve"> particular circumstances presented here.</w:t>
      </w:r>
    </w:p>
    <w:p w14:paraId="18E40900" w14:textId="77777777" w:rsidR="00314B73" w:rsidRDefault="00314B73" w:rsidP="00314B73">
      <w:pPr>
        <w:pStyle w:val="ListParagraph"/>
        <w:spacing w:line="480" w:lineRule="auto"/>
        <w:jc w:val="both"/>
      </w:pPr>
    </w:p>
    <w:p w14:paraId="7F39FF97" w14:textId="77777777" w:rsidR="00920E64" w:rsidRDefault="008518FA" w:rsidP="00F27BB9">
      <w:pPr>
        <w:pStyle w:val="ListParagraph"/>
        <w:numPr>
          <w:ilvl w:val="0"/>
          <w:numId w:val="1"/>
        </w:numPr>
        <w:spacing w:line="480" w:lineRule="auto"/>
        <w:ind w:hanging="720"/>
        <w:jc w:val="both"/>
      </w:pPr>
      <w:r>
        <w:t xml:space="preserve">The </w:t>
      </w:r>
      <w:r w:rsidR="006F7535">
        <w:t xml:space="preserve">High Court </w:t>
      </w:r>
      <w:r>
        <w:t>Judge thought it “</w:t>
      </w:r>
      <w:r w:rsidRPr="006F7535">
        <w:rPr>
          <w:i/>
        </w:rPr>
        <w:t>difficult to criticise the plaintiff for initiating these proceedings in the High Court</w:t>
      </w:r>
      <w:r>
        <w:t>”</w:t>
      </w:r>
      <w:r w:rsidR="006F7535">
        <w:t xml:space="preserve"> </w:t>
      </w:r>
      <w:r>
        <w:t xml:space="preserve">given the </w:t>
      </w:r>
      <w:r w:rsidR="006F7535">
        <w:t>uncertainty</w:t>
      </w:r>
      <w:r>
        <w:t xml:space="preserve"> as to whether the Circuit Court had jurisdiction. I share that view. In </w:t>
      </w:r>
      <w:r w:rsidR="006F7535">
        <w:t xml:space="preserve">her judgment, Whelan J has set out in detail how this issue arose and how it was not until the Supreme Court’s decision in </w:t>
      </w:r>
      <w:r w:rsidR="006F7535" w:rsidRPr="006F7535">
        <w:rPr>
          <w:i/>
        </w:rPr>
        <w:t xml:space="preserve">Permanent TSB plc v </w:t>
      </w:r>
      <w:proofErr w:type="spellStart"/>
      <w:r w:rsidR="006F7535" w:rsidRPr="006F7535">
        <w:rPr>
          <w:i/>
        </w:rPr>
        <w:t>Langan</w:t>
      </w:r>
      <w:proofErr w:type="spellEnd"/>
      <w:r w:rsidR="006F7535">
        <w:t xml:space="preserve"> [2017] IESC 71, [2018] 1 IR 375 that that uncertainty was resolved. As she explains, by the time of the Supreme Court’s decision, the High Court hearing in this case had concluded.</w:t>
      </w:r>
      <w:r w:rsidR="006F7535">
        <w:rPr>
          <w:rFonts w:ascii="Helv" w:hAnsi="Helv" w:cs="Helv"/>
          <w:color w:val="000000"/>
          <w:sz w:val="20"/>
          <w:szCs w:val="20"/>
          <w:lang w:eastAsia="en-US"/>
        </w:rPr>
        <w:t xml:space="preserve"> </w:t>
      </w:r>
      <w:r w:rsidR="006F7535" w:rsidRPr="006F7535">
        <w:rPr>
          <w:color w:val="000000"/>
          <w:lang w:eastAsia="en-US"/>
        </w:rPr>
        <w:t>In the circumstances, it would seem harsh indeed to assess the application of section 17(1)</w:t>
      </w:r>
      <w:r w:rsidR="00EE55E8">
        <w:rPr>
          <w:color w:val="000000"/>
          <w:lang w:eastAsia="en-US"/>
        </w:rPr>
        <w:t xml:space="preserve"> of the Courts Act 1981 (as amended)</w:t>
      </w:r>
      <w:r w:rsidR="006F7535" w:rsidRPr="006F7535">
        <w:rPr>
          <w:color w:val="000000"/>
          <w:lang w:eastAsia="en-US"/>
        </w:rPr>
        <w:t xml:space="preserve"> with the 20:20 hindsight </w:t>
      </w:r>
      <w:r w:rsidR="00007FBF">
        <w:rPr>
          <w:color w:val="000000"/>
          <w:lang w:eastAsia="en-US"/>
        </w:rPr>
        <w:t xml:space="preserve">that </w:t>
      </w:r>
      <w:proofErr w:type="spellStart"/>
      <w:r w:rsidR="006F7535" w:rsidRPr="006F7535">
        <w:rPr>
          <w:i/>
          <w:iCs/>
          <w:color w:val="000000"/>
          <w:lang w:eastAsia="en-US"/>
        </w:rPr>
        <w:t>Langan</w:t>
      </w:r>
      <w:proofErr w:type="spellEnd"/>
      <w:r w:rsidR="006F7535" w:rsidRPr="006F7535">
        <w:rPr>
          <w:color w:val="000000"/>
          <w:lang w:eastAsia="en-US"/>
        </w:rPr>
        <w:t xml:space="preserve"> permits</w:t>
      </w:r>
      <w:r w:rsidR="00007FBF">
        <w:rPr>
          <w:color w:val="000000"/>
          <w:lang w:eastAsia="en-US"/>
        </w:rPr>
        <w:t>.</w:t>
      </w:r>
    </w:p>
    <w:p w14:paraId="6F0F45B4" w14:textId="77777777" w:rsidR="00920E64" w:rsidRDefault="00920E64" w:rsidP="00F27BB9">
      <w:pPr>
        <w:pStyle w:val="ListParagraph"/>
        <w:spacing w:line="480" w:lineRule="auto"/>
        <w:jc w:val="both"/>
      </w:pPr>
    </w:p>
    <w:p w14:paraId="37F2025A" w14:textId="77777777" w:rsidR="006638FC" w:rsidRDefault="00F27BB9" w:rsidP="00F33FDE">
      <w:pPr>
        <w:pStyle w:val="ListParagraph"/>
        <w:numPr>
          <w:ilvl w:val="0"/>
          <w:numId w:val="1"/>
        </w:numPr>
        <w:spacing w:line="480" w:lineRule="auto"/>
        <w:ind w:hanging="720"/>
        <w:jc w:val="both"/>
      </w:pPr>
      <w:bookmarkStart w:id="2" w:name="_Hlk95467872"/>
      <w:r>
        <w:t xml:space="preserve">It is also relevant, in my view, that the </w:t>
      </w:r>
      <w:r w:rsidR="00022D18">
        <w:t>Defendants</w:t>
      </w:r>
      <w:r>
        <w:t xml:space="preserve"> appear never to have objected to the Plaintiff proceeding in the High Court. They did not bring an application to remit the proceedings to the Circuit Court. It may be that, in the ordinary way, that will be a neutral factor </w:t>
      </w:r>
      <w:r w:rsidR="00007FBF">
        <w:t xml:space="preserve">and, as Whelan J suggests, </w:t>
      </w:r>
      <w:r>
        <w:t xml:space="preserve">that appears to have been the view taken by Dunne J in </w:t>
      </w:r>
      <w:r w:rsidRPr="00F27BB9">
        <w:rPr>
          <w:i/>
        </w:rPr>
        <w:t xml:space="preserve">Meath County Council v Rooney </w:t>
      </w:r>
      <w:r>
        <w:t xml:space="preserve">[2009] IEHC 564. But even if that is so, the fact is that it was </w:t>
      </w:r>
      <w:r w:rsidR="00022D18">
        <w:t>at all times open to</w:t>
      </w:r>
      <w:r>
        <w:t xml:space="preserve"> the </w:t>
      </w:r>
      <w:r w:rsidR="00022D18">
        <w:t xml:space="preserve">Defendants </w:t>
      </w:r>
      <w:r w:rsidR="00C51AA8">
        <w:t xml:space="preserve">here </w:t>
      </w:r>
      <w:r w:rsidR="00022D18">
        <w:t xml:space="preserve">to assert that the Circuit Court was the appropriate jurisdiction in which to proceed and they could have offered to consent to that court’s jurisdiction to deal with the proceedings in order to allay any </w:t>
      </w:r>
      <w:r w:rsidR="00022D18" w:rsidRPr="00022D18">
        <w:rPr>
          <w:i/>
        </w:rPr>
        <w:t>Langan</w:t>
      </w:r>
      <w:r w:rsidR="00022D18">
        <w:t>-related concerns. They did no</w:t>
      </w:r>
      <w:r w:rsidR="007F0610">
        <w:t xml:space="preserve">t do so and remained silent </w:t>
      </w:r>
      <w:r w:rsidR="00022D18">
        <w:t xml:space="preserve">and, in the circumstances, their silence might well be characterised as acquiescence in the Plaintiff’s decision to proceed in the High Court. </w:t>
      </w:r>
    </w:p>
    <w:p w14:paraId="5A510931" w14:textId="77777777" w:rsidR="00022D18" w:rsidRDefault="00022D18" w:rsidP="00022D18">
      <w:pPr>
        <w:pStyle w:val="ListParagraph"/>
        <w:spacing w:line="480" w:lineRule="auto"/>
        <w:jc w:val="both"/>
      </w:pPr>
    </w:p>
    <w:p w14:paraId="71DA761D" w14:textId="77777777" w:rsidR="006638FC" w:rsidRDefault="00DC18B6" w:rsidP="006D26E9">
      <w:pPr>
        <w:pStyle w:val="ListParagraph"/>
        <w:numPr>
          <w:ilvl w:val="0"/>
          <w:numId w:val="1"/>
        </w:numPr>
        <w:spacing w:line="480" w:lineRule="auto"/>
        <w:ind w:hanging="720"/>
        <w:jc w:val="both"/>
      </w:pPr>
      <w:r>
        <w:t>In fact</w:t>
      </w:r>
      <w:r w:rsidR="00022D18">
        <w:t xml:space="preserve">, there was </w:t>
      </w:r>
      <w:r w:rsidR="007F0610">
        <w:t xml:space="preserve">significantly </w:t>
      </w:r>
      <w:r w:rsidR="00022D18">
        <w:t>more than acquiescence</w:t>
      </w:r>
      <w:r w:rsidR="003E66B2" w:rsidRPr="003E66B2">
        <w:t xml:space="preserve"> </w:t>
      </w:r>
      <w:r w:rsidR="003E66B2">
        <w:t>by silence</w:t>
      </w:r>
      <w:r w:rsidR="00022D18">
        <w:t>. As Whelan J explains, the Defendants in fact brought a counterclaim which included a claim for damages in an amount in excess of the jurisdiction of the Circuit Court</w:t>
      </w:r>
      <w:r w:rsidR="003E66B2">
        <w:t xml:space="preserve">. </w:t>
      </w:r>
      <w:r w:rsidR="00D16FE7">
        <w:t>That is a particularly significant factor in my view</w:t>
      </w:r>
      <w:r w:rsidR="006812B1">
        <w:t xml:space="preserve"> and </w:t>
      </w:r>
      <w:r w:rsidR="00340B3A">
        <w:t xml:space="preserve">involved a </w:t>
      </w:r>
      <w:r w:rsidR="00B87D10">
        <w:t xml:space="preserve">clear </w:t>
      </w:r>
      <w:r w:rsidR="00340B3A">
        <w:t xml:space="preserve">representation by the Defendants that they accepted and adopted </w:t>
      </w:r>
      <w:r w:rsidR="006812B1">
        <w:t>the jurisdiction of the High Court</w:t>
      </w:r>
      <w:r w:rsidR="00340B3A">
        <w:t>.</w:t>
      </w:r>
    </w:p>
    <w:p w14:paraId="64F22427" w14:textId="77777777" w:rsidR="003E66B2" w:rsidRDefault="003E66B2" w:rsidP="003E66B2">
      <w:pPr>
        <w:pStyle w:val="ListParagraph"/>
        <w:spacing w:line="480" w:lineRule="auto"/>
        <w:jc w:val="both"/>
      </w:pPr>
    </w:p>
    <w:p w14:paraId="3861E27B" w14:textId="77777777" w:rsidR="003E66B2" w:rsidRDefault="00340B3A" w:rsidP="00340B3A">
      <w:pPr>
        <w:pStyle w:val="ListParagraph"/>
        <w:numPr>
          <w:ilvl w:val="0"/>
          <w:numId w:val="1"/>
        </w:numPr>
        <w:spacing w:line="480" w:lineRule="auto"/>
        <w:ind w:hanging="720"/>
        <w:jc w:val="both"/>
      </w:pPr>
      <w:r>
        <w:t xml:space="preserve">The decision of the Supreme Court in </w:t>
      </w:r>
      <w:r w:rsidRPr="00340B3A">
        <w:rPr>
          <w:i/>
        </w:rPr>
        <w:t>Murphy v Grealish</w:t>
      </w:r>
      <w:r>
        <w:t xml:space="preserve"> </w:t>
      </w:r>
      <w:bookmarkStart w:id="3" w:name="_Hlk96350193"/>
      <w:r>
        <w:t>[2009] 3 IR 366</w:t>
      </w:r>
      <w:bookmarkEnd w:id="3"/>
      <w:r>
        <w:t xml:space="preserve">, and the authorities referred to in it, clearly establish the principle that a party may be estopped by their conduct from relying on an otherwise applicable statutory provision – in that case, the provisions of the Statute of Limitations. </w:t>
      </w:r>
      <w:r w:rsidR="00DC18B6">
        <w:t xml:space="preserve">In </w:t>
      </w:r>
      <w:r>
        <w:t xml:space="preserve">the particular </w:t>
      </w:r>
      <w:r w:rsidR="00DC18B6">
        <w:t>circumstances</w:t>
      </w:r>
      <w:r>
        <w:t xml:space="preserve"> here, I consider that the</w:t>
      </w:r>
      <w:r w:rsidR="00B87D10">
        <w:t xml:space="preserve"> Defendants</w:t>
      </w:r>
      <w:r>
        <w:t xml:space="preserve"> are estopped </w:t>
      </w:r>
      <w:r w:rsidR="00B87D10">
        <w:t xml:space="preserve">by their conduct </w:t>
      </w:r>
      <w:r>
        <w:t>from relying on section 17(1) against the Plaintiff and</w:t>
      </w:r>
      <w:r w:rsidR="00007FBF">
        <w:t xml:space="preserve"> I agree with Whelan J </w:t>
      </w:r>
      <w:r w:rsidR="00DC18B6">
        <w:t xml:space="preserve">that it would unconscionable to permit </w:t>
      </w:r>
      <w:r>
        <w:t xml:space="preserve">them to do so.  </w:t>
      </w:r>
    </w:p>
    <w:p w14:paraId="1E3A5B42" w14:textId="77777777" w:rsidR="0088206E" w:rsidRDefault="0088206E" w:rsidP="0088206E">
      <w:pPr>
        <w:pStyle w:val="ListParagraph"/>
        <w:spacing w:line="480" w:lineRule="auto"/>
        <w:jc w:val="both"/>
      </w:pPr>
    </w:p>
    <w:bookmarkEnd w:id="2"/>
    <w:p w14:paraId="3FCBACE5" w14:textId="77777777" w:rsidR="00DC18B6" w:rsidRPr="0088206E" w:rsidRDefault="0088206E" w:rsidP="00D16FE7">
      <w:pPr>
        <w:pStyle w:val="ListParagraph"/>
        <w:spacing w:line="480" w:lineRule="auto"/>
        <w:jc w:val="both"/>
        <w:rPr>
          <w:i/>
          <w:iCs/>
        </w:rPr>
      </w:pPr>
      <w:r w:rsidRPr="0088206E">
        <w:rPr>
          <w:i/>
          <w:iCs/>
        </w:rPr>
        <w:t>Whelan and Pilkington JJ have authorised me to record their agreement with this judgment</w:t>
      </w:r>
      <w:r>
        <w:rPr>
          <w:i/>
          <w:iCs/>
        </w:rPr>
        <w:t>.</w:t>
      </w:r>
    </w:p>
    <w:sectPr w:rsidR="00DC18B6" w:rsidRPr="0088206E" w:rsidSect="007A741E">
      <w:footerReference w:type="default" r:id="rId9"/>
      <w:headerReference w:type="first" r:id="rId10"/>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D2233" w14:textId="77777777" w:rsidR="00527E62" w:rsidRDefault="00527E62" w:rsidP="00527E62">
      <w:r>
        <w:separator/>
      </w:r>
    </w:p>
  </w:endnote>
  <w:endnote w:type="continuationSeparator" w:id="0">
    <w:p w14:paraId="23D70393" w14:textId="77777777" w:rsidR="00527E62" w:rsidRDefault="00527E62" w:rsidP="0052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448737"/>
      <w:docPartObj>
        <w:docPartGallery w:val="Page Numbers (Bottom of Page)"/>
        <w:docPartUnique/>
      </w:docPartObj>
    </w:sdtPr>
    <w:sdtEndPr/>
    <w:sdtContent>
      <w:sdt>
        <w:sdtPr>
          <w:id w:val="1728636285"/>
          <w:docPartObj>
            <w:docPartGallery w:val="Page Numbers (Top of Page)"/>
            <w:docPartUnique/>
          </w:docPartObj>
        </w:sdtPr>
        <w:sdtEndPr/>
        <w:sdtContent>
          <w:p w14:paraId="1A044DB7" w14:textId="77777777" w:rsidR="00527E62" w:rsidRDefault="00527E62">
            <w:pPr>
              <w:pStyle w:val="Footer"/>
              <w:jc w:val="center"/>
            </w:pPr>
            <w:r w:rsidRPr="00527E62">
              <w:rPr>
                <w:b/>
                <w:i/>
                <w:sz w:val="20"/>
                <w:szCs w:val="20"/>
              </w:rPr>
              <w:t xml:space="preserve">Page </w:t>
            </w:r>
            <w:r w:rsidRPr="00527E62">
              <w:rPr>
                <w:b/>
                <w:bCs/>
                <w:i/>
                <w:sz w:val="20"/>
                <w:szCs w:val="20"/>
              </w:rPr>
              <w:fldChar w:fldCharType="begin"/>
            </w:r>
            <w:r w:rsidRPr="00527E62">
              <w:rPr>
                <w:b/>
                <w:bCs/>
                <w:i/>
                <w:sz w:val="20"/>
                <w:szCs w:val="20"/>
              </w:rPr>
              <w:instrText xml:space="preserve"> PAGE </w:instrText>
            </w:r>
            <w:r w:rsidRPr="00527E62">
              <w:rPr>
                <w:b/>
                <w:bCs/>
                <w:i/>
                <w:sz w:val="20"/>
                <w:szCs w:val="20"/>
              </w:rPr>
              <w:fldChar w:fldCharType="separate"/>
            </w:r>
            <w:r w:rsidRPr="00527E62">
              <w:rPr>
                <w:b/>
                <w:bCs/>
                <w:i/>
                <w:noProof/>
                <w:sz w:val="20"/>
                <w:szCs w:val="20"/>
              </w:rPr>
              <w:t>2</w:t>
            </w:r>
            <w:r w:rsidRPr="00527E62">
              <w:rPr>
                <w:b/>
                <w:bCs/>
                <w:i/>
                <w:sz w:val="20"/>
                <w:szCs w:val="20"/>
              </w:rPr>
              <w:fldChar w:fldCharType="end"/>
            </w:r>
            <w:r w:rsidRPr="00527E62">
              <w:rPr>
                <w:b/>
                <w:i/>
                <w:sz w:val="20"/>
                <w:szCs w:val="20"/>
              </w:rPr>
              <w:t xml:space="preserve"> of </w:t>
            </w:r>
            <w:r w:rsidRPr="00527E62">
              <w:rPr>
                <w:b/>
                <w:bCs/>
                <w:i/>
                <w:sz w:val="20"/>
                <w:szCs w:val="20"/>
              </w:rPr>
              <w:fldChar w:fldCharType="begin"/>
            </w:r>
            <w:r w:rsidRPr="00527E62">
              <w:rPr>
                <w:b/>
                <w:bCs/>
                <w:i/>
                <w:sz w:val="20"/>
                <w:szCs w:val="20"/>
              </w:rPr>
              <w:instrText xml:space="preserve"> NUMPAGES  </w:instrText>
            </w:r>
            <w:r w:rsidRPr="00527E62">
              <w:rPr>
                <w:b/>
                <w:bCs/>
                <w:i/>
                <w:sz w:val="20"/>
                <w:szCs w:val="20"/>
              </w:rPr>
              <w:fldChar w:fldCharType="separate"/>
            </w:r>
            <w:r w:rsidRPr="00527E62">
              <w:rPr>
                <w:b/>
                <w:bCs/>
                <w:i/>
                <w:noProof/>
                <w:sz w:val="20"/>
                <w:szCs w:val="20"/>
              </w:rPr>
              <w:t>2</w:t>
            </w:r>
            <w:r w:rsidRPr="00527E62">
              <w:rPr>
                <w:b/>
                <w:bCs/>
                <w:i/>
                <w:sz w:val="20"/>
                <w:szCs w:val="20"/>
              </w:rPr>
              <w:fldChar w:fldCharType="end"/>
            </w:r>
          </w:p>
        </w:sdtContent>
      </w:sdt>
    </w:sdtContent>
  </w:sdt>
  <w:p w14:paraId="32261403" w14:textId="77777777" w:rsidR="00527E62" w:rsidRDefault="00527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0D4D" w14:textId="77777777" w:rsidR="00527E62" w:rsidRDefault="00527E62" w:rsidP="00527E62">
      <w:r>
        <w:separator/>
      </w:r>
    </w:p>
  </w:footnote>
  <w:footnote w:type="continuationSeparator" w:id="0">
    <w:p w14:paraId="6454B86C" w14:textId="77777777" w:rsidR="00527E62" w:rsidRDefault="00527E62" w:rsidP="00527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B974" w14:textId="77777777" w:rsidR="007A741E" w:rsidRPr="007A741E" w:rsidRDefault="007A741E">
    <w:pPr>
      <w:pStyle w:val="Header"/>
      <w:rPr>
        <w:b/>
        <w:bCs/>
        <w:i/>
        <w:iCs/>
      </w:rPr>
    </w:pPr>
    <w:r w:rsidRPr="007A741E">
      <w:rPr>
        <w:b/>
        <w:bCs/>
        <w:i/>
        <w:iCs/>
      </w:rPr>
      <w:t xml:space="preserve">Unapproved </w:t>
    </w:r>
  </w:p>
  <w:p w14:paraId="48AD7314" w14:textId="77777777" w:rsidR="007A741E" w:rsidRPr="007A741E" w:rsidRDefault="007A741E">
    <w:pPr>
      <w:pStyle w:val="Header"/>
      <w:rPr>
        <w:b/>
        <w:bCs/>
        <w:i/>
        <w:iCs/>
      </w:rPr>
    </w:pPr>
    <w:r w:rsidRPr="007A741E">
      <w:rPr>
        <w:b/>
        <w:bCs/>
        <w:i/>
        <w:iCs/>
      </w:rPr>
      <w:t>No redactions required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D28BD"/>
    <w:multiLevelType w:val="hybridMultilevel"/>
    <w:tmpl w:val="16BA3E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FE"/>
    <w:rsid w:val="00007FBF"/>
    <w:rsid w:val="00022D18"/>
    <w:rsid w:val="0012141B"/>
    <w:rsid w:val="00173411"/>
    <w:rsid w:val="001B0DDD"/>
    <w:rsid w:val="002D7CD9"/>
    <w:rsid w:val="00314B73"/>
    <w:rsid w:val="00340B3A"/>
    <w:rsid w:val="0035164A"/>
    <w:rsid w:val="00356965"/>
    <w:rsid w:val="003C3FF8"/>
    <w:rsid w:val="003D7348"/>
    <w:rsid w:val="003E66B2"/>
    <w:rsid w:val="0044557C"/>
    <w:rsid w:val="00496753"/>
    <w:rsid w:val="004C4139"/>
    <w:rsid w:val="00523DD4"/>
    <w:rsid w:val="00527E62"/>
    <w:rsid w:val="005677A3"/>
    <w:rsid w:val="0063371B"/>
    <w:rsid w:val="00633731"/>
    <w:rsid w:val="006638FC"/>
    <w:rsid w:val="006812B1"/>
    <w:rsid w:val="006D26E9"/>
    <w:rsid w:val="006F48E1"/>
    <w:rsid w:val="006F7535"/>
    <w:rsid w:val="00731E5F"/>
    <w:rsid w:val="00734C55"/>
    <w:rsid w:val="007A741E"/>
    <w:rsid w:val="007F0610"/>
    <w:rsid w:val="0080072A"/>
    <w:rsid w:val="008518FA"/>
    <w:rsid w:val="00867142"/>
    <w:rsid w:val="008811FE"/>
    <w:rsid w:val="0088206E"/>
    <w:rsid w:val="0090398E"/>
    <w:rsid w:val="00920E64"/>
    <w:rsid w:val="00972790"/>
    <w:rsid w:val="009F6B9B"/>
    <w:rsid w:val="00A05199"/>
    <w:rsid w:val="00B43D6B"/>
    <w:rsid w:val="00B45E62"/>
    <w:rsid w:val="00B87D10"/>
    <w:rsid w:val="00C51AA8"/>
    <w:rsid w:val="00C529A4"/>
    <w:rsid w:val="00CF3B5C"/>
    <w:rsid w:val="00D16FE7"/>
    <w:rsid w:val="00D90347"/>
    <w:rsid w:val="00DA29B6"/>
    <w:rsid w:val="00DC18B6"/>
    <w:rsid w:val="00E00BBB"/>
    <w:rsid w:val="00E0370F"/>
    <w:rsid w:val="00E10277"/>
    <w:rsid w:val="00E11743"/>
    <w:rsid w:val="00E811C4"/>
    <w:rsid w:val="00EB73A5"/>
    <w:rsid w:val="00EE55E8"/>
    <w:rsid w:val="00F27BB9"/>
    <w:rsid w:val="00F53731"/>
    <w:rsid w:val="00F91FE8"/>
    <w:rsid w:val="00FB7D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B10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FE"/>
    <w:pPr>
      <w:spacing w:after="0" w:line="24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spacing w:line="480" w:lineRule="auto"/>
      <w:jc w:val="center"/>
      <w:outlineLvl w:val="0"/>
    </w:pPr>
    <w:rPr>
      <w:rFonts w:eastAsiaTheme="majorEastAsia"/>
      <w:b/>
      <w:caps/>
    </w:rPr>
  </w:style>
  <w:style w:type="paragraph" w:styleId="Heading2">
    <w:name w:val="heading 2"/>
    <w:next w:val="Normal"/>
    <w:link w:val="Heading2Char"/>
    <w:uiPriority w:val="9"/>
    <w:unhideWhenUsed/>
    <w:qFormat/>
    <w:rsid w:val="00496753"/>
    <w:pPr>
      <w:keepNext/>
      <w:keepLines/>
      <w:spacing w:after="0" w:line="250" w:lineRule="auto"/>
      <w:ind w:left="862" w:hanging="11"/>
      <w:outlineLvl w:val="1"/>
    </w:pPr>
    <w:rPr>
      <w:rFonts w:cs="Times New Roman"/>
      <w:b/>
      <w:sz w:val="24"/>
      <w:lang w:eastAsia="en-IE"/>
    </w:rPr>
  </w:style>
  <w:style w:type="paragraph" w:styleId="Heading3">
    <w:name w:val="heading 3"/>
    <w:basedOn w:val="Normal"/>
    <w:next w:val="Normal"/>
    <w:link w:val="Heading3Char"/>
    <w:autoRedefine/>
    <w:uiPriority w:val="9"/>
    <w:unhideWhenUsed/>
    <w:qFormat/>
    <w:rsid w:val="00496753"/>
    <w:pPr>
      <w:keepNext/>
      <w:keepLines/>
      <w:widowControl w:val="0"/>
      <w:spacing w:line="480" w:lineRule="auto"/>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C4139"/>
    <w:pPr>
      <w:spacing w:line="480" w:lineRule="auto"/>
    </w:pPr>
  </w:style>
  <w:style w:type="character" w:customStyle="1" w:styleId="FootnoteTextChar">
    <w:name w:val="Footnote Text Char"/>
    <w:basedOn w:val="DefaultParagraphFont"/>
    <w:link w:val="FootnoteText"/>
    <w:uiPriority w:val="99"/>
    <w:rsid w:val="004C4139"/>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uiPriority w:val="9"/>
    <w:rsid w:val="00496753"/>
    <w:rPr>
      <w:rFonts w:cs="Times New Roman"/>
      <w:b/>
      <w:sz w:val="24"/>
      <w:lang w:eastAsia="en-IE"/>
    </w:rPr>
  </w:style>
  <w:style w:type="paragraph" w:customStyle="1" w:styleId="FootnoteText1">
    <w:name w:val="Footnote Text1"/>
    <w:basedOn w:val="Normal"/>
    <w:link w:val="FootnotetextChar0"/>
    <w:qFormat/>
    <w:rsid w:val="00F91FE8"/>
    <w:pPr>
      <w:spacing w:line="480" w:lineRule="auto"/>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styleId="ListParagraph">
    <w:name w:val="List Paragraph"/>
    <w:basedOn w:val="Normal"/>
    <w:uiPriority w:val="34"/>
    <w:qFormat/>
    <w:rsid w:val="00527E62"/>
    <w:pPr>
      <w:ind w:left="720"/>
      <w:contextualSpacing/>
    </w:pPr>
  </w:style>
  <w:style w:type="paragraph" w:styleId="Header">
    <w:name w:val="header"/>
    <w:basedOn w:val="Normal"/>
    <w:link w:val="HeaderChar"/>
    <w:uiPriority w:val="99"/>
    <w:unhideWhenUsed/>
    <w:rsid w:val="00527E62"/>
    <w:pPr>
      <w:tabs>
        <w:tab w:val="center" w:pos="4513"/>
        <w:tab w:val="right" w:pos="9026"/>
      </w:tabs>
    </w:pPr>
  </w:style>
  <w:style w:type="character" w:customStyle="1" w:styleId="HeaderChar">
    <w:name w:val="Header Char"/>
    <w:basedOn w:val="DefaultParagraphFont"/>
    <w:link w:val="Header"/>
    <w:uiPriority w:val="99"/>
    <w:rsid w:val="00527E62"/>
    <w:rPr>
      <w:rFonts w:cs="Times New Roman"/>
      <w:color w:val="auto"/>
      <w:sz w:val="24"/>
      <w:szCs w:val="24"/>
      <w:lang w:eastAsia="en-IE"/>
    </w:rPr>
  </w:style>
  <w:style w:type="paragraph" w:styleId="Footer">
    <w:name w:val="footer"/>
    <w:basedOn w:val="Normal"/>
    <w:link w:val="FooterChar"/>
    <w:uiPriority w:val="99"/>
    <w:unhideWhenUsed/>
    <w:rsid w:val="00527E62"/>
    <w:pPr>
      <w:tabs>
        <w:tab w:val="center" w:pos="4513"/>
        <w:tab w:val="right" w:pos="9026"/>
      </w:tabs>
    </w:pPr>
  </w:style>
  <w:style w:type="character" w:customStyle="1" w:styleId="FooterChar">
    <w:name w:val="Footer Char"/>
    <w:basedOn w:val="DefaultParagraphFont"/>
    <w:link w:val="Footer"/>
    <w:uiPriority w:val="99"/>
    <w:rsid w:val="00527E62"/>
    <w:rPr>
      <w:rFonts w:cs="Times New Roman"/>
      <w:color w:val="auto"/>
      <w:sz w:val="24"/>
      <w:szCs w:val="24"/>
      <w:lang w:eastAsia="en-IE"/>
    </w:rPr>
  </w:style>
  <w:style w:type="paragraph" w:styleId="NormalWeb">
    <w:name w:val="Normal (Web)"/>
    <w:basedOn w:val="Normal"/>
    <w:uiPriority w:val="99"/>
    <w:semiHidden/>
    <w:unhideWhenUsed/>
    <w:rsid w:val="00523DD4"/>
    <w:pPr>
      <w:spacing w:before="100" w:beforeAutospacing="1" w:after="100" w:afterAutospacing="1"/>
    </w:pPr>
  </w:style>
  <w:style w:type="character" w:styleId="FootnoteReference">
    <w:name w:val="footnote reference"/>
    <w:basedOn w:val="DefaultParagraphFont"/>
    <w:uiPriority w:val="99"/>
    <w:semiHidden/>
    <w:unhideWhenUsed/>
    <w:rsid w:val="00523D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60E71-2025-4158-ADD6-38BB63A1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2022-03-02T16:36:00Z</dcterms:created>
  <dcterms:modified xsi:type="dcterms:W3CDTF">2022-03-02T16:36:00Z</dcterms:modified>
</cp:coreProperties>
</file>