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F369" w14:textId="77777777" w:rsidR="00DB4DD0" w:rsidRPr="00DB4DD0" w:rsidRDefault="00DB4DD0" w:rsidP="00DB4DD0">
      <w:pPr>
        <w:spacing w:line="360" w:lineRule="auto"/>
        <w:jc w:val="center"/>
        <w:rPr>
          <w:rFonts w:eastAsia="Calibri"/>
          <w:b/>
          <w:sz w:val="32"/>
          <w:szCs w:val="32"/>
          <w:lang w:eastAsia="en-US"/>
        </w:rPr>
      </w:pPr>
      <w:r w:rsidRPr="00DB4DD0">
        <w:rPr>
          <w:rFonts w:eastAsia="Calibri"/>
          <w:b/>
          <w:sz w:val="32"/>
          <w:szCs w:val="32"/>
          <w:lang w:eastAsia="en-US"/>
        </w:rPr>
        <w:t>THE COURT OF APPEAL</w:t>
      </w:r>
    </w:p>
    <w:p w14:paraId="30DBC235" w14:textId="3CA91C0E" w:rsidR="00D026F1" w:rsidRDefault="00D026F1" w:rsidP="00D026F1">
      <w:pPr>
        <w:jc w:val="right"/>
        <w:rPr>
          <w:rFonts w:eastAsia="Calibri"/>
          <w:b/>
          <w:sz w:val="28"/>
          <w:u w:val="single"/>
          <w:lang w:eastAsia="en-US"/>
        </w:rPr>
      </w:pPr>
      <w:r w:rsidRPr="005F7A0E">
        <w:rPr>
          <w:rFonts w:eastAsia="Calibri"/>
          <w:b/>
          <w:sz w:val="28"/>
          <w:u w:val="single"/>
          <w:lang w:eastAsia="en-US"/>
        </w:rPr>
        <w:t>UNAPPROVED</w:t>
      </w:r>
    </w:p>
    <w:p w14:paraId="3EA61842" w14:textId="77777777" w:rsidR="00E324F3" w:rsidRPr="005F7A0E" w:rsidRDefault="00E324F3" w:rsidP="00E324F3">
      <w:pPr>
        <w:jc w:val="center"/>
        <w:rPr>
          <w:rFonts w:eastAsia="Calibri"/>
          <w:b/>
          <w:sz w:val="28"/>
          <w:u w:val="single"/>
          <w:lang w:eastAsia="en-US"/>
        </w:rPr>
      </w:pPr>
    </w:p>
    <w:p w14:paraId="796BCC06" w14:textId="25B89CAF" w:rsidR="00E324F3" w:rsidRPr="00E324F3" w:rsidRDefault="00E324F3" w:rsidP="00F95912">
      <w:pPr>
        <w:jc w:val="right"/>
        <w:rPr>
          <w:rFonts w:eastAsia="Calibri"/>
          <w:b/>
          <w:szCs w:val="22"/>
          <w:lang w:eastAsia="en-US"/>
        </w:rPr>
      </w:pPr>
      <w:r w:rsidRPr="00E324F3">
        <w:rPr>
          <w:rFonts w:eastAsia="Calibri"/>
          <w:b/>
          <w:szCs w:val="22"/>
          <w:lang w:eastAsia="en-US"/>
        </w:rPr>
        <w:t xml:space="preserve">Neutral Citation No. [2021] IECA </w:t>
      </w:r>
      <w:r w:rsidR="008946AB">
        <w:rPr>
          <w:rFonts w:eastAsia="Calibri"/>
          <w:b/>
          <w:szCs w:val="22"/>
          <w:lang w:eastAsia="en-US"/>
        </w:rPr>
        <w:t>60</w:t>
      </w:r>
    </w:p>
    <w:p w14:paraId="751F2FF8" w14:textId="69BC573E" w:rsidR="008A6EA3" w:rsidRDefault="008A6EA3" w:rsidP="00F95912">
      <w:pPr>
        <w:jc w:val="right"/>
        <w:rPr>
          <w:rFonts w:eastAsia="Calibri"/>
          <w:b/>
          <w:szCs w:val="22"/>
          <w:lang w:eastAsia="en-US"/>
        </w:rPr>
      </w:pPr>
      <w:r>
        <w:rPr>
          <w:rFonts w:eastAsia="Calibri"/>
          <w:b/>
          <w:szCs w:val="22"/>
          <w:lang w:eastAsia="en-US"/>
        </w:rPr>
        <w:t>Cour</w:t>
      </w:r>
      <w:r w:rsidR="004B1927">
        <w:rPr>
          <w:rFonts w:eastAsia="Calibri"/>
          <w:b/>
          <w:szCs w:val="22"/>
          <w:lang w:eastAsia="en-US"/>
        </w:rPr>
        <w:t>t of Appeal Record Number</w:t>
      </w:r>
      <w:r w:rsidR="00FB18C8">
        <w:rPr>
          <w:rFonts w:eastAsia="Calibri"/>
          <w:b/>
          <w:szCs w:val="22"/>
          <w:lang w:eastAsia="en-US"/>
        </w:rPr>
        <w:t>:</w:t>
      </w:r>
      <w:r w:rsidR="004B1927">
        <w:rPr>
          <w:rFonts w:eastAsia="Calibri"/>
          <w:b/>
          <w:szCs w:val="22"/>
          <w:lang w:eastAsia="en-US"/>
        </w:rPr>
        <w:t xml:space="preserve"> </w:t>
      </w:r>
      <w:r w:rsidR="00221A1A">
        <w:rPr>
          <w:rFonts w:eastAsia="Calibri"/>
          <w:b/>
          <w:szCs w:val="22"/>
          <w:lang w:eastAsia="en-US"/>
        </w:rPr>
        <w:t>2021/70</w:t>
      </w:r>
    </w:p>
    <w:p w14:paraId="48803966" w14:textId="77777777" w:rsidR="00221A1A" w:rsidRDefault="00221A1A" w:rsidP="00F95912">
      <w:pPr>
        <w:jc w:val="right"/>
        <w:rPr>
          <w:rFonts w:eastAsia="Calibri"/>
          <w:b/>
          <w:szCs w:val="22"/>
          <w:lang w:eastAsia="en-US"/>
        </w:rPr>
      </w:pPr>
      <w:r>
        <w:rPr>
          <w:rFonts w:eastAsia="Calibri"/>
          <w:b/>
          <w:szCs w:val="22"/>
          <w:lang w:eastAsia="en-US"/>
        </w:rPr>
        <w:t>High Court Record Number: Bankruptcy 3872P</w:t>
      </w:r>
    </w:p>
    <w:p w14:paraId="412F271A" w14:textId="77777777" w:rsidR="00163781" w:rsidRDefault="00163781" w:rsidP="00F95912">
      <w:pPr>
        <w:jc w:val="right"/>
        <w:rPr>
          <w:rFonts w:eastAsia="Calibri"/>
          <w:b/>
          <w:szCs w:val="22"/>
          <w:lang w:eastAsia="en-US"/>
        </w:rPr>
      </w:pPr>
    </w:p>
    <w:p w14:paraId="48FBED95" w14:textId="77777777" w:rsidR="004B1927" w:rsidRDefault="000B2594" w:rsidP="00F95912">
      <w:pPr>
        <w:jc w:val="both"/>
        <w:rPr>
          <w:rFonts w:eastAsia="Calibri"/>
          <w:b/>
          <w:szCs w:val="22"/>
          <w:lang w:eastAsia="en-US"/>
        </w:rPr>
      </w:pPr>
      <w:r>
        <w:rPr>
          <w:rFonts w:eastAsia="Calibri"/>
          <w:b/>
          <w:szCs w:val="22"/>
          <w:lang w:eastAsia="en-US"/>
        </w:rPr>
        <w:t>Costello</w:t>
      </w:r>
      <w:r w:rsidR="00221A1A">
        <w:rPr>
          <w:rFonts w:eastAsia="Calibri"/>
          <w:b/>
          <w:szCs w:val="22"/>
          <w:lang w:eastAsia="en-US"/>
        </w:rPr>
        <w:t xml:space="preserve"> J.</w:t>
      </w:r>
    </w:p>
    <w:p w14:paraId="03D63E81" w14:textId="77777777" w:rsidR="008A6EA3" w:rsidRDefault="000B2594" w:rsidP="00F95912">
      <w:pPr>
        <w:jc w:val="both"/>
        <w:rPr>
          <w:rFonts w:eastAsia="Calibri"/>
          <w:b/>
          <w:szCs w:val="22"/>
          <w:lang w:eastAsia="en-US"/>
        </w:rPr>
      </w:pPr>
      <w:r>
        <w:rPr>
          <w:rFonts w:eastAsia="Calibri"/>
          <w:b/>
          <w:szCs w:val="22"/>
          <w:lang w:eastAsia="en-US"/>
        </w:rPr>
        <w:t>Haughton</w:t>
      </w:r>
      <w:r w:rsidR="008824F1">
        <w:rPr>
          <w:rFonts w:eastAsia="Calibri"/>
          <w:b/>
          <w:szCs w:val="22"/>
          <w:lang w:eastAsia="en-US"/>
        </w:rPr>
        <w:t xml:space="preserve"> J.</w:t>
      </w:r>
    </w:p>
    <w:p w14:paraId="4D289861" w14:textId="77777777" w:rsidR="00221A1A" w:rsidRDefault="00221A1A" w:rsidP="00F95912">
      <w:pPr>
        <w:jc w:val="both"/>
        <w:rPr>
          <w:rFonts w:eastAsia="Calibri"/>
          <w:b/>
          <w:szCs w:val="22"/>
          <w:lang w:eastAsia="en-US"/>
        </w:rPr>
      </w:pPr>
      <w:r>
        <w:rPr>
          <w:rFonts w:eastAsia="Calibri"/>
          <w:b/>
          <w:szCs w:val="22"/>
          <w:lang w:eastAsia="en-US"/>
        </w:rPr>
        <w:t>Murray J.</w:t>
      </w:r>
    </w:p>
    <w:p w14:paraId="296A9FF3" w14:textId="77777777" w:rsidR="004B1927" w:rsidRDefault="004B1927" w:rsidP="00F95912">
      <w:pPr>
        <w:jc w:val="both"/>
        <w:rPr>
          <w:rFonts w:eastAsia="Calibri"/>
          <w:b/>
          <w:szCs w:val="22"/>
          <w:lang w:eastAsia="en-US"/>
        </w:rPr>
      </w:pPr>
    </w:p>
    <w:p w14:paraId="7A86F787" w14:textId="77777777" w:rsidR="00163781" w:rsidRDefault="00221A1A" w:rsidP="00221A1A">
      <w:pPr>
        <w:jc w:val="center"/>
        <w:rPr>
          <w:rFonts w:eastAsia="Calibri"/>
          <w:b/>
          <w:szCs w:val="22"/>
          <w:lang w:eastAsia="en-US"/>
        </w:rPr>
      </w:pPr>
      <w:r>
        <w:rPr>
          <w:rFonts w:eastAsia="Calibri"/>
          <w:b/>
          <w:szCs w:val="22"/>
          <w:lang w:eastAsia="en-US"/>
        </w:rPr>
        <w:t>IN THE MATTER OF A BANKRUPTCY PETITION</w:t>
      </w:r>
    </w:p>
    <w:p w14:paraId="26D2F679" w14:textId="77777777" w:rsidR="00163781" w:rsidRDefault="00221A1A" w:rsidP="00221A1A">
      <w:pPr>
        <w:jc w:val="center"/>
        <w:rPr>
          <w:rFonts w:eastAsia="Calibri"/>
          <w:b/>
          <w:szCs w:val="22"/>
          <w:lang w:eastAsia="en-US"/>
        </w:rPr>
      </w:pPr>
      <w:r>
        <w:rPr>
          <w:rFonts w:eastAsia="Calibri"/>
          <w:b/>
          <w:szCs w:val="22"/>
          <w:lang w:eastAsia="en-US"/>
        </w:rPr>
        <w:t xml:space="preserve">BETWEEN ALLIED IRISH BANKS PLC </w:t>
      </w:r>
    </w:p>
    <w:p w14:paraId="06464053" w14:textId="77777777" w:rsidR="00FB18C8" w:rsidRDefault="00221A1A" w:rsidP="00FB18C8">
      <w:pPr>
        <w:jc w:val="center"/>
        <w:rPr>
          <w:rFonts w:eastAsia="Calibri"/>
          <w:b/>
          <w:szCs w:val="22"/>
          <w:lang w:eastAsia="en-US"/>
        </w:rPr>
      </w:pPr>
      <w:r>
        <w:rPr>
          <w:rFonts w:eastAsia="Calibri"/>
          <w:b/>
          <w:szCs w:val="22"/>
          <w:lang w:eastAsia="en-US"/>
        </w:rPr>
        <w:t xml:space="preserve"> AND JAMES FLYNN</w:t>
      </w:r>
    </w:p>
    <w:p w14:paraId="501E64C0" w14:textId="77777777" w:rsidR="00221A1A" w:rsidRDefault="00221A1A" w:rsidP="00221A1A">
      <w:pPr>
        <w:jc w:val="center"/>
        <w:rPr>
          <w:rFonts w:eastAsia="Calibri"/>
          <w:b/>
          <w:szCs w:val="22"/>
          <w:lang w:eastAsia="en-US"/>
        </w:rPr>
      </w:pPr>
      <w:r>
        <w:rPr>
          <w:rFonts w:eastAsia="Calibri"/>
          <w:b/>
          <w:szCs w:val="22"/>
          <w:lang w:eastAsia="en-US"/>
        </w:rPr>
        <w:t>AND</w:t>
      </w:r>
    </w:p>
    <w:p w14:paraId="390C0739" w14:textId="77777777" w:rsidR="00221A1A" w:rsidRDefault="00221A1A" w:rsidP="00221A1A">
      <w:pPr>
        <w:jc w:val="center"/>
        <w:rPr>
          <w:rFonts w:eastAsia="Calibri"/>
          <w:b/>
          <w:szCs w:val="22"/>
          <w:lang w:eastAsia="en-US"/>
        </w:rPr>
      </w:pPr>
      <w:r>
        <w:rPr>
          <w:rFonts w:eastAsia="Calibri"/>
          <w:b/>
          <w:szCs w:val="22"/>
          <w:lang w:eastAsia="en-US"/>
        </w:rPr>
        <w:t xml:space="preserve">IN THE MATTER OF AN APPLICATION </w:t>
      </w:r>
    </w:p>
    <w:p w14:paraId="1D7DD7A5" w14:textId="77777777" w:rsidR="00221A1A" w:rsidRDefault="00221A1A" w:rsidP="00221A1A">
      <w:pPr>
        <w:jc w:val="center"/>
        <w:rPr>
          <w:rFonts w:eastAsia="Calibri"/>
          <w:b/>
          <w:szCs w:val="22"/>
          <w:lang w:eastAsia="en-US"/>
        </w:rPr>
      </w:pPr>
      <w:r>
        <w:rPr>
          <w:rFonts w:eastAsia="Calibri"/>
          <w:b/>
          <w:szCs w:val="22"/>
          <w:lang w:eastAsia="en-US"/>
        </w:rPr>
        <w:t>BY EVERYDAY FINANCE DESIGNATED ACTIVITY COMPANY</w:t>
      </w:r>
    </w:p>
    <w:p w14:paraId="7FC6A8C8" w14:textId="77777777" w:rsidR="00221A1A" w:rsidRDefault="00221A1A" w:rsidP="00221A1A">
      <w:pPr>
        <w:jc w:val="center"/>
        <w:rPr>
          <w:rFonts w:eastAsia="Calibri"/>
          <w:b/>
          <w:szCs w:val="22"/>
          <w:lang w:eastAsia="en-US"/>
        </w:rPr>
      </w:pPr>
      <w:r>
        <w:rPr>
          <w:rFonts w:eastAsia="Calibri"/>
          <w:b/>
          <w:szCs w:val="22"/>
          <w:lang w:eastAsia="en-US"/>
        </w:rPr>
        <w:t xml:space="preserve">PURSUANT TO ORDER 17, RULE 4 </w:t>
      </w:r>
    </w:p>
    <w:p w14:paraId="03460AAE" w14:textId="77777777" w:rsidR="00221A1A" w:rsidRDefault="00221A1A" w:rsidP="00221A1A">
      <w:pPr>
        <w:jc w:val="center"/>
        <w:rPr>
          <w:rFonts w:eastAsia="Calibri"/>
          <w:b/>
          <w:szCs w:val="22"/>
          <w:lang w:eastAsia="en-US"/>
        </w:rPr>
      </w:pPr>
      <w:r>
        <w:rPr>
          <w:rFonts w:eastAsia="Calibri"/>
          <w:b/>
          <w:szCs w:val="22"/>
          <w:lang w:eastAsia="en-US"/>
        </w:rPr>
        <w:t>OF THE RULES OF THE SUPERIOR COURTS</w:t>
      </w:r>
    </w:p>
    <w:p w14:paraId="311458CE" w14:textId="5152E250" w:rsidR="00221A1A" w:rsidRDefault="00221A1A" w:rsidP="00221A1A">
      <w:pPr>
        <w:jc w:val="center"/>
        <w:rPr>
          <w:rFonts w:eastAsia="Calibri"/>
          <w:b/>
          <w:szCs w:val="22"/>
          <w:lang w:eastAsia="en-US"/>
        </w:rPr>
      </w:pPr>
    </w:p>
    <w:p w14:paraId="749F9507" w14:textId="77777777" w:rsidR="00221A1A" w:rsidRDefault="00221A1A" w:rsidP="00221A1A">
      <w:pPr>
        <w:rPr>
          <w:rFonts w:eastAsia="Calibri"/>
          <w:b/>
          <w:szCs w:val="22"/>
          <w:lang w:eastAsia="en-US"/>
        </w:rPr>
      </w:pPr>
      <w:r>
        <w:rPr>
          <w:rFonts w:eastAsia="Calibri"/>
          <w:b/>
          <w:szCs w:val="22"/>
          <w:lang w:eastAsia="en-US"/>
        </w:rPr>
        <w:t>BETWEEN/</w:t>
      </w:r>
    </w:p>
    <w:p w14:paraId="2925153F" w14:textId="77777777" w:rsidR="00221A1A" w:rsidRDefault="00FA5DB0" w:rsidP="00221A1A">
      <w:pPr>
        <w:jc w:val="center"/>
        <w:rPr>
          <w:rFonts w:eastAsia="Calibri"/>
          <w:b/>
          <w:szCs w:val="22"/>
          <w:lang w:eastAsia="en-US"/>
        </w:rPr>
      </w:pPr>
      <w:r>
        <w:rPr>
          <w:rFonts w:eastAsia="Calibri"/>
          <w:b/>
          <w:szCs w:val="22"/>
          <w:lang w:eastAsia="en-US"/>
        </w:rPr>
        <w:t xml:space="preserve">ALLIED IRISH BANKS PLC/EVERYDAY FINANCE DAC </w:t>
      </w:r>
    </w:p>
    <w:p w14:paraId="0EACD45A" w14:textId="77777777" w:rsidR="00221A1A" w:rsidRDefault="00221A1A" w:rsidP="00221A1A">
      <w:pPr>
        <w:jc w:val="center"/>
        <w:rPr>
          <w:rFonts w:eastAsia="Calibri"/>
          <w:b/>
          <w:szCs w:val="22"/>
          <w:lang w:eastAsia="en-US"/>
        </w:rPr>
      </w:pPr>
    </w:p>
    <w:p w14:paraId="175B3898" w14:textId="77777777" w:rsidR="00221A1A" w:rsidRDefault="00221A1A" w:rsidP="00221A1A">
      <w:pPr>
        <w:jc w:val="right"/>
        <w:rPr>
          <w:rFonts w:eastAsia="Calibri"/>
          <w:b/>
          <w:szCs w:val="22"/>
          <w:lang w:eastAsia="en-US"/>
        </w:rPr>
      </w:pPr>
      <w:r>
        <w:rPr>
          <w:rFonts w:eastAsia="Calibri"/>
          <w:b/>
          <w:szCs w:val="22"/>
          <w:lang w:eastAsia="en-US"/>
        </w:rPr>
        <w:tab/>
      </w:r>
      <w:r>
        <w:rPr>
          <w:rFonts w:eastAsia="Calibri"/>
          <w:b/>
          <w:szCs w:val="22"/>
          <w:lang w:eastAsia="en-US"/>
        </w:rPr>
        <w:tab/>
      </w:r>
      <w:r>
        <w:rPr>
          <w:rFonts w:eastAsia="Calibri"/>
          <w:b/>
          <w:szCs w:val="22"/>
          <w:lang w:eastAsia="en-US"/>
        </w:rPr>
        <w:tab/>
      </w:r>
      <w:r w:rsidR="00FA5DB0">
        <w:rPr>
          <w:rFonts w:eastAsia="Calibri"/>
          <w:b/>
          <w:szCs w:val="22"/>
          <w:lang w:eastAsia="en-US"/>
        </w:rPr>
        <w:t>PETITIONER/RESPONDENT</w:t>
      </w:r>
    </w:p>
    <w:p w14:paraId="2196E607" w14:textId="77777777" w:rsidR="00221A1A" w:rsidRDefault="00221A1A" w:rsidP="00221A1A">
      <w:pPr>
        <w:jc w:val="right"/>
        <w:rPr>
          <w:rFonts w:eastAsia="Calibri"/>
          <w:b/>
          <w:szCs w:val="22"/>
          <w:lang w:eastAsia="en-US"/>
        </w:rPr>
      </w:pPr>
    </w:p>
    <w:p w14:paraId="350366F9" w14:textId="4BC1E0D2" w:rsidR="00221A1A" w:rsidRDefault="00221A1A" w:rsidP="00221A1A">
      <w:pPr>
        <w:jc w:val="center"/>
        <w:rPr>
          <w:rFonts w:eastAsia="Calibri"/>
          <w:b/>
          <w:szCs w:val="22"/>
          <w:lang w:eastAsia="en-US"/>
        </w:rPr>
      </w:pPr>
      <w:r>
        <w:rPr>
          <w:rFonts w:eastAsia="Calibri"/>
          <w:b/>
          <w:szCs w:val="22"/>
          <w:lang w:eastAsia="en-US"/>
        </w:rPr>
        <w:t>-</w:t>
      </w:r>
      <w:r w:rsidR="00FE22B3">
        <w:rPr>
          <w:rFonts w:eastAsia="Calibri"/>
          <w:b/>
          <w:szCs w:val="22"/>
          <w:lang w:eastAsia="en-US"/>
        </w:rPr>
        <w:t xml:space="preserve"> </w:t>
      </w:r>
      <w:r>
        <w:rPr>
          <w:rFonts w:eastAsia="Calibri"/>
          <w:b/>
          <w:szCs w:val="22"/>
          <w:lang w:eastAsia="en-US"/>
        </w:rPr>
        <w:t>AND</w:t>
      </w:r>
      <w:r w:rsidR="00FE22B3">
        <w:rPr>
          <w:rFonts w:eastAsia="Calibri"/>
          <w:b/>
          <w:szCs w:val="22"/>
          <w:lang w:eastAsia="en-US"/>
        </w:rPr>
        <w:t xml:space="preserve"> </w:t>
      </w:r>
      <w:r>
        <w:rPr>
          <w:rFonts w:eastAsia="Calibri"/>
          <w:b/>
          <w:szCs w:val="22"/>
          <w:lang w:eastAsia="en-US"/>
        </w:rPr>
        <w:t>-</w:t>
      </w:r>
    </w:p>
    <w:p w14:paraId="26593D64" w14:textId="49A7589F" w:rsidR="00221A1A" w:rsidRDefault="00221A1A" w:rsidP="00221A1A">
      <w:pPr>
        <w:jc w:val="center"/>
        <w:rPr>
          <w:rFonts w:eastAsia="Calibri"/>
          <w:b/>
          <w:szCs w:val="22"/>
          <w:lang w:eastAsia="en-US"/>
        </w:rPr>
      </w:pPr>
    </w:p>
    <w:p w14:paraId="33FF97E4" w14:textId="77777777" w:rsidR="00F814F6" w:rsidRDefault="00F814F6" w:rsidP="00221A1A">
      <w:pPr>
        <w:jc w:val="center"/>
        <w:rPr>
          <w:rFonts w:eastAsia="Calibri"/>
          <w:b/>
          <w:szCs w:val="22"/>
          <w:lang w:eastAsia="en-US"/>
        </w:rPr>
      </w:pPr>
    </w:p>
    <w:p w14:paraId="4894FD38" w14:textId="77777777" w:rsidR="00221A1A" w:rsidRDefault="00FA5DB0" w:rsidP="00221A1A">
      <w:pPr>
        <w:jc w:val="center"/>
        <w:rPr>
          <w:rFonts w:eastAsia="Calibri"/>
          <w:b/>
          <w:szCs w:val="22"/>
          <w:lang w:eastAsia="en-US"/>
        </w:rPr>
      </w:pPr>
      <w:r>
        <w:rPr>
          <w:rFonts w:eastAsia="Calibri"/>
          <w:b/>
          <w:szCs w:val="22"/>
          <w:lang w:eastAsia="en-US"/>
        </w:rPr>
        <w:t>JAMES FLYNN</w:t>
      </w:r>
    </w:p>
    <w:p w14:paraId="16C329A9" w14:textId="77777777" w:rsidR="00221A1A" w:rsidRDefault="00221A1A" w:rsidP="00221A1A">
      <w:pPr>
        <w:jc w:val="center"/>
        <w:rPr>
          <w:rFonts w:eastAsia="Calibri"/>
          <w:b/>
          <w:szCs w:val="22"/>
          <w:lang w:eastAsia="en-US"/>
        </w:rPr>
      </w:pPr>
    </w:p>
    <w:p w14:paraId="2720AA2B" w14:textId="77777777" w:rsidR="00221A1A" w:rsidRDefault="00221A1A" w:rsidP="00221A1A">
      <w:pPr>
        <w:jc w:val="right"/>
        <w:rPr>
          <w:rFonts w:eastAsia="Calibri"/>
          <w:b/>
          <w:szCs w:val="22"/>
          <w:lang w:eastAsia="en-US"/>
        </w:rPr>
      </w:pPr>
      <w:r>
        <w:rPr>
          <w:rFonts w:eastAsia="Calibri"/>
          <w:b/>
          <w:szCs w:val="22"/>
          <w:lang w:eastAsia="en-US"/>
        </w:rPr>
        <w:t>RESPONDENT</w:t>
      </w:r>
      <w:r w:rsidR="00FA5DB0">
        <w:rPr>
          <w:rFonts w:eastAsia="Calibri"/>
          <w:b/>
          <w:szCs w:val="22"/>
          <w:lang w:eastAsia="en-US"/>
        </w:rPr>
        <w:t>/APPELLANT</w:t>
      </w:r>
    </w:p>
    <w:p w14:paraId="2B2D0E36" w14:textId="6F72CE48" w:rsidR="001205CA" w:rsidRDefault="001205CA" w:rsidP="001205CA">
      <w:pPr>
        <w:jc w:val="right"/>
        <w:rPr>
          <w:rFonts w:eastAsia="Calibri"/>
          <w:b/>
          <w:szCs w:val="22"/>
          <w:lang w:eastAsia="en-US"/>
        </w:rPr>
      </w:pPr>
    </w:p>
    <w:p w14:paraId="226092CC" w14:textId="77777777" w:rsidR="00F814F6" w:rsidRDefault="00F814F6" w:rsidP="001205CA">
      <w:pPr>
        <w:jc w:val="right"/>
        <w:rPr>
          <w:rFonts w:eastAsia="Calibri"/>
          <w:b/>
          <w:szCs w:val="22"/>
          <w:lang w:eastAsia="en-US"/>
        </w:rPr>
      </w:pPr>
    </w:p>
    <w:p w14:paraId="26EE5F6E" w14:textId="57CE0CB7" w:rsidR="00081285" w:rsidRDefault="00DB4DD0" w:rsidP="00DB4DD0">
      <w:pPr>
        <w:widowControl w:val="0"/>
        <w:rPr>
          <w:b/>
          <w:u w:val="single"/>
        </w:rPr>
      </w:pPr>
      <w:r w:rsidRPr="00DB4DD0">
        <w:rPr>
          <w:rFonts w:eastAsia="Calibri"/>
          <w:b/>
          <w:szCs w:val="22"/>
          <w:u w:val="single"/>
          <w:lang w:eastAsia="en-US"/>
        </w:rPr>
        <w:t xml:space="preserve">JUDGMENT of Ms. Justice Costello delivered on the </w:t>
      </w:r>
      <w:r w:rsidR="001C6704">
        <w:rPr>
          <w:rFonts w:eastAsia="Calibri"/>
          <w:b/>
          <w:szCs w:val="22"/>
          <w:u w:val="single"/>
          <w:lang w:eastAsia="en-US"/>
        </w:rPr>
        <w:t>14th</w:t>
      </w:r>
      <w:r w:rsidR="0073093E">
        <w:rPr>
          <w:rFonts w:eastAsia="Calibri"/>
          <w:b/>
          <w:szCs w:val="22"/>
          <w:u w:val="single"/>
          <w:lang w:eastAsia="en-US"/>
        </w:rPr>
        <w:t xml:space="preserve"> day of </w:t>
      </w:r>
      <w:r w:rsidR="00155601">
        <w:rPr>
          <w:rFonts w:eastAsia="Calibri"/>
          <w:b/>
          <w:szCs w:val="22"/>
          <w:u w:val="single"/>
          <w:lang w:eastAsia="en-US"/>
        </w:rPr>
        <w:t xml:space="preserve">March </w:t>
      </w:r>
      <w:r w:rsidR="0086068D">
        <w:rPr>
          <w:rFonts w:eastAsia="Calibri"/>
          <w:b/>
          <w:szCs w:val="22"/>
          <w:u w:val="single"/>
          <w:lang w:eastAsia="en-US"/>
        </w:rPr>
        <w:t>20</w:t>
      </w:r>
      <w:r w:rsidR="008824F1">
        <w:rPr>
          <w:rFonts w:eastAsia="Calibri"/>
          <w:b/>
          <w:szCs w:val="22"/>
          <w:u w:val="single"/>
          <w:lang w:eastAsia="en-US"/>
        </w:rPr>
        <w:t>2</w:t>
      </w:r>
      <w:r w:rsidR="00A821A1">
        <w:rPr>
          <w:rFonts w:eastAsia="Calibri"/>
          <w:b/>
          <w:szCs w:val="22"/>
          <w:u w:val="single"/>
          <w:lang w:eastAsia="en-US"/>
        </w:rPr>
        <w:t>2</w:t>
      </w:r>
      <w:r w:rsidR="00081285">
        <w:rPr>
          <w:b/>
          <w:u w:val="single"/>
        </w:rPr>
        <w:t xml:space="preserve">  </w:t>
      </w:r>
    </w:p>
    <w:p w14:paraId="21CFD102" w14:textId="77777777" w:rsidR="001E4AAF" w:rsidRPr="001E4AAF" w:rsidRDefault="001E4AAF" w:rsidP="001E4AAF">
      <w:pPr>
        <w:widowControl w:val="0"/>
        <w:rPr>
          <w:b/>
          <w:u w:val="single"/>
        </w:rPr>
      </w:pPr>
    </w:p>
    <w:p w14:paraId="3C920F98" w14:textId="7E34D418" w:rsidR="0097499D" w:rsidRPr="008D4064" w:rsidRDefault="00221A1A" w:rsidP="004B1C55">
      <w:pPr>
        <w:pStyle w:val="ListParagraph"/>
        <w:numPr>
          <w:ilvl w:val="0"/>
          <w:numId w:val="43"/>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The issue in this appeal </w:t>
      </w:r>
      <w:r w:rsidR="0097499D">
        <w:rPr>
          <w:rFonts w:ascii="Times New Roman" w:hAnsi="Times New Roman"/>
          <w:sz w:val="24"/>
        </w:rPr>
        <w:t xml:space="preserve">is a net one: whether the High Court (Pilkington J.) was correct to order that the bankruptcy petition </w:t>
      </w:r>
      <w:r w:rsidR="00DC3C44">
        <w:rPr>
          <w:rFonts w:ascii="Times New Roman" w:hAnsi="Times New Roman"/>
          <w:sz w:val="24"/>
        </w:rPr>
        <w:t xml:space="preserve">issued by AIB plc (“AIB”) </w:t>
      </w:r>
      <w:r w:rsidR="0097499D">
        <w:rPr>
          <w:rFonts w:ascii="Times New Roman" w:hAnsi="Times New Roman"/>
          <w:sz w:val="24"/>
        </w:rPr>
        <w:t xml:space="preserve">be carried on between Everyday Finance DAC </w:t>
      </w:r>
      <w:r w:rsidR="00DC3C44">
        <w:rPr>
          <w:rFonts w:ascii="Times New Roman" w:hAnsi="Times New Roman"/>
          <w:sz w:val="24"/>
        </w:rPr>
        <w:t xml:space="preserve">(“Everyday”) </w:t>
      </w:r>
      <w:r w:rsidR="0097499D">
        <w:rPr>
          <w:rFonts w:ascii="Times New Roman" w:hAnsi="Times New Roman"/>
          <w:sz w:val="24"/>
        </w:rPr>
        <w:t>as petitioning creditor and James Flynn</w:t>
      </w:r>
      <w:r w:rsidR="00DC3C44">
        <w:rPr>
          <w:rFonts w:ascii="Times New Roman" w:hAnsi="Times New Roman"/>
          <w:sz w:val="24"/>
        </w:rPr>
        <w:t xml:space="preserve"> (“the appellant”)</w:t>
      </w:r>
      <w:r w:rsidR="0097499D">
        <w:rPr>
          <w:rFonts w:ascii="Times New Roman" w:hAnsi="Times New Roman"/>
          <w:sz w:val="24"/>
        </w:rPr>
        <w:t xml:space="preserve"> pursuant to O. 17, r. 4 of the Rules of the Superior Court</w:t>
      </w:r>
      <w:r w:rsidR="00FD7CA2">
        <w:rPr>
          <w:rFonts w:ascii="Times New Roman" w:hAnsi="Times New Roman"/>
          <w:sz w:val="24"/>
        </w:rPr>
        <w:t>s</w:t>
      </w:r>
      <w:r w:rsidR="0097499D">
        <w:rPr>
          <w:rFonts w:ascii="Times New Roman" w:hAnsi="Times New Roman"/>
          <w:sz w:val="24"/>
        </w:rPr>
        <w:t xml:space="preserve">. </w:t>
      </w:r>
    </w:p>
    <w:p w14:paraId="62074AAF" w14:textId="77777777" w:rsidR="009D3C0A" w:rsidRPr="009D3C0A" w:rsidRDefault="0097499D" w:rsidP="004B1C55">
      <w:pPr>
        <w:pStyle w:val="ListParagraph"/>
        <w:tabs>
          <w:tab w:val="left" w:pos="567"/>
        </w:tabs>
        <w:spacing w:line="480" w:lineRule="auto"/>
        <w:ind w:left="0"/>
        <w:rPr>
          <w:rFonts w:ascii="Times New Roman" w:hAnsi="Times New Roman"/>
          <w:b/>
          <w:sz w:val="24"/>
          <w:u w:val="single"/>
        </w:rPr>
      </w:pPr>
      <w:r>
        <w:rPr>
          <w:rFonts w:ascii="Times New Roman" w:hAnsi="Times New Roman"/>
          <w:b/>
          <w:sz w:val="24"/>
          <w:u w:val="single"/>
        </w:rPr>
        <w:t>Background</w:t>
      </w:r>
      <w:r w:rsidR="009D3C0A">
        <w:rPr>
          <w:rFonts w:ascii="Times New Roman" w:hAnsi="Times New Roman"/>
          <w:sz w:val="24"/>
        </w:rPr>
        <w:t xml:space="preserve"> </w:t>
      </w:r>
    </w:p>
    <w:p w14:paraId="4CC90885" w14:textId="3D367D2B" w:rsidR="009D3C0A" w:rsidRPr="0097499D" w:rsidRDefault="0097499D" w:rsidP="004B1C55">
      <w:pPr>
        <w:pStyle w:val="ListParagraph"/>
        <w:numPr>
          <w:ilvl w:val="0"/>
          <w:numId w:val="43"/>
        </w:numPr>
        <w:tabs>
          <w:tab w:val="left" w:pos="567"/>
        </w:tabs>
        <w:spacing w:line="480" w:lineRule="auto"/>
        <w:ind w:left="0" w:firstLine="0"/>
        <w:rPr>
          <w:rFonts w:ascii="Times New Roman" w:hAnsi="Times New Roman"/>
          <w:b/>
          <w:sz w:val="24"/>
          <w:u w:val="single"/>
        </w:rPr>
      </w:pPr>
      <w:r>
        <w:rPr>
          <w:rFonts w:ascii="Times New Roman" w:hAnsi="Times New Roman"/>
          <w:sz w:val="24"/>
        </w:rPr>
        <w:t>The facts may be briefly stated.  On 20 April 2016</w:t>
      </w:r>
      <w:r w:rsidR="00FD7CA2">
        <w:rPr>
          <w:rFonts w:ascii="Times New Roman" w:hAnsi="Times New Roman"/>
          <w:sz w:val="24"/>
        </w:rPr>
        <w:t>,</w:t>
      </w:r>
      <w:r>
        <w:rPr>
          <w:rFonts w:ascii="Times New Roman" w:hAnsi="Times New Roman"/>
          <w:sz w:val="24"/>
        </w:rPr>
        <w:t xml:space="preserve"> the appellant consented to judgment in favour of AIB in the sum of €2.5</w:t>
      </w:r>
      <w:r w:rsidR="00FD7CA2">
        <w:rPr>
          <w:rFonts w:ascii="Times New Roman" w:hAnsi="Times New Roman"/>
          <w:sz w:val="24"/>
        </w:rPr>
        <w:t>m.</w:t>
      </w:r>
      <w:r>
        <w:rPr>
          <w:rFonts w:ascii="Times New Roman" w:hAnsi="Times New Roman"/>
          <w:sz w:val="24"/>
        </w:rPr>
        <w:t xml:space="preserve"> in the High Court</w:t>
      </w:r>
      <w:r w:rsidR="00A11C4B">
        <w:rPr>
          <w:rFonts w:ascii="Times New Roman" w:hAnsi="Times New Roman"/>
          <w:sz w:val="24"/>
        </w:rPr>
        <w:t xml:space="preserve">.  The judgment was obtained on </w:t>
      </w:r>
      <w:r w:rsidR="00A11C4B">
        <w:rPr>
          <w:rFonts w:ascii="Times New Roman" w:hAnsi="Times New Roman"/>
          <w:sz w:val="24"/>
        </w:rPr>
        <w:lastRenderedPageBreak/>
        <w:t xml:space="preserve">foot of a </w:t>
      </w:r>
      <w:r w:rsidR="002F6BEC">
        <w:rPr>
          <w:rFonts w:ascii="Times New Roman" w:hAnsi="Times New Roman"/>
          <w:sz w:val="24"/>
        </w:rPr>
        <w:t xml:space="preserve">personal guarantee of the liabilities of </w:t>
      </w:r>
      <w:proofErr w:type="spellStart"/>
      <w:r w:rsidR="002F6BEC">
        <w:rPr>
          <w:rFonts w:ascii="Times New Roman" w:hAnsi="Times New Roman"/>
          <w:sz w:val="24"/>
        </w:rPr>
        <w:t>Fortberry</w:t>
      </w:r>
      <w:proofErr w:type="spellEnd"/>
      <w:r w:rsidR="002F6BEC">
        <w:rPr>
          <w:rFonts w:ascii="Times New Roman" w:hAnsi="Times New Roman"/>
          <w:sz w:val="24"/>
        </w:rPr>
        <w:t xml:space="preserve"> </w:t>
      </w:r>
      <w:r w:rsidR="00194D49">
        <w:rPr>
          <w:rFonts w:ascii="Times New Roman" w:hAnsi="Times New Roman"/>
          <w:sz w:val="24"/>
        </w:rPr>
        <w:t>L</w:t>
      </w:r>
      <w:r w:rsidR="002F6BEC">
        <w:rPr>
          <w:rFonts w:ascii="Times New Roman" w:hAnsi="Times New Roman"/>
          <w:sz w:val="24"/>
        </w:rPr>
        <w:t>imited to the bank</w:t>
      </w:r>
      <w:r>
        <w:rPr>
          <w:rFonts w:ascii="Times New Roman" w:hAnsi="Times New Roman"/>
          <w:sz w:val="24"/>
        </w:rPr>
        <w:t>.  The judgment was not satisfied and</w:t>
      </w:r>
      <w:r w:rsidR="00A11C4B">
        <w:rPr>
          <w:rFonts w:ascii="Times New Roman" w:hAnsi="Times New Roman"/>
          <w:sz w:val="24"/>
        </w:rPr>
        <w:t xml:space="preserve"> on 17 July 2017</w:t>
      </w:r>
      <w:r>
        <w:rPr>
          <w:rFonts w:ascii="Times New Roman" w:hAnsi="Times New Roman"/>
          <w:sz w:val="24"/>
        </w:rPr>
        <w:t xml:space="preserve"> a bankruptcy summons issued against the appellant upon the application of AIB.  The bankruptcy</w:t>
      </w:r>
      <w:r w:rsidR="003E65A9">
        <w:rPr>
          <w:rFonts w:ascii="Times New Roman" w:hAnsi="Times New Roman"/>
          <w:sz w:val="24"/>
        </w:rPr>
        <w:t xml:space="preserve"> </w:t>
      </w:r>
      <w:r>
        <w:rPr>
          <w:rFonts w:ascii="Times New Roman" w:hAnsi="Times New Roman"/>
          <w:sz w:val="24"/>
        </w:rPr>
        <w:t>summons was served on the appellant on 16 August 2017 and no sum was discharged within the 14 days allowed therein.  The appellant did not challenge the validity of the bankruptcy summons.  On 14 November 2017</w:t>
      </w:r>
      <w:r w:rsidR="00FD7CA2">
        <w:rPr>
          <w:rFonts w:ascii="Times New Roman" w:hAnsi="Times New Roman"/>
          <w:sz w:val="24"/>
        </w:rPr>
        <w:t>,</w:t>
      </w:r>
      <w:r>
        <w:rPr>
          <w:rFonts w:ascii="Times New Roman" w:hAnsi="Times New Roman"/>
          <w:sz w:val="24"/>
        </w:rPr>
        <w:t xml:space="preserve"> AIB issued a petition seeking to adjudicate the appellant bankrupt.  </w:t>
      </w:r>
      <w:r w:rsidR="000B2594">
        <w:rPr>
          <w:rFonts w:ascii="Times New Roman" w:hAnsi="Times New Roman"/>
          <w:sz w:val="24"/>
        </w:rPr>
        <w:t xml:space="preserve">The act of bankruptcy relied upon was the failure to pay the sum claimed in the summons. </w:t>
      </w:r>
      <w:r w:rsidR="00FD7CA2">
        <w:rPr>
          <w:rFonts w:ascii="Times New Roman" w:hAnsi="Times New Roman"/>
          <w:sz w:val="24"/>
        </w:rPr>
        <w:t xml:space="preserve"> </w:t>
      </w:r>
      <w:r>
        <w:rPr>
          <w:rFonts w:ascii="Times New Roman" w:hAnsi="Times New Roman"/>
          <w:sz w:val="24"/>
        </w:rPr>
        <w:t>On 8 March 2018</w:t>
      </w:r>
      <w:r w:rsidR="00FD7CA2">
        <w:rPr>
          <w:rFonts w:ascii="Times New Roman" w:hAnsi="Times New Roman"/>
          <w:sz w:val="24"/>
        </w:rPr>
        <w:t>,</w:t>
      </w:r>
      <w:r>
        <w:rPr>
          <w:rFonts w:ascii="Times New Roman" w:hAnsi="Times New Roman"/>
          <w:sz w:val="24"/>
        </w:rPr>
        <w:t xml:space="preserve"> the appellant swore an affidavit in the bankruptcy proceedings stating that he proposed to seek a protective certificate </w:t>
      </w:r>
      <w:r w:rsidR="000B2594">
        <w:rPr>
          <w:rFonts w:ascii="Times New Roman" w:hAnsi="Times New Roman"/>
          <w:sz w:val="24"/>
        </w:rPr>
        <w:t xml:space="preserve">(a “PC”) </w:t>
      </w:r>
      <w:r>
        <w:rPr>
          <w:rFonts w:ascii="Times New Roman" w:hAnsi="Times New Roman"/>
          <w:sz w:val="24"/>
        </w:rPr>
        <w:t>under the Personal Insolvency Acts 2012</w:t>
      </w:r>
      <w:r w:rsidR="00FD7CA2">
        <w:rPr>
          <w:rFonts w:ascii="Times New Roman" w:hAnsi="Times New Roman"/>
          <w:sz w:val="24"/>
        </w:rPr>
        <w:t>-</w:t>
      </w:r>
      <w:r>
        <w:rPr>
          <w:rFonts w:ascii="Times New Roman" w:hAnsi="Times New Roman"/>
          <w:sz w:val="24"/>
        </w:rPr>
        <w:t xml:space="preserve">2015 </w:t>
      </w:r>
      <w:r w:rsidR="001A45AA">
        <w:rPr>
          <w:rFonts w:ascii="Times New Roman" w:hAnsi="Times New Roman"/>
          <w:sz w:val="24"/>
        </w:rPr>
        <w:t>(“the Act</w:t>
      </w:r>
      <w:r w:rsidR="000B2594">
        <w:rPr>
          <w:rFonts w:ascii="Times New Roman" w:hAnsi="Times New Roman"/>
          <w:sz w:val="24"/>
        </w:rPr>
        <w:t xml:space="preserve"> of 2012”</w:t>
      </w:r>
      <w:r w:rsidR="001A45AA">
        <w:rPr>
          <w:rFonts w:ascii="Times New Roman" w:hAnsi="Times New Roman"/>
          <w:sz w:val="24"/>
        </w:rPr>
        <w:t xml:space="preserve">) </w:t>
      </w:r>
      <w:r>
        <w:rPr>
          <w:rFonts w:ascii="Times New Roman" w:hAnsi="Times New Roman"/>
          <w:sz w:val="24"/>
        </w:rPr>
        <w:t xml:space="preserve">and he exhibited his application for a </w:t>
      </w:r>
      <w:r w:rsidR="000B2594">
        <w:rPr>
          <w:rFonts w:ascii="Times New Roman" w:hAnsi="Times New Roman"/>
          <w:sz w:val="24"/>
        </w:rPr>
        <w:t>PC</w:t>
      </w:r>
      <w:r>
        <w:rPr>
          <w:rFonts w:ascii="Times New Roman" w:hAnsi="Times New Roman"/>
          <w:sz w:val="24"/>
        </w:rPr>
        <w:t>.  The application included</w:t>
      </w:r>
      <w:r w:rsidR="000B2594">
        <w:rPr>
          <w:rFonts w:ascii="Times New Roman" w:hAnsi="Times New Roman"/>
          <w:sz w:val="24"/>
        </w:rPr>
        <w:t xml:space="preserve"> a personal financial statement (a “PFS”) verified by a statutory declaration acknowledging</w:t>
      </w:r>
      <w:r>
        <w:rPr>
          <w:rFonts w:ascii="Times New Roman" w:hAnsi="Times New Roman"/>
          <w:sz w:val="24"/>
        </w:rPr>
        <w:t xml:space="preserve"> the appellant’s indebtedness to AIB in the sum of €2.5</w:t>
      </w:r>
      <w:r w:rsidR="00190575">
        <w:rPr>
          <w:rFonts w:ascii="Times New Roman" w:hAnsi="Times New Roman"/>
          <w:sz w:val="24"/>
        </w:rPr>
        <w:t>m</w:t>
      </w:r>
      <w:r>
        <w:rPr>
          <w:rFonts w:ascii="Times New Roman" w:hAnsi="Times New Roman"/>
          <w:sz w:val="24"/>
        </w:rPr>
        <w:t>.  On the basis that the appellant was seeking</w:t>
      </w:r>
      <w:r w:rsidR="002F6BEC">
        <w:rPr>
          <w:rFonts w:ascii="Times New Roman" w:hAnsi="Times New Roman"/>
          <w:sz w:val="24"/>
        </w:rPr>
        <w:t>,</w:t>
      </w:r>
      <w:r>
        <w:rPr>
          <w:rFonts w:ascii="Times New Roman" w:hAnsi="Times New Roman"/>
          <w:sz w:val="24"/>
        </w:rPr>
        <w:t xml:space="preserve"> and subsequently obtained</w:t>
      </w:r>
      <w:r w:rsidR="002F6BEC">
        <w:rPr>
          <w:rFonts w:ascii="Times New Roman" w:hAnsi="Times New Roman"/>
          <w:sz w:val="24"/>
        </w:rPr>
        <w:t>,</w:t>
      </w:r>
      <w:r>
        <w:rPr>
          <w:rFonts w:ascii="Times New Roman" w:hAnsi="Times New Roman"/>
          <w:sz w:val="24"/>
        </w:rPr>
        <w:t xml:space="preserve"> a </w:t>
      </w:r>
      <w:r w:rsidR="000B2594">
        <w:rPr>
          <w:rFonts w:ascii="Times New Roman" w:hAnsi="Times New Roman"/>
          <w:sz w:val="24"/>
        </w:rPr>
        <w:t xml:space="preserve">PC </w:t>
      </w:r>
      <w:r>
        <w:rPr>
          <w:rFonts w:ascii="Times New Roman" w:hAnsi="Times New Roman"/>
          <w:sz w:val="24"/>
        </w:rPr>
        <w:t xml:space="preserve">from the Circuit Court, he was granted several adjournments in the bankruptcy proceedings.  </w:t>
      </w:r>
    </w:p>
    <w:p w14:paraId="5758B433" w14:textId="5A7B6CE8" w:rsidR="0097499D" w:rsidRPr="008D4064" w:rsidRDefault="00A5568E" w:rsidP="004B1C55">
      <w:pPr>
        <w:pStyle w:val="ListParagraph"/>
        <w:numPr>
          <w:ilvl w:val="0"/>
          <w:numId w:val="43"/>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The appellant </w:t>
      </w:r>
      <w:r w:rsidR="002F6BEC">
        <w:rPr>
          <w:rFonts w:ascii="Times New Roman" w:hAnsi="Times New Roman"/>
          <w:sz w:val="24"/>
        </w:rPr>
        <w:t>appointed</w:t>
      </w:r>
      <w:r>
        <w:rPr>
          <w:rFonts w:ascii="Times New Roman" w:hAnsi="Times New Roman"/>
          <w:sz w:val="24"/>
        </w:rPr>
        <w:t xml:space="preserve"> a personal insolvency practitioner (“the practitioner”) to act on his behalf.  Having obtained a </w:t>
      </w:r>
      <w:r w:rsidR="000B2594">
        <w:rPr>
          <w:rFonts w:ascii="Times New Roman" w:hAnsi="Times New Roman"/>
          <w:sz w:val="24"/>
        </w:rPr>
        <w:t xml:space="preserve">PC </w:t>
      </w:r>
      <w:r>
        <w:rPr>
          <w:rFonts w:ascii="Times New Roman" w:hAnsi="Times New Roman"/>
          <w:sz w:val="24"/>
        </w:rPr>
        <w:t xml:space="preserve">from the Circuit Court, the practitioner proposed a personal insolvency arrangement </w:t>
      </w:r>
      <w:r w:rsidR="000B2594">
        <w:rPr>
          <w:rFonts w:ascii="Times New Roman" w:hAnsi="Times New Roman"/>
          <w:sz w:val="24"/>
        </w:rPr>
        <w:t xml:space="preserve">(a “PIA”) </w:t>
      </w:r>
      <w:r>
        <w:rPr>
          <w:rFonts w:ascii="Times New Roman" w:hAnsi="Times New Roman"/>
          <w:sz w:val="24"/>
        </w:rPr>
        <w:t>on behalf of the appellant.  The proposal for the arrangement was not supported by the majority of the creditors of the appellant.  On the instructions of the appellant, the practitioner brought an application under s. 115A of th</w:t>
      </w:r>
      <w:r w:rsidR="000B2594">
        <w:rPr>
          <w:rFonts w:ascii="Times New Roman" w:hAnsi="Times New Roman"/>
          <w:sz w:val="24"/>
        </w:rPr>
        <w:t>e</w:t>
      </w:r>
      <w:r w:rsidR="001A45AA">
        <w:rPr>
          <w:rFonts w:ascii="Times New Roman" w:hAnsi="Times New Roman"/>
          <w:sz w:val="24"/>
        </w:rPr>
        <w:t xml:space="preserve"> Act</w:t>
      </w:r>
      <w:r w:rsidR="000B2594">
        <w:rPr>
          <w:rFonts w:ascii="Times New Roman" w:hAnsi="Times New Roman"/>
          <w:sz w:val="24"/>
        </w:rPr>
        <w:t xml:space="preserve"> of 2012</w:t>
      </w:r>
      <w:r>
        <w:rPr>
          <w:rFonts w:ascii="Times New Roman" w:hAnsi="Times New Roman"/>
          <w:sz w:val="24"/>
        </w:rPr>
        <w:t xml:space="preserve"> asking the High Court </w:t>
      </w:r>
      <w:r w:rsidR="008D4064">
        <w:rPr>
          <w:rFonts w:ascii="Times New Roman" w:hAnsi="Times New Roman"/>
          <w:sz w:val="24"/>
        </w:rPr>
        <w:t>to confirm the coming into effect of the proposed arrangement</w:t>
      </w:r>
      <w:r w:rsidR="00190575">
        <w:rPr>
          <w:rFonts w:ascii="Times New Roman" w:hAnsi="Times New Roman"/>
          <w:sz w:val="24"/>
        </w:rPr>
        <w:t>,</w:t>
      </w:r>
      <w:r w:rsidR="008D4064">
        <w:rPr>
          <w:rFonts w:ascii="Times New Roman" w:hAnsi="Times New Roman"/>
          <w:sz w:val="24"/>
        </w:rPr>
        <w:t xml:space="preserve"> notwithstanding that it had not been supported by the requisite majority of the appellant’s creditors.  </w:t>
      </w:r>
    </w:p>
    <w:p w14:paraId="0105F939" w14:textId="0908C7F2" w:rsidR="008D4064" w:rsidRPr="008D4064" w:rsidRDefault="00A11C4B" w:rsidP="004B1C55">
      <w:pPr>
        <w:pStyle w:val="ListParagraph"/>
        <w:numPr>
          <w:ilvl w:val="0"/>
          <w:numId w:val="43"/>
        </w:numPr>
        <w:tabs>
          <w:tab w:val="left" w:pos="567"/>
        </w:tabs>
        <w:spacing w:line="480" w:lineRule="auto"/>
        <w:ind w:left="0" w:firstLine="0"/>
        <w:rPr>
          <w:rFonts w:ascii="Times New Roman" w:hAnsi="Times New Roman"/>
          <w:b/>
          <w:sz w:val="24"/>
          <w:u w:val="single"/>
        </w:rPr>
      </w:pPr>
      <w:r>
        <w:rPr>
          <w:rFonts w:ascii="Times New Roman" w:hAnsi="Times New Roman"/>
          <w:sz w:val="24"/>
        </w:rPr>
        <w:t>On 2 August 2018</w:t>
      </w:r>
      <w:r w:rsidR="00190575">
        <w:rPr>
          <w:rFonts w:ascii="Times New Roman" w:hAnsi="Times New Roman"/>
          <w:sz w:val="24"/>
        </w:rPr>
        <w:t>,</w:t>
      </w:r>
      <w:r>
        <w:rPr>
          <w:rFonts w:ascii="Times New Roman" w:hAnsi="Times New Roman"/>
          <w:sz w:val="24"/>
        </w:rPr>
        <w:t xml:space="preserve"> </w:t>
      </w:r>
      <w:r w:rsidR="008D4064">
        <w:rPr>
          <w:rFonts w:ascii="Times New Roman" w:hAnsi="Times New Roman"/>
          <w:sz w:val="24"/>
        </w:rPr>
        <w:t xml:space="preserve">AIB and Everyday entered into an Irish Law Deed of Conveyance and Assignment and an Irish Law Deed of Transfer whereby, according to AIB and </w:t>
      </w:r>
      <w:proofErr w:type="spellStart"/>
      <w:r w:rsidR="008D4064">
        <w:rPr>
          <w:rFonts w:ascii="Times New Roman" w:hAnsi="Times New Roman"/>
          <w:sz w:val="24"/>
        </w:rPr>
        <w:t>Everyday</w:t>
      </w:r>
      <w:proofErr w:type="spellEnd"/>
      <w:r w:rsidR="008D4064">
        <w:rPr>
          <w:rFonts w:ascii="Times New Roman" w:hAnsi="Times New Roman"/>
          <w:sz w:val="24"/>
        </w:rPr>
        <w:t>, Everyday acquired all the interests of AIB in the loans the subject of the transfer</w:t>
      </w:r>
      <w:r w:rsidR="00190575">
        <w:rPr>
          <w:rFonts w:ascii="Times New Roman" w:hAnsi="Times New Roman"/>
          <w:sz w:val="24"/>
        </w:rPr>
        <w:t>,</w:t>
      </w:r>
      <w:r w:rsidR="008D4064">
        <w:rPr>
          <w:rFonts w:ascii="Times New Roman" w:hAnsi="Times New Roman"/>
          <w:sz w:val="24"/>
        </w:rPr>
        <w:t xml:space="preserve"> </w:t>
      </w:r>
      <w:r w:rsidR="008D4064">
        <w:rPr>
          <w:rFonts w:ascii="Times New Roman" w:hAnsi="Times New Roman"/>
          <w:sz w:val="24"/>
        </w:rPr>
        <w:lastRenderedPageBreak/>
        <w:t xml:space="preserve">including all interests in the underlying security. </w:t>
      </w:r>
      <w:r w:rsidR="00190575">
        <w:rPr>
          <w:rFonts w:ascii="Times New Roman" w:hAnsi="Times New Roman"/>
          <w:sz w:val="24"/>
        </w:rPr>
        <w:t xml:space="preserve"> </w:t>
      </w:r>
      <w:r w:rsidR="002F6BEC">
        <w:rPr>
          <w:rFonts w:ascii="Times New Roman" w:hAnsi="Times New Roman"/>
          <w:sz w:val="24"/>
        </w:rPr>
        <w:t>They say this included</w:t>
      </w:r>
      <w:r w:rsidR="002C5BB1">
        <w:rPr>
          <w:rFonts w:ascii="Times New Roman" w:hAnsi="Times New Roman"/>
          <w:sz w:val="24"/>
        </w:rPr>
        <w:t>,</w:t>
      </w:r>
      <w:r w:rsidR="002F6BEC">
        <w:rPr>
          <w:rFonts w:ascii="Times New Roman" w:hAnsi="Times New Roman"/>
          <w:sz w:val="24"/>
        </w:rPr>
        <w:t xml:space="preserve"> </w:t>
      </w:r>
      <w:r w:rsidR="002F6BEC" w:rsidRPr="006B5C44">
        <w:rPr>
          <w:rFonts w:ascii="Times New Roman" w:hAnsi="Times New Roman"/>
          <w:i/>
          <w:iCs/>
          <w:sz w:val="24"/>
        </w:rPr>
        <w:t>inter alia</w:t>
      </w:r>
      <w:r w:rsidR="002C5BB1">
        <w:rPr>
          <w:rFonts w:ascii="Times New Roman" w:hAnsi="Times New Roman"/>
          <w:sz w:val="24"/>
        </w:rPr>
        <w:t>,</w:t>
      </w:r>
      <w:r w:rsidR="002F6BEC">
        <w:rPr>
          <w:rFonts w:ascii="Times New Roman" w:hAnsi="Times New Roman"/>
          <w:sz w:val="24"/>
        </w:rPr>
        <w:t xml:space="preserve"> the judgment debt owed by the appellant</w:t>
      </w:r>
      <w:r w:rsidR="008D4064">
        <w:rPr>
          <w:rFonts w:ascii="Times New Roman" w:hAnsi="Times New Roman"/>
          <w:sz w:val="24"/>
        </w:rPr>
        <w:t xml:space="preserve"> </w:t>
      </w:r>
      <w:r w:rsidR="002F6BEC">
        <w:rPr>
          <w:rFonts w:ascii="Times New Roman" w:hAnsi="Times New Roman"/>
          <w:sz w:val="24"/>
        </w:rPr>
        <w:t>to AIB and the extant bankruptcy proceedings.</w:t>
      </w:r>
    </w:p>
    <w:p w14:paraId="5D36BA60" w14:textId="459B02AE" w:rsidR="005B7DE4" w:rsidRPr="005B7DE4" w:rsidRDefault="008D4064" w:rsidP="004B1C55">
      <w:pPr>
        <w:pStyle w:val="ListParagraph"/>
        <w:numPr>
          <w:ilvl w:val="0"/>
          <w:numId w:val="43"/>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One of the </w:t>
      </w:r>
      <w:r w:rsidR="00194D49">
        <w:rPr>
          <w:rFonts w:ascii="Times New Roman" w:hAnsi="Times New Roman"/>
          <w:sz w:val="24"/>
        </w:rPr>
        <w:t xml:space="preserve">matters </w:t>
      </w:r>
      <w:r w:rsidR="00A11C4B">
        <w:rPr>
          <w:rFonts w:ascii="Times New Roman" w:hAnsi="Times New Roman"/>
          <w:sz w:val="24"/>
        </w:rPr>
        <w:t xml:space="preserve">of </w:t>
      </w:r>
      <w:r>
        <w:rPr>
          <w:rFonts w:ascii="Times New Roman" w:hAnsi="Times New Roman"/>
          <w:sz w:val="24"/>
        </w:rPr>
        <w:t xml:space="preserve">which </w:t>
      </w:r>
      <w:r w:rsidR="002F6BEC">
        <w:rPr>
          <w:rFonts w:ascii="Times New Roman" w:hAnsi="Times New Roman"/>
          <w:sz w:val="24"/>
        </w:rPr>
        <w:t>a pra</w:t>
      </w:r>
      <w:r w:rsidR="005B7DE4">
        <w:rPr>
          <w:rFonts w:ascii="Times New Roman" w:hAnsi="Times New Roman"/>
          <w:sz w:val="24"/>
        </w:rPr>
        <w:t>c</w:t>
      </w:r>
      <w:r w:rsidR="002F6BEC">
        <w:rPr>
          <w:rFonts w:ascii="Times New Roman" w:hAnsi="Times New Roman"/>
          <w:sz w:val="24"/>
        </w:rPr>
        <w:t>titioner must</w:t>
      </w:r>
      <w:r>
        <w:rPr>
          <w:rFonts w:ascii="Times New Roman" w:hAnsi="Times New Roman"/>
          <w:sz w:val="24"/>
        </w:rPr>
        <w:t xml:space="preserve"> satisf</w:t>
      </w:r>
      <w:r w:rsidR="005B7DE4">
        <w:rPr>
          <w:rFonts w:ascii="Times New Roman" w:hAnsi="Times New Roman"/>
          <w:sz w:val="24"/>
        </w:rPr>
        <w:t>y the court on an application brought under</w:t>
      </w:r>
      <w:r>
        <w:rPr>
          <w:rFonts w:ascii="Times New Roman" w:hAnsi="Times New Roman"/>
          <w:sz w:val="24"/>
        </w:rPr>
        <w:t xml:space="preserve"> </w:t>
      </w:r>
      <w:r w:rsidR="005B7DE4">
        <w:rPr>
          <w:rFonts w:ascii="Times New Roman" w:hAnsi="Times New Roman"/>
          <w:sz w:val="24"/>
        </w:rPr>
        <w:t>s</w:t>
      </w:r>
      <w:r>
        <w:rPr>
          <w:rFonts w:ascii="Times New Roman" w:hAnsi="Times New Roman"/>
          <w:sz w:val="24"/>
        </w:rPr>
        <w:t>. 115A(9) of the</w:t>
      </w:r>
      <w:r w:rsidR="001A45AA">
        <w:rPr>
          <w:rFonts w:ascii="Times New Roman" w:hAnsi="Times New Roman"/>
          <w:sz w:val="24"/>
        </w:rPr>
        <w:t xml:space="preserve"> Act</w:t>
      </w:r>
      <w:r w:rsidR="00850489">
        <w:rPr>
          <w:rFonts w:ascii="Times New Roman" w:hAnsi="Times New Roman"/>
          <w:sz w:val="24"/>
        </w:rPr>
        <w:t xml:space="preserve"> of 2012</w:t>
      </w:r>
      <w:r w:rsidR="001A45AA">
        <w:rPr>
          <w:rFonts w:ascii="Times New Roman" w:hAnsi="Times New Roman"/>
          <w:sz w:val="24"/>
        </w:rPr>
        <w:t xml:space="preserve"> </w:t>
      </w:r>
      <w:r>
        <w:rPr>
          <w:rFonts w:ascii="Times New Roman" w:hAnsi="Times New Roman"/>
          <w:sz w:val="24"/>
        </w:rPr>
        <w:t>is that at least one class of creditors has accepted the proposed arrangement by a majority of over 50% of the value of the debts owed to that class.  The case made by the practitioner on behalf of the appellant was that this condition had been satisfied in circumstances where one creditor of the appellant, Carley &amp; Connellan Solicitors, voted in favour of the proposed arrangement.  The practitioner contended that Carley &amp; Connellan constituted a separate class for the purposes of s. 115A(9)(g)</w:t>
      </w:r>
      <w:r w:rsidR="007C02EE">
        <w:rPr>
          <w:rFonts w:ascii="Times New Roman" w:hAnsi="Times New Roman"/>
          <w:sz w:val="24"/>
        </w:rPr>
        <w:t>.  This was disputed by the objecting creditor</w:t>
      </w:r>
      <w:r w:rsidR="005B7DE4">
        <w:rPr>
          <w:rFonts w:ascii="Times New Roman" w:hAnsi="Times New Roman"/>
          <w:sz w:val="24"/>
        </w:rPr>
        <w:t>,</w:t>
      </w:r>
      <w:r w:rsidR="007C02EE">
        <w:rPr>
          <w:rFonts w:ascii="Times New Roman" w:hAnsi="Times New Roman"/>
          <w:sz w:val="24"/>
        </w:rPr>
        <w:t xml:space="preserve"> </w:t>
      </w:r>
      <w:proofErr w:type="spellStart"/>
      <w:r w:rsidR="007C02EE">
        <w:rPr>
          <w:rFonts w:ascii="Times New Roman" w:hAnsi="Times New Roman"/>
          <w:sz w:val="24"/>
        </w:rPr>
        <w:t>Everyday</w:t>
      </w:r>
      <w:proofErr w:type="spellEnd"/>
      <w:r w:rsidR="007C02EE">
        <w:rPr>
          <w:rFonts w:ascii="Times New Roman" w:hAnsi="Times New Roman"/>
          <w:sz w:val="24"/>
        </w:rPr>
        <w:t xml:space="preserve">.  Everyday acted as the </w:t>
      </w:r>
      <w:r w:rsidR="007C02EE">
        <w:rPr>
          <w:rFonts w:ascii="Times New Roman" w:hAnsi="Times New Roman"/>
          <w:i/>
          <w:sz w:val="24"/>
        </w:rPr>
        <w:t>legitimus contradictor</w:t>
      </w:r>
      <w:r w:rsidR="007C02EE">
        <w:rPr>
          <w:rFonts w:ascii="Times New Roman" w:hAnsi="Times New Roman"/>
          <w:sz w:val="24"/>
        </w:rPr>
        <w:t xml:space="preserve"> to the application of the practitioner in the hearing before the High Court (McDonald J.) of the s. 115</w:t>
      </w:r>
      <w:r w:rsidR="005B7DE4">
        <w:rPr>
          <w:rFonts w:ascii="Times New Roman" w:hAnsi="Times New Roman"/>
          <w:sz w:val="24"/>
        </w:rPr>
        <w:t>A</w:t>
      </w:r>
      <w:r w:rsidR="007C02EE">
        <w:rPr>
          <w:rFonts w:ascii="Times New Roman" w:hAnsi="Times New Roman"/>
          <w:sz w:val="24"/>
        </w:rPr>
        <w:t xml:space="preserve"> application. </w:t>
      </w:r>
    </w:p>
    <w:p w14:paraId="1798D756" w14:textId="66C29BF5" w:rsidR="005B7DE4" w:rsidRPr="005B7DE4" w:rsidRDefault="007C02EE" w:rsidP="004B1C55">
      <w:pPr>
        <w:pStyle w:val="ListParagraph"/>
        <w:numPr>
          <w:ilvl w:val="0"/>
          <w:numId w:val="43"/>
        </w:numPr>
        <w:tabs>
          <w:tab w:val="left" w:pos="567"/>
        </w:tabs>
        <w:spacing w:line="480" w:lineRule="auto"/>
        <w:ind w:left="0" w:firstLine="0"/>
        <w:rPr>
          <w:rFonts w:ascii="Times New Roman" w:hAnsi="Times New Roman"/>
          <w:b/>
          <w:sz w:val="24"/>
          <w:u w:val="single"/>
        </w:rPr>
      </w:pPr>
      <w:r>
        <w:rPr>
          <w:rFonts w:ascii="Times New Roman" w:hAnsi="Times New Roman"/>
          <w:sz w:val="24"/>
        </w:rPr>
        <w:t>An affidavit was sworn by Mr. Darren Da</w:t>
      </w:r>
      <w:r w:rsidR="005B7DE4">
        <w:rPr>
          <w:rFonts w:ascii="Times New Roman" w:hAnsi="Times New Roman"/>
          <w:sz w:val="24"/>
        </w:rPr>
        <w:t>s</w:t>
      </w:r>
      <w:r w:rsidR="00B5732C" w:rsidRPr="00B5732C">
        <w:rPr>
          <w:rFonts w:ascii="Times New Roman" w:hAnsi="Times New Roman"/>
          <w:sz w:val="24"/>
        </w:rPr>
        <w:t xml:space="preserve"> </w:t>
      </w:r>
      <w:r w:rsidR="00B5732C">
        <w:rPr>
          <w:rFonts w:ascii="Times New Roman" w:hAnsi="Times New Roman"/>
          <w:sz w:val="24"/>
        </w:rPr>
        <w:t>on 27 February 2019</w:t>
      </w:r>
      <w:r w:rsidR="00190575">
        <w:rPr>
          <w:rFonts w:ascii="Times New Roman" w:hAnsi="Times New Roman"/>
          <w:sz w:val="24"/>
        </w:rPr>
        <w:t>,</w:t>
      </w:r>
      <w:r>
        <w:rPr>
          <w:rFonts w:ascii="Times New Roman" w:hAnsi="Times New Roman"/>
          <w:sz w:val="24"/>
        </w:rPr>
        <w:t xml:space="preserve"> on behalf of Everyday</w:t>
      </w:r>
      <w:r w:rsidR="00190575">
        <w:rPr>
          <w:rFonts w:ascii="Times New Roman" w:hAnsi="Times New Roman"/>
          <w:sz w:val="24"/>
        </w:rPr>
        <w:t>,</w:t>
      </w:r>
      <w:r>
        <w:rPr>
          <w:rFonts w:ascii="Times New Roman" w:hAnsi="Times New Roman"/>
          <w:sz w:val="24"/>
        </w:rPr>
        <w:t xml:space="preserve"> </w:t>
      </w:r>
      <w:r w:rsidR="00194D49">
        <w:rPr>
          <w:rFonts w:ascii="Times New Roman" w:hAnsi="Times New Roman"/>
          <w:sz w:val="24"/>
        </w:rPr>
        <w:t xml:space="preserve">averring </w:t>
      </w:r>
      <w:r>
        <w:rPr>
          <w:rFonts w:ascii="Times New Roman" w:hAnsi="Times New Roman"/>
          <w:sz w:val="24"/>
        </w:rPr>
        <w:t>to the transfer of the loan and securities</w:t>
      </w:r>
      <w:r w:rsidR="005B7DE4">
        <w:rPr>
          <w:rFonts w:ascii="Times New Roman" w:hAnsi="Times New Roman"/>
          <w:sz w:val="24"/>
        </w:rPr>
        <w:t xml:space="preserve">. </w:t>
      </w:r>
      <w:r w:rsidR="00190575">
        <w:rPr>
          <w:rFonts w:ascii="Times New Roman" w:hAnsi="Times New Roman"/>
          <w:sz w:val="24"/>
        </w:rPr>
        <w:t xml:space="preserve"> </w:t>
      </w:r>
      <w:r w:rsidR="005B7DE4">
        <w:rPr>
          <w:rFonts w:ascii="Times New Roman" w:hAnsi="Times New Roman"/>
          <w:sz w:val="24"/>
        </w:rPr>
        <w:t>He said</w:t>
      </w:r>
      <w:r w:rsidR="00190575">
        <w:rPr>
          <w:rFonts w:ascii="Times New Roman" w:hAnsi="Times New Roman"/>
          <w:sz w:val="24"/>
        </w:rPr>
        <w:t>:-</w:t>
      </w:r>
      <w:r w:rsidR="005B7DE4">
        <w:rPr>
          <w:rFonts w:ascii="Times New Roman" w:hAnsi="Times New Roman"/>
          <w:sz w:val="24"/>
        </w:rPr>
        <w:t xml:space="preserve"> </w:t>
      </w:r>
    </w:p>
    <w:p w14:paraId="5D89B0BE" w14:textId="114E6CF7" w:rsidR="005B7DE4" w:rsidRPr="005B7DE4" w:rsidRDefault="005B7DE4" w:rsidP="004B1C55">
      <w:pPr>
        <w:pStyle w:val="ListParagraph"/>
        <w:tabs>
          <w:tab w:val="left" w:pos="567"/>
        </w:tabs>
        <w:spacing w:line="480" w:lineRule="auto"/>
        <w:ind w:left="567"/>
        <w:rPr>
          <w:rFonts w:ascii="Times New Roman" w:hAnsi="Times New Roman"/>
          <w:b/>
          <w:sz w:val="24"/>
          <w:u w:val="single"/>
        </w:rPr>
      </w:pPr>
      <w:r>
        <w:rPr>
          <w:rFonts w:ascii="Times New Roman" w:hAnsi="Times New Roman"/>
          <w:i/>
          <w:sz w:val="24"/>
        </w:rPr>
        <w:t>“I say and believe that by way of Irish Law Deed of Conveyance &amp; Assignment and by way of Irish Law Deed of Transfer dated 2 August 2018 between</w:t>
      </w:r>
      <w:r w:rsidR="00190575">
        <w:rPr>
          <w:rFonts w:ascii="Times New Roman" w:hAnsi="Times New Roman"/>
          <w:i/>
          <w:sz w:val="24"/>
        </w:rPr>
        <w:t xml:space="preserve"> the (sic)</w:t>
      </w:r>
      <w:r>
        <w:rPr>
          <w:rFonts w:ascii="Times New Roman" w:hAnsi="Times New Roman"/>
          <w:i/>
          <w:sz w:val="24"/>
        </w:rPr>
        <w:t xml:space="preserve"> Allied Irish Banks, P.L.C.(hereinafter the “Original Lender”) and the Objecting Creditor, the Objecting Creditor acquired all interests of the Original Lender in the Loans, save the [appellant’s credit card], the subject matter of the within application including all interests in the underlying security.”</w:t>
      </w:r>
    </w:p>
    <w:p w14:paraId="064E5333" w14:textId="4E1548D8" w:rsidR="008D4064" w:rsidRPr="00DC04E0" w:rsidRDefault="007C02EE" w:rsidP="004B1C55">
      <w:pPr>
        <w:pStyle w:val="ListParagraph"/>
        <w:numPr>
          <w:ilvl w:val="0"/>
          <w:numId w:val="43"/>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 </w:t>
      </w:r>
      <w:r w:rsidR="0060458C">
        <w:rPr>
          <w:rFonts w:ascii="Times New Roman" w:hAnsi="Times New Roman"/>
          <w:sz w:val="24"/>
        </w:rPr>
        <w:t>The balance of his affidavit</w:t>
      </w:r>
      <w:r>
        <w:rPr>
          <w:rFonts w:ascii="Times New Roman" w:hAnsi="Times New Roman"/>
          <w:sz w:val="24"/>
        </w:rPr>
        <w:t xml:space="preserve"> proceeded on the basis that </w:t>
      </w:r>
      <w:proofErr w:type="spellStart"/>
      <w:r>
        <w:rPr>
          <w:rFonts w:ascii="Times New Roman" w:hAnsi="Times New Roman"/>
          <w:sz w:val="24"/>
        </w:rPr>
        <w:t>Everyday</w:t>
      </w:r>
      <w:proofErr w:type="spellEnd"/>
      <w:r>
        <w:rPr>
          <w:rFonts w:ascii="Times New Roman" w:hAnsi="Times New Roman"/>
          <w:sz w:val="24"/>
        </w:rPr>
        <w:t xml:space="preserve"> was the successor in title to the debt owed by the appellant to AIB and which was acknowledged in his application for a </w:t>
      </w:r>
      <w:r w:rsidR="00850489">
        <w:rPr>
          <w:rFonts w:ascii="Times New Roman" w:hAnsi="Times New Roman"/>
          <w:sz w:val="24"/>
        </w:rPr>
        <w:t>PC</w:t>
      </w:r>
      <w:r>
        <w:rPr>
          <w:rFonts w:ascii="Times New Roman" w:hAnsi="Times New Roman"/>
          <w:sz w:val="24"/>
        </w:rPr>
        <w:t xml:space="preserve"> and in the proposed arrangement </w:t>
      </w:r>
      <w:r w:rsidR="00B6494C">
        <w:rPr>
          <w:rFonts w:ascii="Times New Roman" w:hAnsi="Times New Roman"/>
          <w:sz w:val="24"/>
        </w:rPr>
        <w:t>presented by the practitioner</w:t>
      </w:r>
      <w:r w:rsidR="0060458C">
        <w:rPr>
          <w:rFonts w:ascii="Times New Roman" w:hAnsi="Times New Roman"/>
          <w:sz w:val="24"/>
        </w:rPr>
        <w:t xml:space="preserve"> to the creditors and to the court</w:t>
      </w:r>
      <w:r w:rsidR="00B6494C">
        <w:rPr>
          <w:rFonts w:ascii="Times New Roman" w:hAnsi="Times New Roman"/>
          <w:sz w:val="24"/>
        </w:rPr>
        <w:t xml:space="preserve">.  </w:t>
      </w:r>
      <w:r w:rsidR="00A11C4B">
        <w:rPr>
          <w:rFonts w:ascii="Times New Roman" w:hAnsi="Times New Roman"/>
          <w:sz w:val="24"/>
        </w:rPr>
        <w:t>Replying a</w:t>
      </w:r>
      <w:r w:rsidR="00B6494C">
        <w:rPr>
          <w:rFonts w:ascii="Times New Roman" w:hAnsi="Times New Roman"/>
          <w:sz w:val="24"/>
        </w:rPr>
        <w:t>ffidavits w</w:t>
      </w:r>
      <w:r w:rsidR="00850489">
        <w:rPr>
          <w:rFonts w:ascii="Times New Roman" w:hAnsi="Times New Roman"/>
          <w:sz w:val="24"/>
        </w:rPr>
        <w:t>ere</w:t>
      </w:r>
      <w:r w:rsidR="00B6494C">
        <w:rPr>
          <w:rFonts w:ascii="Times New Roman" w:hAnsi="Times New Roman"/>
          <w:sz w:val="24"/>
        </w:rPr>
        <w:t xml:space="preserve"> sworn both by the practitioner and the appellant.  Neither contested the validity of the assignment or </w:t>
      </w:r>
      <w:r w:rsidR="00194D49">
        <w:rPr>
          <w:rFonts w:ascii="Times New Roman" w:hAnsi="Times New Roman"/>
          <w:sz w:val="24"/>
        </w:rPr>
        <w:t xml:space="preserve">disputed </w:t>
      </w:r>
      <w:r w:rsidR="00B6494C">
        <w:rPr>
          <w:rFonts w:ascii="Times New Roman" w:hAnsi="Times New Roman"/>
          <w:sz w:val="24"/>
        </w:rPr>
        <w:t xml:space="preserve">that </w:t>
      </w:r>
      <w:proofErr w:type="spellStart"/>
      <w:r w:rsidR="00B6494C">
        <w:rPr>
          <w:rFonts w:ascii="Times New Roman" w:hAnsi="Times New Roman"/>
          <w:sz w:val="24"/>
        </w:rPr>
        <w:t>Everyday</w:t>
      </w:r>
      <w:proofErr w:type="spellEnd"/>
      <w:r w:rsidR="00B6494C">
        <w:rPr>
          <w:rFonts w:ascii="Times New Roman" w:hAnsi="Times New Roman"/>
          <w:sz w:val="24"/>
        </w:rPr>
        <w:t xml:space="preserve"> was </w:t>
      </w:r>
      <w:r w:rsidR="00850489">
        <w:rPr>
          <w:rFonts w:ascii="Times New Roman" w:hAnsi="Times New Roman"/>
          <w:sz w:val="24"/>
        </w:rPr>
        <w:lastRenderedPageBreak/>
        <w:t xml:space="preserve">the successor in title to AIB and </w:t>
      </w:r>
      <w:r w:rsidR="00B6494C">
        <w:rPr>
          <w:rFonts w:ascii="Times New Roman" w:hAnsi="Times New Roman"/>
          <w:sz w:val="24"/>
        </w:rPr>
        <w:t>a creditor of the appellant in the sum of €2.5</w:t>
      </w:r>
      <w:r w:rsidR="00190575">
        <w:rPr>
          <w:rFonts w:ascii="Times New Roman" w:hAnsi="Times New Roman"/>
          <w:sz w:val="24"/>
        </w:rPr>
        <w:t>m</w:t>
      </w:r>
      <w:r w:rsidR="00B6494C">
        <w:rPr>
          <w:rFonts w:ascii="Times New Roman" w:hAnsi="Times New Roman"/>
          <w:sz w:val="24"/>
        </w:rPr>
        <w:t xml:space="preserve">. </w:t>
      </w:r>
      <w:r w:rsidR="00190575">
        <w:rPr>
          <w:rFonts w:ascii="Times New Roman" w:hAnsi="Times New Roman"/>
          <w:sz w:val="24"/>
        </w:rPr>
        <w:t xml:space="preserve"> </w:t>
      </w:r>
      <w:r w:rsidR="0060458C">
        <w:rPr>
          <w:rFonts w:ascii="Times New Roman" w:hAnsi="Times New Roman"/>
          <w:sz w:val="24"/>
        </w:rPr>
        <w:t>Neither sought further proof of the assignment and transfer.</w:t>
      </w:r>
      <w:r w:rsidR="00190575">
        <w:rPr>
          <w:rFonts w:ascii="Times New Roman" w:hAnsi="Times New Roman"/>
          <w:sz w:val="24"/>
        </w:rPr>
        <w:t xml:space="preserve"> </w:t>
      </w:r>
      <w:r w:rsidR="00B6494C">
        <w:rPr>
          <w:rFonts w:ascii="Times New Roman" w:hAnsi="Times New Roman"/>
          <w:sz w:val="24"/>
        </w:rPr>
        <w:t xml:space="preserve"> The practitioner acknowledged that a number of debts were sold and transferred during the PC period.  The appellant referred to AIB as the </w:t>
      </w:r>
      <w:r w:rsidR="00B6494C" w:rsidRPr="00B6494C">
        <w:rPr>
          <w:rFonts w:ascii="Times New Roman" w:hAnsi="Times New Roman"/>
          <w:i/>
          <w:sz w:val="24"/>
        </w:rPr>
        <w:t>“</w:t>
      </w:r>
      <w:r w:rsidR="00B6494C">
        <w:rPr>
          <w:rFonts w:ascii="Times New Roman" w:hAnsi="Times New Roman"/>
          <w:i/>
          <w:sz w:val="24"/>
        </w:rPr>
        <w:t>objector’s predecessor</w:t>
      </w:r>
      <w:r w:rsidR="00B6494C" w:rsidRPr="00B6494C">
        <w:rPr>
          <w:rFonts w:ascii="Times New Roman" w:hAnsi="Times New Roman"/>
          <w:i/>
          <w:sz w:val="24"/>
        </w:rPr>
        <w:t>”</w:t>
      </w:r>
      <w:r w:rsidR="00B6494C">
        <w:rPr>
          <w:rFonts w:ascii="Times New Roman" w:hAnsi="Times New Roman"/>
          <w:sz w:val="24"/>
        </w:rPr>
        <w:t xml:space="preserve"> in para. 14 of his affidavit and at para. 48 he said </w:t>
      </w:r>
      <w:r w:rsidR="00B6494C" w:rsidRPr="00B6494C">
        <w:rPr>
          <w:rFonts w:ascii="Times New Roman" w:hAnsi="Times New Roman"/>
          <w:i/>
          <w:sz w:val="24"/>
        </w:rPr>
        <w:t>“</w:t>
      </w:r>
      <w:r w:rsidR="00B6494C">
        <w:rPr>
          <w:rFonts w:ascii="Times New Roman" w:hAnsi="Times New Roman"/>
          <w:i/>
          <w:sz w:val="24"/>
        </w:rPr>
        <w:t xml:space="preserve">I say that the bank sold the </w:t>
      </w:r>
      <w:r w:rsidR="009449A2">
        <w:rPr>
          <w:rFonts w:ascii="Times New Roman" w:hAnsi="Times New Roman"/>
          <w:i/>
          <w:sz w:val="24"/>
        </w:rPr>
        <w:t xml:space="preserve">company </w:t>
      </w:r>
      <w:r w:rsidR="00B6494C">
        <w:rPr>
          <w:rFonts w:ascii="Times New Roman" w:hAnsi="Times New Roman"/>
          <w:i/>
          <w:sz w:val="24"/>
        </w:rPr>
        <w:t xml:space="preserve">debt </w:t>
      </w:r>
      <w:r w:rsidR="009449A2">
        <w:rPr>
          <w:rFonts w:ascii="Times New Roman" w:hAnsi="Times New Roman"/>
          <w:i/>
          <w:sz w:val="24"/>
        </w:rPr>
        <w:t>[</w:t>
      </w:r>
      <w:r w:rsidR="001A45AA">
        <w:rPr>
          <w:rFonts w:ascii="Times New Roman" w:hAnsi="Times New Roman"/>
          <w:i/>
          <w:sz w:val="24"/>
        </w:rPr>
        <w:t xml:space="preserve">of </w:t>
      </w:r>
      <w:proofErr w:type="spellStart"/>
      <w:r w:rsidR="001A45AA">
        <w:rPr>
          <w:rFonts w:ascii="Times New Roman" w:hAnsi="Times New Roman"/>
          <w:i/>
          <w:sz w:val="24"/>
        </w:rPr>
        <w:t>Fortberry</w:t>
      </w:r>
      <w:proofErr w:type="spellEnd"/>
      <w:r w:rsidR="001A45AA">
        <w:rPr>
          <w:rFonts w:ascii="Times New Roman" w:hAnsi="Times New Roman"/>
          <w:i/>
          <w:sz w:val="24"/>
        </w:rPr>
        <w:t xml:space="preserve"> limited</w:t>
      </w:r>
      <w:r w:rsidR="009449A2">
        <w:rPr>
          <w:rFonts w:ascii="Times New Roman" w:hAnsi="Times New Roman"/>
          <w:i/>
          <w:sz w:val="24"/>
        </w:rPr>
        <w:t>]</w:t>
      </w:r>
      <w:r w:rsidR="00B6494C">
        <w:rPr>
          <w:rFonts w:ascii="Times New Roman" w:hAnsi="Times New Roman"/>
          <w:i/>
          <w:sz w:val="24"/>
        </w:rPr>
        <w:t xml:space="preserve"> to Everyday Finance Limited”</w:t>
      </w:r>
      <w:r w:rsidR="00B6494C">
        <w:rPr>
          <w:rFonts w:ascii="Times New Roman" w:hAnsi="Times New Roman"/>
          <w:sz w:val="24"/>
        </w:rPr>
        <w:t xml:space="preserve">.  At para. </w:t>
      </w:r>
      <w:r w:rsidR="009449A2">
        <w:rPr>
          <w:rFonts w:ascii="Times New Roman" w:hAnsi="Times New Roman"/>
          <w:sz w:val="24"/>
        </w:rPr>
        <w:t>6</w:t>
      </w:r>
      <w:r w:rsidR="00B6494C">
        <w:rPr>
          <w:rFonts w:ascii="Times New Roman" w:hAnsi="Times New Roman"/>
          <w:sz w:val="24"/>
        </w:rPr>
        <w:t xml:space="preserve">0 he stated </w:t>
      </w:r>
      <w:r w:rsidR="00B6494C">
        <w:rPr>
          <w:rFonts w:ascii="Times New Roman" w:hAnsi="Times New Roman"/>
          <w:i/>
          <w:sz w:val="24"/>
        </w:rPr>
        <w:t>“I say and believe that my arrangement is not unfairly prejudicial to the objector”</w:t>
      </w:r>
      <w:r w:rsidR="00B6494C">
        <w:rPr>
          <w:rFonts w:ascii="Times New Roman" w:hAnsi="Times New Roman"/>
          <w:sz w:val="24"/>
        </w:rPr>
        <w:t xml:space="preserve"> and at para. 63 he said that there was no evidence </w:t>
      </w:r>
      <w:r w:rsidR="00B6494C">
        <w:rPr>
          <w:rFonts w:ascii="Times New Roman" w:hAnsi="Times New Roman"/>
          <w:i/>
          <w:sz w:val="24"/>
        </w:rPr>
        <w:t xml:space="preserve">“that the objector would fare better in bankruptcy and achieve a greater </w:t>
      </w:r>
      <w:r w:rsidR="001A45AA">
        <w:rPr>
          <w:rFonts w:ascii="Times New Roman" w:hAnsi="Times New Roman"/>
          <w:i/>
          <w:sz w:val="24"/>
        </w:rPr>
        <w:t>e</w:t>
      </w:r>
      <w:r w:rsidR="00B6494C">
        <w:rPr>
          <w:rFonts w:ascii="Times New Roman" w:hAnsi="Times New Roman"/>
          <w:i/>
          <w:sz w:val="24"/>
        </w:rPr>
        <w:t xml:space="preserve">uro return </w:t>
      </w:r>
      <w:r w:rsidR="009449A2">
        <w:rPr>
          <w:rFonts w:ascii="Times New Roman" w:hAnsi="Times New Roman"/>
          <w:i/>
          <w:sz w:val="24"/>
        </w:rPr>
        <w:t>[</w:t>
      </w:r>
      <w:r w:rsidR="00B6494C">
        <w:rPr>
          <w:rFonts w:ascii="Times New Roman" w:hAnsi="Times New Roman"/>
          <w:i/>
          <w:sz w:val="24"/>
        </w:rPr>
        <w:t>than</w:t>
      </w:r>
      <w:r w:rsidR="009449A2">
        <w:rPr>
          <w:rFonts w:ascii="Times New Roman" w:hAnsi="Times New Roman"/>
          <w:i/>
          <w:sz w:val="24"/>
        </w:rPr>
        <w:t>] (sic)</w:t>
      </w:r>
      <w:r w:rsidR="00B6494C">
        <w:rPr>
          <w:rFonts w:ascii="Times New Roman" w:hAnsi="Times New Roman"/>
          <w:i/>
          <w:sz w:val="24"/>
        </w:rPr>
        <w:t xml:space="preserve"> has been provided.”</w:t>
      </w:r>
      <w:r w:rsidR="00B6494C">
        <w:rPr>
          <w:rFonts w:ascii="Times New Roman" w:hAnsi="Times New Roman"/>
          <w:sz w:val="24"/>
        </w:rPr>
        <w:t xml:space="preserve"> </w:t>
      </w:r>
      <w:r w:rsidR="00DC04E0">
        <w:rPr>
          <w:rFonts w:ascii="Times New Roman" w:hAnsi="Times New Roman"/>
          <w:sz w:val="24"/>
        </w:rPr>
        <w:t xml:space="preserve"> The appellant did not deny that the proposed arrangement would require the objecting creditor, </w:t>
      </w:r>
      <w:proofErr w:type="spellStart"/>
      <w:r w:rsidR="00DC04E0">
        <w:rPr>
          <w:rFonts w:ascii="Times New Roman" w:hAnsi="Times New Roman"/>
          <w:sz w:val="24"/>
        </w:rPr>
        <w:t>Everyday</w:t>
      </w:r>
      <w:proofErr w:type="spellEnd"/>
      <w:r w:rsidR="00DC04E0">
        <w:rPr>
          <w:rFonts w:ascii="Times New Roman" w:hAnsi="Times New Roman"/>
          <w:sz w:val="24"/>
        </w:rPr>
        <w:t>, to accept a write-off of the sum of €2,591,904.17, which represent</w:t>
      </w:r>
      <w:r w:rsidR="001A45AA">
        <w:rPr>
          <w:rFonts w:ascii="Times New Roman" w:hAnsi="Times New Roman"/>
          <w:sz w:val="24"/>
        </w:rPr>
        <w:t>ed</w:t>
      </w:r>
      <w:r w:rsidR="00DC04E0">
        <w:rPr>
          <w:rFonts w:ascii="Times New Roman" w:hAnsi="Times New Roman"/>
          <w:sz w:val="24"/>
        </w:rPr>
        <w:t xml:space="preserve"> 99.57% of the sum owing to Everyday.  </w:t>
      </w:r>
    </w:p>
    <w:p w14:paraId="05DA8DC5" w14:textId="7DDCD18D" w:rsidR="00DC04E0" w:rsidRPr="00E201B7" w:rsidRDefault="00E201B7" w:rsidP="004B1C55">
      <w:pPr>
        <w:pStyle w:val="ListParagraph"/>
        <w:numPr>
          <w:ilvl w:val="0"/>
          <w:numId w:val="43"/>
        </w:numPr>
        <w:tabs>
          <w:tab w:val="left" w:pos="567"/>
        </w:tabs>
        <w:spacing w:line="480" w:lineRule="auto"/>
        <w:ind w:left="0" w:firstLine="0"/>
        <w:rPr>
          <w:rFonts w:ascii="Times New Roman" w:hAnsi="Times New Roman"/>
          <w:b/>
          <w:sz w:val="24"/>
          <w:u w:val="single"/>
        </w:rPr>
      </w:pPr>
      <w:r>
        <w:rPr>
          <w:rFonts w:ascii="Times New Roman" w:hAnsi="Times New Roman"/>
          <w:sz w:val="24"/>
        </w:rPr>
        <w:t>On 11 November 2019</w:t>
      </w:r>
      <w:r w:rsidR="00190575">
        <w:rPr>
          <w:rFonts w:ascii="Times New Roman" w:hAnsi="Times New Roman"/>
          <w:sz w:val="24"/>
        </w:rPr>
        <w:t>,</w:t>
      </w:r>
      <w:r>
        <w:rPr>
          <w:rFonts w:ascii="Times New Roman" w:hAnsi="Times New Roman"/>
          <w:sz w:val="24"/>
        </w:rPr>
        <w:t xml:space="preserve"> McDonald J. in the High Court gave judgment on the application pursuant to s. 115</w:t>
      </w:r>
      <w:r w:rsidR="001A45AA">
        <w:rPr>
          <w:rFonts w:ascii="Times New Roman" w:hAnsi="Times New Roman"/>
          <w:sz w:val="24"/>
        </w:rPr>
        <w:t>A</w:t>
      </w:r>
      <w:r>
        <w:rPr>
          <w:rFonts w:ascii="Times New Roman" w:hAnsi="Times New Roman"/>
          <w:sz w:val="24"/>
        </w:rPr>
        <w:t xml:space="preserve"> of the </w:t>
      </w:r>
      <w:r w:rsidR="00850489">
        <w:rPr>
          <w:rFonts w:ascii="Times New Roman" w:hAnsi="Times New Roman"/>
          <w:sz w:val="24"/>
        </w:rPr>
        <w:t>Act of 2012</w:t>
      </w:r>
      <w:r w:rsidR="001A45AA">
        <w:rPr>
          <w:rFonts w:ascii="Times New Roman" w:hAnsi="Times New Roman"/>
          <w:sz w:val="24"/>
        </w:rPr>
        <w:t xml:space="preserve"> ([2019] IEH</w:t>
      </w:r>
      <w:r w:rsidR="00190575">
        <w:rPr>
          <w:rFonts w:ascii="Times New Roman" w:hAnsi="Times New Roman"/>
          <w:sz w:val="24"/>
        </w:rPr>
        <w:t>C</w:t>
      </w:r>
      <w:r w:rsidR="001A45AA">
        <w:rPr>
          <w:rFonts w:ascii="Times New Roman" w:hAnsi="Times New Roman"/>
          <w:sz w:val="24"/>
        </w:rPr>
        <w:t xml:space="preserve"> 752)</w:t>
      </w:r>
      <w:r>
        <w:rPr>
          <w:rFonts w:ascii="Times New Roman" w:hAnsi="Times New Roman"/>
          <w:sz w:val="24"/>
        </w:rPr>
        <w:t xml:space="preserve">. </w:t>
      </w:r>
      <w:r w:rsidR="00190575">
        <w:rPr>
          <w:rFonts w:ascii="Times New Roman" w:hAnsi="Times New Roman"/>
          <w:sz w:val="24"/>
        </w:rPr>
        <w:t xml:space="preserve"> </w:t>
      </w:r>
      <w:r>
        <w:rPr>
          <w:rFonts w:ascii="Times New Roman" w:hAnsi="Times New Roman"/>
          <w:sz w:val="24"/>
        </w:rPr>
        <w:t xml:space="preserve">At para. 3 he held that the appellant owed the sum of €2,603,054.84 to </w:t>
      </w:r>
      <w:r w:rsidRPr="00E201B7">
        <w:rPr>
          <w:rFonts w:ascii="Times New Roman" w:hAnsi="Times New Roman"/>
          <w:i/>
          <w:sz w:val="24"/>
        </w:rPr>
        <w:t xml:space="preserve">“Everyday as successor in title to Allied Irish Banks </w:t>
      </w:r>
      <w:r w:rsidR="00190575">
        <w:rPr>
          <w:rFonts w:ascii="Times New Roman" w:hAnsi="Times New Roman"/>
          <w:i/>
          <w:sz w:val="24"/>
        </w:rPr>
        <w:t>P</w:t>
      </w:r>
      <w:r w:rsidRPr="00E201B7">
        <w:rPr>
          <w:rFonts w:ascii="Times New Roman" w:hAnsi="Times New Roman"/>
          <w:i/>
          <w:sz w:val="24"/>
        </w:rPr>
        <w:t>lc”</w:t>
      </w:r>
      <w:r>
        <w:rPr>
          <w:rFonts w:ascii="Times New Roman" w:hAnsi="Times New Roman"/>
          <w:sz w:val="24"/>
        </w:rPr>
        <w:t>.  At para. 24 he confirmed that each of the unsecured creditors listed at para. 3</w:t>
      </w:r>
      <w:r w:rsidR="00190575">
        <w:rPr>
          <w:rFonts w:ascii="Times New Roman" w:hAnsi="Times New Roman"/>
          <w:sz w:val="24"/>
        </w:rPr>
        <w:t xml:space="preserve"> </w:t>
      </w:r>
      <w:r w:rsidR="00A11C4B">
        <w:rPr>
          <w:rFonts w:ascii="Times New Roman" w:hAnsi="Times New Roman"/>
          <w:sz w:val="24"/>
        </w:rPr>
        <w:t>(</w:t>
      </w:r>
      <w:r>
        <w:rPr>
          <w:rFonts w:ascii="Times New Roman" w:hAnsi="Times New Roman"/>
          <w:sz w:val="24"/>
        </w:rPr>
        <w:t>which included Everyday</w:t>
      </w:r>
      <w:r w:rsidR="00A11C4B">
        <w:rPr>
          <w:rFonts w:ascii="Times New Roman" w:hAnsi="Times New Roman"/>
          <w:sz w:val="24"/>
        </w:rPr>
        <w:t>)</w:t>
      </w:r>
      <w:r>
        <w:rPr>
          <w:rFonts w:ascii="Times New Roman" w:hAnsi="Times New Roman"/>
          <w:sz w:val="24"/>
        </w:rPr>
        <w:t xml:space="preserve"> ha</w:t>
      </w:r>
      <w:r w:rsidR="00194D49">
        <w:rPr>
          <w:rFonts w:ascii="Times New Roman" w:hAnsi="Times New Roman"/>
          <w:sz w:val="24"/>
        </w:rPr>
        <w:t>d</w:t>
      </w:r>
      <w:r>
        <w:rPr>
          <w:rFonts w:ascii="Times New Roman" w:hAnsi="Times New Roman"/>
          <w:sz w:val="24"/>
        </w:rPr>
        <w:t xml:space="preserve"> a right to claim against the appellant the full amount of the debt due to them.  At para. 29 he again reiterated that Everyday retain</w:t>
      </w:r>
      <w:r w:rsidR="00194D49">
        <w:rPr>
          <w:rFonts w:ascii="Times New Roman" w:hAnsi="Times New Roman"/>
          <w:sz w:val="24"/>
        </w:rPr>
        <w:t>ed</w:t>
      </w:r>
      <w:r>
        <w:rPr>
          <w:rFonts w:ascii="Times New Roman" w:hAnsi="Times New Roman"/>
          <w:sz w:val="24"/>
        </w:rPr>
        <w:t xml:space="preserve"> the right to pursue the appellant in respect of his personal liability on foot of the guarantee given by him in respect of the debts of his company, </w:t>
      </w:r>
      <w:proofErr w:type="spellStart"/>
      <w:r>
        <w:rPr>
          <w:rFonts w:ascii="Times New Roman" w:hAnsi="Times New Roman"/>
          <w:sz w:val="24"/>
        </w:rPr>
        <w:t>Fortberry</w:t>
      </w:r>
      <w:proofErr w:type="spellEnd"/>
      <w:r>
        <w:rPr>
          <w:rFonts w:ascii="Times New Roman" w:hAnsi="Times New Roman"/>
          <w:sz w:val="24"/>
        </w:rPr>
        <w:t xml:space="preserve"> Limited.  He held:-</w:t>
      </w:r>
    </w:p>
    <w:p w14:paraId="2C7D618F" w14:textId="1CF11B65" w:rsidR="00E201B7" w:rsidRPr="009B567B" w:rsidRDefault="00E201B7" w:rsidP="004B1C55">
      <w:pPr>
        <w:pStyle w:val="ListParagraph"/>
        <w:tabs>
          <w:tab w:val="left" w:pos="567"/>
        </w:tabs>
        <w:spacing w:line="480" w:lineRule="auto"/>
        <w:ind w:left="567"/>
        <w:rPr>
          <w:rFonts w:ascii="Times New Roman" w:hAnsi="Times New Roman"/>
          <w:b/>
          <w:iCs/>
          <w:sz w:val="24"/>
        </w:rPr>
      </w:pPr>
      <w:r>
        <w:rPr>
          <w:rFonts w:ascii="Times New Roman" w:hAnsi="Times New Roman"/>
          <w:i/>
          <w:sz w:val="24"/>
        </w:rPr>
        <w:t>“</w:t>
      </w:r>
      <w:r w:rsidR="009B567B">
        <w:rPr>
          <w:rFonts w:ascii="Times New Roman" w:hAnsi="Times New Roman"/>
          <w:i/>
          <w:sz w:val="24"/>
        </w:rPr>
        <w:t xml:space="preserve">29. … </w:t>
      </w:r>
      <w:r>
        <w:rPr>
          <w:rFonts w:ascii="Times New Roman" w:hAnsi="Times New Roman"/>
          <w:i/>
          <w:sz w:val="24"/>
        </w:rPr>
        <w:t xml:space="preserve">In fact, the only right which Everyday has against Mr. Flynn is a purely personal right to pursue him on foot of the judgment for payment of a debt.  </w:t>
      </w:r>
      <w:r w:rsidRPr="00E201B7">
        <w:rPr>
          <w:rFonts w:ascii="Times New Roman" w:hAnsi="Times New Roman"/>
          <w:i/>
          <w:sz w:val="24"/>
          <w:u w:val="single"/>
        </w:rPr>
        <w:t>In circumstances where none of the debts is disputed</w:t>
      </w:r>
      <w:r>
        <w:rPr>
          <w:rFonts w:ascii="Times New Roman" w:hAnsi="Times New Roman"/>
          <w:i/>
          <w:sz w:val="24"/>
        </w:rPr>
        <w:t xml:space="preserve">, this is precisely the same right as any of the other unsecured creditors have.  The fact that Everyday holds security over the property of </w:t>
      </w:r>
      <w:proofErr w:type="spellStart"/>
      <w:r>
        <w:rPr>
          <w:rFonts w:ascii="Times New Roman" w:hAnsi="Times New Roman"/>
          <w:i/>
          <w:sz w:val="24"/>
        </w:rPr>
        <w:t>Fortberry</w:t>
      </w:r>
      <w:proofErr w:type="spellEnd"/>
      <w:r>
        <w:rPr>
          <w:rFonts w:ascii="Times New Roman" w:hAnsi="Times New Roman"/>
          <w:i/>
          <w:sz w:val="24"/>
        </w:rPr>
        <w:t xml:space="preserve"> does not affect this conclusion.  Crucially, Everyday holds no security over the property of Mr. Flynn.  As an unsecured creditor of Mr. Flynn, </w:t>
      </w:r>
      <w:r>
        <w:rPr>
          <w:rFonts w:ascii="Times New Roman" w:hAnsi="Times New Roman"/>
          <w:i/>
          <w:sz w:val="24"/>
        </w:rPr>
        <w:lastRenderedPageBreak/>
        <w:t xml:space="preserve">Everyday retains the right to seek repayment from him notwithstanding its concurrent right to rely on its security against </w:t>
      </w:r>
      <w:proofErr w:type="spellStart"/>
      <w:r>
        <w:rPr>
          <w:rFonts w:ascii="Times New Roman" w:hAnsi="Times New Roman"/>
          <w:i/>
          <w:sz w:val="24"/>
        </w:rPr>
        <w:t>Fortberry</w:t>
      </w:r>
      <w:proofErr w:type="spellEnd"/>
      <w:r>
        <w:rPr>
          <w:rFonts w:ascii="Times New Roman" w:hAnsi="Times New Roman"/>
          <w:i/>
          <w:sz w:val="24"/>
        </w:rPr>
        <w:t>.”</w:t>
      </w:r>
      <w:r w:rsidR="009B567B">
        <w:rPr>
          <w:rFonts w:ascii="Times New Roman" w:hAnsi="Times New Roman"/>
          <w:i/>
          <w:sz w:val="24"/>
        </w:rPr>
        <w:t xml:space="preserve"> </w:t>
      </w:r>
      <w:r w:rsidR="009B567B">
        <w:rPr>
          <w:rFonts w:ascii="Times New Roman" w:hAnsi="Times New Roman"/>
          <w:iCs/>
          <w:sz w:val="24"/>
        </w:rPr>
        <w:t>(emphasis added)</w:t>
      </w:r>
    </w:p>
    <w:p w14:paraId="61147E1E" w14:textId="1B600177" w:rsidR="001A45AA" w:rsidRPr="004B1C55" w:rsidRDefault="0062307A" w:rsidP="004B1C55">
      <w:pPr>
        <w:pStyle w:val="ListParagraph"/>
        <w:numPr>
          <w:ilvl w:val="0"/>
          <w:numId w:val="43"/>
        </w:numPr>
        <w:tabs>
          <w:tab w:val="left" w:pos="567"/>
        </w:tabs>
        <w:spacing w:line="480" w:lineRule="auto"/>
        <w:ind w:left="0" w:firstLine="0"/>
        <w:rPr>
          <w:rFonts w:ascii="Times New Roman" w:hAnsi="Times New Roman" w:cs="Times New Roman"/>
          <w:b/>
          <w:sz w:val="24"/>
          <w:szCs w:val="24"/>
          <w:u w:val="single"/>
        </w:rPr>
      </w:pPr>
      <w:r>
        <w:rPr>
          <w:rFonts w:ascii="Times New Roman" w:hAnsi="Times New Roman"/>
          <w:sz w:val="24"/>
        </w:rPr>
        <w:t xml:space="preserve">McDonald J. held that the debt due to Carley &amp; Connellan Solicitors </w:t>
      </w:r>
      <w:r w:rsidR="00850489">
        <w:rPr>
          <w:rFonts w:ascii="Times New Roman" w:hAnsi="Times New Roman"/>
          <w:sz w:val="24"/>
        </w:rPr>
        <w:t>was not</w:t>
      </w:r>
      <w:r>
        <w:rPr>
          <w:rFonts w:ascii="Times New Roman" w:hAnsi="Times New Roman"/>
          <w:sz w:val="24"/>
        </w:rPr>
        <w:t xml:space="preserve"> in a separate class to the other unsecured creditors of the appellant.  In those circumstances, </w:t>
      </w:r>
      <w:r w:rsidR="001A45AA">
        <w:rPr>
          <w:rFonts w:ascii="Times New Roman" w:hAnsi="Times New Roman"/>
          <w:sz w:val="24"/>
        </w:rPr>
        <w:t xml:space="preserve">he </w:t>
      </w:r>
      <w:r w:rsidR="001A45AA" w:rsidRPr="004B1C55">
        <w:rPr>
          <w:rFonts w:ascii="Times New Roman" w:hAnsi="Times New Roman" w:cs="Times New Roman"/>
          <w:sz w:val="24"/>
          <w:szCs w:val="24"/>
        </w:rPr>
        <w:t xml:space="preserve">held that </w:t>
      </w:r>
      <w:r w:rsidRPr="004B1C55">
        <w:rPr>
          <w:rFonts w:ascii="Times New Roman" w:hAnsi="Times New Roman" w:cs="Times New Roman"/>
          <w:sz w:val="24"/>
          <w:szCs w:val="24"/>
        </w:rPr>
        <w:t xml:space="preserve">the conditions set out in s. 115A(9)(g) of the </w:t>
      </w:r>
      <w:r w:rsidR="00850489" w:rsidRPr="004B1C55">
        <w:rPr>
          <w:rFonts w:ascii="Times New Roman" w:hAnsi="Times New Roman" w:cs="Times New Roman"/>
          <w:sz w:val="24"/>
          <w:szCs w:val="24"/>
        </w:rPr>
        <w:t xml:space="preserve">Act of </w:t>
      </w:r>
      <w:r w:rsidRPr="004B1C55">
        <w:rPr>
          <w:rFonts w:ascii="Times New Roman" w:hAnsi="Times New Roman" w:cs="Times New Roman"/>
          <w:sz w:val="24"/>
          <w:szCs w:val="24"/>
        </w:rPr>
        <w:t xml:space="preserve">2012 </w:t>
      </w:r>
      <w:r w:rsidR="00A11C4B" w:rsidRPr="004B1C55">
        <w:rPr>
          <w:rFonts w:ascii="Times New Roman" w:hAnsi="Times New Roman" w:cs="Times New Roman"/>
          <w:sz w:val="24"/>
          <w:szCs w:val="24"/>
        </w:rPr>
        <w:t xml:space="preserve">could </w:t>
      </w:r>
      <w:r w:rsidRPr="004B1C55">
        <w:rPr>
          <w:rFonts w:ascii="Times New Roman" w:hAnsi="Times New Roman" w:cs="Times New Roman"/>
          <w:sz w:val="24"/>
          <w:szCs w:val="24"/>
        </w:rPr>
        <w:t>not be satisfied and</w:t>
      </w:r>
      <w:r w:rsidR="00017412" w:rsidRPr="004B1C55">
        <w:rPr>
          <w:rFonts w:ascii="Times New Roman" w:hAnsi="Times New Roman" w:cs="Times New Roman"/>
          <w:sz w:val="24"/>
          <w:szCs w:val="24"/>
        </w:rPr>
        <w:t>,</w:t>
      </w:r>
      <w:r w:rsidRPr="004B1C55">
        <w:rPr>
          <w:rFonts w:ascii="Times New Roman" w:hAnsi="Times New Roman" w:cs="Times New Roman"/>
          <w:sz w:val="24"/>
          <w:szCs w:val="24"/>
        </w:rPr>
        <w:t xml:space="preserve"> as a consequence</w:t>
      </w:r>
      <w:r w:rsidR="00017412" w:rsidRPr="004B1C55">
        <w:rPr>
          <w:rFonts w:ascii="Times New Roman" w:hAnsi="Times New Roman" w:cs="Times New Roman"/>
          <w:sz w:val="24"/>
          <w:szCs w:val="24"/>
        </w:rPr>
        <w:t>,</w:t>
      </w:r>
      <w:r w:rsidRPr="004B1C55">
        <w:rPr>
          <w:rFonts w:ascii="Times New Roman" w:hAnsi="Times New Roman" w:cs="Times New Roman"/>
          <w:sz w:val="24"/>
          <w:szCs w:val="24"/>
        </w:rPr>
        <w:t xml:space="preserve"> the application made by the practitioner under the section must fail.  With the dismissal of the s. 115</w:t>
      </w:r>
      <w:r w:rsidR="001A45AA" w:rsidRPr="004B1C55">
        <w:rPr>
          <w:rFonts w:ascii="Times New Roman" w:hAnsi="Times New Roman" w:cs="Times New Roman"/>
          <w:sz w:val="24"/>
          <w:szCs w:val="24"/>
        </w:rPr>
        <w:t>A</w:t>
      </w:r>
      <w:r w:rsidRPr="004B1C55">
        <w:rPr>
          <w:rFonts w:ascii="Times New Roman" w:hAnsi="Times New Roman" w:cs="Times New Roman"/>
          <w:sz w:val="24"/>
          <w:szCs w:val="24"/>
        </w:rPr>
        <w:t xml:space="preserve"> application, the </w:t>
      </w:r>
      <w:r w:rsidR="003A5329">
        <w:rPr>
          <w:rFonts w:ascii="Times New Roman" w:hAnsi="Times New Roman" w:cs="Times New Roman"/>
          <w:sz w:val="24"/>
          <w:szCs w:val="24"/>
        </w:rPr>
        <w:t>PC</w:t>
      </w:r>
      <w:r w:rsidRPr="004B1C55">
        <w:rPr>
          <w:rFonts w:ascii="Times New Roman" w:hAnsi="Times New Roman" w:cs="Times New Roman"/>
          <w:sz w:val="24"/>
          <w:szCs w:val="24"/>
        </w:rPr>
        <w:t xml:space="preserve"> lapsed</w:t>
      </w:r>
      <w:r w:rsidR="00850489" w:rsidRPr="004B1C55">
        <w:rPr>
          <w:rFonts w:ascii="Times New Roman" w:hAnsi="Times New Roman" w:cs="Times New Roman"/>
          <w:sz w:val="24"/>
          <w:szCs w:val="24"/>
        </w:rPr>
        <w:t>,</w:t>
      </w:r>
      <w:r w:rsidR="001A45AA" w:rsidRPr="004B1C55">
        <w:rPr>
          <w:rFonts w:ascii="Times New Roman" w:hAnsi="Times New Roman" w:cs="Times New Roman"/>
          <w:sz w:val="24"/>
          <w:szCs w:val="24"/>
        </w:rPr>
        <w:t xml:space="preserve"> and it was open to the creditors to pursue the appellant for his debts</w:t>
      </w:r>
      <w:r w:rsidRPr="004B1C55">
        <w:rPr>
          <w:rFonts w:ascii="Times New Roman" w:hAnsi="Times New Roman" w:cs="Times New Roman"/>
          <w:sz w:val="24"/>
          <w:szCs w:val="24"/>
        </w:rPr>
        <w:t xml:space="preserve">.  </w:t>
      </w:r>
    </w:p>
    <w:p w14:paraId="6A373690" w14:textId="5B1DD3D6" w:rsidR="0062307A" w:rsidRPr="004B1C55" w:rsidRDefault="0062307A" w:rsidP="004B1C55">
      <w:pPr>
        <w:pStyle w:val="ListParagraph"/>
        <w:numPr>
          <w:ilvl w:val="0"/>
          <w:numId w:val="43"/>
        </w:numPr>
        <w:tabs>
          <w:tab w:val="left" w:pos="567"/>
        </w:tabs>
        <w:spacing w:line="480" w:lineRule="auto"/>
        <w:ind w:left="0" w:firstLine="0"/>
        <w:rPr>
          <w:rFonts w:ascii="Times New Roman" w:hAnsi="Times New Roman" w:cs="Times New Roman"/>
          <w:b/>
          <w:sz w:val="24"/>
          <w:szCs w:val="24"/>
          <w:u w:val="single"/>
        </w:rPr>
      </w:pPr>
      <w:r w:rsidRPr="004B1C55">
        <w:rPr>
          <w:rFonts w:ascii="Times New Roman" w:hAnsi="Times New Roman" w:cs="Times New Roman"/>
          <w:sz w:val="24"/>
          <w:szCs w:val="24"/>
        </w:rPr>
        <w:t>On 4 September 20</w:t>
      </w:r>
      <w:r w:rsidR="00017412" w:rsidRPr="004B1C55">
        <w:rPr>
          <w:rFonts w:ascii="Times New Roman" w:hAnsi="Times New Roman" w:cs="Times New Roman"/>
          <w:sz w:val="24"/>
          <w:szCs w:val="24"/>
        </w:rPr>
        <w:t>1</w:t>
      </w:r>
      <w:r w:rsidRPr="004B1C55">
        <w:rPr>
          <w:rFonts w:ascii="Times New Roman" w:hAnsi="Times New Roman" w:cs="Times New Roman"/>
          <w:sz w:val="24"/>
          <w:szCs w:val="24"/>
        </w:rPr>
        <w:t>9</w:t>
      </w:r>
      <w:r w:rsidR="00017412" w:rsidRPr="004B1C55">
        <w:rPr>
          <w:rFonts w:ascii="Times New Roman" w:hAnsi="Times New Roman" w:cs="Times New Roman"/>
          <w:sz w:val="24"/>
          <w:szCs w:val="24"/>
        </w:rPr>
        <w:t>,</w:t>
      </w:r>
      <w:r w:rsidRPr="004B1C55">
        <w:rPr>
          <w:rFonts w:ascii="Times New Roman" w:hAnsi="Times New Roman" w:cs="Times New Roman"/>
          <w:sz w:val="24"/>
          <w:szCs w:val="24"/>
        </w:rPr>
        <w:t xml:space="preserve"> solicitors for Everyday issued a motion in the bankruptcy list seeking</w:t>
      </w:r>
      <w:r w:rsidR="00017412" w:rsidRPr="004B1C55">
        <w:rPr>
          <w:rFonts w:ascii="Times New Roman" w:hAnsi="Times New Roman" w:cs="Times New Roman"/>
          <w:sz w:val="24"/>
          <w:szCs w:val="24"/>
        </w:rPr>
        <w:t>:-</w:t>
      </w:r>
      <w:r w:rsidRPr="004B1C55">
        <w:rPr>
          <w:rFonts w:ascii="Times New Roman" w:hAnsi="Times New Roman" w:cs="Times New Roman"/>
          <w:sz w:val="24"/>
          <w:szCs w:val="24"/>
        </w:rPr>
        <w:t xml:space="preserve"> </w:t>
      </w:r>
    </w:p>
    <w:p w14:paraId="63352134" w14:textId="0A771F6F" w:rsidR="00DB4DD0" w:rsidRPr="004B1C55" w:rsidRDefault="0062307A" w:rsidP="00110BAB">
      <w:pPr>
        <w:pStyle w:val="ListParagraph"/>
        <w:tabs>
          <w:tab w:val="left" w:pos="567"/>
        </w:tabs>
        <w:spacing w:line="480" w:lineRule="auto"/>
        <w:ind w:left="567"/>
        <w:rPr>
          <w:rFonts w:ascii="Times New Roman" w:hAnsi="Times New Roman" w:cs="Times New Roman"/>
          <w:b/>
          <w:sz w:val="24"/>
          <w:szCs w:val="24"/>
          <w:u w:val="single"/>
        </w:rPr>
      </w:pPr>
      <w:r w:rsidRPr="004B1C55">
        <w:rPr>
          <w:rFonts w:ascii="Times New Roman" w:hAnsi="Times New Roman" w:cs="Times New Roman"/>
          <w:i/>
          <w:sz w:val="24"/>
          <w:szCs w:val="24"/>
        </w:rPr>
        <w:t>“</w:t>
      </w:r>
      <w:r w:rsidR="00017412" w:rsidRPr="004B1C55">
        <w:rPr>
          <w:rFonts w:ascii="Times New Roman" w:hAnsi="Times New Roman" w:cs="Times New Roman"/>
          <w:i/>
          <w:sz w:val="24"/>
          <w:szCs w:val="24"/>
        </w:rPr>
        <w:t>A</w:t>
      </w:r>
      <w:r w:rsidRPr="004B1C55">
        <w:rPr>
          <w:rFonts w:ascii="Times New Roman" w:hAnsi="Times New Roman" w:cs="Times New Roman"/>
          <w:i/>
          <w:sz w:val="24"/>
          <w:szCs w:val="24"/>
        </w:rPr>
        <w:t xml:space="preserve">n </w:t>
      </w:r>
      <w:r w:rsidR="00017412" w:rsidRPr="004B1C55">
        <w:rPr>
          <w:rFonts w:ascii="Times New Roman" w:hAnsi="Times New Roman" w:cs="Times New Roman"/>
          <w:i/>
          <w:sz w:val="24"/>
          <w:szCs w:val="24"/>
        </w:rPr>
        <w:t>O</w:t>
      </w:r>
      <w:r w:rsidRPr="004B1C55">
        <w:rPr>
          <w:rFonts w:ascii="Times New Roman" w:hAnsi="Times New Roman" w:cs="Times New Roman"/>
          <w:i/>
          <w:sz w:val="24"/>
          <w:szCs w:val="24"/>
        </w:rPr>
        <w:t xml:space="preserve">rder pursuant to Order 17, Rule 4 of the Rules of the Superior Courts and/or the inherent jurisdiction of this Honourable Court substituting Everyday Finance Designated Activity Company of 16 </w:t>
      </w:r>
      <w:proofErr w:type="spellStart"/>
      <w:r w:rsidRPr="004B1C55">
        <w:rPr>
          <w:rFonts w:ascii="Times New Roman" w:hAnsi="Times New Roman" w:cs="Times New Roman"/>
          <w:i/>
          <w:sz w:val="24"/>
          <w:szCs w:val="24"/>
        </w:rPr>
        <w:t>Briarhill</w:t>
      </w:r>
      <w:proofErr w:type="spellEnd"/>
      <w:r w:rsidRPr="004B1C55">
        <w:rPr>
          <w:rFonts w:ascii="Times New Roman" w:hAnsi="Times New Roman" w:cs="Times New Roman"/>
          <w:i/>
          <w:sz w:val="24"/>
          <w:szCs w:val="24"/>
        </w:rPr>
        <w:t xml:space="preserve"> Business Park, </w:t>
      </w:r>
      <w:proofErr w:type="spellStart"/>
      <w:r w:rsidRPr="004B1C55">
        <w:rPr>
          <w:rFonts w:ascii="Times New Roman" w:hAnsi="Times New Roman" w:cs="Times New Roman"/>
          <w:i/>
          <w:sz w:val="24"/>
          <w:szCs w:val="24"/>
        </w:rPr>
        <w:t>Ballybrit</w:t>
      </w:r>
      <w:proofErr w:type="spellEnd"/>
      <w:r w:rsidRPr="004B1C55">
        <w:rPr>
          <w:rFonts w:ascii="Times New Roman" w:hAnsi="Times New Roman" w:cs="Times New Roman"/>
          <w:i/>
          <w:sz w:val="24"/>
          <w:szCs w:val="24"/>
        </w:rPr>
        <w:t xml:space="preserve">, Galway being a company incorporated within Ireland for the </w:t>
      </w:r>
      <w:r w:rsidR="00017412" w:rsidRPr="004B1C55">
        <w:rPr>
          <w:rFonts w:ascii="Times New Roman" w:hAnsi="Times New Roman" w:cs="Times New Roman"/>
          <w:i/>
          <w:sz w:val="24"/>
          <w:szCs w:val="24"/>
        </w:rPr>
        <w:t>P</w:t>
      </w:r>
      <w:r w:rsidRPr="004B1C55">
        <w:rPr>
          <w:rFonts w:ascii="Times New Roman" w:hAnsi="Times New Roman" w:cs="Times New Roman"/>
          <w:i/>
          <w:sz w:val="24"/>
          <w:szCs w:val="24"/>
        </w:rPr>
        <w:t xml:space="preserve">etitioner in the above entitled proceedings and that the proceedings shall be carried on with Everyday Finance Designated Activity Company as </w:t>
      </w:r>
      <w:r w:rsidR="00017412" w:rsidRPr="004B1C55">
        <w:rPr>
          <w:rFonts w:ascii="Times New Roman" w:hAnsi="Times New Roman" w:cs="Times New Roman"/>
          <w:i/>
          <w:sz w:val="24"/>
          <w:szCs w:val="24"/>
        </w:rPr>
        <w:t>P</w:t>
      </w:r>
      <w:r w:rsidRPr="004B1C55">
        <w:rPr>
          <w:rFonts w:ascii="Times New Roman" w:hAnsi="Times New Roman" w:cs="Times New Roman"/>
          <w:i/>
          <w:sz w:val="24"/>
          <w:szCs w:val="24"/>
        </w:rPr>
        <w:t>etitioner</w:t>
      </w:r>
      <w:r w:rsidR="001C7E8D" w:rsidRPr="004B1C55">
        <w:rPr>
          <w:rFonts w:ascii="Times New Roman" w:hAnsi="Times New Roman" w:cs="Times New Roman"/>
          <w:i/>
          <w:sz w:val="24"/>
          <w:szCs w:val="24"/>
        </w:rPr>
        <w:t>.”</w:t>
      </w:r>
    </w:p>
    <w:p w14:paraId="0847C181" w14:textId="10328FEC" w:rsidR="00A7138C" w:rsidRPr="004B1C55" w:rsidRDefault="00A7138C" w:rsidP="004B1C55">
      <w:pPr>
        <w:pStyle w:val="ListParagraph"/>
        <w:numPr>
          <w:ilvl w:val="0"/>
          <w:numId w:val="43"/>
        </w:numPr>
        <w:tabs>
          <w:tab w:val="left" w:pos="567"/>
        </w:tabs>
        <w:spacing w:line="480" w:lineRule="auto"/>
        <w:ind w:left="0" w:firstLine="0"/>
        <w:rPr>
          <w:rFonts w:ascii="Times New Roman" w:hAnsi="Times New Roman" w:cs="Times New Roman"/>
          <w:b/>
          <w:sz w:val="24"/>
          <w:szCs w:val="24"/>
        </w:rPr>
      </w:pPr>
      <w:r w:rsidRPr="004B1C55">
        <w:rPr>
          <w:rFonts w:ascii="Times New Roman" w:hAnsi="Times New Roman" w:cs="Times New Roman"/>
          <w:sz w:val="24"/>
          <w:szCs w:val="24"/>
        </w:rPr>
        <w:t>The application was made on the basis that the loan and judgment debt underl</w:t>
      </w:r>
      <w:r w:rsidR="002E67E8" w:rsidRPr="004B1C55">
        <w:rPr>
          <w:rFonts w:ascii="Times New Roman" w:hAnsi="Times New Roman" w:cs="Times New Roman"/>
          <w:sz w:val="24"/>
          <w:szCs w:val="24"/>
        </w:rPr>
        <w:t>y</w:t>
      </w:r>
      <w:r w:rsidRPr="004B1C55">
        <w:rPr>
          <w:rFonts w:ascii="Times New Roman" w:hAnsi="Times New Roman" w:cs="Times New Roman"/>
          <w:sz w:val="24"/>
          <w:szCs w:val="24"/>
        </w:rPr>
        <w:t>ing the petition had been sold by AIB to Everyday.  It maintained that an event had occurred within the meaning of O. 17, r. 4 since the commencement of the bankruptcy proceedings whereby the interest of AIB in the facilities</w:t>
      </w:r>
      <w:r w:rsidR="001F79AF">
        <w:rPr>
          <w:rFonts w:ascii="Times New Roman" w:hAnsi="Times New Roman" w:cs="Times New Roman"/>
          <w:sz w:val="24"/>
          <w:szCs w:val="24"/>
        </w:rPr>
        <w:t>,</w:t>
      </w:r>
      <w:r w:rsidRPr="004B1C55">
        <w:rPr>
          <w:rFonts w:ascii="Times New Roman" w:hAnsi="Times New Roman" w:cs="Times New Roman"/>
          <w:sz w:val="24"/>
          <w:szCs w:val="24"/>
        </w:rPr>
        <w:t xml:space="preserve"> and underlying security</w:t>
      </w:r>
      <w:r w:rsidR="001F79AF">
        <w:rPr>
          <w:rFonts w:ascii="Times New Roman" w:hAnsi="Times New Roman" w:cs="Times New Roman"/>
          <w:sz w:val="24"/>
          <w:szCs w:val="24"/>
        </w:rPr>
        <w:t>,</w:t>
      </w:r>
      <w:r w:rsidRPr="004B1C55">
        <w:rPr>
          <w:rFonts w:ascii="Times New Roman" w:hAnsi="Times New Roman" w:cs="Times New Roman"/>
          <w:sz w:val="24"/>
          <w:szCs w:val="24"/>
        </w:rPr>
        <w:t xml:space="preserve"> and the proceedings themselves had been wholly transferred to Everyday</w:t>
      </w:r>
      <w:r w:rsidR="001E1AB6" w:rsidRPr="004B1C55">
        <w:rPr>
          <w:rFonts w:ascii="Times New Roman" w:hAnsi="Times New Roman" w:cs="Times New Roman"/>
          <w:sz w:val="24"/>
          <w:szCs w:val="24"/>
        </w:rPr>
        <w:t>.  It said that this had occurred</w:t>
      </w:r>
      <w:r w:rsidRPr="004B1C55">
        <w:rPr>
          <w:rFonts w:ascii="Times New Roman" w:hAnsi="Times New Roman" w:cs="Times New Roman"/>
          <w:sz w:val="24"/>
          <w:szCs w:val="24"/>
        </w:rPr>
        <w:t xml:space="preserve"> in such a manner that it was necessary and expedient that Everyday should now be made a party in the proceedings</w:t>
      </w:r>
      <w:r w:rsidR="002E67E8" w:rsidRPr="004B1C55">
        <w:rPr>
          <w:rFonts w:ascii="Times New Roman" w:hAnsi="Times New Roman" w:cs="Times New Roman"/>
          <w:sz w:val="24"/>
          <w:szCs w:val="24"/>
        </w:rPr>
        <w:t>,</w:t>
      </w:r>
      <w:r w:rsidRPr="004B1C55">
        <w:rPr>
          <w:rFonts w:ascii="Times New Roman" w:hAnsi="Times New Roman" w:cs="Times New Roman"/>
          <w:sz w:val="24"/>
          <w:szCs w:val="24"/>
        </w:rPr>
        <w:t xml:space="preserve"> </w:t>
      </w:r>
      <w:r w:rsidR="001E1AB6" w:rsidRPr="004B1C55">
        <w:rPr>
          <w:rFonts w:ascii="Times New Roman" w:hAnsi="Times New Roman" w:cs="Times New Roman"/>
          <w:sz w:val="24"/>
          <w:szCs w:val="24"/>
        </w:rPr>
        <w:t xml:space="preserve">and that the proceedings </w:t>
      </w:r>
      <w:r w:rsidRPr="004B1C55">
        <w:rPr>
          <w:rFonts w:ascii="Times New Roman" w:hAnsi="Times New Roman" w:cs="Times New Roman"/>
          <w:sz w:val="24"/>
          <w:szCs w:val="24"/>
        </w:rPr>
        <w:t xml:space="preserve">should continue thereafter in the sole name of Everyday in place of AIB.  </w:t>
      </w:r>
    </w:p>
    <w:p w14:paraId="43D71DC5" w14:textId="24B9F999" w:rsidR="00A7138C" w:rsidRPr="004B1C55" w:rsidRDefault="00A7138C" w:rsidP="004B1C55">
      <w:pPr>
        <w:pStyle w:val="ListParagraph"/>
        <w:numPr>
          <w:ilvl w:val="0"/>
          <w:numId w:val="43"/>
        </w:numPr>
        <w:tabs>
          <w:tab w:val="left" w:pos="567"/>
        </w:tabs>
        <w:spacing w:line="480" w:lineRule="auto"/>
        <w:ind w:left="0" w:firstLine="0"/>
        <w:rPr>
          <w:rFonts w:ascii="Times New Roman" w:hAnsi="Times New Roman" w:cs="Times New Roman"/>
          <w:b/>
          <w:sz w:val="24"/>
          <w:szCs w:val="24"/>
        </w:rPr>
      </w:pPr>
      <w:r w:rsidRPr="004B1C55">
        <w:rPr>
          <w:rFonts w:ascii="Times New Roman" w:hAnsi="Times New Roman" w:cs="Times New Roman"/>
          <w:sz w:val="24"/>
          <w:szCs w:val="24"/>
        </w:rPr>
        <w:lastRenderedPageBreak/>
        <w:t xml:space="preserve">The appellant swore a replying affidavit on 12 February 2020.  The points he made were succinctly summarised by the trial judge </w:t>
      </w:r>
      <w:r w:rsidR="00564AED" w:rsidRPr="004B1C55">
        <w:rPr>
          <w:rFonts w:ascii="Times New Roman" w:hAnsi="Times New Roman" w:cs="Times New Roman"/>
          <w:sz w:val="24"/>
          <w:szCs w:val="24"/>
        </w:rPr>
        <w:t>at</w:t>
      </w:r>
      <w:r w:rsidRPr="004B1C55">
        <w:rPr>
          <w:rFonts w:ascii="Times New Roman" w:hAnsi="Times New Roman" w:cs="Times New Roman"/>
          <w:sz w:val="24"/>
          <w:szCs w:val="24"/>
        </w:rPr>
        <w:t xml:space="preserve"> para. 12 of </w:t>
      </w:r>
      <w:r w:rsidR="00564AED" w:rsidRPr="004B1C55">
        <w:rPr>
          <w:rFonts w:ascii="Times New Roman" w:hAnsi="Times New Roman" w:cs="Times New Roman"/>
          <w:sz w:val="24"/>
          <w:szCs w:val="24"/>
        </w:rPr>
        <w:t xml:space="preserve">her </w:t>
      </w:r>
      <w:r w:rsidRPr="004B1C55">
        <w:rPr>
          <w:rFonts w:ascii="Times New Roman" w:hAnsi="Times New Roman" w:cs="Times New Roman"/>
          <w:sz w:val="24"/>
          <w:szCs w:val="24"/>
        </w:rPr>
        <w:t xml:space="preserve">judgment as follows:- </w:t>
      </w:r>
    </w:p>
    <w:p w14:paraId="2E9DF957" w14:textId="6350A637" w:rsidR="0024187B" w:rsidRPr="004B1C55" w:rsidRDefault="0024187B" w:rsidP="004B1C55">
      <w:pPr>
        <w:pStyle w:val="ListParagraph"/>
        <w:spacing w:line="480" w:lineRule="auto"/>
        <w:ind w:left="1134" w:hanging="567"/>
        <w:rPr>
          <w:rFonts w:ascii="Times New Roman" w:hAnsi="Times New Roman" w:cs="Times New Roman"/>
          <w:bCs/>
          <w:i/>
          <w:sz w:val="24"/>
          <w:szCs w:val="24"/>
        </w:rPr>
      </w:pPr>
      <w:r w:rsidRPr="004B1C55">
        <w:rPr>
          <w:rFonts w:ascii="Times New Roman" w:hAnsi="Times New Roman" w:cs="Times New Roman"/>
          <w:bCs/>
          <w:i/>
          <w:sz w:val="24"/>
          <w:szCs w:val="24"/>
        </w:rPr>
        <w:t xml:space="preserve">“(a) </w:t>
      </w:r>
      <w:r w:rsidRPr="004B1C55">
        <w:rPr>
          <w:rFonts w:ascii="Times New Roman" w:hAnsi="Times New Roman" w:cs="Times New Roman"/>
          <w:bCs/>
          <w:i/>
          <w:sz w:val="24"/>
          <w:szCs w:val="24"/>
        </w:rPr>
        <w:tab/>
        <w:t xml:space="preserve">That he has </w:t>
      </w:r>
      <w:r w:rsidR="00017412" w:rsidRPr="004B1C55">
        <w:rPr>
          <w:rFonts w:ascii="Times New Roman" w:hAnsi="Times New Roman" w:cs="Times New Roman"/>
          <w:bCs/>
          <w:i/>
          <w:sz w:val="24"/>
          <w:szCs w:val="24"/>
        </w:rPr>
        <w:t xml:space="preserve">not </w:t>
      </w:r>
      <w:r w:rsidRPr="004B1C55">
        <w:rPr>
          <w:rFonts w:ascii="Times New Roman" w:hAnsi="Times New Roman" w:cs="Times New Roman"/>
          <w:bCs/>
          <w:i/>
          <w:sz w:val="24"/>
          <w:szCs w:val="24"/>
        </w:rPr>
        <w:t>committed an act of bankruptcy in respect of Everyday.</w:t>
      </w:r>
    </w:p>
    <w:p w14:paraId="7D735239" w14:textId="77777777" w:rsidR="0024187B" w:rsidRPr="004B1C55" w:rsidRDefault="0024187B" w:rsidP="004B1C55">
      <w:pPr>
        <w:pStyle w:val="ListParagraph"/>
        <w:spacing w:line="480" w:lineRule="auto"/>
        <w:ind w:left="1134" w:hanging="425"/>
        <w:rPr>
          <w:rFonts w:ascii="Times New Roman" w:hAnsi="Times New Roman" w:cs="Times New Roman"/>
          <w:bCs/>
          <w:i/>
          <w:sz w:val="24"/>
          <w:szCs w:val="24"/>
        </w:rPr>
      </w:pPr>
      <w:r w:rsidRPr="004B1C55">
        <w:rPr>
          <w:rFonts w:ascii="Times New Roman" w:hAnsi="Times New Roman" w:cs="Times New Roman"/>
          <w:bCs/>
          <w:i/>
          <w:sz w:val="24"/>
          <w:szCs w:val="24"/>
        </w:rPr>
        <w:t>(b) The penal effect of any adjudication of bankruptcy upon any person is highlighted.</w:t>
      </w:r>
    </w:p>
    <w:p w14:paraId="4C2649D2" w14:textId="77777777" w:rsidR="0024187B" w:rsidRPr="004B1C55" w:rsidRDefault="0024187B" w:rsidP="004B1C55">
      <w:pPr>
        <w:pStyle w:val="ListParagraph"/>
        <w:spacing w:line="480" w:lineRule="auto"/>
        <w:ind w:left="1134" w:hanging="425"/>
        <w:rPr>
          <w:rFonts w:ascii="Times New Roman" w:hAnsi="Times New Roman" w:cs="Times New Roman"/>
          <w:bCs/>
          <w:i/>
          <w:sz w:val="24"/>
          <w:szCs w:val="24"/>
        </w:rPr>
      </w:pPr>
      <w:r w:rsidRPr="004B1C55">
        <w:rPr>
          <w:rFonts w:ascii="Times New Roman" w:hAnsi="Times New Roman" w:cs="Times New Roman"/>
          <w:bCs/>
          <w:i/>
          <w:sz w:val="24"/>
          <w:szCs w:val="24"/>
        </w:rPr>
        <w:t xml:space="preserve">(c) </w:t>
      </w:r>
      <w:r w:rsidRPr="004B1C55">
        <w:rPr>
          <w:rFonts w:ascii="Times New Roman" w:hAnsi="Times New Roman" w:cs="Times New Roman"/>
          <w:bCs/>
          <w:i/>
          <w:sz w:val="24"/>
          <w:szCs w:val="24"/>
        </w:rPr>
        <w:tab/>
        <w:t>The query is re-iterated as to whether AIB’s judgment has been transferred to Everyday and equally whether the relevant guarantee has been transferred.</w:t>
      </w:r>
    </w:p>
    <w:p w14:paraId="73EAD387" w14:textId="77777777" w:rsidR="0024187B" w:rsidRPr="004B1C55" w:rsidRDefault="0024187B" w:rsidP="004B1C55">
      <w:pPr>
        <w:pStyle w:val="ListParagraph"/>
        <w:spacing w:line="480" w:lineRule="auto"/>
        <w:ind w:left="1134" w:hanging="425"/>
        <w:rPr>
          <w:rFonts w:ascii="Times New Roman" w:hAnsi="Times New Roman" w:cs="Times New Roman"/>
          <w:bCs/>
          <w:i/>
          <w:sz w:val="24"/>
          <w:szCs w:val="24"/>
        </w:rPr>
      </w:pPr>
      <w:r w:rsidRPr="004B1C55">
        <w:rPr>
          <w:rFonts w:ascii="Times New Roman" w:hAnsi="Times New Roman" w:cs="Times New Roman"/>
          <w:bCs/>
          <w:i/>
          <w:sz w:val="24"/>
          <w:szCs w:val="24"/>
        </w:rPr>
        <w:t xml:space="preserve">(d) That if </w:t>
      </w:r>
      <w:proofErr w:type="spellStart"/>
      <w:r w:rsidRPr="004B1C55">
        <w:rPr>
          <w:rFonts w:ascii="Times New Roman" w:hAnsi="Times New Roman" w:cs="Times New Roman"/>
          <w:bCs/>
          <w:i/>
          <w:sz w:val="24"/>
          <w:szCs w:val="24"/>
        </w:rPr>
        <w:t>Everyday</w:t>
      </w:r>
      <w:proofErr w:type="spellEnd"/>
      <w:r w:rsidRPr="004B1C55">
        <w:rPr>
          <w:rFonts w:ascii="Times New Roman" w:hAnsi="Times New Roman" w:cs="Times New Roman"/>
          <w:bCs/>
          <w:i/>
          <w:sz w:val="24"/>
          <w:szCs w:val="24"/>
        </w:rPr>
        <w:t xml:space="preserve"> wishes to petition for his bankruptcy, it should make an application for a bankruptcy summons which would afford him an opportunity to seek its dismissal. </w:t>
      </w:r>
    </w:p>
    <w:p w14:paraId="12C1E4DF" w14:textId="77777777" w:rsidR="0024187B" w:rsidRPr="004B1C55" w:rsidRDefault="0024187B" w:rsidP="004B1C55">
      <w:pPr>
        <w:pStyle w:val="ListParagraph"/>
        <w:spacing w:line="480" w:lineRule="auto"/>
        <w:ind w:left="1134" w:hanging="425"/>
        <w:rPr>
          <w:rFonts w:ascii="Times New Roman" w:hAnsi="Times New Roman" w:cs="Times New Roman"/>
          <w:bCs/>
          <w:i/>
          <w:sz w:val="24"/>
          <w:szCs w:val="24"/>
        </w:rPr>
      </w:pPr>
      <w:r w:rsidRPr="004B1C55">
        <w:rPr>
          <w:rFonts w:ascii="Times New Roman" w:hAnsi="Times New Roman" w:cs="Times New Roman"/>
          <w:bCs/>
          <w:i/>
          <w:sz w:val="24"/>
          <w:szCs w:val="24"/>
        </w:rPr>
        <w:t>(e)</w:t>
      </w:r>
      <w:r w:rsidRPr="004B1C55">
        <w:rPr>
          <w:rFonts w:ascii="Times New Roman" w:hAnsi="Times New Roman" w:cs="Times New Roman"/>
          <w:bCs/>
          <w:i/>
          <w:sz w:val="24"/>
          <w:szCs w:val="24"/>
        </w:rPr>
        <w:tab/>
        <w:t>That in the current circumstances, this Court could not investigate the merits of the dispute for the dismissal of the bankruptcy summons and he has an issue in respect of it in the present circumstances.</w:t>
      </w:r>
    </w:p>
    <w:p w14:paraId="3375F82F" w14:textId="77777777" w:rsidR="0024187B" w:rsidRPr="004B1C55" w:rsidRDefault="0024187B" w:rsidP="004B1C55">
      <w:pPr>
        <w:pStyle w:val="ListParagraph"/>
        <w:spacing w:line="480" w:lineRule="auto"/>
        <w:ind w:left="1134" w:hanging="425"/>
        <w:rPr>
          <w:rFonts w:ascii="Times New Roman" w:hAnsi="Times New Roman" w:cs="Times New Roman"/>
          <w:bCs/>
          <w:i/>
          <w:sz w:val="24"/>
          <w:szCs w:val="24"/>
        </w:rPr>
      </w:pPr>
      <w:r w:rsidRPr="004B1C55">
        <w:rPr>
          <w:rFonts w:ascii="Times New Roman" w:hAnsi="Times New Roman" w:cs="Times New Roman"/>
          <w:bCs/>
          <w:i/>
          <w:sz w:val="24"/>
          <w:szCs w:val="24"/>
        </w:rPr>
        <w:t>(f)</w:t>
      </w:r>
      <w:r w:rsidRPr="004B1C55">
        <w:rPr>
          <w:rFonts w:ascii="Times New Roman" w:hAnsi="Times New Roman" w:cs="Times New Roman"/>
          <w:bCs/>
          <w:i/>
          <w:sz w:val="24"/>
          <w:szCs w:val="24"/>
        </w:rPr>
        <w:tab/>
        <w:t xml:space="preserve">That he would suffer a very real and grave prejudice if </w:t>
      </w:r>
      <w:proofErr w:type="spellStart"/>
      <w:r w:rsidRPr="004B1C55">
        <w:rPr>
          <w:rFonts w:ascii="Times New Roman" w:hAnsi="Times New Roman" w:cs="Times New Roman"/>
          <w:bCs/>
          <w:i/>
          <w:sz w:val="24"/>
          <w:szCs w:val="24"/>
        </w:rPr>
        <w:t>Everyday</w:t>
      </w:r>
      <w:proofErr w:type="spellEnd"/>
      <w:r w:rsidRPr="004B1C55">
        <w:rPr>
          <w:rFonts w:ascii="Times New Roman" w:hAnsi="Times New Roman" w:cs="Times New Roman"/>
          <w:bCs/>
          <w:i/>
          <w:sz w:val="24"/>
          <w:szCs w:val="24"/>
        </w:rPr>
        <w:t xml:space="preserve"> were permitted to carry on AIB’s petition as it would deny him an opportunity to set aside the bankruptcy summons obtained by Everyday rather than AIB.</w:t>
      </w:r>
    </w:p>
    <w:p w14:paraId="4FBEED41" w14:textId="77777777" w:rsidR="0024187B" w:rsidRPr="004B1C55" w:rsidRDefault="0024187B" w:rsidP="004B1C55">
      <w:pPr>
        <w:pStyle w:val="ListParagraph"/>
        <w:spacing w:line="480" w:lineRule="auto"/>
        <w:ind w:left="1134" w:hanging="425"/>
        <w:rPr>
          <w:rFonts w:ascii="Times New Roman" w:hAnsi="Times New Roman" w:cs="Times New Roman"/>
          <w:bCs/>
          <w:i/>
          <w:sz w:val="24"/>
          <w:szCs w:val="24"/>
        </w:rPr>
      </w:pPr>
      <w:r w:rsidRPr="004B1C55">
        <w:rPr>
          <w:rFonts w:ascii="Times New Roman" w:hAnsi="Times New Roman" w:cs="Times New Roman"/>
          <w:bCs/>
          <w:i/>
          <w:sz w:val="24"/>
          <w:szCs w:val="24"/>
        </w:rPr>
        <w:t>(g)</w:t>
      </w:r>
      <w:r w:rsidRPr="004B1C55">
        <w:rPr>
          <w:rFonts w:ascii="Times New Roman" w:hAnsi="Times New Roman" w:cs="Times New Roman"/>
          <w:bCs/>
          <w:i/>
          <w:sz w:val="24"/>
          <w:szCs w:val="24"/>
        </w:rPr>
        <w:tab/>
        <w:t>That there is an ulterior purpose defence in respect of AIB and it would be unfair if AIB were permitted to sidestep that defence by transferring the loan.</w:t>
      </w:r>
    </w:p>
    <w:p w14:paraId="6AA0A9B5" w14:textId="77777777" w:rsidR="0024187B" w:rsidRPr="004B1C55" w:rsidRDefault="0024187B" w:rsidP="004B1C55">
      <w:pPr>
        <w:pStyle w:val="ListParagraph"/>
        <w:spacing w:line="480" w:lineRule="auto"/>
        <w:ind w:left="1134" w:hanging="425"/>
        <w:rPr>
          <w:rFonts w:ascii="Times New Roman" w:hAnsi="Times New Roman" w:cs="Times New Roman"/>
          <w:bCs/>
          <w:i/>
          <w:sz w:val="24"/>
          <w:szCs w:val="24"/>
        </w:rPr>
      </w:pPr>
      <w:r w:rsidRPr="004B1C55">
        <w:rPr>
          <w:rFonts w:ascii="Times New Roman" w:hAnsi="Times New Roman" w:cs="Times New Roman"/>
          <w:bCs/>
          <w:i/>
          <w:sz w:val="24"/>
          <w:szCs w:val="24"/>
        </w:rPr>
        <w:t>(h)</w:t>
      </w:r>
      <w:r w:rsidRPr="004B1C55">
        <w:rPr>
          <w:rFonts w:ascii="Times New Roman" w:hAnsi="Times New Roman" w:cs="Times New Roman"/>
          <w:bCs/>
          <w:i/>
          <w:sz w:val="24"/>
          <w:szCs w:val="24"/>
        </w:rPr>
        <w:tab/>
        <w:t>That what is transferred is not related to the matters against which judgment was obtained against him.”</w:t>
      </w:r>
    </w:p>
    <w:p w14:paraId="309B6F74" w14:textId="15E8293C" w:rsidR="00A7138C" w:rsidRPr="004B1C55" w:rsidRDefault="008A7A3C" w:rsidP="004B1C55">
      <w:pPr>
        <w:pStyle w:val="ListParagraph"/>
        <w:numPr>
          <w:ilvl w:val="0"/>
          <w:numId w:val="43"/>
        </w:numPr>
        <w:tabs>
          <w:tab w:val="left" w:pos="567"/>
        </w:tabs>
        <w:spacing w:line="480" w:lineRule="auto"/>
        <w:ind w:left="0" w:firstLine="0"/>
        <w:rPr>
          <w:rFonts w:ascii="Times New Roman" w:hAnsi="Times New Roman" w:cs="Times New Roman"/>
          <w:sz w:val="24"/>
          <w:szCs w:val="24"/>
        </w:rPr>
      </w:pPr>
      <w:r w:rsidRPr="004B1C55">
        <w:rPr>
          <w:rFonts w:ascii="Times New Roman" w:hAnsi="Times New Roman" w:cs="Times New Roman"/>
          <w:sz w:val="24"/>
          <w:szCs w:val="24"/>
        </w:rPr>
        <w:t>In submissions</w:t>
      </w:r>
      <w:r w:rsidR="00850489" w:rsidRPr="004B1C55">
        <w:rPr>
          <w:rFonts w:ascii="Times New Roman" w:hAnsi="Times New Roman" w:cs="Times New Roman"/>
          <w:sz w:val="24"/>
          <w:szCs w:val="24"/>
        </w:rPr>
        <w:t xml:space="preserve"> to the High Court</w:t>
      </w:r>
      <w:r w:rsidRPr="004B1C55">
        <w:rPr>
          <w:rFonts w:ascii="Times New Roman" w:hAnsi="Times New Roman" w:cs="Times New Roman"/>
          <w:sz w:val="24"/>
          <w:szCs w:val="24"/>
        </w:rPr>
        <w:t xml:space="preserve">, the appellant argued that </w:t>
      </w:r>
      <w:r w:rsidR="008A49C2" w:rsidRPr="004B1C55">
        <w:rPr>
          <w:rFonts w:ascii="Times New Roman" w:hAnsi="Times New Roman" w:cs="Times New Roman"/>
          <w:sz w:val="24"/>
          <w:szCs w:val="24"/>
        </w:rPr>
        <w:t xml:space="preserve">the Bankruptcy Act </w:t>
      </w:r>
      <w:r w:rsidR="000B36F7" w:rsidRPr="004B1C55">
        <w:rPr>
          <w:rFonts w:ascii="Times New Roman" w:hAnsi="Times New Roman" w:cs="Times New Roman"/>
          <w:sz w:val="24"/>
          <w:szCs w:val="24"/>
        </w:rPr>
        <w:t xml:space="preserve">1988 </w:t>
      </w:r>
      <w:r w:rsidR="00017412" w:rsidRPr="004B1C55">
        <w:rPr>
          <w:rFonts w:ascii="Times New Roman" w:hAnsi="Times New Roman" w:cs="Times New Roman"/>
          <w:sz w:val="24"/>
          <w:szCs w:val="24"/>
        </w:rPr>
        <w:t>(</w:t>
      </w:r>
      <w:r w:rsidR="008A49C2" w:rsidRPr="004B1C55">
        <w:rPr>
          <w:rFonts w:ascii="Times New Roman" w:hAnsi="Times New Roman" w:cs="Times New Roman"/>
          <w:sz w:val="24"/>
          <w:szCs w:val="24"/>
        </w:rPr>
        <w:t>as amended</w:t>
      </w:r>
      <w:r w:rsidR="00017412" w:rsidRPr="004B1C55">
        <w:rPr>
          <w:rFonts w:ascii="Times New Roman" w:hAnsi="Times New Roman" w:cs="Times New Roman"/>
          <w:sz w:val="24"/>
          <w:szCs w:val="24"/>
        </w:rPr>
        <w:t>),</w:t>
      </w:r>
      <w:r w:rsidR="008A49C2" w:rsidRPr="004B1C55">
        <w:rPr>
          <w:rFonts w:ascii="Times New Roman" w:hAnsi="Times New Roman" w:cs="Times New Roman"/>
          <w:sz w:val="24"/>
          <w:szCs w:val="24"/>
        </w:rPr>
        <w:t xml:space="preserve"> together with </w:t>
      </w:r>
      <w:r w:rsidRPr="004B1C55">
        <w:rPr>
          <w:rFonts w:ascii="Times New Roman" w:hAnsi="Times New Roman" w:cs="Times New Roman"/>
          <w:sz w:val="24"/>
          <w:szCs w:val="24"/>
        </w:rPr>
        <w:t xml:space="preserve">O. 76 of the Rules of the Superior Courts </w:t>
      </w:r>
      <w:r w:rsidR="008A49C2" w:rsidRPr="004B1C55">
        <w:rPr>
          <w:rFonts w:ascii="Times New Roman" w:hAnsi="Times New Roman" w:cs="Times New Roman"/>
          <w:sz w:val="24"/>
          <w:szCs w:val="24"/>
        </w:rPr>
        <w:t xml:space="preserve">constituted </w:t>
      </w:r>
      <w:r w:rsidRPr="004B1C55">
        <w:rPr>
          <w:rFonts w:ascii="Times New Roman" w:hAnsi="Times New Roman" w:cs="Times New Roman"/>
          <w:sz w:val="24"/>
          <w:szCs w:val="24"/>
        </w:rPr>
        <w:t xml:space="preserve">a discrete </w:t>
      </w:r>
      <w:r w:rsidR="008165BE" w:rsidRPr="004B1C55">
        <w:rPr>
          <w:rFonts w:ascii="Times New Roman" w:hAnsi="Times New Roman" w:cs="Times New Roman"/>
          <w:sz w:val="24"/>
          <w:szCs w:val="24"/>
        </w:rPr>
        <w:t>and self</w:t>
      </w:r>
      <w:r w:rsidR="00017412" w:rsidRPr="004B1C55">
        <w:rPr>
          <w:rFonts w:ascii="Times New Roman" w:hAnsi="Times New Roman" w:cs="Times New Roman"/>
          <w:sz w:val="24"/>
          <w:szCs w:val="24"/>
        </w:rPr>
        <w:t>-</w:t>
      </w:r>
      <w:r w:rsidR="008165BE" w:rsidRPr="004B1C55">
        <w:rPr>
          <w:rFonts w:ascii="Times New Roman" w:hAnsi="Times New Roman" w:cs="Times New Roman"/>
          <w:sz w:val="24"/>
          <w:szCs w:val="24"/>
        </w:rPr>
        <w:t xml:space="preserve">contained </w:t>
      </w:r>
      <w:r w:rsidRPr="004B1C55">
        <w:rPr>
          <w:rFonts w:ascii="Times New Roman" w:hAnsi="Times New Roman" w:cs="Times New Roman"/>
          <w:sz w:val="24"/>
          <w:szCs w:val="24"/>
        </w:rPr>
        <w:t xml:space="preserve">bankruptcy code.  Accordingly, </w:t>
      </w:r>
      <w:r w:rsidR="008165BE" w:rsidRPr="004B1C55">
        <w:rPr>
          <w:rFonts w:ascii="Times New Roman" w:hAnsi="Times New Roman" w:cs="Times New Roman"/>
          <w:sz w:val="24"/>
          <w:szCs w:val="24"/>
        </w:rPr>
        <w:t xml:space="preserve">it was contended, </w:t>
      </w:r>
      <w:r w:rsidRPr="004B1C55">
        <w:rPr>
          <w:rFonts w:ascii="Times New Roman" w:hAnsi="Times New Roman" w:cs="Times New Roman"/>
          <w:sz w:val="24"/>
          <w:szCs w:val="24"/>
        </w:rPr>
        <w:t xml:space="preserve">O. 17, r. 4 had no application to bankruptcy proceedings.  Secondly, he said that there must be strict adherence to the criteria </w:t>
      </w:r>
      <w:r w:rsidR="008165BE" w:rsidRPr="004B1C55">
        <w:rPr>
          <w:rFonts w:ascii="Times New Roman" w:hAnsi="Times New Roman" w:cs="Times New Roman"/>
          <w:sz w:val="24"/>
          <w:szCs w:val="24"/>
        </w:rPr>
        <w:t xml:space="preserve">laid down </w:t>
      </w:r>
      <w:r w:rsidRPr="004B1C55">
        <w:rPr>
          <w:rFonts w:ascii="Times New Roman" w:hAnsi="Times New Roman" w:cs="Times New Roman"/>
          <w:sz w:val="24"/>
          <w:szCs w:val="24"/>
        </w:rPr>
        <w:t xml:space="preserve">in the legislation in the enforcement of any bankruptcy summons.  </w:t>
      </w:r>
      <w:r w:rsidR="008A49C2" w:rsidRPr="004B1C55">
        <w:rPr>
          <w:rFonts w:ascii="Times New Roman" w:hAnsi="Times New Roman" w:cs="Times New Roman"/>
          <w:sz w:val="24"/>
          <w:szCs w:val="24"/>
        </w:rPr>
        <w:lastRenderedPageBreak/>
        <w:t>He asserted that i</w:t>
      </w:r>
      <w:r w:rsidRPr="004B1C55">
        <w:rPr>
          <w:rFonts w:ascii="Times New Roman" w:hAnsi="Times New Roman" w:cs="Times New Roman"/>
          <w:sz w:val="24"/>
          <w:szCs w:val="24"/>
        </w:rPr>
        <w:t xml:space="preserve">f the motion was granted, </w:t>
      </w:r>
      <w:proofErr w:type="spellStart"/>
      <w:r w:rsidRPr="004B1C55">
        <w:rPr>
          <w:rFonts w:ascii="Times New Roman" w:hAnsi="Times New Roman" w:cs="Times New Roman"/>
          <w:sz w:val="24"/>
          <w:szCs w:val="24"/>
        </w:rPr>
        <w:t>Everyday</w:t>
      </w:r>
      <w:proofErr w:type="spellEnd"/>
      <w:r w:rsidRPr="004B1C55">
        <w:rPr>
          <w:rFonts w:ascii="Times New Roman" w:hAnsi="Times New Roman" w:cs="Times New Roman"/>
          <w:sz w:val="24"/>
          <w:szCs w:val="24"/>
        </w:rPr>
        <w:t xml:space="preserve"> will not be obliged to issue and serve a bankruptcy summons and </w:t>
      </w:r>
      <w:r w:rsidR="008165BE" w:rsidRPr="004B1C55">
        <w:rPr>
          <w:rFonts w:ascii="Times New Roman" w:hAnsi="Times New Roman" w:cs="Times New Roman"/>
          <w:sz w:val="24"/>
          <w:szCs w:val="24"/>
        </w:rPr>
        <w:t xml:space="preserve">the appellant </w:t>
      </w:r>
      <w:r w:rsidRPr="004B1C55">
        <w:rPr>
          <w:rFonts w:ascii="Times New Roman" w:hAnsi="Times New Roman" w:cs="Times New Roman"/>
          <w:sz w:val="24"/>
          <w:szCs w:val="24"/>
        </w:rPr>
        <w:t xml:space="preserve">will have no opportunity to challenge </w:t>
      </w:r>
      <w:r w:rsidR="008165BE" w:rsidRPr="004B1C55">
        <w:rPr>
          <w:rFonts w:ascii="Times New Roman" w:hAnsi="Times New Roman" w:cs="Times New Roman"/>
          <w:sz w:val="24"/>
          <w:szCs w:val="24"/>
        </w:rPr>
        <w:t xml:space="preserve">such </w:t>
      </w:r>
      <w:r w:rsidRPr="004B1C55">
        <w:rPr>
          <w:rFonts w:ascii="Times New Roman" w:hAnsi="Times New Roman" w:cs="Times New Roman"/>
          <w:sz w:val="24"/>
          <w:szCs w:val="24"/>
        </w:rPr>
        <w:t>a summons</w:t>
      </w:r>
      <w:r w:rsidR="00DF719A" w:rsidRPr="004B1C55">
        <w:rPr>
          <w:rFonts w:ascii="Times New Roman" w:hAnsi="Times New Roman" w:cs="Times New Roman"/>
          <w:sz w:val="24"/>
          <w:szCs w:val="24"/>
        </w:rPr>
        <w:t xml:space="preserve"> on the basis that the judgment debt had not been validly transferred to it</w:t>
      </w:r>
      <w:r w:rsidRPr="004B1C55">
        <w:rPr>
          <w:rFonts w:ascii="Times New Roman" w:hAnsi="Times New Roman" w:cs="Times New Roman"/>
          <w:sz w:val="24"/>
          <w:szCs w:val="24"/>
        </w:rPr>
        <w:t xml:space="preserve">.  It was also argued that the granting of the order would deprive </w:t>
      </w:r>
      <w:r w:rsidR="008165BE" w:rsidRPr="004B1C55">
        <w:rPr>
          <w:rFonts w:ascii="Times New Roman" w:hAnsi="Times New Roman" w:cs="Times New Roman"/>
          <w:sz w:val="24"/>
          <w:szCs w:val="24"/>
        </w:rPr>
        <w:t>the appellant</w:t>
      </w:r>
      <w:r w:rsidRPr="004B1C55">
        <w:rPr>
          <w:rFonts w:ascii="Times New Roman" w:hAnsi="Times New Roman" w:cs="Times New Roman"/>
          <w:sz w:val="24"/>
          <w:szCs w:val="24"/>
        </w:rPr>
        <w:t xml:space="preserve"> of the opportunity of challenging the validity of the purported transfer at the hearing of the bankruptcy petition itself.  </w:t>
      </w:r>
    </w:p>
    <w:p w14:paraId="560F81CB" w14:textId="77777777" w:rsidR="008A7A3C" w:rsidRPr="004B1C55" w:rsidRDefault="00FF4D2A" w:rsidP="004B1C55">
      <w:pPr>
        <w:pStyle w:val="ListParagraph"/>
        <w:tabs>
          <w:tab w:val="left" w:pos="567"/>
        </w:tabs>
        <w:spacing w:line="480" w:lineRule="auto"/>
        <w:ind w:left="0"/>
        <w:rPr>
          <w:rFonts w:ascii="Times New Roman" w:hAnsi="Times New Roman" w:cs="Times New Roman"/>
          <w:b/>
          <w:sz w:val="24"/>
          <w:szCs w:val="24"/>
          <w:u w:val="single"/>
        </w:rPr>
      </w:pPr>
      <w:r w:rsidRPr="004B1C55">
        <w:rPr>
          <w:rFonts w:ascii="Times New Roman" w:hAnsi="Times New Roman" w:cs="Times New Roman"/>
          <w:b/>
          <w:sz w:val="24"/>
          <w:szCs w:val="24"/>
          <w:u w:val="single"/>
        </w:rPr>
        <w:t xml:space="preserve">The decision of the High Court </w:t>
      </w:r>
    </w:p>
    <w:p w14:paraId="2BF31B9E" w14:textId="06828F88" w:rsidR="008A7A3C" w:rsidRPr="004B1C55" w:rsidRDefault="00FF4D2A" w:rsidP="004B1C55">
      <w:pPr>
        <w:pStyle w:val="ListParagraph"/>
        <w:numPr>
          <w:ilvl w:val="0"/>
          <w:numId w:val="43"/>
        </w:numPr>
        <w:tabs>
          <w:tab w:val="left" w:pos="567"/>
        </w:tabs>
        <w:spacing w:line="480" w:lineRule="auto"/>
        <w:ind w:left="0" w:firstLine="0"/>
        <w:rPr>
          <w:rFonts w:ascii="Times New Roman" w:hAnsi="Times New Roman" w:cs="Times New Roman"/>
          <w:sz w:val="24"/>
          <w:szCs w:val="24"/>
        </w:rPr>
      </w:pPr>
      <w:r w:rsidRPr="004B1C55">
        <w:rPr>
          <w:rFonts w:ascii="Times New Roman" w:hAnsi="Times New Roman" w:cs="Times New Roman"/>
          <w:sz w:val="24"/>
          <w:szCs w:val="24"/>
        </w:rPr>
        <w:t xml:space="preserve">The trial judge first considered the argument that </w:t>
      </w:r>
      <w:proofErr w:type="spellStart"/>
      <w:r w:rsidRPr="004B1C55">
        <w:rPr>
          <w:rFonts w:ascii="Times New Roman" w:hAnsi="Times New Roman" w:cs="Times New Roman"/>
          <w:sz w:val="24"/>
          <w:szCs w:val="24"/>
        </w:rPr>
        <w:t>Everyday</w:t>
      </w:r>
      <w:proofErr w:type="spellEnd"/>
      <w:r w:rsidRPr="004B1C55">
        <w:rPr>
          <w:rFonts w:ascii="Times New Roman" w:hAnsi="Times New Roman" w:cs="Times New Roman"/>
          <w:sz w:val="24"/>
          <w:szCs w:val="24"/>
        </w:rPr>
        <w:t xml:space="preserve"> was obliged to issue its own bankruptcy summons and that </w:t>
      </w:r>
      <w:r w:rsidR="00744F98" w:rsidRPr="004B1C55">
        <w:rPr>
          <w:rFonts w:ascii="Times New Roman" w:hAnsi="Times New Roman" w:cs="Times New Roman"/>
          <w:sz w:val="24"/>
          <w:szCs w:val="24"/>
        </w:rPr>
        <w:t>it</w:t>
      </w:r>
      <w:r w:rsidRPr="004B1C55">
        <w:rPr>
          <w:rFonts w:ascii="Times New Roman" w:hAnsi="Times New Roman" w:cs="Times New Roman"/>
          <w:sz w:val="24"/>
          <w:szCs w:val="24"/>
        </w:rPr>
        <w:t xml:space="preserve"> could not proceed </w:t>
      </w:r>
      <w:r w:rsidR="008A49C2" w:rsidRPr="004B1C55">
        <w:rPr>
          <w:rFonts w:ascii="Times New Roman" w:hAnsi="Times New Roman" w:cs="Times New Roman"/>
          <w:sz w:val="24"/>
          <w:szCs w:val="24"/>
        </w:rPr>
        <w:t>on foot of</w:t>
      </w:r>
      <w:r w:rsidR="00FD4E97" w:rsidRPr="004B1C55">
        <w:rPr>
          <w:rFonts w:ascii="Times New Roman" w:hAnsi="Times New Roman" w:cs="Times New Roman"/>
          <w:sz w:val="24"/>
          <w:szCs w:val="24"/>
        </w:rPr>
        <w:t xml:space="preserve"> </w:t>
      </w:r>
      <w:r w:rsidRPr="004B1C55">
        <w:rPr>
          <w:rFonts w:ascii="Times New Roman" w:hAnsi="Times New Roman" w:cs="Times New Roman"/>
          <w:sz w:val="24"/>
          <w:szCs w:val="24"/>
        </w:rPr>
        <w:t xml:space="preserve">the summons which had been </w:t>
      </w:r>
      <w:r w:rsidR="00744F98" w:rsidRPr="004B1C55">
        <w:rPr>
          <w:rFonts w:ascii="Times New Roman" w:hAnsi="Times New Roman" w:cs="Times New Roman"/>
          <w:sz w:val="24"/>
          <w:szCs w:val="24"/>
        </w:rPr>
        <w:t>issued by</w:t>
      </w:r>
      <w:r w:rsidR="005F417A" w:rsidRPr="004B1C55">
        <w:rPr>
          <w:rFonts w:ascii="Times New Roman" w:hAnsi="Times New Roman" w:cs="Times New Roman"/>
          <w:sz w:val="24"/>
          <w:szCs w:val="24"/>
        </w:rPr>
        <w:t xml:space="preserve"> </w:t>
      </w:r>
      <w:r w:rsidRPr="004B1C55">
        <w:rPr>
          <w:rFonts w:ascii="Times New Roman" w:hAnsi="Times New Roman" w:cs="Times New Roman"/>
          <w:sz w:val="24"/>
          <w:szCs w:val="24"/>
        </w:rPr>
        <w:t xml:space="preserve">AIB.  At para. 18 of her judgment she said:- </w:t>
      </w:r>
    </w:p>
    <w:p w14:paraId="28775231" w14:textId="77777777" w:rsidR="0024187B" w:rsidRPr="004B1C55" w:rsidRDefault="0024187B" w:rsidP="004B1C55">
      <w:pPr>
        <w:pStyle w:val="ListParagraph"/>
        <w:tabs>
          <w:tab w:val="left" w:pos="567"/>
        </w:tabs>
        <w:spacing w:line="480" w:lineRule="auto"/>
        <w:ind w:left="567"/>
        <w:rPr>
          <w:rFonts w:ascii="Times New Roman" w:hAnsi="Times New Roman" w:cs="Times New Roman"/>
          <w:bCs/>
          <w:i/>
          <w:sz w:val="24"/>
          <w:szCs w:val="24"/>
        </w:rPr>
      </w:pPr>
      <w:r w:rsidRPr="004B1C55">
        <w:rPr>
          <w:rFonts w:ascii="Times New Roman" w:hAnsi="Times New Roman" w:cs="Times New Roman"/>
          <w:bCs/>
          <w:i/>
          <w:sz w:val="24"/>
          <w:szCs w:val="24"/>
        </w:rPr>
        <w:t>“18. The bankruptcy summons was properly issued and pursuant to its terms Mr. Flynn, upon a failure to discharge the debt, has committed an act of bankruptcy. If the court were to accept the suggestion(s) on the part of the respondent as to how the matter should now proceed, then in my view issues surrounding this bankruptcy summons and the act of bankruptcy committed by Mr. Flynn remain unresolved, in the face of a valid summons.”</w:t>
      </w:r>
    </w:p>
    <w:p w14:paraId="0498FAD2" w14:textId="0375E12E" w:rsidR="008A7A3C" w:rsidRPr="004B1C55" w:rsidRDefault="00815318" w:rsidP="004B1C55">
      <w:pPr>
        <w:pStyle w:val="ListParagraph"/>
        <w:numPr>
          <w:ilvl w:val="0"/>
          <w:numId w:val="43"/>
        </w:numPr>
        <w:tabs>
          <w:tab w:val="left" w:pos="567"/>
        </w:tabs>
        <w:spacing w:line="480" w:lineRule="auto"/>
        <w:ind w:left="0" w:firstLine="0"/>
        <w:rPr>
          <w:rFonts w:ascii="Times New Roman" w:hAnsi="Times New Roman" w:cs="Times New Roman"/>
          <w:sz w:val="24"/>
          <w:szCs w:val="24"/>
        </w:rPr>
      </w:pPr>
      <w:r w:rsidRPr="004B1C55">
        <w:rPr>
          <w:rFonts w:ascii="Times New Roman" w:hAnsi="Times New Roman" w:cs="Times New Roman"/>
          <w:sz w:val="24"/>
          <w:szCs w:val="24"/>
        </w:rPr>
        <w:t>Thus</w:t>
      </w:r>
      <w:r w:rsidR="007700E6" w:rsidRPr="004B1C55">
        <w:rPr>
          <w:rFonts w:ascii="Times New Roman" w:hAnsi="Times New Roman" w:cs="Times New Roman"/>
          <w:sz w:val="24"/>
          <w:szCs w:val="24"/>
        </w:rPr>
        <w:t>,</w:t>
      </w:r>
      <w:r w:rsidRPr="004B1C55">
        <w:rPr>
          <w:rFonts w:ascii="Times New Roman" w:hAnsi="Times New Roman" w:cs="Times New Roman"/>
          <w:sz w:val="24"/>
          <w:szCs w:val="24"/>
        </w:rPr>
        <w:t xml:space="preserve"> </w:t>
      </w:r>
      <w:r w:rsidR="00744F98" w:rsidRPr="004B1C55">
        <w:rPr>
          <w:rFonts w:ascii="Times New Roman" w:hAnsi="Times New Roman" w:cs="Times New Roman"/>
          <w:sz w:val="24"/>
          <w:szCs w:val="24"/>
        </w:rPr>
        <w:t xml:space="preserve">the </w:t>
      </w:r>
      <w:r w:rsidR="005F417A" w:rsidRPr="004B1C55">
        <w:rPr>
          <w:rFonts w:ascii="Times New Roman" w:hAnsi="Times New Roman" w:cs="Times New Roman"/>
          <w:sz w:val="24"/>
          <w:szCs w:val="24"/>
        </w:rPr>
        <w:t xml:space="preserve">trial </w:t>
      </w:r>
      <w:r w:rsidR="00744F98" w:rsidRPr="004B1C55">
        <w:rPr>
          <w:rFonts w:ascii="Times New Roman" w:hAnsi="Times New Roman" w:cs="Times New Roman"/>
          <w:sz w:val="24"/>
          <w:szCs w:val="24"/>
        </w:rPr>
        <w:t>judge</w:t>
      </w:r>
      <w:r w:rsidRPr="004B1C55">
        <w:rPr>
          <w:rFonts w:ascii="Times New Roman" w:hAnsi="Times New Roman" w:cs="Times New Roman"/>
          <w:sz w:val="24"/>
          <w:szCs w:val="24"/>
        </w:rPr>
        <w:t xml:space="preserve"> was not satisfied that the appellant was entitled to require an assignee of a debt to issue its own bankruptcy summons in order to establish that an act of bankruptcy had occurred and, in order that the debtor could challenge the assignee’s bankruptcy summons.  </w:t>
      </w:r>
    </w:p>
    <w:p w14:paraId="7BDAF5AB" w14:textId="59C918BD" w:rsidR="00815318" w:rsidRPr="004B1C55" w:rsidRDefault="00815318" w:rsidP="004B1C55">
      <w:pPr>
        <w:pStyle w:val="ListParagraph"/>
        <w:numPr>
          <w:ilvl w:val="0"/>
          <w:numId w:val="43"/>
        </w:numPr>
        <w:tabs>
          <w:tab w:val="left" w:pos="567"/>
        </w:tabs>
        <w:spacing w:line="480" w:lineRule="auto"/>
        <w:ind w:left="0" w:firstLine="0"/>
        <w:rPr>
          <w:rFonts w:ascii="Times New Roman" w:hAnsi="Times New Roman" w:cs="Times New Roman"/>
          <w:sz w:val="24"/>
          <w:szCs w:val="24"/>
        </w:rPr>
      </w:pPr>
      <w:r w:rsidRPr="004B1C55">
        <w:rPr>
          <w:rFonts w:ascii="Times New Roman" w:hAnsi="Times New Roman" w:cs="Times New Roman"/>
          <w:sz w:val="24"/>
          <w:szCs w:val="24"/>
        </w:rPr>
        <w:t xml:space="preserve">At para. 19 she said:- </w:t>
      </w:r>
    </w:p>
    <w:p w14:paraId="1A0FA7D8" w14:textId="77777777" w:rsidR="00815318" w:rsidRPr="004B1C55" w:rsidRDefault="00815318" w:rsidP="004B1C55">
      <w:pPr>
        <w:pStyle w:val="ListParagraph"/>
        <w:tabs>
          <w:tab w:val="left" w:pos="567"/>
        </w:tabs>
        <w:spacing w:line="480" w:lineRule="auto"/>
        <w:ind w:left="567"/>
        <w:rPr>
          <w:rFonts w:ascii="Times New Roman" w:hAnsi="Times New Roman" w:cs="Times New Roman"/>
          <w:i/>
          <w:sz w:val="24"/>
          <w:szCs w:val="24"/>
        </w:rPr>
      </w:pPr>
      <w:r w:rsidRPr="004B1C55">
        <w:rPr>
          <w:rFonts w:ascii="Times New Roman" w:hAnsi="Times New Roman" w:cs="Times New Roman"/>
          <w:i/>
          <w:sz w:val="24"/>
          <w:szCs w:val="24"/>
        </w:rPr>
        <w:t xml:space="preserve">“I am also far from satisfied that the issues raised on behalf of the respondent debtor are not open to him in respect of any petition for the adjudication of Mr. Flynn as a bankrupt.  The express criteria within s. 11 of the Bankruptcy Act, 1988 (as amended) </w:t>
      </w:r>
      <w:r w:rsidRPr="004B1C55">
        <w:rPr>
          <w:rFonts w:ascii="Times New Roman" w:hAnsi="Times New Roman" w:cs="Times New Roman"/>
          <w:i/>
          <w:sz w:val="24"/>
          <w:szCs w:val="24"/>
        </w:rPr>
        <w:lastRenderedPageBreak/>
        <w:t>must still be satisfied as well as the remaining criteria for any adjudication in bankruptcy.”</w:t>
      </w:r>
    </w:p>
    <w:p w14:paraId="65A6D3B9" w14:textId="76FEA8B7" w:rsidR="00815318" w:rsidRPr="004B1C55" w:rsidRDefault="00815318" w:rsidP="004B1C55">
      <w:pPr>
        <w:tabs>
          <w:tab w:val="left" w:pos="567"/>
        </w:tabs>
        <w:spacing w:line="480" w:lineRule="auto"/>
        <w:jc w:val="both"/>
      </w:pPr>
      <w:r w:rsidRPr="004B1C55">
        <w:t xml:space="preserve">She continued </w:t>
      </w:r>
      <w:r w:rsidRPr="004B1C55">
        <w:rPr>
          <w:i/>
        </w:rPr>
        <w:t xml:space="preserve">“much turns upon the </w:t>
      </w:r>
      <w:r w:rsidR="005F417A" w:rsidRPr="004B1C55">
        <w:rPr>
          <w:i/>
        </w:rPr>
        <w:t>D</w:t>
      </w:r>
      <w:r w:rsidRPr="004B1C55">
        <w:rPr>
          <w:i/>
        </w:rPr>
        <w:t xml:space="preserve">eed of </w:t>
      </w:r>
      <w:r w:rsidR="005F417A" w:rsidRPr="004B1C55">
        <w:rPr>
          <w:i/>
        </w:rPr>
        <w:t>T</w:t>
      </w:r>
      <w:r w:rsidRPr="004B1C55">
        <w:rPr>
          <w:i/>
        </w:rPr>
        <w:t>ransfer from AIB to Everyday”</w:t>
      </w:r>
      <w:r w:rsidRPr="004B1C55">
        <w:t xml:space="preserve">.  </w:t>
      </w:r>
    </w:p>
    <w:p w14:paraId="4C153A45" w14:textId="403CF64E" w:rsidR="008A7A3C" w:rsidRPr="004B1C55" w:rsidRDefault="00D62C8C" w:rsidP="004B1C55">
      <w:pPr>
        <w:pStyle w:val="ListParagraph"/>
        <w:numPr>
          <w:ilvl w:val="0"/>
          <w:numId w:val="43"/>
        </w:numPr>
        <w:tabs>
          <w:tab w:val="left" w:pos="567"/>
        </w:tabs>
        <w:spacing w:line="480" w:lineRule="auto"/>
        <w:ind w:left="0" w:firstLine="0"/>
        <w:rPr>
          <w:rFonts w:ascii="Times New Roman" w:hAnsi="Times New Roman" w:cs="Times New Roman"/>
          <w:sz w:val="24"/>
          <w:szCs w:val="24"/>
        </w:rPr>
      </w:pPr>
      <w:r w:rsidRPr="004B1C55">
        <w:rPr>
          <w:rFonts w:ascii="Times New Roman" w:hAnsi="Times New Roman" w:cs="Times New Roman"/>
          <w:sz w:val="24"/>
          <w:szCs w:val="24"/>
        </w:rPr>
        <w:t>At paras</w:t>
      </w:r>
      <w:r w:rsidR="005F417A" w:rsidRPr="004B1C55">
        <w:rPr>
          <w:rFonts w:ascii="Times New Roman" w:hAnsi="Times New Roman" w:cs="Times New Roman"/>
          <w:sz w:val="24"/>
          <w:szCs w:val="24"/>
        </w:rPr>
        <w:t>.</w:t>
      </w:r>
      <w:r w:rsidRPr="004B1C55">
        <w:rPr>
          <w:rFonts w:ascii="Times New Roman" w:hAnsi="Times New Roman" w:cs="Times New Roman"/>
          <w:sz w:val="24"/>
          <w:szCs w:val="24"/>
        </w:rPr>
        <w:t xml:space="preserve"> 22 and 23 she held</w:t>
      </w:r>
      <w:r w:rsidR="005F417A" w:rsidRPr="004B1C55">
        <w:rPr>
          <w:rFonts w:ascii="Times New Roman" w:hAnsi="Times New Roman" w:cs="Times New Roman"/>
          <w:sz w:val="24"/>
          <w:szCs w:val="24"/>
        </w:rPr>
        <w:t>:-</w:t>
      </w:r>
      <w:r w:rsidRPr="004B1C55">
        <w:rPr>
          <w:rFonts w:ascii="Times New Roman" w:hAnsi="Times New Roman" w:cs="Times New Roman"/>
          <w:sz w:val="24"/>
          <w:szCs w:val="24"/>
        </w:rPr>
        <w:t xml:space="preserve">  </w:t>
      </w:r>
    </w:p>
    <w:p w14:paraId="65694FA4" w14:textId="77777777" w:rsidR="0024187B" w:rsidRPr="004B1C55" w:rsidRDefault="0024187B" w:rsidP="004B1C55">
      <w:pPr>
        <w:pStyle w:val="ListParagraph"/>
        <w:tabs>
          <w:tab w:val="left" w:pos="567"/>
        </w:tabs>
        <w:spacing w:line="480" w:lineRule="auto"/>
        <w:ind w:left="567"/>
        <w:rPr>
          <w:rFonts w:ascii="Times New Roman" w:hAnsi="Times New Roman" w:cs="Times New Roman"/>
          <w:bCs/>
          <w:i/>
          <w:sz w:val="24"/>
          <w:szCs w:val="24"/>
        </w:rPr>
      </w:pPr>
      <w:r w:rsidRPr="004B1C55">
        <w:rPr>
          <w:rFonts w:ascii="Times New Roman" w:hAnsi="Times New Roman" w:cs="Times New Roman"/>
          <w:bCs/>
          <w:i/>
          <w:sz w:val="24"/>
          <w:szCs w:val="24"/>
        </w:rPr>
        <w:t>“22. I am satisfied that the transfer itself is valid and its effect clear pursuant to its terms; the interests clearly stated and delineated above are, from 2</w:t>
      </w:r>
      <w:r w:rsidRPr="004B1C55">
        <w:rPr>
          <w:rFonts w:ascii="Times New Roman" w:hAnsi="Times New Roman" w:cs="Times New Roman"/>
          <w:bCs/>
          <w:i/>
          <w:sz w:val="24"/>
          <w:szCs w:val="24"/>
          <w:vertAlign w:val="superscript"/>
        </w:rPr>
        <w:t>nd</w:t>
      </w:r>
      <w:r w:rsidRPr="004B1C55">
        <w:rPr>
          <w:rFonts w:ascii="Times New Roman" w:hAnsi="Times New Roman" w:cs="Times New Roman"/>
          <w:bCs/>
          <w:i/>
          <w:sz w:val="24"/>
          <w:szCs w:val="24"/>
        </w:rPr>
        <w:t xml:space="preserve"> August 2018, transferred to Everyday. The only outstanding issue, in my view, is to determine whether that transfer includes the interests of Mr. Flynn.</w:t>
      </w:r>
    </w:p>
    <w:p w14:paraId="142139F8" w14:textId="77777777" w:rsidR="0024187B" w:rsidRPr="004B1C55" w:rsidRDefault="0024187B" w:rsidP="004B1C55">
      <w:pPr>
        <w:pStyle w:val="ListParagraph"/>
        <w:tabs>
          <w:tab w:val="left" w:pos="567"/>
        </w:tabs>
        <w:spacing w:line="480" w:lineRule="auto"/>
        <w:ind w:left="567"/>
        <w:rPr>
          <w:rFonts w:ascii="Times New Roman" w:hAnsi="Times New Roman" w:cs="Times New Roman"/>
          <w:bCs/>
          <w:i/>
          <w:sz w:val="24"/>
          <w:szCs w:val="24"/>
        </w:rPr>
      </w:pPr>
      <w:r w:rsidRPr="004B1C55">
        <w:rPr>
          <w:rFonts w:ascii="Times New Roman" w:hAnsi="Times New Roman" w:cs="Times New Roman"/>
          <w:bCs/>
          <w:i/>
          <w:sz w:val="24"/>
          <w:szCs w:val="24"/>
        </w:rPr>
        <w:t>23. If this court holds that there has been a valid assignment of Mr. Flynn’s interest, then as AIB’s interest has been transferred to another entity (in this case, Everyday), and I am satisfied that it has been so transferred, then Everyday becomes the petitioning creditor. Self-evidently, consequent upon the assignment of all its interests AIB have no further interest in the debt or any other interest in the monies. These interests have collectively been assigned pursuant to the terms of the deed of transfer.”</w:t>
      </w:r>
    </w:p>
    <w:p w14:paraId="59B9AE71" w14:textId="65846D33" w:rsidR="008A7A3C" w:rsidRPr="004B1C55" w:rsidRDefault="00877C65" w:rsidP="004B1C55">
      <w:pPr>
        <w:pStyle w:val="ListParagraph"/>
        <w:numPr>
          <w:ilvl w:val="0"/>
          <w:numId w:val="43"/>
        </w:numPr>
        <w:tabs>
          <w:tab w:val="left" w:pos="567"/>
        </w:tabs>
        <w:spacing w:line="480" w:lineRule="auto"/>
        <w:ind w:left="0" w:firstLine="0"/>
        <w:rPr>
          <w:rFonts w:ascii="Times New Roman" w:hAnsi="Times New Roman" w:cs="Times New Roman"/>
          <w:sz w:val="24"/>
          <w:szCs w:val="24"/>
        </w:rPr>
      </w:pPr>
      <w:r w:rsidRPr="004B1C55">
        <w:rPr>
          <w:rFonts w:ascii="Times New Roman" w:hAnsi="Times New Roman" w:cs="Times New Roman"/>
          <w:sz w:val="24"/>
          <w:szCs w:val="24"/>
        </w:rPr>
        <w:t xml:space="preserve">Relying upon the test in </w:t>
      </w:r>
      <w:r w:rsidRPr="004B1C55">
        <w:rPr>
          <w:rFonts w:ascii="Times New Roman" w:hAnsi="Times New Roman" w:cs="Times New Roman"/>
          <w:i/>
          <w:sz w:val="24"/>
          <w:szCs w:val="24"/>
        </w:rPr>
        <w:t>IBRC v</w:t>
      </w:r>
      <w:r w:rsidR="005F417A" w:rsidRPr="004B1C55">
        <w:rPr>
          <w:rFonts w:ascii="Times New Roman" w:hAnsi="Times New Roman" w:cs="Times New Roman"/>
          <w:i/>
          <w:sz w:val="24"/>
          <w:szCs w:val="24"/>
        </w:rPr>
        <w:t>.</w:t>
      </w:r>
      <w:r w:rsidRPr="004B1C55">
        <w:rPr>
          <w:rFonts w:ascii="Times New Roman" w:hAnsi="Times New Roman" w:cs="Times New Roman"/>
          <w:i/>
          <w:sz w:val="24"/>
          <w:szCs w:val="24"/>
        </w:rPr>
        <w:t xml:space="preserve"> Morrissey </w:t>
      </w:r>
      <w:r w:rsidRPr="004B1C55">
        <w:rPr>
          <w:rFonts w:ascii="Times New Roman" w:hAnsi="Times New Roman" w:cs="Times New Roman"/>
          <w:sz w:val="24"/>
          <w:szCs w:val="24"/>
        </w:rPr>
        <w:t>[2014] IEHC 527</w:t>
      </w:r>
      <w:r w:rsidR="005F417A" w:rsidRPr="004B1C55">
        <w:rPr>
          <w:rFonts w:ascii="Times New Roman" w:hAnsi="Times New Roman" w:cs="Times New Roman"/>
          <w:sz w:val="24"/>
          <w:szCs w:val="24"/>
        </w:rPr>
        <w:t>, [2014] 2 I.R. 399</w:t>
      </w:r>
      <w:r w:rsidRPr="004B1C55">
        <w:rPr>
          <w:rFonts w:ascii="Times New Roman" w:hAnsi="Times New Roman" w:cs="Times New Roman"/>
          <w:sz w:val="24"/>
          <w:szCs w:val="24"/>
        </w:rPr>
        <w:t xml:space="preserve"> she held that she was satisfied that there was sufficient </w:t>
      </w:r>
      <w:r w:rsidRPr="004B1C55">
        <w:rPr>
          <w:rFonts w:ascii="Times New Roman" w:hAnsi="Times New Roman" w:cs="Times New Roman"/>
          <w:i/>
          <w:sz w:val="24"/>
          <w:szCs w:val="24"/>
        </w:rPr>
        <w:t>prima facie</w:t>
      </w:r>
      <w:r w:rsidRPr="004B1C55">
        <w:rPr>
          <w:rFonts w:ascii="Times New Roman" w:hAnsi="Times New Roman" w:cs="Times New Roman"/>
          <w:sz w:val="24"/>
          <w:szCs w:val="24"/>
        </w:rPr>
        <w:t xml:space="preserve"> evidence of the transfer of the interests of AIB of the indebtedness of the appellant, which is the subject of the bankruptcy summons in the proceedings, to Everyday.  Based upon the decision of </w:t>
      </w:r>
      <w:r w:rsidR="008A49C2" w:rsidRPr="004B1C55">
        <w:rPr>
          <w:rFonts w:ascii="Times New Roman" w:hAnsi="Times New Roman" w:cs="Times New Roman"/>
          <w:sz w:val="24"/>
          <w:szCs w:val="24"/>
        </w:rPr>
        <w:t xml:space="preserve">this court </w:t>
      </w:r>
      <w:r w:rsidRPr="004B1C55">
        <w:rPr>
          <w:rFonts w:ascii="Times New Roman" w:hAnsi="Times New Roman" w:cs="Times New Roman"/>
          <w:sz w:val="24"/>
          <w:szCs w:val="24"/>
        </w:rPr>
        <w:t xml:space="preserve">in </w:t>
      </w:r>
      <w:r w:rsidRPr="004B1C55">
        <w:rPr>
          <w:rFonts w:ascii="Times New Roman" w:hAnsi="Times New Roman" w:cs="Times New Roman"/>
          <w:i/>
          <w:sz w:val="24"/>
          <w:szCs w:val="24"/>
        </w:rPr>
        <w:t>Stapleford Finance Limited (as substituted) v</w:t>
      </w:r>
      <w:r w:rsidR="005F417A" w:rsidRPr="004B1C55">
        <w:rPr>
          <w:rFonts w:ascii="Times New Roman" w:hAnsi="Times New Roman" w:cs="Times New Roman"/>
          <w:i/>
          <w:sz w:val="24"/>
          <w:szCs w:val="24"/>
        </w:rPr>
        <w:t>.</w:t>
      </w:r>
      <w:r w:rsidRPr="004B1C55">
        <w:rPr>
          <w:rFonts w:ascii="Times New Roman" w:hAnsi="Times New Roman" w:cs="Times New Roman"/>
          <w:i/>
          <w:sz w:val="24"/>
          <w:szCs w:val="24"/>
        </w:rPr>
        <w:t xml:space="preserve"> Lavelle &amp; Anor</w:t>
      </w:r>
      <w:r w:rsidRPr="004B1C55">
        <w:rPr>
          <w:rFonts w:ascii="Times New Roman" w:hAnsi="Times New Roman" w:cs="Times New Roman"/>
          <w:sz w:val="24"/>
          <w:szCs w:val="24"/>
        </w:rPr>
        <w:t xml:space="preserve"> [2016] IECA 104</w:t>
      </w:r>
      <w:r w:rsidR="005F417A" w:rsidRPr="004B1C55">
        <w:rPr>
          <w:rFonts w:ascii="Times New Roman" w:hAnsi="Times New Roman" w:cs="Times New Roman"/>
          <w:sz w:val="24"/>
          <w:szCs w:val="24"/>
        </w:rPr>
        <w:t>,</w:t>
      </w:r>
      <w:r w:rsidRPr="004B1C55">
        <w:rPr>
          <w:rFonts w:ascii="Times New Roman" w:hAnsi="Times New Roman" w:cs="Times New Roman"/>
          <w:sz w:val="24"/>
          <w:szCs w:val="24"/>
        </w:rPr>
        <w:t xml:space="preserve"> she held that there had been a transfer of interest and that Everyday can be substituted and maintain these proceedings as the petitioning creditor.  </w:t>
      </w:r>
    </w:p>
    <w:p w14:paraId="43660C9A" w14:textId="77777777" w:rsidR="00877C65" w:rsidRPr="004B1C55" w:rsidRDefault="00877C65" w:rsidP="004B1C55">
      <w:pPr>
        <w:pStyle w:val="ListParagraph"/>
        <w:tabs>
          <w:tab w:val="left" w:pos="567"/>
        </w:tabs>
        <w:spacing w:line="480" w:lineRule="auto"/>
        <w:ind w:left="0"/>
        <w:rPr>
          <w:rFonts w:ascii="Times New Roman" w:hAnsi="Times New Roman" w:cs="Times New Roman"/>
          <w:b/>
          <w:sz w:val="24"/>
          <w:szCs w:val="24"/>
          <w:u w:val="single"/>
        </w:rPr>
      </w:pPr>
      <w:r w:rsidRPr="004B1C55">
        <w:rPr>
          <w:rFonts w:ascii="Times New Roman" w:hAnsi="Times New Roman" w:cs="Times New Roman"/>
          <w:b/>
          <w:sz w:val="24"/>
          <w:szCs w:val="24"/>
          <w:u w:val="single"/>
        </w:rPr>
        <w:t xml:space="preserve">The appeal </w:t>
      </w:r>
    </w:p>
    <w:p w14:paraId="3CFE4AD5" w14:textId="04FD6749" w:rsidR="006010AC" w:rsidRPr="004B1C55" w:rsidRDefault="00877C65" w:rsidP="004B1C55">
      <w:pPr>
        <w:pStyle w:val="ListParagraph"/>
        <w:numPr>
          <w:ilvl w:val="0"/>
          <w:numId w:val="43"/>
        </w:numPr>
        <w:tabs>
          <w:tab w:val="left" w:pos="567"/>
        </w:tabs>
        <w:spacing w:line="480" w:lineRule="auto"/>
        <w:ind w:left="0" w:firstLine="0"/>
        <w:rPr>
          <w:rFonts w:ascii="Times New Roman" w:hAnsi="Times New Roman" w:cs="Times New Roman"/>
          <w:sz w:val="24"/>
          <w:szCs w:val="24"/>
        </w:rPr>
      </w:pPr>
      <w:r w:rsidRPr="004B1C55">
        <w:rPr>
          <w:rFonts w:ascii="Times New Roman" w:hAnsi="Times New Roman" w:cs="Times New Roman"/>
          <w:sz w:val="24"/>
          <w:szCs w:val="24"/>
        </w:rPr>
        <w:t>The notice of appeal filed by the appellant sets out nine grounds</w:t>
      </w:r>
      <w:r w:rsidR="00102332" w:rsidRPr="004B1C55">
        <w:rPr>
          <w:rFonts w:ascii="Times New Roman" w:hAnsi="Times New Roman" w:cs="Times New Roman"/>
          <w:sz w:val="24"/>
          <w:szCs w:val="24"/>
        </w:rPr>
        <w:t xml:space="preserve"> where he</w:t>
      </w:r>
      <w:r w:rsidR="003A5329">
        <w:rPr>
          <w:rFonts w:ascii="Times New Roman" w:hAnsi="Times New Roman" w:cs="Times New Roman"/>
          <w:sz w:val="24"/>
          <w:szCs w:val="24"/>
        </w:rPr>
        <w:t xml:space="preserve"> contends</w:t>
      </w:r>
      <w:r w:rsidR="00E324F3">
        <w:rPr>
          <w:rFonts w:ascii="Times New Roman" w:hAnsi="Times New Roman" w:cs="Times New Roman"/>
          <w:sz w:val="24"/>
          <w:szCs w:val="24"/>
        </w:rPr>
        <w:t xml:space="preserve"> </w:t>
      </w:r>
      <w:r w:rsidR="00102332" w:rsidRPr="004B1C55">
        <w:rPr>
          <w:rFonts w:ascii="Times New Roman" w:hAnsi="Times New Roman" w:cs="Times New Roman"/>
          <w:sz w:val="24"/>
          <w:szCs w:val="24"/>
        </w:rPr>
        <w:t>the trial judge erred:-</w:t>
      </w:r>
      <w:r w:rsidRPr="004B1C55">
        <w:rPr>
          <w:rFonts w:ascii="Times New Roman" w:hAnsi="Times New Roman" w:cs="Times New Roman"/>
          <w:sz w:val="24"/>
          <w:szCs w:val="24"/>
        </w:rPr>
        <w:t xml:space="preserve"> </w:t>
      </w:r>
    </w:p>
    <w:p w14:paraId="0289B3E3" w14:textId="2F06C1CB" w:rsidR="006010AC" w:rsidRPr="004B1C55" w:rsidRDefault="006010AC" w:rsidP="004B1C55">
      <w:pPr>
        <w:pStyle w:val="ListParagraph"/>
        <w:tabs>
          <w:tab w:val="left" w:pos="567"/>
        </w:tabs>
        <w:spacing w:line="480" w:lineRule="auto"/>
        <w:rPr>
          <w:rFonts w:ascii="Times New Roman" w:hAnsi="Times New Roman" w:cs="Times New Roman"/>
          <w:sz w:val="24"/>
          <w:szCs w:val="24"/>
        </w:rPr>
      </w:pPr>
      <w:r w:rsidRPr="004B1C55">
        <w:rPr>
          <w:rFonts w:ascii="Times New Roman" w:hAnsi="Times New Roman" w:cs="Times New Roman"/>
          <w:sz w:val="24"/>
          <w:szCs w:val="24"/>
        </w:rPr>
        <w:lastRenderedPageBreak/>
        <w:t>(a)</w:t>
      </w:r>
      <w:r w:rsidRPr="004B1C55">
        <w:rPr>
          <w:rFonts w:ascii="Times New Roman" w:hAnsi="Times New Roman" w:cs="Times New Roman"/>
          <w:sz w:val="24"/>
          <w:szCs w:val="24"/>
        </w:rPr>
        <w:tab/>
      </w:r>
      <w:r w:rsidR="00102332" w:rsidRPr="004B1C55">
        <w:rPr>
          <w:rFonts w:ascii="Times New Roman" w:hAnsi="Times New Roman" w:cs="Times New Roman"/>
          <w:sz w:val="24"/>
          <w:szCs w:val="24"/>
        </w:rPr>
        <w:t>In p</w:t>
      </w:r>
      <w:r w:rsidRPr="004B1C55">
        <w:rPr>
          <w:rFonts w:ascii="Times New Roman" w:hAnsi="Times New Roman" w:cs="Times New Roman"/>
          <w:sz w:val="24"/>
          <w:szCs w:val="24"/>
        </w:rPr>
        <w:t>ermitting O</w:t>
      </w:r>
      <w:r w:rsidR="00102332" w:rsidRPr="004B1C55">
        <w:rPr>
          <w:rFonts w:ascii="Times New Roman" w:hAnsi="Times New Roman" w:cs="Times New Roman"/>
          <w:sz w:val="24"/>
          <w:szCs w:val="24"/>
        </w:rPr>
        <w:t>.</w:t>
      </w:r>
      <w:r w:rsidRPr="004B1C55">
        <w:rPr>
          <w:rFonts w:ascii="Times New Roman" w:hAnsi="Times New Roman" w:cs="Times New Roman"/>
          <w:sz w:val="24"/>
          <w:szCs w:val="24"/>
        </w:rPr>
        <w:t xml:space="preserve"> 17, </w:t>
      </w:r>
      <w:r w:rsidR="00102332" w:rsidRPr="004B1C55">
        <w:rPr>
          <w:rFonts w:ascii="Times New Roman" w:hAnsi="Times New Roman" w:cs="Times New Roman"/>
          <w:sz w:val="24"/>
          <w:szCs w:val="24"/>
        </w:rPr>
        <w:t>r.</w:t>
      </w:r>
      <w:r w:rsidRPr="004B1C55">
        <w:rPr>
          <w:rFonts w:ascii="Times New Roman" w:hAnsi="Times New Roman" w:cs="Times New Roman"/>
          <w:sz w:val="24"/>
          <w:szCs w:val="24"/>
        </w:rPr>
        <w:t xml:space="preserve"> 4 of the Rules of the Superior Court</w:t>
      </w:r>
      <w:r w:rsidR="00E11C31" w:rsidRPr="004B1C55">
        <w:rPr>
          <w:rFonts w:ascii="Times New Roman" w:hAnsi="Times New Roman" w:cs="Times New Roman"/>
          <w:sz w:val="24"/>
          <w:szCs w:val="24"/>
        </w:rPr>
        <w:t>s</w:t>
      </w:r>
      <w:r w:rsidRPr="004B1C55">
        <w:rPr>
          <w:rFonts w:ascii="Times New Roman" w:hAnsi="Times New Roman" w:cs="Times New Roman"/>
          <w:sz w:val="24"/>
          <w:szCs w:val="24"/>
        </w:rPr>
        <w:t xml:space="preserve"> to be used as a mechanism to substitute a petitioner in a bankruptcy application. </w:t>
      </w:r>
    </w:p>
    <w:p w14:paraId="77C6AB28" w14:textId="31455746" w:rsidR="006010AC" w:rsidRPr="004B1C55" w:rsidRDefault="006010AC" w:rsidP="004B1C55">
      <w:pPr>
        <w:pStyle w:val="ListParagraph"/>
        <w:tabs>
          <w:tab w:val="left" w:pos="567"/>
        </w:tabs>
        <w:spacing w:line="480" w:lineRule="auto"/>
        <w:rPr>
          <w:rFonts w:ascii="Times New Roman" w:hAnsi="Times New Roman" w:cs="Times New Roman"/>
          <w:sz w:val="24"/>
          <w:szCs w:val="24"/>
        </w:rPr>
      </w:pPr>
      <w:r w:rsidRPr="004B1C55">
        <w:rPr>
          <w:rFonts w:ascii="Times New Roman" w:hAnsi="Times New Roman" w:cs="Times New Roman"/>
          <w:sz w:val="24"/>
          <w:szCs w:val="24"/>
        </w:rPr>
        <w:t>(b)</w:t>
      </w:r>
      <w:r w:rsidRPr="004B1C55">
        <w:rPr>
          <w:rFonts w:ascii="Times New Roman" w:hAnsi="Times New Roman" w:cs="Times New Roman"/>
          <w:sz w:val="24"/>
          <w:szCs w:val="24"/>
        </w:rPr>
        <w:tab/>
        <w:t xml:space="preserve">In investigating the merits of the application rather than refusing it where an issue arose for trial and in thereby permitting Everyday Finance DAC to circumvent the “an issue would arise for trial” standard as set out in s. 8(6)(b) of the Bankruptcy Act 1988. </w:t>
      </w:r>
    </w:p>
    <w:p w14:paraId="1BA1175F" w14:textId="4C31D9B1" w:rsidR="006010AC" w:rsidRPr="004B1C55" w:rsidRDefault="006010AC" w:rsidP="004B1C55">
      <w:pPr>
        <w:pStyle w:val="ListParagraph"/>
        <w:tabs>
          <w:tab w:val="left" w:pos="567"/>
        </w:tabs>
        <w:spacing w:line="480" w:lineRule="auto"/>
        <w:rPr>
          <w:rFonts w:ascii="Times New Roman" w:hAnsi="Times New Roman" w:cs="Times New Roman"/>
          <w:sz w:val="24"/>
          <w:szCs w:val="24"/>
        </w:rPr>
      </w:pPr>
      <w:r w:rsidRPr="004B1C55">
        <w:rPr>
          <w:rFonts w:ascii="Times New Roman" w:hAnsi="Times New Roman" w:cs="Times New Roman"/>
          <w:sz w:val="24"/>
          <w:szCs w:val="24"/>
        </w:rPr>
        <w:t>(c)</w:t>
      </w:r>
      <w:r w:rsidRPr="004B1C55">
        <w:rPr>
          <w:rFonts w:ascii="Times New Roman" w:hAnsi="Times New Roman" w:cs="Times New Roman"/>
          <w:sz w:val="24"/>
          <w:szCs w:val="24"/>
        </w:rPr>
        <w:tab/>
        <w:t xml:space="preserve">In applying a test of </w:t>
      </w:r>
      <w:r w:rsidR="00E11C31" w:rsidRPr="004B1C55">
        <w:rPr>
          <w:rFonts w:ascii="Times New Roman" w:hAnsi="Times New Roman" w:cs="Times New Roman"/>
          <w:sz w:val="24"/>
          <w:szCs w:val="24"/>
        </w:rPr>
        <w:t xml:space="preserve"> </w:t>
      </w:r>
      <w:r w:rsidRPr="004B1C55">
        <w:rPr>
          <w:rFonts w:ascii="Times New Roman" w:hAnsi="Times New Roman" w:cs="Times New Roman"/>
          <w:sz w:val="24"/>
          <w:szCs w:val="24"/>
        </w:rPr>
        <w:t xml:space="preserve">“sufficient </w:t>
      </w:r>
      <w:r w:rsidRPr="006B5C44">
        <w:rPr>
          <w:rFonts w:ascii="Times New Roman" w:hAnsi="Times New Roman" w:cs="Times New Roman"/>
          <w:i/>
          <w:iCs/>
          <w:sz w:val="24"/>
          <w:szCs w:val="24"/>
        </w:rPr>
        <w:t>prima facie</w:t>
      </w:r>
      <w:r w:rsidRPr="004B1C55">
        <w:rPr>
          <w:rFonts w:ascii="Times New Roman" w:hAnsi="Times New Roman" w:cs="Times New Roman"/>
          <w:sz w:val="24"/>
          <w:szCs w:val="24"/>
        </w:rPr>
        <w:t xml:space="preserve"> evidence” which is incompatible with s. 8(6)(b) of the Bankruptcy Act 1988 and the penal nature of bankruptcy. </w:t>
      </w:r>
    </w:p>
    <w:p w14:paraId="0E0A490B" w14:textId="77777777" w:rsidR="006010AC" w:rsidRPr="004B1C55" w:rsidRDefault="006010AC" w:rsidP="004B1C55">
      <w:pPr>
        <w:pStyle w:val="ListParagraph"/>
        <w:tabs>
          <w:tab w:val="left" w:pos="567"/>
        </w:tabs>
        <w:spacing w:line="480" w:lineRule="auto"/>
        <w:rPr>
          <w:rFonts w:ascii="Times New Roman" w:hAnsi="Times New Roman" w:cs="Times New Roman"/>
          <w:sz w:val="24"/>
          <w:szCs w:val="24"/>
        </w:rPr>
      </w:pPr>
      <w:r w:rsidRPr="004B1C55">
        <w:rPr>
          <w:rFonts w:ascii="Times New Roman" w:hAnsi="Times New Roman" w:cs="Times New Roman"/>
          <w:sz w:val="24"/>
          <w:szCs w:val="24"/>
        </w:rPr>
        <w:t>(d)</w:t>
      </w:r>
      <w:r w:rsidRPr="004B1C55">
        <w:rPr>
          <w:rFonts w:ascii="Times New Roman" w:hAnsi="Times New Roman" w:cs="Times New Roman"/>
          <w:sz w:val="24"/>
          <w:szCs w:val="24"/>
        </w:rPr>
        <w:tab/>
        <w:t xml:space="preserve">In permitting </w:t>
      </w:r>
      <w:proofErr w:type="spellStart"/>
      <w:r w:rsidRPr="004B1C55">
        <w:rPr>
          <w:rFonts w:ascii="Times New Roman" w:hAnsi="Times New Roman" w:cs="Times New Roman"/>
          <w:sz w:val="24"/>
          <w:szCs w:val="24"/>
        </w:rPr>
        <w:t>Everyday</w:t>
      </w:r>
      <w:proofErr w:type="spellEnd"/>
      <w:r w:rsidRPr="004B1C55">
        <w:rPr>
          <w:rFonts w:ascii="Times New Roman" w:hAnsi="Times New Roman" w:cs="Times New Roman"/>
          <w:sz w:val="24"/>
          <w:szCs w:val="24"/>
        </w:rPr>
        <w:t xml:space="preserve"> to prosecute a bankruptcy petition against the appellant, notwithstanding the fact that the appellant has committed no act of bankruptcy in respect of Everyday. </w:t>
      </w:r>
    </w:p>
    <w:p w14:paraId="3BA0E0F2" w14:textId="77777777" w:rsidR="006010AC" w:rsidRPr="004B1C55" w:rsidRDefault="006010AC" w:rsidP="004B1C55">
      <w:pPr>
        <w:pStyle w:val="ListParagraph"/>
        <w:tabs>
          <w:tab w:val="left" w:pos="567"/>
        </w:tabs>
        <w:spacing w:line="480" w:lineRule="auto"/>
        <w:rPr>
          <w:rFonts w:ascii="Times New Roman" w:hAnsi="Times New Roman" w:cs="Times New Roman"/>
          <w:sz w:val="24"/>
          <w:szCs w:val="24"/>
        </w:rPr>
      </w:pPr>
      <w:r w:rsidRPr="004B1C55">
        <w:rPr>
          <w:rFonts w:ascii="Times New Roman" w:hAnsi="Times New Roman" w:cs="Times New Roman"/>
          <w:sz w:val="24"/>
          <w:szCs w:val="24"/>
        </w:rPr>
        <w:t>(e)</w:t>
      </w:r>
      <w:r w:rsidRPr="004B1C55">
        <w:rPr>
          <w:rFonts w:ascii="Times New Roman" w:hAnsi="Times New Roman" w:cs="Times New Roman"/>
          <w:sz w:val="24"/>
          <w:szCs w:val="24"/>
        </w:rPr>
        <w:tab/>
        <w:t xml:space="preserve">In permitting </w:t>
      </w:r>
      <w:proofErr w:type="spellStart"/>
      <w:r w:rsidRPr="004B1C55">
        <w:rPr>
          <w:rFonts w:ascii="Times New Roman" w:hAnsi="Times New Roman" w:cs="Times New Roman"/>
          <w:sz w:val="24"/>
          <w:szCs w:val="24"/>
        </w:rPr>
        <w:t>Everyday</w:t>
      </w:r>
      <w:proofErr w:type="spellEnd"/>
      <w:r w:rsidRPr="004B1C55">
        <w:rPr>
          <w:rFonts w:ascii="Times New Roman" w:hAnsi="Times New Roman" w:cs="Times New Roman"/>
          <w:sz w:val="24"/>
          <w:szCs w:val="24"/>
        </w:rPr>
        <w:t xml:space="preserve"> to prosecute a bankruptcy petition against the appellant on foot of a summons and petition issued by a different company. </w:t>
      </w:r>
    </w:p>
    <w:p w14:paraId="25E2755D" w14:textId="2F793D29" w:rsidR="006010AC" w:rsidRPr="004B1C55" w:rsidRDefault="006010AC" w:rsidP="004B1C55">
      <w:pPr>
        <w:pStyle w:val="ListParagraph"/>
        <w:tabs>
          <w:tab w:val="left" w:pos="567"/>
        </w:tabs>
        <w:spacing w:line="480" w:lineRule="auto"/>
        <w:rPr>
          <w:rFonts w:ascii="Times New Roman" w:hAnsi="Times New Roman" w:cs="Times New Roman"/>
          <w:sz w:val="24"/>
          <w:szCs w:val="24"/>
        </w:rPr>
      </w:pPr>
      <w:r w:rsidRPr="004B1C55">
        <w:rPr>
          <w:rFonts w:ascii="Times New Roman" w:hAnsi="Times New Roman" w:cs="Times New Roman"/>
          <w:sz w:val="24"/>
          <w:szCs w:val="24"/>
        </w:rPr>
        <w:t>(f)</w:t>
      </w:r>
      <w:r w:rsidRPr="004B1C55">
        <w:rPr>
          <w:rFonts w:ascii="Times New Roman" w:hAnsi="Times New Roman" w:cs="Times New Roman"/>
          <w:sz w:val="24"/>
          <w:szCs w:val="24"/>
        </w:rPr>
        <w:tab/>
        <w:t xml:space="preserve">In accepting that there has been a valid transfer from </w:t>
      </w:r>
      <w:r w:rsidR="00E11C31" w:rsidRPr="004B1C55">
        <w:rPr>
          <w:rFonts w:ascii="Times New Roman" w:hAnsi="Times New Roman" w:cs="Times New Roman"/>
          <w:sz w:val="24"/>
          <w:szCs w:val="24"/>
        </w:rPr>
        <w:t>AIB</w:t>
      </w:r>
      <w:r w:rsidRPr="004B1C55">
        <w:rPr>
          <w:rFonts w:ascii="Times New Roman" w:hAnsi="Times New Roman" w:cs="Times New Roman"/>
          <w:sz w:val="24"/>
          <w:szCs w:val="24"/>
        </w:rPr>
        <w:t xml:space="preserve"> plc to Everyday notwithstanding the absence of sufficient proof of this. </w:t>
      </w:r>
    </w:p>
    <w:p w14:paraId="7BBD3544" w14:textId="77777777" w:rsidR="006010AC" w:rsidRPr="004B1C55" w:rsidRDefault="006010AC" w:rsidP="004B1C55">
      <w:pPr>
        <w:pStyle w:val="ListParagraph"/>
        <w:tabs>
          <w:tab w:val="left" w:pos="567"/>
        </w:tabs>
        <w:spacing w:line="480" w:lineRule="auto"/>
        <w:rPr>
          <w:rFonts w:ascii="Times New Roman" w:hAnsi="Times New Roman" w:cs="Times New Roman"/>
          <w:sz w:val="24"/>
          <w:szCs w:val="24"/>
        </w:rPr>
      </w:pPr>
      <w:r w:rsidRPr="004B1C55">
        <w:rPr>
          <w:rFonts w:ascii="Times New Roman" w:hAnsi="Times New Roman" w:cs="Times New Roman"/>
          <w:sz w:val="24"/>
          <w:szCs w:val="24"/>
        </w:rPr>
        <w:t>(g)</w:t>
      </w:r>
      <w:r w:rsidRPr="004B1C55">
        <w:rPr>
          <w:rFonts w:ascii="Times New Roman" w:hAnsi="Times New Roman" w:cs="Times New Roman"/>
          <w:sz w:val="24"/>
          <w:szCs w:val="24"/>
        </w:rPr>
        <w:tab/>
        <w:t xml:space="preserve">In granting the order notwithstanding the failure of Everyday to obtain leave of the High Court to issue execution as against the appellant. </w:t>
      </w:r>
    </w:p>
    <w:p w14:paraId="24B172A8" w14:textId="592C09E9" w:rsidR="006010AC" w:rsidRPr="004B1C55" w:rsidRDefault="006010AC" w:rsidP="004B1C55">
      <w:pPr>
        <w:pStyle w:val="ListParagraph"/>
        <w:tabs>
          <w:tab w:val="left" w:pos="567"/>
        </w:tabs>
        <w:spacing w:line="480" w:lineRule="auto"/>
        <w:rPr>
          <w:rFonts w:ascii="Times New Roman" w:hAnsi="Times New Roman" w:cs="Times New Roman"/>
          <w:sz w:val="24"/>
          <w:szCs w:val="24"/>
        </w:rPr>
      </w:pPr>
      <w:r w:rsidRPr="004B1C55">
        <w:rPr>
          <w:rFonts w:ascii="Times New Roman" w:hAnsi="Times New Roman" w:cs="Times New Roman"/>
          <w:sz w:val="24"/>
          <w:szCs w:val="24"/>
        </w:rPr>
        <w:t>(h)</w:t>
      </w:r>
      <w:r w:rsidRPr="004B1C55">
        <w:rPr>
          <w:rFonts w:ascii="Times New Roman" w:hAnsi="Times New Roman" w:cs="Times New Roman"/>
          <w:sz w:val="24"/>
          <w:szCs w:val="24"/>
        </w:rPr>
        <w:tab/>
        <w:t xml:space="preserve">In granting the order notwithstanding the failure of Everyday to comply with </w:t>
      </w:r>
      <w:r w:rsidR="00E11C31" w:rsidRPr="004B1C55">
        <w:rPr>
          <w:rFonts w:ascii="Times New Roman" w:hAnsi="Times New Roman" w:cs="Times New Roman"/>
          <w:sz w:val="24"/>
          <w:szCs w:val="24"/>
        </w:rPr>
        <w:t xml:space="preserve">      </w:t>
      </w:r>
      <w:r w:rsidRPr="004B1C55">
        <w:rPr>
          <w:rFonts w:ascii="Times New Roman" w:hAnsi="Times New Roman" w:cs="Times New Roman"/>
          <w:sz w:val="24"/>
          <w:szCs w:val="24"/>
        </w:rPr>
        <w:t xml:space="preserve">s. 11(2) of the Bankruptcy Act 1988. </w:t>
      </w:r>
    </w:p>
    <w:p w14:paraId="468861BC" w14:textId="09851C72" w:rsidR="00850489" w:rsidRPr="004B1C55" w:rsidRDefault="006010AC" w:rsidP="004B1C55">
      <w:pPr>
        <w:pStyle w:val="ListParagraph"/>
        <w:tabs>
          <w:tab w:val="left" w:pos="567"/>
        </w:tabs>
        <w:spacing w:line="480" w:lineRule="auto"/>
        <w:rPr>
          <w:rFonts w:ascii="Times New Roman" w:hAnsi="Times New Roman" w:cs="Times New Roman"/>
          <w:sz w:val="24"/>
          <w:szCs w:val="24"/>
        </w:rPr>
      </w:pPr>
      <w:r w:rsidRPr="004B1C55">
        <w:rPr>
          <w:rFonts w:ascii="Times New Roman" w:hAnsi="Times New Roman" w:cs="Times New Roman"/>
          <w:sz w:val="24"/>
          <w:szCs w:val="24"/>
        </w:rPr>
        <w:t>(i)</w:t>
      </w:r>
      <w:r w:rsidRPr="004B1C55">
        <w:rPr>
          <w:rFonts w:ascii="Times New Roman" w:hAnsi="Times New Roman" w:cs="Times New Roman"/>
          <w:sz w:val="24"/>
          <w:szCs w:val="24"/>
        </w:rPr>
        <w:tab/>
        <w:t>In granting the order notwithstanding the failure of Everyday to comply with the Rules of the Superior Courts and in particular the following rules of O</w:t>
      </w:r>
      <w:r w:rsidR="00E11C31" w:rsidRPr="004B1C55">
        <w:rPr>
          <w:rFonts w:ascii="Times New Roman" w:hAnsi="Times New Roman" w:cs="Times New Roman"/>
          <w:sz w:val="24"/>
          <w:szCs w:val="24"/>
        </w:rPr>
        <w:t>rder</w:t>
      </w:r>
      <w:r w:rsidRPr="004B1C55">
        <w:rPr>
          <w:rFonts w:ascii="Times New Roman" w:hAnsi="Times New Roman" w:cs="Times New Roman"/>
          <w:sz w:val="24"/>
          <w:szCs w:val="24"/>
        </w:rPr>
        <w:t xml:space="preserve"> 76: Rule 19(1)(c) and (g)</w:t>
      </w:r>
      <w:r w:rsidR="00E11C31" w:rsidRPr="004B1C55">
        <w:rPr>
          <w:rFonts w:ascii="Times New Roman" w:hAnsi="Times New Roman" w:cs="Times New Roman"/>
          <w:sz w:val="24"/>
          <w:szCs w:val="24"/>
        </w:rPr>
        <w:t>, Rule 19</w:t>
      </w:r>
      <w:r w:rsidRPr="004B1C55">
        <w:rPr>
          <w:rFonts w:ascii="Times New Roman" w:hAnsi="Times New Roman" w:cs="Times New Roman"/>
          <w:sz w:val="24"/>
          <w:szCs w:val="24"/>
        </w:rPr>
        <w:t>(4), Rule 20(2), Rule 21, Rule 23 and Rule 28.</w:t>
      </w:r>
    </w:p>
    <w:p w14:paraId="791A46CE" w14:textId="75D8C8A4" w:rsidR="006C3004" w:rsidRPr="004B1C55" w:rsidRDefault="003C44FD" w:rsidP="004B1C55">
      <w:pPr>
        <w:pStyle w:val="ListParagraph"/>
        <w:tabs>
          <w:tab w:val="left" w:pos="567"/>
        </w:tabs>
        <w:spacing w:line="480" w:lineRule="auto"/>
        <w:ind w:left="0"/>
        <w:rPr>
          <w:rFonts w:ascii="Times New Roman" w:hAnsi="Times New Roman" w:cs="Times New Roman"/>
          <w:sz w:val="24"/>
          <w:szCs w:val="24"/>
        </w:rPr>
      </w:pPr>
      <w:r w:rsidRPr="004B1C55">
        <w:rPr>
          <w:rFonts w:ascii="Times New Roman" w:hAnsi="Times New Roman" w:cs="Times New Roman"/>
          <w:sz w:val="24"/>
          <w:szCs w:val="24"/>
        </w:rPr>
        <w:t xml:space="preserve">The last two grounds of appeal appear to </w:t>
      </w:r>
      <w:r w:rsidR="008A49C2" w:rsidRPr="004B1C55">
        <w:rPr>
          <w:rFonts w:ascii="Times New Roman" w:hAnsi="Times New Roman" w:cs="Times New Roman"/>
          <w:sz w:val="24"/>
          <w:szCs w:val="24"/>
        </w:rPr>
        <w:t>involve</w:t>
      </w:r>
      <w:r w:rsidR="008A240E" w:rsidRPr="004B1C55">
        <w:rPr>
          <w:rFonts w:ascii="Times New Roman" w:hAnsi="Times New Roman" w:cs="Times New Roman"/>
          <w:sz w:val="24"/>
          <w:szCs w:val="24"/>
        </w:rPr>
        <w:t xml:space="preserve"> </w:t>
      </w:r>
      <w:r w:rsidRPr="004B1C55">
        <w:rPr>
          <w:rFonts w:ascii="Times New Roman" w:hAnsi="Times New Roman" w:cs="Times New Roman"/>
          <w:sz w:val="24"/>
          <w:szCs w:val="24"/>
        </w:rPr>
        <w:t xml:space="preserve">new arguments which were not advanced before the High Court. </w:t>
      </w:r>
      <w:r w:rsidR="001822A2" w:rsidRPr="004B1C55">
        <w:rPr>
          <w:rFonts w:ascii="Times New Roman" w:hAnsi="Times New Roman" w:cs="Times New Roman"/>
          <w:sz w:val="24"/>
          <w:szCs w:val="24"/>
        </w:rPr>
        <w:t xml:space="preserve"> </w:t>
      </w:r>
      <w:r w:rsidRPr="004B1C55">
        <w:rPr>
          <w:rFonts w:ascii="Times New Roman" w:hAnsi="Times New Roman" w:cs="Times New Roman"/>
          <w:sz w:val="24"/>
          <w:szCs w:val="24"/>
        </w:rPr>
        <w:t xml:space="preserve">The appellant did not seek leave of this court to raise new grounds </w:t>
      </w:r>
      <w:r w:rsidRPr="004B1C55">
        <w:rPr>
          <w:rFonts w:ascii="Times New Roman" w:hAnsi="Times New Roman" w:cs="Times New Roman"/>
          <w:sz w:val="24"/>
          <w:szCs w:val="24"/>
        </w:rPr>
        <w:lastRenderedPageBreak/>
        <w:t>which were not previously advanced by him</w:t>
      </w:r>
      <w:r w:rsidR="001822A2" w:rsidRPr="004B1C55">
        <w:rPr>
          <w:rFonts w:ascii="Times New Roman" w:hAnsi="Times New Roman" w:cs="Times New Roman"/>
          <w:sz w:val="24"/>
          <w:szCs w:val="24"/>
        </w:rPr>
        <w:t>,</w:t>
      </w:r>
      <w:r w:rsidRPr="004B1C55">
        <w:rPr>
          <w:rFonts w:ascii="Times New Roman" w:hAnsi="Times New Roman" w:cs="Times New Roman"/>
          <w:sz w:val="24"/>
          <w:szCs w:val="24"/>
        </w:rPr>
        <w:t xml:space="preserve"> </w:t>
      </w:r>
      <w:r w:rsidR="001822A2" w:rsidRPr="004B1C55">
        <w:rPr>
          <w:rFonts w:ascii="Times New Roman" w:hAnsi="Times New Roman" w:cs="Times New Roman"/>
          <w:sz w:val="24"/>
          <w:szCs w:val="24"/>
        </w:rPr>
        <w:t>n</w:t>
      </w:r>
      <w:r w:rsidRPr="004B1C55">
        <w:rPr>
          <w:rFonts w:ascii="Times New Roman" w:hAnsi="Times New Roman" w:cs="Times New Roman"/>
          <w:sz w:val="24"/>
          <w:szCs w:val="24"/>
        </w:rPr>
        <w:t>or submit any basis upon which this court ought to permit him to do so.</w:t>
      </w:r>
      <w:r w:rsidR="006010AC" w:rsidRPr="004B1C55">
        <w:rPr>
          <w:rFonts w:ascii="Times New Roman" w:hAnsi="Times New Roman" w:cs="Times New Roman"/>
          <w:sz w:val="24"/>
          <w:szCs w:val="24"/>
        </w:rPr>
        <w:t xml:space="preserve"> </w:t>
      </w:r>
    </w:p>
    <w:p w14:paraId="001B410E" w14:textId="77777777" w:rsidR="006C3004" w:rsidRPr="004B1C55" w:rsidRDefault="007700E6" w:rsidP="004B1C55">
      <w:pPr>
        <w:tabs>
          <w:tab w:val="left" w:pos="567"/>
        </w:tabs>
        <w:spacing w:line="480" w:lineRule="auto"/>
        <w:jc w:val="both"/>
        <w:rPr>
          <w:b/>
          <w:iCs/>
          <w:u w:val="single"/>
        </w:rPr>
      </w:pPr>
      <w:r w:rsidRPr="004B1C55">
        <w:rPr>
          <w:b/>
          <w:iCs/>
          <w:u w:val="single"/>
        </w:rPr>
        <w:t>Discussion</w:t>
      </w:r>
    </w:p>
    <w:p w14:paraId="309B5F13" w14:textId="184FE817" w:rsidR="006010AC" w:rsidRPr="004B1C55" w:rsidRDefault="006010AC" w:rsidP="004B1C55">
      <w:pPr>
        <w:pStyle w:val="ListParagraph"/>
        <w:numPr>
          <w:ilvl w:val="0"/>
          <w:numId w:val="43"/>
        </w:numPr>
        <w:tabs>
          <w:tab w:val="left" w:pos="567"/>
        </w:tabs>
        <w:spacing w:line="480" w:lineRule="auto"/>
        <w:ind w:left="0" w:firstLine="0"/>
        <w:rPr>
          <w:rFonts w:ascii="Times New Roman" w:hAnsi="Times New Roman" w:cs="Times New Roman"/>
          <w:sz w:val="24"/>
          <w:szCs w:val="24"/>
        </w:rPr>
      </w:pPr>
      <w:r w:rsidRPr="004B1C55">
        <w:rPr>
          <w:rFonts w:ascii="Times New Roman" w:hAnsi="Times New Roman" w:cs="Times New Roman"/>
          <w:sz w:val="24"/>
          <w:szCs w:val="24"/>
        </w:rPr>
        <w:t xml:space="preserve">The first </w:t>
      </w:r>
      <w:r w:rsidR="00744F98" w:rsidRPr="004B1C55">
        <w:rPr>
          <w:rFonts w:ascii="Times New Roman" w:hAnsi="Times New Roman" w:cs="Times New Roman"/>
          <w:sz w:val="24"/>
          <w:szCs w:val="24"/>
        </w:rPr>
        <w:t xml:space="preserve">issue </w:t>
      </w:r>
      <w:r w:rsidRPr="004B1C55">
        <w:rPr>
          <w:rFonts w:ascii="Times New Roman" w:hAnsi="Times New Roman" w:cs="Times New Roman"/>
          <w:sz w:val="24"/>
          <w:szCs w:val="24"/>
        </w:rPr>
        <w:t>is whether it was open to Everyday to rely upon O.</w:t>
      </w:r>
      <w:r w:rsidR="00A6342E" w:rsidRPr="004B1C55">
        <w:rPr>
          <w:rFonts w:ascii="Times New Roman" w:hAnsi="Times New Roman" w:cs="Times New Roman"/>
          <w:sz w:val="24"/>
          <w:szCs w:val="24"/>
        </w:rPr>
        <w:t xml:space="preserve"> </w:t>
      </w:r>
      <w:r w:rsidRPr="004B1C55">
        <w:rPr>
          <w:rFonts w:ascii="Times New Roman" w:hAnsi="Times New Roman" w:cs="Times New Roman"/>
          <w:sz w:val="24"/>
          <w:szCs w:val="24"/>
        </w:rPr>
        <w:t>17</w:t>
      </w:r>
      <w:r w:rsidR="00A6342E" w:rsidRPr="004B1C55">
        <w:rPr>
          <w:rFonts w:ascii="Times New Roman" w:hAnsi="Times New Roman" w:cs="Times New Roman"/>
          <w:sz w:val="24"/>
          <w:szCs w:val="24"/>
        </w:rPr>
        <w:t xml:space="preserve">, </w:t>
      </w:r>
      <w:r w:rsidRPr="004B1C55">
        <w:rPr>
          <w:rFonts w:ascii="Times New Roman" w:hAnsi="Times New Roman" w:cs="Times New Roman"/>
          <w:sz w:val="24"/>
          <w:szCs w:val="24"/>
        </w:rPr>
        <w:t xml:space="preserve"> r.</w:t>
      </w:r>
      <w:r w:rsidR="00A6342E" w:rsidRPr="004B1C55">
        <w:rPr>
          <w:rFonts w:ascii="Times New Roman" w:hAnsi="Times New Roman" w:cs="Times New Roman"/>
          <w:sz w:val="24"/>
          <w:szCs w:val="24"/>
        </w:rPr>
        <w:t xml:space="preserve"> </w:t>
      </w:r>
      <w:r w:rsidRPr="004B1C55">
        <w:rPr>
          <w:rFonts w:ascii="Times New Roman" w:hAnsi="Times New Roman" w:cs="Times New Roman"/>
          <w:sz w:val="24"/>
          <w:szCs w:val="24"/>
        </w:rPr>
        <w:t xml:space="preserve">4 in bankruptcy proceedings. </w:t>
      </w:r>
      <w:r w:rsidR="00A6342E" w:rsidRPr="004B1C55">
        <w:rPr>
          <w:rFonts w:ascii="Times New Roman" w:hAnsi="Times New Roman" w:cs="Times New Roman"/>
          <w:sz w:val="24"/>
          <w:szCs w:val="24"/>
        </w:rPr>
        <w:t xml:space="preserve"> </w:t>
      </w:r>
      <w:r w:rsidRPr="004B1C55">
        <w:rPr>
          <w:rFonts w:ascii="Times New Roman" w:hAnsi="Times New Roman" w:cs="Times New Roman"/>
          <w:sz w:val="24"/>
          <w:szCs w:val="24"/>
        </w:rPr>
        <w:t>The rule provides:</w:t>
      </w:r>
      <w:r w:rsidR="00A6342E" w:rsidRPr="004B1C55">
        <w:rPr>
          <w:rFonts w:ascii="Times New Roman" w:hAnsi="Times New Roman" w:cs="Times New Roman"/>
          <w:sz w:val="24"/>
          <w:szCs w:val="24"/>
        </w:rPr>
        <w:t>-</w:t>
      </w:r>
    </w:p>
    <w:p w14:paraId="539B1D17" w14:textId="02643193" w:rsidR="006010AC" w:rsidRPr="004B1C55" w:rsidRDefault="006010AC" w:rsidP="004B1C55">
      <w:pPr>
        <w:spacing w:line="480" w:lineRule="auto"/>
        <w:ind w:left="567"/>
        <w:jc w:val="both"/>
        <w:rPr>
          <w:i/>
        </w:rPr>
      </w:pPr>
      <w:r w:rsidRPr="004B1C55">
        <w:rPr>
          <w:i/>
        </w:rPr>
        <w:t xml:space="preserve">“Where by reason of death, or any other event occurring after the commencement of a cause or matter and causing a change or transmission of interest or liability,… it becomes necessary or desirable that any person not already a party should be made a party,… an order that the proceedings shall be carried on between the continuing parties, and such new party or parties, may be obtained ex </w:t>
      </w:r>
      <w:proofErr w:type="spellStart"/>
      <w:r w:rsidRPr="004B1C55">
        <w:rPr>
          <w:i/>
        </w:rPr>
        <w:t>parte</w:t>
      </w:r>
      <w:proofErr w:type="spellEnd"/>
      <w:r w:rsidRPr="004B1C55">
        <w:rPr>
          <w:i/>
        </w:rPr>
        <w:t xml:space="preserve"> on application to the Court upon an allegation of such change, or transmission of interest…”</w:t>
      </w:r>
      <w:r w:rsidR="00A6342E" w:rsidRPr="004B1C55">
        <w:rPr>
          <w:i/>
        </w:rPr>
        <w:t>.</w:t>
      </w:r>
    </w:p>
    <w:p w14:paraId="00B7E4A2" w14:textId="0736C94B" w:rsidR="006010AC" w:rsidRPr="004B1C55" w:rsidRDefault="006010AC" w:rsidP="004B1C55">
      <w:pPr>
        <w:numPr>
          <w:ilvl w:val="0"/>
          <w:numId w:val="43"/>
        </w:numPr>
        <w:spacing w:line="480" w:lineRule="auto"/>
        <w:ind w:left="0" w:firstLine="0"/>
        <w:jc w:val="both"/>
      </w:pPr>
      <w:r w:rsidRPr="004B1C55">
        <w:t>The first requirement of O.</w:t>
      </w:r>
      <w:r w:rsidR="00A6342E" w:rsidRPr="004B1C55">
        <w:t xml:space="preserve"> </w:t>
      </w:r>
      <w:r w:rsidRPr="004B1C55">
        <w:t>17, r.</w:t>
      </w:r>
      <w:r w:rsidR="00A6342E" w:rsidRPr="004B1C55">
        <w:t xml:space="preserve"> </w:t>
      </w:r>
      <w:r w:rsidRPr="004B1C55">
        <w:t xml:space="preserve">4 is that there is either a death or “other event” occurring after the commencement of a cause or matter.  The transfer of a debt is an </w:t>
      </w:r>
      <w:r w:rsidRPr="006B5C44">
        <w:rPr>
          <w:iCs/>
        </w:rPr>
        <w:t>“event”</w:t>
      </w:r>
      <w:r w:rsidRPr="004B1C55">
        <w:rPr>
          <w:i/>
        </w:rPr>
        <w:t xml:space="preserve"> </w:t>
      </w:r>
      <w:r w:rsidRPr="004B1C55">
        <w:t>occurring after the commencement of the proceedings within the meaning of the rule (</w:t>
      </w:r>
      <w:r w:rsidRPr="004B1C55">
        <w:rPr>
          <w:i/>
        </w:rPr>
        <w:t xml:space="preserve">Stapleford Finance Limited v. Lavelle </w:t>
      </w:r>
      <w:r w:rsidRPr="004B1C55">
        <w:t>[2016] IECA 104).</w:t>
      </w:r>
      <w:r w:rsidR="00A6342E" w:rsidRPr="004B1C55">
        <w:t xml:space="preserve"> </w:t>
      </w:r>
      <w:r w:rsidRPr="004B1C55">
        <w:t xml:space="preserve"> It was not disputed that this was so (though the validity of the transfer was contested).</w:t>
      </w:r>
    </w:p>
    <w:p w14:paraId="29CAD632" w14:textId="6E295591" w:rsidR="006010AC" w:rsidRPr="004B1C55" w:rsidRDefault="006010AC" w:rsidP="004B1C55">
      <w:pPr>
        <w:numPr>
          <w:ilvl w:val="0"/>
          <w:numId w:val="43"/>
        </w:numPr>
        <w:spacing w:line="480" w:lineRule="auto"/>
        <w:ind w:left="0" w:firstLine="0"/>
        <w:jc w:val="both"/>
      </w:pPr>
      <w:r w:rsidRPr="004B1C55">
        <w:t>The issue raised was whether</w:t>
      </w:r>
      <w:r w:rsidR="009663AE" w:rsidRPr="004B1C55">
        <w:t>, and if so to what extent,</w:t>
      </w:r>
      <w:r w:rsidRPr="004B1C55">
        <w:t xml:space="preserve"> the rule applied to bankruptcy proceedings. </w:t>
      </w:r>
      <w:r w:rsidR="00E213E6" w:rsidRPr="004B1C55">
        <w:t xml:space="preserve"> </w:t>
      </w:r>
      <w:r w:rsidRPr="004B1C55">
        <w:t xml:space="preserve">The rule applies to </w:t>
      </w:r>
      <w:r w:rsidRPr="006B5C44">
        <w:rPr>
          <w:iCs/>
        </w:rPr>
        <w:t>“a cause or matter”</w:t>
      </w:r>
      <w:r w:rsidRPr="004B1C55">
        <w:t xml:space="preserve">. </w:t>
      </w:r>
      <w:r w:rsidR="009663AE" w:rsidRPr="004B1C55">
        <w:t xml:space="preserve"> While not contending that a bankruptcy </w:t>
      </w:r>
      <w:r w:rsidR="009663AE" w:rsidRPr="004B1C55">
        <w:rPr>
          <w:i/>
        </w:rPr>
        <w:t xml:space="preserve">petition </w:t>
      </w:r>
      <w:r w:rsidR="009663AE" w:rsidRPr="004B1C55">
        <w:t xml:space="preserve">was not a </w:t>
      </w:r>
      <w:r w:rsidR="009663AE" w:rsidRPr="006B5C44">
        <w:rPr>
          <w:iCs/>
        </w:rPr>
        <w:t>“cause or matter”</w:t>
      </w:r>
      <w:r w:rsidR="009663AE" w:rsidRPr="004B1C55">
        <w:rPr>
          <w:iCs/>
        </w:rPr>
        <w:t>,</w:t>
      </w:r>
      <w:r w:rsidR="009663AE" w:rsidRPr="004B1C55">
        <w:t xml:space="preserve"> counsel for the appellant argued that </w:t>
      </w:r>
      <w:r w:rsidR="00E213E6" w:rsidRPr="004B1C55">
        <w:t xml:space="preserve">     </w:t>
      </w:r>
      <w:r w:rsidR="009663AE" w:rsidRPr="004B1C55">
        <w:t>O.</w:t>
      </w:r>
      <w:r w:rsidR="00E213E6" w:rsidRPr="004B1C55">
        <w:t xml:space="preserve"> </w:t>
      </w:r>
      <w:r w:rsidR="009663AE" w:rsidRPr="004B1C55">
        <w:t>17, r.</w:t>
      </w:r>
      <w:r w:rsidR="00E213E6" w:rsidRPr="004B1C55">
        <w:t xml:space="preserve"> </w:t>
      </w:r>
      <w:r w:rsidR="009663AE" w:rsidRPr="004B1C55">
        <w:t xml:space="preserve">4 did not apply to any bankruptcy </w:t>
      </w:r>
      <w:r w:rsidR="009663AE" w:rsidRPr="004B1C55">
        <w:rPr>
          <w:i/>
        </w:rPr>
        <w:t>proceedings</w:t>
      </w:r>
      <w:r w:rsidR="004F1C47" w:rsidRPr="004B1C55">
        <w:t>.  H</w:t>
      </w:r>
      <w:r w:rsidR="009663AE" w:rsidRPr="004B1C55">
        <w:t xml:space="preserve">is argument was not confined to </w:t>
      </w:r>
      <w:r w:rsidR="009663AE" w:rsidRPr="004B1C55">
        <w:rPr>
          <w:i/>
        </w:rPr>
        <w:t>petitions</w:t>
      </w:r>
      <w:r w:rsidR="009663AE" w:rsidRPr="004B1C55">
        <w:t xml:space="preserve">. </w:t>
      </w:r>
    </w:p>
    <w:p w14:paraId="6588109C" w14:textId="5BD50322" w:rsidR="006010AC" w:rsidRPr="004B1C55" w:rsidRDefault="000B36F7" w:rsidP="004B1C55">
      <w:pPr>
        <w:numPr>
          <w:ilvl w:val="0"/>
          <w:numId w:val="43"/>
        </w:numPr>
        <w:spacing w:line="480" w:lineRule="auto"/>
        <w:ind w:left="0" w:firstLine="0"/>
        <w:jc w:val="both"/>
      </w:pPr>
      <w:r w:rsidRPr="004B1C55">
        <w:t>As I have earlier noted, h</w:t>
      </w:r>
      <w:r w:rsidR="006010AC" w:rsidRPr="004B1C55">
        <w:t xml:space="preserve">e submitted that the Bankruptcy Act </w:t>
      </w:r>
      <w:r w:rsidR="003C44FD" w:rsidRPr="004B1C55">
        <w:t xml:space="preserve">1988 (as amended) </w:t>
      </w:r>
      <w:r w:rsidR="006010AC" w:rsidRPr="004B1C55">
        <w:t>and O.</w:t>
      </w:r>
      <w:r w:rsidR="008548F6" w:rsidRPr="004B1C55">
        <w:t xml:space="preserve"> </w:t>
      </w:r>
      <w:r w:rsidR="006010AC" w:rsidRPr="004B1C55">
        <w:t xml:space="preserve">76 </w:t>
      </w:r>
      <w:r w:rsidR="003C44FD" w:rsidRPr="004B1C55">
        <w:t xml:space="preserve">RSC </w:t>
      </w:r>
      <w:r w:rsidR="006010AC" w:rsidRPr="004B1C55">
        <w:t>comprise a self-contained bankruptcy code and O.</w:t>
      </w:r>
      <w:r w:rsidR="008548F6" w:rsidRPr="004B1C55">
        <w:t xml:space="preserve"> </w:t>
      </w:r>
      <w:r w:rsidR="006010AC" w:rsidRPr="004B1C55">
        <w:t>17, r.</w:t>
      </w:r>
      <w:r w:rsidR="008548F6" w:rsidRPr="004B1C55">
        <w:t xml:space="preserve"> </w:t>
      </w:r>
      <w:r w:rsidR="006010AC" w:rsidRPr="004B1C55">
        <w:t>4 is not part of this code and</w:t>
      </w:r>
      <w:r w:rsidR="008548F6" w:rsidRPr="004B1C55">
        <w:t>,</w:t>
      </w:r>
      <w:r w:rsidR="006010AC" w:rsidRPr="004B1C55">
        <w:t xml:space="preserve"> accordingly</w:t>
      </w:r>
      <w:r w:rsidR="008548F6" w:rsidRPr="004B1C55">
        <w:t>,</w:t>
      </w:r>
      <w:r w:rsidR="006010AC" w:rsidRPr="004B1C55">
        <w:t xml:space="preserve"> it is impermissible to have recourse to it in </w:t>
      </w:r>
      <w:r w:rsidR="006010AC" w:rsidRPr="004B1C55">
        <w:rPr>
          <w:i/>
        </w:rPr>
        <w:t>any</w:t>
      </w:r>
      <w:r w:rsidR="006010AC" w:rsidRPr="004B1C55">
        <w:t xml:space="preserve"> bankruptcy proceeding</w:t>
      </w:r>
      <w:r w:rsidR="008548F6" w:rsidRPr="004B1C55">
        <w:t>s</w:t>
      </w:r>
      <w:r w:rsidR="006010AC" w:rsidRPr="004B1C55">
        <w:t xml:space="preserve">.  </w:t>
      </w:r>
    </w:p>
    <w:p w14:paraId="2FF20AD9" w14:textId="7A041003" w:rsidR="006010AC" w:rsidRPr="004B1C55" w:rsidRDefault="007700E6" w:rsidP="004B1C55">
      <w:pPr>
        <w:numPr>
          <w:ilvl w:val="0"/>
          <w:numId w:val="43"/>
        </w:numPr>
        <w:spacing w:line="480" w:lineRule="auto"/>
        <w:ind w:left="0" w:firstLine="0"/>
        <w:jc w:val="both"/>
      </w:pPr>
      <w:r w:rsidRPr="004B1C55">
        <w:t>In my judgment</w:t>
      </w:r>
      <w:r w:rsidR="008548F6" w:rsidRPr="004B1C55">
        <w:t>,</w:t>
      </w:r>
      <w:r w:rsidRPr="004B1C55">
        <w:t xml:space="preserve"> the submission is misconceived.</w:t>
      </w:r>
      <w:r w:rsidR="008548F6" w:rsidRPr="004B1C55">
        <w:t xml:space="preserve"> </w:t>
      </w:r>
      <w:r w:rsidRPr="004B1C55">
        <w:t xml:space="preserve"> </w:t>
      </w:r>
      <w:r w:rsidR="006010AC" w:rsidRPr="004B1C55">
        <w:t>The</w:t>
      </w:r>
      <w:r w:rsidR="009663AE" w:rsidRPr="004B1C55">
        <w:t>re</w:t>
      </w:r>
      <w:r w:rsidR="006010AC" w:rsidRPr="004B1C55">
        <w:t xml:space="preserve"> are many rules other than those in O.</w:t>
      </w:r>
      <w:r w:rsidR="008548F6" w:rsidRPr="004B1C55">
        <w:t xml:space="preserve"> </w:t>
      </w:r>
      <w:r w:rsidR="006010AC" w:rsidRPr="004B1C55">
        <w:t>76 which self-evidently do apply to bankruptcy proceedings</w:t>
      </w:r>
      <w:r w:rsidR="003C44FD" w:rsidRPr="004B1C55">
        <w:t>: f</w:t>
      </w:r>
      <w:r w:rsidR="006010AC" w:rsidRPr="004B1C55">
        <w:t>or example, O.</w:t>
      </w:r>
      <w:r w:rsidR="008548F6" w:rsidRPr="004B1C55">
        <w:t xml:space="preserve"> </w:t>
      </w:r>
      <w:r w:rsidR="006010AC" w:rsidRPr="004B1C55">
        <w:t xml:space="preserve">40 </w:t>
      </w:r>
      <w:r w:rsidR="006010AC" w:rsidRPr="004B1C55">
        <w:lastRenderedPageBreak/>
        <w:t>in relation to affidavits, O.</w:t>
      </w:r>
      <w:r w:rsidR="008548F6" w:rsidRPr="004B1C55">
        <w:t xml:space="preserve"> </w:t>
      </w:r>
      <w:r w:rsidR="006010AC" w:rsidRPr="004B1C55">
        <w:t>122 in relation to time limits, O.</w:t>
      </w:r>
      <w:r w:rsidR="008548F6" w:rsidRPr="004B1C55">
        <w:t xml:space="preserve"> </w:t>
      </w:r>
      <w:r w:rsidR="006010AC" w:rsidRPr="004B1C55">
        <w:t>5, r.</w:t>
      </w:r>
      <w:r w:rsidR="008548F6" w:rsidRPr="004B1C55">
        <w:t xml:space="preserve"> </w:t>
      </w:r>
      <w:r w:rsidR="006010AC" w:rsidRPr="004B1C55">
        <w:t>15 in relation to the presentation of a petition and O.</w:t>
      </w:r>
      <w:r w:rsidR="00FA576E">
        <w:t xml:space="preserve"> </w:t>
      </w:r>
      <w:r w:rsidR="006010AC" w:rsidRPr="004B1C55">
        <w:t>125</w:t>
      </w:r>
      <w:r w:rsidR="008548F6" w:rsidRPr="004B1C55">
        <w:t xml:space="preserve"> in relation to interpretation and forms </w:t>
      </w:r>
      <w:r w:rsidR="006010AC" w:rsidRPr="004B1C55">
        <w:t>(</w:t>
      </w:r>
      <w:r w:rsidR="008548F6" w:rsidRPr="004B1C55">
        <w:t xml:space="preserve">see, </w:t>
      </w:r>
      <w:r w:rsidR="006010AC" w:rsidRPr="004B1C55">
        <w:rPr>
          <w:i/>
        </w:rPr>
        <w:t xml:space="preserve">Society of Lloyds v. Loughran </w:t>
      </w:r>
      <w:r w:rsidR="006010AC" w:rsidRPr="004B1C55">
        <w:t xml:space="preserve">(Unreported, High Court, </w:t>
      </w:r>
      <w:r w:rsidR="000700FF" w:rsidRPr="004B1C55">
        <w:t xml:space="preserve">Finlay Geoghegan J., </w:t>
      </w:r>
      <w:r w:rsidR="006010AC" w:rsidRPr="004B1C55">
        <w:t>2</w:t>
      </w:r>
      <w:r w:rsidR="000700FF" w:rsidRPr="004B1C55">
        <w:t>nd</w:t>
      </w:r>
      <w:r w:rsidR="006010AC" w:rsidRPr="004B1C55">
        <w:t xml:space="preserve"> February 2004)).  In Wiley on </w:t>
      </w:r>
      <w:r w:rsidR="00B564A0" w:rsidRPr="006B5C44">
        <w:rPr>
          <w:i/>
          <w:iCs/>
        </w:rPr>
        <w:t>T</w:t>
      </w:r>
      <w:r w:rsidR="006010AC" w:rsidRPr="006B5C44">
        <w:rPr>
          <w:i/>
          <w:iCs/>
        </w:rPr>
        <w:t>he</w:t>
      </w:r>
      <w:r w:rsidR="006010AC" w:rsidRPr="004B1C55">
        <w:t xml:space="preserve"> </w:t>
      </w:r>
      <w:r w:rsidR="006010AC" w:rsidRPr="00B564A0">
        <w:rPr>
          <w:i/>
        </w:rPr>
        <w:t>Judicature Acts (Ireland)</w:t>
      </w:r>
      <w:r w:rsidR="006010AC" w:rsidRPr="004B1C55">
        <w:rPr>
          <w:i/>
        </w:rPr>
        <w:t xml:space="preserve"> </w:t>
      </w:r>
      <w:r w:rsidR="006010AC" w:rsidRPr="004B1C55">
        <w:t>pp. 347-349</w:t>
      </w:r>
      <w:r w:rsidR="00385194" w:rsidRPr="004B1C55">
        <w:t>,</w:t>
      </w:r>
      <w:r w:rsidR="006010AC" w:rsidRPr="004B1C55">
        <w:t xml:space="preserve"> there are numerous cases </w:t>
      </w:r>
      <w:r w:rsidR="009663AE" w:rsidRPr="004B1C55">
        <w:t xml:space="preserve">cited in which the predecessor to </w:t>
      </w:r>
      <w:r w:rsidR="006010AC" w:rsidRPr="004B1C55">
        <w:t>O.</w:t>
      </w:r>
      <w:r w:rsidR="00385194" w:rsidRPr="004B1C55">
        <w:t xml:space="preserve"> </w:t>
      </w:r>
      <w:r w:rsidR="006010AC" w:rsidRPr="004B1C55">
        <w:t>17, r.</w:t>
      </w:r>
      <w:r w:rsidR="00385194" w:rsidRPr="004B1C55">
        <w:t xml:space="preserve"> </w:t>
      </w:r>
      <w:r w:rsidR="006010AC" w:rsidRPr="004B1C55">
        <w:t xml:space="preserve">4 was applied to various proceedings </w:t>
      </w:r>
      <w:r w:rsidR="009663AE" w:rsidRPr="004B1C55">
        <w:t xml:space="preserve">involving a bankrupt </w:t>
      </w:r>
      <w:r w:rsidR="006010AC" w:rsidRPr="004B1C55">
        <w:t>party</w:t>
      </w:r>
      <w:r w:rsidR="009663AE" w:rsidRPr="004B1C55">
        <w:t>.</w:t>
      </w:r>
      <w:r w:rsidR="00385194" w:rsidRPr="004B1C55">
        <w:t xml:space="preserve"> </w:t>
      </w:r>
      <w:r w:rsidR="006010AC" w:rsidRPr="004B1C55">
        <w:t xml:space="preserve"> In addition, O.</w:t>
      </w:r>
      <w:r w:rsidR="00385194" w:rsidRPr="004B1C55">
        <w:t xml:space="preserve"> </w:t>
      </w:r>
      <w:r w:rsidR="006010AC" w:rsidRPr="004B1C55">
        <w:t>76</w:t>
      </w:r>
      <w:r w:rsidR="00385194" w:rsidRPr="004B1C55">
        <w:t>,</w:t>
      </w:r>
      <w:r w:rsidR="006010AC" w:rsidRPr="004B1C55">
        <w:t xml:space="preserve"> r.</w:t>
      </w:r>
      <w:r w:rsidR="00385194" w:rsidRPr="004B1C55">
        <w:t xml:space="preserve"> </w:t>
      </w:r>
      <w:r w:rsidR="006010AC" w:rsidRPr="004B1C55">
        <w:t>14(1) refers to rules of service in O.</w:t>
      </w:r>
      <w:r w:rsidR="00385194" w:rsidRPr="004B1C55">
        <w:t xml:space="preserve"> </w:t>
      </w:r>
      <w:r w:rsidR="006010AC" w:rsidRPr="004B1C55">
        <w:t>9</w:t>
      </w:r>
      <w:r w:rsidR="00385194" w:rsidRPr="004B1C55">
        <w:t>,</w:t>
      </w:r>
      <w:r w:rsidR="006010AC" w:rsidRPr="004B1C55">
        <w:t xml:space="preserve"> r.</w:t>
      </w:r>
      <w:r w:rsidR="00385194" w:rsidRPr="004B1C55">
        <w:t xml:space="preserve"> </w:t>
      </w:r>
      <w:r w:rsidR="006010AC" w:rsidRPr="004B1C55">
        <w:t>2 and O.</w:t>
      </w:r>
      <w:r w:rsidR="00385194" w:rsidRPr="004B1C55">
        <w:t xml:space="preserve"> </w:t>
      </w:r>
      <w:r w:rsidR="006010AC" w:rsidRPr="004B1C55">
        <w:t>76</w:t>
      </w:r>
      <w:r w:rsidR="00385194" w:rsidRPr="004B1C55">
        <w:t>,</w:t>
      </w:r>
      <w:r w:rsidR="006010AC" w:rsidRPr="004B1C55">
        <w:t xml:space="preserve"> r.</w:t>
      </w:r>
      <w:r w:rsidR="00385194" w:rsidRPr="004B1C55">
        <w:t xml:space="preserve"> </w:t>
      </w:r>
      <w:r w:rsidR="006010AC" w:rsidRPr="004B1C55">
        <w:t>63 applies the provisions of O.</w:t>
      </w:r>
      <w:r w:rsidR="00385194" w:rsidRPr="004B1C55">
        <w:t xml:space="preserve"> </w:t>
      </w:r>
      <w:r w:rsidR="006010AC" w:rsidRPr="004B1C55">
        <w:t>15 Part II as far as possible</w:t>
      </w:r>
      <w:r w:rsidR="003C44FD" w:rsidRPr="004B1C55">
        <w:t xml:space="preserve"> to that rule</w:t>
      </w:r>
      <w:r w:rsidR="006010AC" w:rsidRPr="004B1C55">
        <w:t xml:space="preserve">. </w:t>
      </w:r>
      <w:r w:rsidR="00385194" w:rsidRPr="004B1C55">
        <w:t xml:space="preserve"> </w:t>
      </w:r>
      <w:r w:rsidR="006010AC" w:rsidRPr="004B1C55">
        <w:t xml:space="preserve">The fact that there are </w:t>
      </w:r>
      <w:r w:rsidR="00E510A8" w:rsidRPr="004B1C55">
        <w:t>provisions</w:t>
      </w:r>
      <w:r w:rsidR="006010AC" w:rsidRPr="004B1C55">
        <w:t xml:space="preserve"> in O.</w:t>
      </w:r>
      <w:r w:rsidR="00385194" w:rsidRPr="004B1C55">
        <w:t xml:space="preserve"> </w:t>
      </w:r>
      <w:r w:rsidR="006010AC" w:rsidRPr="004B1C55">
        <w:t>76 which apparently duplicate rules appearing elsewhere does not lead to the corollary that it is an impenetrable</w:t>
      </w:r>
      <w:r w:rsidR="00385194" w:rsidRPr="004B1C55">
        <w:t>,</w:t>
      </w:r>
      <w:r w:rsidR="006010AC" w:rsidRPr="004B1C55">
        <w:t xml:space="preserve"> self-contained order.  Certain rules overlap/duplicate provisions.  </w:t>
      </w:r>
    </w:p>
    <w:p w14:paraId="739704A4" w14:textId="2EAF44F1" w:rsidR="006010AC" w:rsidRPr="004B1C55" w:rsidRDefault="009663AE" w:rsidP="004B1C55">
      <w:pPr>
        <w:numPr>
          <w:ilvl w:val="0"/>
          <w:numId w:val="43"/>
        </w:numPr>
        <w:spacing w:line="480" w:lineRule="auto"/>
        <w:ind w:left="0" w:firstLine="0"/>
        <w:jc w:val="both"/>
      </w:pPr>
      <w:r w:rsidRPr="004B1C55">
        <w:t xml:space="preserve">The ordinary language used in </w:t>
      </w:r>
      <w:r w:rsidR="006010AC" w:rsidRPr="004B1C55">
        <w:t>O. 17</w:t>
      </w:r>
      <w:r w:rsidR="0040508F" w:rsidRPr="004B1C55">
        <w:t>,</w:t>
      </w:r>
      <w:r w:rsidR="006010AC" w:rsidRPr="004B1C55">
        <w:t xml:space="preserve"> r. 4 leads to the conclusion that a bankruptcy petition falls within its terms. </w:t>
      </w:r>
      <w:r w:rsidR="0075086D" w:rsidRPr="004B1C55">
        <w:t xml:space="preserve"> </w:t>
      </w:r>
      <w:r w:rsidR="006010AC" w:rsidRPr="004B1C55">
        <w:t>There is no reason</w:t>
      </w:r>
      <w:r w:rsidR="0075086D" w:rsidRPr="004B1C55">
        <w:t>,</w:t>
      </w:r>
      <w:r w:rsidR="006010AC" w:rsidRPr="004B1C55">
        <w:t xml:space="preserve"> in principle</w:t>
      </w:r>
      <w:r w:rsidR="0075086D" w:rsidRPr="004B1C55">
        <w:t>,</w:t>
      </w:r>
      <w:r w:rsidR="006010AC" w:rsidRPr="004B1C55">
        <w:t xml:space="preserve"> why O.</w:t>
      </w:r>
      <w:r w:rsidR="0075086D" w:rsidRPr="004B1C55">
        <w:t xml:space="preserve"> </w:t>
      </w:r>
      <w:r w:rsidR="006010AC" w:rsidRPr="004B1C55">
        <w:t>17</w:t>
      </w:r>
      <w:r w:rsidR="0075086D" w:rsidRPr="004B1C55">
        <w:t>,</w:t>
      </w:r>
      <w:r w:rsidR="006010AC" w:rsidRPr="004B1C55">
        <w:t xml:space="preserve"> r. 4 should not apply to a bankruptcy petition and counsel for the appellant advanced no authority for the proposition that the rule could not apply a bankruptcy petition.</w:t>
      </w:r>
      <w:r w:rsidR="003C44FD" w:rsidRPr="004B1C55">
        <w:t xml:space="preserve"> </w:t>
      </w:r>
      <w:r w:rsidR="0075086D" w:rsidRPr="004B1C55">
        <w:t xml:space="preserve"> </w:t>
      </w:r>
      <w:r w:rsidR="003C44FD" w:rsidRPr="004B1C55">
        <w:t xml:space="preserve">He contended that </w:t>
      </w:r>
      <w:r w:rsidRPr="004B1C55">
        <w:t xml:space="preserve">because </w:t>
      </w:r>
      <w:r w:rsidR="003C44FD" w:rsidRPr="004B1C55">
        <w:t>there was no analogue within O.</w:t>
      </w:r>
      <w:r w:rsidR="0075086D" w:rsidRPr="004B1C55">
        <w:t xml:space="preserve"> </w:t>
      </w:r>
      <w:r w:rsidR="003C44FD" w:rsidRPr="004B1C55">
        <w:t xml:space="preserve">76 permitting substitution in any bankruptcy proceeding it could never occur. </w:t>
      </w:r>
      <w:r w:rsidR="0075086D" w:rsidRPr="004B1C55">
        <w:t xml:space="preserve"> </w:t>
      </w:r>
      <w:r w:rsidR="003C44FD" w:rsidRPr="004B1C55">
        <w:t>I do not accept that this is correct.</w:t>
      </w:r>
    </w:p>
    <w:p w14:paraId="0399F14E" w14:textId="02D44B1A" w:rsidR="006010AC" w:rsidRPr="004B1C55" w:rsidRDefault="006010AC" w:rsidP="004B1C55">
      <w:pPr>
        <w:numPr>
          <w:ilvl w:val="0"/>
          <w:numId w:val="43"/>
        </w:numPr>
        <w:spacing w:line="480" w:lineRule="auto"/>
        <w:ind w:left="0" w:firstLine="0"/>
        <w:jc w:val="both"/>
      </w:pPr>
      <w:r w:rsidRPr="004B1C55">
        <w:t xml:space="preserve">Finally, I am of the view that the Rules of Court are </w:t>
      </w:r>
      <w:r w:rsidR="00DB59A6" w:rsidRPr="004B1C55">
        <w:t xml:space="preserve">there </w:t>
      </w:r>
      <w:r w:rsidRPr="004B1C55">
        <w:t xml:space="preserve">to </w:t>
      </w:r>
      <w:r w:rsidR="00DB59A6" w:rsidRPr="004B1C55">
        <w:t xml:space="preserve">facilitate not to obstruct the conduct of legal proceedings.  </w:t>
      </w:r>
      <w:r w:rsidRPr="004B1C55">
        <w:t xml:space="preserve">The construction contended for by the appellant operates to </w:t>
      </w:r>
      <w:r w:rsidR="00C065CF" w:rsidRPr="004B1C55">
        <w:t xml:space="preserve">impose a constraint on the progression of a bankruptcy action where a debt has been transferred in circumstances where no good reason for such an obstruction has been articulated. </w:t>
      </w:r>
      <w:r w:rsidR="00B82A12" w:rsidRPr="004B1C55">
        <w:t xml:space="preserve"> </w:t>
      </w:r>
      <w:r w:rsidRPr="004B1C55">
        <w:t>In my view</w:t>
      </w:r>
      <w:r w:rsidR="00B82A12" w:rsidRPr="004B1C55">
        <w:t>,</w:t>
      </w:r>
      <w:r w:rsidRPr="004B1C55">
        <w:t xml:space="preserve"> this </w:t>
      </w:r>
      <w:r w:rsidR="00C065CF" w:rsidRPr="004B1C55">
        <w:t xml:space="preserve">construction is and can be correct only </w:t>
      </w:r>
      <w:r w:rsidRPr="004B1C55">
        <w:t xml:space="preserve">if </w:t>
      </w:r>
      <w:r w:rsidR="00E510A8" w:rsidRPr="004B1C55">
        <w:t xml:space="preserve">it runs counter to the language of the provision (which it does not) or </w:t>
      </w:r>
      <w:r w:rsidRPr="004B1C55">
        <w:t>is clearly required by law.  As I am not persuaded that this is so, I cannot agree that it was not open to Everyday to apply to be substituted in the proceedings pursuant to O.</w:t>
      </w:r>
      <w:r w:rsidR="00B82A12" w:rsidRPr="004B1C55">
        <w:t xml:space="preserve"> </w:t>
      </w:r>
      <w:r w:rsidRPr="004B1C55">
        <w:t>17</w:t>
      </w:r>
      <w:r w:rsidR="00B82A12" w:rsidRPr="004B1C55">
        <w:t>,</w:t>
      </w:r>
      <w:r w:rsidRPr="004B1C55">
        <w:t xml:space="preserve"> r.</w:t>
      </w:r>
      <w:r w:rsidR="00B82A12" w:rsidRPr="004B1C55">
        <w:t xml:space="preserve"> </w:t>
      </w:r>
      <w:r w:rsidRPr="004B1C55">
        <w:t>4.</w:t>
      </w:r>
    </w:p>
    <w:p w14:paraId="43CAFC33" w14:textId="16545A29" w:rsidR="007C0EF4" w:rsidRPr="004B1C55" w:rsidRDefault="007C0EF4" w:rsidP="004B1C55">
      <w:pPr>
        <w:numPr>
          <w:ilvl w:val="0"/>
          <w:numId w:val="43"/>
        </w:numPr>
        <w:spacing w:line="480" w:lineRule="auto"/>
        <w:ind w:left="0" w:firstLine="0"/>
        <w:jc w:val="both"/>
      </w:pPr>
      <w:r w:rsidRPr="004B1C55">
        <w:t xml:space="preserve">It is worth observing that in </w:t>
      </w:r>
      <w:r w:rsidR="00766E92" w:rsidRPr="006B5C44">
        <w:rPr>
          <w:i/>
          <w:iCs/>
        </w:rPr>
        <w:t>Kavanagh &amp;</w:t>
      </w:r>
      <w:r w:rsidR="00FA576E">
        <w:rPr>
          <w:i/>
          <w:iCs/>
        </w:rPr>
        <w:t xml:space="preserve"> </w:t>
      </w:r>
      <w:r w:rsidRPr="004B1C55">
        <w:rPr>
          <w:i/>
        </w:rPr>
        <w:t>Ennis Property Finance DAC v. McLaughlin</w:t>
      </w:r>
      <w:r w:rsidR="00766E92" w:rsidRPr="004B1C55">
        <w:rPr>
          <w:i/>
        </w:rPr>
        <w:t xml:space="preserve"> &amp; Anor. </w:t>
      </w:r>
      <w:r w:rsidR="00766E92" w:rsidRPr="004B1C55">
        <w:t>[2021] IEHC 122</w:t>
      </w:r>
      <w:r w:rsidRPr="004B1C55">
        <w:t xml:space="preserve">, </w:t>
      </w:r>
      <w:r w:rsidR="00D02602" w:rsidRPr="004B1C55">
        <w:t xml:space="preserve">following a transfer of the debt of the debtor, </w:t>
      </w:r>
      <w:r w:rsidRPr="004B1C55">
        <w:t xml:space="preserve">the High Court </w:t>
      </w:r>
      <w:r w:rsidRPr="004B1C55">
        <w:lastRenderedPageBreak/>
        <w:t>made an order under O.</w:t>
      </w:r>
      <w:r w:rsidR="00766E92" w:rsidRPr="004B1C55">
        <w:t xml:space="preserve"> </w:t>
      </w:r>
      <w:r w:rsidRPr="004B1C55">
        <w:t>17</w:t>
      </w:r>
      <w:r w:rsidR="00766E92" w:rsidRPr="004B1C55">
        <w:t>,</w:t>
      </w:r>
      <w:r w:rsidRPr="004B1C55">
        <w:t xml:space="preserve"> r.</w:t>
      </w:r>
      <w:r w:rsidR="00766E92" w:rsidRPr="004B1C55">
        <w:t xml:space="preserve"> </w:t>
      </w:r>
      <w:r w:rsidRPr="004B1C55">
        <w:t xml:space="preserve">4 substituting Pepper </w:t>
      </w:r>
      <w:r w:rsidR="00766E92" w:rsidRPr="004B1C55">
        <w:t xml:space="preserve">Finance Corporation (Ireland) DAC </w:t>
      </w:r>
      <w:r w:rsidRPr="004B1C55">
        <w:t>as the petitioner in a bankruptcy petition in place of Ennis</w:t>
      </w:r>
      <w:r w:rsidR="00766E92" w:rsidRPr="004B1C55">
        <w:t>,</w:t>
      </w:r>
      <w:r w:rsidRPr="004B1C55">
        <w:t xml:space="preserve"> and adjudicated the debtor bankrupt pursuant to a petition presented by Ennis but continued by Pepper. </w:t>
      </w:r>
      <w:r w:rsidR="00B03466" w:rsidRPr="004B1C55">
        <w:t xml:space="preserve"> </w:t>
      </w:r>
      <w:r w:rsidRPr="004B1C55">
        <w:t>The debtor appealed the order dismissing his application to dismiss the bankruptcy summons and the order of adjudication</w:t>
      </w:r>
      <w:r w:rsidR="00B03466" w:rsidRPr="004B1C55">
        <w:t>,</w:t>
      </w:r>
      <w:r w:rsidRPr="004B1C55">
        <w:t xml:space="preserve"> but there was no appeal in respect of the order of substitution.</w:t>
      </w:r>
      <w:r w:rsidR="00B03466" w:rsidRPr="004B1C55">
        <w:t xml:space="preserve"> </w:t>
      </w:r>
      <w:r w:rsidRPr="004B1C55">
        <w:t xml:space="preserve"> The appeal proceeded on the basis of the substitution order made under the rule and </w:t>
      </w:r>
      <w:r w:rsidR="00C065CF" w:rsidRPr="004B1C55">
        <w:t xml:space="preserve">this court </w:t>
      </w:r>
      <w:r w:rsidRPr="004B1C55">
        <w:t xml:space="preserve">expressed no concern as to the rule relied upon, though it </w:t>
      </w:r>
      <w:r w:rsidR="00D02602" w:rsidRPr="004B1C55">
        <w:t xml:space="preserve">should be stated that it </w:t>
      </w:r>
      <w:r w:rsidRPr="004B1C55">
        <w:t>was not an issue in the appeal</w:t>
      </w:r>
      <w:r w:rsidR="00B03466" w:rsidRPr="004B1C55">
        <w:t xml:space="preserve"> (</w:t>
      </w:r>
      <w:r w:rsidR="00B03466" w:rsidRPr="004B1C55">
        <w:rPr>
          <w:i/>
          <w:iCs/>
        </w:rPr>
        <w:t>Ennis Property Finance DAC/Pepper Finance Corporation (Ireland) DAC v. McLaughlin</w:t>
      </w:r>
      <w:r w:rsidR="00B03466" w:rsidRPr="004B1C55">
        <w:t xml:space="preserve"> [2021] IECA 292)</w:t>
      </w:r>
      <w:r w:rsidRPr="004B1C55">
        <w:t>.</w:t>
      </w:r>
      <w:r w:rsidR="00D02602" w:rsidRPr="004B1C55">
        <w:t xml:space="preserve"> </w:t>
      </w:r>
      <w:r w:rsidR="00B03466" w:rsidRPr="004B1C55">
        <w:t xml:space="preserve"> </w:t>
      </w:r>
      <w:r w:rsidR="00D02602" w:rsidRPr="004B1C55">
        <w:t>Nonetheless</w:t>
      </w:r>
      <w:r w:rsidR="00B03466" w:rsidRPr="004B1C55">
        <w:t>,</w:t>
      </w:r>
      <w:r w:rsidR="00D02602" w:rsidRPr="004B1C55">
        <w:t xml:space="preserve"> the decision supports the proposition that there is no such fundamental objection to reliance upon the rule in bankruptcy proceedings as was contended by the appellant.</w:t>
      </w:r>
    </w:p>
    <w:p w14:paraId="5D3A1993" w14:textId="03D37CCB" w:rsidR="006010AC" w:rsidRPr="004B1C55" w:rsidRDefault="006010AC" w:rsidP="004B1C55">
      <w:pPr>
        <w:numPr>
          <w:ilvl w:val="0"/>
          <w:numId w:val="43"/>
        </w:numPr>
        <w:spacing w:line="480" w:lineRule="auto"/>
        <w:ind w:left="0" w:firstLine="0"/>
        <w:jc w:val="both"/>
      </w:pPr>
      <w:r w:rsidRPr="004B1C55">
        <w:t>The second argument advanced by the appellant was based upon his challenge to the validity of the assignment.</w:t>
      </w:r>
      <w:r w:rsidR="00B51EFC" w:rsidRPr="004B1C55">
        <w:t xml:space="preserve"> </w:t>
      </w:r>
      <w:r w:rsidRPr="004B1C55">
        <w:t xml:space="preserve"> He argued that the assignment is not a valid assignment</w:t>
      </w:r>
      <w:r w:rsidR="0073093E" w:rsidRPr="004B1C55">
        <w:t>, that the proofs advanced were flawed,</w:t>
      </w:r>
      <w:r w:rsidRPr="004B1C55">
        <w:t xml:space="preserve"> and </w:t>
      </w:r>
      <w:r w:rsidR="00B51EFC" w:rsidRPr="004B1C55">
        <w:t xml:space="preserve">that </w:t>
      </w:r>
      <w:r w:rsidRPr="004B1C55">
        <w:t xml:space="preserve">he must be afforded an opportunity to challenge the validity of the assignment. </w:t>
      </w:r>
      <w:r w:rsidR="00B51EFC" w:rsidRPr="004B1C55">
        <w:t xml:space="preserve"> </w:t>
      </w:r>
      <w:r w:rsidRPr="004B1C55">
        <w:t xml:space="preserve">He contended that he was entitled to challenge the assignment by challenging the bankruptcy summons rather than at the hearing of the petition. </w:t>
      </w:r>
    </w:p>
    <w:p w14:paraId="18F40F92" w14:textId="13196371" w:rsidR="007D1493" w:rsidRPr="004B1C55" w:rsidRDefault="006010AC" w:rsidP="004B1C55">
      <w:pPr>
        <w:numPr>
          <w:ilvl w:val="0"/>
          <w:numId w:val="43"/>
        </w:numPr>
        <w:spacing w:line="480" w:lineRule="auto"/>
        <w:ind w:left="0" w:firstLine="0"/>
        <w:jc w:val="both"/>
      </w:pPr>
      <w:r w:rsidRPr="004B1C55">
        <w:t xml:space="preserve">There are </w:t>
      </w:r>
      <w:r w:rsidR="00102BF9" w:rsidRPr="004B1C55">
        <w:t>two principal</w:t>
      </w:r>
      <w:r w:rsidRPr="004B1C55">
        <w:t xml:space="preserve"> difficulties with this approach. </w:t>
      </w:r>
      <w:r w:rsidR="00E93107" w:rsidRPr="004B1C55">
        <w:t xml:space="preserve"> </w:t>
      </w:r>
      <w:r w:rsidR="00102BF9" w:rsidRPr="004B1C55">
        <w:t>First, t</w:t>
      </w:r>
      <w:r w:rsidR="007700E6" w:rsidRPr="004B1C55">
        <w:t xml:space="preserve">he appellant contends that he committed no act of bankruptcy </w:t>
      </w:r>
      <w:r w:rsidR="007700E6" w:rsidRPr="004B1C55">
        <w:rPr>
          <w:i/>
        </w:rPr>
        <w:t xml:space="preserve">“in respect of Everyday” </w:t>
      </w:r>
      <w:r w:rsidR="007700E6" w:rsidRPr="004B1C55">
        <w:t xml:space="preserve">and that Everyday has never served a bankruptcy summons on the appellant. </w:t>
      </w:r>
      <w:r w:rsidR="00E93107" w:rsidRPr="004B1C55">
        <w:t xml:space="preserve"> </w:t>
      </w:r>
      <w:r w:rsidR="007700E6" w:rsidRPr="004B1C55">
        <w:t xml:space="preserve">He says he has </w:t>
      </w:r>
      <w:r w:rsidR="00C065CF" w:rsidRPr="004B1C55">
        <w:t xml:space="preserve">been </w:t>
      </w:r>
      <w:r w:rsidR="007700E6" w:rsidRPr="004B1C55">
        <w:t xml:space="preserve">thereby deprived of the opportunity to challenge a bankruptcy summons </w:t>
      </w:r>
      <w:r w:rsidR="00C065CF" w:rsidRPr="004B1C55">
        <w:t xml:space="preserve">issued </w:t>
      </w:r>
      <w:r w:rsidR="007700E6" w:rsidRPr="004B1C55">
        <w:t xml:space="preserve">by </w:t>
      </w:r>
      <w:proofErr w:type="spellStart"/>
      <w:r w:rsidR="007700E6" w:rsidRPr="004B1C55">
        <w:t>Everyday</w:t>
      </w:r>
      <w:proofErr w:type="spellEnd"/>
      <w:r w:rsidR="007700E6" w:rsidRPr="004B1C55">
        <w:t xml:space="preserve"> and has</w:t>
      </w:r>
      <w:r w:rsidR="00E93107" w:rsidRPr="004B1C55">
        <w:t>,</w:t>
      </w:r>
      <w:r w:rsidR="007700E6" w:rsidRPr="004B1C55">
        <w:t xml:space="preserve"> as a result</w:t>
      </w:r>
      <w:r w:rsidR="00E93107" w:rsidRPr="004B1C55">
        <w:t>,</w:t>
      </w:r>
      <w:r w:rsidR="007700E6" w:rsidRPr="004B1C55">
        <w:t xml:space="preserve"> </w:t>
      </w:r>
      <w:r w:rsidR="007700E6" w:rsidRPr="006B5C44">
        <w:rPr>
          <w:iCs/>
        </w:rPr>
        <w:t>been placed</w:t>
      </w:r>
      <w:r w:rsidR="007700E6" w:rsidRPr="004B1C55">
        <w:rPr>
          <w:i/>
        </w:rPr>
        <w:t xml:space="preserve"> </w:t>
      </w:r>
      <w:r w:rsidR="00E93107" w:rsidRPr="004B1C55">
        <w:rPr>
          <w:i/>
        </w:rPr>
        <w:t>“</w:t>
      </w:r>
      <w:r w:rsidR="007700E6" w:rsidRPr="004B1C55">
        <w:rPr>
          <w:i/>
        </w:rPr>
        <w:t>at a profound disadvantage”.</w:t>
      </w:r>
      <w:r w:rsidR="007700E6" w:rsidRPr="004B1C55">
        <w:t xml:space="preserve"> </w:t>
      </w:r>
      <w:r w:rsidR="00E93107" w:rsidRPr="004B1C55">
        <w:t xml:space="preserve"> </w:t>
      </w:r>
      <w:r w:rsidR="00E5086D" w:rsidRPr="004B1C55">
        <w:t>However</w:t>
      </w:r>
      <w:r w:rsidR="00CA3868" w:rsidRPr="004B1C55">
        <w:t>,</w:t>
      </w:r>
      <w:r w:rsidR="00E5086D" w:rsidRPr="004B1C55">
        <w:t xml:space="preserve"> this submission </w:t>
      </w:r>
      <w:r w:rsidR="00E510A8" w:rsidRPr="004B1C55">
        <w:t xml:space="preserve">ignores </w:t>
      </w:r>
      <w:r w:rsidR="00E5086D" w:rsidRPr="004B1C55">
        <w:t>the nature of an act of bankruptcy</w:t>
      </w:r>
      <w:r w:rsidR="00CA3868" w:rsidRPr="004B1C55">
        <w:t>: it is not necessary that it be personal to the petitioner.</w:t>
      </w:r>
      <w:r w:rsidR="00E5086D" w:rsidRPr="004B1C55">
        <w:t xml:space="preserve"> </w:t>
      </w:r>
      <w:r w:rsidR="00E93107" w:rsidRPr="004B1C55">
        <w:t xml:space="preserve"> </w:t>
      </w:r>
      <w:r w:rsidR="00E5086D" w:rsidRPr="004B1C55">
        <w:t>The appellant takes – and took</w:t>
      </w:r>
      <w:r w:rsidR="00E93107" w:rsidRPr="004B1C55">
        <w:t xml:space="preserve"> –</w:t>
      </w:r>
      <w:r w:rsidR="00E5086D" w:rsidRPr="004B1C55">
        <w:t xml:space="preserve"> no issue with the bankruptcy summons issued </w:t>
      </w:r>
      <w:r w:rsidR="00E93107" w:rsidRPr="004B1C55">
        <w:t xml:space="preserve">by </w:t>
      </w:r>
      <w:r w:rsidR="00E5086D" w:rsidRPr="004B1C55">
        <w:t xml:space="preserve">AIB which was served on him on </w:t>
      </w:r>
      <w:r w:rsidR="0073093E" w:rsidRPr="004B1C55">
        <w:t>16 August 2017</w:t>
      </w:r>
      <w:r w:rsidR="00E5086D" w:rsidRPr="004B1C55">
        <w:t xml:space="preserve">. </w:t>
      </w:r>
      <w:r w:rsidR="00E93107" w:rsidRPr="004B1C55">
        <w:t xml:space="preserve"> </w:t>
      </w:r>
      <w:r w:rsidR="00E5086D" w:rsidRPr="004B1C55">
        <w:t xml:space="preserve">As he failed to pay or otherwise compound with his </w:t>
      </w:r>
      <w:r w:rsidR="00CA3868" w:rsidRPr="004B1C55">
        <w:t xml:space="preserve">summoning </w:t>
      </w:r>
      <w:r w:rsidR="00E5086D" w:rsidRPr="004B1C55">
        <w:t>creditor</w:t>
      </w:r>
      <w:r w:rsidR="00CA3868" w:rsidRPr="004B1C55">
        <w:t>,</w:t>
      </w:r>
      <w:r w:rsidR="00E5086D" w:rsidRPr="004B1C55">
        <w:t xml:space="preserve"> he has committed an act of bankruptcy. </w:t>
      </w:r>
      <w:r w:rsidR="00E93107" w:rsidRPr="004B1C55">
        <w:t xml:space="preserve"> </w:t>
      </w:r>
      <w:r w:rsidR="00E5086D" w:rsidRPr="004B1C55">
        <w:t xml:space="preserve">As the trial judge said at para. </w:t>
      </w:r>
      <w:r w:rsidR="00E5086D" w:rsidRPr="004B1C55">
        <w:lastRenderedPageBreak/>
        <w:t xml:space="preserve">18 of her judgment, there was a valid bankruptcy summons and the failure to pay amounts to an act of bankruptcy. </w:t>
      </w:r>
      <w:r w:rsidR="00E93107" w:rsidRPr="004B1C55">
        <w:t xml:space="preserve"> </w:t>
      </w:r>
      <w:r w:rsidR="00E5086D" w:rsidRPr="004B1C55">
        <w:t xml:space="preserve">This act of bankruptcy is not erased because AIB assigned its interest in the judgment debt (and the proceedings) to Everyday. </w:t>
      </w:r>
      <w:r w:rsidR="00E93107" w:rsidRPr="004B1C55">
        <w:t xml:space="preserve"> </w:t>
      </w:r>
      <w:r w:rsidR="00E5086D" w:rsidRPr="004B1C55">
        <w:t xml:space="preserve">The </w:t>
      </w:r>
      <w:r w:rsidR="00E93107" w:rsidRPr="004B1C55">
        <w:t xml:space="preserve">appellant </w:t>
      </w:r>
      <w:r w:rsidR="00E5086D" w:rsidRPr="004B1C55">
        <w:t xml:space="preserve">has committed an act of bankruptcy and it is not necessary to prove a separate, new act of bankruptcy in order for him to be validly adjudicated bankrupt on foot of this act of bankruptcy. </w:t>
      </w:r>
      <w:r w:rsidR="00E93107" w:rsidRPr="004B1C55">
        <w:t xml:space="preserve"> </w:t>
      </w:r>
      <w:r w:rsidR="00E5086D" w:rsidRPr="004B1C55">
        <w:t xml:space="preserve">Bankruptcy proceedings are collective proceedings. </w:t>
      </w:r>
      <w:r w:rsidR="00E93107" w:rsidRPr="004B1C55">
        <w:t xml:space="preserve"> </w:t>
      </w:r>
      <w:r w:rsidR="00E5086D" w:rsidRPr="004B1C55">
        <w:t>While they may be initiated and prosecuted by one creditor, they are for the benefit of all creditors of the debtor</w:t>
      </w:r>
      <w:r w:rsidR="00BC5CF3">
        <w:t xml:space="preserve"> (and indeed, from a certain perspective, the debtor)</w:t>
      </w:r>
      <w:r w:rsidR="00E5086D" w:rsidRPr="004B1C55">
        <w:t xml:space="preserve">. </w:t>
      </w:r>
      <w:r w:rsidR="00E93107" w:rsidRPr="004B1C55">
        <w:t xml:space="preserve"> </w:t>
      </w:r>
      <w:r w:rsidR="00E5086D" w:rsidRPr="004B1C55">
        <w:t xml:space="preserve">They are thus different to normal </w:t>
      </w:r>
      <w:r w:rsidR="00E5086D" w:rsidRPr="006B5C44">
        <w:rPr>
          <w:i/>
          <w:iCs/>
        </w:rPr>
        <w:t xml:space="preserve">inter </w:t>
      </w:r>
      <w:proofErr w:type="spellStart"/>
      <w:r w:rsidR="00E5086D" w:rsidRPr="006B5C44">
        <w:rPr>
          <w:i/>
          <w:iCs/>
        </w:rPr>
        <w:t>partes</w:t>
      </w:r>
      <w:proofErr w:type="spellEnd"/>
      <w:r w:rsidR="00E5086D" w:rsidRPr="004B1C55">
        <w:t xml:space="preserve"> litigation.</w:t>
      </w:r>
    </w:p>
    <w:p w14:paraId="66060E7B" w14:textId="74C2E40A" w:rsidR="00CA3868" w:rsidRPr="004B1C55" w:rsidRDefault="007D1493" w:rsidP="004B1C55">
      <w:pPr>
        <w:numPr>
          <w:ilvl w:val="0"/>
          <w:numId w:val="43"/>
        </w:numPr>
        <w:spacing w:line="480" w:lineRule="auto"/>
        <w:ind w:left="0" w:firstLine="0"/>
        <w:jc w:val="both"/>
      </w:pPr>
      <w:r w:rsidRPr="004B1C55">
        <w:t>Th</w:t>
      </w:r>
      <w:r w:rsidR="00C065CF" w:rsidRPr="004B1C55">
        <w:t>at</w:t>
      </w:r>
      <w:r w:rsidR="00E5086D" w:rsidRPr="004B1C55">
        <w:t xml:space="preserve"> act</w:t>
      </w:r>
      <w:r w:rsidR="00C065CF" w:rsidRPr="004B1C55">
        <w:t>s</w:t>
      </w:r>
      <w:r w:rsidR="00E5086D" w:rsidRPr="004B1C55">
        <w:t xml:space="preserve"> of bankruptcy need not be </w:t>
      </w:r>
      <w:r w:rsidRPr="004B1C55">
        <w:t>personal to</w:t>
      </w:r>
      <w:r w:rsidR="00E5086D" w:rsidRPr="004B1C55">
        <w:t xml:space="preserve"> the petitioning creditor</w:t>
      </w:r>
      <w:r w:rsidR="00C065CF" w:rsidRPr="004B1C55">
        <w:t xml:space="preserve"> is evident from the provisions of </w:t>
      </w:r>
      <w:r w:rsidR="00CA3868" w:rsidRPr="004B1C55">
        <w:t xml:space="preserve"> s.</w:t>
      </w:r>
      <w:r w:rsidR="00DA7E1A" w:rsidRPr="004B1C55">
        <w:t xml:space="preserve"> </w:t>
      </w:r>
      <w:r w:rsidR="00CA3868" w:rsidRPr="004B1C55">
        <w:t>7 of the Bankruptcy Act 1988 (as amended)</w:t>
      </w:r>
      <w:r w:rsidR="00C065CF" w:rsidRPr="004B1C55">
        <w:t>.  This identifies such acts</w:t>
      </w:r>
      <w:r w:rsidR="00CA3868" w:rsidRPr="004B1C55">
        <w:t xml:space="preserve"> as follows</w:t>
      </w:r>
      <w:r w:rsidR="00DC3D00" w:rsidRPr="004B1C55">
        <w:t>:-</w:t>
      </w:r>
    </w:p>
    <w:p w14:paraId="1166789A" w14:textId="77777777" w:rsidR="00DC3D00" w:rsidRPr="004B1C55" w:rsidRDefault="00DC3D00" w:rsidP="004B1C55">
      <w:pPr>
        <w:spacing w:line="480" w:lineRule="auto"/>
        <w:ind w:left="567"/>
        <w:jc w:val="both"/>
        <w:rPr>
          <w:i/>
          <w:iCs/>
        </w:rPr>
      </w:pPr>
      <w:r w:rsidRPr="004B1C55">
        <w:rPr>
          <w:i/>
          <w:iCs/>
        </w:rPr>
        <w:t>“7. (1) An individual (in this Act called a “debtor”) commits an act of bankruptcy in each of the following cases—</w:t>
      </w:r>
    </w:p>
    <w:p w14:paraId="232D5F59" w14:textId="77777777" w:rsidR="00DC3D00" w:rsidRPr="004B1C55" w:rsidRDefault="00DC3D00" w:rsidP="004B1C55">
      <w:pPr>
        <w:spacing w:line="480" w:lineRule="auto"/>
        <w:ind w:left="1134"/>
        <w:jc w:val="both"/>
        <w:rPr>
          <w:i/>
          <w:iCs/>
        </w:rPr>
      </w:pPr>
      <w:r w:rsidRPr="004B1C55">
        <w:rPr>
          <w:i/>
          <w:iCs/>
        </w:rPr>
        <w:t>(a) if in the State or elsewhere he makes a conveyance or assignment of all or substantially all of his property to a trustee or trustees for the benefit of his creditors generally;</w:t>
      </w:r>
    </w:p>
    <w:p w14:paraId="1EAFA40A" w14:textId="77777777" w:rsidR="00DC3D00" w:rsidRPr="004B1C55" w:rsidRDefault="00DC3D00" w:rsidP="004B1C55">
      <w:pPr>
        <w:spacing w:line="480" w:lineRule="auto"/>
        <w:ind w:left="1134"/>
        <w:jc w:val="both"/>
        <w:rPr>
          <w:i/>
          <w:iCs/>
        </w:rPr>
      </w:pPr>
      <w:r w:rsidRPr="004B1C55">
        <w:rPr>
          <w:i/>
          <w:iCs/>
        </w:rPr>
        <w:t>(b) if in the State or elsewhere he makes a fraudulent conveyance, gift, delivery or transfer of his property or any part thereof;</w:t>
      </w:r>
    </w:p>
    <w:p w14:paraId="5334CAC7" w14:textId="77777777" w:rsidR="00DC3D00" w:rsidRPr="004B1C55" w:rsidRDefault="00DC3D00" w:rsidP="004B1C55">
      <w:pPr>
        <w:spacing w:line="480" w:lineRule="auto"/>
        <w:ind w:left="1134"/>
        <w:jc w:val="both"/>
        <w:rPr>
          <w:i/>
          <w:iCs/>
        </w:rPr>
      </w:pPr>
      <w:r w:rsidRPr="004B1C55">
        <w:rPr>
          <w:i/>
          <w:iCs/>
        </w:rPr>
        <w:t>(c) if in the State or elsewhere he makes any conveyance or transfer of his property or any part thereof, or creates any charge thereon, which would under this or any other Act be void as a fraudulent preference if he were adjudicated bankrupt;</w:t>
      </w:r>
    </w:p>
    <w:p w14:paraId="2B542882" w14:textId="77777777" w:rsidR="00DC3D00" w:rsidRPr="004B1C55" w:rsidRDefault="00DC3D00" w:rsidP="004B1C55">
      <w:pPr>
        <w:spacing w:line="480" w:lineRule="auto"/>
        <w:ind w:left="1134"/>
        <w:jc w:val="both"/>
        <w:rPr>
          <w:i/>
          <w:iCs/>
        </w:rPr>
      </w:pPr>
      <w:r w:rsidRPr="004B1C55">
        <w:rPr>
          <w:i/>
          <w:iCs/>
        </w:rPr>
        <w:lastRenderedPageBreak/>
        <w:t>(ca) the individual has been subject as a debtor to a Debt Settlement Arrangement which has been terminated under section 83 of the Personal Insolvency Act 2012;</w:t>
      </w:r>
    </w:p>
    <w:p w14:paraId="56A2D280" w14:textId="77777777" w:rsidR="00DC3D00" w:rsidRPr="004B1C55" w:rsidRDefault="00DC3D00" w:rsidP="004B1C55">
      <w:pPr>
        <w:spacing w:line="480" w:lineRule="auto"/>
        <w:ind w:left="1134"/>
        <w:jc w:val="both"/>
        <w:rPr>
          <w:i/>
          <w:iCs/>
        </w:rPr>
      </w:pPr>
      <w:r w:rsidRPr="004B1C55">
        <w:rPr>
          <w:i/>
          <w:iCs/>
        </w:rPr>
        <w:t>(</w:t>
      </w:r>
      <w:proofErr w:type="spellStart"/>
      <w:r w:rsidRPr="004B1C55">
        <w:rPr>
          <w:i/>
          <w:iCs/>
        </w:rPr>
        <w:t>cb</w:t>
      </w:r>
      <w:proofErr w:type="spellEnd"/>
      <w:r w:rsidRPr="004B1C55">
        <w:rPr>
          <w:i/>
          <w:iCs/>
        </w:rPr>
        <w:t>) the individual has been subject as a debtor to a Debt Settlement Arrangement which under section 84 of the Personal Insolvency Act 2012 is deemed to have failed;</w:t>
      </w:r>
    </w:p>
    <w:p w14:paraId="3F725915" w14:textId="77777777" w:rsidR="00DC3D00" w:rsidRPr="004B1C55" w:rsidRDefault="00DC3D00" w:rsidP="004B1C55">
      <w:pPr>
        <w:spacing w:line="480" w:lineRule="auto"/>
        <w:ind w:left="1134"/>
        <w:jc w:val="both"/>
        <w:rPr>
          <w:i/>
          <w:iCs/>
        </w:rPr>
      </w:pPr>
      <w:r w:rsidRPr="004B1C55">
        <w:rPr>
          <w:i/>
          <w:iCs/>
        </w:rPr>
        <w:t>(cc) the individual has been subject as a debtor to a Personal Insolvency Arrangement which has been terminated under section 122 of the Personal Insolvency Act 2012;</w:t>
      </w:r>
    </w:p>
    <w:p w14:paraId="20D059A4" w14:textId="77777777" w:rsidR="00DC3D00" w:rsidRPr="004B1C55" w:rsidRDefault="00DC3D00" w:rsidP="004B1C55">
      <w:pPr>
        <w:spacing w:line="480" w:lineRule="auto"/>
        <w:ind w:left="1134"/>
        <w:jc w:val="both"/>
        <w:rPr>
          <w:i/>
          <w:iCs/>
        </w:rPr>
      </w:pPr>
      <w:r w:rsidRPr="004B1C55">
        <w:rPr>
          <w:i/>
          <w:iCs/>
        </w:rPr>
        <w:t xml:space="preserve">(cd) the individual has been subject as a debtor to a Personal Insolvency Arrangement which under section 123 of the Personal Insolvency Act 2012 is deemed to have failed; </w:t>
      </w:r>
    </w:p>
    <w:p w14:paraId="740BA857" w14:textId="77777777" w:rsidR="00DC3D00" w:rsidRPr="004B1C55" w:rsidRDefault="00DC3D00" w:rsidP="004B1C55">
      <w:pPr>
        <w:spacing w:line="480" w:lineRule="auto"/>
        <w:ind w:left="1134"/>
        <w:jc w:val="both"/>
        <w:rPr>
          <w:i/>
          <w:iCs/>
        </w:rPr>
      </w:pPr>
      <w:r w:rsidRPr="004B1C55">
        <w:rPr>
          <w:i/>
          <w:iCs/>
        </w:rPr>
        <w:t>(d) if with intent to defeat or delay his creditors he leaves the State or being out of the State remains out of the State or departs from his dwelling-house or otherwise absents himself or evades his creditors;</w:t>
      </w:r>
    </w:p>
    <w:p w14:paraId="7E46018B" w14:textId="77777777" w:rsidR="00DC3D00" w:rsidRPr="004B1C55" w:rsidRDefault="00DC3D00" w:rsidP="004B1C55">
      <w:pPr>
        <w:spacing w:line="480" w:lineRule="auto"/>
        <w:ind w:left="1134"/>
        <w:jc w:val="both"/>
        <w:rPr>
          <w:i/>
          <w:iCs/>
        </w:rPr>
      </w:pPr>
      <w:r w:rsidRPr="004B1C55">
        <w:rPr>
          <w:i/>
          <w:iCs/>
        </w:rPr>
        <w:t>(e) if he files in the Court a declaration of insolvency;</w:t>
      </w:r>
    </w:p>
    <w:p w14:paraId="5EB64015" w14:textId="77777777" w:rsidR="00DC3D00" w:rsidRPr="004B1C55" w:rsidRDefault="00DC3D00" w:rsidP="004B1C55">
      <w:pPr>
        <w:spacing w:line="480" w:lineRule="auto"/>
        <w:ind w:left="1134"/>
        <w:jc w:val="both"/>
        <w:rPr>
          <w:i/>
          <w:iCs/>
        </w:rPr>
      </w:pPr>
      <w:r w:rsidRPr="004B1C55">
        <w:rPr>
          <w:i/>
          <w:iCs/>
        </w:rPr>
        <w:t>(f) if execution against him has been levied by the seizure of his goods under an order of any court or if a return of no goods has been made by the sheriff or county registrar whether by endorsement on the order or otherwise;</w:t>
      </w:r>
    </w:p>
    <w:p w14:paraId="10C558F2" w14:textId="77777777" w:rsidR="00DC3D00" w:rsidRPr="004B1C55" w:rsidRDefault="00DC3D00" w:rsidP="004B1C55">
      <w:pPr>
        <w:spacing w:line="480" w:lineRule="auto"/>
        <w:ind w:left="1134"/>
        <w:jc w:val="both"/>
        <w:rPr>
          <w:i/>
          <w:iCs/>
        </w:rPr>
      </w:pPr>
      <w:r w:rsidRPr="004B1C55">
        <w:rPr>
          <w:i/>
          <w:iCs/>
        </w:rPr>
        <w:t>(g) if the creditor presenting a petition has served upon the debtor in the prescribed manner a bankruptcy summons, and he does not within fourteen days after service of the summons pay the sum referred to in the summons or secure or compound for it to the satisfaction of the creditor.”</w:t>
      </w:r>
    </w:p>
    <w:p w14:paraId="7DF2044B" w14:textId="50EB520C" w:rsidR="00CA3868" w:rsidRPr="004B1C55" w:rsidRDefault="00CA3868" w:rsidP="004B1C55">
      <w:pPr>
        <w:numPr>
          <w:ilvl w:val="0"/>
          <w:numId w:val="43"/>
        </w:numPr>
        <w:spacing w:line="480" w:lineRule="auto"/>
        <w:ind w:left="0" w:firstLine="0"/>
        <w:jc w:val="both"/>
      </w:pPr>
      <w:r w:rsidRPr="004B1C55">
        <w:t>Many of these do not relate to any particular creditor but rather affect (prejudicially) the entire body of creditors.</w:t>
      </w:r>
      <w:r w:rsidR="007D1493" w:rsidRPr="004B1C55">
        <w:t xml:space="preserve"> </w:t>
      </w:r>
      <w:r w:rsidR="00BA37E1" w:rsidRPr="004B1C55">
        <w:t xml:space="preserve"> </w:t>
      </w:r>
      <w:r w:rsidR="007D1493" w:rsidRPr="004B1C55">
        <w:t xml:space="preserve">This reinforces the fact that there is no requirement for Everyday </w:t>
      </w:r>
      <w:r w:rsidR="007D1493" w:rsidRPr="004B1C55">
        <w:lastRenderedPageBreak/>
        <w:t>to prove at the hearing of the petition that there has been an act of bankruptcy personal to it</w:t>
      </w:r>
      <w:r w:rsidR="00BA37E1" w:rsidRPr="004B1C55">
        <w:t>,</w:t>
      </w:r>
      <w:r w:rsidR="009B6775" w:rsidRPr="004B1C55">
        <w:t xml:space="preserve"> and that all </w:t>
      </w:r>
      <w:r w:rsidR="007D1493" w:rsidRPr="004B1C55">
        <w:t xml:space="preserve">it must prove </w:t>
      </w:r>
      <w:r w:rsidR="009B6775" w:rsidRPr="004B1C55">
        <w:t xml:space="preserve">is </w:t>
      </w:r>
      <w:r w:rsidR="007D1493" w:rsidRPr="004B1C55">
        <w:t>that there was an act of bankruptcy committed by the appellant.</w:t>
      </w:r>
    </w:p>
    <w:p w14:paraId="489B9CEB" w14:textId="73B350D6" w:rsidR="00344230" w:rsidRPr="004B1C55" w:rsidRDefault="007D1493" w:rsidP="004B1C55">
      <w:pPr>
        <w:numPr>
          <w:ilvl w:val="0"/>
          <w:numId w:val="43"/>
        </w:numPr>
        <w:spacing w:line="480" w:lineRule="auto"/>
        <w:ind w:left="0" w:firstLine="0"/>
        <w:jc w:val="both"/>
      </w:pPr>
      <w:r w:rsidRPr="004B1C55">
        <w:t xml:space="preserve">The appellant is not unfairly prejudiced by this conclusion. </w:t>
      </w:r>
      <w:r w:rsidR="00BA6577" w:rsidRPr="004B1C55">
        <w:t xml:space="preserve"> </w:t>
      </w:r>
      <w:r w:rsidRPr="004B1C55">
        <w:t>He had the opportunity, if he so wished, to challenge the validity of the bankruptcy summons served upon him on 16 August 2017.</w:t>
      </w:r>
      <w:r w:rsidR="00BA6577" w:rsidRPr="004B1C55">
        <w:t xml:space="preserve"> </w:t>
      </w:r>
      <w:r w:rsidRPr="004B1C55">
        <w:t xml:space="preserve"> He must be taken to have accepted its validity, or at the very least, </w:t>
      </w:r>
      <w:r w:rsidR="00E510A8" w:rsidRPr="004B1C55">
        <w:t xml:space="preserve">to have </w:t>
      </w:r>
      <w:r w:rsidRPr="004B1C55">
        <w:t xml:space="preserve">waived his right to challenge it, by his inaction. </w:t>
      </w:r>
      <w:r w:rsidR="00BA6577" w:rsidRPr="004B1C55">
        <w:t xml:space="preserve"> </w:t>
      </w:r>
      <w:r w:rsidRPr="004B1C55">
        <w:t xml:space="preserve">Section 8(5) of the Act of 1988 permits a debtor served with a bankruptcy summons to </w:t>
      </w:r>
      <w:r w:rsidRPr="004B1C55">
        <w:rPr>
          <w:i/>
        </w:rPr>
        <w:t>“apply to the Court in the prescribed manner and within the prescribed time to dismiss the summons.”</w:t>
      </w:r>
      <w:r w:rsidRPr="004B1C55">
        <w:t xml:space="preserve"> </w:t>
      </w:r>
      <w:r w:rsidR="00BA6577" w:rsidRPr="004B1C55">
        <w:t xml:space="preserve"> </w:t>
      </w:r>
      <w:r w:rsidRPr="004B1C55">
        <w:t>Once the prescribed time has elapsed, the debtor may no longer challenge the validity of the summons.</w:t>
      </w:r>
      <w:r w:rsidR="00344230" w:rsidRPr="004B1C55">
        <w:t xml:space="preserve"> </w:t>
      </w:r>
      <w:r w:rsidR="00BA6577" w:rsidRPr="004B1C55">
        <w:t xml:space="preserve"> </w:t>
      </w:r>
      <w:r w:rsidR="00344230" w:rsidRPr="004B1C55">
        <w:t>The provisions of s.</w:t>
      </w:r>
      <w:r w:rsidR="00BA6577" w:rsidRPr="004B1C55">
        <w:t xml:space="preserve"> </w:t>
      </w:r>
      <w:r w:rsidR="00344230" w:rsidRPr="004B1C55">
        <w:t xml:space="preserve">8(6)(b), upon which the appellant relied in the High Court and before this court, can only apply where there is an application to dismiss a bankruptcy summons. </w:t>
      </w:r>
      <w:r w:rsidR="00BA6577" w:rsidRPr="004B1C55">
        <w:t xml:space="preserve"> </w:t>
      </w:r>
      <w:r w:rsidR="00344230" w:rsidRPr="004B1C55">
        <w:t>There is no such application</w:t>
      </w:r>
      <w:r w:rsidR="00276C8C" w:rsidRPr="004B1C55">
        <w:t>,</w:t>
      </w:r>
      <w:r w:rsidR="00344230" w:rsidRPr="004B1C55">
        <w:t xml:space="preserve"> </w:t>
      </w:r>
      <w:r w:rsidR="00A67116" w:rsidRPr="004B1C55">
        <w:t xml:space="preserve">hence </w:t>
      </w:r>
      <w:r w:rsidR="00344230" w:rsidRPr="004B1C55">
        <w:t>the reliance upon s.</w:t>
      </w:r>
      <w:r w:rsidR="00BA6577" w:rsidRPr="004B1C55">
        <w:t xml:space="preserve"> </w:t>
      </w:r>
      <w:r w:rsidR="00344230" w:rsidRPr="004B1C55">
        <w:t xml:space="preserve">8(6)(b) is misconceived. </w:t>
      </w:r>
      <w:r w:rsidR="00BA6577" w:rsidRPr="004B1C55">
        <w:t xml:space="preserve"> </w:t>
      </w:r>
      <w:r w:rsidR="00276C8C" w:rsidRPr="004B1C55">
        <w:t>T</w:t>
      </w:r>
      <w:r w:rsidR="00344230" w:rsidRPr="004B1C55">
        <w:t xml:space="preserve">he fact that it may be possible to apply to dismiss a bankruptcy summons if a new summons is served on him </w:t>
      </w:r>
      <w:r w:rsidR="00C278C6" w:rsidRPr="004B1C55">
        <w:t xml:space="preserve">or her </w:t>
      </w:r>
      <w:r w:rsidR="00344230" w:rsidRPr="004B1C55">
        <w:t>does not mean that a debtor must be afforded an opportunity to do so</w:t>
      </w:r>
      <w:r w:rsidR="00276C8C" w:rsidRPr="004B1C55">
        <w:t>.</w:t>
      </w:r>
      <w:r w:rsidR="00BA6577" w:rsidRPr="004B1C55">
        <w:t xml:space="preserve"> </w:t>
      </w:r>
      <w:r w:rsidR="00276C8C" w:rsidRPr="004B1C55">
        <w:t xml:space="preserve"> It does not introduce an obligation to issue a second bankruptcy summons where there is no basis for requiring a creditor to do so</w:t>
      </w:r>
      <w:r w:rsidR="00BA6577" w:rsidRPr="004B1C55">
        <w:t>,</w:t>
      </w:r>
      <w:r w:rsidR="00276C8C" w:rsidRPr="004B1C55">
        <w:t xml:space="preserve"> absent the alleged right to the opportunity to challenge a new bankruptcy summons</w:t>
      </w:r>
      <w:r w:rsidR="00344230" w:rsidRPr="004B1C55">
        <w:t>.</w:t>
      </w:r>
    </w:p>
    <w:p w14:paraId="515BA28A" w14:textId="4BB34A86" w:rsidR="00E506D3" w:rsidRPr="004B1C55" w:rsidRDefault="00E506D3" w:rsidP="004B1C55">
      <w:pPr>
        <w:numPr>
          <w:ilvl w:val="0"/>
          <w:numId w:val="43"/>
        </w:numPr>
        <w:spacing w:line="480" w:lineRule="auto"/>
        <w:ind w:left="0" w:firstLine="0"/>
        <w:jc w:val="both"/>
      </w:pPr>
      <w:r w:rsidRPr="004B1C55">
        <w:t>It is also worth recalling that the commission of an act of bankruptcy by the appellant had the effect of conferring on AIB the right to petition for his bankruptcy.</w:t>
      </w:r>
      <w:r w:rsidR="006B65F1" w:rsidRPr="004B1C55">
        <w:t xml:space="preserve"> </w:t>
      </w:r>
      <w:r w:rsidRPr="004B1C55">
        <w:t xml:space="preserve"> This right is a legal chose in action within the meaning of s.</w:t>
      </w:r>
      <w:r w:rsidR="006B65F1" w:rsidRPr="004B1C55">
        <w:t xml:space="preserve"> </w:t>
      </w:r>
      <w:r w:rsidRPr="004B1C55">
        <w:t xml:space="preserve">28(6) of the Judicature Act (Ireland) 1877, and is a right or chose that is connected to and supports the primary contractual right of AIB in the debt and the monetary judgment obtained against the appellant. </w:t>
      </w:r>
      <w:r w:rsidR="006B65F1" w:rsidRPr="004B1C55">
        <w:t xml:space="preserve"> </w:t>
      </w:r>
      <w:r w:rsidRPr="004B1C55">
        <w:t xml:space="preserve">AIB </w:t>
      </w:r>
      <w:r w:rsidR="002F60BF" w:rsidRPr="004B1C55">
        <w:t>presente</w:t>
      </w:r>
      <w:r w:rsidRPr="004B1C55">
        <w:t xml:space="preserve">d the </w:t>
      </w:r>
      <w:r w:rsidR="002F60BF" w:rsidRPr="004B1C55">
        <w:t>petition and by the time of the assignment to Everyday</w:t>
      </w:r>
      <w:r w:rsidR="006B65F1" w:rsidRPr="004B1C55">
        <w:t>,</w:t>
      </w:r>
      <w:r w:rsidR="002F60BF" w:rsidRPr="004B1C55">
        <w:t xml:space="preserve"> the chose in action had advanced to the point where AIB had the right to present the petition and seek an adjudication of </w:t>
      </w:r>
      <w:r w:rsidR="002F60BF" w:rsidRPr="004B1C55">
        <w:lastRenderedPageBreak/>
        <w:t xml:space="preserve">bankruptcy. </w:t>
      </w:r>
      <w:r w:rsidR="006B65F1" w:rsidRPr="004B1C55">
        <w:t xml:space="preserve"> </w:t>
      </w:r>
      <w:r w:rsidR="002F60BF" w:rsidRPr="004B1C55">
        <w:t>The assignment had the effect of assigning to Everyday the benefit of all steps taken by AIB up to that point in furtherance of AIB’s chose in action.</w:t>
      </w:r>
    </w:p>
    <w:p w14:paraId="14DFBDF6" w14:textId="41310FAA" w:rsidR="007D1493" w:rsidRPr="004B1C55" w:rsidRDefault="00344230" w:rsidP="004B1C55">
      <w:pPr>
        <w:numPr>
          <w:ilvl w:val="0"/>
          <w:numId w:val="43"/>
        </w:numPr>
        <w:spacing w:line="480" w:lineRule="auto"/>
        <w:ind w:left="0" w:firstLine="0"/>
        <w:jc w:val="both"/>
      </w:pPr>
      <w:r w:rsidRPr="004B1C55">
        <w:t>I</w:t>
      </w:r>
      <w:r w:rsidR="00A67116" w:rsidRPr="004B1C55">
        <w:t>t follows that</w:t>
      </w:r>
      <w:r w:rsidR="006B65F1" w:rsidRPr="004B1C55">
        <w:t>,</w:t>
      </w:r>
      <w:r w:rsidR="00A67116" w:rsidRPr="004B1C55">
        <w:t xml:space="preserve"> i</w:t>
      </w:r>
      <w:r w:rsidRPr="004B1C55">
        <w:t>n my judgment</w:t>
      </w:r>
      <w:r w:rsidR="006B65F1" w:rsidRPr="004B1C55">
        <w:t>,</w:t>
      </w:r>
      <w:r w:rsidRPr="004B1C55">
        <w:t xml:space="preserve"> there is no requirement that Everyday issue and serve a new bankruptcy summons; at the hearing of the petition it may rely upon the bankruptcy summons issued and served by AIB on the appellant, the fact that the appellant has not paid the sum claimed or compounded with AIB and the fact that AIB issued a petition on foot of that act of bankruptcy on 14 November 2017. </w:t>
      </w:r>
    </w:p>
    <w:p w14:paraId="668750FE" w14:textId="1232B238" w:rsidR="006010AC" w:rsidRPr="004B1C55" w:rsidRDefault="006010AC" w:rsidP="004B1C55">
      <w:pPr>
        <w:numPr>
          <w:ilvl w:val="0"/>
          <w:numId w:val="43"/>
        </w:numPr>
        <w:spacing w:line="480" w:lineRule="auto"/>
        <w:ind w:left="0" w:firstLine="0"/>
        <w:jc w:val="both"/>
      </w:pPr>
      <w:r w:rsidRPr="004B1C55">
        <w:t xml:space="preserve">The </w:t>
      </w:r>
      <w:r w:rsidR="004D05AD" w:rsidRPr="004B1C55">
        <w:t>second problem with the appellant’s claim that the order of substitution deprives him of a fair opportunity to challenge the validity of the assignment of the judgment debt arises from the conduct of the PIA application.</w:t>
      </w:r>
      <w:r w:rsidRPr="004B1C55">
        <w:t xml:space="preserve"> </w:t>
      </w:r>
      <w:r w:rsidR="00343B3D" w:rsidRPr="004B1C55">
        <w:t xml:space="preserve"> </w:t>
      </w:r>
      <w:r w:rsidR="004D05AD" w:rsidRPr="004B1C55">
        <w:t>T</w:t>
      </w:r>
      <w:r w:rsidRPr="004B1C55">
        <w:t xml:space="preserve">he appellant sought a </w:t>
      </w:r>
      <w:r w:rsidR="00F51FDE" w:rsidRPr="004B1C55">
        <w:t>PC</w:t>
      </w:r>
      <w:r w:rsidR="00A67116" w:rsidRPr="004B1C55">
        <w:t xml:space="preserve"> </w:t>
      </w:r>
      <w:r w:rsidRPr="004B1C55">
        <w:t xml:space="preserve">with a view to endeavouring to put in place a personal insolvency arrangement, </w:t>
      </w:r>
      <w:r w:rsidR="00A67116" w:rsidRPr="004B1C55">
        <w:t xml:space="preserve">and when he did so </w:t>
      </w:r>
      <w:r w:rsidRPr="004B1C55">
        <w:t>he acknowledged the debt due to AIB.</w:t>
      </w:r>
      <w:r w:rsidR="00343B3D" w:rsidRPr="004B1C55">
        <w:t xml:space="preserve"> </w:t>
      </w:r>
      <w:r w:rsidRPr="004B1C55">
        <w:t xml:space="preserve"> He may not go behind that acknowledgement and he has not sought to deny the debt due to AIB. </w:t>
      </w:r>
      <w:r w:rsidR="00343B3D" w:rsidRPr="004B1C55">
        <w:t xml:space="preserve"> </w:t>
      </w:r>
      <w:r w:rsidRPr="004B1C55">
        <w:t>In May 2018</w:t>
      </w:r>
      <w:r w:rsidR="00343B3D" w:rsidRPr="004B1C55">
        <w:t>,</w:t>
      </w:r>
      <w:r w:rsidRPr="004B1C55">
        <w:t xml:space="preserve"> he was notified of the agreement of AIB to sell the loans and related security, including the judgment debt</w:t>
      </w:r>
      <w:r w:rsidR="00343B3D" w:rsidRPr="004B1C55">
        <w:t>,</w:t>
      </w:r>
      <w:r w:rsidRPr="004B1C55">
        <w:t xml:space="preserve"> to Everyday. </w:t>
      </w:r>
      <w:r w:rsidR="00343B3D" w:rsidRPr="004B1C55">
        <w:t xml:space="preserve"> </w:t>
      </w:r>
      <w:r w:rsidRPr="004B1C55">
        <w:t>In August 2018</w:t>
      </w:r>
      <w:r w:rsidR="00343B3D" w:rsidRPr="004B1C55">
        <w:t>,</w:t>
      </w:r>
      <w:r w:rsidRPr="004B1C55">
        <w:t xml:space="preserve"> he and </w:t>
      </w:r>
      <w:r w:rsidR="00F32444" w:rsidRPr="004B1C55">
        <w:t xml:space="preserve">the practitioner </w:t>
      </w:r>
      <w:r w:rsidRPr="004B1C55">
        <w:t>were informed that the transfer had occurred.</w:t>
      </w:r>
      <w:r w:rsidR="00C56422" w:rsidRPr="004B1C55">
        <w:t xml:space="preserve"> </w:t>
      </w:r>
      <w:r w:rsidRPr="004B1C55">
        <w:t xml:space="preserve"> In October 2018</w:t>
      </w:r>
      <w:r w:rsidR="00C56422" w:rsidRPr="004B1C55">
        <w:t>,</w:t>
      </w:r>
      <w:r w:rsidRPr="004B1C55">
        <w:t xml:space="preserve"> he was contacted by the company appointed to administer the loans by Everyday with details of the new accounts to which payment should be made. </w:t>
      </w:r>
      <w:r w:rsidR="00C56422" w:rsidRPr="004B1C55">
        <w:t xml:space="preserve"> </w:t>
      </w:r>
      <w:r w:rsidRPr="004B1C55">
        <w:t>There was no doubt that the appellant had ample opportunity to investigate the validity of the assignment and</w:t>
      </w:r>
      <w:r w:rsidR="00C56422" w:rsidRPr="004B1C55">
        <w:t>,</w:t>
      </w:r>
      <w:r w:rsidRPr="004B1C55">
        <w:t xml:space="preserve"> if necessary</w:t>
      </w:r>
      <w:r w:rsidR="00C56422" w:rsidRPr="004B1C55">
        <w:t>,</w:t>
      </w:r>
      <w:r w:rsidRPr="004B1C55">
        <w:t xml:space="preserve"> to challenge it. </w:t>
      </w:r>
      <w:r w:rsidR="00C56422" w:rsidRPr="004B1C55">
        <w:t xml:space="preserve"> </w:t>
      </w:r>
      <w:r w:rsidRPr="004B1C55">
        <w:t xml:space="preserve">He chose not to do so. </w:t>
      </w:r>
      <w:r w:rsidR="00C56422" w:rsidRPr="004B1C55">
        <w:t xml:space="preserve"> </w:t>
      </w:r>
      <w:r w:rsidRPr="004B1C55">
        <w:t xml:space="preserve">I infer that this is because the appellant was anxious to pursue the proposed PIA and thus it was in his interests to accept that </w:t>
      </w:r>
      <w:proofErr w:type="spellStart"/>
      <w:r w:rsidRPr="004B1C55">
        <w:t>Everyday</w:t>
      </w:r>
      <w:proofErr w:type="spellEnd"/>
      <w:r w:rsidRPr="004B1C55">
        <w:t xml:space="preserve"> was the assignee of the judgment debt and therefore would be bound by the terms of the PIA, if the s. 115A application was approved by the High Court. </w:t>
      </w:r>
      <w:r w:rsidR="00C56422" w:rsidRPr="004B1C55">
        <w:t xml:space="preserve"> </w:t>
      </w:r>
      <w:r w:rsidRPr="004B1C55">
        <w:t xml:space="preserve">It was in his interests that </w:t>
      </w:r>
      <w:proofErr w:type="spellStart"/>
      <w:r w:rsidRPr="004B1C55">
        <w:t>Everyday</w:t>
      </w:r>
      <w:proofErr w:type="spellEnd"/>
      <w:r w:rsidRPr="004B1C55">
        <w:t xml:space="preserve"> was admitted as a creditor and the assignee of AIB in the PIA </w:t>
      </w:r>
      <w:r w:rsidR="00C56422" w:rsidRPr="004B1C55">
        <w:t>application</w:t>
      </w:r>
      <w:r w:rsidRPr="004B1C55">
        <w:t xml:space="preserve">. </w:t>
      </w:r>
    </w:p>
    <w:p w14:paraId="703B1D2D" w14:textId="37586D70" w:rsidR="006010AC" w:rsidRPr="004B1C55" w:rsidRDefault="006010AC" w:rsidP="004B1C55">
      <w:pPr>
        <w:numPr>
          <w:ilvl w:val="0"/>
          <w:numId w:val="43"/>
        </w:numPr>
        <w:spacing w:line="480" w:lineRule="auto"/>
        <w:ind w:left="0" w:firstLine="0"/>
        <w:jc w:val="both"/>
      </w:pPr>
      <w:r w:rsidRPr="004B1C55">
        <w:lastRenderedPageBreak/>
        <w:t xml:space="preserve">There was evidence from a director of Everyday that it was the assignee of the debt. The evidence was not challenged by either the practitioner or the appellant. </w:t>
      </w:r>
      <w:r w:rsidR="00C56422" w:rsidRPr="004B1C55">
        <w:t xml:space="preserve"> </w:t>
      </w:r>
      <w:r w:rsidR="00A67116" w:rsidRPr="004B1C55">
        <w:t xml:space="preserve">Neither </w:t>
      </w:r>
      <w:r w:rsidRPr="004B1C55">
        <w:t>require</w:t>
      </w:r>
      <w:r w:rsidR="00A67116" w:rsidRPr="004B1C55">
        <w:t>d</w:t>
      </w:r>
      <w:r w:rsidRPr="004B1C55">
        <w:t xml:space="preserve"> further proof of the assignment. </w:t>
      </w:r>
      <w:r w:rsidR="00C56422" w:rsidRPr="004B1C55">
        <w:t xml:space="preserve"> </w:t>
      </w:r>
      <w:r w:rsidRPr="004B1C55">
        <w:t xml:space="preserve">They permitted </w:t>
      </w:r>
      <w:proofErr w:type="spellStart"/>
      <w:r w:rsidRPr="004B1C55">
        <w:t>Everyday</w:t>
      </w:r>
      <w:proofErr w:type="spellEnd"/>
      <w:r w:rsidRPr="004B1C55">
        <w:t xml:space="preserve"> to participate in the High Court proceedings as the </w:t>
      </w:r>
      <w:r w:rsidR="002C5BB1">
        <w:t>o</w:t>
      </w:r>
      <w:r w:rsidRPr="004B1C55">
        <w:t xml:space="preserve">bjecting </w:t>
      </w:r>
      <w:r w:rsidR="002C5BB1">
        <w:t>c</w:t>
      </w:r>
      <w:r w:rsidRPr="004B1C55">
        <w:t xml:space="preserve">reditor without objection. </w:t>
      </w:r>
      <w:r w:rsidR="00C56422" w:rsidRPr="004B1C55">
        <w:t xml:space="preserve"> </w:t>
      </w:r>
      <w:r w:rsidRPr="004B1C55">
        <w:t xml:space="preserve">Everyday’s sole entitlement to participate in the proceedings was as an assignee of the debt due to AIB. </w:t>
      </w:r>
      <w:r w:rsidR="00C56422" w:rsidRPr="004B1C55">
        <w:t xml:space="preserve"> </w:t>
      </w:r>
      <w:r w:rsidR="004D05AD" w:rsidRPr="004B1C55">
        <w:t xml:space="preserve">If it was not the assignee it lacked </w:t>
      </w:r>
      <w:r w:rsidR="004D05AD" w:rsidRPr="006B5C44">
        <w:rPr>
          <w:i/>
          <w:iCs/>
        </w:rPr>
        <w:t>locus standi</w:t>
      </w:r>
      <w:r w:rsidR="00F51FDE" w:rsidRPr="004B1C55">
        <w:t xml:space="preserve"> to play any role in the proceedings</w:t>
      </w:r>
      <w:r w:rsidR="0082340D" w:rsidRPr="004B1C55">
        <w:t xml:space="preserve">, still less </w:t>
      </w:r>
      <w:r w:rsidR="00C56422" w:rsidRPr="004B1C55">
        <w:t xml:space="preserve"> </w:t>
      </w:r>
      <w:r w:rsidR="0082340D" w:rsidRPr="004B1C55">
        <w:t>that of the objecting creditor</w:t>
      </w:r>
      <w:r w:rsidR="004D05AD" w:rsidRPr="004B1C55">
        <w:t xml:space="preserve">. </w:t>
      </w:r>
      <w:r w:rsidR="00C56422" w:rsidRPr="004B1C55">
        <w:t xml:space="preserve"> </w:t>
      </w:r>
      <w:r w:rsidRPr="004B1C55">
        <w:t>This was expressly accepted by the appellant.</w:t>
      </w:r>
      <w:r w:rsidR="00C56422" w:rsidRPr="004B1C55">
        <w:t xml:space="preserve"> </w:t>
      </w:r>
      <w:r w:rsidRPr="004B1C55">
        <w:t xml:space="preserve"> The High Court found that </w:t>
      </w:r>
      <w:proofErr w:type="spellStart"/>
      <w:r w:rsidRPr="004B1C55">
        <w:t>Everyday</w:t>
      </w:r>
      <w:proofErr w:type="spellEnd"/>
      <w:r w:rsidRPr="004B1C55">
        <w:t xml:space="preserve"> was the assignee of AIB and was a creditor of the appellant to whom €2,603,054.84 was owed. </w:t>
      </w:r>
      <w:r w:rsidR="00C56422" w:rsidRPr="004B1C55">
        <w:t xml:space="preserve"> </w:t>
      </w:r>
      <w:r w:rsidRPr="004B1C55">
        <w:t>The entire case before McDonald J. was predicated upon this.</w:t>
      </w:r>
    </w:p>
    <w:p w14:paraId="26DB3FAF" w14:textId="688D1618" w:rsidR="006010AC" w:rsidRPr="004B1C55" w:rsidRDefault="006010AC" w:rsidP="004B1C55">
      <w:pPr>
        <w:numPr>
          <w:ilvl w:val="0"/>
          <w:numId w:val="43"/>
        </w:numPr>
        <w:spacing w:line="480" w:lineRule="auto"/>
        <w:ind w:left="0" w:firstLine="0"/>
        <w:jc w:val="both"/>
      </w:pPr>
      <w:r w:rsidRPr="004B1C55">
        <w:t>None of this was brought to the attention of this court, nor, it is to be inferred, to Pilkington J. in the High Court.</w:t>
      </w:r>
      <w:r w:rsidR="001B7C35" w:rsidRPr="004B1C55">
        <w:t xml:space="preserve"> </w:t>
      </w:r>
      <w:r w:rsidRPr="004B1C55">
        <w:t xml:space="preserve"> It seems that the solicitors and counsel in the appeal were not instructed in respect of the PIA application and thus were unaware of details of the </w:t>
      </w:r>
      <w:r w:rsidR="0082340D" w:rsidRPr="004B1C55">
        <w:t xml:space="preserve">appellant’s </w:t>
      </w:r>
      <w:r w:rsidRPr="004B1C55">
        <w:t xml:space="preserve">prior acknowledgment of Everyday as the assignee of AIB’s interest and as a creditor of the appellant. </w:t>
      </w:r>
      <w:r w:rsidR="001B7C35" w:rsidRPr="004B1C55">
        <w:t xml:space="preserve"> </w:t>
      </w:r>
      <w:r w:rsidRPr="004B1C55">
        <w:t>However, the appellant was so aware</w:t>
      </w:r>
      <w:r w:rsidR="00B42D03" w:rsidRPr="004B1C55">
        <w:t>,</w:t>
      </w:r>
      <w:r w:rsidRPr="004B1C55">
        <w:t xml:space="preserve"> and the court would expect that he would be aware of the significance of the proceedings before McDonald J</w:t>
      </w:r>
      <w:r w:rsidR="00B42D03" w:rsidRPr="004B1C55">
        <w:t xml:space="preserve">. </w:t>
      </w:r>
      <w:r w:rsidR="001B7C35" w:rsidRPr="004B1C55">
        <w:t xml:space="preserve"> </w:t>
      </w:r>
      <w:r w:rsidRPr="004B1C55">
        <w:t>He averred in his affidavit sworn in the s.</w:t>
      </w:r>
      <w:r w:rsidR="001B7C35" w:rsidRPr="004B1C55">
        <w:t xml:space="preserve"> </w:t>
      </w:r>
      <w:r w:rsidRPr="004B1C55">
        <w:t xml:space="preserve">115A application that he did so </w:t>
      </w:r>
      <w:r w:rsidRPr="006B5C44">
        <w:rPr>
          <w:i/>
          <w:iCs/>
        </w:rPr>
        <w:t>“from a perusal of the files, documents, records, and correspondence relating to my PIA proposal”</w:t>
      </w:r>
      <w:r w:rsidRPr="004B1C55">
        <w:t xml:space="preserve"> and thus he was familiar with these matters</w:t>
      </w:r>
      <w:r w:rsidR="0082340D" w:rsidRPr="004B1C55">
        <w:t xml:space="preserve"> even if he did not have the file when he came to deal with his bankruptcy petition</w:t>
      </w:r>
      <w:r w:rsidRPr="004B1C55">
        <w:t xml:space="preserve">. </w:t>
      </w:r>
      <w:r w:rsidR="001B7C35" w:rsidRPr="004B1C55">
        <w:t xml:space="preserve"> </w:t>
      </w:r>
      <w:r w:rsidR="0082340D" w:rsidRPr="004B1C55">
        <w:t xml:space="preserve">There is no suggestion that either his practitioner or his former solicitors withheld the file from him and his current solicitors. </w:t>
      </w:r>
      <w:r w:rsidR="001B7C35" w:rsidRPr="004B1C55">
        <w:t xml:space="preserve"> </w:t>
      </w:r>
      <w:r w:rsidRPr="004B1C55">
        <w:t xml:space="preserve">He </w:t>
      </w:r>
      <w:r w:rsidR="0082340D" w:rsidRPr="004B1C55">
        <w:t>personally</w:t>
      </w:r>
      <w:r w:rsidR="001B7C35" w:rsidRPr="004B1C55">
        <w:t>,</w:t>
      </w:r>
      <w:r w:rsidR="0082340D" w:rsidRPr="004B1C55">
        <w:t xml:space="preserve"> </w:t>
      </w:r>
      <w:r w:rsidRPr="004B1C55">
        <w:t xml:space="preserve">expressly acknowledged that </w:t>
      </w:r>
      <w:proofErr w:type="spellStart"/>
      <w:r w:rsidRPr="004B1C55">
        <w:t>Everyday</w:t>
      </w:r>
      <w:proofErr w:type="spellEnd"/>
      <w:r w:rsidRPr="004B1C55">
        <w:t xml:space="preserve"> was the assignee of AIB.</w:t>
      </w:r>
      <w:r w:rsidR="001B7C35" w:rsidRPr="004B1C55">
        <w:t xml:space="preserve"> </w:t>
      </w:r>
      <w:r w:rsidRPr="004B1C55">
        <w:t xml:space="preserve"> It is difficult to understand why he apparently did not instruct his current representatives of the detail of the PIA</w:t>
      </w:r>
      <w:r w:rsidR="0082340D" w:rsidRPr="004B1C55">
        <w:t xml:space="preserve"> application</w:t>
      </w:r>
      <w:r w:rsidRPr="004B1C55">
        <w:t>, of his affidavit and of the judgment of the High Court</w:t>
      </w:r>
      <w:r w:rsidR="001B7C35" w:rsidRPr="004B1C55">
        <w:t>,</w:t>
      </w:r>
      <w:r w:rsidR="00B42D03" w:rsidRPr="004B1C55">
        <w:t xml:space="preserve"> and why he failed to bring this to the attention of the High Court or this court</w:t>
      </w:r>
      <w:r w:rsidRPr="004B1C55">
        <w:t xml:space="preserve">.  </w:t>
      </w:r>
    </w:p>
    <w:p w14:paraId="4426EBA0" w14:textId="299DE413" w:rsidR="00DC3D00" w:rsidRPr="004B1C55" w:rsidRDefault="00976B99" w:rsidP="004B1C55">
      <w:pPr>
        <w:numPr>
          <w:ilvl w:val="0"/>
          <w:numId w:val="43"/>
        </w:numPr>
        <w:spacing w:line="480" w:lineRule="auto"/>
        <w:ind w:left="0" w:firstLine="0"/>
        <w:jc w:val="both"/>
        <w:rPr>
          <w:b/>
        </w:rPr>
      </w:pPr>
      <w:r w:rsidRPr="004B1C55">
        <w:lastRenderedPageBreak/>
        <w:t>In</w:t>
      </w:r>
      <w:r w:rsidRPr="004B1C55">
        <w:rPr>
          <w:i/>
        </w:rPr>
        <w:t xml:space="preserve"> McLaughlin</w:t>
      </w:r>
      <w:r w:rsidR="0015751D" w:rsidRPr="004B1C55">
        <w:rPr>
          <w:iCs/>
        </w:rPr>
        <w:t>,</w:t>
      </w:r>
      <w:r w:rsidRPr="004B1C55">
        <w:t xml:space="preserve"> this court recently considered the relationship between a protective certificate, an application for a PIA and bankruptcy proceedings. </w:t>
      </w:r>
      <w:r w:rsidR="0015751D" w:rsidRPr="004B1C55">
        <w:t xml:space="preserve"> </w:t>
      </w:r>
      <w:r w:rsidRPr="004B1C55">
        <w:t>Haughton J. delivered the judgment, with the agreement of Noonan and Murray</w:t>
      </w:r>
      <w:r w:rsidR="00CC2E82" w:rsidRPr="004B1C55">
        <w:t xml:space="preserve"> </w:t>
      </w:r>
      <w:r w:rsidRPr="004B1C55">
        <w:t xml:space="preserve">JJ. </w:t>
      </w:r>
      <w:r w:rsidR="0015751D" w:rsidRPr="004B1C55">
        <w:t xml:space="preserve"> </w:t>
      </w:r>
      <w:r w:rsidRPr="004B1C55">
        <w:t>He revie</w:t>
      </w:r>
      <w:r w:rsidR="00CC2E82" w:rsidRPr="004B1C55">
        <w:t xml:space="preserve">wed the Act of 2012 (as amended) and emphasised the significance of a PC in curtailing the rights of creditors and the requirement that a debtor truthfully and accurately complete a </w:t>
      </w:r>
      <w:r w:rsidR="00046D54" w:rsidRPr="004B1C55">
        <w:t>PFS</w:t>
      </w:r>
      <w:r w:rsidR="00556A49" w:rsidRPr="004B1C55">
        <w:t>,</w:t>
      </w:r>
      <w:r w:rsidR="00CC2E82" w:rsidRPr="004B1C55">
        <w:t xml:space="preserve"> which is verified by a statutory declaration</w:t>
      </w:r>
      <w:r w:rsidR="00556A49" w:rsidRPr="004B1C55">
        <w:t>,</w:t>
      </w:r>
      <w:r w:rsidR="00CC2E82" w:rsidRPr="004B1C55">
        <w:t xml:space="preserve"> as a precondition to obtaining a PC. </w:t>
      </w:r>
      <w:r w:rsidR="00FD08EE" w:rsidRPr="004B1C55">
        <w:t xml:space="preserve"> </w:t>
      </w:r>
      <w:r w:rsidR="00CC2E82" w:rsidRPr="004B1C55">
        <w:t>At para</w:t>
      </w:r>
      <w:r w:rsidR="00FD08EE" w:rsidRPr="004B1C55">
        <w:t>.</w:t>
      </w:r>
      <w:r w:rsidR="00CC2E82" w:rsidRPr="004B1C55">
        <w:t xml:space="preserve"> 54 he stated that once a debtor decides, with the benefit of advice from his PIP, to pursue a PIA </w:t>
      </w:r>
      <w:r w:rsidR="00CC2E82" w:rsidRPr="004B1C55">
        <w:rPr>
          <w:i/>
        </w:rPr>
        <w:t>“all ensuing actions and events are predicated on the debtor making full and honest disclosure….”</w:t>
      </w:r>
      <w:r w:rsidR="00FD08EE" w:rsidRPr="004B1C55">
        <w:rPr>
          <w:iCs/>
        </w:rPr>
        <w:t xml:space="preserve">. </w:t>
      </w:r>
      <w:r w:rsidR="00CC2E82" w:rsidRPr="004B1C55">
        <w:rPr>
          <w:i/>
        </w:rPr>
        <w:t xml:space="preserve"> </w:t>
      </w:r>
      <w:r w:rsidR="00CC2E82" w:rsidRPr="004B1C55">
        <w:t xml:space="preserve">The debtor is only entitled to the benefit of the Act of 2012 if he satisfies, </w:t>
      </w:r>
      <w:r w:rsidR="00CC2E82" w:rsidRPr="006B5C44">
        <w:rPr>
          <w:i/>
          <w:iCs/>
        </w:rPr>
        <w:t>inter alia</w:t>
      </w:r>
      <w:r w:rsidR="00CC2E82" w:rsidRPr="004B1C55">
        <w:t>, this criterion and</w:t>
      </w:r>
      <w:r w:rsidR="001C5FC7">
        <w:t>,</w:t>
      </w:r>
      <w:r w:rsidR="00CC2E82" w:rsidRPr="004B1C55">
        <w:t xml:space="preserve"> as a consequence</w:t>
      </w:r>
      <w:r w:rsidR="001C5FC7">
        <w:t>,</w:t>
      </w:r>
      <w:r w:rsidR="00CC2E82" w:rsidRPr="004B1C55">
        <w:t xml:space="preserve"> he is bound by the disclosure made in the personal financial statement.</w:t>
      </w:r>
      <w:r w:rsidR="00FD08EE" w:rsidRPr="004B1C55">
        <w:t xml:space="preserve"> </w:t>
      </w:r>
      <w:r w:rsidR="00CC2E82" w:rsidRPr="004B1C55">
        <w:t xml:space="preserve"> Haughton J. approved the passage from </w:t>
      </w:r>
      <w:r w:rsidR="00CC2E82" w:rsidRPr="004B1C55">
        <w:rPr>
          <w:i/>
        </w:rPr>
        <w:t xml:space="preserve">Personal Insolvency Law </w:t>
      </w:r>
      <w:r w:rsidR="00CC2E82" w:rsidRPr="004B1C55">
        <w:t>(</w:t>
      </w:r>
      <w:r w:rsidR="00556A49" w:rsidRPr="004B1C55">
        <w:t>B</w:t>
      </w:r>
      <w:r w:rsidR="00CC2E82" w:rsidRPr="004B1C55">
        <w:t xml:space="preserve">urke and </w:t>
      </w:r>
      <w:proofErr w:type="spellStart"/>
      <w:r w:rsidR="00CC2E82" w:rsidRPr="004B1C55">
        <w:t>Comyn</w:t>
      </w:r>
      <w:proofErr w:type="spellEnd"/>
      <w:r w:rsidR="00CC2E82" w:rsidRPr="004B1C55">
        <w:t>, Bloomsbury Professional,</w:t>
      </w:r>
      <w:r w:rsidR="00FD08EE" w:rsidRPr="004B1C55">
        <w:t xml:space="preserve"> </w:t>
      </w:r>
      <w:r w:rsidR="00CC2E82" w:rsidRPr="004B1C55">
        <w:t>2014) at p</w:t>
      </w:r>
      <w:r w:rsidR="00FD08EE" w:rsidRPr="004B1C55">
        <w:t>.</w:t>
      </w:r>
      <w:r w:rsidR="00CC2E82" w:rsidRPr="004B1C55">
        <w:t xml:space="preserve"> </w:t>
      </w:r>
      <w:r w:rsidR="00A30CCC" w:rsidRPr="004B1C55">
        <w:t xml:space="preserve">5 where the authors stated </w:t>
      </w:r>
      <w:r w:rsidR="00A30CCC" w:rsidRPr="004B1C55">
        <w:rPr>
          <w:i/>
        </w:rPr>
        <w:t>“</w:t>
      </w:r>
      <w:r w:rsidR="00FD08EE" w:rsidRPr="004B1C55">
        <w:rPr>
          <w:i/>
        </w:rPr>
        <w:t>[i]</w:t>
      </w:r>
      <w:r w:rsidR="00A30CCC" w:rsidRPr="004B1C55">
        <w:rPr>
          <w:i/>
        </w:rPr>
        <w:t>t is a requirement under the PIA 2012 that a debtor acts in good faith and cooperates fully with the process…”</w:t>
      </w:r>
      <w:r w:rsidR="00FD08EE" w:rsidRPr="004B1C55">
        <w:rPr>
          <w:iCs/>
        </w:rPr>
        <w:t xml:space="preserve">. </w:t>
      </w:r>
      <w:r w:rsidR="00A30CCC" w:rsidRPr="004B1C55">
        <w:t xml:space="preserve"> At para</w:t>
      </w:r>
      <w:r w:rsidR="00935E0F" w:rsidRPr="004B1C55">
        <w:t>.</w:t>
      </w:r>
      <w:r w:rsidR="00A30CCC" w:rsidRPr="004B1C55">
        <w:t xml:space="preserve"> 57 Haughton J. held</w:t>
      </w:r>
      <w:r w:rsidR="00DC3D00" w:rsidRPr="004B1C55">
        <w:t>:-</w:t>
      </w:r>
    </w:p>
    <w:p w14:paraId="242A24CE" w14:textId="77777777" w:rsidR="00DC3D00" w:rsidRPr="004B1C55" w:rsidRDefault="00DC3D00" w:rsidP="004B1C55">
      <w:pPr>
        <w:spacing w:line="480" w:lineRule="auto"/>
        <w:ind w:left="567"/>
        <w:jc w:val="both"/>
        <w:rPr>
          <w:bCs/>
          <w:i/>
          <w:iCs/>
        </w:rPr>
      </w:pPr>
      <w:r w:rsidRPr="004B1C55">
        <w:rPr>
          <w:bCs/>
          <w:i/>
          <w:iCs/>
        </w:rPr>
        <w:t>“That is a correct summary of the intent of the legislature insofar as it sets forth strict criteria requiring full and honest disclosure by a debtor as a pre-condition to entry into the PIA process. It cannot have been the intention of the legislature that a debtor minded to successively deceive his or her creditors, the PIP, ISI and the Circuit Court, should be entitled to the benefit of a PC and subsequently, when unsuccessful in the PIA process, to then deny the debt admitted in the statutory declaration/PFS in the context of bankruptcy proceedings. Such an intention would fly in the face of the express provision in s. 50(3) of the 2012 Act that places a legal obligation on a debtor seeking a PC/PIA to make a full and honest disclosure of their financial affairs.”</w:t>
      </w:r>
    </w:p>
    <w:p w14:paraId="7FD2B7D7" w14:textId="294368EC" w:rsidR="00A30CCC" w:rsidRPr="004B1C55" w:rsidRDefault="00A30CCC" w:rsidP="004B1C55">
      <w:pPr>
        <w:numPr>
          <w:ilvl w:val="0"/>
          <w:numId w:val="43"/>
        </w:numPr>
        <w:spacing w:line="480" w:lineRule="auto"/>
        <w:ind w:left="0" w:firstLine="0"/>
        <w:jc w:val="both"/>
      </w:pPr>
      <w:r w:rsidRPr="004B1C55">
        <w:t xml:space="preserve">The requirement that a debtor acts honestly and in good faith applies throughout the process. </w:t>
      </w:r>
      <w:r w:rsidR="00B53116" w:rsidRPr="004B1C55">
        <w:t xml:space="preserve"> </w:t>
      </w:r>
      <w:r w:rsidRPr="004B1C55">
        <w:t xml:space="preserve">This means that if there is a material change of any of the matters upon which the </w:t>
      </w:r>
      <w:r w:rsidRPr="004B1C55">
        <w:lastRenderedPageBreak/>
        <w:t xml:space="preserve">application is based the debtor must disclose this fact and, if necessary, amend the information in his </w:t>
      </w:r>
      <w:r w:rsidR="007315A4" w:rsidRPr="004B1C55">
        <w:t>PFS</w:t>
      </w:r>
      <w:r w:rsidRPr="004B1C55">
        <w:t xml:space="preserve">. </w:t>
      </w:r>
      <w:r w:rsidR="00046D54" w:rsidRPr="004B1C55">
        <w:t xml:space="preserve"> </w:t>
      </w:r>
      <w:r w:rsidRPr="004B1C55">
        <w:t xml:space="preserve">This duty applies even though he may not be responsible for the change in question. </w:t>
      </w:r>
      <w:r w:rsidR="00CA3EAD" w:rsidRPr="004B1C55">
        <w:t xml:space="preserve"> </w:t>
      </w:r>
      <w:r w:rsidRPr="004B1C55">
        <w:t>For instance, a debt may be paid</w:t>
      </w:r>
      <w:r w:rsidR="007315A4" w:rsidRPr="004B1C55">
        <w:t xml:space="preserve"> in full by another debtor who was jointly and severally liable for the disclosed debt </w:t>
      </w:r>
      <w:r w:rsidRPr="004B1C55">
        <w:t>so tha</w:t>
      </w:r>
      <w:r w:rsidR="00C76E85" w:rsidRPr="004B1C55">
        <w:t>t his liability to that</w:t>
      </w:r>
      <w:r w:rsidRPr="004B1C55">
        <w:t xml:space="preserve"> creditor has been discharged</w:t>
      </w:r>
      <w:r w:rsidR="007315A4" w:rsidRPr="004B1C55">
        <w:t xml:space="preserve">. </w:t>
      </w:r>
      <w:r w:rsidR="00CA3EAD" w:rsidRPr="004B1C55">
        <w:t xml:space="preserve"> </w:t>
      </w:r>
      <w:r w:rsidR="007315A4" w:rsidRPr="004B1C55">
        <w:t xml:space="preserve">The debt now may be due to that debtor who was jointly liable for the debt, rather than to the creditor disclosed in the PFS. </w:t>
      </w:r>
      <w:r w:rsidR="00CA3EAD" w:rsidRPr="004B1C55">
        <w:t xml:space="preserve"> </w:t>
      </w:r>
      <w:r w:rsidR="00C76E85" w:rsidRPr="004B1C55">
        <w:t>It is essential that the identity of the creditor be altered in his PFS as the new debtor must be entitled to participate in the process and t</w:t>
      </w:r>
      <w:r w:rsidR="007315A4" w:rsidRPr="004B1C55">
        <w:t>his could have a very material outcome to the approva</w:t>
      </w:r>
      <w:r w:rsidR="00C76E85" w:rsidRPr="004B1C55">
        <w:t>l/rejection</w:t>
      </w:r>
      <w:r w:rsidR="007315A4" w:rsidRPr="004B1C55">
        <w:t xml:space="preserve"> of the proposal prepared by the debtor’s PIP.</w:t>
      </w:r>
      <w:r w:rsidR="00CA3EAD" w:rsidRPr="004B1C55">
        <w:t xml:space="preserve"> </w:t>
      </w:r>
      <w:r w:rsidR="007315A4" w:rsidRPr="004B1C55">
        <w:t xml:space="preserve"> It will be necessary for the debtor to </w:t>
      </w:r>
      <w:r w:rsidR="00C76E85" w:rsidRPr="004B1C55">
        <w:t xml:space="preserve">decide whether he accepts the change of creditor and to </w:t>
      </w:r>
      <w:r w:rsidR="007315A4" w:rsidRPr="004B1C55">
        <w:t>raise any issue he may have as to the identity of his creditor at the time the new creditor asserts its claim in lieu of the original creditor.</w:t>
      </w:r>
      <w:r w:rsidR="00C76E85" w:rsidRPr="004B1C55">
        <w:t xml:space="preserve"> </w:t>
      </w:r>
      <w:r w:rsidR="007315A4" w:rsidRPr="004B1C55">
        <w:t xml:space="preserve"> This applies whether the c</w:t>
      </w:r>
      <w:r w:rsidR="00C76E85" w:rsidRPr="004B1C55">
        <w:t>hange</w:t>
      </w:r>
      <w:r w:rsidR="007315A4" w:rsidRPr="004B1C55">
        <w:t xml:space="preserve"> is based upon subrogation or assignment and transfer of a debt.</w:t>
      </w:r>
      <w:r w:rsidR="00C76E85" w:rsidRPr="004B1C55">
        <w:t xml:space="preserve"> </w:t>
      </w:r>
      <w:r w:rsidR="00CA3EAD" w:rsidRPr="004B1C55">
        <w:t xml:space="preserve"> </w:t>
      </w:r>
      <w:r w:rsidR="0072067A" w:rsidRPr="004B1C55">
        <w:t>Just as the debtor cannot deny the debt admitted in the PFS in subsequent bankruptcy procee</w:t>
      </w:r>
      <w:r w:rsidR="00017118" w:rsidRPr="004B1C55">
        <w:t>d</w:t>
      </w:r>
      <w:r w:rsidR="0072067A" w:rsidRPr="004B1C55">
        <w:t>ings, t</w:t>
      </w:r>
      <w:r w:rsidR="00C76E85" w:rsidRPr="004B1C55">
        <w:t>he debtor cannot admit the creditor for t</w:t>
      </w:r>
      <w:r w:rsidR="0072067A" w:rsidRPr="004B1C55">
        <w:t>he purposes of the PIA process and then, when it fails to be adopted, deny that the creditor accepted in that process is a creditor in the context of bankruptcy proceedings.</w:t>
      </w:r>
    </w:p>
    <w:p w14:paraId="51E3BE79" w14:textId="1389E633" w:rsidR="006010AC" w:rsidRPr="004B1C55" w:rsidRDefault="006010AC" w:rsidP="004B1C55">
      <w:pPr>
        <w:numPr>
          <w:ilvl w:val="0"/>
          <w:numId w:val="43"/>
        </w:numPr>
        <w:spacing w:line="480" w:lineRule="auto"/>
        <w:ind w:left="0" w:firstLine="0"/>
        <w:jc w:val="both"/>
      </w:pPr>
      <w:r w:rsidRPr="004B1C55">
        <w:t xml:space="preserve">The appellant now wishes to challenge the validity of the assignment to Everyday. He submits, in supplemental submissions, that he is entitled to do so as </w:t>
      </w:r>
      <w:r w:rsidRPr="004B1C55">
        <w:rPr>
          <w:i/>
        </w:rPr>
        <w:t xml:space="preserve">“[t]he appellant took it at face value that there had been a valid transfer to Everyday, but it is apparent from the papers now available to the Appellant in the context of the Bankruptcy proceedings that there is a significant question as to whether the benefit of the consent judgment has in fact transferred from AIB to </w:t>
      </w:r>
      <w:proofErr w:type="spellStart"/>
      <w:r w:rsidRPr="004B1C55">
        <w:rPr>
          <w:i/>
        </w:rPr>
        <w:t>Everyday</w:t>
      </w:r>
      <w:proofErr w:type="spellEnd"/>
      <w:r w:rsidRPr="004B1C55">
        <w:rPr>
          <w:i/>
        </w:rPr>
        <w:t>.”</w:t>
      </w:r>
      <w:r w:rsidRPr="004B1C55">
        <w:t xml:space="preserve"> </w:t>
      </w:r>
      <w:r w:rsidR="003006D2" w:rsidRPr="004B1C55">
        <w:t xml:space="preserve"> </w:t>
      </w:r>
      <w:r w:rsidRPr="004B1C55">
        <w:t>He asserts that the proceedings before McDo</w:t>
      </w:r>
      <w:r w:rsidR="00A67116" w:rsidRPr="004B1C55">
        <w:t>na</w:t>
      </w:r>
      <w:r w:rsidRPr="004B1C55">
        <w:t>ld J. were</w:t>
      </w:r>
      <w:r w:rsidRPr="004B1C55">
        <w:rPr>
          <w:i/>
        </w:rPr>
        <w:t xml:space="preserve"> “against the backdrop of an assumption that </w:t>
      </w:r>
      <w:proofErr w:type="spellStart"/>
      <w:r w:rsidRPr="004B1C55">
        <w:rPr>
          <w:i/>
        </w:rPr>
        <w:t>Everyday</w:t>
      </w:r>
      <w:proofErr w:type="spellEnd"/>
      <w:r w:rsidRPr="004B1C55">
        <w:rPr>
          <w:i/>
        </w:rPr>
        <w:t xml:space="preserve"> was in fact a secured</w:t>
      </w:r>
      <w:r w:rsidR="00A7054B" w:rsidRPr="004B1C55">
        <w:rPr>
          <w:i/>
        </w:rPr>
        <w:t xml:space="preserve"> </w:t>
      </w:r>
      <w:r w:rsidR="00D36169" w:rsidRPr="004B1C55">
        <w:rPr>
          <w:i/>
        </w:rPr>
        <w:t>(sic)</w:t>
      </w:r>
      <w:r w:rsidRPr="004B1C55">
        <w:rPr>
          <w:i/>
        </w:rPr>
        <w:t xml:space="preserve"> creditor of the Appellant…”</w:t>
      </w:r>
      <w:r w:rsidR="003006D2" w:rsidRPr="004B1C55">
        <w:rPr>
          <w:iCs/>
        </w:rPr>
        <w:t xml:space="preserve">. </w:t>
      </w:r>
      <w:r w:rsidRPr="004B1C55">
        <w:t xml:space="preserve"> He says there would be a significant injustice if he were bound in the bankruptcy proceedings by a </w:t>
      </w:r>
      <w:r w:rsidRPr="004B1C55">
        <w:rPr>
          <w:i/>
        </w:rPr>
        <w:t>“concession made in the P</w:t>
      </w:r>
      <w:r w:rsidR="00FD5116" w:rsidRPr="004B1C55">
        <w:rPr>
          <w:i/>
        </w:rPr>
        <w:t>IA</w:t>
      </w:r>
      <w:r w:rsidRPr="004B1C55">
        <w:rPr>
          <w:i/>
        </w:rPr>
        <w:t xml:space="preserve"> application</w:t>
      </w:r>
      <w:r w:rsidRPr="006B5C44">
        <w:rPr>
          <w:i/>
          <w:iCs/>
        </w:rPr>
        <w:t>”</w:t>
      </w:r>
      <w:r w:rsidRPr="004B1C55">
        <w:t xml:space="preserve"> when he had </w:t>
      </w:r>
      <w:r w:rsidRPr="004B1C55">
        <w:lastRenderedPageBreak/>
        <w:t xml:space="preserve">not then seen the transfer documents. </w:t>
      </w:r>
      <w:r w:rsidR="003006D2" w:rsidRPr="004B1C55">
        <w:t xml:space="preserve"> </w:t>
      </w:r>
      <w:r w:rsidRPr="004B1C55">
        <w:t>Finally, he submits that the identity of the creditor</w:t>
      </w:r>
      <w:r w:rsidRPr="004B1C55">
        <w:rPr>
          <w:i/>
        </w:rPr>
        <w:t xml:space="preserve"> “was somewhat academic in the context of the PIA application, since both AIB and Everyday seemed equally determined not to agree to a PIA”.</w:t>
      </w:r>
      <w:r w:rsidRPr="004B1C55">
        <w:t xml:space="preserve"> </w:t>
      </w:r>
    </w:p>
    <w:p w14:paraId="290EFC1A" w14:textId="2DB005AC" w:rsidR="006010AC" w:rsidRPr="004B1C55" w:rsidRDefault="006010AC" w:rsidP="004B1C55">
      <w:pPr>
        <w:numPr>
          <w:ilvl w:val="0"/>
          <w:numId w:val="43"/>
        </w:numPr>
        <w:spacing w:line="480" w:lineRule="auto"/>
        <w:ind w:left="0" w:firstLine="0"/>
        <w:jc w:val="both"/>
      </w:pPr>
      <w:r w:rsidRPr="004B1C55">
        <w:t>In my judgment</w:t>
      </w:r>
      <w:r w:rsidR="003006D2" w:rsidRPr="004B1C55">
        <w:t>,</w:t>
      </w:r>
      <w:r w:rsidRPr="004B1C55">
        <w:t xml:space="preserve"> the</w:t>
      </w:r>
      <w:r w:rsidR="00FD5116" w:rsidRPr="004B1C55">
        <w:t>se submissions do not alter the fact that the</w:t>
      </w:r>
      <w:r w:rsidRPr="004B1C55">
        <w:t xml:space="preserve"> appellant both expressly and implicitly accepted that </w:t>
      </w:r>
      <w:proofErr w:type="spellStart"/>
      <w:r w:rsidRPr="004B1C55">
        <w:t>Everyday</w:t>
      </w:r>
      <w:proofErr w:type="spellEnd"/>
      <w:r w:rsidRPr="004B1C55">
        <w:t xml:space="preserve"> was a creditor and that it was the transferee of the judgment debt owed to AIB. </w:t>
      </w:r>
      <w:r w:rsidR="003006D2" w:rsidRPr="004B1C55">
        <w:t xml:space="preserve"> </w:t>
      </w:r>
      <w:r w:rsidRPr="004B1C55">
        <w:t xml:space="preserve">The fact that he did not explore the validity of the transfer and did not discover the (alleged) flaws in the documents of transfer until after the conclusion of the PIA </w:t>
      </w:r>
      <w:r w:rsidR="003006D2" w:rsidRPr="004B1C55">
        <w:t xml:space="preserve">process </w:t>
      </w:r>
      <w:r w:rsidRPr="004B1C55">
        <w:t xml:space="preserve">does not mean that he should now be permitted to do so. </w:t>
      </w:r>
      <w:r w:rsidR="003006D2" w:rsidRPr="004B1C55">
        <w:t xml:space="preserve"> </w:t>
      </w:r>
      <w:r w:rsidRPr="004B1C55">
        <w:t>He had ample opportunity to challenge the transfer at a time when he had the benefit of legal advice and advice from the practitioner.</w:t>
      </w:r>
      <w:r w:rsidR="00AF63FC" w:rsidRPr="004B1C55">
        <w:t xml:space="preserve"> </w:t>
      </w:r>
      <w:r w:rsidR="003006D2" w:rsidRPr="004B1C55">
        <w:t xml:space="preserve"> </w:t>
      </w:r>
      <w:r w:rsidR="00FD5116" w:rsidRPr="004B1C55">
        <w:t>On the case now made to the court, the identity of the creditor was “academic”</w:t>
      </w:r>
      <w:r w:rsidR="00D36169" w:rsidRPr="004B1C55">
        <w:t>,</w:t>
      </w:r>
      <w:r w:rsidR="00FD5116" w:rsidRPr="004B1C55">
        <w:t xml:space="preserve"> an extraordinary submission which in any event cannot avail him now.</w:t>
      </w:r>
      <w:r w:rsidR="003006D2" w:rsidRPr="004B1C55">
        <w:t xml:space="preserve"> </w:t>
      </w:r>
      <w:r w:rsidR="00FD5116" w:rsidRPr="004B1C55">
        <w:t xml:space="preserve"> </w:t>
      </w:r>
      <w:r w:rsidR="00AF63FC" w:rsidRPr="004B1C55">
        <w:t>In my judgment</w:t>
      </w:r>
      <w:r w:rsidR="003006D2" w:rsidRPr="004B1C55">
        <w:t>,</w:t>
      </w:r>
      <w:r w:rsidR="00AF63FC" w:rsidRPr="004B1C55">
        <w:t xml:space="preserve"> it </w:t>
      </w:r>
      <w:r w:rsidR="00972002" w:rsidRPr="004B1C55">
        <w:t xml:space="preserve">would be </w:t>
      </w:r>
      <w:r w:rsidR="00F32444" w:rsidRPr="004B1C55">
        <w:t xml:space="preserve">wrong </w:t>
      </w:r>
      <w:r w:rsidR="00972002" w:rsidRPr="004B1C55">
        <w:t>to permit the appellant to raise this point now, having sought to rely on a contrary position in the s.</w:t>
      </w:r>
      <w:r w:rsidR="003006D2" w:rsidRPr="004B1C55">
        <w:t xml:space="preserve"> </w:t>
      </w:r>
      <w:r w:rsidR="00972002" w:rsidRPr="004B1C55">
        <w:t xml:space="preserve">115A </w:t>
      </w:r>
      <w:r w:rsidR="003006D2" w:rsidRPr="004B1C55">
        <w:t xml:space="preserve">application </w:t>
      </w:r>
      <w:r w:rsidR="00972002" w:rsidRPr="004B1C55">
        <w:t>which could have been greatly to his advantage and to the grave disadvantage of Everyday</w:t>
      </w:r>
      <w:r w:rsidR="00FD5116" w:rsidRPr="004B1C55">
        <w:t>, where he sought to write</w:t>
      </w:r>
      <w:r w:rsidR="003006D2" w:rsidRPr="004B1C55">
        <w:t>-</w:t>
      </w:r>
      <w:r w:rsidR="00FD5116" w:rsidRPr="004B1C55">
        <w:t>off more than 99.5</w:t>
      </w:r>
      <w:r w:rsidR="00F8510B" w:rsidRPr="004B1C55">
        <w:t>% of its debt</w:t>
      </w:r>
      <w:r w:rsidR="00D36169" w:rsidRPr="004B1C55">
        <w:t xml:space="preserve"> against its wishes</w:t>
      </w:r>
      <w:r w:rsidR="00972002" w:rsidRPr="004B1C55">
        <w:t xml:space="preserve">. </w:t>
      </w:r>
      <w:r w:rsidR="003006D2" w:rsidRPr="004B1C55">
        <w:t xml:space="preserve"> </w:t>
      </w:r>
      <w:r w:rsidR="00972002" w:rsidRPr="004B1C55">
        <w:t xml:space="preserve">He may not adopt two contrary positions depending on the litigious advantage to be had from a particular stance. </w:t>
      </w:r>
      <w:r w:rsidR="0002341B" w:rsidRPr="004B1C55">
        <w:t xml:space="preserve"> </w:t>
      </w:r>
      <w:r w:rsidR="002F60BF" w:rsidRPr="004B1C55">
        <w:t>It will be recalled that s.</w:t>
      </w:r>
      <w:r w:rsidR="0002341B" w:rsidRPr="004B1C55">
        <w:t xml:space="preserve"> </w:t>
      </w:r>
      <w:r w:rsidR="002F60BF" w:rsidRPr="004B1C55">
        <w:t xml:space="preserve">50(3) of the Act of 2012 imposes an ongoing obligation of good faith on a debtor who pursues a PIA and he is bound by this continuing requirement. </w:t>
      </w:r>
      <w:r w:rsidR="0002341B" w:rsidRPr="004B1C55">
        <w:t xml:space="preserve"> </w:t>
      </w:r>
      <w:r w:rsidR="00972002" w:rsidRPr="004B1C55">
        <w:t>The appellant does not state that he did not have sufficient legal or financial advice at the time of the s.</w:t>
      </w:r>
      <w:r w:rsidR="0002341B" w:rsidRPr="004B1C55">
        <w:t xml:space="preserve"> </w:t>
      </w:r>
      <w:r w:rsidR="00972002" w:rsidRPr="004B1C55">
        <w:t>115A application to enable him to assess the implications of the assignment of the debt, or that he did not have sufficient opportunity to investigate and</w:t>
      </w:r>
      <w:r w:rsidR="001C314F">
        <w:t>,</w:t>
      </w:r>
      <w:r w:rsidR="00972002" w:rsidRPr="004B1C55">
        <w:t xml:space="preserve"> if needs be, challenge the validity of the assignment. </w:t>
      </w:r>
      <w:r w:rsidR="0002341B" w:rsidRPr="004B1C55">
        <w:t xml:space="preserve"> </w:t>
      </w:r>
      <w:r w:rsidR="00972002" w:rsidRPr="004B1C55">
        <w:t>In my judgment</w:t>
      </w:r>
      <w:r w:rsidR="0002341B" w:rsidRPr="004B1C55">
        <w:t>,</w:t>
      </w:r>
      <w:r w:rsidR="00972002" w:rsidRPr="004B1C55">
        <w:t xml:space="preserve"> </w:t>
      </w:r>
      <w:r w:rsidR="0070787D" w:rsidRPr="004B1C55">
        <w:t xml:space="preserve">he </w:t>
      </w:r>
      <w:r w:rsidR="00A67116" w:rsidRPr="004B1C55">
        <w:t xml:space="preserve">should not be </w:t>
      </w:r>
      <w:r w:rsidR="00972002" w:rsidRPr="004B1C55">
        <w:t>permit</w:t>
      </w:r>
      <w:r w:rsidR="00A67116" w:rsidRPr="004B1C55">
        <w:t>ted</w:t>
      </w:r>
      <w:r w:rsidR="00972002" w:rsidRPr="004B1C55">
        <w:t xml:space="preserve"> to do so in light of his reliance on the validity of the assignment in the s.</w:t>
      </w:r>
      <w:r w:rsidR="0002341B" w:rsidRPr="004B1C55">
        <w:t xml:space="preserve"> </w:t>
      </w:r>
      <w:r w:rsidR="00972002" w:rsidRPr="004B1C55">
        <w:t xml:space="preserve">115A application in an attempt to gain an advantage to permit him thereafter to challenge the same assignment in order to avoid a detriment. </w:t>
      </w:r>
      <w:r w:rsidR="0002341B" w:rsidRPr="004B1C55">
        <w:t xml:space="preserve"> </w:t>
      </w:r>
      <w:r w:rsidR="00972002" w:rsidRPr="004B1C55">
        <w:t>On the facts of this case</w:t>
      </w:r>
      <w:r w:rsidR="0002341B" w:rsidRPr="004B1C55">
        <w:t>,</w:t>
      </w:r>
      <w:r w:rsidR="00972002" w:rsidRPr="004B1C55">
        <w:t xml:space="preserve"> it is no longer open to him to contest the validity of the assignment. </w:t>
      </w:r>
      <w:r w:rsidR="0002341B" w:rsidRPr="004B1C55">
        <w:t xml:space="preserve"> </w:t>
      </w:r>
      <w:r w:rsidR="00972002" w:rsidRPr="004B1C55">
        <w:lastRenderedPageBreak/>
        <w:t xml:space="preserve">He may not do so at the hearing of the petition and he cannot </w:t>
      </w:r>
      <w:r w:rsidR="009B6373" w:rsidRPr="004B1C55">
        <w:t xml:space="preserve">rely on any impairment of his ability to challenge the validity of the assignment as a basis for asserting that Everyday ought not </w:t>
      </w:r>
      <w:r w:rsidR="00102BF9" w:rsidRPr="004B1C55">
        <w:t xml:space="preserve">to </w:t>
      </w:r>
      <w:r w:rsidR="009B6373" w:rsidRPr="004B1C55">
        <w:t>have been substituted as petitioner in these proceedings.</w:t>
      </w:r>
    </w:p>
    <w:p w14:paraId="3EEA4A9C" w14:textId="2CECFCD6" w:rsidR="006010AC" w:rsidRPr="004B1C55" w:rsidRDefault="006010AC" w:rsidP="004B1C55">
      <w:pPr>
        <w:numPr>
          <w:ilvl w:val="0"/>
          <w:numId w:val="43"/>
        </w:numPr>
        <w:spacing w:line="480" w:lineRule="auto"/>
        <w:ind w:left="0" w:firstLine="0"/>
        <w:jc w:val="both"/>
      </w:pPr>
      <w:r w:rsidRPr="004B1C55">
        <w:t>The third argument</w:t>
      </w:r>
      <w:r w:rsidR="00102BF9" w:rsidRPr="004B1C55">
        <w:t xml:space="preserve"> advanced by the appellant is </w:t>
      </w:r>
      <w:r w:rsidRPr="004B1C55">
        <w:t xml:space="preserve">that it is not possible for the assignee of the judgment debt </w:t>
      </w:r>
      <w:r w:rsidR="00102BF9" w:rsidRPr="004B1C55">
        <w:t>to meet the mandatory requirements of s.</w:t>
      </w:r>
      <w:r w:rsidR="0002341B" w:rsidRPr="004B1C55">
        <w:t xml:space="preserve"> </w:t>
      </w:r>
      <w:r w:rsidR="00102BF9" w:rsidRPr="004B1C55">
        <w:t>11 of the Act of 1988 and therefore it is an act of futility to substitute Everyday into the proceedings in place of AIB and, on this basis, the order ought to have been refused</w:t>
      </w:r>
      <w:r w:rsidR="00D36169" w:rsidRPr="004B1C55">
        <w:t xml:space="preserve">. </w:t>
      </w:r>
      <w:r w:rsidR="0002341B" w:rsidRPr="004B1C55">
        <w:t xml:space="preserve"> </w:t>
      </w:r>
      <w:r w:rsidR="00102BF9" w:rsidRPr="004B1C55">
        <w:t xml:space="preserve">The appellant says that this is because </w:t>
      </w:r>
      <w:r w:rsidRPr="004B1C55">
        <w:t>the petitioner</w:t>
      </w:r>
      <w:r w:rsidR="00A67116" w:rsidRPr="004B1C55">
        <w:t xml:space="preserve"> </w:t>
      </w:r>
      <w:r w:rsidRPr="004B1C55">
        <w:t>(1) gives an undertaking to indemnify the official assignee as to the costs, fees and expenses incurred or to be incurred by the official assignee in the event of adjudication</w:t>
      </w:r>
      <w:r w:rsidR="0002341B" w:rsidRPr="004B1C55">
        <w:t>,</w:t>
      </w:r>
      <w:r w:rsidRPr="004B1C55">
        <w:t xml:space="preserve"> (2) undertakes to advertise notice of the adjudication</w:t>
      </w:r>
      <w:r w:rsidR="0002341B" w:rsidRPr="004B1C55">
        <w:t>,</w:t>
      </w:r>
      <w:r w:rsidRPr="004B1C55">
        <w:t xml:space="preserve"> and (3)</w:t>
      </w:r>
      <w:r w:rsidR="00102BF9" w:rsidRPr="004B1C55">
        <w:t xml:space="preserve"> </w:t>
      </w:r>
      <w:r w:rsidRPr="004B1C55">
        <w:t>the petitioner indicated in the petition that it intended to realise its security which it valued at €1,350,000 and undertakes to account to the official assignee for any sum realised from the sale of the asset which exceeds the debt due.  The appellant argued that it was not possible for an assignee to take over these undertakings.</w:t>
      </w:r>
      <w:r w:rsidR="0002341B" w:rsidRPr="004B1C55">
        <w:t xml:space="preserve"> </w:t>
      </w:r>
      <w:r w:rsidRPr="004B1C55">
        <w:t xml:space="preserve"> </w:t>
      </w:r>
      <w:r w:rsidR="005D658E" w:rsidRPr="004B1C55">
        <w:t>Everyday says that this is not so</w:t>
      </w:r>
      <w:r w:rsidR="001C5FC7">
        <w:t>,</w:t>
      </w:r>
      <w:r w:rsidR="00D478DC" w:rsidRPr="004B1C55">
        <w:t xml:space="preserve"> and</w:t>
      </w:r>
      <w:r w:rsidR="0002341B" w:rsidRPr="004B1C55">
        <w:t>,</w:t>
      </w:r>
      <w:r w:rsidR="00D478DC" w:rsidRPr="004B1C55">
        <w:t xml:space="preserve"> in any event</w:t>
      </w:r>
      <w:r w:rsidR="0002341B" w:rsidRPr="004B1C55">
        <w:t>,</w:t>
      </w:r>
      <w:r w:rsidR="00D478DC" w:rsidRPr="004B1C55">
        <w:t xml:space="preserve"> it is premature to </w:t>
      </w:r>
      <w:r w:rsidR="00A36B67" w:rsidRPr="004B1C55">
        <w:t>decide these issues which will be dealt with at the hearing of the petition</w:t>
      </w:r>
      <w:r w:rsidR="005D658E" w:rsidRPr="004B1C55">
        <w:t>.</w:t>
      </w:r>
    </w:p>
    <w:p w14:paraId="3D3D225B" w14:textId="25FD309A" w:rsidR="00D36169" w:rsidRPr="004B1C55" w:rsidRDefault="00D36169" w:rsidP="004B1C55">
      <w:pPr>
        <w:numPr>
          <w:ilvl w:val="0"/>
          <w:numId w:val="43"/>
        </w:numPr>
        <w:spacing w:line="480" w:lineRule="auto"/>
        <w:ind w:left="0" w:firstLine="0"/>
        <w:jc w:val="both"/>
      </w:pPr>
      <w:r w:rsidRPr="004B1C55">
        <w:t xml:space="preserve">This argument is a new argument which was not made in the High Court. </w:t>
      </w:r>
      <w:r w:rsidR="0002341B" w:rsidRPr="004B1C55">
        <w:t xml:space="preserve"> </w:t>
      </w:r>
      <w:r w:rsidRPr="004B1C55">
        <w:t>At all times</w:t>
      </w:r>
      <w:r w:rsidR="0002341B" w:rsidRPr="004B1C55">
        <w:t>,</w:t>
      </w:r>
      <w:r w:rsidRPr="004B1C55">
        <w:t xml:space="preserve"> the appellant has been legally represented and it was open to him to have advanced these arguments before Pilkington J. had he seen fit to do so. </w:t>
      </w:r>
      <w:r w:rsidR="0002341B" w:rsidRPr="004B1C55">
        <w:t xml:space="preserve"> </w:t>
      </w:r>
      <w:r w:rsidRPr="004B1C55">
        <w:t xml:space="preserve">He has not sought leave of the court to advance new arguments or even acknowledged that this is required before he may do so. </w:t>
      </w:r>
      <w:r w:rsidR="0002341B" w:rsidRPr="004B1C55">
        <w:t xml:space="preserve"> </w:t>
      </w:r>
      <w:r w:rsidRPr="004B1C55">
        <w:t>He has not advanced any basis upon which this court could exercise its discretion to allow him to do so.</w:t>
      </w:r>
      <w:r w:rsidR="0002341B" w:rsidRPr="004B1C55">
        <w:t xml:space="preserve"> </w:t>
      </w:r>
      <w:r w:rsidR="00B2043A" w:rsidRPr="004B1C55">
        <w:t xml:space="preserve"> </w:t>
      </w:r>
      <w:r w:rsidR="006E0560" w:rsidRPr="004B1C55">
        <w:t>However, t</w:t>
      </w:r>
      <w:r w:rsidR="00B2043A" w:rsidRPr="004B1C55">
        <w:t xml:space="preserve">he respondent failed to take issue with the appellant raising new arguments in the notice of appeal and the matter did not form part of the debate at the hearing of the appeal. </w:t>
      </w:r>
      <w:r w:rsidR="0002341B" w:rsidRPr="004B1C55">
        <w:t xml:space="preserve"> </w:t>
      </w:r>
      <w:r w:rsidR="00B2043A" w:rsidRPr="004B1C55">
        <w:t>For this reason</w:t>
      </w:r>
      <w:r w:rsidR="0002341B" w:rsidRPr="004B1C55">
        <w:t>,</w:t>
      </w:r>
      <w:r w:rsidR="00B2043A" w:rsidRPr="004B1C55">
        <w:t xml:space="preserve"> I will not dismiss the argument on this basis.</w:t>
      </w:r>
    </w:p>
    <w:p w14:paraId="6D5BD52C" w14:textId="54D66E40" w:rsidR="006010AC" w:rsidRPr="004B1C55" w:rsidRDefault="006010AC" w:rsidP="004B1C55">
      <w:pPr>
        <w:numPr>
          <w:ilvl w:val="0"/>
          <w:numId w:val="43"/>
        </w:numPr>
        <w:spacing w:line="480" w:lineRule="auto"/>
        <w:ind w:left="0" w:firstLine="0"/>
        <w:jc w:val="both"/>
      </w:pPr>
      <w:r w:rsidRPr="004B1C55">
        <w:t xml:space="preserve">Section 121 of the Irish Bankrupt and Insolvent Act 1857 permitted Creditor A to proceed to adjudicate a debtor on a petition presented by Creditor B upon proof of the debt </w:t>
      </w:r>
      <w:r w:rsidRPr="004B1C55">
        <w:lastRenderedPageBreak/>
        <w:t xml:space="preserve">of Creditor A </w:t>
      </w:r>
      <w:r w:rsidRPr="004B1C55">
        <w:rPr>
          <w:i/>
        </w:rPr>
        <w:t>“and of the other requisites to support such petition (except the debt of the petitioning creditor)”</w:t>
      </w:r>
      <w:r w:rsidRPr="004B1C55">
        <w:t>.  Similar undertakings would have been giv</w:t>
      </w:r>
      <w:r w:rsidR="005D658E" w:rsidRPr="004B1C55">
        <w:t>en</w:t>
      </w:r>
      <w:r w:rsidRPr="004B1C55">
        <w:t xml:space="preserve"> by Creditor B under the 1857 Act </w:t>
      </w:r>
      <w:r w:rsidR="009A5B02" w:rsidRPr="004B1C55">
        <w:t xml:space="preserve">to those given under the Act of 1988 </w:t>
      </w:r>
      <w:r w:rsidRPr="004B1C55">
        <w:t>and clearly this posed no bar as a matter of principle to a different creditor taking over the petition</w:t>
      </w:r>
      <w:r w:rsidR="005D658E" w:rsidRPr="004B1C55">
        <w:t xml:space="preserve"> and substituting its undertakings for those given by Creditor B</w:t>
      </w:r>
      <w:r w:rsidRPr="004B1C55">
        <w:t>.</w:t>
      </w:r>
    </w:p>
    <w:p w14:paraId="770DEA33" w14:textId="41507420" w:rsidR="006010AC" w:rsidRPr="004B1C55" w:rsidRDefault="006010AC" w:rsidP="004B1C55">
      <w:pPr>
        <w:numPr>
          <w:ilvl w:val="0"/>
          <w:numId w:val="43"/>
        </w:numPr>
        <w:spacing w:line="480" w:lineRule="auto"/>
        <w:ind w:left="0" w:firstLine="0"/>
        <w:jc w:val="both"/>
      </w:pPr>
      <w:r w:rsidRPr="004B1C55">
        <w:t>Second, s</w:t>
      </w:r>
      <w:r w:rsidR="0002341B" w:rsidRPr="004B1C55">
        <w:t>.</w:t>
      </w:r>
      <w:r w:rsidRPr="004B1C55">
        <w:t xml:space="preserve"> 572(5) of the Companies Act 2014 provides:</w:t>
      </w:r>
      <w:r w:rsidR="0002341B" w:rsidRPr="004B1C55">
        <w:t>-</w:t>
      </w:r>
    </w:p>
    <w:p w14:paraId="6BDE920C" w14:textId="77777777" w:rsidR="006010AC" w:rsidRPr="004B1C55" w:rsidRDefault="006010AC" w:rsidP="004507B8">
      <w:pPr>
        <w:spacing w:line="480" w:lineRule="auto"/>
        <w:ind w:left="567"/>
        <w:jc w:val="both"/>
      </w:pPr>
      <w:r w:rsidRPr="004B1C55">
        <w:rPr>
          <w:i/>
        </w:rPr>
        <w:t>“Where a petitioner does not proceed with his or her winding-up petition, the court may, upon such terms as it shall deem just, substitute as petitioner any person who would have a right to present a petition in relation to the company, and who wishes to proceed with the petition.”</w:t>
      </w:r>
      <w:r w:rsidRPr="004B1C55">
        <w:t xml:space="preserve"> </w:t>
      </w:r>
    </w:p>
    <w:p w14:paraId="5495C960" w14:textId="3599A16F" w:rsidR="006010AC" w:rsidRPr="004B1C55" w:rsidRDefault="006010AC" w:rsidP="004B1C55">
      <w:pPr>
        <w:numPr>
          <w:ilvl w:val="0"/>
          <w:numId w:val="43"/>
        </w:numPr>
        <w:spacing w:line="480" w:lineRule="auto"/>
        <w:ind w:left="0" w:firstLine="0"/>
        <w:jc w:val="both"/>
      </w:pPr>
      <w:r w:rsidRPr="004B1C55">
        <w:t xml:space="preserve">Conroy in his commentary </w:t>
      </w:r>
      <w:r w:rsidR="00A36B67" w:rsidRPr="004B1C55">
        <w:t xml:space="preserve">on the Act </w:t>
      </w:r>
      <w:r w:rsidR="0002341B" w:rsidRPr="004B1C55">
        <w:t xml:space="preserve">in </w:t>
      </w:r>
      <w:r w:rsidR="0002341B" w:rsidRPr="004B1C55">
        <w:rPr>
          <w:i/>
          <w:iCs/>
        </w:rPr>
        <w:t xml:space="preserve">The Companies Act 2014: Annotated and Consolidated </w:t>
      </w:r>
      <w:r w:rsidR="004507B8">
        <w:rPr>
          <w:i/>
          <w:iCs/>
        </w:rPr>
        <w:t>–</w:t>
      </w:r>
      <w:r w:rsidR="0002341B" w:rsidRPr="004B1C55">
        <w:rPr>
          <w:i/>
          <w:iCs/>
        </w:rPr>
        <w:t xml:space="preserve"> 2018 Edition</w:t>
      </w:r>
      <w:r w:rsidR="0002341B" w:rsidRPr="004B1C55">
        <w:t xml:space="preserve"> (2nd ed., Round Hall, 2018) </w:t>
      </w:r>
      <w:r w:rsidR="008715F0" w:rsidRPr="004B1C55">
        <w:t>at p</w:t>
      </w:r>
      <w:r w:rsidR="0002341B" w:rsidRPr="004B1C55">
        <w:t>.</w:t>
      </w:r>
      <w:r w:rsidR="00BF734A">
        <w:t xml:space="preserve"> </w:t>
      </w:r>
      <w:r w:rsidR="00294AAA">
        <w:t>793</w:t>
      </w:r>
      <w:r w:rsidR="00335404" w:rsidRPr="004B1C55">
        <w:t xml:space="preserve"> </w:t>
      </w:r>
      <w:r w:rsidRPr="004B1C55">
        <w:t>states that this is a new provision which incorporates the substance of a provision previously appearing in the Rules, noting that a similar provision continues in O.</w:t>
      </w:r>
      <w:r w:rsidR="0044617D" w:rsidRPr="004B1C55">
        <w:t xml:space="preserve"> </w:t>
      </w:r>
      <w:r w:rsidRPr="004B1C55">
        <w:t>74, r.</w:t>
      </w:r>
      <w:r w:rsidR="0044617D" w:rsidRPr="004B1C55">
        <w:t xml:space="preserve"> </w:t>
      </w:r>
      <w:r w:rsidRPr="004B1C55">
        <w:t>18.  He states:</w:t>
      </w:r>
      <w:r w:rsidR="0044617D" w:rsidRPr="004B1C55">
        <w:t>-</w:t>
      </w:r>
    </w:p>
    <w:p w14:paraId="115B3AD3" w14:textId="21E9CB8B" w:rsidR="006010AC" w:rsidRPr="004B1C55" w:rsidRDefault="006010AC" w:rsidP="004507B8">
      <w:pPr>
        <w:spacing w:line="480" w:lineRule="auto"/>
        <w:ind w:left="567"/>
        <w:jc w:val="both"/>
      </w:pPr>
      <w:r w:rsidRPr="004B1C55">
        <w:rPr>
          <w:i/>
        </w:rPr>
        <w:t xml:space="preserve">“It enables the </w:t>
      </w:r>
      <w:r w:rsidR="0044617D" w:rsidRPr="004B1C55">
        <w:rPr>
          <w:i/>
        </w:rPr>
        <w:t>c</w:t>
      </w:r>
      <w:r w:rsidRPr="004B1C55">
        <w:rPr>
          <w:i/>
        </w:rPr>
        <w:t xml:space="preserve">ourt to substitute as petitioner any person who would have a right to present a petition in relation to the company and who wishes to proceed with the petition where the original petitioner does not proceed with his or her petition.  The rationale for the substitution mechanism is to ensure that, once the prima facie right to the winding up of a company has arisen, the company should not escape from that position except by dealing fairly with all of its creditors, not by paying off only the petitioner: </w:t>
      </w:r>
      <w:r w:rsidR="0044617D" w:rsidRPr="004B1C55">
        <w:rPr>
          <w:i/>
        </w:rPr>
        <w:t>R</w:t>
      </w:r>
      <w:r w:rsidRPr="004B1C55">
        <w:rPr>
          <w:i/>
        </w:rPr>
        <w:t xml:space="preserve">e </w:t>
      </w:r>
      <w:proofErr w:type="spellStart"/>
      <w:r w:rsidRPr="004B1C55">
        <w:rPr>
          <w:i/>
        </w:rPr>
        <w:t>Lycatel</w:t>
      </w:r>
      <w:proofErr w:type="spellEnd"/>
      <w:r w:rsidRPr="004B1C55">
        <w:rPr>
          <w:i/>
        </w:rPr>
        <w:t xml:space="preserve"> Ireland L</w:t>
      </w:r>
      <w:r w:rsidR="0044617D" w:rsidRPr="004B1C55">
        <w:rPr>
          <w:i/>
        </w:rPr>
        <w:t>td.</w:t>
      </w:r>
      <w:r w:rsidRPr="004B1C55">
        <w:rPr>
          <w:i/>
        </w:rPr>
        <w:t xml:space="preserve"> [2009] 3 I</w:t>
      </w:r>
      <w:r w:rsidR="0044617D" w:rsidRPr="004B1C55">
        <w:rPr>
          <w:i/>
        </w:rPr>
        <w:t>.</w:t>
      </w:r>
      <w:r w:rsidRPr="004B1C55">
        <w:rPr>
          <w:i/>
        </w:rPr>
        <w:t>R</w:t>
      </w:r>
      <w:r w:rsidR="0044617D" w:rsidRPr="004B1C55">
        <w:rPr>
          <w:i/>
        </w:rPr>
        <w:t>.</w:t>
      </w:r>
      <w:r w:rsidRPr="004B1C55">
        <w:rPr>
          <w:i/>
        </w:rPr>
        <w:t xml:space="preserve"> 736.  The power to substitute a petitioner arises whether or not the petition has been advertised: </w:t>
      </w:r>
      <w:r w:rsidR="0044617D" w:rsidRPr="004B1C55">
        <w:rPr>
          <w:i/>
        </w:rPr>
        <w:t>R</w:t>
      </w:r>
      <w:r w:rsidRPr="004B1C55">
        <w:rPr>
          <w:i/>
        </w:rPr>
        <w:t xml:space="preserve">e </w:t>
      </w:r>
      <w:proofErr w:type="spellStart"/>
      <w:r w:rsidRPr="004B1C55">
        <w:rPr>
          <w:i/>
        </w:rPr>
        <w:t>Lycatel</w:t>
      </w:r>
      <w:proofErr w:type="spellEnd"/>
      <w:r w:rsidRPr="004B1C55">
        <w:rPr>
          <w:i/>
        </w:rPr>
        <w:t xml:space="preserve"> Ireland L</w:t>
      </w:r>
      <w:r w:rsidR="0044617D" w:rsidRPr="004B1C55">
        <w:rPr>
          <w:i/>
        </w:rPr>
        <w:t>t</w:t>
      </w:r>
      <w:r w:rsidRPr="004B1C55">
        <w:rPr>
          <w:i/>
        </w:rPr>
        <w:t xml:space="preserve">d.  The elevation of this </w:t>
      </w:r>
      <w:r w:rsidR="0044617D" w:rsidRPr="004B1C55">
        <w:rPr>
          <w:i/>
        </w:rPr>
        <w:t>r</w:t>
      </w:r>
      <w:r w:rsidRPr="004B1C55">
        <w:rPr>
          <w:i/>
        </w:rPr>
        <w:t xml:space="preserve">ule of </w:t>
      </w:r>
      <w:r w:rsidR="0044617D" w:rsidRPr="004B1C55">
        <w:rPr>
          <w:i/>
        </w:rPr>
        <w:t>c</w:t>
      </w:r>
      <w:r w:rsidRPr="004B1C55">
        <w:rPr>
          <w:i/>
        </w:rPr>
        <w:t xml:space="preserve">ourt to primary legislation arises from the general aim articulated by the </w:t>
      </w:r>
      <w:r w:rsidR="00A36B67" w:rsidRPr="004B1C55">
        <w:rPr>
          <w:i/>
        </w:rPr>
        <w:t>[Company Law Reform Group]</w:t>
      </w:r>
      <w:r w:rsidRPr="004B1C55">
        <w:rPr>
          <w:i/>
        </w:rPr>
        <w:t xml:space="preserve"> of making all of the main </w:t>
      </w:r>
      <w:r w:rsidRPr="004B1C55">
        <w:rPr>
          <w:i/>
        </w:rPr>
        <w:lastRenderedPageBreak/>
        <w:t>provisions governing Irish company law discernible from the main body of the Statute (s</w:t>
      </w:r>
      <w:r w:rsidR="0044617D" w:rsidRPr="004B1C55">
        <w:rPr>
          <w:i/>
        </w:rPr>
        <w:t>.</w:t>
      </w:r>
      <w:r w:rsidRPr="004B1C55">
        <w:rPr>
          <w:i/>
        </w:rPr>
        <w:t xml:space="preserve"> 3.12 First Report).” </w:t>
      </w:r>
      <w:r w:rsidRPr="004B1C55">
        <w:t xml:space="preserve">  </w:t>
      </w:r>
    </w:p>
    <w:p w14:paraId="73EC670C" w14:textId="77777777" w:rsidR="006010AC" w:rsidRPr="004B1C55" w:rsidRDefault="006010AC" w:rsidP="004B1C55">
      <w:pPr>
        <w:numPr>
          <w:ilvl w:val="0"/>
          <w:numId w:val="43"/>
        </w:numPr>
        <w:spacing w:line="480" w:lineRule="auto"/>
        <w:ind w:left="0" w:firstLine="0"/>
        <w:jc w:val="both"/>
      </w:pPr>
      <w:r w:rsidRPr="004B1C55">
        <w:t>The</w:t>
      </w:r>
      <w:r w:rsidR="009A5B02" w:rsidRPr="004B1C55">
        <w:t xml:space="preserve"> two</w:t>
      </w:r>
      <w:r w:rsidRPr="004B1C55">
        <w:t xml:space="preserve"> provisions are not precisely analogous to the situation where the petitioning creditor assigns the underlying debt, but they show that there is no objection </w:t>
      </w:r>
      <w:r w:rsidRPr="004B1C55">
        <w:rPr>
          <w:i/>
        </w:rPr>
        <w:t>in principle</w:t>
      </w:r>
      <w:r w:rsidRPr="004B1C55">
        <w:t xml:space="preserve"> to one creditor proceeding on foot of a petition presented by a different party</w:t>
      </w:r>
      <w:r w:rsidR="00A36B67" w:rsidRPr="004B1C55">
        <w:t xml:space="preserve"> and assuming or undertaking on its own behalf the undertakings given upon the presentation of the petition</w:t>
      </w:r>
      <w:r w:rsidRPr="004B1C55">
        <w:t xml:space="preserve">. It follows that there is no insuperable barrier </w:t>
      </w:r>
      <w:r w:rsidR="00A36B67" w:rsidRPr="004B1C55">
        <w:t xml:space="preserve">to one creditor proceeding with the petition of another creditor </w:t>
      </w:r>
      <w:r w:rsidRPr="004B1C55">
        <w:t xml:space="preserve">based upon the undertakings of the petitioner, as the appellant argued. </w:t>
      </w:r>
    </w:p>
    <w:p w14:paraId="4F3A329E" w14:textId="196D5AE2" w:rsidR="006010AC" w:rsidRPr="004B1C55" w:rsidRDefault="00A36B67" w:rsidP="004B1C55">
      <w:pPr>
        <w:numPr>
          <w:ilvl w:val="0"/>
          <w:numId w:val="43"/>
        </w:numPr>
        <w:spacing w:line="480" w:lineRule="auto"/>
        <w:ind w:left="0" w:firstLine="0"/>
        <w:jc w:val="both"/>
      </w:pPr>
      <w:r w:rsidRPr="004B1C55">
        <w:t xml:space="preserve">During the hearing, counsel for the appellant pointed to the repeal of </w:t>
      </w:r>
      <w:r w:rsidR="006010AC" w:rsidRPr="004B1C55">
        <w:t>s.</w:t>
      </w:r>
      <w:r w:rsidR="005B7598" w:rsidRPr="004B1C55">
        <w:t xml:space="preserve"> </w:t>
      </w:r>
      <w:r w:rsidR="006010AC" w:rsidRPr="004B1C55">
        <w:t>1</w:t>
      </w:r>
      <w:r w:rsidRPr="004B1C55">
        <w:t>21 of the 1857 Act and the fact that no analogous provision was adopted in the 1988</w:t>
      </w:r>
      <w:r w:rsidR="006010AC" w:rsidRPr="004B1C55">
        <w:t xml:space="preserve"> Act. </w:t>
      </w:r>
      <w:r w:rsidR="005B7598" w:rsidRPr="004B1C55">
        <w:t xml:space="preserve"> </w:t>
      </w:r>
      <w:r w:rsidR="006010AC" w:rsidRPr="004B1C55">
        <w:t>Section 121 of the Act of 1857 was not carried forward into the Bankruptcy Act 1988 whereas the similar provision to O.</w:t>
      </w:r>
      <w:r w:rsidR="005B7598" w:rsidRPr="004B1C55">
        <w:t xml:space="preserve"> </w:t>
      </w:r>
      <w:r w:rsidR="006010AC" w:rsidRPr="004B1C55">
        <w:t>74, r.</w:t>
      </w:r>
      <w:r w:rsidR="005B7598" w:rsidRPr="004B1C55">
        <w:t xml:space="preserve"> </w:t>
      </w:r>
      <w:r w:rsidR="006010AC" w:rsidRPr="004B1C55">
        <w:t xml:space="preserve">18 was elevated into primary legalisation </w:t>
      </w:r>
      <w:r w:rsidR="006E0560" w:rsidRPr="004B1C55">
        <w:t>by</w:t>
      </w:r>
      <w:r w:rsidR="006010AC" w:rsidRPr="004B1C55">
        <w:t xml:space="preserve"> the Companies Act 2014.</w:t>
      </w:r>
      <w:r w:rsidR="005B7598" w:rsidRPr="004B1C55">
        <w:t xml:space="preserve"> </w:t>
      </w:r>
      <w:r w:rsidR="006010AC" w:rsidRPr="004B1C55">
        <w:t xml:space="preserve"> </w:t>
      </w:r>
      <w:r w:rsidRPr="004B1C55">
        <w:t xml:space="preserve">It was submitted that the Oireachtas thereby intended that it should no longer be possible for one creditor to take over the petition of another. </w:t>
      </w:r>
      <w:r w:rsidR="005B7598" w:rsidRPr="004B1C55">
        <w:t xml:space="preserve"> </w:t>
      </w:r>
      <w:r w:rsidRPr="004B1C55">
        <w:t>If that were so, it followed that an assignee of the petitioner likewise ought not to be permitted to continue the existing petition proceedings.</w:t>
      </w:r>
    </w:p>
    <w:p w14:paraId="06B4A999" w14:textId="7CFA46B4" w:rsidR="006010AC" w:rsidRPr="004B1C55" w:rsidRDefault="00A36B67" w:rsidP="004B1C55">
      <w:pPr>
        <w:numPr>
          <w:ilvl w:val="0"/>
          <w:numId w:val="43"/>
        </w:numPr>
        <w:spacing w:line="480" w:lineRule="auto"/>
        <w:ind w:left="0" w:firstLine="0"/>
        <w:jc w:val="both"/>
      </w:pPr>
      <w:r w:rsidRPr="004B1C55">
        <w:t xml:space="preserve">In </w:t>
      </w:r>
      <w:proofErr w:type="spellStart"/>
      <w:r w:rsidR="006010AC" w:rsidRPr="004B1C55">
        <w:t>Sanfey</w:t>
      </w:r>
      <w:proofErr w:type="spellEnd"/>
      <w:r w:rsidR="006010AC" w:rsidRPr="004B1C55">
        <w:t xml:space="preserve"> </w:t>
      </w:r>
      <w:r w:rsidRPr="004B1C55">
        <w:t xml:space="preserve">and </w:t>
      </w:r>
      <w:proofErr w:type="spellStart"/>
      <w:r w:rsidRPr="004B1C55">
        <w:t>Holohan</w:t>
      </w:r>
      <w:proofErr w:type="spellEnd"/>
      <w:r w:rsidR="006010AC" w:rsidRPr="004B1C55">
        <w:t xml:space="preserve"> </w:t>
      </w:r>
      <w:r w:rsidR="006010AC" w:rsidRPr="004B1C55">
        <w:rPr>
          <w:i/>
        </w:rPr>
        <w:t xml:space="preserve">Bankruptcy Law and Practice </w:t>
      </w:r>
      <w:r w:rsidR="005B7598" w:rsidRPr="004B1C55">
        <w:rPr>
          <w:iCs/>
        </w:rPr>
        <w:t xml:space="preserve">(2nd ed., Round Hall, 2010), </w:t>
      </w:r>
      <w:r w:rsidR="006010AC" w:rsidRPr="004B1C55">
        <w:rPr>
          <w:iCs/>
        </w:rPr>
        <w:t>t</w:t>
      </w:r>
      <w:r w:rsidRPr="004B1C55">
        <w:rPr>
          <w:iCs/>
        </w:rPr>
        <w:t>he</w:t>
      </w:r>
      <w:r w:rsidRPr="004B1C55">
        <w:t xml:space="preserve"> authors note </w:t>
      </w:r>
      <w:r w:rsidR="000D42CC">
        <w:t xml:space="preserve">at p. </w:t>
      </w:r>
      <w:r w:rsidR="00BB6236">
        <w:t xml:space="preserve">24 </w:t>
      </w:r>
      <w:r w:rsidRPr="004B1C55">
        <w:t>t</w:t>
      </w:r>
      <w:r w:rsidR="006010AC" w:rsidRPr="004B1C55">
        <w:t>hat s.</w:t>
      </w:r>
      <w:r w:rsidR="0040385F">
        <w:t xml:space="preserve"> </w:t>
      </w:r>
      <w:r w:rsidR="006010AC" w:rsidRPr="004B1C55">
        <w:t>121 of the Act of 1857 was not carried forward because in the view of the Budd Commi</w:t>
      </w:r>
      <w:r w:rsidR="008715F0" w:rsidRPr="004B1C55">
        <w:t xml:space="preserve">ttee </w:t>
      </w:r>
      <w:r w:rsidR="00AE05BC">
        <w:t>in The Bankruptcy Law Committee Report</w:t>
      </w:r>
      <w:r w:rsidR="006010AC" w:rsidRPr="004B1C55">
        <w:t>, it was rarely used.  Section 121 did not deal with the situation where the petitioner/creditor assigned the debt to a third party assignee so the failure to re-enact s.</w:t>
      </w:r>
      <w:r w:rsidR="005B20C2" w:rsidRPr="004B1C55">
        <w:t xml:space="preserve"> </w:t>
      </w:r>
      <w:r w:rsidR="006010AC" w:rsidRPr="004B1C55">
        <w:t>121 or an equivalent section is not determinative</w:t>
      </w:r>
      <w:r w:rsidR="007D52D9" w:rsidRPr="004B1C55">
        <w:t xml:space="preserve"> of the issue in this appeal</w:t>
      </w:r>
      <w:r w:rsidR="006010AC" w:rsidRPr="004B1C55">
        <w:t xml:space="preserve">.  Neither is the absence of primary legislation permitting the substitution, as was argued by the appellant.  This is clear from </w:t>
      </w:r>
      <w:r w:rsidR="006E0560" w:rsidRPr="004B1C55">
        <w:t xml:space="preserve">the passage I have quoted from </w:t>
      </w:r>
      <w:r w:rsidR="006010AC" w:rsidRPr="004B1C55">
        <w:t xml:space="preserve">Conroy’s annotation of the Companies Act 2014.  It was perfectly possible to provide for one creditor to proceed on the petition of another creditor to wind up a </w:t>
      </w:r>
      <w:r w:rsidR="006010AC" w:rsidRPr="004B1C55">
        <w:lastRenderedPageBreak/>
        <w:t xml:space="preserve">company under a provision in the Rules.  The reason the provision was </w:t>
      </w:r>
      <w:r w:rsidR="006010AC" w:rsidRPr="004B1C55">
        <w:rPr>
          <w:i/>
        </w:rPr>
        <w:t>“elevated”</w:t>
      </w:r>
      <w:r w:rsidR="006010AC" w:rsidRPr="004B1C55">
        <w:t xml:space="preserve"> to primary legislation was a policy decision.  It did not alter the legal right so to do.  </w:t>
      </w:r>
    </w:p>
    <w:p w14:paraId="3F7BD97A" w14:textId="3FC82280" w:rsidR="00A47412" w:rsidRPr="004B1C55" w:rsidRDefault="006010AC" w:rsidP="004B1C55">
      <w:pPr>
        <w:numPr>
          <w:ilvl w:val="0"/>
          <w:numId w:val="43"/>
        </w:numPr>
        <w:spacing w:line="480" w:lineRule="auto"/>
        <w:ind w:left="0" w:firstLine="0"/>
        <w:jc w:val="both"/>
      </w:pPr>
      <w:r w:rsidRPr="004B1C55">
        <w:t>Assignments of debt have long been recognised as legitimate</w:t>
      </w:r>
      <w:r w:rsidR="008715F0" w:rsidRPr="004B1C55">
        <w:t>,</w:t>
      </w:r>
      <w:r w:rsidRPr="004B1C55">
        <w:t xml:space="preserve"> and assignees of debt are entitled to be substituted in proceedings at any stage up to an</w:t>
      </w:r>
      <w:r w:rsidR="005B20C2" w:rsidRPr="004B1C55">
        <w:t>d</w:t>
      </w:r>
      <w:r w:rsidRPr="004B1C55">
        <w:t xml:space="preserve"> including after judgment</w:t>
      </w:r>
      <w:r w:rsidR="005B20C2" w:rsidRPr="004B1C55">
        <w:t>,</w:t>
      </w:r>
      <w:r w:rsidRPr="004B1C55">
        <w:t xml:space="preserve"> and to proceed by way of execution on foot of judgments obtained by the assignor of the debt. </w:t>
      </w:r>
      <w:r w:rsidR="00A47412" w:rsidRPr="004B1C55">
        <w:t xml:space="preserve"> This was recently confirmed by the </w:t>
      </w:r>
      <w:r w:rsidR="005B20C2" w:rsidRPr="004B1C55">
        <w:t>S</w:t>
      </w:r>
      <w:r w:rsidR="00A47412" w:rsidRPr="004B1C55">
        <w:t xml:space="preserve">upreme </w:t>
      </w:r>
      <w:r w:rsidR="005B20C2" w:rsidRPr="004B1C55">
        <w:t>C</w:t>
      </w:r>
      <w:r w:rsidR="00A47412" w:rsidRPr="004B1C55">
        <w:t xml:space="preserve">ourt in </w:t>
      </w:r>
      <w:r w:rsidR="00A47412" w:rsidRPr="004B1C55">
        <w:rPr>
          <w:i/>
        </w:rPr>
        <w:t xml:space="preserve">SPV </w:t>
      </w:r>
      <w:proofErr w:type="spellStart"/>
      <w:r w:rsidR="00A47412" w:rsidRPr="004B1C55">
        <w:rPr>
          <w:i/>
        </w:rPr>
        <w:t>Osus</w:t>
      </w:r>
      <w:proofErr w:type="spellEnd"/>
      <w:r w:rsidR="00A47412" w:rsidRPr="004B1C55">
        <w:rPr>
          <w:i/>
        </w:rPr>
        <w:t xml:space="preserve"> Ltd. v</w:t>
      </w:r>
      <w:r w:rsidR="005B20C2" w:rsidRPr="004B1C55">
        <w:rPr>
          <w:i/>
        </w:rPr>
        <w:t>.</w:t>
      </w:r>
      <w:r w:rsidR="00A47412" w:rsidRPr="004B1C55">
        <w:rPr>
          <w:i/>
        </w:rPr>
        <w:t xml:space="preserve"> HSBC &amp; Ors</w:t>
      </w:r>
      <w:r w:rsidR="00A47412" w:rsidRPr="004B1C55">
        <w:t xml:space="preserve"> [2018] IESC 44</w:t>
      </w:r>
      <w:r w:rsidR="005B20C2" w:rsidRPr="004B1C55">
        <w:t>, where</w:t>
      </w:r>
      <w:r w:rsidR="00A47412" w:rsidRPr="004B1C55">
        <w:t xml:space="preserve"> O’Donnell J. (as he then was) referred to s.</w:t>
      </w:r>
      <w:r w:rsidR="005B20C2" w:rsidRPr="004B1C55">
        <w:t xml:space="preserve"> </w:t>
      </w:r>
      <w:r w:rsidR="00A47412" w:rsidRPr="004B1C55">
        <w:t>28(6) of the Judicature Act (Ireland) 1877 and stated at para</w:t>
      </w:r>
      <w:r w:rsidR="005B20C2" w:rsidRPr="004B1C55">
        <w:t>.</w:t>
      </w:r>
      <w:r w:rsidR="00A47412" w:rsidRPr="004B1C55">
        <w:t xml:space="preserve"> </w:t>
      </w:r>
      <w:r w:rsidR="005B20C2" w:rsidRPr="004B1C55">
        <w:t xml:space="preserve">18 </w:t>
      </w:r>
      <w:r w:rsidR="00A47412" w:rsidRPr="004B1C55">
        <w:t>of his judgment:</w:t>
      </w:r>
      <w:r w:rsidR="005B20C2" w:rsidRPr="004B1C55">
        <w:t>-</w:t>
      </w:r>
    </w:p>
    <w:p w14:paraId="5AF998F7" w14:textId="6903C84C" w:rsidR="00A47412" w:rsidRPr="004B1C55" w:rsidRDefault="00A47412" w:rsidP="004B1C55">
      <w:pPr>
        <w:spacing w:line="480" w:lineRule="auto"/>
        <w:ind w:left="567"/>
        <w:jc w:val="both"/>
        <w:rPr>
          <w:i/>
        </w:rPr>
      </w:pPr>
      <w:r w:rsidRPr="004B1C55">
        <w:rPr>
          <w:i/>
        </w:rPr>
        <w:t>“…</w:t>
      </w:r>
      <w:r w:rsidR="005B20C2" w:rsidRPr="004B1C55">
        <w:rPr>
          <w:i/>
        </w:rPr>
        <w:t xml:space="preserve"> </w:t>
      </w:r>
      <w:r w:rsidRPr="004B1C55">
        <w:rPr>
          <w:i/>
        </w:rPr>
        <w:t>However, the very existence of s.</w:t>
      </w:r>
      <w:r w:rsidR="005B20C2" w:rsidRPr="004B1C55">
        <w:rPr>
          <w:i/>
        </w:rPr>
        <w:t xml:space="preserve"> </w:t>
      </w:r>
      <w:r w:rsidRPr="004B1C55">
        <w:rPr>
          <w:i/>
        </w:rPr>
        <w:t>28(6) is relevant in one respect. It illustrates the fact that there is no absolute rule against assignment of rights of action. In some cases, such as assignment of debts, assignment is permissible, and arguably to be encouraged.”</w:t>
      </w:r>
    </w:p>
    <w:p w14:paraId="5BDB1006" w14:textId="77B5DFDC" w:rsidR="006010AC" w:rsidRPr="004B1C55" w:rsidRDefault="006010AC" w:rsidP="004B1C55">
      <w:pPr>
        <w:numPr>
          <w:ilvl w:val="0"/>
          <w:numId w:val="43"/>
        </w:numPr>
        <w:spacing w:line="480" w:lineRule="auto"/>
        <w:ind w:left="0" w:firstLine="0"/>
        <w:jc w:val="both"/>
      </w:pPr>
      <w:r w:rsidRPr="004B1C55">
        <w:t>Th</w:t>
      </w:r>
      <w:r w:rsidR="007D52D9" w:rsidRPr="004B1C55">
        <w:t>us</w:t>
      </w:r>
      <w:r w:rsidR="002D2EC5" w:rsidRPr="004B1C55">
        <w:t>,</w:t>
      </w:r>
      <w:r w:rsidR="007D52D9" w:rsidRPr="004B1C55">
        <w:t xml:space="preserve"> the</w:t>
      </w:r>
      <w:r w:rsidRPr="004B1C55">
        <w:t xml:space="preserve"> issue</w:t>
      </w:r>
      <w:r w:rsidR="00A8486B" w:rsidRPr="004B1C55">
        <w:t>,</w:t>
      </w:r>
      <w:r w:rsidRPr="004B1C55">
        <w:t xml:space="preserve"> </w:t>
      </w:r>
      <w:r w:rsidR="007D52D9" w:rsidRPr="004B1C55">
        <w:t>in fact</w:t>
      </w:r>
      <w:r w:rsidR="00A8486B" w:rsidRPr="004B1C55">
        <w:t>,</w:t>
      </w:r>
      <w:r w:rsidR="007D52D9" w:rsidRPr="004B1C55">
        <w:t xml:space="preserve"> is </w:t>
      </w:r>
      <w:r w:rsidRPr="004B1C55">
        <w:t>whether the absence of a rule specifically provi</w:t>
      </w:r>
      <w:r w:rsidR="007D52D9" w:rsidRPr="004B1C55">
        <w:t>di</w:t>
      </w:r>
      <w:r w:rsidRPr="004B1C55">
        <w:t xml:space="preserve">ng for the substitution of an assignee of a debt to a petition in bankruptcy means that it cannot be done. </w:t>
      </w:r>
    </w:p>
    <w:p w14:paraId="7E028DEB" w14:textId="6B3A9FFE" w:rsidR="006010AC" w:rsidRPr="004B1C55" w:rsidRDefault="006010AC" w:rsidP="004B1C55">
      <w:pPr>
        <w:numPr>
          <w:ilvl w:val="0"/>
          <w:numId w:val="43"/>
        </w:numPr>
        <w:spacing w:line="480" w:lineRule="auto"/>
        <w:ind w:left="0" w:firstLine="0"/>
        <w:jc w:val="both"/>
      </w:pPr>
      <w:r w:rsidRPr="004B1C55">
        <w:t>In my view</w:t>
      </w:r>
      <w:r w:rsidR="00A8486B" w:rsidRPr="004B1C55">
        <w:t>,</w:t>
      </w:r>
      <w:r w:rsidRPr="004B1C55">
        <w:t xml:space="preserve"> the appellant’s argument becomes circular: O.</w:t>
      </w:r>
      <w:r w:rsidR="00AB7271" w:rsidRPr="004B1C55">
        <w:t xml:space="preserve"> </w:t>
      </w:r>
      <w:r w:rsidRPr="004B1C55">
        <w:t>17, r.</w:t>
      </w:r>
      <w:r w:rsidR="00AB7271" w:rsidRPr="004B1C55">
        <w:t xml:space="preserve"> </w:t>
      </w:r>
      <w:r w:rsidRPr="004B1C55">
        <w:t>4 cannot apply to bankruptcy because bankruptcy is a separate code to which the rule cannot apply.  Because there is no express rule in bankruptcy or statutory provision permitting substitution, it cannot be permitted.  But this argument only holds if it is accepted that O.</w:t>
      </w:r>
      <w:r w:rsidR="0023381D" w:rsidRPr="004B1C55">
        <w:t xml:space="preserve"> </w:t>
      </w:r>
      <w:r w:rsidRPr="004B1C55">
        <w:t>17, r.</w:t>
      </w:r>
      <w:r w:rsidR="0023381D" w:rsidRPr="004B1C55">
        <w:t xml:space="preserve"> </w:t>
      </w:r>
      <w:r w:rsidRPr="004B1C55">
        <w:t>4 cannot apply in the first place.</w:t>
      </w:r>
      <w:r w:rsidR="007D52D9" w:rsidRPr="004B1C55">
        <w:t xml:space="preserve"> </w:t>
      </w:r>
      <w:r w:rsidR="0023381D" w:rsidRPr="004B1C55">
        <w:t xml:space="preserve"> </w:t>
      </w:r>
      <w:r w:rsidR="007D52D9" w:rsidRPr="004B1C55">
        <w:t>As I have already indicated, in my judgment</w:t>
      </w:r>
      <w:r w:rsidR="0023381D" w:rsidRPr="004B1C55">
        <w:t>,</w:t>
      </w:r>
      <w:r w:rsidR="007D52D9" w:rsidRPr="004B1C55">
        <w:t xml:space="preserve"> O.17</w:t>
      </w:r>
      <w:r w:rsidR="0023381D" w:rsidRPr="004B1C55">
        <w:t>,</w:t>
      </w:r>
      <w:r w:rsidR="007D52D9" w:rsidRPr="004B1C55">
        <w:t xml:space="preserve"> r. 4 does apply to proceedings in bankruptcy and thus there is a rule of court which permits the substitution of, in this instance, an assignee of a debt in the proceedings. </w:t>
      </w:r>
    </w:p>
    <w:p w14:paraId="430B651C" w14:textId="27DADF13" w:rsidR="00A10CAE" w:rsidRPr="004B1C55" w:rsidRDefault="006010AC" w:rsidP="004B1C55">
      <w:pPr>
        <w:numPr>
          <w:ilvl w:val="0"/>
          <w:numId w:val="43"/>
        </w:numPr>
        <w:spacing w:line="480" w:lineRule="auto"/>
        <w:ind w:left="0" w:firstLine="0"/>
        <w:jc w:val="both"/>
      </w:pPr>
      <w:r w:rsidRPr="004B1C55">
        <w:t xml:space="preserve">The application before the </w:t>
      </w:r>
      <w:r w:rsidR="0023381D" w:rsidRPr="004B1C55">
        <w:t>c</w:t>
      </w:r>
      <w:r w:rsidRPr="004B1C55">
        <w:t>ourt was an application under O.</w:t>
      </w:r>
      <w:r w:rsidR="0023381D" w:rsidRPr="004B1C55">
        <w:t xml:space="preserve"> </w:t>
      </w:r>
      <w:r w:rsidRPr="004B1C55">
        <w:t>17, r.</w:t>
      </w:r>
      <w:r w:rsidR="0023381D" w:rsidRPr="004B1C55">
        <w:t xml:space="preserve"> </w:t>
      </w:r>
      <w:r w:rsidRPr="004B1C55">
        <w:t xml:space="preserve">4 and the focus should be on whether the rule applies in the circumstances.  Whether the assignee could obtain an Order of Adjudication is a separate issue and one which should be decided at the hearing of the </w:t>
      </w:r>
      <w:r w:rsidR="0023381D" w:rsidRPr="004B1C55">
        <w:t>p</w:t>
      </w:r>
      <w:r w:rsidRPr="004B1C55">
        <w:t xml:space="preserve">etition, rather than on this appeal.  The appellant sought to engage with the </w:t>
      </w:r>
      <w:r w:rsidRPr="004B1C55">
        <w:lastRenderedPageBreak/>
        <w:t>merits of that argument which I believe should be determined on another occasion.</w:t>
      </w:r>
      <w:r w:rsidR="003943A3" w:rsidRPr="004B1C55">
        <w:t xml:space="preserve"> </w:t>
      </w:r>
      <w:r w:rsidR="007D52D9" w:rsidRPr="004B1C55">
        <w:t xml:space="preserve"> </w:t>
      </w:r>
      <w:r w:rsidRPr="004B1C55">
        <w:t xml:space="preserve">The appellant will have an opportunity to </w:t>
      </w:r>
      <w:r w:rsidR="007D52D9" w:rsidRPr="004B1C55">
        <w:t xml:space="preserve">agitate his arguments </w:t>
      </w:r>
      <w:r w:rsidR="002D2EC5" w:rsidRPr="004B1C55">
        <w:t xml:space="preserve">that it is not legally permissible for </w:t>
      </w:r>
      <w:proofErr w:type="spellStart"/>
      <w:r w:rsidR="002D2EC5" w:rsidRPr="004B1C55">
        <w:t>Everyday</w:t>
      </w:r>
      <w:proofErr w:type="spellEnd"/>
      <w:r w:rsidR="003943A3" w:rsidRPr="004B1C55">
        <w:t>,</w:t>
      </w:r>
      <w:r w:rsidR="002D2EC5" w:rsidRPr="004B1C55">
        <w:t xml:space="preserve"> as assignee</w:t>
      </w:r>
      <w:r w:rsidR="003943A3" w:rsidRPr="004B1C55">
        <w:t>,</w:t>
      </w:r>
      <w:r w:rsidR="002D2EC5" w:rsidRPr="004B1C55">
        <w:t xml:space="preserve"> to proceed on foot of the petition issued by AIB</w:t>
      </w:r>
      <w:r w:rsidR="007D52D9" w:rsidRPr="004B1C55">
        <w:t xml:space="preserve"> </w:t>
      </w:r>
      <w:r w:rsidRPr="004B1C55">
        <w:t xml:space="preserve">at the hearing of the petition and indeed, if necessary, on an application to show cause.  </w:t>
      </w:r>
      <w:r w:rsidR="002D2EC5" w:rsidRPr="004B1C55">
        <w:t xml:space="preserve">The </w:t>
      </w:r>
      <w:r w:rsidRPr="004B1C55">
        <w:t>issues can be</w:t>
      </w:r>
      <w:r w:rsidR="003943A3" w:rsidRPr="004B1C55">
        <w:t>,</w:t>
      </w:r>
      <w:r w:rsidRPr="004B1C55">
        <w:t xml:space="preserve"> and ought properly to be</w:t>
      </w:r>
      <w:r w:rsidR="003943A3" w:rsidRPr="004B1C55">
        <w:t>,</w:t>
      </w:r>
      <w:r w:rsidRPr="004B1C55">
        <w:t xml:space="preserve"> dealt with at the hearing of the petition.  The fact that they </w:t>
      </w:r>
      <w:r w:rsidR="002D2EC5" w:rsidRPr="004B1C55">
        <w:t>have been raised</w:t>
      </w:r>
      <w:r w:rsidRPr="004B1C55">
        <w:t xml:space="preserve"> does not mean that they should be decided pre-emptively at this stage on an application to substitute the assignee under O.</w:t>
      </w:r>
      <w:r w:rsidR="003943A3" w:rsidRPr="004B1C55">
        <w:t xml:space="preserve"> </w:t>
      </w:r>
      <w:r w:rsidRPr="004B1C55">
        <w:t>17, r.</w:t>
      </w:r>
      <w:r w:rsidR="003943A3" w:rsidRPr="004B1C55">
        <w:t xml:space="preserve"> </w:t>
      </w:r>
      <w:r w:rsidRPr="004B1C55">
        <w:t xml:space="preserve">4. </w:t>
      </w:r>
      <w:r w:rsidR="00995097" w:rsidRPr="004B1C55">
        <w:t xml:space="preserve"> I would reject this ground of appeal also.</w:t>
      </w:r>
    </w:p>
    <w:p w14:paraId="2732BD03" w14:textId="28F6C0D8" w:rsidR="008C3ACA" w:rsidRPr="004B1C55" w:rsidRDefault="00995097" w:rsidP="004B1C55">
      <w:pPr>
        <w:numPr>
          <w:ilvl w:val="0"/>
          <w:numId w:val="43"/>
        </w:numPr>
        <w:spacing w:line="480" w:lineRule="auto"/>
        <w:ind w:left="0" w:firstLine="0"/>
        <w:jc w:val="both"/>
      </w:pPr>
      <w:r w:rsidRPr="004B1C55">
        <w:t xml:space="preserve">The next issue was whether the trial judge was correct in holding that there was </w:t>
      </w:r>
      <w:r w:rsidRPr="006B5C44">
        <w:rPr>
          <w:i/>
          <w:iCs/>
        </w:rPr>
        <w:t>prima facie</w:t>
      </w:r>
      <w:r w:rsidRPr="004B1C55">
        <w:t xml:space="preserve"> evidence that Everyday took an assignment of the debt owed by the appellant to AIB. </w:t>
      </w:r>
      <w:r w:rsidR="003943A3" w:rsidRPr="004B1C55">
        <w:t xml:space="preserve"> </w:t>
      </w:r>
      <w:r w:rsidR="008C3ACA" w:rsidRPr="004B1C55">
        <w:t xml:space="preserve">As I have discussed, the appellant argued that he was entitled to challenge a bankruptcy summons to be issued by </w:t>
      </w:r>
      <w:proofErr w:type="spellStart"/>
      <w:r w:rsidR="008C3ACA" w:rsidRPr="004B1C55">
        <w:t>Everyday</w:t>
      </w:r>
      <w:proofErr w:type="spellEnd"/>
      <w:r w:rsidR="008C3ACA" w:rsidRPr="004B1C55">
        <w:t xml:space="preserve"> and that the test to be applied was that in s.</w:t>
      </w:r>
      <w:r w:rsidR="003943A3" w:rsidRPr="004B1C55">
        <w:t xml:space="preserve"> </w:t>
      </w:r>
      <w:r w:rsidR="008C3ACA" w:rsidRPr="004B1C55">
        <w:t xml:space="preserve">8(6)(b) of the 1988 Act. </w:t>
      </w:r>
      <w:r w:rsidR="003943A3" w:rsidRPr="004B1C55">
        <w:t xml:space="preserve"> </w:t>
      </w:r>
      <w:r w:rsidR="00B901DE" w:rsidRPr="004B1C55">
        <w:t xml:space="preserve">The appellant pointed to what he said were issues with the proof of the assignment submitted by </w:t>
      </w:r>
      <w:proofErr w:type="spellStart"/>
      <w:r w:rsidR="00B901DE" w:rsidRPr="004B1C55">
        <w:t>Everyday</w:t>
      </w:r>
      <w:proofErr w:type="spellEnd"/>
      <w:r w:rsidR="00B901DE" w:rsidRPr="004B1C55">
        <w:t xml:space="preserve">. </w:t>
      </w:r>
      <w:r w:rsidR="003943A3" w:rsidRPr="004B1C55">
        <w:t xml:space="preserve"> </w:t>
      </w:r>
      <w:r w:rsidR="00B901DE" w:rsidRPr="004B1C55">
        <w:t>He argued that an issue for trial arose, within the meaning of the jurisprudence on s. 8(6)(b)</w:t>
      </w:r>
      <w:r w:rsidR="003943A3" w:rsidRPr="004B1C55">
        <w:t>,</w:t>
      </w:r>
      <w:r w:rsidR="00B901DE" w:rsidRPr="004B1C55">
        <w:t xml:space="preserve"> and so the matter must be litigated outside of the bankruptcy process. </w:t>
      </w:r>
      <w:r w:rsidR="003943A3" w:rsidRPr="004B1C55">
        <w:t xml:space="preserve"> </w:t>
      </w:r>
      <w:r w:rsidR="008C3ACA" w:rsidRPr="004B1C55">
        <w:t>For this reason</w:t>
      </w:r>
      <w:r w:rsidR="00B901DE" w:rsidRPr="004B1C55">
        <w:t>,</w:t>
      </w:r>
      <w:r w:rsidR="008C3ACA" w:rsidRPr="004B1C55">
        <w:t xml:space="preserve"> counsel did not really engage with whe</w:t>
      </w:r>
      <w:r w:rsidR="00585D8E" w:rsidRPr="004B1C55">
        <w:t>ther</w:t>
      </w:r>
      <w:r w:rsidR="008C3ACA" w:rsidRPr="004B1C55">
        <w:t xml:space="preserve"> the trial judge was correct to hold</w:t>
      </w:r>
      <w:r w:rsidR="00B901DE" w:rsidRPr="004B1C55">
        <w:t xml:space="preserve"> that there was </w:t>
      </w:r>
      <w:r w:rsidR="00B901DE" w:rsidRPr="006B5C44">
        <w:rPr>
          <w:i/>
          <w:iCs/>
        </w:rPr>
        <w:t>prima facie</w:t>
      </w:r>
      <w:r w:rsidR="00B901DE" w:rsidRPr="004B1C55">
        <w:t xml:space="preserve"> evidence of the assignment, but applied a test more favourable to the appellant: was there an issue for trial? However, I have already held that this approach is not correct.</w:t>
      </w:r>
      <w:r w:rsidR="003943A3" w:rsidRPr="004B1C55">
        <w:t xml:space="preserve"> </w:t>
      </w:r>
      <w:r w:rsidR="00B901DE" w:rsidRPr="004B1C55">
        <w:t xml:space="preserve"> The assignee of the debt is not required to recommence the process by serving its own demand and then issuing a bankruptcy summons in its own name; it is entitled to move forward with the existing proceedings and to be substituted into the proceedings pursuant to O.</w:t>
      </w:r>
      <w:r w:rsidR="003943A3" w:rsidRPr="004B1C55">
        <w:t xml:space="preserve"> </w:t>
      </w:r>
      <w:r w:rsidR="00B901DE" w:rsidRPr="004B1C55">
        <w:t>17</w:t>
      </w:r>
      <w:r w:rsidR="003943A3" w:rsidRPr="004B1C55">
        <w:t>,</w:t>
      </w:r>
      <w:r w:rsidR="00B901DE" w:rsidRPr="004B1C55">
        <w:t xml:space="preserve"> r.</w:t>
      </w:r>
      <w:r w:rsidR="003943A3" w:rsidRPr="004B1C55">
        <w:t xml:space="preserve"> </w:t>
      </w:r>
      <w:r w:rsidR="00B901DE" w:rsidRPr="004B1C55">
        <w:t>4, provided that it satisfies the requirements of that rule.</w:t>
      </w:r>
    </w:p>
    <w:p w14:paraId="6089EDC3" w14:textId="018C67D6" w:rsidR="00B901DE" w:rsidRPr="004B1C55" w:rsidRDefault="00B901DE" w:rsidP="004B1C55">
      <w:pPr>
        <w:numPr>
          <w:ilvl w:val="0"/>
          <w:numId w:val="43"/>
        </w:numPr>
        <w:spacing w:line="480" w:lineRule="auto"/>
        <w:ind w:left="0" w:firstLine="0"/>
        <w:jc w:val="both"/>
      </w:pPr>
      <w:r w:rsidRPr="004B1C55">
        <w:t>The purpose of requiring a p</w:t>
      </w:r>
      <w:r w:rsidR="009A5B02" w:rsidRPr="004B1C55">
        <w:t>arty</w:t>
      </w:r>
      <w:r w:rsidRPr="004B1C55">
        <w:t xml:space="preserve"> such as </w:t>
      </w:r>
      <w:proofErr w:type="spellStart"/>
      <w:r w:rsidRPr="004B1C55">
        <w:t>Everyday</w:t>
      </w:r>
      <w:proofErr w:type="spellEnd"/>
      <w:r w:rsidRPr="004B1C55">
        <w:t xml:space="preserve"> to satisfy the court that there has been a change of interest so that the litigation should continue with </w:t>
      </w:r>
      <w:proofErr w:type="spellStart"/>
      <w:r w:rsidRPr="004B1C55">
        <w:t>Everyday</w:t>
      </w:r>
      <w:proofErr w:type="spellEnd"/>
      <w:r w:rsidRPr="004B1C55">
        <w:t xml:space="preserve"> in substitution for AIB is to avoid </w:t>
      </w:r>
      <w:r w:rsidR="00CC7F46" w:rsidRPr="004B1C55">
        <w:t xml:space="preserve">unnecessary expense and waste of court time. </w:t>
      </w:r>
      <w:r w:rsidR="00CA75CF" w:rsidRPr="004B1C55">
        <w:t xml:space="preserve"> </w:t>
      </w:r>
      <w:r w:rsidR="00CC7F46" w:rsidRPr="004B1C55">
        <w:t xml:space="preserve">Such a change of interest </w:t>
      </w:r>
      <w:r w:rsidR="00CC7F46" w:rsidRPr="004B1C55">
        <w:lastRenderedPageBreak/>
        <w:t xml:space="preserve">could occur years after proceedings have been commenced and after </w:t>
      </w:r>
      <w:r w:rsidR="000B6C3D" w:rsidRPr="004B1C55">
        <w:t xml:space="preserve">significant sums have </w:t>
      </w:r>
      <w:r w:rsidR="00CC7F46" w:rsidRPr="004B1C55">
        <w:t xml:space="preserve">been spent in costs by both parties. </w:t>
      </w:r>
      <w:r w:rsidR="00CA75CF" w:rsidRPr="004B1C55">
        <w:t xml:space="preserve"> </w:t>
      </w:r>
      <w:r w:rsidR="00CC7F46" w:rsidRPr="004B1C55">
        <w:t>It is clearly in the interests of justice that there should be an appropriate mechanism to allow the proceedings to continue</w:t>
      </w:r>
      <w:r w:rsidR="009A5B02" w:rsidRPr="004B1C55">
        <w:t xml:space="preserve"> so that all of this is not lost, </w:t>
      </w:r>
      <w:r w:rsidR="00CC7F46" w:rsidRPr="004B1C55">
        <w:t>but also to ensure that another party is not unfairly disadvantaged by a change in the identity of a party to the existing litigation</w:t>
      </w:r>
      <w:r w:rsidR="009A5B02" w:rsidRPr="004B1C55">
        <w:t xml:space="preserve"> and has an opportunity to </w:t>
      </w:r>
      <w:r w:rsidR="00995097" w:rsidRPr="004B1C55">
        <w:t xml:space="preserve">contest the substance of </w:t>
      </w:r>
      <w:r w:rsidR="00CA75CF" w:rsidRPr="004B1C55">
        <w:t xml:space="preserve">the </w:t>
      </w:r>
      <w:r w:rsidR="00995097" w:rsidRPr="004B1C55">
        <w:t>issues arising from the change in interest</w:t>
      </w:r>
      <w:r w:rsidR="00CC7F46" w:rsidRPr="004B1C55">
        <w:t xml:space="preserve">. </w:t>
      </w:r>
      <w:r w:rsidR="00CA75CF" w:rsidRPr="004B1C55">
        <w:t xml:space="preserve"> </w:t>
      </w:r>
      <w:r w:rsidR="00CC7F46" w:rsidRPr="004B1C55">
        <w:t>For this reason, the rules allow an application under O.</w:t>
      </w:r>
      <w:r w:rsidR="00CA75CF" w:rsidRPr="004B1C55">
        <w:t xml:space="preserve"> </w:t>
      </w:r>
      <w:r w:rsidR="00CC7F46" w:rsidRPr="004B1C55">
        <w:t>17</w:t>
      </w:r>
      <w:r w:rsidR="00CA75CF" w:rsidRPr="004B1C55">
        <w:t>,</w:t>
      </w:r>
      <w:r w:rsidR="00CC7F46" w:rsidRPr="004B1C55">
        <w:t xml:space="preserve"> r.</w:t>
      </w:r>
      <w:r w:rsidR="00CA75CF" w:rsidRPr="004B1C55">
        <w:t xml:space="preserve"> </w:t>
      </w:r>
      <w:r w:rsidR="00CC7F46" w:rsidRPr="004B1C55">
        <w:t xml:space="preserve">4 to be brought </w:t>
      </w:r>
      <w:r w:rsidR="00CC7F46" w:rsidRPr="006B5C44">
        <w:rPr>
          <w:i/>
          <w:iCs/>
        </w:rPr>
        <w:t xml:space="preserve">ex </w:t>
      </w:r>
      <w:proofErr w:type="spellStart"/>
      <w:r w:rsidR="00CC7F46" w:rsidRPr="006B5C44">
        <w:rPr>
          <w:i/>
          <w:iCs/>
        </w:rPr>
        <w:t>parte</w:t>
      </w:r>
      <w:proofErr w:type="spellEnd"/>
      <w:r w:rsidR="00CC7F46" w:rsidRPr="004B1C55">
        <w:t xml:space="preserve"> and the applicant is merely required to establish</w:t>
      </w:r>
      <w:r w:rsidR="00CA75CF" w:rsidRPr="004B1C55">
        <w:t>,</w:t>
      </w:r>
      <w:r w:rsidR="00CC7F46" w:rsidRPr="004B1C55">
        <w:t xml:space="preserve"> on a </w:t>
      </w:r>
      <w:r w:rsidR="00CC7F46" w:rsidRPr="006B5C44">
        <w:rPr>
          <w:i/>
          <w:iCs/>
        </w:rPr>
        <w:t>prima facie</w:t>
      </w:r>
      <w:r w:rsidR="00CC7F46" w:rsidRPr="004B1C55">
        <w:t xml:space="preserve"> basis</w:t>
      </w:r>
      <w:r w:rsidR="00CA75CF" w:rsidRPr="004B1C55">
        <w:t>,</w:t>
      </w:r>
      <w:r w:rsidR="00CC7F46" w:rsidRPr="004B1C55">
        <w:t xml:space="preserve"> that there has been a change of interest, in this case an assignment of a judgment debt. </w:t>
      </w:r>
      <w:r w:rsidR="00CA75CF" w:rsidRPr="004B1C55">
        <w:t xml:space="preserve"> </w:t>
      </w:r>
      <w:r w:rsidR="00CC7F46" w:rsidRPr="004B1C55">
        <w:t xml:space="preserve">The protection afforded to the continuing party is that </w:t>
      </w:r>
      <w:r w:rsidR="00CC7F46" w:rsidRPr="004B1C55">
        <w:rPr>
          <w:i/>
        </w:rPr>
        <w:t>normally</w:t>
      </w:r>
      <w:r w:rsidR="00CC7F46" w:rsidRPr="004B1C55">
        <w:t xml:space="preserve"> he is entitled to contest the validity </w:t>
      </w:r>
      <w:r w:rsidR="00995097" w:rsidRPr="004B1C55">
        <w:t xml:space="preserve">or effect </w:t>
      </w:r>
      <w:r w:rsidR="00CC7F46" w:rsidRPr="004B1C55">
        <w:t xml:space="preserve">of </w:t>
      </w:r>
      <w:r w:rsidR="00943203" w:rsidRPr="004B1C55">
        <w:t xml:space="preserve">the change of interest, in this case the </w:t>
      </w:r>
      <w:r w:rsidR="00CC7F46" w:rsidRPr="004B1C55">
        <w:t>assignment</w:t>
      </w:r>
      <w:r w:rsidR="00943203" w:rsidRPr="004B1C55">
        <w:t xml:space="preserve">. </w:t>
      </w:r>
      <w:r w:rsidR="00CA75CF" w:rsidRPr="004B1C55">
        <w:t xml:space="preserve"> </w:t>
      </w:r>
      <w:r w:rsidR="00943203" w:rsidRPr="004B1C55">
        <w:t xml:space="preserve">This case is different to the usual cases </w:t>
      </w:r>
      <w:r w:rsidR="000B6C3D" w:rsidRPr="004B1C55">
        <w:t xml:space="preserve">in which the application of the rule arises </w:t>
      </w:r>
      <w:r w:rsidR="00943203" w:rsidRPr="004B1C55">
        <w:t xml:space="preserve">as the appellant has previously accepted that </w:t>
      </w:r>
      <w:proofErr w:type="spellStart"/>
      <w:r w:rsidR="00943203" w:rsidRPr="004B1C55">
        <w:t>Everyday</w:t>
      </w:r>
      <w:proofErr w:type="spellEnd"/>
      <w:r w:rsidR="00943203" w:rsidRPr="004B1C55">
        <w:t xml:space="preserve"> is the assignee of </w:t>
      </w:r>
      <w:r w:rsidR="00995097" w:rsidRPr="004B1C55">
        <w:t xml:space="preserve">and successor in title to </w:t>
      </w:r>
      <w:r w:rsidR="00943203" w:rsidRPr="004B1C55">
        <w:t xml:space="preserve">the debt and he may no longer </w:t>
      </w:r>
      <w:r w:rsidR="00995097" w:rsidRPr="004B1C55">
        <w:t>contest</w:t>
      </w:r>
      <w:r w:rsidR="00943203" w:rsidRPr="004B1C55">
        <w:t xml:space="preserve"> this issue. </w:t>
      </w:r>
      <w:r w:rsidR="00CA75CF" w:rsidRPr="004B1C55">
        <w:t xml:space="preserve"> </w:t>
      </w:r>
      <w:r w:rsidR="00943203" w:rsidRPr="004B1C55">
        <w:t xml:space="preserve">Furthermore, the High Court held as a fact that </w:t>
      </w:r>
      <w:proofErr w:type="spellStart"/>
      <w:r w:rsidR="00943203" w:rsidRPr="004B1C55">
        <w:t>Everyday</w:t>
      </w:r>
      <w:proofErr w:type="spellEnd"/>
      <w:r w:rsidR="00943203" w:rsidRPr="004B1C55">
        <w:t xml:space="preserve"> was the successor to AIB’s debt based upon the evidence from Everyday adduced to the court and the absence of any challenge to the validity of the assignment by the appellant. </w:t>
      </w:r>
      <w:r w:rsidR="00CA75CF" w:rsidRPr="004B1C55">
        <w:t xml:space="preserve"> </w:t>
      </w:r>
      <w:r w:rsidR="00943203" w:rsidRPr="004B1C55">
        <w:t xml:space="preserve">Thus, it has been established on the balance of probabilities that </w:t>
      </w:r>
      <w:proofErr w:type="spellStart"/>
      <w:r w:rsidR="00943203" w:rsidRPr="004B1C55">
        <w:t>Everyday</w:t>
      </w:r>
      <w:proofErr w:type="spellEnd"/>
      <w:r w:rsidR="00943203" w:rsidRPr="004B1C55">
        <w:t xml:space="preserve"> is the assignee of the debt and the successor to AIB.</w:t>
      </w:r>
    </w:p>
    <w:p w14:paraId="26732B3B" w14:textId="0BEF04E3" w:rsidR="00B901DE" w:rsidRPr="004B1C55" w:rsidRDefault="00B901DE" w:rsidP="004B1C55">
      <w:pPr>
        <w:numPr>
          <w:ilvl w:val="0"/>
          <w:numId w:val="43"/>
        </w:numPr>
        <w:spacing w:line="480" w:lineRule="auto"/>
        <w:ind w:left="0" w:firstLine="0"/>
        <w:jc w:val="both"/>
      </w:pPr>
      <w:r w:rsidRPr="004B1C55">
        <w:t xml:space="preserve">The trial judge assessed the evidence </w:t>
      </w:r>
      <w:r w:rsidR="00943203" w:rsidRPr="004B1C55">
        <w:t xml:space="preserve">before her </w:t>
      </w:r>
      <w:r w:rsidRPr="004B1C55">
        <w:t xml:space="preserve">and was satisfied that there was </w:t>
      </w:r>
      <w:r w:rsidRPr="006B5C44">
        <w:rPr>
          <w:i/>
          <w:iCs/>
        </w:rPr>
        <w:t>prima facie</w:t>
      </w:r>
      <w:r w:rsidRPr="004B1C55">
        <w:t xml:space="preserve"> evidence that </w:t>
      </w:r>
      <w:proofErr w:type="spellStart"/>
      <w:r w:rsidRPr="004B1C55">
        <w:t>Everyday</w:t>
      </w:r>
      <w:proofErr w:type="spellEnd"/>
      <w:r w:rsidRPr="004B1C55">
        <w:t xml:space="preserve"> was the assignee of debt due to AIB. </w:t>
      </w:r>
      <w:r w:rsidR="00C81896" w:rsidRPr="004B1C55">
        <w:t xml:space="preserve"> </w:t>
      </w:r>
      <w:r w:rsidR="00943203" w:rsidRPr="004B1C55">
        <w:t xml:space="preserve">She was not informed of the details of the evidence in the s. 115A proceedings or the findings of McDonald J. </w:t>
      </w:r>
      <w:r w:rsidR="00A34474" w:rsidRPr="004B1C55">
        <w:t xml:space="preserve"> </w:t>
      </w:r>
      <w:r w:rsidR="00943203" w:rsidRPr="004B1C55">
        <w:t>To my mind</w:t>
      </w:r>
      <w:r w:rsidR="00A34474" w:rsidRPr="004B1C55">
        <w:t>,</w:t>
      </w:r>
      <w:r w:rsidR="00943203" w:rsidRPr="004B1C55">
        <w:t xml:space="preserve"> had she been, it would have reinforced her conclusions.</w:t>
      </w:r>
      <w:r w:rsidR="00A34474" w:rsidRPr="004B1C55">
        <w:t xml:space="preserve"> </w:t>
      </w:r>
      <w:r w:rsidR="00943203" w:rsidRPr="004B1C55">
        <w:t xml:space="preserve"> I am satisfied </w:t>
      </w:r>
      <w:r w:rsidR="00A34474" w:rsidRPr="004B1C55">
        <w:t xml:space="preserve">that </w:t>
      </w:r>
      <w:r w:rsidR="005F559A" w:rsidRPr="004B1C55">
        <w:t xml:space="preserve">had the full picture been before her there could be no doubt that it was appropriate to substitute </w:t>
      </w:r>
      <w:proofErr w:type="spellStart"/>
      <w:r w:rsidR="005F559A" w:rsidRPr="004B1C55">
        <w:t>Everyday</w:t>
      </w:r>
      <w:proofErr w:type="spellEnd"/>
      <w:r w:rsidR="005F559A" w:rsidRPr="004B1C55">
        <w:t xml:space="preserve"> in place of AIB on the basis that it was the assignee of the debt and that a change of interest within the meaning of the rule had been established. For the purpose of the rule</w:t>
      </w:r>
      <w:r w:rsidR="00A34474" w:rsidRPr="004B1C55">
        <w:t>,</w:t>
      </w:r>
      <w:r w:rsidR="005F559A" w:rsidRPr="004B1C55">
        <w:t xml:space="preserve"> it was merely required to show this on a </w:t>
      </w:r>
      <w:r w:rsidR="005F559A" w:rsidRPr="006B5C44">
        <w:rPr>
          <w:i/>
          <w:iCs/>
        </w:rPr>
        <w:t>prima facie</w:t>
      </w:r>
      <w:r w:rsidR="005F559A" w:rsidRPr="004B1C55">
        <w:t xml:space="preserve"> basis, but the matter was accepted on </w:t>
      </w:r>
      <w:r w:rsidR="005F559A" w:rsidRPr="004B1C55">
        <w:lastRenderedPageBreak/>
        <w:t>the balance of probabilities in the High Court previously, a higher threshold.</w:t>
      </w:r>
      <w:r w:rsidR="00A34474" w:rsidRPr="004B1C55">
        <w:t xml:space="preserve"> </w:t>
      </w:r>
      <w:r w:rsidR="005F559A" w:rsidRPr="004B1C55">
        <w:t xml:space="preserve"> Crucially, it is not open to the appellant to contest the validity of the assignment or th</w:t>
      </w:r>
      <w:r w:rsidR="00995097" w:rsidRPr="004B1C55">
        <w:t>at</w:t>
      </w:r>
      <w:r w:rsidR="005F559A" w:rsidRPr="004B1C55">
        <w:t xml:space="preserve"> </w:t>
      </w:r>
      <w:proofErr w:type="spellStart"/>
      <w:r w:rsidR="005F559A" w:rsidRPr="004B1C55">
        <w:t>Ev</w:t>
      </w:r>
      <w:r w:rsidR="00995097" w:rsidRPr="004B1C55">
        <w:t>e</w:t>
      </w:r>
      <w:r w:rsidR="005F559A" w:rsidRPr="004B1C55">
        <w:t>ryday</w:t>
      </w:r>
      <w:proofErr w:type="spellEnd"/>
      <w:r w:rsidR="005F559A" w:rsidRPr="004B1C55">
        <w:t xml:space="preserve"> is the successor to AIB, and so it is not necessary to address the details of his arguments as to the alleged flaws in the documentary proof of the assignment.</w:t>
      </w:r>
    </w:p>
    <w:p w14:paraId="2B4E44A9" w14:textId="224663AC" w:rsidR="009056A0" w:rsidRPr="004B1C55" w:rsidRDefault="009056A0" w:rsidP="004B1C55">
      <w:pPr>
        <w:numPr>
          <w:ilvl w:val="0"/>
          <w:numId w:val="43"/>
        </w:numPr>
        <w:spacing w:line="480" w:lineRule="auto"/>
        <w:ind w:left="0" w:firstLine="0"/>
        <w:jc w:val="both"/>
      </w:pPr>
      <w:r w:rsidRPr="004B1C55">
        <w:t xml:space="preserve">The </w:t>
      </w:r>
      <w:r w:rsidR="00995097" w:rsidRPr="004B1C55">
        <w:t xml:space="preserve">final issue was whether Everyday could be required to provide undertakings to the court in relation to the bankruptcy proceedings as an adjunct to the substitution application. </w:t>
      </w:r>
      <w:r w:rsidR="00666754" w:rsidRPr="004B1C55">
        <w:t xml:space="preserve"> </w:t>
      </w:r>
      <w:r w:rsidR="00995097" w:rsidRPr="004B1C55">
        <w:t xml:space="preserve">The </w:t>
      </w:r>
      <w:r w:rsidRPr="004B1C55">
        <w:t>appellant contended that Everyday should not be substituted in the petition because it could not in fact satisfy the requirements of s.</w:t>
      </w:r>
      <w:r w:rsidR="00666754" w:rsidRPr="004B1C55">
        <w:t xml:space="preserve"> </w:t>
      </w:r>
      <w:r w:rsidRPr="004B1C55">
        <w:t>11 of the 1988 Act and</w:t>
      </w:r>
      <w:r w:rsidR="00666754" w:rsidRPr="004B1C55">
        <w:t>,</w:t>
      </w:r>
      <w:r w:rsidRPr="004B1C55">
        <w:t xml:space="preserve"> in particular</w:t>
      </w:r>
      <w:r w:rsidR="00666754" w:rsidRPr="004B1C55">
        <w:t>,</w:t>
      </w:r>
      <w:r w:rsidRPr="004B1C55">
        <w:t xml:space="preserve"> it was not possible for it to take over or reaffirm the undertakings given by the petitioner when the petition was issued.</w:t>
      </w:r>
      <w:r w:rsidR="00666754" w:rsidRPr="004B1C55">
        <w:t xml:space="preserve"> </w:t>
      </w:r>
      <w:r w:rsidRPr="004B1C55">
        <w:t xml:space="preserve"> Likewise</w:t>
      </w:r>
      <w:r w:rsidR="00995097" w:rsidRPr="004B1C55">
        <w:t>,</w:t>
      </w:r>
      <w:r w:rsidRPr="004B1C55">
        <w:t xml:space="preserve"> it </w:t>
      </w:r>
      <w:r w:rsidR="00995097" w:rsidRPr="004B1C55">
        <w:t xml:space="preserve">was said, it </w:t>
      </w:r>
      <w:r w:rsidRPr="004B1C55">
        <w:t>could not assume the valuation of the security previously given by AIB</w:t>
      </w:r>
      <w:r w:rsidR="00666754" w:rsidRPr="004B1C55">
        <w:t>,</w:t>
      </w:r>
      <w:r w:rsidRPr="004B1C55">
        <w:t xml:space="preserve"> nor its undertaking to account for any realisation of the security in the bankruptcy.</w:t>
      </w:r>
    </w:p>
    <w:p w14:paraId="2A0C5CEA" w14:textId="41D55B97" w:rsidR="000A7EEA" w:rsidRPr="004B1C55" w:rsidRDefault="009056A0" w:rsidP="004B1C55">
      <w:pPr>
        <w:numPr>
          <w:ilvl w:val="0"/>
          <w:numId w:val="43"/>
        </w:numPr>
        <w:spacing w:line="480" w:lineRule="auto"/>
        <w:ind w:left="0" w:firstLine="0"/>
        <w:jc w:val="both"/>
      </w:pPr>
      <w:r w:rsidRPr="004B1C55">
        <w:t xml:space="preserve">Counsel for Everyday argued that this </w:t>
      </w:r>
      <w:r w:rsidR="00BB151F" w:rsidRPr="004B1C55">
        <w:t xml:space="preserve">submission was premature and did not arise on a </w:t>
      </w:r>
      <w:r w:rsidR="00666754" w:rsidRPr="004B1C55">
        <w:t xml:space="preserve">substitution </w:t>
      </w:r>
      <w:r w:rsidR="00BB151F" w:rsidRPr="004B1C55">
        <w:t xml:space="preserve">application. </w:t>
      </w:r>
      <w:r w:rsidR="00666754" w:rsidRPr="004B1C55">
        <w:t xml:space="preserve"> </w:t>
      </w:r>
      <w:r w:rsidR="00BB151F" w:rsidRPr="004B1C55">
        <w:t xml:space="preserve">I agree with the submission. </w:t>
      </w:r>
      <w:r w:rsidR="00666754" w:rsidRPr="004B1C55">
        <w:t xml:space="preserve"> </w:t>
      </w:r>
      <w:r w:rsidR="00BB151F" w:rsidRPr="004B1C55">
        <w:t xml:space="preserve">The High Court has yet to hear the petition. </w:t>
      </w:r>
      <w:r w:rsidR="00666754" w:rsidRPr="004B1C55">
        <w:t xml:space="preserve"> </w:t>
      </w:r>
      <w:proofErr w:type="spellStart"/>
      <w:r w:rsidR="00BB151F" w:rsidRPr="004B1C55">
        <w:t>Everyday</w:t>
      </w:r>
      <w:proofErr w:type="spellEnd"/>
      <w:r w:rsidR="00BB151F" w:rsidRPr="004B1C55">
        <w:t xml:space="preserve"> will be required to satisfy the provisions of s.</w:t>
      </w:r>
      <w:r w:rsidR="00666754" w:rsidRPr="004B1C55">
        <w:t xml:space="preserve"> </w:t>
      </w:r>
      <w:r w:rsidR="00BB151F" w:rsidRPr="004B1C55">
        <w:t>11.</w:t>
      </w:r>
      <w:r w:rsidR="00666754" w:rsidRPr="004B1C55">
        <w:t xml:space="preserve"> </w:t>
      </w:r>
      <w:r w:rsidR="00F1621D" w:rsidRPr="004B1C55">
        <w:t xml:space="preserve"> In addition, it is worth recalling that as an assignee of a chose in action, Everyday takes </w:t>
      </w:r>
      <w:r w:rsidR="00F1621D" w:rsidRPr="006B5C44">
        <w:rPr>
          <w:i/>
          <w:iCs/>
        </w:rPr>
        <w:t>“</w:t>
      </w:r>
      <w:r w:rsidR="00F1621D" w:rsidRPr="004B1C55">
        <w:rPr>
          <w:i/>
        </w:rPr>
        <w:t xml:space="preserve">subject to all equities which would </w:t>
      </w:r>
      <w:r w:rsidR="000A7EEA" w:rsidRPr="004B1C55">
        <w:rPr>
          <w:i/>
        </w:rPr>
        <w:t xml:space="preserve">have been entitled to priority over the right of the assignee if </w:t>
      </w:r>
      <w:r w:rsidR="00666754" w:rsidRPr="004B1C55">
        <w:rPr>
          <w:i/>
        </w:rPr>
        <w:t>[</w:t>
      </w:r>
      <w:r w:rsidR="000A7EEA" w:rsidRPr="004B1C55">
        <w:rPr>
          <w:i/>
        </w:rPr>
        <w:t>the Judicature]</w:t>
      </w:r>
      <w:r w:rsidR="00BB151F" w:rsidRPr="004B1C55">
        <w:rPr>
          <w:i/>
        </w:rPr>
        <w:t xml:space="preserve"> </w:t>
      </w:r>
      <w:r w:rsidR="000A7EEA" w:rsidRPr="004B1C55">
        <w:rPr>
          <w:i/>
        </w:rPr>
        <w:t>Act had not been passed.</w:t>
      </w:r>
      <w:r w:rsidR="000A7EEA" w:rsidRPr="006B5C44">
        <w:rPr>
          <w:i/>
        </w:rPr>
        <w:t>”</w:t>
      </w:r>
      <w:r w:rsidR="00666754" w:rsidRPr="004B1C55">
        <w:rPr>
          <w:i/>
        </w:rPr>
        <w:t xml:space="preserve"> </w:t>
      </w:r>
      <w:r w:rsidR="000A7EEA" w:rsidRPr="004B1C55">
        <w:t>(s.</w:t>
      </w:r>
      <w:r w:rsidR="00666754" w:rsidRPr="004B1C55">
        <w:t xml:space="preserve"> </w:t>
      </w:r>
      <w:r w:rsidR="000A7EEA" w:rsidRPr="004B1C55">
        <w:t xml:space="preserve">28(6)). </w:t>
      </w:r>
      <w:r w:rsidR="00666754" w:rsidRPr="004B1C55">
        <w:t xml:space="preserve"> </w:t>
      </w:r>
      <w:r w:rsidR="000A7EEA" w:rsidRPr="004B1C55">
        <w:t xml:space="preserve">McDermott </w:t>
      </w:r>
      <w:r w:rsidR="000A7EEA" w:rsidRPr="006B5C44">
        <w:rPr>
          <w:i/>
          <w:iCs/>
        </w:rPr>
        <w:t xml:space="preserve">Contract Law </w:t>
      </w:r>
      <w:r w:rsidR="000A7EEA" w:rsidRPr="004B1C55">
        <w:t>(</w:t>
      </w:r>
      <w:r w:rsidR="001E5126">
        <w:t>1</w:t>
      </w:r>
      <w:r w:rsidR="001E5126" w:rsidRPr="001E5126">
        <w:t>st</w:t>
      </w:r>
      <w:r w:rsidR="001E5126">
        <w:t xml:space="preserve"> ed., </w:t>
      </w:r>
      <w:proofErr w:type="spellStart"/>
      <w:r w:rsidR="000A7EEA" w:rsidRPr="004B1C55">
        <w:t>Tottel</w:t>
      </w:r>
      <w:proofErr w:type="spellEnd"/>
      <w:r w:rsidR="000A7EEA" w:rsidRPr="004B1C55">
        <w:t xml:space="preserve">, 2001) </w:t>
      </w:r>
      <w:r w:rsidR="00666754" w:rsidRPr="004B1C55">
        <w:t xml:space="preserve">at </w:t>
      </w:r>
      <w:r w:rsidR="000A7EEA" w:rsidRPr="004B1C55">
        <w:t>para.</w:t>
      </w:r>
      <w:r w:rsidR="00666754" w:rsidRPr="004B1C55">
        <w:t xml:space="preserve"> </w:t>
      </w:r>
      <w:r w:rsidR="000A7EEA" w:rsidRPr="004B1C55">
        <w:t xml:space="preserve">18.118 summarises the position in a passage which was cited with approval in </w:t>
      </w:r>
      <w:r w:rsidR="000A7EEA" w:rsidRPr="004B1C55">
        <w:rPr>
          <w:i/>
        </w:rPr>
        <w:t xml:space="preserve">Sheehan v. Breccia </w:t>
      </w:r>
      <w:r w:rsidR="000A7EEA" w:rsidRPr="006B5C44">
        <w:rPr>
          <w:iCs/>
        </w:rPr>
        <w:t>[2016]</w:t>
      </w:r>
      <w:r w:rsidR="00B33724" w:rsidRPr="004B1C55">
        <w:rPr>
          <w:iCs/>
        </w:rPr>
        <w:t xml:space="preserve"> </w:t>
      </w:r>
      <w:r w:rsidR="000A7EEA" w:rsidRPr="006B5C44">
        <w:rPr>
          <w:iCs/>
        </w:rPr>
        <w:t>IEHC 67</w:t>
      </w:r>
      <w:r w:rsidR="00B33724" w:rsidRPr="004B1C55">
        <w:rPr>
          <w:iCs/>
        </w:rPr>
        <w:t>,</w:t>
      </w:r>
      <w:r w:rsidR="000A7EEA" w:rsidRPr="004B1C55">
        <w:rPr>
          <w:i/>
        </w:rPr>
        <w:t xml:space="preserve"> </w:t>
      </w:r>
      <w:r w:rsidR="000A7EEA" w:rsidRPr="004B1C55">
        <w:t>at para. 141</w:t>
      </w:r>
      <w:r w:rsidR="00B33724" w:rsidRPr="004B1C55">
        <w:t>,</w:t>
      </w:r>
      <w:r w:rsidR="000A7EEA" w:rsidRPr="004B1C55">
        <w:t xml:space="preserve"> by Haughton J.:</w:t>
      </w:r>
      <w:r w:rsidR="00B33724" w:rsidRPr="004B1C55">
        <w:t>-</w:t>
      </w:r>
    </w:p>
    <w:p w14:paraId="4C15FFDE" w14:textId="149D7B3B" w:rsidR="000A7EEA" w:rsidRPr="004B1C55" w:rsidRDefault="000A7EEA" w:rsidP="004B1C55">
      <w:pPr>
        <w:spacing w:line="480" w:lineRule="auto"/>
        <w:ind w:left="567"/>
        <w:jc w:val="both"/>
        <w:rPr>
          <w:i/>
        </w:rPr>
      </w:pPr>
      <w:r w:rsidRPr="004B1C55">
        <w:rPr>
          <w:i/>
        </w:rPr>
        <w:t>“An assignee takes subject to any equities that have matured at the time of the notice to the debtor. The effect is that the debtor may plead against the assignor all defences that the debtor could have pleaded at the time when he received the notice of the assignment.”</w:t>
      </w:r>
    </w:p>
    <w:p w14:paraId="74ACD325" w14:textId="56ABEE62" w:rsidR="006010AC" w:rsidRPr="004B1C55" w:rsidRDefault="00995097" w:rsidP="004B1C55">
      <w:pPr>
        <w:numPr>
          <w:ilvl w:val="0"/>
          <w:numId w:val="43"/>
        </w:numPr>
        <w:spacing w:line="480" w:lineRule="auto"/>
        <w:ind w:left="0" w:firstLine="0"/>
        <w:jc w:val="both"/>
      </w:pPr>
      <w:r w:rsidRPr="004B1C55">
        <w:lastRenderedPageBreak/>
        <w:t>I</w:t>
      </w:r>
      <w:r w:rsidR="00BB151F" w:rsidRPr="004B1C55">
        <w:t>t is for the High Court on the hearing of the petition to decide these issues.</w:t>
      </w:r>
      <w:r w:rsidR="001906B8" w:rsidRPr="004B1C55">
        <w:t xml:space="preserve"> </w:t>
      </w:r>
      <w:r w:rsidR="00BB151F" w:rsidRPr="004B1C55">
        <w:t xml:space="preserve"> It is not appropriate to refuse to substitute a party on the basis that the underlying action must fail</w:t>
      </w:r>
      <w:r w:rsidRPr="004B1C55">
        <w:t xml:space="preserve"> because the new party cannot satisfy a matter which will need to be proved at trial</w:t>
      </w:r>
      <w:r w:rsidR="00BB151F" w:rsidRPr="004B1C55">
        <w:t xml:space="preserve">. </w:t>
      </w:r>
      <w:r w:rsidR="001906B8" w:rsidRPr="004B1C55">
        <w:t xml:space="preserve"> </w:t>
      </w:r>
      <w:r w:rsidR="00BB151F" w:rsidRPr="004B1C55">
        <w:t xml:space="preserve">The application is not a mini trial of the action. </w:t>
      </w:r>
      <w:r w:rsidR="001906B8" w:rsidRPr="004B1C55">
        <w:t xml:space="preserve"> </w:t>
      </w:r>
      <w:r w:rsidR="00BB151F" w:rsidRPr="004B1C55">
        <w:t>These points, be the</w:t>
      </w:r>
      <w:r w:rsidRPr="004B1C55">
        <w:t>y</w:t>
      </w:r>
      <w:r w:rsidR="00BB151F" w:rsidRPr="004B1C55">
        <w:t xml:space="preserve"> valid or otherwise, are not for consideration on an application under O.</w:t>
      </w:r>
      <w:r w:rsidR="001906B8" w:rsidRPr="004B1C55">
        <w:t xml:space="preserve"> </w:t>
      </w:r>
      <w:r w:rsidR="00BB151F" w:rsidRPr="004B1C55">
        <w:t>17</w:t>
      </w:r>
      <w:r w:rsidR="001906B8" w:rsidRPr="004B1C55">
        <w:t>,</w:t>
      </w:r>
      <w:r w:rsidR="00BB151F" w:rsidRPr="004B1C55">
        <w:t xml:space="preserve"> r.</w:t>
      </w:r>
      <w:r w:rsidR="001906B8" w:rsidRPr="004B1C55">
        <w:t xml:space="preserve"> </w:t>
      </w:r>
      <w:r w:rsidR="00BB151F" w:rsidRPr="004B1C55">
        <w:t>4, still less should a court refuse to make an order of substitution on the basis that the forthcoming action</w:t>
      </w:r>
      <w:r w:rsidR="001906B8" w:rsidRPr="004B1C55">
        <w:t xml:space="preserve"> – </w:t>
      </w:r>
      <w:r w:rsidR="00BB151F" w:rsidRPr="004B1C55">
        <w:t>in this case a petition</w:t>
      </w:r>
      <w:r w:rsidR="001906B8" w:rsidRPr="004B1C55">
        <w:t xml:space="preserve"> –</w:t>
      </w:r>
      <w:r w:rsidR="00BB151F" w:rsidRPr="004B1C55">
        <w:t xml:space="preserve"> must fail.</w:t>
      </w:r>
    </w:p>
    <w:p w14:paraId="252D24C9" w14:textId="77777777" w:rsidR="00A10CAE" w:rsidRPr="004B1C55" w:rsidRDefault="00A10CAE" w:rsidP="004B1C55">
      <w:pPr>
        <w:spacing w:line="480" w:lineRule="auto"/>
        <w:jc w:val="both"/>
        <w:rPr>
          <w:b/>
          <w:u w:val="single"/>
        </w:rPr>
      </w:pPr>
      <w:r w:rsidRPr="004B1C55">
        <w:rPr>
          <w:b/>
          <w:u w:val="single"/>
        </w:rPr>
        <w:t>Conclusion</w:t>
      </w:r>
    </w:p>
    <w:p w14:paraId="4FE8EDB0" w14:textId="01C77DA4" w:rsidR="00336F93" w:rsidRPr="004B1C55" w:rsidRDefault="00BB151F" w:rsidP="004B1C55">
      <w:pPr>
        <w:numPr>
          <w:ilvl w:val="0"/>
          <w:numId w:val="43"/>
        </w:numPr>
        <w:spacing w:line="480" w:lineRule="auto"/>
        <w:ind w:left="0" w:firstLine="0"/>
        <w:jc w:val="both"/>
      </w:pPr>
      <w:r w:rsidRPr="004B1C55">
        <w:t>O</w:t>
      </w:r>
      <w:r w:rsidR="001906B8" w:rsidRPr="004B1C55">
        <w:t xml:space="preserve">rder </w:t>
      </w:r>
      <w:r w:rsidRPr="004B1C55">
        <w:t>17</w:t>
      </w:r>
      <w:r w:rsidR="001906B8" w:rsidRPr="004B1C55">
        <w:t>,</w:t>
      </w:r>
      <w:r w:rsidRPr="004B1C55">
        <w:t xml:space="preserve"> r</w:t>
      </w:r>
      <w:r w:rsidR="001906B8" w:rsidRPr="004B1C55">
        <w:t xml:space="preserve">ule </w:t>
      </w:r>
      <w:r w:rsidRPr="004B1C55">
        <w:t>4 applies to bankruptcy proceedings.</w:t>
      </w:r>
      <w:r w:rsidR="00CD149C" w:rsidRPr="004B1C55">
        <w:t xml:space="preserve"> </w:t>
      </w:r>
      <w:r w:rsidRPr="004B1C55">
        <w:t xml:space="preserve"> </w:t>
      </w:r>
      <w:proofErr w:type="spellStart"/>
      <w:r w:rsidRPr="004B1C55">
        <w:t>Everyday</w:t>
      </w:r>
      <w:proofErr w:type="spellEnd"/>
      <w:r w:rsidRPr="004B1C55">
        <w:t xml:space="preserve"> was entitled to apply to be substituted as petitioning creditor in place of AIB under the rule. In </w:t>
      </w:r>
      <w:r w:rsidR="00CD149C" w:rsidRPr="004B1C55">
        <w:t xml:space="preserve">the </w:t>
      </w:r>
      <w:r w:rsidRPr="004B1C55">
        <w:t xml:space="preserve">PIA </w:t>
      </w:r>
      <w:r w:rsidR="00CD149C" w:rsidRPr="004B1C55">
        <w:t xml:space="preserve">application, </w:t>
      </w:r>
      <w:r w:rsidRPr="004B1C55">
        <w:t xml:space="preserve">the appellant acknowledged that </w:t>
      </w:r>
      <w:proofErr w:type="spellStart"/>
      <w:r w:rsidRPr="004B1C55">
        <w:t>Everyday</w:t>
      </w:r>
      <w:proofErr w:type="spellEnd"/>
      <w:r w:rsidRPr="004B1C55">
        <w:t xml:space="preserve"> was the assignee of the debt at issue in these proceedings and that it was the successor to AIB. </w:t>
      </w:r>
      <w:r w:rsidR="00CD149C" w:rsidRPr="004B1C55">
        <w:t xml:space="preserve"> </w:t>
      </w:r>
      <w:r w:rsidRPr="004B1C55">
        <w:t xml:space="preserve">The High Court found as a fact that </w:t>
      </w:r>
      <w:proofErr w:type="spellStart"/>
      <w:r w:rsidRPr="004B1C55">
        <w:t>Everyday</w:t>
      </w:r>
      <w:proofErr w:type="spellEnd"/>
      <w:r w:rsidRPr="004B1C55">
        <w:t xml:space="preserve"> was the successor to AIB and that it was a creditor of the appellant in the sum </w:t>
      </w:r>
      <w:r w:rsidR="00CD149C" w:rsidRPr="004B1C55">
        <w:t xml:space="preserve">of </w:t>
      </w:r>
      <w:r w:rsidR="00336F93" w:rsidRPr="004B1C55">
        <w:t xml:space="preserve">€2,603,054.84. </w:t>
      </w:r>
      <w:r w:rsidR="00CD149C" w:rsidRPr="004B1C55">
        <w:t xml:space="preserve"> </w:t>
      </w:r>
      <w:r w:rsidR="00336F93" w:rsidRPr="004B1C55">
        <w:t xml:space="preserve">The appellant was required to act with good faith in the conduct of the PIA </w:t>
      </w:r>
      <w:r w:rsidR="00CD149C" w:rsidRPr="004B1C55">
        <w:t>process</w:t>
      </w:r>
      <w:r w:rsidR="00336F93" w:rsidRPr="004B1C55">
        <w:t>.</w:t>
      </w:r>
      <w:r w:rsidR="00CD149C" w:rsidRPr="004B1C55">
        <w:t xml:space="preserve"> </w:t>
      </w:r>
      <w:r w:rsidR="00336F93" w:rsidRPr="004B1C55">
        <w:t xml:space="preserve"> He may not resile from his acknowledgment that </w:t>
      </w:r>
      <w:proofErr w:type="spellStart"/>
      <w:r w:rsidR="00336F93" w:rsidRPr="004B1C55">
        <w:t>Everyday</w:t>
      </w:r>
      <w:proofErr w:type="spellEnd"/>
      <w:r w:rsidR="00336F93" w:rsidRPr="004B1C55">
        <w:t xml:space="preserve"> is the successor in title to AIB and the assignee of the debt in the bankruptcy proceedings. </w:t>
      </w:r>
      <w:r w:rsidR="00CD149C" w:rsidRPr="004B1C55">
        <w:t xml:space="preserve"> </w:t>
      </w:r>
      <w:r w:rsidR="00336F93" w:rsidRPr="004B1C55">
        <w:t xml:space="preserve">There was </w:t>
      </w:r>
      <w:r w:rsidR="00336F93" w:rsidRPr="006B5C44">
        <w:rPr>
          <w:i/>
          <w:iCs/>
        </w:rPr>
        <w:t>prima facie</w:t>
      </w:r>
      <w:r w:rsidR="00336F93" w:rsidRPr="004B1C55">
        <w:t xml:space="preserve"> evidence that the assignment of debt effected a change of interest within the meaning of the rule. </w:t>
      </w:r>
      <w:r w:rsidR="00CD149C" w:rsidRPr="004B1C55">
        <w:t xml:space="preserve"> </w:t>
      </w:r>
      <w:r w:rsidR="00336F93" w:rsidRPr="004B1C55">
        <w:t>Whether Everyday may</w:t>
      </w:r>
      <w:r w:rsidR="00CD149C" w:rsidRPr="004B1C55">
        <w:t>,</w:t>
      </w:r>
      <w:r w:rsidR="00336F93" w:rsidRPr="004B1C55">
        <w:t xml:space="preserve"> as a matter of law</w:t>
      </w:r>
      <w:r w:rsidR="00CD149C" w:rsidRPr="004B1C55">
        <w:t>,</w:t>
      </w:r>
      <w:r w:rsidR="00336F93" w:rsidRPr="004B1C55">
        <w:t xml:space="preserve"> take over the undertakings given by AIB as petitioning creditor or adopt the valuation of the security given by AIB is not an issue which falls for consideration on an application for substitution.</w:t>
      </w:r>
      <w:r w:rsidR="00CD149C" w:rsidRPr="004B1C55">
        <w:t xml:space="preserve"> </w:t>
      </w:r>
      <w:r w:rsidR="00336F93" w:rsidRPr="004B1C55">
        <w:t xml:space="preserve"> The matters raised are issues for the hearing of the petition by the High Court.</w:t>
      </w:r>
    </w:p>
    <w:p w14:paraId="35F35B65" w14:textId="5AAE5D97" w:rsidR="00336F93" w:rsidRPr="004B1C55" w:rsidRDefault="00336F93" w:rsidP="004B1C55">
      <w:pPr>
        <w:numPr>
          <w:ilvl w:val="0"/>
          <w:numId w:val="43"/>
        </w:numPr>
        <w:spacing w:line="480" w:lineRule="auto"/>
        <w:ind w:left="0" w:firstLine="0"/>
        <w:jc w:val="both"/>
      </w:pPr>
      <w:r w:rsidRPr="004B1C55">
        <w:t>For these reasons</w:t>
      </w:r>
      <w:r w:rsidR="00CD149C" w:rsidRPr="004B1C55">
        <w:t>,</w:t>
      </w:r>
      <w:r w:rsidRPr="004B1C55">
        <w:t xml:space="preserve"> I would refuse the appeal and affirm the decision of the High Court.</w:t>
      </w:r>
    </w:p>
    <w:p w14:paraId="5405FF17" w14:textId="7097D48D" w:rsidR="00DC3D00" w:rsidRPr="004B1C55" w:rsidRDefault="00DC3D00" w:rsidP="004B1C55">
      <w:pPr>
        <w:numPr>
          <w:ilvl w:val="0"/>
          <w:numId w:val="43"/>
        </w:numPr>
        <w:spacing w:line="480" w:lineRule="auto"/>
        <w:ind w:left="0" w:firstLine="0"/>
        <w:jc w:val="both"/>
        <w:rPr>
          <w:bCs/>
        </w:rPr>
      </w:pPr>
      <w:r w:rsidRPr="004B1C55">
        <w:rPr>
          <w:bCs/>
        </w:rPr>
        <w:t xml:space="preserve">As this judgment is being delivered electronically in accordance with the usual practice I will indicate what I propose should be the order of this court in respect of the costs of the appeal. </w:t>
      </w:r>
      <w:r w:rsidR="00CD149C" w:rsidRPr="004B1C55">
        <w:rPr>
          <w:bCs/>
        </w:rPr>
        <w:t xml:space="preserve"> </w:t>
      </w:r>
      <w:r w:rsidRPr="004B1C55">
        <w:rPr>
          <w:bCs/>
        </w:rPr>
        <w:t>Under s. 169(1) of the Legal Services Regulation Act 2015</w:t>
      </w:r>
      <w:r w:rsidR="00CD149C" w:rsidRPr="004B1C55">
        <w:rPr>
          <w:bCs/>
        </w:rPr>
        <w:t>,</w:t>
      </w:r>
      <w:r w:rsidRPr="004B1C55">
        <w:rPr>
          <w:bCs/>
        </w:rPr>
        <w:t xml:space="preserve"> a party who is entirely </w:t>
      </w:r>
      <w:r w:rsidRPr="004B1C55">
        <w:rPr>
          <w:bCs/>
        </w:rPr>
        <w:lastRenderedPageBreak/>
        <w:t>successful in civil proceedings is entitled to an award of costs against the party who is not successful, unless the court otherwise orders having regard to the particular nature and circumstances of the case and the conduct of the proceedings, including the considerations (a)</w:t>
      </w:r>
      <w:r w:rsidR="00CD149C" w:rsidRPr="004B1C55">
        <w:rPr>
          <w:bCs/>
        </w:rPr>
        <w:t>-</w:t>
      </w:r>
      <w:r w:rsidRPr="004B1C55">
        <w:rPr>
          <w:bCs/>
        </w:rPr>
        <w:t xml:space="preserve">(g) as set out in that section. </w:t>
      </w:r>
      <w:r w:rsidR="00CD149C" w:rsidRPr="004B1C55">
        <w:rPr>
          <w:bCs/>
        </w:rPr>
        <w:t xml:space="preserve"> </w:t>
      </w:r>
      <w:r w:rsidRPr="004B1C55">
        <w:rPr>
          <w:bCs/>
        </w:rPr>
        <w:t>In this appeal</w:t>
      </w:r>
      <w:r w:rsidR="00CD149C" w:rsidRPr="004B1C55">
        <w:rPr>
          <w:bCs/>
        </w:rPr>
        <w:t>,</w:t>
      </w:r>
      <w:r w:rsidRPr="004B1C55">
        <w:rPr>
          <w:bCs/>
        </w:rPr>
        <w:t xml:space="preserve"> the respondent was entirely successful and is </w:t>
      </w:r>
      <w:r w:rsidRPr="006B5C44">
        <w:rPr>
          <w:bCs/>
          <w:i/>
          <w:iCs/>
        </w:rPr>
        <w:t>prima facie</w:t>
      </w:r>
      <w:r w:rsidRPr="004B1C55">
        <w:rPr>
          <w:bCs/>
        </w:rPr>
        <w:t xml:space="preserve"> entitled to its costs, and I do not believe that there are circumstances that would justify the court in ordering otherwise.</w:t>
      </w:r>
      <w:r w:rsidR="00CD149C" w:rsidRPr="004B1C55">
        <w:rPr>
          <w:bCs/>
        </w:rPr>
        <w:t xml:space="preserve"> </w:t>
      </w:r>
      <w:r w:rsidRPr="004B1C55">
        <w:rPr>
          <w:bCs/>
        </w:rPr>
        <w:t xml:space="preserve"> I would therefore propose that the respondent be entitled to its costs of the appeal. </w:t>
      </w:r>
      <w:r w:rsidR="00CD149C" w:rsidRPr="004B1C55">
        <w:rPr>
          <w:bCs/>
        </w:rPr>
        <w:t xml:space="preserve"> </w:t>
      </w:r>
      <w:r w:rsidRPr="004B1C55">
        <w:rPr>
          <w:bCs/>
        </w:rPr>
        <w:t xml:space="preserve">Should the appellant wish to dispute this or seek a different order he should so indicate by email to the Court of Appeal Office within 14 days of the date of electronic delivery of this judgment, and a short costs hearing will be arranged. </w:t>
      </w:r>
      <w:r w:rsidR="00CD149C" w:rsidRPr="004B1C55">
        <w:rPr>
          <w:bCs/>
        </w:rPr>
        <w:t xml:space="preserve"> </w:t>
      </w:r>
      <w:r w:rsidRPr="004B1C55">
        <w:rPr>
          <w:bCs/>
        </w:rPr>
        <w:t>Should the appellant seek such a hearing, and should he be unsuccessful in disputing the proposed order, he will be at risk of an order that he also pays the costs of such hearing.</w:t>
      </w:r>
    </w:p>
    <w:p w14:paraId="0518078D" w14:textId="3603B4D0" w:rsidR="0051605F" w:rsidRPr="004B1C55" w:rsidRDefault="0051605F" w:rsidP="004B1C55">
      <w:pPr>
        <w:spacing w:line="480" w:lineRule="auto"/>
        <w:jc w:val="both"/>
        <w:rPr>
          <w:b/>
        </w:rPr>
      </w:pPr>
    </w:p>
    <w:p w14:paraId="05E658CF" w14:textId="5DB7165B" w:rsidR="006010AC" w:rsidRPr="00E72F9F" w:rsidRDefault="00AD591A" w:rsidP="004B1C55">
      <w:pPr>
        <w:spacing w:line="480" w:lineRule="auto"/>
        <w:jc w:val="both"/>
        <w:rPr>
          <w:b/>
        </w:rPr>
      </w:pPr>
      <w:r w:rsidRPr="004B1C55">
        <w:rPr>
          <w:b/>
        </w:rPr>
        <w:t>Haughton and Murray JJ</w:t>
      </w:r>
      <w:r w:rsidR="004A2163" w:rsidRPr="004B1C55">
        <w:rPr>
          <w:b/>
        </w:rPr>
        <w:t>.</w:t>
      </w:r>
      <w:r w:rsidRPr="004B1C55">
        <w:rPr>
          <w:b/>
        </w:rPr>
        <w:t xml:space="preserve"> have indicated their agreement with this judgment and the</w:t>
      </w:r>
      <w:r w:rsidRPr="00E72F9F">
        <w:rPr>
          <w:b/>
        </w:rPr>
        <w:t xml:space="preserve"> orders which are proposed.</w:t>
      </w:r>
    </w:p>
    <w:sectPr w:rsidR="006010AC" w:rsidRPr="00E72F9F" w:rsidSect="00C44221">
      <w:headerReference w:type="even" r:id="rId8"/>
      <w:headerReference w:type="default" r:id="rId9"/>
      <w:headerReference w:type="first" r:id="rId10"/>
      <w:pgSz w:w="11906" w:h="16838" w:code="9"/>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661E7" w14:textId="77777777" w:rsidR="00CA3EAD" w:rsidRDefault="00CA3EAD">
      <w:r>
        <w:separator/>
      </w:r>
    </w:p>
  </w:endnote>
  <w:endnote w:type="continuationSeparator" w:id="0">
    <w:p w14:paraId="65A1FFAD" w14:textId="77777777" w:rsidR="00CA3EAD" w:rsidRDefault="00CA3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A1656" w14:textId="77777777" w:rsidR="00CA3EAD" w:rsidRDefault="00CA3EAD">
      <w:r>
        <w:separator/>
      </w:r>
    </w:p>
  </w:footnote>
  <w:footnote w:type="continuationSeparator" w:id="0">
    <w:p w14:paraId="0BC80AA1" w14:textId="77777777" w:rsidR="00CA3EAD" w:rsidRDefault="00CA3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CE6C2" w14:textId="77777777" w:rsidR="00CA3EAD" w:rsidRDefault="00CA3EA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0F6D839C" w14:textId="77777777" w:rsidR="00CA3EAD" w:rsidRDefault="00CA3E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ADEB" w14:textId="77777777" w:rsidR="00CA3EAD" w:rsidRDefault="00CA3EA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- 8 -</w:t>
    </w:r>
    <w:r>
      <w:rPr>
        <w:rStyle w:val="PageNumber"/>
      </w:rPr>
      <w:fldChar w:fldCharType="end"/>
    </w:r>
  </w:p>
  <w:p w14:paraId="6099C066" w14:textId="77777777" w:rsidR="00CA3EAD" w:rsidRDefault="00CA3E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68048" w14:textId="77777777" w:rsidR="00CA3EAD" w:rsidRDefault="00CA3EAD">
    <w:pPr>
      <w:pStyle w:val="Header"/>
      <w:jc w:val="center"/>
    </w:pPr>
    <w:r w:rsidRPr="00BB5679">
      <w:rPr>
        <w:noProof/>
      </w:rPr>
      <w:drawing>
        <wp:inline distT="0" distB="0" distL="0" distR="0" wp14:anchorId="6BA79B33" wp14:editId="17F9F156">
          <wp:extent cx="384175" cy="599440"/>
          <wp:effectExtent l="0" t="0" r="0" b="0"/>
          <wp:docPr id="1" name="Picture 1" descr="harp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5994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9D"/>
    <w:multiLevelType w:val="multilevel"/>
    <w:tmpl w:val="6DB43412"/>
    <w:lvl w:ilvl="0">
      <w:start w:val="2"/>
      <w:numFmt w:val="decimal"/>
      <w:lvlText w:val="(%1)"/>
      <w:lvlJc w:val="left"/>
      <w:pPr>
        <w:tabs>
          <w:tab w:val="num" w:pos="1134"/>
        </w:tabs>
        <w:ind w:left="567"/>
      </w:pPr>
      <w:rPr>
        <w:rFonts w:cs="Times New Roman" w:hint="default"/>
        <w:b w:val="0"/>
        <w:i w:val="0"/>
        <w:sz w:val="24"/>
      </w:rPr>
    </w:lvl>
    <w:lvl w:ilvl="1">
      <w:start w:val="2"/>
      <w:numFmt w:val="lowerLetter"/>
      <w:lvlText w:val="(%2)"/>
      <w:lvlJc w:val="left"/>
      <w:pPr>
        <w:tabs>
          <w:tab w:val="num" w:pos="1701"/>
        </w:tabs>
        <w:ind w:left="1701" w:hanging="567"/>
      </w:pPr>
      <w:rPr>
        <w:rFonts w:cs="Times New Roman" w:hint="default"/>
        <w:b w:val="0"/>
        <w:i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25E70AA"/>
    <w:multiLevelType w:val="multilevel"/>
    <w:tmpl w:val="DC3EDA22"/>
    <w:lvl w:ilvl="0">
      <w:start w:val="1"/>
      <w:numFmt w:val="decimal"/>
      <w:lvlText w:val="%1."/>
      <w:lvlJc w:val="left"/>
      <w:pPr>
        <w:tabs>
          <w:tab w:val="num" w:pos="720"/>
        </w:tabs>
        <w:ind w:left="720" w:hanging="720"/>
      </w:pPr>
      <w:rPr>
        <w:rFonts w:cs="Times New Roman" w:hint="default"/>
        <w:b/>
      </w:rPr>
    </w:lvl>
    <w:lvl w:ilvl="1">
      <w:start w:val="3"/>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abstractNum w:abstractNumId="2" w15:restartNumberingAfterBreak="0">
    <w:nsid w:val="08E32F3D"/>
    <w:multiLevelType w:val="hybridMultilevel"/>
    <w:tmpl w:val="C58E5930"/>
    <w:lvl w:ilvl="0" w:tplc="5336C326">
      <w:start w:val="1"/>
      <w:numFmt w:val="lowerLetter"/>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A534427"/>
    <w:multiLevelType w:val="hybridMultilevel"/>
    <w:tmpl w:val="BC3A9980"/>
    <w:lvl w:ilvl="0" w:tplc="029212FC">
      <w:start w:val="1"/>
      <w:numFmt w:val="decimal"/>
      <w:lvlText w:val="%1."/>
      <w:lvlJc w:val="left"/>
      <w:pPr>
        <w:tabs>
          <w:tab w:val="num" w:pos="567"/>
        </w:tabs>
      </w:pPr>
      <w:rPr>
        <w:rFonts w:cs="Times New Roman" w:hint="default"/>
        <w:b/>
        <w:i w:val="0"/>
      </w:rPr>
    </w:lvl>
    <w:lvl w:ilvl="1" w:tplc="0BBA43B6">
      <w:start w:val="1"/>
      <w:numFmt w:val="lowerRoman"/>
      <w:lvlText w:val="(%2)"/>
      <w:lvlJc w:val="left"/>
      <w:pPr>
        <w:tabs>
          <w:tab w:val="num" w:pos="1134"/>
        </w:tabs>
        <w:ind w:left="1134" w:hanging="567"/>
      </w:pPr>
      <w:rPr>
        <w:rFonts w:cs="Times New Roman" w:hint="default"/>
        <w:b w:val="0"/>
        <w:i w:val="0"/>
        <w:sz w:val="24"/>
      </w:rPr>
    </w:lvl>
    <w:lvl w:ilvl="2" w:tplc="AF8AE4AC">
      <w:start w:val="1"/>
      <w:numFmt w:val="bullet"/>
      <w:lvlText w:val=""/>
      <w:lvlJc w:val="left"/>
      <w:pPr>
        <w:tabs>
          <w:tab w:val="num" w:pos="1134"/>
        </w:tabs>
        <w:ind w:left="1134" w:hanging="567"/>
      </w:pPr>
      <w:rPr>
        <w:rFonts w:ascii="Symbol" w:hAnsi="Symbol" w:hint="default"/>
        <w:b/>
        <w:i w:val="0"/>
      </w:rPr>
    </w:lvl>
    <w:lvl w:ilvl="3" w:tplc="0EA4179E">
      <w:start w:val="1"/>
      <w:numFmt w:val="decimal"/>
      <w:lvlText w:val="(%4)"/>
      <w:lvlJc w:val="left"/>
      <w:pPr>
        <w:tabs>
          <w:tab w:val="num" w:pos="1134"/>
        </w:tabs>
        <w:ind w:left="1134" w:hanging="567"/>
      </w:pPr>
      <w:rPr>
        <w:rFonts w:cs="Times New Roman" w:hint="default"/>
        <w:b w:val="0"/>
        <w:i/>
        <w:sz w:val="24"/>
      </w:rPr>
    </w:lvl>
    <w:lvl w:ilvl="4" w:tplc="1CA2CF2E">
      <w:start w:val="1"/>
      <w:numFmt w:val="lowerLetter"/>
      <w:lvlText w:val="(%5)"/>
      <w:lvlJc w:val="left"/>
      <w:pPr>
        <w:tabs>
          <w:tab w:val="num" w:pos="1134"/>
        </w:tabs>
        <w:ind w:left="1134" w:hanging="567"/>
      </w:pPr>
      <w:rPr>
        <w:rFonts w:cs="Times New Roman" w:hint="default"/>
        <w:b w:val="0"/>
        <w:i/>
        <w:sz w:val="24"/>
      </w:rPr>
    </w:lvl>
    <w:lvl w:ilvl="5" w:tplc="1809001B" w:tentative="1">
      <w:start w:val="1"/>
      <w:numFmt w:val="lowerRoman"/>
      <w:lvlText w:val="%6."/>
      <w:lvlJc w:val="right"/>
      <w:pPr>
        <w:tabs>
          <w:tab w:val="num" w:pos="4320"/>
        </w:tabs>
        <w:ind w:left="4320" w:hanging="180"/>
      </w:pPr>
      <w:rPr>
        <w:rFonts w:cs="Times New Roman"/>
      </w:rPr>
    </w:lvl>
    <w:lvl w:ilvl="6" w:tplc="1809000F" w:tentative="1">
      <w:start w:val="1"/>
      <w:numFmt w:val="decimal"/>
      <w:lvlText w:val="%7."/>
      <w:lvlJc w:val="left"/>
      <w:pPr>
        <w:tabs>
          <w:tab w:val="num" w:pos="5040"/>
        </w:tabs>
        <w:ind w:left="5040" w:hanging="360"/>
      </w:pPr>
      <w:rPr>
        <w:rFonts w:cs="Times New Roman"/>
      </w:rPr>
    </w:lvl>
    <w:lvl w:ilvl="7" w:tplc="18090019" w:tentative="1">
      <w:start w:val="1"/>
      <w:numFmt w:val="lowerLetter"/>
      <w:lvlText w:val="%8."/>
      <w:lvlJc w:val="left"/>
      <w:pPr>
        <w:tabs>
          <w:tab w:val="num" w:pos="5760"/>
        </w:tabs>
        <w:ind w:left="5760" w:hanging="360"/>
      </w:pPr>
      <w:rPr>
        <w:rFonts w:cs="Times New Roman"/>
      </w:rPr>
    </w:lvl>
    <w:lvl w:ilvl="8" w:tplc="18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C763512"/>
    <w:multiLevelType w:val="hybridMultilevel"/>
    <w:tmpl w:val="68B8B96C"/>
    <w:lvl w:ilvl="0" w:tplc="18168CAC">
      <w:start w:val="1"/>
      <w:numFmt w:val="bullet"/>
      <w:lvlText w:val=""/>
      <w:lvlJc w:val="left"/>
      <w:pPr>
        <w:tabs>
          <w:tab w:val="num" w:pos="1134"/>
        </w:tabs>
        <w:ind w:left="1134" w:hanging="567"/>
      </w:pPr>
      <w:rPr>
        <w:rFonts w:ascii="Symbol" w:hAnsi="Symbol" w:hint="default"/>
        <w:b/>
        <w:i w:val="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8C0E45"/>
    <w:multiLevelType w:val="multilevel"/>
    <w:tmpl w:val="CC349BC6"/>
    <w:lvl w:ilvl="0">
      <w:start w:val="1"/>
      <w:numFmt w:val="decimal"/>
      <w:lvlText w:val="%1."/>
      <w:lvlJc w:val="left"/>
      <w:pPr>
        <w:tabs>
          <w:tab w:val="num" w:pos="567"/>
        </w:tabs>
      </w:pPr>
      <w:rPr>
        <w:rFonts w:cs="Times New Roman" w:hint="default"/>
        <w:b/>
        <w:i w:val="0"/>
      </w:rPr>
    </w:lvl>
    <w:lvl w:ilvl="1">
      <w:start w:val="1"/>
      <w:numFmt w:val="lowerRoman"/>
      <w:lvlText w:val="(%2)"/>
      <w:lvlJc w:val="left"/>
      <w:pPr>
        <w:tabs>
          <w:tab w:val="num" w:pos="1134"/>
        </w:tabs>
        <w:ind w:left="1134" w:hanging="567"/>
      </w:pPr>
      <w:rPr>
        <w:rFonts w:cs="Times New Roman" w:hint="default"/>
        <w:b w:val="0"/>
        <w:i w:val="0"/>
        <w:sz w:val="24"/>
      </w:rPr>
    </w:lvl>
    <w:lvl w:ilvl="2">
      <w:start w:val="1"/>
      <w:numFmt w:val="bullet"/>
      <w:lvlText w:val=""/>
      <w:lvlJc w:val="left"/>
      <w:pPr>
        <w:tabs>
          <w:tab w:val="num" w:pos="1134"/>
        </w:tabs>
        <w:ind w:left="1134" w:hanging="567"/>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0EE33DDF"/>
    <w:multiLevelType w:val="multilevel"/>
    <w:tmpl w:val="36969D26"/>
    <w:lvl w:ilvl="0">
      <w:start w:val="1"/>
      <w:numFmt w:val="decimal"/>
      <w:lvlText w:val="%1."/>
      <w:lvlJc w:val="left"/>
      <w:pPr>
        <w:tabs>
          <w:tab w:val="num" w:pos="567"/>
        </w:tabs>
      </w:pPr>
      <w:rPr>
        <w:rFonts w:cs="Times New Roman" w:hint="default"/>
        <w:b/>
        <w:i w:val="0"/>
      </w:rPr>
    </w:lvl>
    <w:lvl w:ilvl="1">
      <w:start w:val="1"/>
      <w:numFmt w:val="lowerRoman"/>
      <w:lvlText w:val="(%2)"/>
      <w:lvlJc w:val="left"/>
      <w:pPr>
        <w:tabs>
          <w:tab w:val="num" w:pos="1134"/>
        </w:tabs>
        <w:ind w:left="1134" w:hanging="567"/>
      </w:pPr>
      <w:rPr>
        <w:rFonts w:cs="Times New Roman" w:hint="default"/>
        <w:b w:val="0"/>
        <w:i w:val="0"/>
        <w:sz w:val="24"/>
      </w:rPr>
    </w:lvl>
    <w:lvl w:ilvl="2">
      <w:start w:val="1"/>
      <w:numFmt w:val="bullet"/>
      <w:lvlText w:val=""/>
      <w:lvlJc w:val="left"/>
      <w:pPr>
        <w:tabs>
          <w:tab w:val="num" w:pos="1134"/>
        </w:tabs>
        <w:ind w:left="1134" w:hanging="567"/>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0F893E53"/>
    <w:multiLevelType w:val="multilevel"/>
    <w:tmpl w:val="C3DEB10E"/>
    <w:lvl w:ilvl="0">
      <w:start w:val="1"/>
      <w:numFmt w:val="lowerRoman"/>
      <w:lvlText w:val="(%1)"/>
      <w:lvlJc w:val="left"/>
      <w:pPr>
        <w:tabs>
          <w:tab w:val="num" w:pos="1134"/>
        </w:tabs>
        <w:ind w:left="1134" w:hanging="567"/>
      </w:pPr>
      <w:rPr>
        <w:rFonts w:cs="Times New Roman" w:hint="default"/>
        <w:b w:val="0"/>
        <w:i w:val="0"/>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161016FC"/>
    <w:multiLevelType w:val="multilevel"/>
    <w:tmpl w:val="40C66EA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15:restartNumberingAfterBreak="0">
    <w:nsid w:val="16514736"/>
    <w:multiLevelType w:val="hybridMultilevel"/>
    <w:tmpl w:val="AA3E8EDA"/>
    <w:lvl w:ilvl="0" w:tplc="A2AE5AFA">
      <w:start w:val="1"/>
      <w:numFmt w:val="decimal"/>
      <w:lvlText w:val="%1."/>
      <w:lvlJc w:val="left"/>
      <w:pPr>
        <w:tabs>
          <w:tab w:val="num" w:pos="720"/>
        </w:tabs>
        <w:ind w:left="720" w:hanging="720"/>
      </w:pPr>
      <w:rPr>
        <w:rFonts w:cs="Times New Roman" w:hint="default"/>
        <w:b/>
        <w:sz w:val="24"/>
        <w:szCs w:val="24"/>
      </w:rPr>
    </w:lvl>
    <w:lvl w:ilvl="1" w:tplc="91724F8E">
      <w:numFmt w:val="none"/>
      <w:lvlText w:val=""/>
      <w:lvlJc w:val="left"/>
      <w:pPr>
        <w:tabs>
          <w:tab w:val="num" w:pos="360"/>
        </w:tabs>
      </w:pPr>
      <w:rPr>
        <w:rFonts w:cs="Times New Roman"/>
      </w:rPr>
    </w:lvl>
    <w:lvl w:ilvl="2" w:tplc="88607052">
      <w:numFmt w:val="none"/>
      <w:lvlText w:val=""/>
      <w:lvlJc w:val="left"/>
      <w:pPr>
        <w:tabs>
          <w:tab w:val="num" w:pos="360"/>
        </w:tabs>
      </w:pPr>
      <w:rPr>
        <w:rFonts w:cs="Times New Roman"/>
      </w:rPr>
    </w:lvl>
    <w:lvl w:ilvl="3" w:tplc="6C3CCF6A">
      <w:numFmt w:val="none"/>
      <w:lvlText w:val=""/>
      <w:lvlJc w:val="left"/>
      <w:pPr>
        <w:tabs>
          <w:tab w:val="num" w:pos="360"/>
        </w:tabs>
      </w:pPr>
      <w:rPr>
        <w:rFonts w:cs="Times New Roman"/>
      </w:rPr>
    </w:lvl>
    <w:lvl w:ilvl="4" w:tplc="8ED61410">
      <w:numFmt w:val="none"/>
      <w:lvlText w:val=""/>
      <w:lvlJc w:val="left"/>
      <w:pPr>
        <w:tabs>
          <w:tab w:val="num" w:pos="360"/>
        </w:tabs>
      </w:pPr>
      <w:rPr>
        <w:rFonts w:cs="Times New Roman"/>
      </w:rPr>
    </w:lvl>
    <w:lvl w:ilvl="5" w:tplc="290E7BEA">
      <w:numFmt w:val="none"/>
      <w:lvlText w:val=""/>
      <w:lvlJc w:val="left"/>
      <w:pPr>
        <w:tabs>
          <w:tab w:val="num" w:pos="360"/>
        </w:tabs>
      </w:pPr>
      <w:rPr>
        <w:rFonts w:cs="Times New Roman"/>
      </w:rPr>
    </w:lvl>
    <w:lvl w:ilvl="6" w:tplc="2E32BFA8">
      <w:numFmt w:val="none"/>
      <w:lvlText w:val=""/>
      <w:lvlJc w:val="left"/>
      <w:pPr>
        <w:tabs>
          <w:tab w:val="num" w:pos="360"/>
        </w:tabs>
      </w:pPr>
      <w:rPr>
        <w:rFonts w:cs="Times New Roman"/>
      </w:rPr>
    </w:lvl>
    <w:lvl w:ilvl="7" w:tplc="1480D654">
      <w:numFmt w:val="none"/>
      <w:lvlText w:val=""/>
      <w:lvlJc w:val="left"/>
      <w:pPr>
        <w:tabs>
          <w:tab w:val="num" w:pos="360"/>
        </w:tabs>
      </w:pPr>
      <w:rPr>
        <w:rFonts w:cs="Times New Roman"/>
      </w:rPr>
    </w:lvl>
    <w:lvl w:ilvl="8" w:tplc="E0EE90C6">
      <w:numFmt w:val="none"/>
      <w:lvlText w:val=""/>
      <w:lvlJc w:val="left"/>
      <w:pPr>
        <w:tabs>
          <w:tab w:val="num" w:pos="360"/>
        </w:tabs>
      </w:pPr>
      <w:rPr>
        <w:rFonts w:cs="Times New Roman"/>
      </w:rPr>
    </w:lvl>
  </w:abstractNum>
  <w:abstractNum w:abstractNumId="10" w15:restartNumberingAfterBreak="0">
    <w:nsid w:val="16700118"/>
    <w:multiLevelType w:val="multilevel"/>
    <w:tmpl w:val="1F706D78"/>
    <w:lvl w:ilvl="0">
      <w:start w:val="1"/>
      <w:numFmt w:val="decimal"/>
      <w:lvlText w:val="%1."/>
      <w:lvlJc w:val="left"/>
      <w:pPr>
        <w:tabs>
          <w:tab w:val="num" w:pos="567"/>
        </w:tabs>
      </w:pPr>
      <w:rPr>
        <w:rFonts w:cs="Times New Roman" w:hint="default"/>
        <w:b/>
        <w:i w:val="0"/>
      </w:rPr>
    </w:lvl>
    <w:lvl w:ilvl="1">
      <w:start w:val="1"/>
      <w:numFmt w:val="lowerRoman"/>
      <w:lvlText w:val="(%2)"/>
      <w:lvlJc w:val="left"/>
      <w:pPr>
        <w:tabs>
          <w:tab w:val="num" w:pos="1134"/>
        </w:tabs>
        <w:ind w:left="1134" w:hanging="567"/>
      </w:pPr>
      <w:rPr>
        <w:rFonts w:cs="Times New Roman" w:hint="default"/>
        <w:b/>
        <w:i w:val="0"/>
      </w:rPr>
    </w:lvl>
    <w:lvl w:ilvl="2">
      <w:start w:val="1"/>
      <w:numFmt w:val="bullet"/>
      <w:lvlText w:val=""/>
      <w:lvlJc w:val="left"/>
      <w:pPr>
        <w:tabs>
          <w:tab w:val="num" w:pos="2340"/>
        </w:tabs>
        <w:ind w:left="2340" w:hanging="360"/>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17803C84"/>
    <w:multiLevelType w:val="multilevel"/>
    <w:tmpl w:val="5E16E784"/>
    <w:lvl w:ilvl="0">
      <w:start w:val="1"/>
      <w:numFmt w:val="decimal"/>
      <w:lvlText w:val="%1."/>
      <w:lvlJc w:val="left"/>
      <w:pPr>
        <w:tabs>
          <w:tab w:val="num" w:pos="567"/>
        </w:tabs>
      </w:pPr>
      <w:rPr>
        <w:rFonts w:cs="Times New Roman" w:hint="default"/>
        <w:b/>
        <w:i w:val="0"/>
      </w:rPr>
    </w:lvl>
    <w:lvl w:ilvl="1">
      <w:start w:val="1"/>
      <w:numFmt w:val="lowerRoman"/>
      <w:lvlText w:val="(%2)"/>
      <w:lvlJc w:val="left"/>
      <w:pPr>
        <w:tabs>
          <w:tab w:val="num" w:pos="1134"/>
        </w:tabs>
        <w:ind w:left="1134" w:hanging="567"/>
      </w:pPr>
      <w:rPr>
        <w:rFonts w:cs="Times New Roman" w:hint="default"/>
        <w:b w:val="0"/>
        <w:i w:val="0"/>
        <w:sz w:val="24"/>
      </w:rPr>
    </w:lvl>
    <w:lvl w:ilvl="2">
      <w:start w:val="1"/>
      <w:numFmt w:val="bullet"/>
      <w:lvlText w:val=""/>
      <w:lvlJc w:val="left"/>
      <w:pPr>
        <w:tabs>
          <w:tab w:val="num" w:pos="2340"/>
        </w:tabs>
        <w:ind w:left="2340" w:hanging="360"/>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1C064430"/>
    <w:multiLevelType w:val="hybridMultilevel"/>
    <w:tmpl w:val="F446B584"/>
    <w:lvl w:ilvl="0" w:tplc="E5F23800">
      <w:start w:val="1"/>
      <w:numFmt w:val="lowerRoman"/>
      <w:lvlText w:val="(%1)"/>
      <w:lvlJc w:val="left"/>
      <w:pPr>
        <w:tabs>
          <w:tab w:val="num" w:pos="1134"/>
        </w:tabs>
        <w:ind w:left="1134" w:hanging="567"/>
      </w:pPr>
      <w:rPr>
        <w:rFonts w:cs="Times New Roman" w:hint="default"/>
        <w:b w:val="0"/>
      </w:rPr>
    </w:lvl>
    <w:lvl w:ilvl="1" w:tplc="51FA362E">
      <w:start w:val="1"/>
      <w:numFmt w:val="bullet"/>
      <w:lvlText w:val=""/>
      <w:lvlJc w:val="left"/>
      <w:pPr>
        <w:tabs>
          <w:tab w:val="num" w:pos="1134"/>
        </w:tabs>
        <w:ind w:left="1134" w:hanging="567"/>
      </w:pPr>
      <w:rPr>
        <w:rFonts w:ascii="Symbol" w:hAnsi="Symbol" w:hint="default"/>
        <w:b/>
        <w:i w:val="0"/>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C482E47"/>
    <w:multiLevelType w:val="hybridMultilevel"/>
    <w:tmpl w:val="39A25932"/>
    <w:lvl w:ilvl="0" w:tplc="CC2A224C">
      <w:start w:val="2"/>
      <w:numFmt w:val="decimal"/>
      <w:lvlText w:val="(%1)"/>
      <w:lvlJc w:val="left"/>
      <w:pPr>
        <w:tabs>
          <w:tab w:val="num" w:pos="1134"/>
        </w:tabs>
        <w:ind w:left="1134" w:hanging="567"/>
      </w:pPr>
      <w:rPr>
        <w:rFonts w:cs="Times New Roman" w:hint="default"/>
        <w:b w:val="0"/>
        <w:i/>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69F6BB5"/>
    <w:multiLevelType w:val="hybridMultilevel"/>
    <w:tmpl w:val="882450DA"/>
    <w:lvl w:ilvl="0" w:tplc="0AB2CF5C">
      <w:start w:val="1"/>
      <w:numFmt w:val="decimal"/>
      <w:lvlText w:val="%1."/>
      <w:lvlJc w:val="left"/>
      <w:pPr>
        <w:tabs>
          <w:tab w:val="num" w:pos="720"/>
        </w:tabs>
        <w:ind w:left="720" w:hanging="720"/>
      </w:pPr>
      <w:rPr>
        <w:rFonts w:cs="Times New Roman" w:hint="default"/>
        <w:b/>
        <w:sz w:val="24"/>
        <w:szCs w:val="24"/>
      </w:rPr>
    </w:lvl>
    <w:lvl w:ilvl="1" w:tplc="9568368A">
      <w:numFmt w:val="none"/>
      <w:lvlText w:val=""/>
      <w:lvlJc w:val="left"/>
      <w:pPr>
        <w:tabs>
          <w:tab w:val="num" w:pos="360"/>
        </w:tabs>
      </w:pPr>
      <w:rPr>
        <w:rFonts w:cs="Times New Roman"/>
      </w:rPr>
    </w:lvl>
    <w:lvl w:ilvl="2" w:tplc="AB22C470">
      <w:numFmt w:val="none"/>
      <w:lvlText w:val=""/>
      <w:lvlJc w:val="left"/>
      <w:pPr>
        <w:tabs>
          <w:tab w:val="num" w:pos="360"/>
        </w:tabs>
      </w:pPr>
      <w:rPr>
        <w:rFonts w:cs="Times New Roman"/>
      </w:rPr>
    </w:lvl>
    <w:lvl w:ilvl="3" w:tplc="08090001">
      <w:start w:val="1"/>
      <w:numFmt w:val="bullet"/>
      <w:lvlText w:val=""/>
      <w:lvlJc w:val="left"/>
      <w:pPr>
        <w:tabs>
          <w:tab w:val="num" w:pos="360"/>
        </w:tabs>
        <w:ind w:left="360" w:hanging="360"/>
      </w:pPr>
      <w:rPr>
        <w:rFonts w:ascii="Symbol" w:hAnsi="Symbol" w:hint="default"/>
        <w:b/>
        <w:sz w:val="24"/>
      </w:rPr>
    </w:lvl>
    <w:lvl w:ilvl="4" w:tplc="978EC4A4">
      <w:numFmt w:val="none"/>
      <w:lvlText w:val=""/>
      <w:lvlJc w:val="left"/>
      <w:pPr>
        <w:tabs>
          <w:tab w:val="num" w:pos="360"/>
        </w:tabs>
      </w:pPr>
      <w:rPr>
        <w:rFonts w:cs="Times New Roman"/>
      </w:rPr>
    </w:lvl>
    <w:lvl w:ilvl="5" w:tplc="724648A0">
      <w:numFmt w:val="none"/>
      <w:lvlText w:val=""/>
      <w:lvlJc w:val="left"/>
      <w:pPr>
        <w:tabs>
          <w:tab w:val="num" w:pos="360"/>
        </w:tabs>
      </w:pPr>
      <w:rPr>
        <w:rFonts w:cs="Times New Roman"/>
      </w:rPr>
    </w:lvl>
    <w:lvl w:ilvl="6" w:tplc="7618D150">
      <w:numFmt w:val="none"/>
      <w:lvlText w:val=""/>
      <w:lvlJc w:val="left"/>
      <w:pPr>
        <w:tabs>
          <w:tab w:val="num" w:pos="360"/>
        </w:tabs>
      </w:pPr>
      <w:rPr>
        <w:rFonts w:cs="Times New Roman"/>
      </w:rPr>
    </w:lvl>
    <w:lvl w:ilvl="7" w:tplc="97FABB32">
      <w:numFmt w:val="none"/>
      <w:lvlText w:val=""/>
      <w:lvlJc w:val="left"/>
      <w:pPr>
        <w:tabs>
          <w:tab w:val="num" w:pos="360"/>
        </w:tabs>
      </w:pPr>
      <w:rPr>
        <w:rFonts w:cs="Times New Roman"/>
      </w:rPr>
    </w:lvl>
    <w:lvl w:ilvl="8" w:tplc="1DA48E56">
      <w:numFmt w:val="none"/>
      <w:lvlText w:val=""/>
      <w:lvlJc w:val="left"/>
      <w:pPr>
        <w:tabs>
          <w:tab w:val="num" w:pos="360"/>
        </w:tabs>
      </w:pPr>
      <w:rPr>
        <w:rFonts w:cs="Times New Roman"/>
      </w:rPr>
    </w:lvl>
  </w:abstractNum>
  <w:abstractNum w:abstractNumId="15" w15:restartNumberingAfterBreak="0">
    <w:nsid w:val="27AF0F03"/>
    <w:multiLevelType w:val="hybridMultilevel"/>
    <w:tmpl w:val="5AF6E740"/>
    <w:lvl w:ilvl="0" w:tplc="92E6F69A">
      <w:start w:val="1"/>
      <w:numFmt w:val="decimal"/>
      <w:lvlText w:val="%1."/>
      <w:lvlJc w:val="left"/>
      <w:pPr>
        <w:ind w:left="720" w:hanging="360"/>
      </w:pPr>
      <w:rPr>
        <w:rFonts w:ascii="Times New Roman" w:hAnsi="Times New Roman" w:cs="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8CB3365"/>
    <w:multiLevelType w:val="hybridMultilevel"/>
    <w:tmpl w:val="15F4739E"/>
    <w:lvl w:ilvl="0" w:tplc="5DF86588">
      <w:start w:val="2"/>
      <w:numFmt w:val="decimal"/>
      <w:lvlText w:val="(%1)"/>
      <w:lvlJc w:val="left"/>
      <w:pPr>
        <w:tabs>
          <w:tab w:val="num" w:pos="1134"/>
        </w:tabs>
        <w:ind w:left="567"/>
      </w:pPr>
      <w:rPr>
        <w:rFonts w:cs="Times New Roman" w:hint="default"/>
        <w:b w:val="0"/>
        <w:i w:val="0"/>
        <w:sz w:val="24"/>
      </w:rPr>
    </w:lvl>
    <w:lvl w:ilvl="1" w:tplc="72E081CC">
      <w:start w:val="1"/>
      <w:numFmt w:val="lowerLetter"/>
      <w:lvlText w:val="(%2)"/>
      <w:lvlJc w:val="left"/>
      <w:pPr>
        <w:tabs>
          <w:tab w:val="num" w:pos="1701"/>
        </w:tabs>
        <w:ind w:left="1701" w:hanging="567"/>
      </w:pPr>
      <w:rPr>
        <w:rFonts w:cs="Times New Roman" w:hint="default"/>
        <w:b w:val="0"/>
        <w:i w:val="0"/>
        <w:sz w:val="24"/>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295F4CFF"/>
    <w:multiLevelType w:val="multilevel"/>
    <w:tmpl w:val="198C8668"/>
    <w:lvl w:ilvl="0">
      <w:start w:val="1"/>
      <w:numFmt w:val="decimal"/>
      <w:lvlText w:val="%1."/>
      <w:lvlJc w:val="left"/>
      <w:pPr>
        <w:tabs>
          <w:tab w:val="num" w:pos="567"/>
        </w:tabs>
      </w:pPr>
      <w:rPr>
        <w:rFonts w:cs="Times New Roman" w:hint="default"/>
        <w:b/>
        <w:i w:val="0"/>
      </w:rPr>
    </w:lvl>
    <w:lvl w:ilvl="1">
      <w:start w:val="1"/>
      <w:numFmt w:val="lowerRoman"/>
      <w:lvlText w:val="(%2)"/>
      <w:lvlJc w:val="left"/>
      <w:pPr>
        <w:tabs>
          <w:tab w:val="num" w:pos="1800"/>
        </w:tabs>
        <w:ind w:left="1800" w:hanging="720"/>
      </w:pPr>
      <w:rPr>
        <w:rFonts w:cs="Times New Roman" w:hint="default"/>
      </w:rPr>
    </w:lvl>
    <w:lvl w:ilvl="2">
      <w:start w:val="1"/>
      <w:numFmt w:val="bullet"/>
      <w:lvlText w:val=""/>
      <w:lvlJc w:val="left"/>
      <w:pPr>
        <w:tabs>
          <w:tab w:val="num" w:pos="2340"/>
        </w:tabs>
        <w:ind w:left="2340" w:hanging="360"/>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2C254033"/>
    <w:multiLevelType w:val="hybridMultilevel"/>
    <w:tmpl w:val="E78A1D92"/>
    <w:lvl w:ilvl="0" w:tplc="73F893E4">
      <w:start w:val="1"/>
      <w:numFmt w:val="decimal"/>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1302AE1"/>
    <w:multiLevelType w:val="hybridMultilevel"/>
    <w:tmpl w:val="59F6C9C2"/>
    <w:lvl w:ilvl="0" w:tplc="F76ECC16">
      <w:start w:val="1"/>
      <w:numFmt w:val="decimal"/>
      <w:lvlText w:val="(%1)"/>
      <w:lvlJc w:val="left"/>
      <w:pPr>
        <w:tabs>
          <w:tab w:val="num" w:pos="567"/>
        </w:tabs>
        <w:ind w:left="567"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1E55DAD"/>
    <w:multiLevelType w:val="hybridMultilevel"/>
    <w:tmpl w:val="177EB49C"/>
    <w:lvl w:ilvl="0" w:tplc="41BACA0A">
      <w:start w:val="1"/>
      <w:numFmt w:val="lowerRoman"/>
      <w:lvlText w:val="(%1)"/>
      <w:lvlJc w:val="left"/>
      <w:pPr>
        <w:tabs>
          <w:tab w:val="num" w:pos="1134"/>
        </w:tabs>
        <w:ind w:left="1134" w:hanging="567"/>
      </w:pPr>
      <w:rPr>
        <w:rFonts w:cs="Times New Roman" w:hint="default"/>
        <w:b w:val="0"/>
        <w:i/>
        <w:sz w:val="24"/>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34FD7C75"/>
    <w:multiLevelType w:val="multilevel"/>
    <w:tmpl w:val="B94E6112"/>
    <w:lvl w:ilvl="0">
      <w:start w:val="1"/>
      <w:numFmt w:val="decimal"/>
      <w:lvlText w:val="%1."/>
      <w:lvlJc w:val="left"/>
      <w:pPr>
        <w:tabs>
          <w:tab w:val="num" w:pos="567"/>
        </w:tabs>
      </w:pPr>
      <w:rPr>
        <w:rFonts w:cs="Times New Roman" w:hint="default"/>
        <w:b/>
        <w:i w:val="0"/>
      </w:rPr>
    </w:lvl>
    <w:lvl w:ilvl="1">
      <w:start w:val="1"/>
      <w:numFmt w:val="lowerRoman"/>
      <w:lvlText w:val="(%2)"/>
      <w:lvlJc w:val="left"/>
      <w:pPr>
        <w:tabs>
          <w:tab w:val="num" w:pos="1134"/>
        </w:tabs>
        <w:ind w:left="1134" w:hanging="567"/>
      </w:pPr>
      <w:rPr>
        <w:rFonts w:cs="Times New Roman" w:hint="default"/>
        <w:b w:val="0"/>
        <w:i w:val="0"/>
        <w:sz w:val="24"/>
      </w:rPr>
    </w:lvl>
    <w:lvl w:ilvl="2">
      <w:start w:val="1"/>
      <w:numFmt w:val="bullet"/>
      <w:lvlText w:val=""/>
      <w:lvlJc w:val="left"/>
      <w:pPr>
        <w:tabs>
          <w:tab w:val="num" w:pos="1134"/>
        </w:tabs>
        <w:ind w:left="1134" w:hanging="567"/>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351C3394"/>
    <w:multiLevelType w:val="multilevel"/>
    <w:tmpl w:val="59F6C9C2"/>
    <w:lvl w:ilvl="0">
      <w:start w:val="1"/>
      <w:numFmt w:val="decimal"/>
      <w:lvlText w:val="(%1)"/>
      <w:lvlJc w:val="left"/>
      <w:pPr>
        <w:tabs>
          <w:tab w:val="num" w:pos="567"/>
        </w:tabs>
        <w:ind w:left="567" w:hanging="567"/>
      </w:pPr>
      <w:rPr>
        <w:rFonts w:cs="Times New Roman" w:hint="default"/>
        <w:b w:val="0"/>
        <w:i w:val="0"/>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6A5272D"/>
    <w:multiLevelType w:val="hybridMultilevel"/>
    <w:tmpl w:val="4D58988E"/>
    <w:lvl w:ilvl="0" w:tplc="526A33EE">
      <w:start w:val="5"/>
      <w:numFmt w:val="decimal"/>
      <w:lvlText w:val="(%1)"/>
      <w:lvlJc w:val="left"/>
      <w:pPr>
        <w:tabs>
          <w:tab w:val="num" w:pos="1134"/>
        </w:tabs>
        <w:ind w:left="1134" w:hanging="567"/>
      </w:pPr>
      <w:rPr>
        <w:rFonts w:cs="Times New Roman" w:hint="default"/>
        <w:b w:val="0"/>
        <w:i/>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3C111015"/>
    <w:multiLevelType w:val="hybridMultilevel"/>
    <w:tmpl w:val="4E325AF4"/>
    <w:lvl w:ilvl="0" w:tplc="47888526">
      <w:start w:val="1"/>
      <w:numFmt w:val="lowerRoman"/>
      <w:lvlText w:val="(%1)"/>
      <w:lvlJc w:val="right"/>
      <w:pPr>
        <w:tabs>
          <w:tab w:val="num" w:pos="1134"/>
        </w:tabs>
        <w:ind w:left="1134" w:hanging="567"/>
      </w:pPr>
      <w:rPr>
        <w:rFonts w:cs="Times New Roman" w:hint="default"/>
        <w:b w:val="0"/>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1A81F0C"/>
    <w:multiLevelType w:val="hybridMultilevel"/>
    <w:tmpl w:val="80A02012"/>
    <w:lvl w:ilvl="0" w:tplc="9F5E82F6">
      <w:start w:val="1"/>
      <w:numFmt w:val="decimal"/>
      <w:lvlText w:val="&quot;4(%1)"/>
      <w:lvlJc w:val="left"/>
      <w:pPr>
        <w:tabs>
          <w:tab w:val="num" w:pos="1134"/>
        </w:tabs>
        <w:ind w:left="1134" w:hanging="567"/>
      </w:pPr>
      <w:rPr>
        <w:rFonts w:cs="Times New Roman" w:hint="default"/>
        <w:b w:val="0"/>
        <w:i/>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1C264D3"/>
    <w:multiLevelType w:val="hybridMultilevel"/>
    <w:tmpl w:val="C9680F16"/>
    <w:lvl w:ilvl="0" w:tplc="D6948CD8">
      <w:numFmt w:val="bullet"/>
      <w:lvlText w:val="-"/>
      <w:lvlJc w:val="left"/>
      <w:pPr>
        <w:tabs>
          <w:tab w:val="num" w:pos="720"/>
        </w:tabs>
        <w:ind w:left="720" w:hanging="360"/>
      </w:pPr>
      <w:rPr>
        <w:rFonts w:ascii="Times New Roman" w:eastAsia="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D856F8"/>
    <w:multiLevelType w:val="multilevel"/>
    <w:tmpl w:val="962C9BDE"/>
    <w:lvl w:ilvl="0">
      <w:start w:val="3"/>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8" w15:restartNumberingAfterBreak="0">
    <w:nsid w:val="45256054"/>
    <w:multiLevelType w:val="hybridMultilevel"/>
    <w:tmpl w:val="686C5D36"/>
    <w:lvl w:ilvl="0" w:tplc="565ED3EC">
      <w:start w:val="1"/>
      <w:numFmt w:val="lowerRoman"/>
      <w:lvlText w:val="(%1)"/>
      <w:lvlJc w:val="left"/>
      <w:pPr>
        <w:tabs>
          <w:tab w:val="num" w:pos="1134"/>
        </w:tabs>
        <w:ind w:left="1134" w:hanging="567"/>
      </w:pPr>
      <w:rPr>
        <w:rFonts w:cs="Times New Roman" w:hint="default"/>
        <w:b w:val="0"/>
        <w:i w:val="0"/>
        <w:color w:val="auto"/>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45592767"/>
    <w:multiLevelType w:val="multilevel"/>
    <w:tmpl w:val="CF9E843E"/>
    <w:lvl w:ilvl="0">
      <w:start w:val="2"/>
      <w:numFmt w:val="decimal"/>
      <w:lvlText w:val="(%1)"/>
      <w:lvlJc w:val="left"/>
      <w:pPr>
        <w:tabs>
          <w:tab w:val="num" w:pos="1134"/>
        </w:tabs>
        <w:ind w:left="1134" w:hanging="567"/>
      </w:pPr>
      <w:rPr>
        <w:rFonts w:cs="Times New Roman" w:hint="default"/>
        <w:b w:val="0"/>
        <w:i w:val="0"/>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45B16BE5"/>
    <w:multiLevelType w:val="multilevel"/>
    <w:tmpl w:val="9D1EF8DC"/>
    <w:lvl w:ilvl="0">
      <w:start w:val="1"/>
      <w:numFmt w:val="decimal"/>
      <w:lvlText w:val="%1."/>
      <w:lvlJc w:val="left"/>
      <w:pPr>
        <w:tabs>
          <w:tab w:val="num" w:pos="709"/>
        </w:tabs>
      </w:pPr>
      <w:rPr>
        <w:rFonts w:cs="Times New Roman" w:hint="default"/>
        <w:b/>
        <w:i w:val="0"/>
      </w:rPr>
    </w:lvl>
    <w:lvl w:ilvl="1">
      <w:start w:val="1"/>
      <w:numFmt w:val="lowerRoman"/>
      <w:lvlText w:val="(%2)"/>
      <w:lvlJc w:val="left"/>
      <w:pPr>
        <w:tabs>
          <w:tab w:val="num" w:pos="1800"/>
        </w:tabs>
        <w:ind w:left="1800" w:hanging="720"/>
      </w:pPr>
      <w:rPr>
        <w:rFonts w:cs="Times New Roman" w:hint="default"/>
      </w:rPr>
    </w:lvl>
    <w:lvl w:ilvl="2">
      <w:start w:val="1"/>
      <w:numFmt w:val="bullet"/>
      <w:lvlText w:val=""/>
      <w:lvlJc w:val="left"/>
      <w:pPr>
        <w:tabs>
          <w:tab w:val="num" w:pos="2340"/>
        </w:tabs>
        <w:ind w:left="2340" w:hanging="360"/>
      </w:pPr>
      <w:rPr>
        <w:rFonts w:ascii="Symbol" w:hAnsi="Symbol" w:hint="default"/>
        <w:b/>
        <w:i w:val="0"/>
      </w:rPr>
    </w:lvl>
    <w:lvl w:ilvl="3">
      <w:start w:val="1"/>
      <w:numFmt w:val="decimal"/>
      <w:lvlText w:val="(%4)"/>
      <w:lvlJc w:val="left"/>
      <w:pPr>
        <w:tabs>
          <w:tab w:val="num" w:pos="3240"/>
        </w:tabs>
        <w:ind w:left="3240" w:hanging="72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4DD52AEE"/>
    <w:multiLevelType w:val="hybridMultilevel"/>
    <w:tmpl w:val="3F0629B2"/>
    <w:lvl w:ilvl="0" w:tplc="405696F4">
      <w:start w:val="2"/>
      <w:numFmt w:val="decimal"/>
      <w:lvlText w:val="(%1)"/>
      <w:lvlJc w:val="left"/>
      <w:pPr>
        <w:tabs>
          <w:tab w:val="num" w:pos="1134"/>
        </w:tabs>
        <w:ind w:left="1134" w:hanging="567"/>
      </w:pPr>
      <w:rPr>
        <w:rFonts w:cs="Times New Roman" w:hint="default"/>
        <w:b w:val="0"/>
        <w:i/>
        <w:sz w:val="24"/>
      </w:rPr>
    </w:lvl>
    <w:lvl w:ilvl="1" w:tplc="139C8F46">
      <w:start w:val="1"/>
      <w:numFmt w:val="lowerRoman"/>
      <w:lvlText w:val="(%2)"/>
      <w:lvlJc w:val="left"/>
      <w:pPr>
        <w:tabs>
          <w:tab w:val="num" w:pos="1800"/>
        </w:tabs>
        <w:ind w:left="1800" w:hanging="720"/>
      </w:pPr>
      <w:rPr>
        <w:rFonts w:cs="Times New Roman" w:hint="default"/>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0A938A8"/>
    <w:multiLevelType w:val="hybridMultilevel"/>
    <w:tmpl w:val="A55406FA"/>
    <w:lvl w:ilvl="0" w:tplc="25489384">
      <w:start w:val="1"/>
      <w:numFmt w:val="decimal"/>
      <w:lvlText w:val="%1."/>
      <w:lvlJc w:val="left"/>
      <w:pPr>
        <w:tabs>
          <w:tab w:val="num" w:pos="567"/>
        </w:tabs>
      </w:pPr>
      <w:rPr>
        <w:rFonts w:cs="Times New Roman" w:hint="default"/>
        <w:b/>
      </w:rPr>
    </w:lvl>
    <w:lvl w:ilvl="1" w:tplc="2ED05C26">
      <w:start w:val="1"/>
      <w:numFmt w:val="lowerLetter"/>
      <w:lvlText w:val="(%2)"/>
      <w:lvlJc w:val="left"/>
      <w:pPr>
        <w:tabs>
          <w:tab w:val="num" w:pos="1134"/>
        </w:tabs>
        <w:ind w:left="1134" w:hanging="567"/>
      </w:pPr>
      <w:rPr>
        <w:rFonts w:cs="Times New Roman" w:hint="default"/>
        <w:b w:val="0"/>
        <w:i w:val="0"/>
        <w:sz w:val="24"/>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541C786B"/>
    <w:multiLevelType w:val="hybridMultilevel"/>
    <w:tmpl w:val="D3E6DD34"/>
    <w:lvl w:ilvl="0" w:tplc="98F477F4">
      <w:start w:val="1"/>
      <w:numFmt w:val="decimal"/>
      <w:lvlText w:val="%1."/>
      <w:lvlJc w:val="left"/>
      <w:pPr>
        <w:tabs>
          <w:tab w:val="num" w:pos="709"/>
        </w:tabs>
      </w:pPr>
      <w:rPr>
        <w:rFonts w:cs="Times New Roman" w:hint="default"/>
        <w:b/>
        <w:i w:val="0"/>
      </w:rPr>
    </w:lvl>
    <w:lvl w:ilvl="1" w:tplc="18090019" w:tentative="1">
      <w:start w:val="1"/>
      <w:numFmt w:val="lowerLetter"/>
      <w:lvlText w:val="%2."/>
      <w:lvlJc w:val="left"/>
      <w:pPr>
        <w:tabs>
          <w:tab w:val="num" w:pos="1440"/>
        </w:tabs>
        <w:ind w:left="1440" w:hanging="360"/>
      </w:pPr>
      <w:rPr>
        <w:rFonts w:cs="Times New Roman"/>
      </w:rPr>
    </w:lvl>
    <w:lvl w:ilvl="2" w:tplc="1809001B" w:tentative="1">
      <w:start w:val="1"/>
      <w:numFmt w:val="lowerRoman"/>
      <w:lvlText w:val="%3."/>
      <w:lvlJc w:val="right"/>
      <w:pPr>
        <w:tabs>
          <w:tab w:val="num" w:pos="2160"/>
        </w:tabs>
        <w:ind w:left="2160" w:hanging="180"/>
      </w:pPr>
      <w:rPr>
        <w:rFonts w:cs="Times New Roman"/>
      </w:rPr>
    </w:lvl>
    <w:lvl w:ilvl="3" w:tplc="1809000F" w:tentative="1">
      <w:start w:val="1"/>
      <w:numFmt w:val="decimal"/>
      <w:lvlText w:val="%4."/>
      <w:lvlJc w:val="left"/>
      <w:pPr>
        <w:tabs>
          <w:tab w:val="num" w:pos="2880"/>
        </w:tabs>
        <w:ind w:left="2880" w:hanging="360"/>
      </w:pPr>
      <w:rPr>
        <w:rFonts w:cs="Times New Roman"/>
      </w:rPr>
    </w:lvl>
    <w:lvl w:ilvl="4" w:tplc="18090019" w:tentative="1">
      <w:start w:val="1"/>
      <w:numFmt w:val="lowerLetter"/>
      <w:lvlText w:val="%5."/>
      <w:lvlJc w:val="left"/>
      <w:pPr>
        <w:tabs>
          <w:tab w:val="num" w:pos="3600"/>
        </w:tabs>
        <w:ind w:left="3600" w:hanging="360"/>
      </w:pPr>
      <w:rPr>
        <w:rFonts w:cs="Times New Roman"/>
      </w:rPr>
    </w:lvl>
    <w:lvl w:ilvl="5" w:tplc="1809001B" w:tentative="1">
      <w:start w:val="1"/>
      <w:numFmt w:val="lowerRoman"/>
      <w:lvlText w:val="%6."/>
      <w:lvlJc w:val="right"/>
      <w:pPr>
        <w:tabs>
          <w:tab w:val="num" w:pos="4320"/>
        </w:tabs>
        <w:ind w:left="4320" w:hanging="180"/>
      </w:pPr>
      <w:rPr>
        <w:rFonts w:cs="Times New Roman"/>
      </w:rPr>
    </w:lvl>
    <w:lvl w:ilvl="6" w:tplc="1809000F" w:tentative="1">
      <w:start w:val="1"/>
      <w:numFmt w:val="decimal"/>
      <w:lvlText w:val="%7."/>
      <w:lvlJc w:val="left"/>
      <w:pPr>
        <w:tabs>
          <w:tab w:val="num" w:pos="5040"/>
        </w:tabs>
        <w:ind w:left="5040" w:hanging="360"/>
      </w:pPr>
      <w:rPr>
        <w:rFonts w:cs="Times New Roman"/>
      </w:rPr>
    </w:lvl>
    <w:lvl w:ilvl="7" w:tplc="18090019" w:tentative="1">
      <w:start w:val="1"/>
      <w:numFmt w:val="lowerLetter"/>
      <w:lvlText w:val="%8."/>
      <w:lvlJc w:val="left"/>
      <w:pPr>
        <w:tabs>
          <w:tab w:val="num" w:pos="5760"/>
        </w:tabs>
        <w:ind w:left="5760" w:hanging="360"/>
      </w:pPr>
      <w:rPr>
        <w:rFonts w:cs="Times New Roman"/>
      </w:rPr>
    </w:lvl>
    <w:lvl w:ilvl="8" w:tplc="18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54823E92"/>
    <w:multiLevelType w:val="multilevel"/>
    <w:tmpl w:val="4E325AF4"/>
    <w:lvl w:ilvl="0">
      <w:start w:val="1"/>
      <w:numFmt w:val="lowerRoman"/>
      <w:lvlText w:val="(%1)"/>
      <w:lvlJc w:val="right"/>
      <w:pPr>
        <w:tabs>
          <w:tab w:val="num" w:pos="1134"/>
        </w:tabs>
        <w:ind w:left="1134" w:hanging="567"/>
      </w:pPr>
      <w:rPr>
        <w:rFonts w:cs="Times New Roman" w:hint="default"/>
        <w:b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15:restartNumberingAfterBreak="0">
    <w:nsid w:val="5882455B"/>
    <w:multiLevelType w:val="hybridMultilevel"/>
    <w:tmpl w:val="FE58FBF6"/>
    <w:lvl w:ilvl="0" w:tplc="AC165268">
      <w:start w:val="1"/>
      <w:numFmt w:val="lowerRoman"/>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5DC6374F"/>
    <w:multiLevelType w:val="hybridMultilevel"/>
    <w:tmpl w:val="CF9E843E"/>
    <w:lvl w:ilvl="0" w:tplc="68FE5F88">
      <w:start w:val="2"/>
      <w:numFmt w:val="decimal"/>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608A56EC"/>
    <w:multiLevelType w:val="hybridMultilevel"/>
    <w:tmpl w:val="C3DEB10E"/>
    <w:lvl w:ilvl="0" w:tplc="731C654E">
      <w:start w:val="1"/>
      <w:numFmt w:val="lowerRoman"/>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1735061"/>
    <w:multiLevelType w:val="hybridMultilevel"/>
    <w:tmpl w:val="BE9E41A4"/>
    <w:lvl w:ilvl="0" w:tplc="CD90C65A">
      <w:start w:val="1"/>
      <w:numFmt w:val="lowerLetter"/>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66727941"/>
    <w:multiLevelType w:val="hybridMultilevel"/>
    <w:tmpl w:val="2988A76A"/>
    <w:lvl w:ilvl="0" w:tplc="46B26C80">
      <w:start w:val="1"/>
      <w:numFmt w:val="lowerLetter"/>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71DB3F65"/>
    <w:multiLevelType w:val="hybridMultilevel"/>
    <w:tmpl w:val="8188E61C"/>
    <w:lvl w:ilvl="0" w:tplc="FCE2063E">
      <w:start w:val="1"/>
      <w:numFmt w:val="lowerRoman"/>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73AB4777"/>
    <w:multiLevelType w:val="hybridMultilevel"/>
    <w:tmpl w:val="E4AACD26"/>
    <w:lvl w:ilvl="0" w:tplc="C862E69C">
      <w:start w:val="1"/>
      <w:numFmt w:val="decimal"/>
      <w:lvlText w:val="(%1)"/>
      <w:lvlJc w:val="left"/>
      <w:pPr>
        <w:tabs>
          <w:tab w:val="num" w:pos="1134"/>
        </w:tabs>
        <w:ind w:left="1134" w:hanging="567"/>
      </w:pPr>
      <w:rPr>
        <w:rFonts w:cs="Times New Roman" w:hint="default"/>
        <w:b w:val="0"/>
        <w:i w:val="0"/>
        <w:sz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75865D06"/>
    <w:multiLevelType w:val="multilevel"/>
    <w:tmpl w:val="C58E5930"/>
    <w:lvl w:ilvl="0">
      <w:start w:val="1"/>
      <w:numFmt w:val="lowerLetter"/>
      <w:lvlText w:val="%1."/>
      <w:lvlJc w:val="left"/>
      <w:pPr>
        <w:tabs>
          <w:tab w:val="num" w:pos="1134"/>
        </w:tabs>
        <w:ind w:left="1134" w:hanging="567"/>
      </w:pPr>
      <w:rPr>
        <w:rFonts w:cs="Times New Roman" w:hint="default"/>
        <w:b w:val="0"/>
        <w:i w:val="0"/>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3" w15:restartNumberingAfterBreak="0">
    <w:nsid w:val="7BC16796"/>
    <w:multiLevelType w:val="hybridMultilevel"/>
    <w:tmpl w:val="718C70FE"/>
    <w:lvl w:ilvl="0" w:tplc="041AA52C">
      <w:start w:val="1"/>
      <w:numFmt w:val="bullet"/>
      <w:lvlText w:val=""/>
      <w:lvlJc w:val="left"/>
      <w:pPr>
        <w:tabs>
          <w:tab w:val="num" w:pos="1134"/>
        </w:tabs>
        <w:ind w:left="1134"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14"/>
  </w:num>
  <w:num w:numId="4">
    <w:abstractNumId w:val="27"/>
  </w:num>
  <w:num w:numId="5">
    <w:abstractNumId w:val="8"/>
  </w:num>
  <w:num w:numId="6">
    <w:abstractNumId w:val="33"/>
  </w:num>
  <w:num w:numId="7">
    <w:abstractNumId w:val="3"/>
  </w:num>
  <w:num w:numId="8">
    <w:abstractNumId w:val="26"/>
  </w:num>
  <w:num w:numId="9">
    <w:abstractNumId w:val="30"/>
  </w:num>
  <w:num w:numId="10">
    <w:abstractNumId w:val="17"/>
  </w:num>
  <w:num w:numId="11">
    <w:abstractNumId w:val="10"/>
  </w:num>
  <w:num w:numId="12">
    <w:abstractNumId w:val="11"/>
  </w:num>
  <w:num w:numId="13">
    <w:abstractNumId w:val="5"/>
  </w:num>
  <w:num w:numId="14">
    <w:abstractNumId w:val="6"/>
  </w:num>
  <w:num w:numId="15">
    <w:abstractNumId w:val="21"/>
  </w:num>
  <w:num w:numId="16">
    <w:abstractNumId w:val="32"/>
  </w:num>
  <w:num w:numId="17">
    <w:abstractNumId w:val="2"/>
  </w:num>
  <w:num w:numId="18">
    <w:abstractNumId w:val="25"/>
  </w:num>
  <w:num w:numId="19">
    <w:abstractNumId w:val="13"/>
  </w:num>
  <w:num w:numId="20">
    <w:abstractNumId w:val="23"/>
  </w:num>
  <w:num w:numId="21">
    <w:abstractNumId w:val="42"/>
  </w:num>
  <w:num w:numId="22">
    <w:abstractNumId w:val="39"/>
  </w:num>
  <w:num w:numId="23">
    <w:abstractNumId w:val="37"/>
  </w:num>
  <w:num w:numId="24">
    <w:abstractNumId w:val="7"/>
  </w:num>
  <w:num w:numId="25">
    <w:abstractNumId w:val="19"/>
  </w:num>
  <w:num w:numId="26">
    <w:abstractNumId w:val="22"/>
  </w:num>
  <w:num w:numId="27">
    <w:abstractNumId w:val="41"/>
  </w:num>
  <w:num w:numId="28">
    <w:abstractNumId w:val="35"/>
  </w:num>
  <w:num w:numId="29">
    <w:abstractNumId w:val="28"/>
  </w:num>
  <w:num w:numId="30">
    <w:abstractNumId w:val="43"/>
  </w:num>
  <w:num w:numId="31">
    <w:abstractNumId w:val="40"/>
  </w:num>
  <w:num w:numId="32">
    <w:abstractNumId w:val="24"/>
  </w:num>
  <w:num w:numId="33">
    <w:abstractNumId w:val="34"/>
  </w:num>
  <w:num w:numId="34">
    <w:abstractNumId w:val="12"/>
  </w:num>
  <w:num w:numId="35">
    <w:abstractNumId w:val="4"/>
  </w:num>
  <w:num w:numId="36">
    <w:abstractNumId w:val="16"/>
  </w:num>
  <w:num w:numId="37">
    <w:abstractNumId w:val="36"/>
  </w:num>
  <w:num w:numId="38">
    <w:abstractNumId w:val="18"/>
  </w:num>
  <w:num w:numId="39">
    <w:abstractNumId w:val="0"/>
  </w:num>
  <w:num w:numId="40">
    <w:abstractNumId w:val="29"/>
  </w:num>
  <w:num w:numId="41">
    <w:abstractNumId w:val="31"/>
  </w:num>
  <w:num w:numId="42">
    <w:abstractNumId w:val="20"/>
  </w:num>
  <w:num w:numId="43">
    <w:abstractNumId w:val="15"/>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EAE"/>
    <w:rsid w:val="00004800"/>
    <w:rsid w:val="000159C0"/>
    <w:rsid w:val="00017118"/>
    <w:rsid w:val="00017412"/>
    <w:rsid w:val="0002341B"/>
    <w:rsid w:val="00025246"/>
    <w:rsid w:val="00035C62"/>
    <w:rsid w:val="0004086D"/>
    <w:rsid w:val="000466F7"/>
    <w:rsid w:val="00046D54"/>
    <w:rsid w:val="00047808"/>
    <w:rsid w:val="000565C2"/>
    <w:rsid w:val="000700FF"/>
    <w:rsid w:val="00073E1E"/>
    <w:rsid w:val="00077701"/>
    <w:rsid w:val="00081285"/>
    <w:rsid w:val="000A3514"/>
    <w:rsid w:val="000A7EEA"/>
    <w:rsid w:val="000B2594"/>
    <w:rsid w:val="000B36F7"/>
    <w:rsid w:val="000B5284"/>
    <w:rsid w:val="000B6C3D"/>
    <w:rsid w:val="000B6DC0"/>
    <w:rsid w:val="000C758F"/>
    <w:rsid w:val="000D31D7"/>
    <w:rsid w:val="000D42CC"/>
    <w:rsid w:val="000D5B29"/>
    <w:rsid w:val="000D7C3B"/>
    <w:rsid w:val="000E3DE5"/>
    <w:rsid w:val="000F1347"/>
    <w:rsid w:val="000F34BD"/>
    <w:rsid w:val="00100D80"/>
    <w:rsid w:val="00102332"/>
    <w:rsid w:val="0010295F"/>
    <w:rsid w:val="00102BF9"/>
    <w:rsid w:val="00104B4D"/>
    <w:rsid w:val="00110BAB"/>
    <w:rsid w:val="00117016"/>
    <w:rsid w:val="001205CA"/>
    <w:rsid w:val="00126862"/>
    <w:rsid w:val="00133E9A"/>
    <w:rsid w:val="001420F9"/>
    <w:rsid w:val="00155601"/>
    <w:rsid w:val="00156934"/>
    <w:rsid w:val="0015751D"/>
    <w:rsid w:val="00160B83"/>
    <w:rsid w:val="00161FEC"/>
    <w:rsid w:val="00163781"/>
    <w:rsid w:val="00164753"/>
    <w:rsid w:val="001716D2"/>
    <w:rsid w:val="001756F7"/>
    <w:rsid w:val="001817B8"/>
    <w:rsid w:val="001822A2"/>
    <w:rsid w:val="00183295"/>
    <w:rsid w:val="00186A0C"/>
    <w:rsid w:val="00187263"/>
    <w:rsid w:val="00187F1D"/>
    <w:rsid w:val="00190575"/>
    <w:rsid w:val="001906B8"/>
    <w:rsid w:val="00194315"/>
    <w:rsid w:val="00194C51"/>
    <w:rsid w:val="00194D49"/>
    <w:rsid w:val="00195897"/>
    <w:rsid w:val="001A396E"/>
    <w:rsid w:val="001A45AA"/>
    <w:rsid w:val="001B7C35"/>
    <w:rsid w:val="001C10D0"/>
    <w:rsid w:val="001C2B68"/>
    <w:rsid w:val="001C2BA0"/>
    <w:rsid w:val="001C314F"/>
    <w:rsid w:val="001C5FC7"/>
    <w:rsid w:val="001C6059"/>
    <w:rsid w:val="001C60D9"/>
    <w:rsid w:val="001C6704"/>
    <w:rsid w:val="001C7E8D"/>
    <w:rsid w:val="001D17D7"/>
    <w:rsid w:val="001E1AB6"/>
    <w:rsid w:val="001E25D8"/>
    <w:rsid w:val="001E2850"/>
    <w:rsid w:val="001E403C"/>
    <w:rsid w:val="001E4AAF"/>
    <w:rsid w:val="001E5126"/>
    <w:rsid w:val="001F0338"/>
    <w:rsid w:val="001F3B55"/>
    <w:rsid w:val="001F3ED5"/>
    <w:rsid w:val="001F46E0"/>
    <w:rsid w:val="001F79AF"/>
    <w:rsid w:val="00202BC6"/>
    <w:rsid w:val="00205E2C"/>
    <w:rsid w:val="002102B2"/>
    <w:rsid w:val="00211FA4"/>
    <w:rsid w:val="00221A1A"/>
    <w:rsid w:val="0023381D"/>
    <w:rsid w:val="0024187B"/>
    <w:rsid w:val="002432CE"/>
    <w:rsid w:val="002506DD"/>
    <w:rsid w:val="002549C7"/>
    <w:rsid w:val="00262E0F"/>
    <w:rsid w:val="0026400B"/>
    <w:rsid w:val="002741D4"/>
    <w:rsid w:val="00276C8C"/>
    <w:rsid w:val="002778B8"/>
    <w:rsid w:val="00286777"/>
    <w:rsid w:val="00287BF6"/>
    <w:rsid w:val="00292A5F"/>
    <w:rsid w:val="00294AAA"/>
    <w:rsid w:val="00296918"/>
    <w:rsid w:val="002A2CBC"/>
    <w:rsid w:val="002B0E05"/>
    <w:rsid w:val="002B4A11"/>
    <w:rsid w:val="002B4E63"/>
    <w:rsid w:val="002B71DE"/>
    <w:rsid w:val="002C14B8"/>
    <w:rsid w:val="002C5BB1"/>
    <w:rsid w:val="002D0691"/>
    <w:rsid w:val="002D270B"/>
    <w:rsid w:val="002D2EC5"/>
    <w:rsid w:val="002D548D"/>
    <w:rsid w:val="002D5653"/>
    <w:rsid w:val="002E32FF"/>
    <w:rsid w:val="002E54EE"/>
    <w:rsid w:val="002E67E8"/>
    <w:rsid w:val="002F60BF"/>
    <w:rsid w:val="002F6A7A"/>
    <w:rsid w:val="002F6BEC"/>
    <w:rsid w:val="003006D2"/>
    <w:rsid w:val="00304792"/>
    <w:rsid w:val="00305348"/>
    <w:rsid w:val="0030727D"/>
    <w:rsid w:val="0031585F"/>
    <w:rsid w:val="00316D7D"/>
    <w:rsid w:val="00320922"/>
    <w:rsid w:val="00321226"/>
    <w:rsid w:val="00322185"/>
    <w:rsid w:val="003239CE"/>
    <w:rsid w:val="00323EF3"/>
    <w:rsid w:val="003261F8"/>
    <w:rsid w:val="003337A7"/>
    <w:rsid w:val="00335404"/>
    <w:rsid w:val="00336F93"/>
    <w:rsid w:val="003413BA"/>
    <w:rsid w:val="00343B3D"/>
    <w:rsid w:val="00344230"/>
    <w:rsid w:val="003443F4"/>
    <w:rsid w:val="00355FCB"/>
    <w:rsid w:val="00357BDF"/>
    <w:rsid w:val="003607BE"/>
    <w:rsid w:val="003612EE"/>
    <w:rsid w:val="003617DB"/>
    <w:rsid w:val="00365B1B"/>
    <w:rsid w:val="00372012"/>
    <w:rsid w:val="003747BB"/>
    <w:rsid w:val="00385194"/>
    <w:rsid w:val="003943A3"/>
    <w:rsid w:val="003A277F"/>
    <w:rsid w:val="003A5329"/>
    <w:rsid w:val="003A682B"/>
    <w:rsid w:val="003B19C8"/>
    <w:rsid w:val="003C09FF"/>
    <w:rsid w:val="003C44FD"/>
    <w:rsid w:val="003D15FC"/>
    <w:rsid w:val="003D4AED"/>
    <w:rsid w:val="003D7E22"/>
    <w:rsid w:val="003E65A9"/>
    <w:rsid w:val="003E7674"/>
    <w:rsid w:val="0040385F"/>
    <w:rsid w:val="0040508F"/>
    <w:rsid w:val="00410A10"/>
    <w:rsid w:val="004139F6"/>
    <w:rsid w:val="00415F71"/>
    <w:rsid w:val="00416247"/>
    <w:rsid w:val="00423328"/>
    <w:rsid w:val="004241C1"/>
    <w:rsid w:val="00424C6E"/>
    <w:rsid w:val="004320A0"/>
    <w:rsid w:val="004355A8"/>
    <w:rsid w:val="0044617D"/>
    <w:rsid w:val="004507B8"/>
    <w:rsid w:val="00452FA7"/>
    <w:rsid w:val="00453EED"/>
    <w:rsid w:val="00457B07"/>
    <w:rsid w:val="00460821"/>
    <w:rsid w:val="00472481"/>
    <w:rsid w:val="00474DE7"/>
    <w:rsid w:val="00494A09"/>
    <w:rsid w:val="0049604F"/>
    <w:rsid w:val="004968CA"/>
    <w:rsid w:val="004A2163"/>
    <w:rsid w:val="004A68C1"/>
    <w:rsid w:val="004B1927"/>
    <w:rsid w:val="004B1C55"/>
    <w:rsid w:val="004B6A19"/>
    <w:rsid w:val="004C6EB4"/>
    <w:rsid w:val="004C7B30"/>
    <w:rsid w:val="004D008F"/>
    <w:rsid w:val="004D05AD"/>
    <w:rsid w:val="004D3FA4"/>
    <w:rsid w:val="004E2286"/>
    <w:rsid w:val="004E6F57"/>
    <w:rsid w:val="004F0C48"/>
    <w:rsid w:val="004F1C47"/>
    <w:rsid w:val="004F37C7"/>
    <w:rsid w:val="0050735E"/>
    <w:rsid w:val="00511D9A"/>
    <w:rsid w:val="0051605F"/>
    <w:rsid w:val="00525CFE"/>
    <w:rsid w:val="00531E94"/>
    <w:rsid w:val="005340E9"/>
    <w:rsid w:val="005363D5"/>
    <w:rsid w:val="0054211C"/>
    <w:rsid w:val="005433B1"/>
    <w:rsid w:val="005532C8"/>
    <w:rsid w:val="005557E1"/>
    <w:rsid w:val="00556A49"/>
    <w:rsid w:val="00564AED"/>
    <w:rsid w:val="005749C9"/>
    <w:rsid w:val="00581A15"/>
    <w:rsid w:val="0058510D"/>
    <w:rsid w:val="00585D8E"/>
    <w:rsid w:val="00585F9F"/>
    <w:rsid w:val="00593EAE"/>
    <w:rsid w:val="0059587C"/>
    <w:rsid w:val="005A30A2"/>
    <w:rsid w:val="005B20C2"/>
    <w:rsid w:val="005B4470"/>
    <w:rsid w:val="005B6004"/>
    <w:rsid w:val="005B60A2"/>
    <w:rsid w:val="005B7598"/>
    <w:rsid w:val="005B7DE4"/>
    <w:rsid w:val="005C5994"/>
    <w:rsid w:val="005D0BF5"/>
    <w:rsid w:val="005D6420"/>
    <w:rsid w:val="005D658E"/>
    <w:rsid w:val="005E085D"/>
    <w:rsid w:val="005F08D3"/>
    <w:rsid w:val="005F417A"/>
    <w:rsid w:val="005F559A"/>
    <w:rsid w:val="006010AC"/>
    <w:rsid w:val="0060458C"/>
    <w:rsid w:val="0060750F"/>
    <w:rsid w:val="0061767A"/>
    <w:rsid w:val="0062307A"/>
    <w:rsid w:val="006375F4"/>
    <w:rsid w:val="00640D66"/>
    <w:rsid w:val="0064333C"/>
    <w:rsid w:val="00643667"/>
    <w:rsid w:val="00645FFE"/>
    <w:rsid w:val="00662241"/>
    <w:rsid w:val="00664DD8"/>
    <w:rsid w:val="00666664"/>
    <w:rsid w:val="00666754"/>
    <w:rsid w:val="00674098"/>
    <w:rsid w:val="00682028"/>
    <w:rsid w:val="00682C00"/>
    <w:rsid w:val="00693CA0"/>
    <w:rsid w:val="006A21C8"/>
    <w:rsid w:val="006A34CC"/>
    <w:rsid w:val="006A4A55"/>
    <w:rsid w:val="006A761E"/>
    <w:rsid w:val="006B0743"/>
    <w:rsid w:val="006B5C44"/>
    <w:rsid w:val="006B65F1"/>
    <w:rsid w:val="006B7FFE"/>
    <w:rsid w:val="006C2D14"/>
    <w:rsid w:val="006C3004"/>
    <w:rsid w:val="006C525C"/>
    <w:rsid w:val="006D444D"/>
    <w:rsid w:val="006E0560"/>
    <w:rsid w:val="00704553"/>
    <w:rsid w:val="0070787D"/>
    <w:rsid w:val="007124E8"/>
    <w:rsid w:val="0072067A"/>
    <w:rsid w:val="00724AE1"/>
    <w:rsid w:val="007262AE"/>
    <w:rsid w:val="0073093E"/>
    <w:rsid w:val="007315A4"/>
    <w:rsid w:val="0074097D"/>
    <w:rsid w:val="00742EA0"/>
    <w:rsid w:val="00744F98"/>
    <w:rsid w:val="00747240"/>
    <w:rsid w:val="00747EBA"/>
    <w:rsid w:val="0075086D"/>
    <w:rsid w:val="0075560F"/>
    <w:rsid w:val="00757187"/>
    <w:rsid w:val="00760B43"/>
    <w:rsid w:val="0076357A"/>
    <w:rsid w:val="00766E92"/>
    <w:rsid w:val="007700E6"/>
    <w:rsid w:val="00771A86"/>
    <w:rsid w:val="007809A4"/>
    <w:rsid w:val="00787A8B"/>
    <w:rsid w:val="007960BA"/>
    <w:rsid w:val="007A10F8"/>
    <w:rsid w:val="007B00D6"/>
    <w:rsid w:val="007B2FDB"/>
    <w:rsid w:val="007B5A59"/>
    <w:rsid w:val="007C0026"/>
    <w:rsid w:val="007C02EE"/>
    <w:rsid w:val="007C0EF4"/>
    <w:rsid w:val="007C4605"/>
    <w:rsid w:val="007C46A7"/>
    <w:rsid w:val="007C5588"/>
    <w:rsid w:val="007C5D03"/>
    <w:rsid w:val="007D1493"/>
    <w:rsid w:val="007D4C37"/>
    <w:rsid w:val="007D52D9"/>
    <w:rsid w:val="007E4567"/>
    <w:rsid w:val="007E50A7"/>
    <w:rsid w:val="007F6DD9"/>
    <w:rsid w:val="008044F6"/>
    <w:rsid w:val="00805F50"/>
    <w:rsid w:val="00806902"/>
    <w:rsid w:val="00813383"/>
    <w:rsid w:val="00815318"/>
    <w:rsid w:val="0081646F"/>
    <w:rsid w:val="008165BE"/>
    <w:rsid w:val="0082340D"/>
    <w:rsid w:val="00825B3C"/>
    <w:rsid w:val="00831DDD"/>
    <w:rsid w:val="008321AA"/>
    <w:rsid w:val="00835836"/>
    <w:rsid w:val="008409D3"/>
    <w:rsid w:val="008429E1"/>
    <w:rsid w:val="00842BF2"/>
    <w:rsid w:val="00844D50"/>
    <w:rsid w:val="00850489"/>
    <w:rsid w:val="00852597"/>
    <w:rsid w:val="00853D4F"/>
    <w:rsid w:val="00853F20"/>
    <w:rsid w:val="008548F6"/>
    <w:rsid w:val="00855D90"/>
    <w:rsid w:val="0086068D"/>
    <w:rsid w:val="00862D1C"/>
    <w:rsid w:val="00866F30"/>
    <w:rsid w:val="008715F0"/>
    <w:rsid w:val="00872944"/>
    <w:rsid w:val="00875D75"/>
    <w:rsid w:val="008768B0"/>
    <w:rsid w:val="00877C65"/>
    <w:rsid w:val="008824F1"/>
    <w:rsid w:val="00883915"/>
    <w:rsid w:val="008855FB"/>
    <w:rsid w:val="00892E6A"/>
    <w:rsid w:val="008946AB"/>
    <w:rsid w:val="008A240E"/>
    <w:rsid w:val="008A4540"/>
    <w:rsid w:val="008A49C2"/>
    <w:rsid w:val="008A55CF"/>
    <w:rsid w:val="008A6EA3"/>
    <w:rsid w:val="008A7A3C"/>
    <w:rsid w:val="008A7DBC"/>
    <w:rsid w:val="008B1423"/>
    <w:rsid w:val="008B55E7"/>
    <w:rsid w:val="008C3ACA"/>
    <w:rsid w:val="008D4064"/>
    <w:rsid w:val="008D58BB"/>
    <w:rsid w:val="008D5D2E"/>
    <w:rsid w:val="008F1322"/>
    <w:rsid w:val="008F1444"/>
    <w:rsid w:val="008F28EC"/>
    <w:rsid w:val="008F7174"/>
    <w:rsid w:val="009056A0"/>
    <w:rsid w:val="00914602"/>
    <w:rsid w:val="009226C3"/>
    <w:rsid w:val="009235D8"/>
    <w:rsid w:val="009272E3"/>
    <w:rsid w:val="00935E0F"/>
    <w:rsid w:val="009365D0"/>
    <w:rsid w:val="00943203"/>
    <w:rsid w:val="009449A2"/>
    <w:rsid w:val="0094767B"/>
    <w:rsid w:val="00956AA9"/>
    <w:rsid w:val="009663AE"/>
    <w:rsid w:val="00972002"/>
    <w:rsid w:val="0097499D"/>
    <w:rsid w:val="00976B99"/>
    <w:rsid w:val="00985BB7"/>
    <w:rsid w:val="009862B4"/>
    <w:rsid w:val="009864F0"/>
    <w:rsid w:val="00995097"/>
    <w:rsid w:val="009A5B02"/>
    <w:rsid w:val="009A6AE6"/>
    <w:rsid w:val="009B3252"/>
    <w:rsid w:val="009B567B"/>
    <w:rsid w:val="009B6373"/>
    <w:rsid w:val="009B6775"/>
    <w:rsid w:val="009C7582"/>
    <w:rsid w:val="009C78C7"/>
    <w:rsid w:val="009D3C0A"/>
    <w:rsid w:val="009D6087"/>
    <w:rsid w:val="009E648C"/>
    <w:rsid w:val="009F21D1"/>
    <w:rsid w:val="009F5183"/>
    <w:rsid w:val="00A02515"/>
    <w:rsid w:val="00A04DD2"/>
    <w:rsid w:val="00A04FF1"/>
    <w:rsid w:val="00A104D4"/>
    <w:rsid w:val="00A10CAE"/>
    <w:rsid w:val="00A11C4B"/>
    <w:rsid w:val="00A17AC1"/>
    <w:rsid w:val="00A259C3"/>
    <w:rsid w:val="00A27F9F"/>
    <w:rsid w:val="00A30CCC"/>
    <w:rsid w:val="00A34474"/>
    <w:rsid w:val="00A357AC"/>
    <w:rsid w:val="00A36B67"/>
    <w:rsid w:val="00A4182D"/>
    <w:rsid w:val="00A47412"/>
    <w:rsid w:val="00A5568E"/>
    <w:rsid w:val="00A6134A"/>
    <w:rsid w:val="00A6342E"/>
    <w:rsid w:val="00A67116"/>
    <w:rsid w:val="00A7054B"/>
    <w:rsid w:val="00A7138C"/>
    <w:rsid w:val="00A7669F"/>
    <w:rsid w:val="00A76D89"/>
    <w:rsid w:val="00A77E77"/>
    <w:rsid w:val="00A821A1"/>
    <w:rsid w:val="00A83836"/>
    <w:rsid w:val="00A8486B"/>
    <w:rsid w:val="00A8498E"/>
    <w:rsid w:val="00A9363D"/>
    <w:rsid w:val="00A94EB4"/>
    <w:rsid w:val="00AA777D"/>
    <w:rsid w:val="00AB7271"/>
    <w:rsid w:val="00AD591A"/>
    <w:rsid w:val="00AD5B13"/>
    <w:rsid w:val="00AD6F4E"/>
    <w:rsid w:val="00AE05BC"/>
    <w:rsid w:val="00AE79E7"/>
    <w:rsid w:val="00AF14C8"/>
    <w:rsid w:val="00AF2343"/>
    <w:rsid w:val="00AF248B"/>
    <w:rsid w:val="00AF36F0"/>
    <w:rsid w:val="00AF63FC"/>
    <w:rsid w:val="00AF788C"/>
    <w:rsid w:val="00B03466"/>
    <w:rsid w:val="00B05269"/>
    <w:rsid w:val="00B06736"/>
    <w:rsid w:val="00B07357"/>
    <w:rsid w:val="00B13EF7"/>
    <w:rsid w:val="00B2043A"/>
    <w:rsid w:val="00B23BC1"/>
    <w:rsid w:val="00B2419B"/>
    <w:rsid w:val="00B263E9"/>
    <w:rsid w:val="00B26B23"/>
    <w:rsid w:val="00B33724"/>
    <w:rsid w:val="00B418DE"/>
    <w:rsid w:val="00B42D03"/>
    <w:rsid w:val="00B44BB2"/>
    <w:rsid w:val="00B50314"/>
    <w:rsid w:val="00B51EFC"/>
    <w:rsid w:val="00B53116"/>
    <w:rsid w:val="00B564A0"/>
    <w:rsid w:val="00B5732C"/>
    <w:rsid w:val="00B57C98"/>
    <w:rsid w:val="00B6494C"/>
    <w:rsid w:val="00B75788"/>
    <w:rsid w:val="00B813B4"/>
    <w:rsid w:val="00B82A12"/>
    <w:rsid w:val="00B8548F"/>
    <w:rsid w:val="00B901DE"/>
    <w:rsid w:val="00B9553F"/>
    <w:rsid w:val="00B957EE"/>
    <w:rsid w:val="00BA37E1"/>
    <w:rsid w:val="00BA6577"/>
    <w:rsid w:val="00BA7A08"/>
    <w:rsid w:val="00BB151F"/>
    <w:rsid w:val="00BB170B"/>
    <w:rsid w:val="00BB389F"/>
    <w:rsid w:val="00BB5679"/>
    <w:rsid w:val="00BB6236"/>
    <w:rsid w:val="00BB74FA"/>
    <w:rsid w:val="00BC5CF3"/>
    <w:rsid w:val="00BC75FD"/>
    <w:rsid w:val="00BE7B3B"/>
    <w:rsid w:val="00BF2F6E"/>
    <w:rsid w:val="00BF35AC"/>
    <w:rsid w:val="00BF734A"/>
    <w:rsid w:val="00C015CC"/>
    <w:rsid w:val="00C05B77"/>
    <w:rsid w:val="00C065CF"/>
    <w:rsid w:val="00C07DBC"/>
    <w:rsid w:val="00C17F6E"/>
    <w:rsid w:val="00C22817"/>
    <w:rsid w:val="00C278C6"/>
    <w:rsid w:val="00C30EAF"/>
    <w:rsid w:val="00C322B0"/>
    <w:rsid w:val="00C32C9F"/>
    <w:rsid w:val="00C33E08"/>
    <w:rsid w:val="00C3771D"/>
    <w:rsid w:val="00C4087A"/>
    <w:rsid w:val="00C44221"/>
    <w:rsid w:val="00C461A3"/>
    <w:rsid w:val="00C541FE"/>
    <w:rsid w:val="00C563E0"/>
    <w:rsid w:val="00C56422"/>
    <w:rsid w:val="00C57E72"/>
    <w:rsid w:val="00C6392B"/>
    <w:rsid w:val="00C73C76"/>
    <w:rsid w:val="00C7463E"/>
    <w:rsid w:val="00C7548E"/>
    <w:rsid w:val="00C76E85"/>
    <w:rsid w:val="00C77E4E"/>
    <w:rsid w:val="00C81519"/>
    <w:rsid w:val="00C81896"/>
    <w:rsid w:val="00C8257F"/>
    <w:rsid w:val="00CA07D8"/>
    <w:rsid w:val="00CA1C91"/>
    <w:rsid w:val="00CA3868"/>
    <w:rsid w:val="00CA3EAD"/>
    <w:rsid w:val="00CA75CF"/>
    <w:rsid w:val="00CB2FE6"/>
    <w:rsid w:val="00CC2668"/>
    <w:rsid w:val="00CC2E82"/>
    <w:rsid w:val="00CC7F46"/>
    <w:rsid w:val="00CD149C"/>
    <w:rsid w:val="00CE2539"/>
    <w:rsid w:val="00CE383F"/>
    <w:rsid w:val="00D0224D"/>
    <w:rsid w:val="00D02602"/>
    <w:rsid w:val="00D026F1"/>
    <w:rsid w:val="00D07A18"/>
    <w:rsid w:val="00D1185E"/>
    <w:rsid w:val="00D219EB"/>
    <w:rsid w:val="00D21C76"/>
    <w:rsid w:val="00D23F70"/>
    <w:rsid w:val="00D24ACC"/>
    <w:rsid w:val="00D24FAA"/>
    <w:rsid w:val="00D34E55"/>
    <w:rsid w:val="00D36169"/>
    <w:rsid w:val="00D45A5E"/>
    <w:rsid w:val="00D478DC"/>
    <w:rsid w:val="00D62C8C"/>
    <w:rsid w:val="00D66DE8"/>
    <w:rsid w:val="00D7425D"/>
    <w:rsid w:val="00D90224"/>
    <w:rsid w:val="00DA2D18"/>
    <w:rsid w:val="00DA7E1A"/>
    <w:rsid w:val="00DB46FA"/>
    <w:rsid w:val="00DB4DD0"/>
    <w:rsid w:val="00DB59A6"/>
    <w:rsid w:val="00DC04E0"/>
    <w:rsid w:val="00DC3C44"/>
    <w:rsid w:val="00DC3D00"/>
    <w:rsid w:val="00DD1C4A"/>
    <w:rsid w:val="00DE37CF"/>
    <w:rsid w:val="00DE5455"/>
    <w:rsid w:val="00DE741C"/>
    <w:rsid w:val="00DF719A"/>
    <w:rsid w:val="00E11C31"/>
    <w:rsid w:val="00E16FAE"/>
    <w:rsid w:val="00E201B7"/>
    <w:rsid w:val="00E213E6"/>
    <w:rsid w:val="00E24490"/>
    <w:rsid w:val="00E249E4"/>
    <w:rsid w:val="00E324F3"/>
    <w:rsid w:val="00E352D4"/>
    <w:rsid w:val="00E3771E"/>
    <w:rsid w:val="00E41682"/>
    <w:rsid w:val="00E45620"/>
    <w:rsid w:val="00E506D3"/>
    <w:rsid w:val="00E5086D"/>
    <w:rsid w:val="00E510A8"/>
    <w:rsid w:val="00E64611"/>
    <w:rsid w:val="00E66CB8"/>
    <w:rsid w:val="00E72F9F"/>
    <w:rsid w:val="00E93107"/>
    <w:rsid w:val="00E95B2E"/>
    <w:rsid w:val="00E95DF2"/>
    <w:rsid w:val="00EA43F9"/>
    <w:rsid w:val="00EB678D"/>
    <w:rsid w:val="00EC53B6"/>
    <w:rsid w:val="00ED2467"/>
    <w:rsid w:val="00ED3455"/>
    <w:rsid w:val="00ED39B9"/>
    <w:rsid w:val="00ED529D"/>
    <w:rsid w:val="00ED64E8"/>
    <w:rsid w:val="00EE06A5"/>
    <w:rsid w:val="00EE1627"/>
    <w:rsid w:val="00EF66EA"/>
    <w:rsid w:val="00F0018A"/>
    <w:rsid w:val="00F023C0"/>
    <w:rsid w:val="00F1621D"/>
    <w:rsid w:val="00F218DC"/>
    <w:rsid w:val="00F22B08"/>
    <w:rsid w:val="00F32444"/>
    <w:rsid w:val="00F336E7"/>
    <w:rsid w:val="00F43436"/>
    <w:rsid w:val="00F5157E"/>
    <w:rsid w:val="00F51FDE"/>
    <w:rsid w:val="00F526DD"/>
    <w:rsid w:val="00F53CEC"/>
    <w:rsid w:val="00F63318"/>
    <w:rsid w:val="00F67EF1"/>
    <w:rsid w:val="00F814F6"/>
    <w:rsid w:val="00F8510B"/>
    <w:rsid w:val="00F91D92"/>
    <w:rsid w:val="00F93ACC"/>
    <w:rsid w:val="00F93BAB"/>
    <w:rsid w:val="00F951AB"/>
    <w:rsid w:val="00F95912"/>
    <w:rsid w:val="00F9738F"/>
    <w:rsid w:val="00FA00E1"/>
    <w:rsid w:val="00FA3F8D"/>
    <w:rsid w:val="00FA576E"/>
    <w:rsid w:val="00FA5DB0"/>
    <w:rsid w:val="00FB18C8"/>
    <w:rsid w:val="00FC0E78"/>
    <w:rsid w:val="00FD08EE"/>
    <w:rsid w:val="00FD2953"/>
    <w:rsid w:val="00FD4E97"/>
    <w:rsid w:val="00FD4FBB"/>
    <w:rsid w:val="00FD5116"/>
    <w:rsid w:val="00FD7CA2"/>
    <w:rsid w:val="00FD7FF9"/>
    <w:rsid w:val="00FE22B3"/>
    <w:rsid w:val="00FE41CE"/>
    <w:rsid w:val="00FE54C0"/>
    <w:rsid w:val="00FE75B5"/>
    <w:rsid w:val="00FE7A41"/>
    <w:rsid w:val="00FF4D2A"/>
    <w:rsid w:val="00FF5B90"/>
    <w:rsid w:val="00FF67D8"/>
    <w:rsid w:val="00FF71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B2677D"/>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05CA"/>
    <w:rPr>
      <w:sz w:val="24"/>
      <w:szCs w:val="24"/>
    </w:rPr>
  </w:style>
  <w:style w:type="paragraph" w:styleId="Heading3">
    <w:name w:val="heading 3"/>
    <w:basedOn w:val="Normal"/>
    <w:next w:val="Normal"/>
    <w:link w:val="Heading3Char"/>
    <w:uiPriority w:val="9"/>
    <w:qFormat/>
    <w:rsid w:val="006A761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977BE2"/>
    <w:rPr>
      <w:rFonts w:ascii="Calibri Light" w:eastAsia="Times New Roman" w:hAnsi="Calibri Light" w:cs="Times New Roman"/>
      <w:b/>
      <w:bCs/>
      <w:sz w:val="26"/>
      <w:szCs w:val="26"/>
    </w:rPr>
  </w:style>
  <w:style w:type="paragraph" w:customStyle="1" w:styleId="Harp">
    <w:name w:val="Harp"/>
    <w:pPr>
      <w:jc w:val="center"/>
    </w:pPr>
    <w:rPr>
      <w:rFonts w:ascii="Verdana" w:hAnsi="Verdana"/>
      <w:sz w:val="18"/>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977BE2"/>
    <w:rPr>
      <w:sz w:val="24"/>
      <w:szCs w:val="24"/>
    </w:rPr>
  </w:style>
  <w:style w:type="character" w:styleId="PageNumber">
    <w:name w:val="page number"/>
    <w:uiPriority w:val="99"/>
    <w:rPr>
      <w:rFonts w:cs="Times New Roman"/>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977BE2"/>
    <w:rPr>
      <w:sz w:val="24"/>
      <w:szCs w:val="24"/>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sid w:val="00977BE2"/>
    <w:rPr>
      <w:rFonts w:ascii="Segoe UI" w:hAnsi="Segoe UI" w:cs="Segoe UI"/>
      <w:sz w:val="18"/>
      <w:szCs w:val="18"/>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rsid w:val="00977BE2"/>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rsid w:val="00977BE2"/>
    <w:rPr>
      <w:b/>
      <w:bCs/>
    </w:rPr>
  </w:style>
  <w:style w:type="paragraph" w:styleId="ListParagraph">
    <w:name w:val="List Paragraph"/>
    <w:basedOn w:val="Normal"/>
    <w:uiPriority w:val="34"/>
    <w:qFormat/>
    <w:rsid w:val="00DB4DD0"/>
    <w:pPr>
      <w:spacing w:line="360" w:lineRule="auto"/>
      <w:ind w:left="720"/>
      <w:contextualSpacing/>
      <w:jc w:val="both"/>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842109">
      <w:marLeft w:val="0"/>
      <w:marRight w:val="0"/>
      <w:marTop w:val="0"/>
      <w:marBottom w:val="0"/>
      <w:divBdr>
        <w:top w:val="none" w:sz="0" w:space="0" w:color="auto"/>
        <w:left w:val="none" w:sz="0" w:space="0" w:color="auto"/>
        <w:bottom w:val="none" w:sz="0" w:space="0" w:color="auto"/>
        <w:right w:val="none" w:sz="0" w:space="0" w:color="auto"/>
      </w:divBdr>
    </w:div>
    <w:div w:id="1409842110">
      <w:marLeft w:val="0"/>
      <w:marRight w:val="0"/>
      <w:marTop w:val="0"/>
      <w:marBottom w:val="0"/>
      <w:divBdr>
        <w:top w:val="none" w:sz="0" w:space="0" w:color="auto"/>
        <w:left w:val="none" w:sz="0" w:space="0" w:color="auto"/>
        <w:bottom w:val="none" w:sz="0" w:space="0" w:color="auto"/>
        <w:right w:val="none" w:sz="0" w:space="0" w:color="auto"/>
      </w:divBdr>
    </w:div>
    <w:div w:id="193065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87F34-3191-4D00-9233-6E010A1FA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8497</Words>
  <Characters>48433</Characters>
  <Application>Microsoft Office Word</Application>
  <DocSecurity>0</DocSecurity>
  <Lines>403</Lines>
  <Paragraphs>113</Paragraphs>
  <ScaleCrop>false</ScaleCrop>
  <Company/>
  <LinksUpToDate>false</LinksUpToDate>
  <CharactersWithSpaces>56817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2022-03-14T12:56:00Z</dcterms:created>
  <dcterms:modified xsi:type="dcterms:W3CDTF">2022-03-14T12:57:00Z</dcterms:modified>
</cp:coreProperties>
</file>