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710" w:rsidRPr="00F56710" w:rsidRDefault="00F56710" w:rsidP="00F56710">
      <w:pPr>
        <w:rPr>
          <w:rFonts w:ascii="Times New Roman" w:hAnsi="Times New Roman" w:cs="Times New Roman"/>
          <w:b/>
          <w:bCs/>
          <w:sz w:val="28"/>
          <w:szCs w:val="28"/>
          <w:u w:val="single"/>
        </w:rPr>
      </w:pPr>
      <w:bookmarkStart w:id="0" w:name="_GoBack"/>
      <w:bookmarkEnd w:id="0"/>
      <w:r w:rsidRPr="00A068D7">
        <w:rPr>
          <w:rFonts w:ascii="Times New Roman" w:hAnsi="Times New Roman" w:cs="Times New Roman"/>
          <w:b/>
          <w:bCs/>
          <w:sz w:val="28"/>
          <w:szCs w:val="28"/>
          <w:u w:val="single"/>
        </w:rPr>
        <w:t>UNAPPROVED</w:t>
      </w:r>
      <w:r w:rsidRPr="00A068D7">
        <w:rPr>
          <w:rFonts w:ascii="Times New Roman" w:hAnsi="Times New Roman" w:cs="Times New Roman"/>
          <w:b/>
          <w:bCs/>
          <w:sz w:val="28"/>
          <w:szCs w:val="28"/>
        </w:rPr>
        <w:tab/>
      </w:r>
      <w:r w:rsidRPr="00A068D7">
        <w:rPr>
          <w:rFonts w:ascii="Times New Roman" w:hAnsi="Times New Roman" w:cs="Times New Roman"/>
          <w:b/>
          <w:bCs/>
          <w:sz w:val="28"/>
          <w:szCs w:val="28"/>
        </w:rPr>
        <w:tab/>
      </w:r>
      <w:r w:rsidRPr="00A068D7">
        <w:rPr>
          <w:rFonts w:ascii="Times New Roman" w:hAnsi="Times New Roman" w:cs="Times New Roman"/>
          <w:b/>
          <w:bCs/>
          <w:sz w:val="28"/>
          <w:szCs w:val="28"/>
        </w:rPr>
        <w:tab/>
      </w:r>
      <w:r w:rsidRPr="00A068D7">
        <w:rPr>
          <w:rFonts w:ascii="Times New Roman" w:hAnsi="Times New Roman" w:cs="Times New Roman"/>
          <w:b/>
          <w:bCs/>
          <w:sz w:val="28"/>
          <w:szCs w:val="28"/>
        </w:rPr>
        <w:tab/>
      </w:r>
      <w:r>
        <w:rPr>
          <w:rFonts w:ascii="Times New Roman" w:hAnsi="Times New Roman" w:cs="Times New Roman"/>
          <w:b/>
          <w:bCs/>
          <w:sz w:val="28"/>
          <w:szCs w:val="28"/>
        </w:rPr>
        <w:t xml:space="preserve">          </w:t>
      </w:r>
      <w:r w:rsidRPr="00A068D7">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ascii="Times New Roman" w:hAnsi="Times New Roman" w:cs="Times New Roman"/>
          <w:b/>
          <w:bCs/>
          <w:sz w:val="28"/>
          <w:szCs w:val="28"/>
          <w:u w:val="single"/>
        </w:rPr>
        <w:t>NO REDACTION NEEDED</w:t>
      </w:r>
    </w:p>
    <w:p w:rsidR="00AC0FC6" w:rsidRDefault="00631AA5" w:rsidP="0053582C">
      <w:pPr>
        <w:jc w:val="center"/>
      </w:pPr>
      <w:r w:rsidRPr="00187860">
        <w:rPr>
          <w:rFonts w:ascii="Arial" w:eastAsia="Times New Roman" w:hAnsi="Arial" w:cs="Arial"/>
          <w:noProof/>
          <w:color w:val="000000"/>
          <w:sz w:val="27"/>
          <w:szCs w:val="27"/>
          <w:lang w:eastAsia="en-IE"/>
        </w:rPr>
        <w:drawing>
          <wp:inline distT="0" distB="0" distL="0" distR="0" wp14:anchorId="0FCFEC37" wp14:editId="36A5B6D3">
            <wp:extent cx="390525" cy="600075"/>
            <wp:effectExtent l="0" t="0" r="9525" b="9525"/>
            <wp:docPr id="1"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B47819" w:rsidRPr="0053582C" w:rsidRDefault="00631AA5" w:rsidP="00F9246A">
      <w:pPr>
        <w:jc w:val="center"/>
        <w:rPr>
          <w:rFonts w:ascii="Times New Roman" w:hAnsi="Times New Roman" w:cs="Times New Roman"/>
          <w:b/>
          <w:sz w:val="28"/>
          <w:szCs w:val="28"/>
        </w:rPr>
      </w:pPr>
      <w:r w:rsidRPr="0053582C">
        <w:rPr>
          <w:rFonts w:ascii="Times New Roman" w:hAnsi="Times New Roman" w:cs="Times New Roman"/>
          <w:b/>
          <w:sz w:val="28"/>
          <w:szCs w:val="28"/>
        </w:rPr>
        <w:t>THE COURT OF APPEAL</w:t>
      </w:r>
    </w:p>
    <w:p w:rsidR="00631AA5" w:rsidRPr="0053582C" w:rsidRDefault="00C0367B" w:rsidP="0053582C">
      <w:pPr>
        <w:jc w:val="right"/>
        <w:rPr>
          <w:rFonts w:ascii="Times New Roman" w:hAnsi="Times New Roman" w:cs="Times New Roman"/>
          <w:b/>
          <w:sz w:val="24"/>
          <w:szCs w:val="24"/>
        </w:rPr>
      </w:pPr>
      <w:r>
        <w:rPr>
          <w:rFonts w:ascii="Times New Roman" w:hAnsi="Times New Roman" w:cs="Times New Roman"/>
          <w:b/>
          <w:sz w:val="24"/>
          <w:szCs w:val="24"/>
        </w:rPr>
        <w:t>[</w:t>
      </w:r>
      <w:r w:rsidR="00AD0C45">
        <w:rPr>
          <w:rFonts w:ascii="Times New Roman" w:hAnsi="Times New Roman" w:cs="Times New Roman"/>
          <w:b/>
          <w:sz w:val="24"/>
          <w:szCs w:val="24"/>
        </w:rPr>
        <w:t>97/21</w:t>
      </w:r>
      <w:r w:rsidR="00631AA5" w:rsidRPr="0053582C">
        <w:rPr>
          <w:rFonts w:ascii="Times New Roman" w:hAnsi="Times New Roman" w:cs="Times New Roman"/>
          <w:b/>
          <w:sz w:val="24"/>
          <w:szCs w:val="24"/>
        </w:rPr>
        <w:t>]</w:t>
      </w:r>
    </w:p>
    <w:p w:rsidR="00631AA5" w:rsidRPr="0053582C" w:rsidRDefault="00631AA5" w:rsidP="00792A01">
      <w:pPr>
        <w:spacing w:after="0" w:line="360" w:lineRule="auto"/>
        <w:rPr>
          <w:rFonts w:ascii="Times New Roman" w:hAnsi="Times New Roman" w:cs="Times New Roman"/>
          <w:b/>
          <w:sz w:val="24"/>
          <w:szCs w:val="24"/>
        </w:rPr>
      </w:pPr>
      <w:r w:rsidRPr="0053582C">
        <w:rPr>
          <w:rFonts w:ascii="Times New Roman" w:hAnsi="Times New Roman" w:cs="Times New Roman"/>
          <w:b/>
          <w:sz w:val="24"/>
          <w:szCs w:val="24"/>
        </w:rPr>
        <w:t>The President</w:t>
      </w:r>
    </w:p>
    <w:p w:rsidR="00604DEC" w:rsidRDefault="00AD0C45"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Edwards</w:t>
      </w:r>
      <w:r w:rsidR="006F2750">
        <w:rPr>
          <w:rFonts w:ascii="Times New Roman" w:hAnsi="Times New Roman" w:cs="Times New Roman"/>
          <w:b/>
          <w:sz w:val="24"/>
          <w:szCs w:val="24"/>
        </w:rPr>
        <w:t xml:space="preserve"> </w:t>
      </w:r>
      <w:r w:rsidR="00604DEC">
        <w:rPr>
          <w:rFonts w:ascii="Times New Roman" w:hAnsi="Times New Roman" w:cs="Times New Roman"/>
          <w:b/>
          <w:sz w:val="24"/>
          <w:szCs w:val="24"/>
        </w:rPr>
        <w:t>J</w:t>
      </w:r>
      <w:r w:rsidR="00F56710">
        <w:rPr>
          <w:rFonts w:ascii="Times New Roman" w:hAnsi="Times New Roman" w:cs="Times New Roman"/>
          <w:b/>
          <w:sz w:val="24"/>
          <w:szCs w:val="24"/>
        </w:rPr>
        <w:t>.</w:t>
      </w:r>
    </w:p>
    <w:p w:rsidR="00F9246A" w:rsidRPr="0053582C" w:rsidRDefault="00AD0C45" w:rsidP="00792A01">
      <w:pPr>
        <w:spacing w:after="0" w:line="360" w:lineRule="auto"/>
        <w:rPr>
          <w:rFonts w:ascii="Times New Roman" w:hAnsi="Times New Roman" w:cs="Times New Roman"/>
          <w:b/>
          <w:sz w:val="24"/>
          <w:szCs w:val="24"/>
        </w:rPr>
      </w:pPr>
      <w:r>
        <w:rPr>
          <w:rFonts w:ascii="Times New Roman" w:hAnsi="Times New Roman" w:cs="Times New Roman"/>
          <w:b/>
          <w:sz w:val="24"/>
          <w:szCs w:val="24"/>
        </w:rPr>
        <w:t>McCarthy</w:t>
      </w:r>
      <w:r w:rsidR="00F9246A">
        <w:rPr>
          <w:rFonts w:ascii="Times New Roman" w:hAnsi="Times New Roman" w:cs="Times New Roman"/>
          <w:b/>
          <w:sz w:val="24"/>
          <w:szCs w:val="24"/>
        </w:rPr>
        <w:t xml:space="preserve"> J</w:t>
      </w:r>
      <w:r w:rsidR="00F56710">
        <w:rPr>
          <w:rFonts w:ascii="Times New Roman" w:hAnsi="Times New Roman" w:cs="Times New Roman"/>
          <w:b/>
          <w:sz w:val="24"/>
          <w:szCs w:val="24"/>
        </w:rPr>
        <w:t>.</w:t>
      </w:r>
    </w:p>
    <w:p w:rsidR="0053582C" w:rsidRDefault="0053582C">
      <w:pPr>
        <w:rPr>
          <w:rFonts w:ascii="Times New Roman" w:hAnsi="Times New Roman" w:cs="Times New Roman"/>
          <w:b/>
          <w:sz w:val="24"/>
          <w:szCs w:val="24"/>
        </w:rPr>
      </w:pPr>
    </w:p>
    <w:p w:rsidR="00631AA5" w:rsidRPr="0053582C" w:rsidRDefault="00631AA5">
      <w:pPr>
        <w:rPr>
          <w:rFonts w:ascii="Times New Roman" w:hAnsi="Times New Roman" w:cs="Times New Roman"/>
          <w:b/>
          <w:sz w:val="24"/>
          <w:szCs w:val="24"/>
        </w:rPr>
      </w:pPr>
      <w:r w:rsidRPr="0053582C">
        <w:rPr>
          <w:rFonts w:ascii="Times New Roman" w:hAnsi="Times New Roman" w:cs="Times New Roman"/>
          <w:b/>
          <w:sz w:val="24"/>
          <w:szCs w:val="24"/>
        </w:rPr>
        <w:t>BETWEEN</w:t>
      </w:r>
    </w:p>
    <w:p w:rsidR="00631AA5" w:rsidRPr="0053582C"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THE PEOPLE AT THE SUIT OF THE DIRECTOR OF PUBLIC PROSECUTIONS</w:t>
      </w:r>
    </w:p>
    <w:p w:rsidR="00631AA5" w:rsidRPr="0053582C" w:rsidRDefault="00B47819" w:rsidP="0053582C">
      <w:pPr>
        <w:jc w:val="right"/>
        <w:rPr>
          <w:rFonts w:ascii="Times New Roman" w:hAnsi="Times New Roman" w:cs="Times New Roman"/>
          <w:b/>
          <w:sz w:val="24"/>
          <w:szCs w:val="24"/>
        </w:rPr>
      </w:pPr>
      <w:r>
        <w:rPr>
          <w:rFonts w:ascii="Times New Roman" w:hAnsi="Times New Roman" w:cs="Times New Roman"/>
          <w:b/>
          <w:sz w:val="24"/>
          <w:szCs w:val="24"/>
        </w:rPr>
        <w:t>RESPONDENT</w:t>
      </w:r>
    </w:p>
    <w:p w:rsidR="00631AA5" w:rsidRDefault="00631AA5" w:rsidP="0053582C">
      <w:pPr>
        <w:jc w:val="center"/>
        <w:rPr>
          <w:rFonts w:ascii="Times New Roman" w:hAnsi="Times New Roman" w:cs="Times New Roman"/>
          <w:b/>
          <w:sz w:val="24"/>
          <w:szCs w:val="24"/>
        </w:rPr>
      </w:pPr>
      <w:r w:rsidRPr="0053582C">
        <w:rPr>
          <w:rFonts w:ascii="Times New Roman" w:hAnsi="Times New Roman" w:cs="Times New Roman"/>
          <w:b/>
          <w:sz w:val="24"/>
          <w:szCs w:val="24"/>
        </w:rPr>
        <w:t>AND</w:t>
      </w:r>
    </w:p>
    <w:p w:rsidR="00631AA5" w:rsidRPr="0053582C" w:rsidRDefault="00AD0C45" w:rsidP="005A3A4B">
      <w:pPr>
        <w:jc w:val="center"/>
        <w:rPr>
          <w:rFonts w:ascii="Times New Roman" w:hAnsi="Times New Roman" w:cs="Times New Roman"/>
          <w:b/>
          <w:sz w:val="24"/>
          <w:szCs w:val="24"/>
        </w:rPr>
      </w:pPr>
      <w:r>
        <w:rPr>
          <w:rFonts w:ascii="Times New Roman" w:hAnsi="Times New Roman" w:cs="Times New Roman"/>
          <w:b/>
          <w:sz w:val="24"/>
          <w:szCs w:val="24"/>
        </w:rPr>
        <w:t>DANIEL MUNTEANU</w:t>
      </w:r>
    </w:p>
    <w:p w:rsidR="00AD0C45" w:rsidRDefault="00F9246A" w:rsidP="00AD0C45">
      <w:pPr>
        <w:jc w:val="right"/>
        <w:rPr>
          <w:rFonts w:ascii="Times New Roman" w:hAnsi="Times New Roman" w:cs="Times New Roman"/>
          <w:b/>
          <w:sz w:val="24"/>
          <w:szCs w:val="24"/>
        </w:rPr>
      </w:pPr>
      <w:r>
        <w:rPr>
          <w:rFonts w:ascii="Times New Roman" w:hAnsi="Times New Roman" w:cs="Times New Roman"/>
          <w:b/>
          <w:sz w:val="24"/>
          <w:szCs w:val="24"/>
        </w:rPr>
        <w:t>APPELLANT</w:t>
      </w:r>
    </w:p>
    <w:p w:rsidR="00631AA5" w:rsidRPr="002A7F89" w:rsidRDefault="00344E37" w:rsidP="00AD0C45">
      <w:pPr>
        <w:rPr>
          <w:rFonts w:ascii="Times New Roman" w:hAnsi="Times New Roman" w:cs="Times New Roman"/>
          <w:sz w:val="24"/>
          <w:szCs w:val="24"/>
        </w:rPr>
      </w:pPr>
      <w:r>
        <w:rPr>
          <w:rFonts w:ascii="Times New Roman" w:hAnsi="Times New Roman" w:cs="Times New Roman"/>
          <w:b/>
          <w:sz w:val="24"/>
          <w:szCs w:val="24"/>
          <w:u w:val="single"/>
        </w:rPr>
        <w:t>JUDGMENT</w:t>
      </w:r>
      <w:r w:rsidR="006D4CAF">
        <w:rPr>
          <w:rFonts w:ascii="Times New Roman" w:hAnsi="Times New Roman" w:cs="Times New Roman"/>
          <w:b/>
          <w:sz w:val="24"/>
          <w:szCs w:val="24"/>
          <w:u w:val="single"/>
        </w:rPr>
        <w:t xml:space="preserve"> (</w:t>
      </w:r>
      <w:r w:rsidR="00914D7E" w:rsidRPr="00914D7E">
        <w:rPr>
          <w:rFonts w:ascii="Times New Roman" w:hAnsi="Times New Roman" w:cs="Times New Roman"/>
          <w:b/>
          <w:i/>
          <w:iCs/>
          <w:sz w:val="24"/>
          <w:szCs w:val="24"/>
          <w:u w:val="single"/>
        </w:rPr>
        <w:t>e</w:t>
      </w:r>
      <w:r w:rsidR="006D4CAF" w:rsidRPr="00914D7E">
        <w:rPr>
          <w:rFonts w:ascii="Times New Roman" w:hAnsi="Times New Roman" w:cs="Times New Roman"/>
          <w:b/>
          <w:i/>
          <w:iCs/>
          <w:sz w:val="24"/>
          <w:szCs w:val="24"/>
          <w:u w:val="single"/>
        </w:rPr>
        <w:t>x tempore</w:t>
      </w:r>
      <w:r w:rsidR="006D4CAF">
        <w:rPr>
          <w:rFonts w:ascii="Times New Roman" w:hAnsi="Times New Roman" w:cs="Times New Roman"/>
          <w:b/>
          <w:sz w:val="24"/>
          <w:szCs w:val="24"/>
          <w:u w:val="single"/>
        </w:rPr>
        <w:t>)</w:t>
      </w:r>
      <w:r>
        <w:rPr>
          <w:rFonts w:ascii="Times New Roman" w:hAnsi="Times New Roman" w:cs="Times New Roman"/>
          <w:b/>
          <w:sz w:val="24"/>
          <w:szCs w:val="24"/>
          <w:u w:val="single"/>
        </w:rPr>
        <w:t xml:space="preserve"> of the Court delivered on the 8</w:t>
      </w:r>
      <w:r w:rsidRPr="00344E37">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day of March 2022 by Birmingham P</w:t>
      </w:r>
      <w:r w:rsidR="00F56710">
        <w:rPr>
          <w:rFonts w:ascii="Times New Roman" w:hAnsi="Times New Roman" w:cs="Times New Roman"/>
          <w:b/>
          <w:sz w:val="24"/>
          <w:szCs w:val="24"/>
          <w:u w:val="single"/>
        </w:rPr>
        <w:t>.</w:t>
      </w:r>
    </w:p>
    <w:p w:rsidR="00F67884" w:rsidRPr="00D03F76" w:rsidRDefault="00AD0C45"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Before the Court is an appeal against severity of sentence. The sentence under appeal is a sentence of seven years</w:t>
      </w:r>
      <w:r w:rsidR="00C0438D">
        <w:rPr>
          <w:rFonts w:ascii="Times New Roman" w:hAnsi="Times New Roman" w:cs="Times New Roman"/>
          <w:sz w:val="24"/>
          <w:szCs w:val="24"/>
          <w:lang w:val="en-GB"/>
        </w:rPr>
        <w:t>’</w:t>
      </w:r>
      <w:r>
        <w:rPr>
          <w:rFonts w:ascii="Times New Roman" w:hAnsi="Times New Roman" w:cs="Times New Roman"/>
          <w:sz w:val="24"/>
          <w:szCs w:val="24"/>
          <w:lang w:val="en-GB"/>
        </w:rPr>
        <w:t xml:space="preserve"> imprisonment, with the final six months suspended, that was imposed on 25</w:t>
      </w:r>
      <w:r w:rsidRPr="00AD0C45">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March 2021. The sentence was imposed in circumstances where the accused had entered pleas of guilty to 28 counts in all, being one count of participating in a criminal organisation contrary to s. 72(1)(a)(ii) and s. 72(2) of the Criminal Justice Act 2006, as substituted by s. 6 of the Criminal Justice (Amendment) Act 2009, </w:t>
      </w:r>
      <w:r w:rsidR="0098008F">
        <w:rPr>
          <w:rFonts w:ascii="Times New Roman" w:hAnsi="Times New Roman" w:cs="Times New Roman"/>
          <w:sz w:val="24"/>
          <w:szCs w:val="24"/>
          <w:lang w:val="en-GB"/>
        </w:rPr>
        <w:t>six</w:t>
      </w:r>
      <w:r w:rsidR="0060780F">
        <w:rPr>
          <w:rFonts w:ascii="Times New Roman" w:hAnsi="Times New Roman" w:cs="Times New Roman"/>
          <w:sz w:val="24"/>
          <w:szCs w:val="24"/>
          <w:lang w:val="en-GB"/>
        </w:rPr>
        <w:t>teen</w:t>
      </w:r>
      <w:r>
        <w:rPr>
          <w:rFonts w:ascii="Times New Roman" w:hAnsi="Times New Roman" w:cs="Times New Roman"/>
          <w:sz w:val="24"/>
          <w:szCs w:val="24"/>
          <w:lang w:val="en-GB"/>
        </w:rPr>
        <w:t xml:space="preserve"> counts of possession of a false instrument</w:t>
      </w:r>
      <w:r w:rsidR="00B95B7F">
        <w:rPr>
          <w:rFonts w:ascii="Times New Roman" w:hAnsi="Times New Roman" w:cs="Times New Roman"/>
          <w:sz w:val="24"/>
          <w:szCs w:val="24"/>
          <w:lang w:val="en-GB"/>
        </w:rPr>
        <w:t xml:space="preserve"> (or a material designed or adapted to create one)</w:t>
      </w:r>
      <w:r>
        <w:rPr>
          <w:rFonts w:ascii="Times New Roman" w:hAnsi="Times New Roman" w:cs="Times New Roman"/>
          <w:sz w:val="24"/>
          <w:szCs w:val="24"/>
          <w:lang w:val="en-GB"/>
        </w:rPr>
        <w:t xml:space="preserve"> </w:t>
      </w:r>
      <w:r w:rsidR="008971E1">
        <w:rPr>
          <w:rFonts w:ascii="Times New Roman" w:hAnsi="Times New Roman" w:cs="Times New Roman"/>
          <w:sz w:val="24"/>
          <w:szCs w:val="24"/>
          <w:lang w:val="en-GB"/>
        </w:rPr>
        <w:t xml:space="preserve">contrary to </w:t>
      </w:r>
      <w:r w:rsidR="0098008F">
        <w:rPr>
          <w:rFonts w:ascii="Times New Roman" w:hAnsi="Times New Roman" w:cs="Times New Roman"/>
          <w:sz w:val="24"/>
          <w:szCs w:val="24"/>
          <w:lang w:val="en-GB"/>
        </w:rPr>
        <w:t xml:space="preserve">s. 29 </w:t>
      </w:r>
      <w:r w:rsidR="008971E1">
        <w:rPr>
          <w:rFonts w:ascii="Times New Roman" w:hAnsi="Times New Roman" w:cs="Times New Roman"/>
          <w:sz w:val="24"/>
          <w:szCs w:val="24"/>
          <w:lang w:val="en-GB"/>
        </w:rPr>
        <w:t>of the Criminal Justice (Theft and Fraud Offences) Act 2001</w:t>
      </w:r>
      <w:r w:rsidR="0098008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w:t>
      </w:r>
      <w:r w:rsidR="0098008F">
        <w:rPr>
          <w:rFonts w:ascii="Times New Roman" w:hAnsi="Times New Roman" w:cs="Times New Roman"/>
          <w:sz w:val="24"/>
          <w:szCs w:val="24"/>
          <w:lang w:val="en-GB"/>
        </w:rPr>
        <w:t>eleven</w:t>
      </w:r>
      <w:r>
        <w:rPr>
          <w:rFonts w:ascii="Times New Roman" w:hAnsi="Times New Roman" w:cs="Times New Roman"/>
          <w:sz w:val="24"/>
          <w:szCs w:val="24"/>
          <w:lang w:val="en-GB"/>
        </w:rPr>
        <w:t xml:space="preserve"> counts of theft</w:t>
      </w:r>
      <w:r w:rsidR="0060780F">
        <w:rPr>
          <w:rFonts w:ascii="Times New Roman" w:hAnsi="Times New Roman" w:cs="Times New Roman"/>
          <w:sz w:val="24"/>
          <w:szCs w:val="24"/>
          <w:lang w:val="en-GB"/>
        </w:rPr>
        <w:t xml:space="preserve"> contrary to</w:t>
      </w:r>
      <w:r w:rsidR="008971E1">
        <w:rPr>
          <w:rFonts w:ascii="Times New Roman" w:hAnsi="Times New Roman" w:cs="Times New Roman"/>
          <w:sz w:val="24"/>
          <w:szCs w:val="24"/>
          <w:lang w:val="en-GB"/>
        </w:rPr>
        <w:t xml:space="preserve"> s. 4 of</w:t>
      </w:r>
      <w:r w:rsidR="0060780F">
        <w:rPr>
          <w:rFonts w:ascii="Times New Roman" w:hAnsi="Times New Roman" w:cs="Times New Roman"/>
          <w:sz w:val="24"/>
          <w:szCs w:val="24"/>
          <w:lang w:val="en-GB"/>
        </w:rPr>
        <w:t xml:space="preserve"> the Criminal Justice (Theft and Fraud Offences) Act 2001</w:t>
      </w:r>
      <w:r>
        <w:rPr>
          <w:rFonts w:ascii="Times New Roman" w:hAnsi="Times New Roman" w:cs="Times New Roman"/>
          <w:sz w:val="24"/>
          <w:szCs w:val="24"/>
          <w:lang w:val="en-GB"/>
        </w:rPr>
        <w:t>.</w:t>
      </w:r>
    </w:p>
    <w:p w:rsidR="00D03F76" w:rsidRDefault="00D03F76" w:rsidP="00D03F76">
      <w:pPr>
        <w:pStyle w:val="ListParagraph"/>
        <w:spacing w:after="0" w:line="480" w:lineRule="auto"/>
        <w:ind w:left="0"/>
        <w:rPr>
          <w:rFonts w:ascii="Times New Roman" w:hAnsi="Times New Roman" w:cs="Times New Roman"/>
          <w:sz w:val="24"/>
          <w:szCs w:val="24"/>
          <w:lang w:val="en-GB"/>
        </w:rPr>
      </w:pPr>
    </w:p>
    <w:p w:rsidR="006D4CAF" w:rsidRDefault="006D4CAF" w:rsidP="00D03F76">
      <w:pPr>
        <w:pStyle w:val="ListParagraph"/>
        <w:spacing w:after="0" w:line="480" w:lineRule="auto"/>
        <w:ind w:left="0"/>
        <w:rPr>
          <w:rFonts w:ascii="Times New Roman" w:hAnsi="Times New Roman" w:cs="Times New Roman"/>
          <w:sz w:val="24"/>
          <w:szCs w:val="24"/>
          <w:lang w:val="en-GB"/>
        </w:rPr>
      </w:pPr>
    </w:p>
    <w:p w:rsidR="006D4CAF" w:rsidRDefault="006D4CAF" w:rsidP="00D03F76">
      <w:pPr>
        <w:pStyle w:val="ListParagraph"/>
        <w:spacing w:after="0" w:line="480" w:lineRule="auto"/>
        <w:ind w:left="0"/>
        <w:rPr>
          <w:rFonts w:ascii="Times New Roman" w:hAnsi="Times New Roman" w:cs="Times New Roman"/>
          <w:sz w:val="24"/>
          <w:szCs w:val="24"/>
          <w:lang w:val="en-GB"/>
        </w:rPr>
      </w:pPr>
    </w:p>
    <w:p w:rsidR="00D03F76" w:rsidRPr="00D03F76" w:rsidRDefault="00D03F76" w:rsidP="00D03F76">
      <w:pPr>
        <w:pStyle w:val="ListParagraph"/>
        <w:spacing w:after="0" w:line="480" w:lineRule="auto"/>
        <w:ind w:left="0"/>
        <w:rPr>
          <w:rFonts w:ascii="Times New Roman" w:hAnsi="Times New Roman" w:cs="Times New Roman"/>
          <w:b/>
          <w:bCs/>
          <w:i/>
          <w:sz w:val="24"/>
          <w:szCs w:val="24"/>
          <w:u w:val="single"/>
          <w:lang w:val="en-GB"/>
        </w:rPr>
      </w:pPr>
      <w:r w:rsidRPr="00D03F76">
        <w:rPr>
          <w:rFonts w:ascii="Times New Roman" w:hAnsi="Times New Roman" w:cs="Times New Roman"/>
          <w:b/>
          <w:bCs/>
          <w:sz w:val="24"/>
          <w:szCs w:val="24"/>
          <w:u w:val="single"/>
          <w:lang w:val="en-GB"/>
        </w:rPr>
        <w:t>Background</w:t>
      </w:r>
    </w:p>
    <w:p w:rsidR="005779C9" w:rsidRPr="00884C83" w:rsidRDefault="005A3A4B" w:rsidP="005779C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background to the case is to be found in the fact that</w:t>
      </w:r>
      <w:r w:rsidR="00D03F76">
        <w:rPr>
          <w:rFonts w:ascii="Times New Roman" w:hAnsi="Times New Roman" w:cs="Times New Roman"/>
          <w:sz w:val="24"/>
          <w:szCs w:val="24"/>
          <w:lang w:val="en-GB"/>
        </w:rPr>
        <w:t>,</w:t>
      </w:r>
      <w:r>
        <w:rPr>
          <w:rFonts w:ascii="Times New Roman" w:hAnsi="Times New Roman" w:cs="Times New Roman"/>
          <w:sz w:val="24"/>
          <w:szCs w:val="24"/>
          <w:lang w:val="en-GB"/>
        </w:rPr>
        <w:t xml:space="preserve"> in late 2018, </w:t>
      </w:r>
      <w:r w:rsidRPr="005A3A4B">
        <w:rPr>
          <w:rFonts w:ascii="Times New Roman" w:hAnsi="Times New Roman" w:cs="Times New Roman"/>
          <w:sz w:val="24"/>
          <w:szCs w:val="24"/>
          <w:lang w:val="en-GB"/>
        </w:rPr>
        <w:t>Gardaí</w:t>
      </w:r>
      <w:r>
        <w:rPr>
          <w:rFonts w:ascii="Times New Roman" w:hAnsi="Times New Roman" w:cs="Times New Roman"/>
          <w:sz w:val="24"/>
          <w:szCs w:val="24"/>
          <w:lang w:val="en-GB"/>
        </w:rPr>
        <w:t xml:space="preserve"> </w:t>
      </w:r>
      <w:r w:rsidR="0053382B">
        <w:rPr>
          <w:rFonts w:ascii="Times New Roman" w:hAnsi="Times New Roman" w:cs="Times New Roman"/>
          <w:sz w:val="24"/>
          <w:szCs w:val="24"/>
          <w:lang w:val="en-GB"/>
        </w:rPr>
        <w:t>received complaint</w:t>
      </w:r>
      <w:r w:rsidR="00D03F76">
        <w:rPr>
          <w:rFonts w:ascii="Times New Roman" w:hAnsi="Times New Roman" w:cs="Times New Roman"/>
          <w:sz w:val="24"/>
          <w:szCs w:val="24"/>
          <w:lang w:val="en-GB"/>
        </w:rPr>
        <w:t>s</w:t>
      </w:r>
      <w:r w:rsidR="0053382B">
        <w:rPr>
          <w:rFonts w:ascii="Times New Roman" w:hAnsi="Times New Roman" w:cs="Times New Roman"/>
          <w:sz w:val="24"/>
          <w:szCs w:val="24"/>
          <w:lang w:val="en-GB"/>
        </w:rPr>
        <w:t xml:space="preserve"> from</w:t>
      </w:r>
      <w:r>
        <w:rPr>
          <w:rFonts w:ascii="Times New Roman" w:hAnsi="Times New Roman" w:cs="Times New Roman"/>
          <w:sz w:val="24"/>
          <w:szCs w:val="24"/>
          <w:lang w:val="en-GB"/>
        </w:rPr>
        <w:t xml:space="preserve"> officers of the Bank of Ireland, indicating that a large number of offences had been committed, </w:t>
      </w:r>
      <w:r w:rsidR="0053382B">
        <w:rPr>
          <w:rFonts w:ascii="Times New Roman" w:hAnsi="Times New Roman" w:cs="Times New Roman"/>
          <w:sz w:val="24"/>
          <w:szCs w:val="24"/>
          <w:lang w:val="en-GB"/>
        </w:rPr>
        <w:t xml:space="preserve">relating to </w:t>
      </w:r>
      <w:r>
        <w:rPr>
          <w:rFonts w:ascii="Times New Roman" w:hAnsi="Times New Roman" w:cs="Times New Roman"/>
          <w:sz w:val="24"/>
          <w:szCs w:val="24"/>
          <w:lang w:val="en-GB"/>
        </w:rPr>
        <w:t xml:space="preserve">what might be described as ATM fraud. </w:t>
      </w:r>
      <w:r w:rsidR="00F371EF">
        <w:rPr>
          <w:rFonts w:ascii="Times New Roman" w:hAnsi="Times New Roman" w:cs="Times New Roman"/>
          <w:sz w:val="24"/>
          <w:szCs w:val="24"/>
          <w:lang w:val="en-GB"/>
        </w:rPr>
        <w:t>The offences involved the attachment of hidden device</w:t>
      </w:r>
      <w:r w:rsidR="00D03F76">
        <w:rPr>
          <w:rFonts w:ascii="Times New Roman" w:hAnsi="Times New Roman" w:cs="Times New Roman"/>
          <w:sz w:val="24"/>
          <w:szCs w:val="24"/>
          <w:lang w:val="en-GB"/>
        </w:rPr>
        <w:t>s</w:t>
      </w:r>
      <w:r w:rsidR="00F371EF">
        <w:rPr>
          <w:rFonts w:ascii="Times New Roman" w:hAnsi="Times New Roman" w:cs="Times New Roman"/>
          <w:sz w:val="24"/>
          <w:szCs w:val="24"/>
          <w:lang w:val="en-GB"/>
        </w:rPr>
        <w:t xml:space="preserve"> to ca</w:t>
      </w:r>
      <w:r w:rsidR="00F56710">
        <w:rPr>
          <w:rFonts w:ascii="Times New Roman" w:hAnsi="Times New Roman" w:cs="Times New Roman"/>
          <w:sz w:val="24"/>
          <w:szCs w:val="24"/>
          <w:lang w:val="en-GB"/>
        </w:rPr>
        <w:t>sh</w:t>
      </w:r>
      <w:r w:rsidR="00F371EF">
        <w:rPr>
          <w:rFonts w:ascii="Times New Roman" w:hAnsi="Times New Roman" w:cs="Times New Roman"/>
          <w:sz w:val="24"/>
          <w:szCs w:val="24"/>
          <w:lang w:val="en-GB"/>
        </w:rPr>
        <w:t xml:space="preserve"> dispensing machines for the purpose of reading information from cards used by the bank’s customers</w:t>
      </w:r>
      <w:r w:rsidR="00D03F76">
        <w:rPr>
          <w:rFonts w:ascii="Times New Roman" w:hAnsi="Times New Roman" w:cs="Times New Roman"/>
          <w:sz w:val="24"/>
          <w:szCs w:val="24"/>
          <w:lang w:val="en-GB"/>
        </w:rPr>
        <w:t>,</w:t>
      </w:r>
      <w:r w:rsidR="00F371EF">
        <w:rPr>
          <w:rFonts w:ascii="Times New Roman" w:hAnsi="Times New Roman" w:cs="Times New Roman"/>
          <w:sz w:val="24"/>
          <w:szCs w:val="24"/>
          <w:lang w:val="en-GB"/>
        </w:rPr>
        <w:t xml:space="preserve"> as well as recording PIN number</w:t>
      </w:r>
      <w:r w:rsidR="00B95B7F">
        <w:rPr>
          <w:rFonts w:ascii="Times New Roman" w:hAnsi="Times New Roman" w:cs="Times New Roman"/>
          <w:sz w:val="24"/>
          <w:szCs w:val="24"/>
          <w:lang w:val="en-GB"/>
        </w:rPr>
        <w:t>s</w:t>
      </w:r>
      <w:r w:rsidR="00F371EF">
        <w:rPr>
          <w:rFonts w:ascii="Times New Roman" w:hAnsi="Times New Roman" w:cs="Times New Roman"/>
          <w:sz w:val="24"/>
          <w:szCs w:val="24"/>
          <w:lang w:val="en-GB"/>
        </w:rPr>
        <w:t xml:space="preserve"> used in connection with the individual cards. Then, the information</w:t>
      </w:r>
      <w:r w:rsidR="00B95B7F">
        <w:rPr>
          <w:rFonts w:ascii="Times New Roman" w:hAnsi="Times New Roman" w:cs="Times New Roman"/>
          <w:sz w:val="24"/>
          <w:szCs w:val="24"/>
          <w:lang w:val="en-GB"/>
        </w:rPr>
        <w:t xml:space="preserve"> </w:t>
      </w:r>
      <w:r w:rsidR="00F371EF">
        <w:rPr>
          <w:rFonts w:ascii="Times New Roman" w:hAnsi="Times New Roman" w:cs="Times New Roman"/>
          <w:sz w:val="24"/>
          <w:szCs w:val="24"/>
          <w:lang w:val="en-GB"/>
        </w:rPr>
        <w:t xml:space="preserve">obtained </w:t>
      </w:r>
      <w:r w:rsidR="00914D7E">
        <w:rPr>
          <w:rFonts w:ascii="Times New Roman" w:hAnsi="Times New Roman" w:cs="Times New Roman"/>
          <w:sz w:val="24"/>
          <w:szCs w:val="24"/>
          <w:lang w:val="en-GB"/>
        </w:rPr>
        <w:t>i</w:t>
      </w:r>
      <w:r w:rsidR="00F371EF">
        <w:rPr>
          <w:rFonts w:ascii="Times New Roman" w:hAnsi="Times New Roman" w:cs="Times New Roman"/>
          <w:sz w:val="24"/>
          <w:szCs w:val="24"/>
          <w:lang w:val="en-GB"/>
        </w:rPr>
        <w:t xml:space="preserve">s used to </w:t>
      </w:r>
      <w:r w:rsidR="00D03F76">
        <w:rPr>
          <w:rFonts w:ascii="Times New Roman" w:hAnsi="Times New Roman" w:cs="Times New Roman"/>
          <w:sz w:val="24"/>
          <w:szCs w:val="24"/>
          <w:lang w:val="en-GB"/>
        </w:rPr>
        <w:t xml:space="preserve">create </w:t>
      </w:r>
      <w:r w:rsidR="00F371EF">
        <w:rPr>
          <w:rFonts w:ascii="Times New Roman" w:hAnsi="Times New Roman" w:cs="Times New Roman"/>
          <w:sz w:val="24"/>
          <w:szCs w:val="24"/>
          <w:lang w:val="en-GB"/>
        </w:rPr>
        <w:t xml:space="preserve">cards of other kinds </w:t>
      </w:r>
      <w:r w:rsidR="00F371EF" w:rsidRPr="00F371EF">
        <w:rPr>
          <w:rFonts w:ascii="Times New Roman" w:hAnsi="Times New Roman" w:cs="Times New Roman"/>
          <w:i/>
          <w:sz w:val="24"/>
          <w:szCs w:val="24"/>
          <w:lang w:val="en-GB"/>
        </w:rPr>
        <w:t>e.g</w:t>
      </w:r>
      <w:r w:rsidR="00F371EF">
        <w:rPr>
          <w:rFonts w:ascii="Times New Roman" w:hAnsi="Times New Roman" w:cs="Times New Roman"/>
          <w:sz w:val="24"/>
          <w:szCs w:val="24"/>
          <w:lang w:val="en-GB"/>
        </w:rPr>
        <w:t xml:space="preserve">. loyalty cards issued by large retailers, which, so adapted, can then be used instead of a legitimate card to withdraw money. </w:t>
      </w:r>
      <w:r>
        <w:rPr>
          <w:rFonts w:ascii="Times New Roman" w:hAnsi="Times New Roman" w:cs="Times New Roman"/>
          <w:sz w:val="24"/>
          <w:szCs w:val="24"/>
          <w:lang w:val="en-GB"/>
        </w:rPr>
        <w:t xml:space="preserve">The initial complaint related to 212 ATM withdrawals, involving 28 </w:t>
      </w:r>
      <w:r w:rsidR="00B95B7F">
        <w:rPr>
          <w:rFonts w:ascii="Times New Roman" w:hAnsi="Times New Roman" w:cs="Times New Roman"/>
          <w:sz w:val="24"/>
          <w:szCs w:val="24"/>
          <w:lang w:val="en-GB"/>
        </w:rPr>
        <w:t>accounts</w:t>
      </w:r>
      <w:r>
        <w:rPr>
          <w:rFonts w:ascii="Times New Roman" w:hAnsi="Times New Roman" w:cs="Times New Roman"/>
          <w:sz w:val="24"/>
          <w:szCs w:val="24"/>
          <w:lang w:val="en-GB"/>
        </w:rPr>
        <w:t xml:space="preserve">, and then, at a later stage, </w:t>
      </w:r>
      <w:r w:rsidR="003F719E">
        <w:rPr>
          <w:rFonts w:ascii="Times New Roman" w:hAnsi="Times New Roman" w:cs="Times New Roman"/>
          <w:sz w:val="24"/>
          <w:szCs w:val="24"/>
          <w:lang w:val="en-GB"/>
        </w:rPr>
        <w:t xml:space="preserve">there was </w:t>
      </w:r>
      <w:r>
        <w:rPr>
          <w:rFonts w:ascii="Times New Roman" w:hAnsi="Times New Roman" w:cs="Times New Roman"/>
          <w:sz w:val="24"/>
          <w:szCs w:val="24"/>
          <w:lang w:val="en-GB"/>
        </w:rPr>
        <w:t xml:space="preserve">a further complaint relating to 300 withdrawals </w:t>
      </w:r>
      <w:r w:rsidR="00B95B7F">
        <w:rPr>
          <w:rFonts w:ascii="Times New Roman" w:hAnsi="Times New Roman" w:cs="Times New Roman"/>
          <w:sz w:val="24"/>
          <w:szCs w:val="24"/>
          <w:lang w:val="en-GB"/>
        </w:rPr>
        <w:t>concerning</w:t>
      </w:r>
      <w:r>
        <w:rPr>
          <w:rFonts w:ascii="Times New Roman" w:hAnsi="Times New Roman" w:cs="Times New Roman"/>
          <w:sz w:val="24"/>
          <w:szCs w:val="24"/>
          <w:lang w:val="en-GB"/>
        </w:rPr>
        <w:t xml:space="preserve"> 52 accounts. In total, a sum of approximately €120,000 was unlawfully taken from ATM machines. </w:t>
      </w:r>
      <w:r w:rsidR="005779C9">
        <w:rPr>
          <w:rFonts w:ascii="Times New Roman" w:hAnsi="Times New Roman" w:cs="Times New Roman"/>
          <w:sz w:val="24"/>
          <w:szCs w:val="24"/>
          <w:lang w:val="en-GB"/>
        </w:rPr>
        <w:t>In terms of the geograp</w:t>
      </w:r>
      <w:r w:rsidR="008F0136">
        <w:rPr>
          <w:rFonts w:ascii="Times New Roman" w:hAnsi="Times New Roman" w:cs="Times New Roman"/>
          <w:sz w:val="24"/>
          <w:szCs w:val="24"/>
          <w:lang w:val="en-GB"/>
        </w:rPr>
        <w:t>hic locations in relation to where</w:t>
      </w:r>
      <w:r w:rsidR="005779C9">
        <w:rPr>
          <w:rFonts w:ascii="Times New Roman" w:hAnsi="Times New Roman" w:cs="Times New Roman"/>
          <w:sz w:val="24"/>
          <w:szCs w:val="24"/>
          <w:lang w:val="en-GB"/>
        </w:rPr>
        <w:t xml:space="preserve"> ATM machines were compromised</w:t>
      </w:r>
      <w:r w:rsidR="00914D7E">
        <w:rPr>
          <w:rFonts w:ascii="Times New Roman" w:hAnsi="Times New Roman" w:cs="Times New Roman"/>
          <w:sz w:val="24"/>
          <w:szCs w:val="24"/>
          <w:lang w:val="en-GB"/>
        </w:rPr>
        <w:t>,</w:t>
      </w:r>
      <w:r w:rsidR="005779C9">
        <w:rPr>
          <w:rFonts w:ascii="Times New Roman" w:hAnsi="Times New Roman" w:cs="Times New Roman"/>
          <w:sz w:val="24"/>
          <w:szCs w:val="24"/>
          <w:lang w:val="en-GB"/>
        </w:rPr>
        <w:t xml:space="preserve"> and where individuals had their accounts accessed, the</w:t>
      </w:r>
      <w:r w:rsidR="00914D7E">
        <w:rPr>
          <w:rFonts w:ascii="Times New Roman" w:hAnsi="Times New Roman" w:cs="Times New Roman"/>
          <w:sz w:val="24"/>
          <w:szCs w:val="24"/>
          <w:lang w:val="en-GB"/>
        </w:rPr>
        <w:t>y</w:t>
      </w:r>
      <w:r w:rsidR="005779C9">
        <w:rPr>
          <w:rFonts w:ascii="Times New Roman" w:hAnsi="Times New Roman" w:cs="Times New Roman"/>
          <w:sz w:val="24"/>
          <w:szCs w:val="24"/>
          <w:lang w:val="en-GB"/>
        </w:rPr>
        <w:t xml:space="preserve"> included Monaghan, Louth, Meath, Westmeath, Galway, Offaly, Kildare, Dublin and Wicklow.</w:t>
      </w:r>
    </w:p>
    <w:p w:rsidR="00FD28DE" w:rsidRPr="00FD28DE" w:rsidRDefault="005A3A4B"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sidRPr="005A3A4B">
        <w:rPr>
          <w:rFonts w:ascii="Times New Roman" w:hAnsi="Times New Roman" w:cs="Times New Roman"/>
          <w:sz w:val="24"/>
          <w:szCs w:val="24"/>
          <w:lang w:val="en-GB"/>
        </w:rPr>
        <w:t>Gardaí</w:t>
      </w:r>
      <w:r>
        <w:rPr>
          <w:rFonts w:ascii="Times New Roman" w:hAnsi="Times New Roman" w:cs="Times New Roman"/>
          <w:sz w:val="24"/>
          <w:szCs w:val="24"/>
          <w:lang w:val="en-GB"/>
        </w:rPr>
        <w:t xml:space="preserve"> mounted a major investigation</w:t>
      </w:r>
      <w:r w:rsidR="00B95B7F">
        <w:rPr>
          <w:rFonts w:ascii="Times New Roman" w:hAnsi="Times New Roman" w:cs="Times New Roman"/>
          <w:sz w:val="24"/>
          <w:szCs w:val="24"/>
          <w:lang w:val="en-GB"/>
        </w:rPr>
        <w:t>,</w:t>
      </w:r>
      <w:r>
        <w:rPr>
          <w:rFonts w:ascii="Times New Roman" w:hAnsi="Times New Roman" w:cs="Times New Roman"/>
          <w:sz w:val="24"/>
          <w:szCs w:val="24"/>
          <w:lang w:val="en-GB"/>
        </w:rPr>
        <w:t xml:space="preserve"> involv</w:t>
      </w:r>
      <w:r w:rsidR="00B95B7F">
        <w:rPr>
          <w:rFonts w:ascii="Times New Roman" w:hAnsi="Times New Roman" w:cs="Times New Roman"/>
          <w:sz w:val="24"/>
          <w:szCs w:val="24"/>
          <w:lang w:val="en-GB"/>
        </w:rPr>
        <w:t>ing</w:t>
      </w:r>
      <w:r>
        <w:rPr>
          <w:rFonts w:ascii="Times New Roman" w:hAnsi="Times New Roman" w:cs="Times New Roman"/>
          <w:sz w:val="24"/>
          <w:szCs w:val="24"/>
          <w:lang w:val="en-GB"/>
        </w:rPr>
        <w:t xml:space="preserve"> viewing CCTV footage linked to the ATM machines. As the inquiry progressed, attention focused on a particular vehicle, the movement of which, over a period, was plotted as matching the locations where the incidents at the ATM machines had occurred. At one point, the vehicle which become of interest was stopped with two occupants</w:t>
      </w:r>
      <w:r w:rsidR="00FD28DE">
        <w:rPr>
          <w:rFonts w:ascii="Times New Roman" w:hAnsi="Times New Roman" w:cs="Times New Roman"/>
          <w:sz w:val="24"/>
          <w:szCs w:val="24"/>
          <w:lang w:val="en-GB"/>
        </w:rPr>
        <w:t xml:space="preserve"> inside</w:t>
      </w:r>
      <w:r>
        <w:rPr>
          <w:rFonts w:ascii="Times New Roman" w:hAnsi="Times New Roman" w:cs="Times New Roman"/>
          <w:sz w:val="24"/>
          <w:szCs w:val="24"/>
          <w:lang w:val="en-GB"/>
        </w:rPr>
        <w:t xml:space="preserve">, one of </w:t>
      </w:r>
      <w:r w:rsidR="004C5368">
        <w:rPr>
          <w:rFonts w:ascii="Times New Roman" w:hAnsi="Times New Roman" w:cs="Times New Roman"/>
          <w:sz w:val="24"/>
          <w:szCs w:val="24"/>
          <w:lang w:val="en-GB"/>
        </w:rPr>
        <w:t>whom being</w:t>
      </w:r>
      <w:r>
        <w:rPr>
          <w:rFonts w:ascii="Times New Roman" w:hAnsi="Times New Roman" w:cs="Times New Roman"/>
          <w:sz w:val="24"/>
          <w:szCs w:val="24"/>
          <w:lang w:val="en-GB"/>
        </w:rPr>
        <w:t xml:space="preserve"> the appellant</w:t>
      </w:r>
      <w:r w:rsidR="004C5368">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4C5368">
        <w:rPr>
          <w:rFonts w:ascii="Times New Roman" w:hAnsi="Times New Roman" w:cs="Times New Roman"/>
          <w:sz w:val="24"/>
          <w:szCs w:val="24"/>
          <w:lang w:val="en-GB"/>
        </w:rPr>
        <w:t>A</w:t>
      </w:r>
      <w:r>
        <w:rPr>
          <w:rFonts w:ascii="Times New Roman" w:hAnsi="Times New Roman" w:cs="Times New Roman"/>
          <w:sz w:val="24"/>
          <w:szCs w:val="24"/>
          <w:lang w:val="en-GB"/>
        </w:rPr>
        <w:t>rising from th</w:t>
      </w:r>
      <w:r w:rsidR="004C5368">
        <w:rPr>
          <w:rFonts w:ascii="Times New Roman" w:hAnsi="Times New Roman" w:cs="Times New Roman"/>
          <w:sz w:val="24"/>
          <w:szCs w:val="24"/>
          <w:lang w:val="en-GB"/>
        </w:rPr>
        <w:t>e identification of this vehicle</w:t>
      </w:r>
      <w:r>
        <w:rPr>
          <w:rFonts w:ascii="Times New Roman" w:hAnsi="Times New Roman" w:cs="Times New Roman"/>
          <w:sz w:val="24"/>
          <w:szCs w:val="24"/>
          <w:lang w:val="en-GB"/>
        </w:rPr>
        <w:t>, an address in Navan was nominated as a place of interest. Surveillance was placed, but for a period, the investigation</w:t>
      </w:r>
      <w:r w:rsidR="00B5744C">
        <w:rPr>
          <w:rFonts w:ascii="Times New Roman" w:hAnsi="Times New Roman" w:cs="Times New Roman"/>
          <w:sz w:val="24"/>
          <w:szCs w:val="24"/>
          <w:lang w:val="en-GB"/>
        </w:rPr>
        <w:t xml:space="preserve"> went cold, in part because it appears the appellant may have returned to his home country</w:t>
      </w:r>
      <w:r w:rsidR="00D93B58">
        <w:rPr>
          <w:rFonts w:ascii="Times New Roman" w:hAnsi="Times New Roman" w:cs="Times New Roman"/>
          <w:sz w:val="24"/>
          <w:szCs w:val="24"/>
          <w:lang w:val="en-GB"/>
        </w:rPr>
        <w:t xml:space="preserve"> of Romania</w:t>
      </w:r>
      <w:r w:rsidR="00B5744C">
        <w:rPr>
          <w:rFonts w:ascii="Times New Roman" w:hAnsi="Times New Roman" w:cs="Times New Roman"/>
          <w:sz w:val="24"/>
          <w:szCs w:val="24"/>
          <w:lang w:val="en-GB"/>
        </w:rPr>
        <w:t xml:space="preserve"> for </w:t>
      </w:r>
      <w:r w:rsidR="00FD28DE">
        <w:rPr>
          <w:rFonts w:ascii="Times New Roman" w:hAnsi="Times New Roman" w:cs="Times New Roman"/>
          <w:sz w:val="24"/>
          <w:szCs w:val="24"/>
          <w:lang w:val="en-GB"/>
        </w:rPr>
        <w:t>some time</w:t>
      </w:r>
      <w:r w:rsidR="00B5744C">
        <w:rPr>
          <w:rFonts w:ascii="Times New Roman" w:hAnsi="Times New Roman" w:cs="Times New Roman"/>
          <w:sz w:val="24"/>
          <w:szCs w:val="24"/>
          <w:lang w:val="en-GB"/>
        </w:rPr>
        <w:t xml:space="preserve"> in or around Christmas</w:t>
      </w:r>
      <w:r w:rsidR="00D93B58">
        <w:rPr>
          <w:rFonts w:ascii="Times New Roman" w:hAnsi="Times New Roman" w:cs="Times New Roman"/>
          <w:sz w:val="24"/>
          <w:szCs w:val="24"/>
          <w:lang w:val="en-GB"/>
        </w:rPr>
        <w:t xml:space="preserve"> 2018</w:t>
      </w:r>
      <w:r w:rsidR="00B5744C">
        <w:rPr>
          <w:rFonts w:ascii="Times New Roman" w:hAnsi="Times New Roman" w:cs="Times New Roman"/>
          <w:sz w:val="24"/>
          <w:szCs w:val="24"/>
          <w:lang w:val="en-GB"/>
        </w:rPr>
        <w:t>. On 28</w:t>
      </w:r>
      <w:r w:rsidR="00B5744C" w:rsidRPr="00B5744C">
        <w:rPr>
          <w:rFonts w:ascii="Times New Roman" w:hAnsi="Times New Roman" w:cs="Times New Roman"/>
          <w:sz w:val="24"/>
          <w:szCs w:val="24"/>
          <w:vertAlign w:val="superscript"/>
          <w:lang w:val="en-GB"/>
        </w:rPr>
        <w:t>th</w:t>
      </w:r>
      <w:r w:rsidR="00B5744C">
        <w:rPr>
          <w:rFonts w:ascii="Times New Roman" w:hAnsi="Times New Roman" w:cs="Times New Roman"/>
          <w:sz w:val="24"/>
          <w:szCs w:val="24"/>
          <w:lang w:val="en-GB"/>
        </w:rPr>
        <w:t xml:space="preserve"> February 2019, a search warrant was executed at the </w:t>
      </w:r>
      <w:r w:rsidR="00B5744C">
        <w:rPr>
          <w:rFonts w:ascii="Times New Roman" w:hAnsi="Times New Roman" w:cs="Times New Roman"/>
          <w:sz w:val="24"/>
          <w:szCs w:val="24"/>
          <w:lang w:val="en-GB"/>
        </w:rPr>
        <w:lastRenderedPageBreak/>
        <w:t>residence in Navan</w:t>
      </w:r>
      <w:r w:rsidR="00914D7E">
        <w:rPr>
          <w:rFonts w:ascii="Times New Roman" w:hAnsi="Times New Roman" w:cs="Times New Roman"/>
          <w:sz w:val="24"/>
          <w:szCs w:val="24"/>
          <w:lang w:val="en-GB"/>
        </w:rPr>
        <w:t>. T</w:t>
      </w:r>
      <w:r w:rsidR="00B5744C">
        <w:rPr>
          <w:rFonts w:ascii="Times New Roman" w:hAnsi="Times New Roman" w:cs="Times New Roman"/>
          <w:sz w:val="24"/>
          <w:szCs w:val="24"/>
          <w:lang w:val="en-GB"/>
        </w:rPr>
        <w:t>here were two individuals there, the appellant and co-accused. Counsel indicated that three strands of evidence emerged from the search</w:t>
      </w:r>
      <w:r w:rsidR="00FD28DE">
        <w:rPr>
          <w:rFonts w:ascii="Times New Roman" w:hAnsi="Times New Roman" w:cs="Times New Roman"/>
          <w:sz w:val="24"/>
          <w:szCs w:val="24"/>
          <w:lang w:val="en-GB"/>
        </w:rPr>
        <w:t>. The first strand was drawn from the seizure of</w:t>
      </w:r>
      <w:r w:rsidR="00B5744C">
        <w:rPr>
          <w:rFonts w:ascii="Times New Roman" w:hAnsi="Times New Roman" w:cs="Times New Roman"/>
          <w:sz w:val="24"/>
          <w:szCs w:val="24"/>
          <w:lang w:val="en-GB"/>
        </w:rPr>
        <w:t xml:space="preserve"> mobile phones which contained photographs of four males together in the house, going back to October </w:t>
      </w:r>
      <w:r w:rsidR="00A86469">
        <w:rPr>
          <w:rFonts w:ascii="Times New Roman" w:hAnsi="Times New Roman" w:cs="Times New Roman"/>
          <w:sz w:val="24"/>
          <w:szCs w:val="24"/>
          <w:lang w:val="en-GB"/>
        </w:rPr>
        <w:t>2017</w:t>
      </w:r>
      <w:r w:rsidR="00FD28DE">
        <w:rPr>
          <w:rFonts w:ascii="Times New Roman" w:hAnsi="Times New Roman" w:cs="Times New Roman"/>
          <w:sz w:val="24"/>
          <w:szCs w:val="24"/>
          <w:lang w:val="en-GB"/>
        </w:rPr>
        <w:t>;</w:t>
      </w:r>
      <w:r w:rsidR="00A86469">
        <w:rPr>
          <w:rFonts w:ascii="Times New Roman" w:hAnsi="Times New Roman" w:cs="Times New Roman"/>
          <w:sz w:val="24"/>
          <w:szCs w:val="24"/>
          <w:lang w:val="en-GB"/>
        </w:rPr>
        <w:t xml:space="preserve"> </w:t>
      </w:r>
      <w:r w:rsidR="00FD28DE">
        <w:rPr>
          <w:rFonts w:ascii="Times New Roman" w:hAnsi="Times New Roman" w:cs="Times New Roman"/>
          <w:sz w:val="24"/>
          <w:szCs w:val="24"/>
          <w:lang w:val="en-GB"/>
        </w:rPr>
        <w:t>t</w:t>
      </w:r>
      <w:r w:rsidR="00A86469">
        <w:rPr>
          <w:rFonts w:ascii="Times New Roman" w:hAnsi="Times New Roman" w:cs="Times New Roman"/>
          <w:sz w:val="24"/>
          <w:szCs w:val="24"/>
          <w:lang w:val="en-GB"/>
        </w:rPr>
        <w:t>he</w:t>
      </w:r>
      <w:r w:rsidR="00ED5983">
        <w:rPr>
          <w:rFonts w:ascii="Times New Roman" w:hAnsi="Times New Roman" w:cs="Times New Roman"/>
          <w:sz w:val="24"/>
          <w:szCs w:val="24"/>
          <w:lang w:val="en-GB"/>
        </w:rPr>
        <w:t xml:space="preserve"> </w:t>
      </w:r>
      <w:r w:rsidR="00A86469">
        <w:rPr>
          <w:rFonts w:ascii="Times New Roman" w:hAnsi="Times New Roman" w:cs="Times New Roman"/>
          <w:sz w:val="24"/>
          <w:szCs w:val="24"/>
          <w:lang w:val="en-GB"/>
        </w:rPr>
        <w:t xml:space="preserve">fact that there </w:t>
      </w:r>
      <w:r w:rsidR="00ED5983">
        <w:rPr>
          <w:rFonts w:ascii="Times New Roman" w:hAnsi="Times New Roman" w:cs="Times New Roman"/>
          <w:sz w:val="24"/>
          <w:szCs w:val="24"/>
          <w:lang w:val="en-GB"/>
        </w:rPr>
        <w:t xml:space="preserve">were </w:t>
      </w:r>
      <w:r w:rsidR="00A86469">
        <w:rPr>
          <w:rFonts w:ascii="Times New Roman" w:hAnsi="Times New Roman" w:cs="Times New Roman"/>
          <w:sz w:val="24"/>
          <w:szCs w:val="24"/>
          <w:lang w:val="en-GB"/>
        </w:rPr>
        <w:t xml:space="preserve">four people </w:t>
      </w:r>
      <w:r w:rsidR="00FD28DE">
        <w:rPr>
          <w:rFonts w:ascii="Times New Roman" w:hAnsi="Times New Roman" w:cs="Times New Roman"/>
          <w:sz w:val="24"/>
          <w:szCs w:val="24"/>
          <w:lang w:val="en-GB"/>
        </w:rPr>
        <w:t>there</w:t>
      </w:r>
      <w:r w:rsidR="00A86469">
        <w:rPr>
          <w:rFonts w:ascii="Times New Roman" w:hAnsi="Times New Roman" w:cs="Times New Roman"/>
          <w:sz w:val="24"/>
          <w:szCs w:val="24"/>
          <w:lang w:val="en-GB"/>
        </w:rPr>
        <w:t xml:space="preserve"> was of some relevance </w:t>
      </w:r>
      <w:r w:rsidR="007569C3">
        <w:rPr>
          <w:rFonts w:ascii="Times New Roman" w:hAnsi="Times New Roman" w:cs="Times New Roman"/>
          <w:sz w:val="24"/>
          <w:szCs w:val="24"/>
          <w:lang w:val="en-GB"/>
        </w:rPr>
        <w:t xml:space="preserve">in the context of the </w:t>
      </w:r>
      <w:r w:rsidR="00FD28DE">
        <w:rPr>
          <w:rFonts w:ascii="Times New Roman" w:hAnsi="Times New Roman" w:cs="Times New Roman"/>
          <w:sz w:val="24"/>
          <w:szCs w:val="24"/>
          <w:lang w:val="en-GB"/>
        </w:rPr>
        <w:t xml:space="preserve">first </w:t>
      </w:r>
      <w:r w:rsidR="007569C3">
        <w:rPr>
          <w:rFonts w:ascii="Times New Roman" w:hAnsi="Times New Roman" w:cs="Times New Roman"/>
          <w:sz w:val="24"/>
          <w:szCs w:val="24"/>
          <w:lang w:val="en-GB"/>
        </w:rPr>
        <w:t xml:space="preserve">offence </w:t>
      </w:r>
      <w:r w:rsidR="00FD28DE">
        <w:rPr>
          <w:rFonts w:ascii="Times New Roman" w:hAnsi="Times New Roman" w:cs="Times New Roman"/>
          <w:sz w:val="24"/>
          <w:szCs w:val="24"/>
          <w:lang w:val="en-GB"/>
        </w:rPr>
        <w:t>of participation in a criminal organisation</w:t>
      </w:r>
      <w:r w:rsidR="007569C3">
        <w:rPr>
          <w:rFonts w:ascii="Times New Roman" w:hAnsi="Times New Roman" w:cs="Times New Roman"/>
          <w:sz w:val="24"/>
          <w:szCs w:val="24"/>
          <w:lang w:val="en-GB"/>
        </w:rPr>
        <w:t>. The second stream was that a large number of what were described as loyalty cards were found</w:t>
      </w:r>
      <w:r w:rsidR="00FD28DE">
        <w:rPr>
          <w:rFonts w:ascii="Times New Roman" w:hAnsi="Times New Roman" w:cs="Times New Roman"/>
          <w:sz w:val="24"/>
          <w:szCs w:val="24"/>
          <w:lang w:val="en-GB"/>
        </w:rPr>
        <w:t>.</w:t>
      </w:r>
      <w:r w:rsidR="00C47E25">
        <w:rPr>
          <w:rFonts w:ascii="Times New Roman" w:hAnsi="Times New Roman" w:cs="Times New Roman"/>
          <w:sz w:val="24"/>
          <w:szCs w:val="24"/>
          <w:lang w:val="en-GB"/>
        </w:rPr>
        <w:t xml:space="preserve"> </w:t>
      </w:r>
      <w:r w:rsidR="00FD28DE">
        <w:rPr>
          <w:rFonts w:ascii="Times New Roman" w:hAnsi="Times New Roman" w:cs="Times New Roman"/>
          <w:sz w:val="24"/>
          <w:szCs w:val="24"/>
          <w:lang w:val="en-GB"/>
        </w:rPr>
        <w:t>Final</w:t>
      </w:r>
      <w:r w:rsidR="00C47E25">
        <w:rPr>
          <w:rFonts w:ascii="Times New Roman" w:hAnsi="Times New Roman" w:cs="Times New Roman"/>
          <w:sz w:val="24"/>
          <w:szCs w:val="24"/>
          <w:lang w:val="en-GB"/>
        </w:rPr>
        <w:t>ly,</w:t>
      </w:r>
      <w:r w:rsidR="007569C3">
        <w:rPr>
          <w:rFonts w:ascii="Times New Roman" w:hAnsi="Times New Roman" w:cs="Times New Roman"/>
          <w:sz w:val="24"/>
          <w:szCs w:val="24"/>
          <w:lang w:val="en-GB"/>
        </w:rPr>
        <w:t xml:space="preserve"> also found was a substantial amount of electronic equipment used for harvesting data, pin numbers</w:t>
      </w:r>
      <w:r w:rsidR="00C47E25">
        <w:rPr>
          <w:rFonts w:ascii="Times New Roman" w:hAnsi="Times New Roman" w:cs="Times New Roman"/>
          <w:sz w:val="24"/>
          <w:szCs w:val="24"/>
          <w:lang w:val="en-GB"/>
        </w:rPr>
        <w:t>,</w:t>
      </w:r>
      <w:r w:rsidR="007569C3">
        <w:rPr>
          <w:rFonts w:ascii="Times New Roman" w:hAnsi="Times New Roman" w:cs="Times New Roman"/>
          <w:sz w:val="24"/>
          <w:szCs w:val="24"/>
          <w:lang w:val="en-GB"/>
        </w:rPr>
        <w:t xml:space="preserve"> and electronic data from an individual’s bankcard.</w:t>
      </w:r>
    </w:p>
    <w:p w:rsidR="005A3A4B" w:rsidRPr="00875DDF" w:rsidRDefault="007569C3"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w:t>
      </w:r>
      <w:r w:rsidR="00255B2C">
        <w:rPr>
          <w:rFonts w:ascii="Times New Roman" w:hAnsi="Times New Roman" w:cs="Times New Roman"/>
          <w:sz w:val="24"/>
          <w:szCs w:val="24"/>
          <w:lang w:val="en-GB"/>
        </w:rPr>
        <w:t xml:space="preserve">is to be </w:t>
      </w:r>
      <w:r>
        <w:rPr>
          <w:rFonts w:ascii="Times New Roman" w:hAnsi="Times New Roman" w:cs="Times New Roman"/>
          <w:sz w:val="24"/>
          <w:szCs w:val="24"/>
          <w:lang w:val="en-GB"/>
        </w:rPr>
        <w:t>noted that</w:t>
      </w:r>
      <w:r w:rsidR="00FD28DE">
        <w:rPr>
          <w:rFonts w:ascii="Times New Roman" w:hAnsi="Times New Roman" w:cs="Times New Roman"/>
          <w:sz w:val="24"/>
          <w:szCs w:val="24"/>
          <w:lang w:val="en-GB"/>
        </w:rPr>
        <w:t>,</w:t>
      </w:r>
      <w:r>
        <w:rPr>
          <w:rFonts w:ascii="Times New Roman" w:hAnsi="Times New Roman" w:cs="Times New Roman"/>
          <w:sz w:val="24"/>
          <w:szCs w:val="24"/>
          <w:lang w:val="en-GB"/>
        </w:rPr>
        <w:t xml:space="preserve"> despite the number of accounts accessed and the number of customers affected, the loss was that of the Bank of Ireland rather than the individual customers, though it is the case that </w:t>
      </w:r>
      <w:r w:rsidR="00255B2C">
        <w:rPr>
          <w:rFonts w:ascii="Times New Roman" w:hAnsi="Times New Roman" w:cs="Times New Roman"/>
          <w:sz w:val="24"/>
          <w:szCs w:val="24"/>
          <w:lang w:val="en-GB"/>
        </w:rPr>
        <w:t>individual customers were considerably inconvenienced, and in some cases, much distressed by what had occurred.</w:t>
      </w:r>
    </w:p>
    <w:p w:rsidR="00875DDF" w:rsidRDefault="00875DDF" w:rsidP="00875DDF">
      <w:pPr>
        <w:pStyle w:val="ListParagraph"/>
        <w:spacing w:after="0" w:line="480" w:lineRule="auto"/>
        <w:ind w:left="0"/>
        <w:rPr>
          <w:rFonts w:ascii="Times New Roman" w:hAnsi="Times New Roman" w:cs="Times New Roman"/>
          <w:sz w:val="24"/>
          <w:szCs w:val="24"/>
          <w:lang w:val="en-GB"/>
        </w:rPr>
      </w:pPr>
    </w:p>
    <w:p w:rsidR="00875DDF" w:rsidRPr="00875DDF" w:rsidRDefault="006D4CAF" w:rsidP="00875DDF">
      <w:pPr>
        <w:pStyle w:val="ListParagraph"/>
        <w:spacing w:after="0" w:line="480" w:lineRule="auto"/>
        <w:ind w:left="0"/>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 xml:space="preserve">Personal </w:t>
      </w:r>
      <w:r w:rsidR="00914D7E">
        <w:rPr>
          <w:rFonts w:ascii="Times New Roman" w:hAnsi="Times New Roman" w:cs="Times New Roman"/>
          <w:b/>
          <w:bCs/>
          <w:sz w:val="24"/>
          <w:szCs w:val="24"/>
          <w:u w:val="single"/>
          <w:lang w:val="en-GB"/>
        </w:rPr>
        <w:t>c</w:t>
      </w:r>
      <w:r>
        <w:rPr>
          <w:rFonts w:ascii="Times New Roman" w:hAnsi="Times New Roman" w:cs="Times New Roman"/>
          <w:b/>
          <w:bCs/>
          <w:sz w:val="24"/>
          <w:szCs w:val="24"/>
          <w:u w:val="single"/>
          <w:lang w:val="en-GB"/>
        </w:rPr>
        <w:t xml:space="preserve">ircumstances of the </w:t>
      </w:r>
      <w:r w:rsidR="00914D7E">
        <w:rPr>
          <w:rFonts w:ascii="Times New Roman" w:hAnsi="Times New Roman" w:cs="Times New Roman"/>
          <w:b/>
          <w:bCs/>
          <w:sz w:val="24"/>
          <w:szCs w:val="24"/>
          <w:u w:val="single"/>
          <w:lang w:val="en-GB"/>
        </w:rPr>
        <w:t>a</w:t>
      </w:r>
      <w:r w:rsidR="00875DDF" w:rsidRPr="00875DDF">
        <w:rPr>
          <w:rFonts w:ascii="Times New Roman" w:hAnsi="Times New Roman" w:cs="Times New Roman"/>
          <w:b/>
          <w:bCs/>
          <w:sz w:val="24"/>
          <w:szCs w:val="24"/>
          <w:u w:val="single"/>
          <w:lang w:val="en-GB"/>
        </w:rPr>
        <w:t>ppellant</w:t>
      </w:r>
    </w:p>
    <w:p w:rsidR="00FD28DE" w:rsidRPr="00FD28DE" w:rsidRDefault="00875DDF" w:rsidP="00875DDF">
      <w:pPr>
        <w:pStyle w:val="ListParagraph"/>
        <w:numPr>
          <w:ilvl w:val="0"/>
          <w:numId w:val="1"/>
        </w:numPr>
        <w:spacing w:after="0" w:line="480" w:lineRule="auto"/>
        <w:ind w:left="0" w:firstLine="0"/>
        <w:rPr>
          <w:rFonts w:ascii="Times New Roman" w:hAnsi="Times New Roman" w:cs="Times New Roman"/>
          <w:i/>
          <w:sz w:val="24"/>
          <w:szCs w:val="24"/>
          <w:lang w:val="en-GB"/>
        </w:rPr>
      </w:pPr>
      <w:r w:rsidRPr="00875DDF">
        <w:rPr>
          <w:rFonts w:ascii="Times New Roman" w:hAnsi="Times New Roman" w:cs="Times New Roman"/>
          <w:sz w:val="24"/>
          <w:szCs w:val="24"/>
          <w:lang w:val="en-GB"/>
        </w:rPr>
        <w:t xml:space="preserve">In terms of the appellant’s background and personal circumstances, he had six previous convictions recorded, though none from this jurisdiction. Significantly, though, </w:t>
      </w:r>
      <w:r w:rsidR="00FD28DE">
        <w:rPr>
          <w:rFonts w:ascii="Times New Roman" w:hAnsi="Times New Roman" w:cs="Times New Roman"/>
          <w:sz w:val="24"/>
          <w:szCs w:val="24"/>
          <w:lang w:val="en-GB"/>
        </w:rPr>
        <w:t>the appellant has t</w:t>
      </w:r>
      <w:r w:rsidRPr="00875DDF">
        <w:rPr>
          <w:rFonts w:ascii="Times New Roman" w:hAnsi="Times New Roman" w:cs="Times New Roman"/>
          <w:sz w:val="24"/>
          <w:szCs w:val="24"/>
          <w:lang w:val="en-GB"/>
        </w:rPr>
        <w:t>wo relevant</w:t>
      </w:r>
      <w:r w:rsidR="00FD28DE">
        <w:rPr>
          <w:rFonts w:ascii="Times New Roman" w:hAnsi="Times New Roman" w:cs="Times New Roman"/>
          <w:sz w:val="24"/>
          <w:szCs w:val="24"/>
          <w:lang w:val="en-GB"/>
        </w:rPr>
        <w:t xml:space="preserve"> previous</w:t>
      </w:r>
      <w:r w:rsidRPr="00875DDF">
        <w:rPr>
          <w:rFonts w:ascii="Times New Roman" w:hAnsi="Times New Roman" w:cs="Times New Roman"/>
          <w:sz w:val="24"/>
          <w:szCs w:val="24"/>
          <w:lang w:val="en-GB"/>
        </w:rPr>
        <w:t xml:space="preserve"> convictions </w:t>
      </w:r>
      <w:r w:rsidR="00FD28DE">
        <w:rPr>
          <w:rFonts w:ascii="Times New Roman" w:hAnsi="Times New Roman" w:cs="Times New Roman"/>
          <w:sz w:val="24"/>
          <w:szCs w:val="24"/>
          <w:lang w:val="en-GB"/>
        </w:rPr>
        <w:t>from</w:t>
      </w:r>
      <w:r w:rsidRPr="00875DDF">
        <w:rPr>
          <w:rFonts w:ascii="Times New Roman" w:hAnsi="Times New Roman" w:cs="Times New Roman"/>
          <w:sz w:val="24"/>
          <w:szCs w:val="24"/>
          <w:lang w:val="en-GB"/>
        </w:rPr>
        <w:t xml:space="preserve"> the UK. In 2015, the appellant was convicted of possession of an article for use in fraud</w:t>
      </w:r>
      <w:r w:rsidR="00FD28DE">
        <w:rPr>
          <w:rFonts w:ascii="Times New Roman" w:hAnsi="Times New Roman" w:cs="Times New Roman"/>
          <w:sz w:val="24"/>
          <w:szCs w:val="24"/>
          <w:lang w:val="en-GB"/>
        </w:rPr>
        <w:t>,</w:t>
      </w:r>
      <w:r w:rsidRPr="00875DDF">
        <w:rPr>
          <w:rFonts w:ascii="Times New Roman" w:hAnsi="Times New Roman" w:cs="Times New Roman"/>
          <w:sz w:val="24"/>
          <w:szCs w:val="24"/>
          <w:lang w:val="en-GB"/>
        </w:rPr>
        <w:t xml:space="preserve"> and received an eight-month sentence</w:t>
      </w:r>
      <w:r w:rsidR="00FD28DE">
        <w:rPr>
          <w:rFonts w:ascii="Times New Roman" w:hAnsi="Times New Roman" w:cs="Times New Roman"/>
          <w:sz w:val="24"/>
          <w:szCs w:val="24"/>
          <w:lang w:val="en-GB"/>
        </w:rPr>
        <w:t>. I</w:t>
      </w:r>
      <w:r w:rsidRPr="00875DDF">
        <w:rPr>
          <w:rFonts w:ascii="Times New Roman" w:hAnsi="Times New Roman" w:cs="Times New Roman"/>
          <w:sz w:val="24"/>
          <w:szCs w:val="24"/>
          <w:lang w:val="en-GB"/>
        </w:rPr>
        <w:t xml:space="preserve">n 2012, he was convicted </w:t>
      </w:r>
      <w:r w:rsidR="00FD28DE">
        <w:rPr>
          <w:rFonts w:ascii="Times New Roman" w:hAnsi="Times New Roman" w:cs="Times New Roman"/>
          <w:sz w:val="24"/>
          <w:szCs w:val="24"/>
          <w:lang w:val="en-GB"/>
        </w:rPr>
        <w:t xml:space="preserve">again </w:t>
      </w:r>
      <w:r w:rsidRPr="00875DDF">
        <w:rPr>
          <w:rFonts w:ascii="Times New Roman" w:hAnsi="Times New Roman" w:cs="Times New Roman"/>
          <w:sz w:val="24"/>
          <w:szCs w:val="24"/>
          <w:lang w:val="en-GB"/>
        </w:rPr>
        <w:t>of possession of an article for use in a fraud and received a twelve-month probation order. It is accepted that both of these offences related to the possession of so-called skimming devices.</w:t>
      </w:r>
    </w:p>
    <w:p w:rsidR="00875DDF" w:rsidRPr="00875DDF" w:rsidRDefault="00FD28DE" w:rsidP="00875DDF">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The appellant</w:t>
      </w:r>
      <w:r w:rsidR="00875DDF" w:rsidRPr="00875DDF">
        <w:rPr>
          <w:rFonts w:ascii="Times New Roman" w:hAnsi="Times New Roman" w:cs="Times New Roman"/>
          <w:sz w:val="24"/>
          <w:szCs w:val="24"/>
          <w:lang w:val="en-GB"/>
        </w:rPr>
        <w:t xml:space="preserve"> was born on 3</w:t>
      </w:r>
      <w:r w:rsidR="00875DDF" w:rsidRPr="00875DDF">
        <w:rPr>
          <w:rFonts w:ascii="Times New Roman" w:hAnsi="Times New Roman" w:cs="Times New Roman"/>
          <w:sz w:val="24"/>
          <w:szCs w:val="24"/>
          <w:vertAlign w:val="superscript"/>
          <w:lang w:val="en-GB"/>
        </w:rPr>
        <w:t>rd</w:t>
      </w:r>
      <w:r w:rsidR="00875DDF" w:rsidRPr="00875DDF">
        <w:rPr>
          <w:rFonts w:ascii="Times New Roman" w:hAnsi="Times New Roman" w:cs="Times New Roman"/>
          <w:sz w:val="24"/>
          <w:szCs w:val="24"/>
          <w:lang w:val="en-GB"/>
        </w:rPr>
        <w:t xml:space="preserve"> March 1989</w:t>
      </w:r>
      <w:r>
        <w:rPr>
          <w:rFonts w:ascii="Times New Roman" w:hAnsi="Times New Roman" w:cs="Times New Roman"/>
          <w:sz w:val="24"/>
          <w:szCs w:val="24"/>
          <w:lang w:val="en-GB"/>
        </w:rPr>
        <w:t>, and t</w:t>
      </w:r>
      <w:r w:rsidR="00875DDF" w:rsidRPr="00875DDF">
        <w:rPr>
          <w:rFonts w:ascii="Times New Roman" w:hAnsi="Times New Roman" w:cs="Times New Roman"/>
          <w:sz w:val="24"/>
          <w:szCs w:val="24"/>
          <w:lang w:val="en-GB"/>
        </w:rPr>
        <w:t>he Court was told that he had a wife and family in Romania. The Court heard that he had been in custody since 4</w:t>
      </w:r>
      <w:r w:rsidR="00875DDF" w:rsidRPr="00875DDF">
        <w:rPr>
          <w:rFonts w:ascii="Times New Roman" w:hAnsi="Times New Roman" w:cs="Times New Roman"/>
          <w:sz w:val="24"/>
          <w:szCs w:val="24"/>
          <w:vertAlign w:val="superscript"/>
          <w:lang w:val="en-GB"/>
        </w:rPr>
        <w:t>th</w:t>
      </w:r>
      <w:r w:rsidR="00875DDF" w:rsidRPr="00875DDF">
        <w:rPr>
          <w:rFonts w:ascii="Times New Roman" w:hAnsi="Times New Roman" w:cs="Times New Roman"/>
          <w:sz w:val="24"/>
          <w:szCs w:val="24"/>
          <w:lang w:val="en-GB"/>
        </w:rPr>
        <w:t xml:space="preserve"> March 2019</w:t>
      </w:r>
      <w:r>
        <w:rPr>
          <w:rFonts w:ascii="Times New Roman" w:hAnsi="Times New Roman" w:cs="Times New Roman"/>
          <w:sz w:val="24"/>
          <w:szCs w:val="24"/>
          <w:lang w:val="en-GB"/>
        </w:rPr>
        <w:t>,</w:t>
      </w:r>
      <w:r w:rsidR="00875DDF" w:rsidRPr="00875DDF">
        <w:rPr>
          <w:rFonts w:ascii="Times New Roman" w:hAnsi="Times New Roman" w:cs="Times New Roman"/>
          <w:sz w:val="24"/>
          <w:szCs w:val="24"/>
          <w:lang w:val="en-GB"/>
        </w:rPr>
        <w:t xml:space="preserve"> and that he had been behaving positively while in custody. The Court was told that it was his intention to leave Ireland once he had completed his sentence</w:t>
      </w:r>
      <w:r>
        <w:rPr>
          <w:rFonts w:ascii="Times New Roman" w:hAnsi="Times New Roman" w:cs="Times New Roman"/>
          <w:sz w:val="24"/>
          <w:szCs w:val="24"/>
          <w:lang w:val="en-GB"/>
        </w:rPr>
        <w:t>, in order</w:t>
      </w:r>
      <w:r w:rsidR="00875DDF" w:rsidRPr="00875DDF">
        <w:rPr>
          <w:rFonts w:ascii="Times New Roman" w:hAnsi="Times New Roman" w:cs="Times New Roman"/>
          <w:sz w:val="24"/>
          <w:szCs w:val="24"/>
          <w:lang w:val="en-GB"/>
        </w:rPr>
        <w:t xml:space="preserve"> to return to Romania.</w:t>
      </w:r>
    </w:p>
    <w:p w:rsidR="00C47E25" w:rsidRDefault="00C47E25" w:rsidP="00C47E25">
      <w:pPr>
        <w:pStyle w:val="ListParagraph"/>
        <w:spacing w:after="0" w:line="480" w:lineRule="auto"/>
        <w:ind w:left="0"/>
        <w:rPr>
          <w:rFonts w:ascii="Times New Roman" w:hAnsi="Times New Roman" w:cs="Times New Roman"/>
          <w:sz w:val="24"/>
          <w:szCs w:val="24"/>
          <w:lang w:val="en-GB"/>
        </w:rPr>
      </w:pPr>
    </w:p>
    <w:p w:rsidR="00C47E25" w:rsidRPr="00C47E25" w:rsidRDefault="006D4CAF" w:rsidP="00C47E25">
      <w:pPr>
        <w:pStyle w:val="ListParagraph"/>
        <w:spacing w:after="0" w:line="480" w:lineRule="auto"/>
        <w:ind w:left="0"/>
        <w:rPr>
          <w:rFonts w:ascii="Times New Roman" w:hAnsi="Times New Roman" w:cs="Times New Roman"/>
          <w:b/>
          <w:bCs/>
          <w:i/>
          <w:sz w:val="24"/>
          <w:szCs w:val="24"/>
          <w:u w:val="single"/>
          <w:lang w:val="en-GB"/>
        </w:rPr>
      </w:pPr>
      <w:r>
        <w:rPr>
          <w:rFonts w:ascii="Times New Roman" w:hAnsi="Times New Roman" w:cs="Times New Roman"/>
          <w:b/>
          <w:bCs/>
          <w:sz w:val="24"/>
          <w:szCs w:val="24"/>
          <w:u w:val="single"/>
          <w:lang w:val="en-GB"/>
        </w:rPr>
        <w:t xml:space="preserve">The </w:t>
      </w:r>
      <w:r w:rsidR="00914D7E">
        <w:rPr>
          <w:rFonts w:ascii="Times New Roman" w:hAnsi="Times New Roman" w:cs="Times New Roman"/>
          <w:b/>
          <w:bCs/>
          <w:sz w:val="24"/>
          <w:szCs w:val="24"/>
          <w:u w:val="single"/>
          <w:lang w:val="en-GB"/>
        </w:rPr>
        <w:t>s</w:t>
      </w:r>
      <w:r w:rsidR="00C47E25" w:rsidRPr="00C47E25">
        <w:rPr>
          <w:rFonts w:ascii="Times New Roman" w:hAnsi="Times New Roman" w:cs="Times New Roman"/>
          <w:b/>
          <w:bCs/>
          <w:sz w:val="24"/>
          <w:szCs w:val="24"/>
          <w:u w:val="single"/>
          <w:lang w:val="en-GB"/>
        </w:rPr>
        <w:t>entence</w:t>
      </w:r>
    </w:p>
    <w:p w:rsidR="00B966BA" w:rsidRPr="00B966BA" w:rsidRDefault="00255B2C" w:rsidP="00742CCC">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The judge’s approach to sentencing was to identify a headline sentence for the offence of </w:t>
      </w:r>
      <w:r w:rsidR="00D93B58">
        <w:rPr>
          <w:rFonts w:ascii="Times New Roman" w:hAnsi="Times New Roman" w:cs="Times New Roman"/>
          <w:sz w:val="24"/>
          <w:szCs w:val="24"/>
          <w:lang w:val="en-GB"/>
        </w:rPr>
        <w:t xml:space="preserve">being </w:t>
      </w:r>
      <w:r w:rsidR="000919F4">
        <w:rPr>
          <w:rFonts w:ascii="Times New Roman" w:hAnsi="Times New Roman" w:cs="Times New Roman"/>
          <w:sz w:val="24"/>
          <w:szCs w:val="24"/>
          <w:lang w:val="en-GB"/>
        </w:rPr>
        <w:t>involved</w:t>
      </w:r>
      <w:r>
        <w:rPr>
          <w:rFonts w:ascii="Times New Roman" w:hAnsi="Times New Roman" w:cs="Times New Roman"/>
          <w:sz w:val="24"/>
          <w:szCs w:val="24"/>
          <w:lang w:val="en-GB"/>
        </w:rPr>
        <w:t xml:space="preserve"> a criminal organisation </w:t>
      </w:r>
      <w:r w:rsidR="00C47E25">
        <w:rPr>
          <w:rFonts w:ascii="Times New Roman" w:hAnsi="Times New Roman" w:cs="Times New Roman"/>
          <w:sz w:val="24"/>
          <w:szCs w:val="24"/>
          <w:lang w:val="en-GB"/>
        </w:rPr>
        <w:t>as</w:t>
      </w:r>
      <w:r>
        <w:rPr>
          <w:rFonts w:ascii="Times New Roman" w:hAnsi="Times New Roman" w:cs="Times New Roman"/>
          <w:sz w:val="24"/>
          <w:szCs w:val="24"/>
          <w:lang w:val="en-GB"/>
        </w:rPr>
        <w:t xml:space="preserve"> </w:t>
      </w:r>
      <w:r w:rsidR="00ED5983">
        <w:rPr>
          <w:rFonts w:ascii="Times New Roman" w:hAnsi="Times New Roman" w:cs="Times New Roman"/>
          <w:sz w:val="24"/>
          <w:szCs w:val="24"/>
          <w:lang w:val="en-GB"/>
        </w:rPr>
        <w:t>eleven</w:t>
      </w:r>
      <w:r>
        <w:rPr>
          <w:rFonts w:ascii="Times New Roman" w:hAnsi="Times New Roman" w:cs="Times New Roman"/>
          <w:sz w:val="24"/>
          <w:szCs w:val="24"/>
          <w:lang w:val="en-GB"/>
        </w:rPr>
        <w:t xml:space="preserve"> years, headline sentences of ten years for the false instrument counts</w:t>
      </w:r>
      <w:r w:rsidR="00C47E25">
        <w:rPr>
          <w:rFonts w:ascii="Times New Roman" w:hAnsi="Times New Roman" w:cs="Times New Roman"/>
          <w:sz w:val="24"/>
          <w:szCs w:val="24"/>
          <w:lang w:val="en-GB"/>
        </w:rPr>
        <w:t>,</w:t>
      </w:r>
      <w:r>
        <w:rPr>
          <w:rFonts w:ascii="Times New Roman" w:hAnsi="Times New Roman" w:cs="Times New Roman"/>
          <w:sz w:val="24"/>
          <w:szCs w:val="24"/>
          <w:lang w:val="en-GB"/>
        </w:rPr>
        <w:t xml:space="preserve"> and headline sentences of nine and a half years for the theft counts. Two grounds of appeal are advanced</w:t>
      </w:r>
      <w:r w:rsidR="00FD28D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D28DE">
        <w:rPr>
          <w:rFonts w:ascii="Times New Roman" w:hAnsi="Times New Roman" w:cs="Times New Roman"/>
          <w:sz w:val="24"/>
          <w:szCs w:val="24"/>
          <w:lang w:val="en-GB"/>
        </w:rPr>
        <w:t>F</w:t>
      </w:r>
      <w:r>
        <w:rPr>
          <w:rFonts w:ascii="Times New Roman" w:hAnsi="Times New Roman" w:cs="Times New Roman"/>
          <w:sz w:val="24"/>
          <w:szCs w:val="24"/>
          <w:lang w:val="en-GB"/>
        </w:rPr>
        <w:t>irstly,</w:t>
      </w:r>
      <w:r w:rsidR="00FD28DE">
        <w:rPr>
          <w:rFonts w:ascii="Times New Roman" w:hAnsi="Times New Roman" w:cs="Times New Roman"/>
          <w:sz w:val="24"/>
          <w:szCs w:val="24"/>
          <w:lang w:val="en-GB"/>
        </w:rPr>
        <w:t xml:space="preserve"> it is said</w:t>
      </w:r>
      <w:r>
        <w:rPr>
          <w:rFonts w:ascii="Times New Roman" w:hAnsi="Times New Roman" w:cs="Times New Roman"/>
          <w:sz w:val="24"/>
          <w:szCs w:val="24"/>
          <w:lang w:val="en-GB"/>
        </w:rPr>
        <w:t xml:space="preserve"> that the judge erred in identifying inappropriately high headline</w:t>
      </w:r>
      <w:r w:rsidR="0019070E">
        <w:rPr>
          <w:rFonts w:ascii="Times New Roman" w:hAnsi="Times New Roman" w:cs="Times New Roman"/>
          <w:sz w:val="24"/>
          <w:szCs w:val="24"/>
          <w:lang w:val="en-GB"/>
        </w:rPr>
        <w:t xml:space="preserve"> sentences</w:t>
      </w:r>
      <w:r>
        <w:rPr>
          <w:rFonts w:ascii="Times New Roman" w:hAnsi="Times New Roman" w:cs="Times New Roman"/>
          <w:sz w:val="24"/>
          <w:szCs w:val="24"/>
          <w:lang w:val="en-GB"/>
        </w:rPr>
        <w:t>. It is pointed out that the headline figures were at</w:t>
      </w:r>
      <w:r w:rsidR="00FD28DE">
        <w:rPr>
          <w:rFonts w:ascii="Times New Roman" w:hAnsi="Times New Roman" w:cs="Times New Roman"/>
          <w:sz w:val="24"/>
          <w:szCs w:val="24"/>
          <w:lang w:val="en-GB"/>
        </w:rPr>
        <w:t>,</w:t>
      </w:r>
      <w:r>
        <w:rPr>
          <w:rFonts w:ascii="Times New Roman" w:hAnsi="Times New Roman" w:cs="Times New Roman"/>
          <w:sz w:val="24"/>
          <w:szCs w:val="24"/>
          <w:lang w:val="en-GB"/>
        </w:rPr>
        <w:t xml:space="preserve"> or close to</w:t>
      </w:r>
      <w:r w:rsidR="00FD28DE">
        <w:rPr>
          <w:rFonts w:ascii="Times New Roman" w:hAnsi="Times New Roman" w:cs="Times New Roman"/>
          <w:sz w:val="24"/>
          <w:szCs w:val="24"/>
          <w:lang w:val="en-GB"/>
        </w:rPr>
        <w:t>,</w:t>
      </w:r>
      <w:r>
        <w:rPr>
          <w:rFonts w:ascii="Times New Roman" w:hAnsi="Times New Roman" w:cs="Times New Roman"/>
          <w:sz w:val="24"/>
          <w:szCs w:val="24"/>
          <w:lang w:val="en-GB"/>
        </w:rPr>
        <w:t xml:space="preserve"> the maximum</w:t>
      </w:r>
      <w:r w:rsidR="00F679D6">
        <w:rPr>
          <w:rFonts w:ascii="Times New Roman" w:hAnsi="Times New Roman" w:cs="Times New Roman"/>
          <w:sz w:val="24"/>
          <w:szCs w:val="24"/>
          <w:lang w:val="en-GB"/>
        </w:rPr>
        <w:t xml:space="preserve"> sentences </w:t>
      </w:r>
      <w:r>
        <w:rPr>
          <w:rFonts w:ascii="Times New Roman" w:hAnsi="Times New Roman" w:cs="Times New Roman"/>
          <w:sz w:val="24"/>
          <w:szCs w:val="24"/>
          <w:lang w:val="en-GB"/>
        </w:rPr>
        <w:t xml:space="preserve">available. </w:t>
      </w:r>
      <w:r w:rsidR="000919F4">
        <w:rPr>
          <w:rFonts w:ascii="Times New Roman" w:hAnsi="Times New Roman" w:cs="Times New Roman"/>
          <w:sz w:val="24"/>
          <w:szCs w:val="24"/>
          <w:lang w:val="en-GB"/>
        </w:rPr>
        <w:t>While that is true in relation to the false instrument and theft offences, it is not entirely accurate in relation to the criminal organisation offence</w:t>
      </w:r>
      <w:r w:rsidR="0019070E">
        <w:rPr>
          <w:rFonts w:ascii="Times New Roman" w:hAnsi="Times New Roman" w:cs="Times New Roman"/>
          <w:sz w:val="24"/>
          <w:szCs w:val="24"/>
          <w:lang w:val="en-GB"/>
        </w:rPr>
        <w:t>,</w:t>
      </w:r>
      <w:r w:rsidR="000919F4">
        <w:rPr>
          <w:rFonts w:ascii="Times New Roman" w:hAnsi="Times New Roman" w:cs="Times New Roman"/>
          <w:sz w:val="24"/>
          <w:szCs w:val="24"/>
          <w:lang w:val="en-GB"/>
        </w:rPr>
        <w:t xml:space="preserve"> where the maximum sentence available </w:t>
      </w:r>
      <w:r w:rsidR="00F679D6">
        <w:rPr>
          <w:rFonts w:ascii="Times New Roman" w:hAnsi="Times New Roman" w:cs="Times New Roman"/>
          <w:sz w:val="24"/>
          <w:szCs w:val="24"/>
          <w:lang w:val="en-GB"/>
        </w:rPr>
        <w:t>i</w:t>
      </w:r>
      <w:r w:rsidR="000919F4">
        <w:rPr>
          <w:rFonts w:ascii="Times New Roman" w:hAnsi="Times New Roman" w:cs="Times New Roman"/>
          <w:sz w:val="24"/>
          <w:szCs w:val="24"/>
          <w:lang w:val="en-GB"/>
        </w:rPr>
        <w:t>s on</w:t>
      </w:r>
      <w:r w:rsidR="00ED5983">
        <w:rPr>
          <w:rFonts w:ascii="Times New Roman" w:hAnsi="Times New Roman" w:cs="Times New Roman"/>
          <w:sz w:val="24"/>
          <w:szCs w:val="24"/>
          <w:lang w:val="en-GB"/>
        </w:rPr>
        <w:t>e</w:t>
      </w:r>
      <w:r w:rsidR="000919F4">
        <w:rPr>
          <w:rFonts w:ascii="Times New Roman" w:hAnsi="Times New Roman" w:cs="Times New Roman"/>
          <w:sz w:val="24"/>
          <w:szCs w:val="24"/>
          <w:lang w:val="en-GB"/>
        </w:rPr>
        <w:t xml:space="preserve"> of </w:t>
      </w:r>
      <w:r w:rsidR="00ED5983">
        <w:rPr>
          <w:rFonts w:ascii="Times New Roman" w:hAnsi="Times New Roman" w:cs="Times New Roman"/>
          <w:sz w:val="24"/>
          <w:szCs w:val="24"/>
          <w:lang w:val="en-GB"/>
        </w:rPr>
        <w:t>fifteen</w:t>
      </w:r>
      <w:r w:rsidR="000919F4">
        <w:rPr>
          <w:rFonts w:ascii="Times New Roman" w:hAnsi="Times New Roman" w:cs="Times New Roman"/>
          <w:sz w:val="24"/>
          <w:szCs w:val="24"/>
          <w:lang w:val="en-GB"/>
        </w:rPr>
        <w:t xml:space="preserve"> years. </w:t>
      </w:r>
      <w:r>
        <w:rPr>
          <w:rFonts w:ascii="Times New Roman" w:hAnsi="Times New Roman" w:cs="Times New Roman"/>
          <w:sz w:val="24"/>
          <w:szCs w:val="24"/>
          <w:lang w:val="en-GB"/>
        </w:rPr>
        <w:t xml:space="preserve">Secondly, it is said that there was then inadequate allowance for the </w:t>
      </w:r>
      <w:r w:rsidR="0019070E">
        <w:rPr>
          <w:rFonts w:ascii="Times New Roman" w:hAnsi="Times New Roman" w:cs="Times New Roman"/>
          <w:sz w:val="24"/>
          <w:szCs w:val="24"/>
          <w:lang w:val="en-GB"/>
        </w:rPr>
        <w:t xml:space="preserve">mitigating </w:t>
      </w:r>
      <w:r>
        <w:rPr>
          <w:rFonts w:ascii="Times New Roman" w:hAnsi="Times New Roman" w:cs="Times New Roman"/>
          <w:sz w:val="24"/>
          <w:szCs w:val="24"/>
          <w:lang w:val="en-GB"/>
        </w:rPr>
        <w:t xml:space="preserve">factors that were present, which included </w:t>
      </w:r>
      <w:r w:rsidR="00102C4D">
        <w:rPr>
          <w:rFonts w:ascii="Times New Roman" w:hAnsi="Times New Roman" w:cs="Times New Roman"/>
          <w:sz w:val="24"/>
          <w:szCs w:val="24"/>
          <w:lang w:val="en-GB"/>
        </w:rPr>
        <w:t>early admissio</w:t>
      </w:r>
      <w:r w:rsidR="00B966BA">
        <w:rPr>
          <w:rFonts w:ascii="Times New Roman" w:hAnsi="Times New Roman" w:cs="Times New Roman"/>
          <w:sz w:val="24"/>
          <w:szCs w:val="24"/>
          <w:lang w:val="en-GB"/>
        </w:rPr>
        <w:t>ns and an early plea of guilty</w:t>
      </w:r>
      <w:r w:rsidR="0019070E">
        <w:rPr>
          <w:rFonts w:ascii="Times New Roman" w:hAnsi="Times New Roman" w:cs="Times New Roman"/>
          <w:sz w:val="24"/>
          <w:szCs w:val="24"/>
          <w:lang w:val="en-GB"/>
        </w:rPr>
        <w:t>;</w:t>
      </w:r>
      <w:r w:rsidR="00B966BA">
        <w:rPr>
          <w:rFonts w:ascii="Times New Roman" w:hAnsi="Times New Roman" w:cs="Times New Roman"/>
          <w:sz w:val="24"/>
          <w:szCs w:val="24"/>
          <w:lang w:val="en-GB"/>
        </w:rPr>
        <w:t xml:space="preserve"> a plea which it is </w:t>
      </w:r>
      <w:r w:rsidR="00102C4D">
        <w:rPr>
          <w:rFonts w:ascii="Times New Roman" w:hAnsi="Times New Roman" w:cs="Times New Roman"/>
          <w:sz w:val="24"/>
          <w:szCs w:val="24"/>
          <w:lang w:val="en-GB"/>
        </w:rPr>
        <w:t xml:space="preserve">contended </w:t>
      </w:r>
      <w:r w:rsidR="00B966BA">
        <w:rPr>
          <w:rFonts w:ascii="Times New Roman" w:hAnsi="Times New Roman" w:cs="Times New Roman"/>
          <w:sz w:val="24"/>
          <w:szCs w:val="24"/>
          <w:lang w:val="en-GB"/>
        </w:rPr>
        <w:t>was particular</w:t>
      </w:r>
      <w:r w:rsidR="0019070E">
        <w:rPr>
          <w:rFonts w:ascii="Times New Roman" w:hAnsi="Times New Roman" w:cs="Times New Roman"/>
          <w:sz w:val="24"/>
          <w:szCs w:val="24"/>
          <w:lang w:val="en-GB"/>
        </w:rPr>
        <w:t>ly</w:t>
      </w:r>
      <w:r w:rsidR="00B966BA">
        <w:rPr>
          <w:rFonts w:ascii="Times New Roman" w:hAnsi="Times New Roman" w:cs="Times New Roman"/>
          <w:sz w:val="24"/>
          <w:szCs w:val="24"/>
          <w:lang w:val="en-GB"/>
        </w:rPr>
        <w:t xml:space="preserve"> valuable as a contested trial would have been complex, and whatever about being complex, would certainly have been lengthy.</w:t>
      </w:r>
    </w:p>
    <w:p w:rsidR="00875DDF" w:rsidRPr="00875DDF" w:rsidRDefault="00B966BA" w:rsidP="00875DDF">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It is contended </w:t>
      </w:r>
      <w:r w:rsidR="00102C4D">
        <w:rPr>
          <w:rFonts w:ascii="Times New Roman" w:hAnsi="Times New Roman" w:cs="Times New Roman"/>
          <w:sz w:val="24"/>
          <w:szCs w:val="24"/>
          <w:lang w:val="en-GB"/>
        </w:rPr>
        <w:t>that the sentence imposed was out of line with those that have been imposed in other cases. There is reference to decisions of this Court</w:t>
      </w:r>
      <w:r w:rsidR="006D4CAF">
        <w:rPr>
          <w:rFonts w:ascii="Times New Roman" w:hAnsi="Times New Roman" w:cs="Times New Roman"/>
          <w:sz w:val="24"/>
          <w:szCs w:val="24"/>
          <w:lang w:val="en-GB"/>
        </w:rPr>
        <w:t xml:space="preserve"> which were seen</w:t>
      </w:r>
      <w:r w:rsidR="00A22FF6">
        <w:rPr>
          <w:rFonts w:ascii="Times New Roman" w:hAnsi="Times New Roman" w:cs="Times New Roman"/>
          <w:sz w:val="24"/>
          <w:szCs w:val="24"/>
          <w:lang w:val="en-GB"/>
        </w:rPr>
        <w:t xml:space="preserve"> to be relevant, decisions of trial courts, </w:t>
      </w:r>
      <w:r w:rsidR="00875DDF">
        <w:rPr>
          <w:rFonts w:ascii="Times New Roman" w:hAnsi="Times New Roman" w:cs="Times New Roman"/>
          <w:sz w:val="24"/>
          <w:szCs w:val="24"/>
          <w:lang w:val="en-GB"/>
        </w:rPr>
        <w:t xml:space="preserve">and </w:t>
      </w:r>
      <w:r w:rsidR="00A22FF6">
        <w:rPr>
          <w:rFonts w:ascii="Times New Roman" w:hAnsi="Times New Roman" w:cs="Times New Roman"/>
          <w:sz w:val="24"/>
          <w:szCs w:val="24"/>
          <w:lang w:val="en-GB"/>
        </w:rPr>
        <w:t>in particular</w:t>
      </w:r>
      <w:r w:rsidR="00F679D6">
        <w:rPr>
          <w:rFonts w:ascii="Times New Roman" w:hAnsi="Times New Roman" w:cs="Times New Roman"/>
          <w:sz w:val="24"/>
          <w:szCs w:val="24"/>
          <w:lang w:val="en-GB"/>
        </w:rPr>
        <w:t>, decisions of</w:t>
      </w:r>
      <w:r w:rsidR="00A22FF6">
        <w:rPr>
          <w:rFonts w:ascii="Times New Roman" w:hAnsi="Times New Roman" w:cs="Times New Roman"/>
          <w:sz w:val="24"/>
          <w:szCs w:val="24"/>
          <w:lang w:val="en-GB"/>
        </w:rPr>
        <w:t xml:space="preserve"> the Special Criminal Court</w:t>
      </w:r>
      <w:r w:rsidR="00875DDF">
        <w:rPr>
          <w:rFonts w:ascii="Times New Roman" w:hAnsi="Times New Roman" w:cs="Times New Roman"/>
          <w:sz w:val="24"/>
          <w:szCs w:val="24"/>
          <w:lang w:val="en-GB"/>
        </w:rPr>
        <w:t>.</w:t>
      </w:r>
      <w:r w:rsidR="00A22FF6">
        <w:rPr>
          <w:rFonts w:ascii="Times New Roman" w:hAnsi="Times New Roman" w:cs="Times New Roman"/>
          <w:sz w:val="24"/>
          <w:szCs w:val="24"/>
          <w:lang w:val="en-GB"/>
        </w:rPr>
        <w:t xml:space="preserve"> </w:t>
      </w:r>
      <w:r w:rsidR="00875DDF">
        <w:rPr>
          <w:rFonts w:ascii="Times New Roman" w:hAnsi="Times New Roman" w:cs="Times New Roman"/>
          <w:sz w:val="24"/>
          <w:szCs w:val="24"/>
          <w:lang w:val="en-GB"/>
        </w:rPr>
        <w:t>T</w:t>
      </w:r>
      <w:r w:rsidR="00A22FF6">
        <w:rPr>
          <w:rFonts w:ascii="Times New Roman" w:hAnsi="Times New Roman" w:cs="Times New Roman"/>
          <w:sz w:val="24"/>
          <w:szCs w:val="24"/>
          <w:lang w:val="en-GB"/>
        </w:rPr>
        <w:t xml:space="preserve">here </w:t>
      </w:r>
      <w:r w:rsidR="00875DDF">
        <w:rPr>
          <w:rFonts w:ascii="Times New Roman" w:hAnsi="Times New Roman" w:cs="Times New Roman"/>
          <w:sz w:val="24"/>
          <w:szCs w:val="24"/>
          <w:lang w:val="en-GB"/>
        </w:rPr>
        <w:t>i</w:t>
      </w:r>
      <w:r w:rsidR="00A22FF6">
        <w:rPr>
          <w:rFonts w:ascii="Times New Roman" w:hAnsi="Times New Roman" w:cs="Times New Roman"/>
          <w:sz w:val="24"/>
          <w:szCs w:val="24"/>
          <w:lang w:val="en-GB"/>
        </w:rPr>
        <w:t>s</w:t>
      </w:r>
      <w:r w:rsidR="00875DDF">
        <w:rPr>
          <w:rFonts w:ascii="Times New Roman" w:hAnsi="Times New Roman" w:cs="Times New Roman"/>
          <w:sz w:val="24"/>
          <w:szCs w:val="24"/>
          <w:lang w:val="en-GB"/>
        </w:rPr>
        <w:t xml:space="preserve"> also</w:t>
      </w:r>
      <w:r w:rsidR="00A22FF6">
        <w:rPr>
          <w:rFonts w:ascii="Times New Roman" w:hAnsi="Times New Roman" w:cs="Times New Roman"/>
          <w:sz w:val="24"/>
          <w:szCs w:val="24"/>
          <w:lang w:val="en-GB"/>
        </w:rPr>
        <w:t xml:space="preserve"> some surveying of media reports of cases seen as having a similar character.</w:t>
      </w:r>
      <w:r>
        <w:rPr>
          <w:rFonts w:ascii="Times New Roman" w:hAnsi="Times New Roman" w:cs="Times New Roman"/>
          <w:i/>
          <w:sz w:val="24"/>
          <w:szCs w:val="24"/>
          <w:lang w:val="en-GB"/>
        </w:rPr>
        <w:t xml:space="preserve"> </w:t>
      </w:r>
      <w:r w:rsidR="00B64D2B" w:rsidRPr="00B966BA">
        <w:rPr>
          <w:rFonts w:ascii="Times New Roman" w:hAnsi="Times New Roman" w:cs="Times New Roman"/>
          <w:sz w:val="24"/>
          <w:szCs w:val="24"/>
          <w:lang w:val="en-GB"/>
        </w:rPr>
        <w:t>It is said that by reference to the review of other relevant decisions that has been undertaken, what emerges is that the sentence</w:t>
      </w:r>
      <w:r w:rsidR="00F679D6">
        <w:rPr>
          <w:rFonts w:ascii="Times New Roman" w:hAnsi="Times New Roman" w:cs="Times New Roman"/>
          <w:sz w:val="24"/>
          <w:szCs w:val="24"/>
          <w:lang w:val="en-GB"/>
        </w:rPr>
        <w:t xml:space="preserve"> given</w:t>
      </w:r>
      <w:r w:rsidR="00B64D2B" w:rsidRPr="00B966BA">
        <w:rPr>
          <w:rFonts w:ascii="Times New Roman" w:hAnsi="Times New Roman" w:cs="Times New Roman"/>
          <w:sz w:val="24"/>
          <w:szCs w:val="24"/>
          <w:lang w:val="en-GB"/>
        </w:rPr>
        <w:t xml:space="preserve"> in the present case </w:t>
      </w:r>
      <w:r w:rsidR="00F679D6">
        <w:rPr>
          <w:rFonts w:ascii="Times New Roman" w:hAnsi="Times New Roman" w:cs="Times New Roman"/>
          <w:sz w:val="24"/>
          <w:szCs w:val="24"/>
          <w:lang w:val="en-GB"/>
        </w:rPr>
        <w:t>i</w:t>
      </w:r>
      <w:r w:rsidR="00B64D2B" w:rsidRPr="00B966BA">
        <w:rPr>
          <w:rFonts w:ascii="Times New Roman" w:hAnsi="Times New Roman" w:cs="Times New Roman"/>
          <w:sz w:val="24"/>
          <w:szCs w:val="24"/>
          <w:lang w:val="en-GB"/>
        </w:rPr>
        <w:t>s an outlier.</w:t>
      </w:r>
    </w:p>
    <w:p w:rsidR="00BF5425" w:rsidRPr="00BF5425" w:rsidRDefault="004E0E38"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 xml:space="preserve">Counsel referred to the decision of this Court in </w:t>
      </w:r>
      <w:r w:rsidRPr="004E0E38">
        <w:rPr>
          <w:rFonts w:ascii="Times New Roman" w:hAnsi="Times New Roman" w:cs="Times New Roman"/>
          <w:i/>
          <w:sz w:val="24"/>
          <w:szCs w:val="24"/>
          <w:lang w:val="en-GB"/>
        </w:rPr>
        <w:t>DPP v</w:t>
      </w:r>
      <w:r w:rsidR="00ED5983">
        <w:rPr>
          <w:rFonts w:ascii="Times New Roman" w:hAnsi="Times New Roman" w:cs="Times New Roman"/>
          <w:i/>
          <w:sz w:val="24"/>
          <w:szCs w:val="24"/>
          <w:lang w:val="en-GB"/>
        </w:rPr>
        <w:t>.</w:t>
      </w:r>
      <w:r w:rsidRPr="004E0E38">
        <w:rPr>
          <w:rFonts w:ascii="Times New Roman" w:hAnsi="Times New Roman" w:cs="Times New Roman"/>
          <w:i/>
          <w:sz w:val="24"/>
          <w:szCs w:val="24"/>
          <w:lang w:val="en-GB"/>
        </w:rPr>
        <w:t xml:space="preserve"> Aylmer</w:t>
      </w:r>
      <w:r>
        <w:rPr>
          <w:rFonts w:ascii="Times New Roman" w:hAnsi="Times New Roman" w:cs="Times New Roman"/>
          <w:sz w:val="24"/>
          <w:szCs w:val="24"/>
          <w:lang w:val="en-GB"/>
        </w:rPr>
        <w:t xml:space="preserve"> </w:t>
      </w:r>
      <w:r w:rsidR="00ED5983">
        <w:rPr>
          <w:rFonts w:ascii="Times New Roman" w:hAnsi="Times New Roman" w:cs="Times New Roman"/>
          <w:sz w:val="24"/>
          <w:szCs w:val="24"/>
          <w:lang w:val="en-GB"/>
        </w:rPr>
        <w:t>[2020] IECA 106</w:t>
      </w:r>
      <w:r w:rsidR="0097461F">
        <w:rPr>
          <w:rFonts w:ascii="Times New Roman" w:hAnsi="Times New Roman" w:cs="Times New Roman"/>
          <w:sz w:val="24"/>
          <w:szCs w:val="24"/>
          <w:lang w:val="en-GB"/>
        </w:rPr>
        <w:t>,</w:t>
      </w:r>
      <w:r w:rsidR="00ED598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extracted from it what he identified as a number of factors relevant to sentences in respect of offences </w:t>
      </w:r>
      <w:r w:rsidR="00F679D6">
        <w:rPr>
          <w:rFonts w:ascii="Times New Roman" w:hAnsi="Times New Roman" w:cs="Times New Roman"/>
          <w:sz w:val="24"/>
          <w:szCs w:val="24"/>
          <w:lang w:val="en-GB"/>
        </w:rPr>
        <w:t>of</w:t>
      </w:r>
      <w:r>
        <w:rPr>
          <w:rFonts w:ascii="Times New Roman" w:hAnsi="Times New Roman" w:cs="Times New Roman"/>
          <w:sz w:val="24"/>
          <w:szCs w:val="24"/>
          <w:lang w:val="en-GB"/>
        </w:rPr>
        <w:t xml:space="preserve"> participation in a criminal organisation</w:t>
      </w:r>
      <w:r w:rsidR="00BF5425">
        <w:rPr>
          <w:rFonts w:ascii="Times New Roman" w:hAnsi="Times New Roman" w:cs="Times New Roman"/>
          <w:sz w:val="24"/>
          <w:szCs w:val="24"/>
          <w:lang w:val="en-GB"/>
        </w:rPr>
        <w:t>:</w:t>
      </w:r>
    </w:p>
    <w:p w:rsidR="00BF5425" w:rsidRDefault="002D282E" w:rsidP="00F15142">
      <w:pPr>
        <w:pStyle w:val="ListParagraph"/>
        <w:numPr>
          <w:ilvl w:val="0"/>
          <w:numId w:val="3"/>
        </w:numPr>
        <w:spacing w:after="0" w:line="48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lastRenderedPageBreak/>
        <w:t>I</w:t>
      </w:r>
      <w:r w:rsidR="00875DDF">
        <w:rPr>
          <w:rFonts w:ascii="Times New Roman" w:hAnsi="Times New Roman" w:cs="Times New Roman"/>
          <w:sz w:val="24"/>
          <w:szCs w:val="24"/>
          <w:lang w:val="en-GB"/>
        </w:rPr>
        <w:t>t</w:t>
      </w:r>
      <w:r w:rsidR="00EF3BCA">
        <w:rPr>
          <w:rFonts w:ascii="Times New Roman" w:hAnsi="Times New Roman" w:cs="Times New Roman"/>
          <w:sz w:val="24"/>
          <w:szCs w:val="24"/>
          <w:lang w:val="en-GB"/>
        </w:rPr>
        <w:t xml:space="preserve"> is not </w:t>
      </w:r>
      <w:r>
        <w:rPr>
          <w:rFonts w:ascii="Times New Roman" w:hAnsi="Times New Roman" w:cs="Times New Roman"/>
          <w:sz w:val="24"/>
          <w:szCs w:val="24"/>
          <w:lang w:val="en-GB"/>
        </w:rPr>
        <w:t xml:space="preserve">necessary </w:t>
      </w:r>
      <w:r w:rsidR="00EF3BCA">
        <w:rPr>
          <w:rFonts w:ascii="Times New Roman" w:hAnsi="Times New Roman" w:cs="Times New Roman"/>
          <w:sz w:val="24"/>
          <w:szCs w:val="24"/>
          <w:lang w:val="en-GB"/>
        </w:rPr>
        <w:t>for the prosecution to establish a link to any particular serious offence which has been or is to be committed by the criminal organisation</w:t>
      </w:r>
      <w:r w:rsidR="00BF5425">
        <w:rPr>
          <w:rFonts w:ascii="Times New Roman" w:hAnsi="Times New Roman" w:cs="Times New Roman"/>
          <w:sz w:val="24"/>
          <w:szCs w:val="24"/>
          <w:lang w:val="en-GB"/>
        </w:rPr>
        <w:t>.</w:t>
      </w:r>
    </w:p>
    <w:p w:rsidR="004E0E38" w:rsidRPr="00BF5425" w:rsidRDefault="00BF5425" w:rsidP="00F15142">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 xml:space="preserve">The seriousness of the offence charged will in part be determined by what type of gang he or she is assisting. This </w:t>
      </w:r>
      <w:r w:rsidR="002D282E">
        <w:rPr>
          <w:rFonts w:ascii="Times New Roman" w:hAnsi="Times New Roman" w:cs="Times New Roman"/>
          <w:sz w:val="24"/>
          <w:szCs w:val="24"/>
          <w:lang w:val="en-GB"/>
        </w:rPr>
        <w:t>i</w:t>
      </w:r>
      <w:r>
        <w:rPr>
          <w:rFonts w:ascii="Times New Roman" w:hAnsi="Times New Roman" w:cs="Times New Roman"/>
          <w:sz w:val="24"/>
          <w:szCs w:val="24"/>
          <w:lang w:val="en-GB"/>
        </w:rPr>
        <w:t>s the matter on which counsel placed particular weight.</w:t>
      </w:r>
    </w:p>
    <w:p w:rsidR="00BF5425" w:rsidRPr="00BF5425" w:rsidRDefault="00BF5425" w:rsidP="00F15142">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The activity or acts of assistance engaged in by the person could take many forms.</w:t>
      </w:r>
    </w:p>
    <w:p w:rsidR="00BF5425" w:rsidRPr="00BF5425" w:rsidRDefault="00BF5425" w:rsidP="00F15142">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 xml:space="preserve">There are </w:t>
      </w:r>
      <w:r w:rsidR="002D282E">
        <w:rPr>
          <w:rFonts w:ascii="Times New Roman" w:hAnsi="Times New Roman" w:cs="Times New Roman"/>
          <w:sz w:val="24"/>
          <w:szCs w:val="24"/>
          <w:lang w:val="en-GB"/>
        </w:rPr>
        <w:t xml:space="preserve">two </w:t>
      </w:r>
      <w:r>
        <w:rPr>
          <w:rFonts w:ascii="Times New Roman" w:hAnsi="Times New Roman" w:cs="Times New Roman"/>
          <w:sz w:val="24"/>
          <w:szCs w:val="24"/>
          <w:lang w:val="en-GB"/>
        </w:rPr>
        <w:t xml:space="preserve">alternative forms of </w:t>
      </w:r>
      <w:proofErr w:type="spellStart"/>
      <w:r w:rsidRPr="00BF5425">
        <w:rPr>
          <w:rFonts w:ascii="Times New Roman" w:hAnsi="Times New Roman" w:cs="Times New Roman"/>
          <w:i/>
          <w:sz w:val="24"/>
          <w:szCs w:val="24"/>
          <w:lang w:val="en-GB"/>
        </w:rPr>
        <w:t>mens</w:t>
      </w:r>
      <w:proofErr w:type="spellEnd"/>
      <w:r w:rsidRPr="00BF5425">
        <w:rPr>
          <w:rFonts w:ascii="Times New Roman" w:hAnsi="Times New Roman" w:cs="Times New Roman"/>
          <w:i/>
          <w:sz w:val="24"/>
          <w:szCs w:val="24"/>
          <w:lang w:val="en-GB"/>
        </w:rPr>
        <w:t xml:space="preserve"> rea</w:t>
      </w:r>
      <w:r w:rsidR="002D282E">
        <w:rPr>
          <w:rFonts w:ascii="Times New Roman" w:hAnsi="Times New Roman" w:cs="Times New Roman"/>
          <w:iCs/>
          <w:sz w:val="24"/>
          <w:szCs w:val="24"/>
          <w:lang w:val="en-GB"/>
        </w:rPr>
        <w:t xml:space="preserve"> to be considered for the offence</w:t>
      </w:r>
      <w:r w:rsidR="002D282E">
        <w:rPr>
          <w:rFonts w:ascii="Times New Roman" w:hAnsi="Times New Roman" w:cs="Times New Roman"/>
          <w:sz w:val="24"/>
          <w:szCs w:val="24"/>
          <w:lang w:val="en-GB"/>
        </w:rPr>
        <w:t xml:space="preserve">. This is </w:t>
      </w:r>
      <w:r>
        <w:rPr>
          <w:rFonts w:ascii="Times New Roman" w:hAnsi="Times New Roman" w:cs="Times New Roman"/>
          <w:sz w:val="24"/>
          <w:szCs w:val="24"/>
          <w:lang w:val="en-GB"/>
        </w:rPr>
        <w:t>not a matter of particular relevance in the present case.</w:t>
      </w:r>
    </w:p>
    <w:p w:rsidR="00207A28" w:rsidRPr="00E31BB5" w:rsidRDefault="00BF5425" w:rsidP="00E31BB5">
      <w:pPr>
        <w:pStyle w:val="ListParagraph"/>
        <w:numPr>
          <w:ilvl w:val="0"/>
          <w:numId w:val="3"/>
        </w:numPr>
        <w:spacing w:after="0" w:line="480" w:lineRule="auto"/>
        <w:ind w:left="1440"/>
        <w:rPr>
          <w:rFonts w:ascii="Times New Roman" w:hAnsi="Times New Roman" w:cs="Times New Roman"/>
          <w:i/>
          <w:sz w:val="24"/>
          <w:szCs w:val="24"/>
          <w:lang w:val="en-GB"/>
        </w:rPr>
      </w:pPr>
      <w:r>
        <w:rPr>
          <w:rFonts w:ascii="Times New Roman" w:hAnsi="Times New Roman" w:cs="Times New Roman"/>
          <w:sz w:val="24"/>
          <w:szCs w:val="24"/>
          <w:lang w:val="en-GB"/>
        </w:rPr>
        <w:t>The</w:t>
      </w:r>
      <w:r w:rsidR="00E31BB5">
        <w:rPr>
          <w:rFonts w:ascii="Times New Roman" w:hAnsi="Times New Roman" w:cs="Times New Roman"/>
          <w:sz w:val="24"/>
          <w:szCs w:val="24"/>
          <w:lang w:val="en-GB"/>
        </w:rPr>
        <w:t xml:space="preserve"> </w:t>
      </w:r>
      <w:r>
        <w:rPr>
          <w:rFonts w:ascii="Times New Roman" w:hAnsi="Times New Roman" w:cs="Times New Roman"/>
          <w:sz w:val="24"/>
          <w:szCs w:val="24"/>
          <w:lang w:val="en-GB"/>
        </w:rPr>
        <w:t>sentencing Court should take into account the gravity of a particular offence actually committed by the criminal organisation.</w:t>
      </w:r>
    </w:p>
    <w:p w:rsidR="00E31BB5" w:rsidRPr="00E31BB5" w:rsidRDefault="00E31BB5"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It is said that</w:t>
      </w:r>
      <w:r w:rsidR="0097461F">
        <w:rPr>
          <w:rFonts w:ascii="Times New Roman" w:hAnsi="Times New Roman" w:cs="Times New Roman"/>
          <w:sz w:val="24"/>
          <w:szCs w:val="24"/>
          <w:lang w:val="en-GB"/>
        </w:rPr>
        <w:t>,</w:t>
      </w:r>
      <w:r>
        <w:rPr>
          <w:rFonts w:ascii="Times New Roman" w:hAnsi="Times New Roman" w:cs="Times New Roman"/>
          <w:sz w:val="24"/>
          <w:szCs w:val="24"/>
          <w:lang w:val="en-GB"/>
        </w:rPr>
        <w:t xml:space="preserve"> while the activities in which this particular criminal gang engaged was serious and reprehensible, </w:t>
      </w:r>
      <w:r w:rsidR="00F679D6">
        <w:rPr>
          <w:rFonts w:ascii="Times New Roman" w:hAnsi="Times New Roman" w:cs="Times New Roman"/>
          <w:sz w:val="24"/>
          <w:szCs w:val="24"/>
          <w:lang w:val="en-GB"/>
        </w:rPr>
        <w:t>they were</w:t>
      </w:r>
      <w:r>
        <w:rPr>
          <w:rFonts w:ascii="Times New Roman" w:hAnsi="Times New Roman" w:cs="Times New Roman"/>
          <w:sz w:val="24"/>
          <w:szCs w:val="24"/>
          <w:lang w:val="en-GB"/>
        </w:rPr>
        <w:t xml:space="preserve"> not of the same league as a gang involved in major drug trafficking, prepared to commit murder. It is said that there was nothing to indicate that this was a large-scale sophisticated operation</w:t>
      </w:r>
      <w:r w:rsidR="00017B5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017B5D">
        <w:rPr>
          <w:rFonts w:ascii="Times New Roman" w:hAnsi="Times New Roman" w:cs="Times New Roman"/>
          <w:sz w:val="24"/>
          <w:szCs w:val="24"/>
          <w:lang w:val="en-GB"/>
        </w:rPr>
        <w:t>t</w:t>
      </w:r>
      <w:r>
        <w:rPr>
          <w:rFonts w:ascii="Times New Roman" w:hAnsi="Times New Roman" w:cs="Times New Roman"/>
          <w:sz w:val="24"/>
          <w:szCs w:val="24"/>
          <w:lang w:val="en-GB"/>
        </w:rPr>
        <w:t>his was not a Mafia-type organisation</w:t>
      </w:r>
      <w:r w:rsidR="00F679D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679D6">
        <w:rPr>
          <w:rFonts w:ascii="Times New Roman" w:hAnsi="Times New Roman" w:cs="Times New Roman"/>
          <w:sz w:val="24"/>
          <w:szCs w:val="24"/>
          <w:lang w:val="en-GB"/>
        </w:rPr>
        <w:t>I</w:t>
      </w:r>
      <w:r>
        <w:rPr>
          <w:rFonts w:ascii="Times New Roman" w:hAnsi="Times New Roman" w:cs="Times New Roman"/>
          <w:sz w:val="24"/>
          <w:szCs w:val="24"/>
          <w:lang w:val="en-GB"/>
        </w:rPr>
        <w:t>t was accepted that cards were occasionally sent from locations in Belgium or Italy</w:t>
      </w:r>
      <w:r w:rsidR="00F679D6">
        <w:rPr>
          <w:rFonts w:ascii="Times New Roman" w:hAnsi="Times New Roman" w:cs="Times New Roman"/>
          <w:sz w:val="24"/>
          <w:szCs w:val="24"/>
          <w:lang w:val="en-GB"/>
        </w:rPr>
        <w:t>, but</w:t>
      </w:r>
      <w:r>
        <w:rPr>
          <w:rFonts w:ascii="Times New Roman" w:hAnsi="Times New Roman" w:cs="Times New Roman"/>
          <w:sz w:val="24"/>
          <w:szCs w:val="24"/>
          <w:lang w:val="en-GB"/>
        </w:rPr>
        <w:t xml:space="preserve"> </w:t>
      </w:r>
      <w:r w:rsidR="00F679D6">
        <w:rPr>
          <w:rFonts w:ascii="Times New Roman" w:hAnsi="Times New Roman" w:cs="Times New Roman"/>
          <w:sz w:val="24"/>
          <w:szCs w:val="24"/>
          <w:lang w:val="en-GB"/>
        </w:rPr>
        <w:t>that t</w:t>
      </w:r>
      <w:r>
        <w:rPr>
          <w:rFonts w:ascii="Times New Roman" w:hAnsi="Times New Roman" w:cs="Times New Roman"/>
          <w:sz w:val="24"/>
          <w:szCs w:val="24"/>
          <w:lang w:val="en-GB"/>
        </w:rPr>
        <w:t>he main centre of activity was in Ireland</w:t>
      </w:r>
      <w:r w:rsidR="0097461F">
        <w:rPr>
          <w:rFonts w:ascii="Times New Roman" w:hAnsi="Times New Roman" w:cs="Times New Roman"/>
          <w:sz w:val="24"/>
          <w:szCs w:val="24"/>
          <w:lang w:val="en-GB"/>
        </w:rPr>
        <w:t>,</w:t>
      </w:r>
      <w:r>
        <w:rPr>
          <w:rFonts w:ascii="Times New Roman" w:hAnsi="Times New Roman" w:cs="Times New Roman"/>
          <w:sz w:val="24"/>
          <w:szCs w:val="24"/>
          <w:lang w:val="en-GB"/>
        </w:rPr>
        <w:t xml:space="preserve"> and in Romania</w:t>
      </w:r>
      <w:r w:rsidR="008971E1">
        <w:rPr>
          <w:rFonts w:ascii="Times New Roman" w:hAnsi="Times New Roman" w:cs="Times New Roman"/>
          <w:sz w:val="24"/>
          <w:szCs w:val="24"/>
          <w:lang w:val="en-GB"/>
        </w:rPr>
        <w:t>,</w:t>
      </w:r>
      <w:r>
        <w:rPr>
          <w:rFonts w:ascii="Times New Roman" w:hAnsi="Times New Roman" w:cs="Times New Roman"/>
          <w:sz w:val="24"/>
          <w:szCs w:val="24"/>
          <w:lang w:val="en-GB"/>
        </w:rPr>
        <w:t xml:space="preserve"> where money was sent by courier. Counsel submitted that the accused’s role in the organisation was that of a foot soldier rather than a CEO. In the Court’s view, </w:t>
      </w:r>
      <w:r w:rsidR="00017B5D">
        <w:rPr>
          <w:rFonts w:ascii="Times New Roman" w:hAnsi="Times New Roman" w:cs="Times New Roman"/>
          <w:sz w:val="24"/>
          <w:szCs w:val="24"/>
          <w:lang w:val="en-GB"/>
        </w:rPr>
        <w:t xml:space="preserve">however, </w:t>
      </w:r>
      <w:r>
        <w:rPr>
          <w:rFonts w:ascii="Times New Roman" w:hAnsi="Times New Roman" w:cs="Times New Roman"/>
          <w:sz w:val="24"/>
          <w:szCs w:val="24"/>
          <w:lang w:val="en-GB"/>
        </w:rPr>
        <w:t>what was involved here was sustained, intensive criminality. The accused was an active participant, a committed participant</w:t>
      </w:r>
      <w:r w:rsidR="00F679D6">
        <w:rPr>
          <w:rFonts w:ascii="Times New Roman" w:hAnsi="Times New Roman" w:cs="Times New Roman"/>
          <w:sz w:val="24"/>
          <w:szCs w:val="24"/>
          <w:lang w:val="en-GB"/>
        </w:rPr>
        <w:t>,</w:t>
      </w:r>
      <w:r>
        <w:rPr>
          <w:rFonts w:ascii="Times New Roman" w:hAnsi="Times New Roman" w:cs="Times New Roman"/>
          <w:sz w:val="24"/>
          <w:szCs w:val="24"/>
          <w:lang w:val="en-GB"/>
        </w:rPr>
        <w:t xml:space="preserve"> in what was a criminal industry.</w:t>
      </w:r>
    </w:p>
    <w:p w:rsidR="00B03A0A" w:rsidRPr="00104424" w:rsidRDefault="00207A28"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Much of the criticism of the trial judge has focused on her identification of headline sentences. In our view, the headline sentences identified were sentences that were open to her. So far as the theft and false instrument offences are concerned, it is true that the figure</w:t>
      </w:r>
      <w:r w:rsidR="00F679D6">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identified w</w:t>
      </w:r>
      <w:r w:rsidR="00F679D6">
        <w:rPr>
          <w:rFonts w:ascii="Times New Roman" w:hAnsi="Times New Roman" w:cs="Times New Roman"/>
          <w:sz w:val="24"/>
          <w:szCs w:val="24"/>
          <w:lang w:val="en-GB"/>
        </w:rPr>
        <w:t>ere</w:t>
      </w:r>
      <w:r>
        <w:rPr>
          <w:rFonts w:ascii="Times New Roman" w:hAnsi="Times New Roman" w:cs="Times New Roman"/>
          <w:sz w:val="24"/>
          <w:szCs w:val="24"/>
          <w:lang w:val="en-GB"/>
        </w:rPr>
        <w:t xml:space="preserve"> placed at or close to the statutory maximum</w:t>
      </w:r>
      <w:r w:rsidR="00F679D6">
        <w:rPr>
          <w:rFonts w:ascii="Times New Roman" w:hAnsi="Times New Roman" w:cs="Times New Roman"/>
          <w:sz w:val="24"/>
          <w:szCs w:val="24"/>
          <w:lang w:val="en-GB"/>
        </w:rPr>
        <w:t>s</w:t>
      </w:r>
      <w:r>
        <w:rPr>
          <w:rFonts w:ascii="Times New Roman" w:hAnsi="Times New Roman" w:cs="Times New Roman"/>
          <w:sz w:val="24"/>
          <w:szCs w:val="24"/>
          <w:lang w:val="en-GB"/>
        </w:rPr>
        <w:t>, but it must be appreciated that the statutory maximum</w:t>
      </w:r>
      <w:r w:rsidR="00F679D6">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F679D6">
        <w:rPr>
          <w:rFonts w:ascii="Times New Roman" w:hAnsi="Times New Roman" w:cs="Times New Roman"/>
          <w:sz w:val="24"/>
          <w:szCs w:val="24"/>
          <w:lang w:val="en-GB"/>
        </w:rPr>
        <w:t>are</w:t>
      </w:r>
      <w:r>
        <w:rPr>
          <w:rFonts w:ascii="Times New Roman" w:hAnsi="Times New Roman" w:cs="Times New Roman"/>
          <w:sz w:val="24"/>
          <w:szCs w:val="24"/>
          <w:lang w:val="en-GB"/>
        </w:rPr>
        <w:t xml:space="preserve"> maximum</w:t>
      </w:r>
      <w:r w:rsidR="00F679D6">
        <w:rPr>
          <w:rFonts w:ascii="Times New Roman" w:hAnsi="Times New Roman" w:cs="Times New Roman"/>
          <w:sz w:val="24"/>
          <w:szCs w:val="24"/>
          <w:lang w:val="en-GB"/>
        </w:rPr>
        <w:t xml:space="preserve">s </w:t>
      </w:r>
      <w:r>
        <w:rPr>
          <w:rFonts w:ascii="Times New Roman" w:hAnsi="Times New Roman" w:cs="Times New Roman"/>
          <w:sz w:val="24"/>
          <w:szCs w:val="24"/>
          <w:lang w:val="en-GB"/>
        </w:rPr>
        <w:t>for</w:t>
      </w:r>
      <w:r w:rsidR="00F679D6">
        <w:rPr>
          <w:rFonts w:ascii="Times New Roman" w:hAnsi="Times New Roman" w:cs="Times New Roman"/>
          <w:sz w:val="24"/>
          <w:szCs w:val="24"/>
          <w:lang w:val="en-GB"/>
        </w:rPr>
        <w:t xml:space="preserve"> the commission of</w:t>
      </w:r>
      <w:r>
        <w:rPr>
          <w:rFonts w:ascii="Times New Roman" w:hAnsi="Times New Roman" w:cs="Times New Roman"/>
          <w:sz w:val="24"/>
          <w:szCs w:val="24"/>
          <w:lang w:val="en-GB"/>
        </w:rPr>
        <w:t xml:space="preserve"> one offence. In this case, the Court was dealing with a great number of offences. So far as the headline identified for the participation </w:t>
      </w:r>
      <w:r w:rsidR="005829F3">
        <w:rPr>
          <w:rFonts w:ascii="Times New Roman" w:hAnsi="Times New Roman" w:cs="Times New Roman"/>
          <w:sz w:val="24"/>
          <w:szCs w:val="24"/>
          <w:lang w:val="en-GB"/>
        </w:rPr>
        <w:t>in a criminal organisation case is concerned, it is true that the sentence imposed placed the offence within the upper band, though close to the border between upper band and mid</w:t>
      </w:r>
      <w:r w:rsidR="00017B5D">
        <w:rPr>
          <w:rFonts w:ascii="Times New Roman" w:hAnsi="Times New Roman" w:cs="Times New Roman"/>
          <w:sz w:val="24"/>
          <w:szCs w:val="24"/>
          <w:lang w:val="en-GB"/>
        </w:rPr>
        <w:t>-</w:t>
      </w:r>
      <w:r w:rsidR="005829F3">
        <w:rPr>
          <w:rFonts w:ascii="Times New Roman" w:hAnsi="Times New Roman" w:cs="Times New Roman"/>
          <w:sz w:val="24"/>
          <w:szCs w:val="24"/>
          <w:lang w:val="en-GB"/>
        </w:rPr>
        <w:t xml:space="preserve">range. However, having identified that headline or pre-mitigation figure, the judge applied very significant mitigation. </w:t>
      </w:r>
      <w:r w:rsidR="00104424">
        <w:rPr>
          <w:rFonts w:ascii="Times New Roman" w:hAnsi="Times New Roman" w:cs="Times New Roman"/>
          <w:sz w:val="24"/>
          <w:szCs w:val="24"/>
          <w:lang w:val="en-GB"/>
        </w:rPr>
        <w:t>The mitigation allowed has to be seen as significant, even generous, if regard is had to the fact that this was an accused who had directly relevant previous convictions. While it is possible to imagine criminal organisations engaged in</w:t>
      </w:r>
      <w:r w:rsidR="00017B5D">
        <w:rPr>
          <w:rFonts w:ascii="Times New Roman" w:hAnsi="Times New Roman" w:cs="Times New Roman"/>
          <w:sz w:val="24"/>
          <w:szCs w:val="24"/>
          <w:lang w:val="en-GB"/>
        </w:rPr>
        <w:t xml:space="preserve"> more significant</w:t>
      </w:r>
      <w:r w:rsidR="00104424">
        <w:rPr>
          <w:rFonts w:ascii="Times New Roman" w:hAnsi="Times New Roman" w:cs="Times New Roman"/>
          <w:sz w:val="24"/>
          <w:szCs w:val="24"/>
          <w:lang w:val="en-GB"/>
        </w:rPr>
        <w:t xml:space="preserve"> criminality, </w:t>
      </w:r>
      <w:r w:rsidR="00092EF7">
        <w:rPr>
          <w:rFonts w:ascii="Times New Roman" w:hAnsi="Times New Roman" w:cs="Times New Roman"/>
          <w:sz w:val="24"/>
          <w:szCs w:val="24"/>
          <w:lang w:val="en-GB"/>
        </w:rPr>
        <w:t xml:space="preserve">what was in issue here was </w:t>
      </w:r>
      <w:r w:rsidR="00104424">
        <w:rPr>
          <w:rFonts w:ascii="Times New Roman" w:hAnsi="Times New Roman" w:cs="Times New Roman"/>
          <w:sz w:val="24"/>
          <w:szCs w:val="24"/>
          <w:lang w:val="en-GB"/>
        </w:rPr>
        <w:t>very significant criminality in which the appellant was a committed participant.</w:t>
      </w:r>
    </w:p>
    <w:p w:rsidR="00104424" w:rsidRPr="00104424" w:rsidRDefault="00104424"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In these circumstances, we have no doubt that the sentence ultimately imposed, one of seven years, with the final six months of the sentence suspended, was one that clearly fell within the available range.</w:t>
      </w:r>
    </w:p>
    <w:p w:rsidR="00104424" w:rsidRPr="00686B0C" w:rsidRDefault="00104424" w:rsidP="001C2009">
      <w:pPr>
        <w:pStyle w:val="ListParagraph"/>
        <w:numPr>
          <w:ilvl w:val="0"/>
          <w:numId w:val="1"/>
        </w:numPr>
        <w:spacing w:after="0" w:line="480" w:lineRule="auto"/>
        <w:ind w:left="0" w:firstLine="0"/>
        <w:rPr>
          <w:rFonts w:ascii="Times New Roman" w:hAnsi="Times New Roman" w:cs="Times New Roman"/>
          <w:i/>
          <w:sz w:val="24"/>
          <w:szCs w:val="24"/>
          <w:lang w:val="en-GB"/>
        </w:rPr>
      </w:pPr>
      <w:r>
        <w:rPr>
          <w:rFonts w:ascii="Times New Roman" w:hAnsi="Times New Roman" w:cs="Times New Roman"/>
          <w:sz w:val="24"/>
          <w:szCs w:val="24"/>
          <w:lang w:val="en-GB"/>
        </w:rPr>
        <w:t>We identify no error of principle and we must therefore dismiss the appeal.</w:t>
      </w:r>
    </w:p>
    <w:p w:rsidR="00060E5A" w:rsidRPr="006A64A8" w:rsidRDefault="00060E5A" w:rsidP="00104424">
      <w:pPr>
        <w:pStyle w:val="ListParagraph"/>
        <w:spacing w:after="0" w:line="480" w:lineRule="auto"/>
        <w:ind w:left="0"/>
        <w:rPr>
          <w:rFonts w:ascii="Times New Roman" w:hAnsi="Times New Roman" w:cs="Times New Roman"/>
          <w:b/>
          <w:sz w:val="24"/>
          <w:szCs w:val="24"/>
        </w:rPr>
      </w:pPr>
    </w:p>
    <w:sectPr w:rsidR="00060E5A" w:rsidRPr="006A64A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AA5" w:rsidRDefault="00631AA5" w:rsidP="00631AA5">
      <w:pPr>
        <w:spacing w:after="0" w:line="240" w:lineRule="auto"/>
      </w:pPr>
      <w:r>
        <w:separator/>
      </w:r>
    </w:p>
  </w:endnote>
  <w:endnote w:type="continuationSeparator" w:id="0">
    <w:p w:rsidR="00631AA5" w:rsidRDefault="00631AA5" w:rsidP="0063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266243"/>
      <w:docPartObj>
        <w:docPartGallery w:val="Page Numbers (Bottom of Page)"/>
        <w:docPartUnique/>
      </w:docPartObj>
    </w:sdtPr>
    <w:sdtEndPr>
      <w:rPr>
        <w:noProof/>
      </w:rPr>
    </w:sdtEndPr>
    <w:sdtContent>
      <w:p w:rsidR="00631AA5" w:rsidRDefault="00631AA5">
        <w:pPr>
          <w:pStyle w:val="Footer"/>
          <w:jc w:val="center"/>
        </w:pPr>
        <w:r w:rsidRPr="00F56710">
          <w:rPr>
            <w:rFonts w:ascii="Times New Roman" w:hAnsi="Times New Roman" w:cs="Times New Roman"/>
          </w:rPr>
          <w:fldChar w:fldCharType="begin"/>
        </w:r>
        <w:r w:rsidRPr="00F56710">
          <w:rPr>
            <w:rFonts w:ascii="Times New Roman" w:hAnsi="Times New Roman" w:cs="Times New Roman"/>
          </w:rPr>
          <w:instrText xml:space="preserve"> PAGE   \* MERGEFORMAT </w:instrText>
        </w:r>
        <w:r w:rsidRPr="00F56710">
          <w:rPr>
            <w:rFonts w:ascii="Times New Roman" w:hAnsi="Times New Roman" w:cs="Times New Roman"/>
          </w:rPr>
          <w:fldChar w:fldCharType="separate"/>
        </w:r>
        <w:r w:rsidR="00644660">
          <w:rPr>
            <w:rFonts w:ascii="Times New Roman" w:hAnsi="Times New Roman" w:cs="Times New Roman"/>
            <w:noProof/>
          </w:rPr>
          <w:t>6</w:t>
        </w:r>
        <w:r w:rsidRPr="00F56710">
          <w:rPr>
            <w:rFonts w:ascii="Times New Roman" w:hAnsi="Times New Roman" w:cs="Times New Roman"/>
            <w:noProof/>
          </w:rPr>
          <w:fldChar w:fldCharType="end"/>
        </w:r>
      </w:p>
    </w:sdtContent>
  </w:sdt>
  <w:p w:rsidR="00631AA5" w:rsidRDefault="0063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AA5" w:rsidRDefault="00631AA5" w:rsidP="00631AA5">
      <w:pPr>
        <w:spacing w:after="0" w:line="240" w:lineRule="auto"/>
      </w:pPr>
      <w:r>
        <w:separator/>
      </w:r>
    </w:p>
  </w:footnote>
  <w:footnote w:type="continuationSeparator" w:id="0">
    <w:p w:rsidR="00631AA5" w:rsidRDefault="00631AA5" w:rsidP="00631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84FFE"/>
    <w:multiLevelType w:val="hybridMultilevel"/>
    <w:tmpl w:val="6388C1D0"/>
    <w:lvl w:ilvl="0" w:tplc="F4EA6532">
      <w:start w:val="1"/>
      <w:numFmt w:val="lowerRoman"/>
      <w:lvlText w:val="(%1)"/>
      <w:lvlJc w:val="left"/>
      <w:pPr>
        <w:ind w:left="1773" w:hanging="720"/>
      </w:pPr>
      <w:rPr>
        <w:rFonts w:hint="default"/>
        <w:i w:val="0"/>
      </w:rPr>
    </w:lvl>
    <w:lvl w:ilvl="1" w:tplc="18090019" w:tentative="1">
      <w:start w:val="1"/>
      <w:numFmt w:val="lowerLetter"/>
      <w:lvlText w:val="%2."/>
      <w:lvlJc w:val="left"/>
      <w:pPr>
        <w:ind w:left="2133" w:hanging="360"/>
      </w:pPr>
    </w:lvl>
    <w:lvl w:ilvl="2" w:tplc="1809001B" w:tentative="1">
      <w:start w:val="1"/>
      <w:numFmt w:val="lowerRoman"/>
      <w:lvlText w:val="%3."/>
      <w:lvlJc w:val="right"/>
      <w:pPr>
        <w:ind w:left="2853" w:hanging="180"/>
      </w:pPr>
    </w:lvl>
    <w:lvl w:ilvl="3" w:tplc="1809000F" w:tentative="1">
      <w:start w:val="1"/>
      <w:numFmt w:val="decimal"/>
      <w:lvlText w:val="%4."/>
      <w:lvlJc w:val="left"/>
      <w:pPr>
        <w:ind w:left="3573" w:hanging="360"/>
      </w:pPr>
    </w:lvl>
    <w:lvl w:ilvl="4" w:tplc="18090019" w:tentative="1">
      <w:start w:val="1"/>
      <w:numFmt w:val="lowerLetter"/>
      <w:lvlText w:val="%5."/>
      <w:lvlJc w:val="left"/>
      <w:pPr>
        <w:ind w:left="4293" w:hanging="360"/>
      </w:pPr>
    </w:lvl>
    <w:lvl w:ilvl="5" w:tplc="1809001B" w:tentative="1">
      <w:start w:val="1"/>
      <w:numFmt w:val="lowerRoman"/>
      <w:lvlText w:val="%6."/>
      <w:lvlJc w:val="right"/>
      <w:pPr>
        <w:ind w:left="5013" w:hanging="180"/>
      </w:pPr>
    </w:lvl>
    <w:lvl w:ilvl="6" w:tplc="1809000F" w:tentative="1">
      <w:start w:val="1"/>
      <w:numFmt w:val="decimal"/>
      <w:lvlText w:val="%7."/>
      <w:lvlJc w:val="left"/>
      <w:pPr>
        <w:ind w:left="5733" w:hanging="360"/>
      </w:pPr>
    </w:lvl>
    <w:lvl w:ilvl="7" w:tplc="18090019" w:tentative="1">
      <w:start w:val="1"/>
      <w:numFmt w:val="lowerLetter"/>
      <w:lvlText w:val="%8."/>
      <w:lvlJc w:val="left"/>
      <w:pPr>
        <w:ind w:left="6453" w:hanging="360"/>
      </w:pPr>
    </w:lvl>
    <w:lvl w:ilvl="8" w:tplc="1809001B" w:tentative="1">
      <w:start w:val="1"/>
      <w:numFmt w:val="lowerRoman"/>
      <w:lvlText w:val="%9."/>
      <w:lvlJc w:val="right"/>
      <w:pPr>
        <w:ind w:left="7173" w:hanging="180"/>
      </w:pPr>
    </w:lvl>
  </w:abstractNum>
  <w:abstractNum w:abstractNumId="1" w15:restartNumberingAfterBreak="0">
    <w:nsid w:val="625E7063"/>
    <w:multiLevelType w:val="hybridMultilevel"/>
    <w:tmpl w:val="A7C8582E"/>
    <w:lvl w:ilvl="0" w:tplc="C7464094">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FF72EF2"/>
    <w:multiLevelType w:val="hybridMultilevel"/>
    <w:tmpl w:val="B1EC4D10"/>
    <w:lvl w:ilvl="0" w:tplc="1EAC2F08">
      <w:start w:val="1"/>
      <w:numFmt w:val="lowerRoman"/>
      <w:lvlText w:val="(%1)"/>
      <w:lvlJc w:val="left"/>
      <w:pPr>
        <w:ind w:left="1571" w:hanging="7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A5"/>
    <w:rsid w:val="00000FF6"/>
    <w:rsid w:val="00017B5D"/>
    <w:rsid w:val="00031CE0"/>
    <w:rsid w:val="000462DC"/>
    <w:rsid w:val="00060E5A"/>
    <w:rsid w:val="000746FC"/>
    <w:rsid w:val="000919F4"/>
    <w:rsid w:val="00092EF7"/>
    <w:rsid w:val="000E3C3A"/>
    <w:rsid w:val="000E7980"/>
    <w:rsid w:val="00102C4D"/>
    <w:rsid w:val="00104424"/>
    <w:rsid w:val="00123260"/>
    <w:rsid w:val="00142F9A"/>
    <w:rsid w:val="00151AE9"/>
    <w:rsid w:val="00155F73"/>
    <w:rsid w:val="00180801"/>
    <w:rsid w:val="00184A02"/>
    <w:rsid w:val="0019070E"/>
    <w:rsid w:val="001A454D"/>
    <w:rsid w:val="001C2009"/>
    <w:rsid w:val="001D6C90"/>
    <w:rsid w:val="001F41D8"/>
    <w:rsid w:val="00201C3E"/>
    <w:rsid w:val="00207A28"/>
    <w:rsid w:val="0022333A"/>
    <w:rsid w:val="00255B2C"/>
    <w:rsid w:val="00263159"/>
    <w:rsid w:val="002764C1"/>
    <w:rsid w:val="002A4071"/>
    <w:rsid w:val="002A7F89"/>
    <w:rsid w:val="002B6E36"/>
    <w:rsid w:val="002D282E"/>
    <w:rsid w:val="002D2ABE"/>
    <w:rsid w:val="002D35D3"/>
    <w:rsid w:val="002E4080"/>
    <w:rsid w:val="00302A8D"/>
    <w:rsid w:val="003258A1"/>
    <w:rsid w:val="00333F33"/>
    <w:rsid w:val="00344E37"/>
    <w:rsid w:val="003472AB"/>
    <w:rsid w:val="003974B4"/>
    <w:rsid w:val="003B3D64"/>
    <w:rsid w:val="003D74D3"/>
    <w:rsid w:val="003F719E"/>
    <w:rsid w:val="00424EFB"/>
    <w:rsid w:val="00440B46"/>
    <w:rsid w:val="0046400B"/>
    <w:rsid w:val="004A1082"/>
    <w:rsid w:val="004C49E1"/>
    <w:rsid w:val="004C5368"/>
    <w:rsid w:val="004E0E38"/>
    <w:rsid w:val="0053382B"/>
    <w:rsid w:val="0053582C"/>
    <w:rsid w:val="00537A75"/>
    <w:rsid w:val="005447D7"/>
    <w:rsid w:val="005779C9"/>
    <w:rsid w:val="005829F3"/>
    <w:rsid w:val="005862A9"/>
    <w:rsid w:val="005A3A4B"/>
    <w:rsid w:val="005B63CB"/>
    <w:rsid w:val="005C0ADE"/>
    <w:rsid w:val="005C735B"/>
    <w:rsid w:val="005E62D1"/>
    <w:rsid w:val="00604DEC"/>
    <w:rsid w:val="0060780F"/>
    <w:rsid w:val="006102D0"/>
    <w:rsid w:val="006142A6"/>
    <w:rsid w:val="006239A1"/>
    <w:rsid w:val="00631AA5"/>
    <w:rsid w:val="00644660"/>
    <w:rsid w:val="006478CE"/>
    <w:rsid w:val="0065393E"/>
    <w:rsid w:val="006613EA"/>
    <w:rsid w:val="00686B0C"/>
    <w:rsid w:val="006A64A8"/>
    <w:rsid w:val="006A6E2A"/>
    <w:rsid w:val="006D4CAF"/>
    <w:rsid w:val="006F2750"/>
    <w:rsid w:val="00735449"/>
    <w:rsid w:val="007377A4"/>
    <w:rsid w:val="007569C3"/>
    <w:rsid w:val="00761021"/>
    <w:rsid w:val="00782464"/>
    <w:rsid w:val="00792A01"/>
    <w:rsid w:val="00797304"/>
    <w:rsid w:val="007F340C"/>
    <w:rsid w:val="007F4859"/>
    <w:rsid w:val="007F74BE"/>
    <w:rsid w:val="0082734F"/>
    <w:rsid w:val="0083695C"/>
    <w:rsid w:val="00856083"/>
    <w:rsid w:val="008564C0"/>
    <w:rsid w:val="00875DDF"/>
    <w:rsid w:val="00884C83"/>
    <w:rsid w:val="008971E1"/>
    <w:rsid w:val="008A7C8A"/>
    <w:rsid w:val="008B14C9"/>
    <w:rsid w:val="008C6025"/>
    <w:rsid w:val="008C7A5E"/>
    <w:rsid w:val="008D553D"/>
    <w:rsid w:val="008E1D62"/>
    <w:rsid w:val="008F0136"/>
    <w:rsid w:val="0091274C"/>
    <w:rsid w:val="00914D35"/>
    <w:rsid w:val="00914D7E"/>
    <w:rsid w:val="00922EAA"/>
    <w:rsid w:val="00931C76"/>
    <w:rsid w:val="009406B4"/>
    <w:rsid w:val="0094078C"/>
    <w:rsid w:val="0097461F"/>
    <w:rsid w:val="0098008F"/>
    <w:rsid w:val="00985F5A"/>
    <w:rsid w:val="00993667"/>
    <w:rsid w:val="00996C1C"/>
    <w:rsid w:val="009B0E0E"/>
    <w:rsid w:val="009B4F95"/>
    <w:rsid w:val="009D6E86"/>
    <w:rsid w:val="009D7BE9"/>
    <w:rsid w:val="009F23F3"/>
    <w:rsid w:val="00A07BA4"/>
    <w:rsid w:val="00A22FF6"/>
    <w:rsid w:val="00A31111"/>
    <w:rsid w:val="00A538E9"/>
    <w:rsid w:val="00A542E2"/>
    <w:rsid w:val="00A5481A"/>
    <w:rsid w:val="00A74BA5"/>
    <w:rsid w:val="00A86469"/>
    <w:rsid w:val="00AA5115"/>
    <w:rsid w:val="00AB33D3"/>
    <w:rsid w:val="00AC0FC6"/>
    <w:rsid w:val="00AC1121"/>
    <w:rsid w:val="00AC7E2E"/>
    <w:rsid w:val="00AD0C45"/>
    <w:rsid w:val="00AD1446"/>
    <w:rsid w:val="00B03A0A"/>
    <w:rsid w:val="00B37E60"/>
    <w:rsid w:val="00B47819"/>
    <w:rsid w:val="00B515BC"/>
    <w:rsid w:val="00B5744C"/>
    <w:rsid w:val="00B637DB"/>
    <w:rsid w:val="00B64D2B"/>
    <w:rsid w:val="00B81D0C"/>
    <w:rsid w:val="00B86418"/>
    <w:rsid w:val="00B95B7F"/>
    <w:rsid w:val="00B966BA"/>
    <w:rsid w:val="00BA0DB0"/>
    <w:rsid w:val="00BB7BE2"/>
    <w:rsid w:val="00BC1354"/>
    <w:rsid w:val="00BC6D80"/>
    <w:rsid w:val="00BD715C"/>
    <w:rsid w:val="00BE6B70"/>
    <w:rsid w:val="00BF5425"/>
    <w:rsid w:val="00C0367B"/>
    <w:rsid w:val="00C037DF"/>
    <w:rsid w:val="00C0438D"/>
    <w:rsid w:val="00C3477D"/>
    <w:rsid w:val="00C47E25"/>
    <w:rsid w:val="00C56A09"/>
    <w:rsid w:val="00C577BB"/>
    <w:rsid w:val="00C744B9"/>
    <w:rsid w:val="00C92D49"/>
    <w:rsid w:val="00CE696D"/>
    <w:rsid w:val="00D03F76"/>
    <w:rsid w:val="00D15634"/>
    <w:rsid w:val="00D204E6"/>
    <w:rsid w:val="00D2450F"/>
    <w:rsid w:val="00D254FA"/>
    <w:rsid w:val="00D43459"/>
    <w:rsid w:val="00D6504D"/>
    <w:rsid w:val="00D67782"/>
    <w:rsid w:val="00D93B58"/>
    <w:rsid w:val="00E034E8"/>
    <w:rsid w:val="00E31BB5"/>
    <w:rsid w:val="00E4764A"/>
    <w:rsid w:val="00E67192"/>
    <w:rsid w:val="00E67805"/>
    <w:rsid w:val="00E75430"/>
    <w:rsid w:val="00E96018"/>
    <w:rsid w:val="00E96D1B"/>
    <w:rsid w:val="00EA0901"/>
    <w:rsid w:val="00EB107F"/>
    <w:rsid w:val="00EB6F03"/>
    <w:rsid w:val="00ED3598"/>
    <w:rsid w:val="00ED5983"/>
    <w:rsid w:val="00EE0349"/>
    <w:rsid w:val="00EF3BCA"/>
    <w:rsid w:val="00EF57D6"/>
    <w:rsid w:val="00F06EB6"/>
    <w:rsid w:val="00F106BE"/>
    <w:rsid w:val="00F15142"/>
    <w:rsid w:val="00F2118F"/>
    <w:rsid w:val="00F33AEC"/>
    <w:rsid w:val="00F371EF"/>
    <w:rsid w:val="00F43218"/>
    <w:rsid w:val="00F56710"/>
    <w:rsid w:val="00F67884"/>
    <w:rsid w:val="00F679D6"/>
    <w:rsid w:val="00F9246A"/>
    <w:rsid w:val="00F942EB"/>
    <w:rsid w:val="00F94C5E"/>
    <w:rsid w:val="00FB3953"/>
    <w:rsid w:val="00FD28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A5"/>
  </w:style>
  <w:style w:type="paragraph" w:styleId="Footer">
    <w:name w:val="footer"/>
    <w:basedOn w:val="Normal"/>
    <w:link w:val="FooterChar"/>
    <w:uiPriority w:val="99"/>
    <w:unhideWhenUsed/>
    <w:rsid w:val="00631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AA5"/>
  </w:style>
  <w:style w:type="paragraph" w:styleId="ListParagraph">
    <w:name w:val="List Paragraph"/>
    <w:basedOn w:val="Normal"/>
    <w:uiPriority w:val="34"/>
    <w:qFormat/>
    <w:rsid w:val="00535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1500</Words>
  <Characters>8551</Characters>
  <Application>Microsoft Office Word</Application>
  <DocSecurity>0</DocSecurity>
  <Lines>71</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2022-03-14T13:56:00Z</dcterms:created>
  <dcterms:modified xsi:type="dcterms:W3CDTF">2022-03-14T13:56:00Z</dcterms:modified>
</cp:coreProperties>
</file>