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9E59" w14:textId="77777777" w:rsid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THE COURT OF APPEAL</w:t>
      </w:r>
    </w:p>
    <w:p w14:paraId="297C0DD7" w14:textId="77777777" w:rsidR="002C727D" w:rsidRDefault="002C727D" w:rsidP="00305F91">
      <w:pPr>
        <w:spacing w:line="360" w:lineRule="auto"/>
        <w:rPr>
          <w:rFonts w:eastAsia="Calibri"/>
          <w:b/>
          <w:u w:val="single"/>
          <w:lang w:eastAsia="en-US"/>
        </w:rPr>
      </w:pPr>
    </w:p>
    <w:p w14:paraId="2A669E7D" w14:textId="54DC7B89" w:rsidR="00D217A0" w:rsidRPr="00305F91" w:rsidRDefault="00305F91" w:rsidP="00305F91">
      <w:pPr>
        <w:spacing w:line="360" w:lineRule="auto"/>
        <w:rPr>
          <w:rFonts w:eastAsia="Calibri"/>
          <w:b/>
          <w:u w:val="single"/>
          <w:lang w:eastAsia="en-US"/>
        </w:rPr>
      </w:pPr>
      <w:r>
        <w:rPr>
          <w:rFonts w:eastAsia="Calibri"/>
          <w:b/>
          <w:u w:val="single"/>
          <w:lang w:eastAsia="en-US"/>
        </w:rPr>
        <w:t>UNAPPROVED</w:t>
      </w:r>
    </w:p>
    <w:p w14:paraId="3DDAF94D" w14:textId="7D94A12D" w:rsidR="00DB4DD0" w:rsidRDefault="00DB4DD0" w:rsidP="00DB4DD0">
      <w:pPr>
        <w:spacing w:line="360" w:lineRule="auto"/>
        <w:jc w:val="right"/>
        <w:rPr>
          <w:rFonts w:eastAsia="Calibri"/>
          <w:b/>
          <w:szCs w:val="22"/>
          <w:lang w:eastAsia="en-US"/>
        </w:rPr>
      </w:pPr>
      <w:r w:rsidRPr="00DB4DD0">
        <w:rPr>
          <w:rFonts w:eastAsia="Calibri"/>
          <w:b/>
          <w:szCs w:val="22"/>
          <w:lang w:eastAsia="en-US"/>
        </w:rPr>
        <w:t>Record No.</w:t>
      </w:r>
      <w:r w:rsidR="00305F91">
        <w:rPr>
          <w:rFonts w:eastAsia="Calibri"/>
          <w:b/>
          <w:szCs w:val="22"/>
          <w:lang w:eastAsia="en-US"/>
        </w:rPr>
        <w:t>:</w:t>
      </w:r>
      <w:r w:rsidR="00B50931">
        <w:rPr>
          <w:rFonts w:eastAsia="Calibri"/>
          <w:b/>
          <w:szCs w:val="22"/>
          <w:lang w:eastAsia="en-US"/>
        </w:rPr>
        <w:t xml:space="preserve"> </w:t>
      </w:r>
      <w:r w:rsidRPr="00DB4DD0">
        <w:rPr>
          <w:rFonts w:eastAsia="Calibri"/>
          <w:b/>
          <w:szCs w:val="22"/>
          <w:lang w:eastAsia="en-US"/>
        </w:rPr>
        <w:t xml:space="preserve"> </w:t>
      </w:r>
      <w:r w:rsidR="00B50931">
        <w:rPr>
          <w:rFonts w:eastAsia="Calibri"/>
          <w:b/>
          <w:szCs w:val="22"/>
          <w:lang w:eastAsia="en-US"/>
        </w:rPr>
        <w:t>2019/215</w:t>
      </w:r>
    </w:p>
    <w:p w14:paraId="7D655D46" w14:textId="69D2D425" w:rsidR="00305F91" w:rsidRDefault="00305F91" w:rsidP="00DB4DD0">
      <w:pPr>
        <w:spacing w:line="360" w:lineRule="auto"/>
        <w:jc w:val="right"/>
        <w:rPr>
          <w:rFonts w:eastAsia="Calibri"/>
          <w:b/>
          <w:szCs w:val="22"/>
          <w:lang w:eastAsia="en-US"/>
        </w:rPr>
      </w:pPr>
      <w:r>
        <w:rPr>
          <w:rFonts w:eastAsia="Calibri"/>
          <w:b/>
          <w:szCs w:val="22"/>
          <w:lang w:eastAsia="en-US"/>
        </w:rPr>
        <w:t xml:space="preserve">Neutral Citation: </w:t>
      </w:r>
      <w:r w:rsidR="004F0E7B">
        <w:rPr>
          <w:rFonts w:eastAsia="Calibri"/>
          <w:b/>
          <w:szCs w:val="22"/>
          <w:lang w:eastAsia="en-US"/>
        </w:rPr>
        <w:t>[2022] IECA 66</w:t>
      </w:r>
    </w:p>
    <w:p w14:paraId="149ADB4A" w14:textId="67A37406" w:rsidR="00DB4DD0" w:rsidRDefault="00E30329" w:rsidP="00E30329">
      <w:pPr>
        <w:spacing w:line="360" w:lineRule="auto"/>
        <w:rPr>
          <w:rFonts w:eastAsia="Calibri"/>
          <w:b/>
          <w:szCs w:val="22"/>
          <w:lang w:eastAsia="en-US"/>
        </w:rPr>
      </w:pPr>
      <w:r>
        <w:rPr>
          <w:rFonts w:eastAsia="Calibri"/>
          <w:b/>
          <w:szCs w:val="22"/>
          <w:lang w:eastAsia="en-US"/>
        </w:rPr>
        <w:t>Faherty J.</w:t>
      </w:r>
    </w:p>
    <w:p w14:paraId="04A700DF" w14:textId="0831A102" w:rsidR="00E30329" w:rsidRDefault="00E30329" w:rsidP="00E30329">
      <w:pPr>
        <w:spacing w:line="360" w:lineRule="auto"/>
        <w:rPr>
          <w:rFonts w:eastAsia="Calibri"/>
          <w:b/>
          <w:szCs w:val="22"/>
          <w:lang w:eastAsia="en-US"/>
        </w:rPr>
      </w:pPr>
      <w:r>
        <w:rPr>
          <w:rFonts w:eastAsia="Calibri"/>
          <w:b/>
          <w:szCs w:val="22"/>
          <w:lang w:eastAsia="en-US"/>
        </w:rPr>
        <w:t>Collins J.</w:t>
      </w:r>
    </w:p>
    <w:p w14:paraId="72FA878A" w14:textId="6AA37A8E" w:rsidR="00E30329" w:rsidRPr="00DB4DD0" w:rsidRDefault="00E30329" w:rsidP="00E30329">
      <w:pPr>
        <w:spacing w:line="360" w:lineRule="auto"/>
        <w:rPr>
          <w:rFonts w:eastAsia="Calibri"/>
          <w:b/>
          <w:szCs w:val="22"/>
          <w:lang w:eastAsia="en-US"/>
        </w:rPr>
      </w:pPr>
      <w:r>
        <w:rPr>
          <w:rFonts w:eastAsia="Calibri"/>
          <w:b/>
          <w:szCs w:val="22"/>
          <w:lang w:eastAsia="en-US"/>
        </w:rPr>
        <w:t>Binchy J.</w:t>
      </w:r>
    </w:p>
    <w:p w14:paraId="16DC4E5B" w14:textId="7CE974E8" w:rsidR="00A3554B" w:rsidRDefault="00A3554B" w:rsidP="002857A9">
      <w:pPr>
        <w:spacing w:line="276" w:lineRule="auto"/>
        <w:jc w:val="both"/>
        <w:rPr>
          <w:rFonts w:eastAsia="Calibri"/>
          <w:b/>
          <w:szCs w:val="22"/>
          <w:lang w:eastAsia="en-US"/>
        </w:rPr>
      </w:pPr>
    </w:p>
    <w:p w14:paraId="2336E69D" w14:textId="77777777" w:rsidR="00E30329" w:rsidRPr="00DB4DD0" w:rsidRDefault="00E30329" w:rsidP="002857A9">
      <w:pPr>
        <w:spacing w:line="276" w:lineRule="auto"/>
        <w:jc w:val="both"/>
        <w:rPr>
          <w:rFonts w:eastAsia="Calibri"/>
          <w:b/>
          <w:szCs w:val="22"/>
          <w:lang w:eastAsia="en-US"/>
        </w:rPr>
      </w:pPr>
    </w:p>
    <w:p w14:paraId="1CB6C3B1" w14:textId="77777777" w:rsidR="00DB4DD0" w:rsidRPr="00DB4DD0" w:rsidRDefault="00DB4DD0" w:rsidP="00DB4DD0">
      <w:pPr>
        <w:spacing w:line="360" w:lineRule="auto"/>
        <w:jc w:val="both"/>
        <w:rPr>
          <w:rFonts w:eastAsia="Calibri"/>
          <w:b/>
          <w:szCs w:val="22"/>
          <w:lang w:eastAsia="en-US"/>
        </w:rPr>
      </w:pPr>
    </w:p>
    <w:p w14:paraId="2A7E0D7B" w14:textId="77777777" w:rsidR="00DB4DD0" w:rsidRDefault="00DB4DD0" w:rsidP="00DB4DD0">
      <w:pPr>
        <w:spacing w:line="360" w:lineRule="auto"/>
        <w:rPr>
          <w:rFonts w:eastAsia="Calibri"/>
          <w:b/>
          <w:szCs w:val="22"/>
          <w:lang w:eastAsia="en-US"/>
        </w:rPr>
      </w:pPr>
      <w:r w:rsidRPr="00DB4DD0">
        <w:rPr>
          <w:rFonts w:eastAsia="Calibri"/>
          <w:b/>
          <w:szCs w:val="22"/>
          <w:lang w:eastAsia="en-US"/>
        </w:rPr>
        <w:t>BETWEEN/</w:t>
      </w:r>
    </w:p>
    <w:p w14:paraId="40D7F9A8" w14:textId="77777777" w:rsidR="00B50931" w:rsidRPr="00DB4DD0" w:rsidRDefault="00B50931" w:rsidP="00DB4DD0">
      <w:pPr>
        <w:spacing w:line="360" w:lineRule="auto"/>
        <w:rPr>
          <w:rFonts w:eastAsia="Calibri"/>
          <w:b/>
          <w:szCs w:val="22"/>
          <w:lang w:eastAsia="en-US"/>
        </w:rPr>
      </w:pPr>
    </w:p>
    <w:p w14:paraId="389170EE" w14:textId="57933963" w:rsidR="00B50931" w:rsidRPr="00B50931" w:rsidRDefault="00B50931" w:rsidP="00B50931">
      <w:pPr>
        <w:spacing w:line="360" w:lineRule="auto"/>
        <w:jc w:val="center"/>
        <w:rPr>
          <w:rFonts w:eastAsia="Calibri"/>
          <w:b/>
          <w:szCs w:val="22"/>
          <w:lang w:eastAsia="en-US"/>
        </w:rPr>
      </w:pPr>
      <w:r w:rsidRPr="00B50931">
        <w:rPr>
          <w:rFonts w:eastAsia="Calibri"/>
          <w:b/>
          <w:szCs w:val="22"/>
          <w:lang w:eastAsia="en-US"/>
        </w:rPr>
        <w:t>BALLYMORE RESIDENTIAL</w:t>
      </w:r>
      <w:r w:rsidR="00DD4FA0">
        <w:rPr>
          <w:rFonts w:eastAsia="Calibri"/>
          <w:b/>
          <w:szCs w:val="22"/>
          <w:lang w:eastAsia="en-US"/>
        </w:rPr>
        <w:t xml:space="preserve"> </w:t>
      </w:r>
      <w:r w:rsidRPr="00B50931">
        <w:rPr>
          <w:rFonts w:eastAsia="Calibri"/>
          <w:b/>
          <w:szCs w:val="22"/>
          <w:lang w:eastAsia="en-US"/>
        </w:rPr>
        <w:t>LIMITED AND CROSSWINDS COTTAGE LIMITED</w:t>
      </w:r>
    </w:p>
    <w:p w14:paraId="3EA63E91" w14:textId="77777777" w:rsidR="00DB4DD0" w:rsidRPr="00DB4DD0" w:rsidRDefault="00DB4DD0" w:rsidP="00DB4DD0">
      <w:pPr>
        <w:spacing w:line="360" w:lineRule="auto"/>
        <w:jc w:val="center"/>
        <w:rPr>
          <w:rFonts w:eastAsia="Calibri"/>
          <w:b/>
          <w:szCs w:val="22"/>
          <w:lang w:eastAsia="en-US"/>
        </w:rPr>
      </w:pPr>
    </w:p>
    <w:p w14:paraId="0ABB0DEE" w14:textId="77777777" w:rsidR="00DB4DD0" w:rsidRPr="00DB4DD0" w:rsidRDefault="00B50931" w:rsidP="00DB4DD0">
      <w:pPr>
        <w:spacing w:line="360" w:lineRule="auto"/>
        <w:jc w:val="right"/>
        <w:rPr>
          <w:rFonts w:eastAsia="Calibri"/>
          <w:b/>
          <w:szCs w:val="22"/>
          <w:lang w:eastAsia="en-US"/>
        </w:rPr>
      </w:pPr>
      <w:r>
        <w:rPr>
          <w:rFonts w:eastAsia="Calibri"/>
          <w:b/>
          <w:szCs w:val="22"/>
          <w:lang w:eastAsia="en-US"/>
        </w:rPr>
        <w:t>PLAINTIFFS/RESPONDENTS</w:t>
      </w:r>
    </w:p>
    <w:p w14:paraId="4512215A" w14:textId="77777777" w:rsidR="00DB4DD0" w:rsidRPr="00DB4DD0" w:rsidRDefault="00DB4DD0" w:rsidP="00DB4DD0">
      <w:pPr>
        <w:spacing w:line="360" w:lineRule="auto"/>
        <w:jc w:val="center"/>
        <w:rPr>
          <w:rFonts w:eastAsia="Calibri"/>
          <w:b/>
          <w:szCs w:val="22"/>
          <w:lang w:eastAsia="en-US"/>
        </w:rPr>
      </w:pPr>
    </w:p>
    <w:p w14:paraId="639654E2" w14:textId="77777777" w:rsidR="00DB4DD0" w:rsidRPr="00DB4DD0" w:rsidRDefault="00DB4DD0" w:rsidP="00DB4DD0">
      <w:pPr>
        <w:spacing w:line="360" w:lineRule="auto"/>
        <w:jc w:val="center"/>
        <w:rPr>
          <w:rFonts w:eastAsia="Calibri"/>
          <w:b/>
          <w:szCs w:val="22"/>
          <w:lang w:eastAsia="en-US"/>
        </w:rPr>
      </w:pPr>
      <w:r w:rsidRPr="00DB4DD0">
        <w:rPr>
          <w:rFonts w:eastAsia="Calibri"/>
          <w:b/>
          <w:szCs w:val="22"/>
          <w:lang w:eastAsia="en-US"/>
        </w:rPr>
        <w:t>- AND -</w:t>
      </w:r>
    </w:p>
    <w:p w14:paraId="19433E1E" w14:textId="77777777" w:rsidR="00DB4DD0" w:rsidRPr="00DB4DD0" w:rsidRDefault="00DB4DD0" w:rsidP="00A30584">
      <w:pPr>
        <w:tabs>
          <w:tab w:val="left" w:pos="1390"/>
        </w:tabs>
        <w:spacing w:line="360" w:lineRule="auto"/>
        <w:rPr>
          <w:rFonts w:eastAsia="Calibri"/>
          <w:b/>
          <w:szCs w:val="22"/>
          <w:lang w:eastAsia="en-US"/>
        </w:rPr>
      </w:pPr>
    </w:p>
    <w:p w14:paraId="43B2BA79" w14:textId="77777777" w:rsidR="00B50931" w:rsidRPr="00B50931" w:rsidRDefault="00B50931" w:rsidP="00B50931">
      <w:pPr>
        <w:spacing w:line="360" w:lineRule="auto"/>
        <w:jc w:val="center"/>
        <w:rPr>
          <w:rFonts w:eastAsia="Calibri"/>
          <w:b/>
          <w:szCs w:val="22"/>
          <w:lang w:eastAsia="en-US"/>
        </w:rPr>
      </w:pPr>
      <w:r w:rsidRPr="00B50931">
        <w:rPr>
          <w:rFonts w:eastAsia="Calibri"/>
          <w:b/>
          <w:szCs w:val="22"/>
          <w:lang w:eastAsia="en-US"/>
        </w:rPr>
        <w:t>ROADSTONE LIMITED, CRH PUBLIC LIMITED COMPANY, MURPHY CONCRETE (MANUFACTURING) LIMITED AND WILLIAM MILEY LIMITED</w:t>
      </w:r>
    </w:p>
    <w:p w14:paraId="3AA888ED" w14:textId="77777777" w:rsidR="00DB4DD0" w:rsidRPr="00DB4DD0" w:rsidRDefault="00DB4DD0" w:rsidP="00DB4DD0">
      <w:pPr>
        <w:spacing w:line="360" w:lineRule="auto"/>
        <w:jc w:val="center"/>
        <w:rPr>
          <w:rFonts w:eastAsia="Calibri"/>
          <w:b/>
          <w:szCs w:val="22"/>
          <w:lang w:eastAsia="en-US"/>
        </w:rPr>
      </w:pPr>
    </w:p>
    <w:p w14:paraId="6E99C52F" w14:textId="5DD7946F" w:rsidR="00DB4DD0" w:rsidRPr="00DB4DD0" w:rsidRDefault="00B50931" w:rsidP="00B50931">
      <w:pPr>
        <w:spacing w:line="360" w:lineRule="auto"/>
        <w:jc w:val="right"/>
        <w:rPr>
          <w:rFonts w:eastAsia="Calibri"/>
          <w:b/>
          <w:szCs w:val="22"/>
          <w:lang w:eastAsia="en-US"/>
        </w:rPr>
      </w:pPr>
      <w:r>
        <w:rPr>
          <w:rFonts w:eastAsia="Calibri"/>
          <w:b/>
          <w:szCs w:val="22"/>
          <w:lang w:eastAsia="en-US"/>
        </w:rPr>
        <w:t>DEFENDANTS</w:t>
      </w:r>
      <w:r w:rsidR="001F758C">
        <w:rPr>
          <w:rFonts w:eastAsia="Calibri"/>
          <w:b/>
          <w:szCs w:val="22"/>
          <w:lang w:eastAsia="en-US"/>
        </w:rPr>
        <w:t>/APPELLANTS</w:t>
      </w:r>
    </w:p>
    <w:p w14:paraId="1C2E9B28" w14:textId="77777777" w:rsidR="00DB4DD0" w:rsidRDefault="00DB4DD0" w:rsidP="00DB4DD0">
      <w:pPr>
        <w:spacing w:line="360" w:lineRule="auto"/>
        <w:jc w:val="right"/>
        <w:rPr>
          <w:rFonts w:eastAsia="Calibri"/>
          <w:b/>
          <w:szCs w:val="22"/>
          <w:lang w:eastAsia="en-US"/>
        </w:rPr>
      </w:pPr>
    </w:p>
    <w:p w14:paraId="43030368" w14:textId="77777777" w:rsidR="00B05269" w:rsidRDefault="00B05269" w:rsidP="00DB4DD0">
      <w:pPr>
        <w:spacing w:line="360" w:lineRule="auto"/>
        <w:jc w:val="right"/>
        <w:rPr>
          <w:rFonts w:eastAsia="Calibri"/>
          <w:b/>
          <w:szCs w:val="22"/>
          <w:lang w:eastAsia="en-US"/>
        </w:rPr>
      </w:pPr>
    </w:p>
    <w:p w14:paraId="65A67742" w14:textId="77777777" w:rsidR="00DB4DD0" w:rsidRPr="00DB4DD0" w:rsidRDefault="00DB4DD0" w:rsidP="00DB4DD0">
      <w:pPr>
        <w:spacing w:line="360" w:lineRule="auto"/>
        <w:jc w:val="both"/>
        <w:rPr>
          <w:rFonts w:eastAsia="Calibri"/>
          <w:szCs w:val="22"/>
          <w:lang w:eastAsia="en-US"/>
        </w:rPr>
      </w:pPr>
    </w:p>
    <w:p w14:paraId="3E3A0DF2" w14:textId="6FF31358" w:rsidR="00081285" w:rsidRPr="00DE72A4" w:rsidRDefault="00166F9B" w:rsidP="00DB4DD0">
      <w:pPr>
        <w:widowControl w:val="0"/>
        <w:rPr>
          <w:b/>
          <w:u w:val="single"/>
        </w:rPr>
      </w:pPr>
      <w:r>
        <w:rPr>
          <w:rFonts w:eastAsia="Calibri"/>
          <w:b/>
          <w:szCs w:val="22"/>
          <w:u w:val="single"/>
          <w:lang w:eastAsia="en-US"/>
        </w:rPr>
        <w:t>JUDGMENT of Mr. Justice Binchy</w:t>
      </w:r>
      <w:r w:rsidR="00DB4DD0" w:rsidRPr="00DB4DD0">
        <w:rPr>
          <w:rFonts w:eastAsia="Calibri"/>
          <w:b/>
          <w:szCs w:val="22"/>
          <w:u w:val="single"/>
          <w:lang w:eastAsia="en-US"/>
        </w:rPr>
        <w:t xml:space="preserve"> delivered on the</w:t>
      </w:r>
      <w:r w:rsidR="0003601B">
        <w:rPr>
          <w:rFonts w:eastAsia="Calibri"/>
          <w:b/>
          <w:szCs w:val="22"/>
          <w:u w:val="single"/>
          <w:lang w:eastAsia="en-US"/>
        </w:rPr>
        <w:t xml:space="preserve"> 1</w:t>
      </w:r>
      <w:r w:rsidR="00121C4A">
        <w:rPr>
          <w:rFonts w:eastAsia="Calibri"/>
          <w:b/>
          <w:szCs w:val="22"/>
          <w:u w:val="single"/>
          <w:lang w:eastAsia="en-US"/>
        </w:rPr>
        <w:t>6</w:t>
      </w:r>
      <w:r w:rsidR="0003601B" w:rsidRPr="0003601B">
        <w:rPr>
          <w:rFonts w:eastAsia="Calibri"/>
          <w:b/>
          <w:szCs w:val="22"/>
          <w:u w:val="single"/>
          <w:vertAlign w:val="superscript"/>
          <w:lang w:eastAsia="en-US"/>
        </w:rPr>
        <w:t>th</w:t>
      </w:r>
      <w:r w:rsidR="00DB4DD0" w:rsidRPr="00DB4DD0">
        <w:rPr>
          <w:rFonts w:eastAsia="Calibri"/>
          <w:b/>
          <w:szCs w:val="22"/>
          <w:u w:val="single"/>
          <w:lang w:eastAsia="en-US"/>
        </w:rPr>
        <w:t xml:space="preserve"> day of</w:t>
      </w:r>
      <w:r w:rsidR="002C727D">
        <w:rPr>
          <w:rFonts w:eastAsia="Calibri"/>
          <w:b/>
          <w:szCs w:val="22"/>
          <w:u w:val="single"/>
          <w:lang w:eastAsia="en-US"/>
        </w:rPr>
        <w:t xml:space="preserve"> </w:t>
      </w:r>
      <w:r w:rsidR="00CE5490">
        <w:rPr>
          <w:rFonts w:eastAsia="Calibri"/>
          <w:b/>
          <w:szCs w:val="22"/>
          <w:u w:val="single"/>
          <w:lang w:eastAsia="en-US"/>
        </w:rPr>
        <w:t>March</w:t>
      </w:r>
      <w:r w:rsidR="00DB4DD0" w:rsidRPr="00DB4DD0">
        <w:rPr>
          <w:rFonts w:eastAsia="Calibri"/>
          <w:b/>
          <w:szCs w:val="22"/>
          <w:u w:val="single"/>
          <w:lang w:eastAsia="en-US"/>
        </w:rPr>
        <w:t xml:space="preserve"> 202</w:t>
      </w:r>
      <w:r w:rsidR="00526E1E">
        <w:rPr>
          <w:rFonts w:eastAsia="Calibri"/>
          <w:b/>
          <w:szCs w:val="22"/>
          <w:u w:val="single"/>
          <w:lang w:eastAsia="en-US"/>
        </w:rPr>
        <w:t>2</w:t>
      </w:r>
      <w:r w:rsidR="00081285">
        <w:rPr>
          <w:b/>
          <w:u w:val="single"/>
        </w:rPr>
        <w:t xml:space="preserve">  </w:t>
      </w:r>
    </w:p>
    <w:p w14:paraId="5435D720" w14:textId="77777777" w:rsidR="001E4AAF" w:rsidRPr="001E4AAF" w:rsidRDefault="001E4AAF" w:rsidP="001E4AAF">
      <w:pPr>
        <w:widowControl w:val="0"/>
        <w:rPr>
          <w:b/>
          <w:u w:val="single"/>
        </w:rPr>
      </w:pPr>
    </w:p>
    <w:p w14:paraId="308ADB24" w14:textId="33F099D7" w:rsidR="0091693D" w:rsidRPr="004F7340" w:rsidRDefault="00B50931"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these proceedings</w:t>
      </w:r>
      <w:r w:rsidR="009D0C33">
        <w:rPr>
          <w:rFonts w:ascii="Times New Roman" w:hAnsi="Times New Roman"/>
          <w:sz w:val="24"/>
        </w:rPr>
        <w:t xml:space="preserve"> the </w:t>
      </w:r>
      <w:r w:rsidR="00935A17">
        <w:rPr>
          <w:rFonts w:ascii="Times New Roman" w:hAnsi="Times New Roman"/>
          <w:sz w:val="24"/>
        </w:rPr>
        <w:t>respondents</w:t>
      </w:r>
      <w:r w:rsidR="009D0C33">
        <w:rPr>
          <w:rFonts w:ascii="Times New Roman" w:hAnsi="Times New Roman"/>
          <w:sz w:val="24"/>
        </w:rPr>
        <w:t>, who are the plaintiffs in the proceedings,</w:t>
      </w:r>
      <w:r>
        <w:rPr>
          <w:rFonts w:ascii="Times New Roman" w:hAnsi="Times New Roman"/>
          <w:sz w:val="24"/>
        </w:rPr>
        <w:t xml:space="preserve"> claim indemnity and contribution from the defendants in respect of any liability that the</w:t>
      </w:r>
      <w:r w:rsidR="009D0C33">
        <w:rPr>
          <w:rFonts w:ascii="Times New Roman" w:hAnsi="Times New Roman"/>
          <w:sz w:val="24"/>
        </w:rPr>
        <w:t>y, the</w:t>
      </w:r>
      <w:r>
        <w:rPr>
          <w:rFonts w:ascii="Times New Roman" w:hAnsi="Times New Roman"/>
          <w:sz w:val="24"/>
        </w:rPr>
        <w:t xml:space="preserve"> </w:t>
      </w:r>
      <w:r w:rsidR="00935A17">
        <w:rPr>
          <w:rFonts w:ascii="Times New Roman" w:hAnsi="Times New Roman"/>
          <w:sz w:val="24"/>
        </w:rPr>
        <w:t>respondents</w:t>
      </w:r>
      <w:r w:rsidR="009D0C33">
        <w:rPr>
          <w:rFonts w:ascii="Times New Roman" w:hAnsi="Times New Roman"/>
          <w:sz w:val="24"/>
        </w:rPr>
        <w:t>,</w:t>
      </w:r>
      <w:r>
        <w:rPr>
          <w:rFonts w:ascii="Times New Roman" w:hAnsi="Times New Roman"/>
          <w:sz w:val="24"/>
        </w:rPr>
        <w:t xml:space="preserve"> may be found to have to the plaintiffs in</w:t>
      </w:r>
      <w:r w:rsidR="00935A17">
        <w:rPr>
          <w:rFonts w:ascii="Times New Roman" w:hAnsi="Times New Roman"/>
          <w:sz w:val="24"/>
        </w:rPr>
        <w:t xml:space="preserve"> other </w:t>
      </w:r>
      <w:r>
        <w:rPr>
          <w:rFonts w:ascii="Times New Roman" w:hAnsi="Times New Roman"/>
          <w:sz w:val="24"/>
        </w:rPr>
        <w:t xml:space="preserve">proceedings issued against the </w:t>
      </w:r>
      <w:r w:rsidR="00935A17">
        <w:rPr>
          <w:rFonts w:ascii="Times New Roman" w:hAnsi="Times New Roman"/>
          <w:sz w:val="24"/>
        </w:rPr>
        <w:t>respondents</w:t>
      </w:r>
      <w:r>
        <w:rPr>
          <w:rFonts w:ascii="Times New Roman" w:hAnsi="Times New Roman"/>
          <w:sz w:val="24"/>
        </w:rPr>
        <w:t xml:space="preserve"> by a number of individual homeowners in a development constructed by the </w:t>
      </w:r>
      <w:r>
        <w:rPr>
          <w:rFonts w:ascii="Times New Roman" w:hAnsi="Times New Roman"/>
          <w:sz w:val="24"/>
        </w:rPr>
        <w:lastRenderedPageBreak/>
        <w:t xml:space="preserve">respondents at </w:t>
      </w:r>
      <w:proofErr w:type="spellStart"/>
      <w:r>
        <w:rPr>
          <w:rFonts w:ascii="Times New Roman" w:hAnsi="Times New Roman"/>
          <w:sz w:val="24"/>
        </w:rPr>
        <w:t>Portmarnock</w:t>
      </w:r>
      <w:proofErr w:type="spellEnd"/>
      <w:r>
        <w:rPr>
          <w:rFonts w:ascii="Times New Roman" w:hAnsi="Times New Roman"/>
          <w:sz w:val="24"/>
        </w:rPr>
        <w:t xml:space="preserve">, County Dublin, and known as </w:t>
      </w:r>
      <w:proofErr w:type="spellStart"/>
      <w:r>
        <w:rPr>
          <w:rFonts w:ascii="Times New Roman" w:hAnsi="Times New Roman"/>
          <w:sz w:val="24"/>
        </w:rPr>
        <w:t>Drumnigh</w:t>
      </w:r>
      <w:proofErr w:type="spellEnd"/>
      <w:r>
        <w:rPr>
          <w:rFonts w:ascii="Times New Roman" w:hAnsi="Times New Roman"/>
          <w:sz w:val="24"/>
        </w:rPr>
        <w:t xml:space="preserve"> Wood Estate</w:t>
      </w:r>
      <w:r w:rsidR="0047458D">
        <w:rPr>
          <w:rFonts w:ascii="Times New Roman" w:hAnsi="Times New Roman"/>
          <w:sz w:val="24"/>
        </w:rPr>
        <w:t xml:space="preserve"> (the </w:t>
      </w:r>
      <w:r w:rsidR="007A1652">
        <w:rPr>
          <w:rFonts w:ascii="Times New Roman" w:hAnsi="Times New Roman"/>
          <w:sz w:val="24"/>
        </w:rPr>
        <w:t>“Development”)</w:t>
      </w:r>
      <w:r>
        <w:rPr>
          <w:rFonts w:ascii="Times New Roman" w:hAnsi="Times New Roman"/>
          <w:sz w:val="24"/>
        </w:rPr>
        <w:t>.  Th</w:t>
      </w:r>
      <w:r w:rsidR="007A1652">
        <w:rPr>
          <w:rFonts w:ascii="Times New Roman" w:hAnsi="Times New Roman"/>
          <w:sz w:val="24"/>
        </w:rPr>
        <w:t>e</w:t>
      </w:r>
      <w:r>
        <w:rPr>
          <w:rFonts w:ascii="Times New Roman" w:hAnsi="Times New Roman"/>
          <w:sz w:val="24"/>
        </w:rPr>
        <w:t xml:space="preserve"> </w:t>
      </w:r>
      <w:r w:rsidR="007A1652">
        <w:rPr>
          <w:rFonts w:ascii="Times New Roman" w:hAnsi="Times New Roman"/>
          <w:sz w:val="24"/>
        </w:rPr>
        <w:t>D</w:t>
      </w:r>
      <w:r>
        <w:rPr>
          <w:rFonts w:ascii="Times New Roman" w:hAnsi="Times New Roman"/>
          <w:sz w:val="24"/>
        </w:rPr>
        <w:t>evelopment,</w:t>
      </w:r>
      <w:r w:rsidR="007A1652">
        <w:rPr>
          <w:rFonts w:ascii="Times New Roman" w:hAnsi="Times New Roman"/>
          <w:sz w:val="24"/>
        </w:rPr>
        <w:t xml:space="preserve"> which</w:t>
      </w:r>
      <w:r>
        <w:rPr>
          <w:rFonts w:ascii="Times New Roman" w:hAnsi="Times New Roman"/>
          <w:sz w:val="24"/>
        </w:rPr>
        <w:t xml:space="preserve"> compris</w:t>
      </w:r>
      <w:r w:rsidR="007A1652">
        <w:rPr>
          <w:rFonts w:ascii="Times New Roman" w:hAnsi="Times New Roman"/>
          <w:sz w:val="24"/>
        </w:rPr>
        <w:t>es</w:t>
      </w:r>
      <w:r>
        <w:rPr>
          <w:rFonts w:ascii="Times New Roman" w:hAnsi="Times New Roman"/>
          <w:sz w:val="24"/>
        </w:rPr>
        <w:t xml:space="preserve"> 145 houses, was constructed by the respondents between November 2001 and August 2007.  </w:t>
      </w:r>
      <w:r w:rsidR="004F7340">
        <w:rPr>
          <w:rFonts w:ascii="Times New Roman" w:hAnsi="Times New Roman"/>
          <w:sz w:val="24"/>
        </w:rPr>
        <w:t xml:space="preserve">In the course of constructing the </w:t>
      </w:r>
      <w:r w:rsidR="007A1652">
        <w:rPr>
          <w:rFonts w:ascii="Times New Roman" w:hAnsi="Times New Roman"/>
          <w:sz w:val="24"/>
        </w:rPr>
        <w:t>D</w:t>
      </w:r>
      <w:r w:rsidR="004F7340">
        <w:rPr>
          <w:rFonts w:ascii="Times New Roman" w:hAnsi="Times New Roman"/>
          <w:sz w:val="24"/>
        </w:rPr>
        <w:t xml:space="preserve">evelopment, the respondents used stone products of varying grades supplied by the </w:t>
      </w:r>
      <w:r w:rsidR="001D3495">
        <w:rPr>
          <w:rFonts w:ascii="Times New Roman" w:hAnsi="Times New Roman"/>
          <w:sz w:val="24"/>
        </w:rPr>
        <w:t xml:space="preserve">first, third and fourth </w:t>
      </w:r>
      <w:r w:rsidR="004F7340">
        <w:rPr>
          <w:rFonts w:ascii="Times New Roman" w:hAnsi="Times New Roman"/>
          <w:sz w:val="24"/>
        </w:rPr>
        <w:t xml:space="preserve">defendants.  </w:t>
      </w:r>
      <w:r w:rsidR="001D3495">
        <w:rPr>
          <w:rFonts w:ascii="Times New Roman" w:hAnsi="Times New Roman"/>
          <w:sz w:val="24"/>
        </w:rPr>
        <w:t>An earlier</w:t>
      </w:r>
      <w:r w:rsidR="004F7340">
        <w:rPr>
          <w:rFonts w:ascii="Times New Roman" w:hAnsi="Times New Roman"/>
          <w:sz w:val="24"/>
        </w:rPr>
        <w:t xml:space="preserve"> judgment of the High Court </w:t>
      </w:r>
      <w:r w:rsidR="001D3495">
        <w:rPr>
          <w:rFonts w:ascii="Times New Roman" w:hAnsi="Times New Roman"/>
          <w:sz w:val="24"/>
        </w:rPr>
        <w:t>in these proceedings</w:t>
      </w:r>
      <w:r w:rsidR="004F7340">
        <w:rPr>
          <w:rFonts w:ascii="Times New Roman" w:hAnsi="Times New Roman"/>
          <w:sz w:val="24"/>
        </w:rPr>
        <w:t xml:space="preserve"> records that in excess of 80% of these products were supplied to the respondents by the first </w:t>
      </w:r>
      <w:r w:rsidR="001D3495">
        <w:rPr>
          <w:rFonts w:ascii="Times New Roman" w:hAnsi="Times New Roman"/>
          <w:sz w:val="24"/>
        </w:rPr>
        <w:t>named</w:t>
      </w:r>
      <w:r w:rsidR="004F7340">
        <w:rPr>
          <w:rFonts w:ascii="Times New Roman" w:hAnsi="Times New Roman"/>
          <w:sz w:val="24"/>
        </w:rPr>
        <w:t xml:space="preserve"> defendant, </w:t>
      </w:r>
      <w:r w:rsidR="001D3495">
        <w:rPr>
          <w:rFonts w:ascii="Times New Roman" w:hAnsi="Times New Roman"/>
          <w:sz w:val="24"/>
        </w:rPr>
        <w:t xml:space="preserve">one of </w:t>
      </w:r>
      <w:r w:rsidR="004F7340">
        <w:rPr>
          <w:rFonts w:ascii="Times New Roman" w:hAnsi="Times New Roman"/>
          <w:sz w:val="24"/>
        </w:rPr>
        <w:t>the appellants in this appeal</w:t>
      </w:r>
      <w:r w:rsidR="00E5294C">
        <w:rPr>
          <w:rFonts w:ascii="Times New Roman" w:hAnsi="Times New Roman"/>
          <w:sz w:val="24"/>
        </w:rPr>
        <w:t xml:space="preserve"> (where appropriate, I shall refer to all defendants collectively as the defendants, and I shall refer to the first and second named defendants as the “appellants”).</w:t>
      </w:r>
      <w:r w:rsidR="001D3495">
        <w:rPr>
          <w:rFonts w:ascii="Times New Roman" w:hAnsi="Times New Roman"/>
          <w:sz w:val="24"/>
        </w:rPr>
        <w:t xml:space="preserve"> The second named appellant was joined to these proceedings in its capacity as a guarantor of the liabilities of the first named appellant.</w:t>
      </w:r>
      <w:r w:rsidR="007A1652">
        <w:rPr>
          <w:rFonts w:ascii="Times New Roman" w:hAnsi="Times New Roman"/>
          <w:sz w:val="24"/>
        </w:rPr>
        <w:t xml:space="preserve"> When referring to the first named appellant only hereafter, I will refer to it as “Roadstone”</w:t>
      </w:r>
      <w:r w:rsidR="00DD4FA0">
        <w:rPr>
          <w:rFonts w:ascii="Times New Roman" w:hAnsi="Times New Roman"/>
          <w:sz w:val="24"/>
        </w:rPr>
        <w:t>.</w:t>
      </w:r>
    </w:p>
    <w:p w14:paraId="7529D56A" w14:textId="5BCB016D" w:rsidR="00780F5F" w:rsidRPr="002E7DF6" w:rsidRDefault="004F7340"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Not very long after the construction of the </w:t>
      </w:r>
      <w:r w:rsidR="00A101F1">
        <w:rPr>
          <w:rFonts w:ascii="Times New Roman" w:hAnsi="Times New Roman"/>
          <w:sz w:val="24"/>
        </w:rPr>
        <w:t>D</w:t>
      </w:r>
      <w:r>
        <w:rPr>
          <w:rFonts w:ascii="Times New Roman" w:hAnsi="Times New Roman"/>
          <w:sz w:val="24"/>
        </w:rPr>
        <w:t xml:space="preserve">evelopment, homeowners began to complain of structural defects. </w:t>
      </w:r>
      <w:r w:rsidR="00023E5C">
        <w:rPr>
          <w:rFonts w:ascii="Times New Roman" w:hAnsi="Times New Roman"/>
          <w:sz w:val="24"/>
        </w:rPr>
        <w:t>This led to the issue of proceedings</w:t>
      </w:r>
      <w:r w:rsidR="00780F5F">
        <w:rPr>
          <w:rFonts w:ascii="Times New Roman" w:hAnsi="Times New Roman"/>
          <w:sz w:val="24"/>
        </w:rPr>
        <w:t>,</w:t>
      </w:r>
      <w:r w:rsidR="00023E5C">
        <w:rPr>
          <w:rFonts w:ascii="Times New Roman" w:hAnsi="Times New Roman"/>
          <w:sz w:val="24"/>
        </w:rPr>
        <w:t xml:space="preserve"> against the respondents who in turn issued the within proceedings</w:t>
      </w:r>
      <w:r w:rsidR="00780F5F">
        <w:rPr>
          <w:rFonts w:ascii="Times New Roman" w:hAnsi="Times New Roman"/>
          <w:sz w:val="24"/>
        </w:rPr>
        <w:t>, in May 2016,</w:t>
      </w:r>
      <w:r w:rsidR="00023E5C">
        <w:rPr>
          <w:rFonts w:ascii="Times New Roman" w:hAnsi="Times New Roman"/>
          <w:sz w:val="24"/>
        </w:rPr>
        <w:t xml:space="preserve"> against the defendants</w:t>
      </w:r>
      <w:r w:rsidR="00780F5F">
        <w:rPr>
          <w:rFonts w:ascii="Times New Roman" w:hAnsi="Times New Roman"/>
          <w:sz w:val="24"/>
        </w:rPr>
        <w:t>,</w:t>
      </w:r>
      <w:r w:rsidR="00A101F1">
        <w:rPr>
          <w:rFonts w:ascii="Times New Roman" w:hAnsi="Times New Roman"/>
          <w:sz w:val="24"/>
        </w:rPr>
        <w:t xml:space="preserve"> claiming indemnity and contribution from the defendants herein, in respect of all losses, howsoever arising, that the respondents may suffer arising out of the supply by the defendants to the respondents of stone infill for use in the Development.</w:t>
      </w:r>
      <w:r w:rsidR="00023E5C">
        <w:rPr>
          <w:rFonts w:ascii="Times New Roman" w:hAnsi="Times New Roman"/>
          <w:sz w:val="24"/>
        </w:rPr>
        <w:t xml:space="preserve"> Soon after the issue of these proceedings</w:t>
      </w:r>
      <w:r w:rsidR="00D5569C">
        <w:rPr>
          <w:rFonts w:ascii="Times New Roman" w:hAnsi="Times New Roman"/>
          <w:sz w:val="24"/>
        </w:rPr>
        <w:t xml:space="preserve"> (on 3</w:t>
      </w:r>
      <w:r w:rsidR="00D5569C" w:rsidRPr="00D5569C">
        <w:rPr>
          <w:rFonts w:ascii="Times New Roman" w:hAnsi="Times New Roman"/>
          <w:sz w:val="24"/>
          <w:vertAlign w:val="superscript"/>
        </w:rPr>
        <w:t>rd</w:t>
      </w:r>
      <w:r w:rsidR="00D5569C">
        <w:rPr>
          <w:rFonts w:ascii="Times New Roman" w:hAnsi="Times New Roman"/>
          <w:sz w:val="24"/>
        </w:rPr>
        <w:t xml:space="preserve"> June 2016)</w:t>
      </w:r>
      <w:r w:rsidR="00131D43">
        <w:rPr>
          <w:rFonts w:ascii="Times New Roman" w:hAnsi="Times New Roman"/>
          <w:sz w:val="24"/>
        </w:rPr>
        <w:t xml:space="preserve"> </w:t>
      </w:r>
      <w:r w:rsidR="00023E5C">
        <w:rPr>
          <w:rFonts w:ascii="Times New Roman" w:hAnsi="Times New Roman"/>
          <w:sz w:val="24"/>
        </w:rPr>
        <w:t>- before the service of a statement of claim</w:t>
      </w:r>
      <w:r w:rsidR="00131D43">
        <w:rPr>
          <w:rFonts w:ascii="Times New Roman" w:hAnsi="Times New Roman"/>
          <w:sz w:val="24"/>
        </w:rPr>
        <w:t xml:space="preserve"> </w:t>
      </w:r>
      <w:r w:rsidR="00023E5C">
        <w:rPr>
          <w:rFonts w:ascii="Times New Roman" w:hAnsi="Times New Roman"/>
          <w:sz w:val="24"/>
        </w:rPr>
        <w:t>- the respondents issued a motion pursuant to O</w:t>
      </w:r>
      <w:r w:rsidR="00520BEB">
        <w:rPr>
          <w:rFonts w:ascii="Times New Roman" w:hAnsi="Times New Roman"/>
          <w:sz w:val="24"/>
        </w:rPr>
        <w:t>.</w:t>
      </w:r>
      <w:r w:rsidR="00023E5C">
        <w:rPr>
          <w:rFonts w:ascii="Times New Roman" w:hAnsi="Times New Roman"/>
          <w:sz w:val="24"/>
        </w:rPr>
        <w:t xml:space="preserve"> 50, r</w:t>
      </w:r>
      <w:r w:rsidR="00520BEB">
        <w:rPr>
          <w:rFonts w:ascii="Times New Roman" w:hAnsi="Times New Roman"/>
          <w:sz w:val="24"/>
        </w:rPr>
        <w:t>.</w:t>
      </w:r>
      <w:r w:rsidR="00023E5C">
        <w:rPr>
          <w:rFonts w:ascii="Times New Roman" w:hAnsi="Times New Roman"/>
          <w:sz w:val="24"/>
        </w:rPr>
        <w:t xml:space="preserve"> 4 of the </w:t>
      </w:r>
      <w:r w:rsidR="00520BEB">
        <w:rPr>
          <w:rFonts w:ascii="Times New Roman" w:hAnsi="Times New Roman"/>
          <w:sz w:val="24"/>
        </w:rPr>
        <w:t>R</w:t>
      </w:r>
      <w:r w:rsidR="00023E5C">
        <w:rPr>
          <w:rFonts w:ascii="Times New Roman" w:hAnsi="Times New Roman"/>
          <w:sz w:val="24"/>
        </w:rPr>
        <w:t xml:space="preserve">ules of the Superior Courts, seeking, </w:t>
      </w:r>
      <w:r w:rsidR="00023E5C" w:rsidRPr="00023E5C">
        <w:rPr>
          <w:rFonts w:ascii="Times New Roman" w:hAnsi="Times New Roman"/>
          <w:i/>
          <w:sz w:val="24"/>
        </w:rPr>
        <w:t>inter</w:t>
      </w:r>
      <w:r w:rsidR="00023E5C">
        <w:rPr>
          <w:rFonts w:ascii="Times New Roman" w:hAnsi="Times New Roman"/>
          <w:sz w:val="24"/>
        </w:rPr>
        <w:t xml:space="preserve"> </w:t>
      </w:r>
      <w:r w:rsidR="00023E5C" w:rsidRPr="00023E5C">
        <w:rPr>
          <w:rFonts w:ascii="Times New Roman" w:hAnsi="Times New Roman"/>
          <w:i/>
          <w:sz w:val="24"/>
        </w:rPr>
        <w:t>alia</w:t>
      </w:r>
      <w:r w:rsidR="00023E5C">
        <w:rPr>
          <w:rFonts w:ascii="Times New Roman" w:hAnsi="Times New Roman"/>
          <w:sz w:val="24"/>
        </w:rPr>
        <w:t xml:space="preserve">, an order permitting inspection of </w:t>
      </w:r>
      <w:r w:rsidR="007A1652">
        <w:rPr>
          <w:rFonts w:ascii="Times New Roman" w:hAnsi="Times New Roman"/>
          <w:sz w:val="24"/>
        </w:rPr>
        <w:t>certain</w:t>
      </w:r>
      <w:r w:rsidR="00023E5C">
        <w:rPr>
          <w:rFonts w:ascii="Times New Roman" w:hAnsi="Times New Roman"/>
          <w:sz w:val="24"/>
        </w:rPr>
        <w:t xml:space="preserve"> lands of </w:t>
      </w:r>
      <w:r w:rsidR="007A1652">
        <w:rPr>
          <w:rFonts w:ascii="Times New Roman" w:hAnsi="Times New Roman"/>
          <w:sz w:val="24"/>
        </w:rPr>
        <w:t>Roadstone</w:t>
      </w:r>
      <w:r w:rsidR="00023E5C">
        <w:rPr>
          <w:rFonts w:ascii="Times New Roman" w:hAnsi="Times New Roman"/>
          <w:sz w:val="24"/>
        </w:rPr>
        <w:t xml:space="preserve"> and the third named defendant</w:t>
      </w:r>
      <w:r w:rsidR="007A1652">
        <w:rPr>
          <w:rFonts w:ascii="Times New Roman" w:hAnsi="Times New Roman"/>
          <w:sz w:val="24"/>
        </w:rPr>
        <w:t>, the lands concerned being quarries from which stone products were extracted and supplied by those defendants to the respondents for use in the Development.</w:t>
      </w:r>
      <w:r w:rsidR="00023E5C">
        <w:rPr>
          <w:rFonts w:ascii="Times New Roman" w:hAnsi="Times New Roman"/>
          <w:sz w:val="24"/>
        </w:rPr>
        <w:t xml:space="preserve"> </w:t>
      </w:r>
      <w:r>
        <w:rPr>
          <w:rFonts w:ascii="Times New Roman" w:hAnsi="Times New Roman"/>
          <w:sz w:val="24"/>
        </w:rPr>
        <w:t xml:space="preserve"> </w:t>
      </w:r>
      <w:r w:rsidR="007D46F6">
        <w:rPr>
          <w:rFonts w:ascii="Times New Roman" w:hAnsi="Times New Roman"/>
          <w:sz w:val="24"/>
        </w:rPr>
        <w:t xml:space="preserve">This motion first came on for hearing before Murphy J. </w:t>
      </w:r>
      <w:r w:rsidR="001C2A6B">
        <w:rPr>
          <w:rFonts w:ascii="Times New Roman" w:hAnsi="Times New Roman"/>
          <w:sz w:val="24"/>
        </w:rPr>
        <w:t xml:space="preserve">in May 2017, </w:t>
      </w:r>
      <w:r w:rsidR="007D46F6">
        <w:rPr>
          <w:rFonts w:ascii="Times New Roman" w:hAnsi="Times New Roman"/>
          <w:sz w:val="24"/>
        </w:rPr>
        <w:t>and</w:t>
      </w:r>
      <w:r w:rsidR="00FE60B4">
        <w:rPr>
          <w:rFonts w:ascii="Times New Roman" w:hAnsi="Times New Roman"/>
          <w:sz w:val="24"/>
        </w:rPr>
        <w:t xml:space="preserve"> </w:t>
      </w:r>
      <w:r>
        <w:rPr>
          <w:rFonts w:ascii="Times New Roman" w:hAnsi="Times New Roman"/>
          <w:sz w:val="24"/>
        </w:rPr>
        <w:t>on 28</w:t>
      </w:r>
      <w:r w:rsidRPr="004F7340">
        <w:rPr>
          <w:rFonts w:ascii="Times New Roman" w:hAnsi="Times New Roman"/>
          <w:sz w:val="24"/>
          <w:vertAlign w:val="superscript"/>
        </w:rPr>
        <w:t>th</w:t>
      </w:r>
      <w:r>
        <w:rPr>
          <w:rFonts w:ascii="Times New Roman" w:hAnsi="Times New Roman"/>
          <w:sz w:val="24"/>
        </w:rPr>
        <w:t xml:space="preserve"> July 2017</w:t>
      </w:r>
      <w:r w:rsidR="007D46F6">
        <w:rPr>
          <w:rFonts w:ascii="Times New Roman" w:hAnsi="Times New Roman"/>
          <w:sz w:val="24"/>
        </w:rPr>
        <w:t xml:space="preserve"> she handed down her first</w:t>
      </w:r>
      <w:r w:rsidR="001C2A6B">
        <w:rPr>
          <w:rFonts w:ascii="Times New Roman" w:hAnsi="Times New Roman"/>
          <w:sz w:val="24"/>
        </w:rPr>
        <w:t xml:space="preserve"> of two judgments</w:t>
      </w:r>
      <w:r w:rsidR="007D46F6">
        <w:rPr>
          <w:rFonts w:ascii="Times New Roman" w:hAnsi="Times New Roman"/>
          <w:sz w:val="24"/>
        </w:rPr>
        <w:t xml:space="preserve"> relating thereto, which </w:t>
      </w:r>
      <w:r w:rsidR="007A1652">
        <w:rPr>
          <w:rFonts w:ascii="Times New Roman" w:hAnsi="Times New Roman"/>
          <w:sz w:val="24"/>
        </w:rPr>
        <w:t xml:space="preserve">judgment </w:t>
      </w:r>
      <w:r w:rsidR="007D46F6">
        <w:rPr>
          <w:rFonts w:ascii="Times New Roman" w:hAnsi="Times New Roman"/>
          <w:sz w:val="24"/>
        </w:rPr>
        <w:t xml:space="preserve">was not appealed. </w:t>
      </w:r>
    </w:p>
    <w:p w14:paraId="4DA79782" w14:textId="52B10DEA" w:rsidR="002E7DF6" w:rsidRPr="002E7DF6" w:rsidRDefault="002E7DF6" w:rsidP="0058287A">
      <w:pPr>
        <w:pStyle w:val="ListParagraph"/>
        <w:numPr>
          <w:ilvl w:val="0"/>
          <w:numId w:val="1"/>
        </w:numPr>
        <w:tabs>
          <w:tab w:val="left" w:pos="567"/>
        </w:tabs>
        <w:spacing w:line="480" w:lineRule="auto"/>
        <w:ind w:left="0" w:firstLine="0"/>
        <w:rPr>
          <w:rFonts w:ascii="Times New Roman" w:hAnsi="Times New Roman"/>
          <w:sz w:val="24"/>
        </w:rPr>
      </w:pPr>
      <w:r w:rsidRPr="002E7DF6">
        <w:rPr>
          <w:rFonts w:ascii="Times New Roman" w:hAnsi="Times New Roman"/>
          <w:sz w:val="24"/>
        </w:rPr>
        <w:lastRenderedPageBreak/>
        <w:t>Before proceeding further</w:t>
      </w:r>
      <w:r>
        <w:rPr>
          <w:rFonts w:ascii="Times New Roman" w:hAnsi="Times New Roman"/>
          <w:sz w:val="24"/>
        </w:rPr>
        <w:t>, it is useful at this juncture to set out the provisions of O</w:t>
      </w:r>
      <w:r w:rsidR="00520BEB">
        <w:rPr>
          <w:rFonts w:ascii="Times New Roman" w:hAnsi="Times New Roman"/>
          <w:sz w:val="24"/>
        </w:rPr>
        <w:t>.</w:t>
      </w:r>
      <w:r>
        <w:rPr>
          <w:rFonts w:ascii="Times New Roman" w:hAnsi="Times New Roman"/>
          <w:sz w:val="24"/>
        </w:rPr>
        <w:t xml:space="preserve"> 50, r</w:t>
      </w:r>
      <w:r w:rsidR="00520BEB">
        <w:rPr>
          <w:rFonts w:ascii="Times New Roman" w:hAnsi="Times New Roman"/>
          <w:sz w:val="24"/>
        </w:rPr>
        <w:t>.</w:t>
      </w:r>
      <w:r>
        <w:rPr>
          <w:rFonts w:ascii="Times New Roman" w:hAnsi="Times New Roman"/>
          <w:sz w:val="24"/>
        </w:rPr>
        <w:t xml:space="preserve"> 4</w:t>
      </w:r>
      <w:r w:rsidR="00520BEB">
        <w:rPr>
          <w:rFonts w:ascii="Times New Roman" w:hAnsi="Times New Roman"/>
          <w:sz w:val="24"/>
        </w:rPr>
        <w:t xml:space="preserve"> RSC</w:t>
      </w:r>
      <w:r>
        <w:rPr>
          <w:rFonts w:ascii="Times New Roman" w:hAnsi="Times New Roman"/>
          <w:sz w:val="24"/>
        </w:rPr>
        <w:t>:</w:t>
      </w:r>
    </w:p>
    <w:p w14:paraId="142349FE" w14:textId="6D6FBA19" w:rsidR="002E7DF6" w:rsidRPr="00DE72A4" w:rsidRDefault="002E7DF6" w:rsidP="00CB66AF">
      <w:pPr>
        <w:tabs>
          <w:tab w:val="left" w:pos="567"/>
        </w:tabs>
        <w:spacing w:line="480" w:lineRule="auto"/>
        <w:ind w:left="567"/>
        <w:jc w:val="both"/>
        <w:rPr>
          <w:i/>
        </w:rPr>
      </w:pPr>
      <w:r w:rsidRPr="00EF3EA1">
        <w:t>“</w:t>
      </w:r>
      <w:r w:rsidRPr="00CA3BA3">
        <w:rPr>
          <w:i/>
        </w:rPr>
        <w:t>The Court, upon the application of any party to a cause or matter, and upon such terms as may be just, may make any order for the detention, preservation, or inspection of any property or thing, being the subject of such cause or matter, or as to which any question may arise therein, and for all or any of the purposes aforesaid may authorise any person to enter upon or into any land or building in the possession of any party to such cause or matter and for all or any of the purposes aforesaid may authorise any samples to be taken or any observations to be made or experiment to be tried, which may be necessary or expedient for the purpose of obtaining full information or evidence.</w:t>
      </w:r>
      <w:r w:rsidRPr="00EF3EA1">
        <w:rPr>
          <w:iCs/>
        </w:rPr>
        <w:t>”</w:t>
      </w:r>
    </w:p>
    <w:p w14:paraId="5A05B8DC" w14:textId="0AA05F8A" w:rsidR="004F7340" w:rsidRPr="004F7340" w:rsidRDefault="007D46F6"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w:t>
      </w:r>
      <w:r w:rsidR="002E7DF6">
        <w:rPr>
          <w:rFonts w:ascii="Times New Roman" w:hAnsi="Times New Roman"/>
          <w:sz w:val="24"/>
        </w:rPr>
        <w:t>her</w:t>
      </w:r>
      <w:r>
        <w:rPr>
          <w:rFonts w:ascii="Times New Roman" w:hAnsi="Times New Roman"/>
          <w:sz w:val="24"/>
        </w:rPr>
        <w:t xml:space="preserve"> judgment</w:t>
      </w:r>
      <w:r w:rsidR="002E7DF6">
        <w:rPr>
          <w:rFonts w:ascii="Times New Roman" w:hAnsi="Times New Roman"/>
          <w:sz w:val="24"/>
        </w:rPr>
        <w:t xml:space="preserve"> of 28</w:t>
      </w:r>
      <w:r w:rsidR="002E7DF6" w:rsidRPr="002E7DF6">
        <w:rPr>
          <w:rFonts w:ascii="Times New Roman" w:hAnsi="Times New Roman"/>
          <w:sz w:val="24"/>
          <w:vertAlign w:val="superscript"/>
        </w:rPr>
        <w:t>th</w:t>
      </w:r>
      <w:r w:rsidR="002E7DF6">
        <w:rPr>
          <w:rFonts w:ascii="Times New Roman" w:hAnsi="Times New Roman"/>
          <w:sz w:val="24"/>
        </w:rPr>
        <w:t xml:space="preserve"> July 2017,</w:t>
      </w:r>
      <w:r w:rsidR="004F7340">
        <w:rPr>
          <w:rFonts w:ascii="Times New Roman" w:hAnsi="Times New Roman"/>
          <w:sz w:val="24"/>
        </w:rPr>
        <w:t xml:space="preserve"> Murphy J. </w:t>
      </w:r>
      <w:r w:rsidR="009D0C33">
        <w:rPr>
          <w:rFonts w:ascii="Times New Roman" w:hAnsi="Times New Roman"/>
          <w:sz w:val="24"/>
        </w:rPr>
        <w:t>related</w:t>
      </w:r>
      <w:r w:rsidR="004F7340">
        <w:rPr>
          <w:rFonts w:ascii="Times New Roman" w:hAnsi="Times New Roman"/>
          <w:sz w:val="24"/>
        </w:rPr>
        <w:t xml:space="preserve"> that fifty of the houses in the </w:t>
      </w:r>
      <w:r w:rsidR="007A1652">
        <w:rPr>
          <w:rFonts w:ascii="Times New Roman" w:hAnsi="Times New Roman"/>
          <w:sz w:val="24"/>
        </w:rPr>
        <w:t>D</w:t>
      </w:r>
      <w:r w:rsidR="004F7340">
        <w:rPr>
          <w:rFonts w:ascii="Times New Roman" w:hAnsi="Times New Roman"/>
          <w:sz w:val="24"/>
        </w:rPr>
        <w:t>evelopment had been remediated pursuant to an insurance bond provided by the respondents at the time of the sale of the houses, and the insurers</w:t>
      </w:r>
      <w:r w:rsidR="009D0C33">
        <w:rPr>
          <w:rFonts w:ascii="Times New Roman" w:hAnsi="Times New Roman"/>
          <w:sz w:val="24"/>
        </w:rPr>
        <w:t xml:space="preserve"> underwriting that bond</w:t>
      </w:r>
      <w:r w:rsidR="007A1652">
        <w:rPr>
          <w:rFonts w:ascii="Times New Roman" w:hAnsi="Times New Roman"/>
          <w:sz w:val="24"/>
        </w:rPr>
        <w:t>,</w:t>
      </w:r>
      <w:r w:rsidR="004F7340">
        <w:rPr>
          <w:rFonts w:ascii="Times New Roman" w:hAnsi="Times New Roman"/>
          <w:sz w:val="24"/>
        </w:rPr>
        <w:t xml:space="preserve"> </w:t>
      </w:r>
      <w:r w:rsidR="007A1652">
        <w:rPr>
          <w:rFonts w:ascii="Times New Roman" w:hAnsi="Times New Roman"/>
          <w:sz w:val="24"/>
        </w:rPr>
        <w:t>in</w:t>
      </w:r>
      <w:r w:rsidR="004F7340">
        <w:rPr>
          <w:rFonts w:ascii="Times New Roman" w:hAnsi="Times New Roman"/>
          <w:sz w:val="24"/>
        </w:rPr>
        <w:t xml:space="preserve"> exercise</w:t>
      </w:r>
      <w:r w:rsidR="007A1652">
        <w:rPr>
          <w:rFonts w:ascii="Times New Roman" w:hAnsi="Times New Roman"/>
          <w:sz w:val="24"/>
        </w:rPr>
        <w:t xml:space="preserve"> of</w:t>
      </w:r>
      <w:r w:rsidR="004F7340">
        <w:rPr>
          <w:rFonts w:ascii="Times New Roman" w:hAnsi="Times New Roman"/>
          <w:sz w:val="24"/>
        </w:rPr>
        <w:t xml:space="preserve"> their rights of subrogation</w:t>
      </w:r>
      <w:r w:rsidR="007A1652">
        <w:rPr>
          <w:rFonts w:ascii="Times New Roman" w:hAnsi="Times New Roman"/>
          <w:sz w:val="24"/>
        </w:rPr>
        <w:t xml:space="preserve"> under the bond, then</w:t>
      </w:r>
      <w:r w:rsidR="004F7340">
        <w:rPr>
          <w:rFonts w:ascii="Times New Roman" w:hAnsi="Times New Roman"/>
          <w:sz w:val="24"/>
        </w:rPr>
        <w:t xml:space="preserve"> issued proceedings as against the first and third named defendants in respect of those claims.  Separately, more than thirty additional homeowners </w:t>
      </w:r>
      <w:r w:rsidR="00C40C41">
        <w:rPr>
          <w:rFonts w:ascii="Times New Roman" w:hAnsi="Times New Roman"/>
          <w:sz w:val="24"/>
        </w:rPr>
        <w:t>(whose claims for one reason or another were not, as I understand it</w:t>
      </w:r>
      <w:r>
        <w:rPr>
          <w:rFonts w:ascii="Times New Roman" w:hAnsi="Times New Roman"/>
          <w:sz w:val="24"/>
        </w:rPr>
        <w:t>,</w:t>
      </w:r>
      <w:r w:rsidR="00C40C41">
        <w:rPr>
          <w:rFonts w:ascii="Times New Roman" w:hAnsi="Times New Roman"/>
          <w:sz w:val="24"/>
        </w:rPr>
        <w:t xml:space="preserve"> covered by the bond referred to above)</w:t>
      </w:r>
      <w:r w:rsidR="009100A1">
        <w:rPr>
          <w:rFonts w:ascii="Times New Roman" w:hAnsi="Times New Roman"/>
          <w:sz w:val="24"/>
        </w:rPr>
        <w:t xml:space="preserve"> </w:t>
      </w:r>
      <w:r w:rsidR="004F7340">
        <w:rPr>
          <w:rFonts w:ascii="Times New Roman" w:hAnsi="Times New Roman"/>
          <w:sz w:val="24"/>
        </w:rPr>
        <w:t xml:space="preserve">have issued proceedings against all the parties to these proceedings claiming damages arising out of defects in their houses which defects are claimed to have arisen owing to the phenomenon known as pyritic heave. </w:t>
      </w:r>
    </w:p>
    <w:p w14:paraId="7B747E1B" w14:textId="303FA8A3" w:rsidR="0091693D" w:rsidRDefault="00811EB7"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So far as </w:t>
      </w:r>
      <w:r w:rsidR="00780F5F">
        <w:rPr>
          <w:rFonts w:ascii="Times New Roman" w:hAnsi="Times New Roman"/>
          <w:sz w:val="24"/>
        </w:rPr>
        <w:t>Roadstone</w:t>
      </w:r>
      <w:r>
        <w:rPr>
          <w:rFonts w:ascii="Times New Roman" w:hAnsi="Times New Roman"/>
          <w:sz w:val="24"/>
        </w:rPr>
        <w:t xml:space="preserve"> is concerned, its lands were specifically identified</w:t>
      </w:r>
      <w:r w:rsidR="009F47CB">
        <w:rPr>
          <w:rFonts w:ascii="Times New Roman" w:hAnsi="Times New Roman"/>
          <w:sz w:val="24"/>
        </w:rPr>
        <w:t xml:space="preserve"> in the motion</w:t>
      </w:r>
      <w:r>
        <w:rPr>
          <w:rFonts w:ascii="Times New Roman" w:hAnsi="Times New Roman"/>
          <w:sz w:val="24"/>
        </w:rPr>
        <w:t>, and included large quarries located at Belgard, Tallaght, Dublin 24</w:t>
      </w:r>
      <w:r w:rsidR="00037939">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Huntstown</w:t>
      </w:r>
      <w:proofErr w:type="spellEnd"/>
      <w:r>
        <w:rPr>
          <w:rFonts w:ascii="Times New Roman" w:hAnsi="Times New Roman"/>
          <w:sz w:val="24"/>
        </w:rPr>
        <w:t xml:space="preserve">, Finglas, Dublin 11 and </w:t>
      </w:r>
      <w:proofErr w:type="spellStart"/>
      <w:r>
        <w:rPr>
          <w:rFonts w:ascii="Times New Roman" w:hAnsi="Times New Roman"/>
          <w:sz w:val="24"/>
        </w:rPr>
        <w:t>Feltrim</w:t>
      </w:r>
      <w:proofErr w:type="spellEnd"/>
      <w:r>
        <w:rPr>
          <w:rFonts w:ascii="Times New Roman" w:hAnsi="Times New Roman"/>
          <w:sz w:val="24"/>
        </w:rPr>
        <w:t>, Swords, Co. Dublin</w:t>
      </w:r>
      <w:r w:rsidR="009F47CB">
        <w:rPr>
          <w:rFonts w:ascii="Times New Roman" w:hAnsi="Times New Roman"/>
          <w:sz w:val="24"/>
        </w:rPr>
        <w:t>, as well as three other</w:t>
      </w:r>
      <w:r w:rsidR="00780F5F">
        <w:rPr>
          <w:rFonts w:ascii="Times New Roman" w:hAnsi="Times New Roman"/>
          <w:sz w:val="24"/>
        </w:rPr>
        <w:t xml:space="preserve"> Roadstone</w:t>
      </w:r>
      <w:r w:rsidR="009F47CB">
        <w:rPr>
          <w:rFonts w:ascii="Times New Roman" w:hAnsi="Times New Roman"/>
          <w:sz w:val="24"/>
        </w:rPr>
        <w:t xml:space="preserve"> quarries</w:t>
      </w:r>
      <w:r w:rsidR="00780F5F">
        <w:rPr>
          <w:rFonts w:ascii="Times New Roman" w:hAnsi="Times New Roman"/>
          <w:sz w:val="24"/>
        </w:rPr>
        <w:t>, in respect of which the application was later withdrawn</w:t>
      </w:r>
      <w:r>
        <w:rPr>
          <w:rFonts w:ascii="Times New Roman" w:hAnsi="Times New Roman"/>
          <w:sz w:val="24"/>
        </w:rPr>
        <w:t xml:space="preserve">.  In addition to seeking an order for inspection, the notice of motion </w:t>
      </w:r>
      <w:r w:rsidR="002B7EC0">
        <w:rPr>
          <w:rFonts w:ascii="Times New Roman" w:hAnsi="Times New Roman"/>
          <w:sz w:val="24"/>
        </w:rPr>
        <w:t xml:space="preserve">sought an order entitling the respondents to take and remove </w:t>
      </w:r>
      <w:r w:rsidR="002B7EC0">
        <w:rPr>
          <w:rFonts w:ascii="Times New Roman" w:hAnsi="Times New Roman"/>
          <w:sz w:val="24"/>
        </w:rPr>
        <w:lastRenderedPageBreak/>
        <w:t>samples of rock including by the drilling of rock, as well as an order requiring the</w:t>
      </w:r>
      <w:r w:rsidR="008D0770">
        <w:rPr>
          <w:rFonts w:ascii="Times New Roman" w:hAnsi="Times New Roman"/>
          <w:sz w:val="24"/>
        </w:rPr>
        <w:t xml:space="preserve"> first named</w:t>
      </w:r>
      <w:r w:rsidR="002B7EC0">
        <w:rPr>
          <w:rFonts w:ascii="Times New Roman" w:hAnsi="Times New Roman"/>
          <w:sz w:val="24"/>
        </w:rPr>
        <w:t xml:space="preserve"> appellant to provide “</w:t>
      </w:r>
      <w:r w:rsidR="002B7EC0" w:rsidRPr="00197B3E">
        <w:rPr>
          <w:rFonts w:ascii="Times New Roman" w:hAnsi="Times New Roman"/>
          <w:i/>
          <w:iCs/>
          <w:sz w:val="24"/>
        </w:rPr>
        <w:t xml:space="preserve">such reasonable cooperation and assistance as the plaintiffs and their respective servants and/or agents may reasonably require in order to </w:t>
      </w:r>
      <w:r w:rsidR="002B7EC0" w:rsidRPr="00037939">
        <w:rPr>
          <w:rFonts w:ascii="Times New Roman" w:hAnsi="Times New Roman"/>
          <w:i/>
          <w:iCs/>
          <w:sz w:val="24"/>
        </w:rPr>
        <w:t>complete [the inspection and taking of samples]</w:t>
      </w:r>
      <w:r w:rsidR="00037939">
        <w:rPr>
          <w:rFonts w:ascii="Times New Roman" w:hAnsi="Times New Roman"/>
          <w:i/>
          <w:iCs/>
          <w:sz w:val="24"/>
        </w:rPr>
        <w:t>.</w:t>
      </w:r>
      <w:r w:rsidR="002B7EC0">
        <w:rPr>
          <w:rFonts w:ascii="Times New Roman" w:hAnsi="Times New Roman"/>
          <w:sz w:val="24"/>
        </w:rPr>
        <w:t>”</w:t>
      </w:r>
    </w:p>
    <w:p w14:paraId="3F16D037" w14:textId="41FBE534" w:rsidR="004F7340" w:rsidRDefault="002B7EC0"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Very similar orders were sought as against the third named defendant, the only difference being that the respondents sought an order directing that defendant to identify the lands from which aggregate and crushed rock products had been supplied by </w:t>
      </w:r>
      <w:r w:rsidR="009F47CB">
        <w:rPr>
          <w:rFonts w:ascii="Times New Roman" w:hAnsi="Times New Roman"/>
          <w:sz w:val="24"/>
        </w:rPr>
        <w:t xml:space="preserve">it, </w:t>
      </w:r>
      <w:r>
        <w:rPr>
          <w:rFonts w:ascii="Times New Roman" w:hAnsi="Times New Roman"/>
          <w:sz w:val="24"/>
        </w:rPr>
        <w:t>the third named defendant</w:t>
      </w:r>
      <w:r w:rsidR="009F47CB">
        <w:rPr>
          <w:rFonts w:ascii="Times New Roman" w:hAnsi="Times New Roman"/>
          <w:sz w:val="24"/>
        </w:rPr>
        <w:t>,</w:t>
      </w:r>
      <w:r>
        <w:rPr>
          <w:rFonts w:ascii="Times New Roman" w:hAnsi="Times New Roman"/>
          <w:sz w:val="24"/>
        </w:rPr>
        <w:t xml:space="preserve"> to the respondents, and thereafter to facilitate inspection of those lands.</w:t>
      </w:r>
    </w:p>
    <w:p w14:paraId="693E91F0" w14:textId="70D8F99C" w:rsidR="004F7340" w:rsidRPr="0089056E" w:rsidRDefault="002B7EC0"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These proceedings have given rise to numerous interlocutory applications and have, for several years, been the subject of case management by the High Court, under the direction of Murphy J.  Th</w:t>
      </w:r>
      <w:r w:rsidR="001C2A6B">
        <w:rPr>
          <w:rFonts w:ascii="Times New Roman" w:hAnsi="Times New Roman"/>
          <w:sz w:val="24"/>
        </w:rPr>
        <w:t>is</w:t>
      </w:r>
      <w:r>
        <w:rPr>
          <w:rFonts w:ascii="Times New Roman" w:hAnsi="Times New Roman"/>
          <w:sz w:val="24"/>
        </w:rPr>
        <w:t xml:space="preserve"> motion</w:t>
      </w:r>
      <w:r w:rsidR="009F47CB">
        <w:rPr>
          <w:rFonts w:ascii="Times New Roman" w:hAnsi="Times New Roman"/>
          <w:sz w:val="24"/>
        </w:rPr>
        <w:t xml:space="preserve"> for inspection </w:t>
      </w:r>
      <w:r>
        <w:rPr>
          <w:rFonts w:ascii="Times New Roman" w:hAnsi="Times New Roman"/>
          <w:sz w:val="24"/>
        </w:rPr>
        <w:t>was initially heard over three days, on 30</w:t>
      </w:r>
      <w:r w:rsidRPr="002B7EC0">
        <w:rPr>
          <w:rFonts w:ascii="Times New Roman" w:hAnsi="Times New Roman"/>
          <w:sz w:val="24"/>
          <w:vertAlign w:val="superscript"/>
        </w:rPr>
        <w:t>th</w:t>
      </w:r>
      <w:r>
        <w:rPr>
          <w:rFonts w:ascii="Times New Roman" w:hAnsi="Times New Roman"/>
          <w:sz w:val="24"/>
        </w:rPr>
        <w:t xml:space="preserve"> May, 31</w:t>
      </w:r>
      <w:r w:rsidRPr="002B7EC0">
        <w:rPr>
          <w:rFonts w:ascii="Times New Roman" w:hAnsi="Times New Roman"/>
          <w:sz w:val="24"/>
          <w:vertAlign w:val="superscript"/>
        </w:rPr>
        <w:t>st</w:t>
      </w:r>
      <w:r>
        <w:rPr>
          <w:rFonts w:ascii="Times New Roman" w:hAnsi="Times New Roman"/>
          <w:sz w:val="24"/>
        </w:rPr>
        <w:t xml:space="preserve"> May and 1</w:t>
      </w:r>
      <w:r w:rsidRPr="002B7EC0">
        <w:rPr>
          <w:rFonts w:ascii="Times New Roman" w:hAnsi="Times New Roman"/>
          <w:sz w:val="24"/>
          <w:vertAlign w:val="superscript"/>
        </w:rPr>
        <w:t>st</w:t>
      </w:r>
      <w:r>
        <w:rPr>
          <w:rFonts w:ascii="Times New Roman" w:hAnsi="Times New Roman"/>
          <w:sz w:val="24"/>
        </w:rPr>
        <w:t xml:space="preserve"> June 2017. </w:t>
      </w:r>
      <w:r w:rsidR="005F6B41">
        <w:rPr>
          <w:rFonts w:ascii="Times New Roman" w:hAnsi="Times New Roman"/>
          <w:sz w:val="24"/>
        </w:rPr>
        <w:t>The motion was opposed by the appellants, principally in the grounds that it was premature pending closure of the pleadings</w:t>
      </w:r>
      <w:r w:rsidR="00780F5F">
        <w:rPr>
          <w:rFonts w:ascii="Times New Roman" w:hAnsi="Times New Roman"/>
          <w:sz w:val="24"/>
        </w:rPr>
        <w:t xml:space="preserve"> </w:t>
      </w:r>
      <w:r w:rsidR="00D5569C">
        <w:rPr>
          <w:rFonts w:ascii="Times New Roman" w:hAnsi="Times New Roman"/>
          <w:sz w:val="24"/>
        </w:rPr>
        <w:t>(a</w:t>
      </w:r>
      <w:r w:rsidR="00780F5F">
        <w:rPr>
          <w:rFonts w:ascii="Times New Roman" w:hAnsi="Times New Roman"/>
          <w:sz w:val="24"/>
        </w:rPr>
        <w:t>s I mentioned above,</w:t>
      </w:r>
      <w:r w:rsidR="005F6B41">
        <w:rPr>
          <w:rFonts w:ascii="Times New Roman" w:hAnsi="Times New Roman"/>
          <w:sz w:val="24"/>
        </w:rPr>
        <w:t xml:space="preserve"> the respondents had not yet delivered a statement of claim</w:t>
      </w:r>
      <w:r w:rsidR="00780F5F">
        <w:rPr>
          <w:rFonts w:ascii="Times New Roman" w:hAnsi="Times New Roman"/>
          <w:sz w:val="24"/>
        </w:rPr>
        <w:t xml:space="preserve"> in the proceedings at the time </w:t>
      </w:r>
      <w:r w:rsidR="00D5569C">
        <w:rPr>
          <w:rFonts w:ascii="Times New Roman" w:hAnsi="Times New Roman"/>
          <w:sz w:val="24"/>
        </w:rPr>
        <w:t>they issued the motion</w:t>
      </w:r>
      <w:r w:rsidR="005F6B41">
        <w:rPr>
          <w:rFonts w:ascii="Times New Roman" w:hAnsi="Times New Roman"/>
          <w:sz w:val="24"/>
        </w:rPr>
        <w:t>, though they had done so by the time the motion came on for hearing</w:t>
      </w:r>
      <w:r w:rsidR="00D5569C">
        <w:rPr>
          <w:rFonts w:ascii="Times New Roman" w:hAnsi="Times New Roman"/>
          <w:sz w:val="24"/>
        </w:rPr>
        <w:t>)</w:t>
      </w:r>
      <w:r w:rsidR="005F6B41">
        <w:rPr>
          <w:rFonts w:ascii="Times New Roman" w:hAnsi="Times New Roman"/>
          <w:sz w:val="24"/>
        </w:rPr>
        <w:t>. The judgment</w:t>
      </w:r>
      <w:r w:rsidR="00E500C4">
        <w:rPr>
          <w:rFonts w:ascii="Times New Roman" w:hAnsi="Times New Roman"/>
          <w:sz w:val="24"/>
        </w:rPr>
        <w:t xml:space="preserve"> of 28</w:t>
      </w:r>
      <w:r w:rsidR="00E500C4" w:rsidRPr="00E500C4">
        <w:rPr>
          <w:rFonts w:ascii="Times New Roman" w:hAnsi="Times New Roman"/>
          <w:sz w:val="24"/>
          <w:vertAlign w:val="superscript"/>
        </w:rPr>
        <w:t>th</w:t>
      </w:r>
      <w:r w:rsidR="00E500C4">
        <w:rPr>
          <w:rFonts w:ascii="Times New Roman" w:hAnsi="Times New Roman"/>
          <w:sz w:val="24"/>
        </w:rPr>
        <w:t xml:space="preserve"> July 2017</w:t>
      </w:r>
      <w:r w:rsidR="005F6B41">
        <w:rPr>
          <w:rFonts w:ascii="Times New Roman" w:hAnsi="Times New Roman"/>
          <w:sz w:val="24"/>
        </w:rPr>
        <w:t xml:space="preserve"> records that the appellants </w:t>
      </w:r>
      <w:r w:rsidR="00D5569C">
        <w:rPr>
          <w:rFonts w:ascii="Times New Roman" w:hAnsi="Times New Roman"/>
          <w:sz w:val="24"/>
        </w:rPr>
        <w:t xml:space="preserve">also </w:t>
      </w:r>
      <w:r w:rsidR="005F6B41">
        <w:rPr>
          <w:rFonts w:ascii="Times New Roman" w:hAnsi="Times New Roman"/>
          <w:sz w:val="24"/>
        </w:rPr>
        <w:t xml:space="preserve">opposed the motion on the </w:t>
      </w:r>
      <w:r w:rsidR="00E500C4">
        <w:rPr>
          <w:rFonts w:ascii="Times New Roman" w:hAnsi="Times New Roman"/>
          <w:sz w:val="24"/>
        </w:rPr>
        <w:t>g</w:t>
      </w:r>
      <w:r w:rsidR="005F6B41">
        <w:rPr>
          <w:rFonts w:ascii="Times New Roman" w:hAnsi="Times New Roman"/>
          <w:sz w:val="24"/>
        </w:rPr>
        <w:t>rounds that it was unnecessarily invasive</w:t>
      </w:r>
      <w:r w:rsidR="00E500C4">
        <w:rPr>
          <w:rFonts w:ascii="Times New Roman" w:hAnsi="Times New Roman"/>
          <w:sz w:val="24"/>
        </w:rPr>
        <w:t xml:space="preserve"> and that the parameters</w:t>
      </w:r>
      <w:r w:rsidR="005F6B41">
        <w:rPr>
          <w:rFonts w:ascii="Times New Roman" w:hAnsi="Times New Roman"/>
          <w:sz w:val="24"/>
        </w:rPr>
        <w:t xml:space="preserve"> </w:t>
      </w:r>
      <w:r w:rsidR="00E500C4">
        <w:rPr>
          <w:rFonts w:ascii="Times New Roman" w:hAnsi="Times New Roman"/>
          <w:sz w:val="24"/>
        </w:rPr>
        <w:t>and mode of inspection were unclear</w:t>
      </w:r>
      <w:r w:rsidR="0089056E">
        <w:rPr>
          <w:rFonts w:ascii="Times New Roman" w:hAnsi="Times New Roman"/>
          <w:sz w:val="24"/>
        </w:rPr>
        <w:t>.  At para. 2 of th</w:t>
      </w:r>
      <w:r w:rsidR="00E500C4">
        <w:rPr>
          <w:rFonts w:ascii="Times New Roman" w:hAnsi="Times New Roman"/>
          <w:sz w:val="24"/>
        </w:rPr>
        <w:t>e</w:t>
      </w:r>
      <w:r w:rsidR="0089056E">
        <w:rPr>
          <w:rFonts w:ascii="Times New Roman" w:hAnsi="Times New Roman"/>
          <w:sz w:val="24"/>
        </w:rPr>
        <w:t xml:space="preserve"> judgment, when describing the relief sought as against </w:t>
      </w:r>
      <w:r w:rsidR="00D5569C">
        <w:rPr>
          <w:rFonts w:ascii="Times New Roman" w:hAnsi="Times New Roman"/>
          <w:sz w:val="24"/>
        </w:rPr>
        <w:t>Roa</w:t>
      </w:r>
      <w:r w:rsidR="00B00EE7">
        <w:rPr>
          <w:rFonts w:ascii="Times New Roman" w:hAnsi="Times New Roman"/>
          <w:sz w:val="24"/>
        </w:rPr>
        <w:t>d</w:t>
      </w:r>
      <w:r w:rsidR="00D5569C">
        <w:rPr>
          <w:rFonts w:ascii="Times New Roman" w:hAnsi="Times New Roman"/>
          <w:sz w:val="24"/>
        </w:rPr>
        <w:t>stone</w:t>
      </w:r>
      <w:r w:rsidR="0089056E">
        <w:rPr>
          <w:rFonts w:ascii="Times New Roman" w:hAnsi="Times New Roman"/>
          <w:sz w:val="24"/>
        </w:rPr>
        <w:t xml:space="preserve">, </w:t>
      </w:r>
      <w:r w:rsidR="00E500C4">
        <w:rPr>
          <w:rFonts w:ascii="Times New Roman" w:hAnsi="Times New Roman"/>
          <w:sz w:val="24"/>
        </w:rPr>
        <w:t xml:space="preserve">the trial </w:t>
      </w:r>
      <w:r w:rsidR="000D5C5B">
        <w:rPr>
          <w:rFonts w:ascii="Times New Roman" w:hAnsi="Times New Roman"/>
          <w:sz w:val="24"/>
        </w:rPr>
        <w:t>j</w:t>
      </w:r>
      <w:r w:rsidR="00E500C4">
        <w:rPr>
          <w:rFonts w:ascii="Times New Roman" w:hAnsi="Times New Roman"/>
          <w:sz w:val="24"/>
        </w:rPr>
        <w:t>udge</w:t>
      </w:r>
      <w:r w:rsidR="0089056E">
        <w:rPr>
          <w:rFonts w:ascii="Times New Roman" w:hAnsi="Times New Roman"/>
          <w:sz w:val="24"/>
        </w:rPr>
        <w:t xml:space="preserve"> stated:</w:t>
      </w:r>
    </w:p>
    <w:p w14:paraId="20719ABA" w14:textId="6F6E1D31" w:rsidR="0089056E" w:rsidRDefault="0089056E" w:rsidP="0058287A">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w:t>
      </w:r>
      <w:r w:rsidRPr="000D5C5B">
        <w:rPr>
          <w:rFonts w:ascii="Times New Roman" w:hAnsi="Times New Roman"/>
          <w:i/>
          <w:iCs/>
          <w:sz w:val="24"/>
        </w:rPr>
        <w:t>In addition the plaintiffs sought an order directing the first defendant to cooperate with the inspection by identifying the location in its various quarries from which stone supplied to the plaintiffs had been sourced</w:t>
      </w:r>
      <w:r w:rsidR="000D5C5B">
        <w:rPr>
          <w:rFonts w:ascii="Times New Roman" w:hAnsi="Times New Roman"/>
          <w:i/>
          <w:iCs/>
          <w:sz w:val="24"/>
        </w:rPr>
        <w:t>.</w:t>
      </w:r>
      <w:r>
        <w:rPr>
          <w:rFonts w:ascii="Times New Roman" w:hAnsi="Times New Roman"/>
          <w:sz w:val="24"/>
        </w:rPr>
        <w:t>”</w:t>
      </w:r>
    </w:p>
    <w:p w14:paraId="414992AF" w14:textId="0AC7A166" w:rsidR="004F7340" w:rsidRDefault="00A57D69" w:rsidP="0058287A">
      <w:pPr>
        <w:pStyle w:val="ListParagraph"/>
        <w:tabs>
          <w:tab w:val="left" w:pos="567"/>
        </w:tabs>
        <w:spacing w:line="480" w:lineRule="auto"/>
        <w:ind w:left="0"/>
        <w:rPr>
          <w:rFonts w:ascii="Times New Roman" w:hAnsi="Times New Roman"/>
          <w:sz w:val="24"/>
        </w:rPr>
      </w:pPr>
      <w:r>
        <w:rPr>
          <w:rFonts w:ascii="Times New Roman" w:hAnsi="Times New Roman"/>
          <w:sz w:val="24"/>
        </w:rPr>
        <w:t>This</w:t>
      </w:r>
      <w:r w:rsidR="00EA23E4">
        <w:rPr>
          <w:rFonts w:ascii="Times New Roman" w:hAnsi="Times New Roman"/>
          <w:sz w:val="24"/>
        </w:rPr>
        <w:t xml:space="preserve"> passage was repeated almost verbatim at para. 16 of the same judgment, and this </w:t>
      </w:r>
      <w:r>
        <w:rPr>
          <w:rFonts w:ascii="Times New Roman" w:hAnsi="Times New Roman"/>
          <w:sz w:val="24"/>
        </w:rPr>
        <w:t xml:space="preserve">issue – the identification of the locations within the </w:t>
      </w:r>
      <w:r w:rsidR="00D5569C">
        <w:rPr>
          <w:rFonts w:ascii="Times New Roman" w:hAnsi="Times New Roman"/>
          <w:sz w:val="24"/>
        </w:rPr>
        <w:t xml:space="preserve">Roadstone </w:t>
      </w:r>
      <w:r>
        <w:rPr>
          <w:rFonts w:ascii="Times New Roman" w:hAnsi="Times New Roman"/>
          <w:sz w:val="24"/>
        </w:rPr>
        <w:t>quarries from which stone was extracted and supplied to the respondent</w:t>
      </w:r>
      <w:r w:rsidR="008D0770">
        <w:rPr>
          <w:rFonts w:ascii="Times New Roman" w:hAnsi="Times New Roman"/>
          <w:sz w:val="24"/>
        </w:rPr>
        <w:t>s</w:t>
      </w:r>
      <w:r w:rsidR="00D91BA0">
        <w:rPr>
          <w:rFonts w:ascii="Times New Roman" w:hAnsi="Times New Roman"/>
          <w:sz w:val="24"/>
        </w:rPr>
        <w:t xml:space="preserve"> for use in </w:t>
      </w:r>
      <w:r w:rsidR="008D0770">
        <w:rPr>
          <w:rFonts w:ascii="Times New Roman" w:hAnsi="Times New Roman"/>
          <w:sz w:val="24"/>
        </w:rPr>
        <w:t>the</w:t>
      </w:r>
      <w:r w:rsidR="00D91BA0">
        <w:rPr>
          <w:rFonts w:ascii="Times New Roman" w:hAnsi="Times New Roman"/>
          <w:sz w:val="24"/>
        </w:rPr>
        <w:t xml:space="preserve"> </w:t>
      </w:r>
      <w:r w:rsidR="00D5569C">
        <w:rPr>
          <w:rFonts w:ascii="Times New Roman" w:hAnsi="Times New Roman"/>
          <w:sz w:val="24"/>
        </w:rPr>
        <w:t>D</w:t>
      </w:r>
      <w:r w:rsidR="00D91BA0">
        <w:rPr>
          <w:rFonts w:ascii="Times New Roman" w:hAnsi="Times New Roman"/>
          <w:sz w:val="24"/>
        </w:rPr>
        <w:t>evelopment</w:t>
      </w:r>
      <w:r>
        <w:rPr>
          <w:rFonts w:ascii="Times New Roman" w:hAnsi="Times New Roman"/>
          <w:sz w:val="24"/>
        </w:rPr>
        <w:t xml:space="preserve"> </w:t>
      </w:r>
      <w:r w:rsidR="007E01E9" w:rsidRPr="007E01E9">
        <w:rPr>
          <w:rFonts w:ascii="Times New Roman" w:hAnsi="Times New Roman"/>
          <w:sz w:val="24"/>
        </w:rPr>
        <w:t>–</w:t>
      </w:r>
      <w:r w:rsidR="00D91BA0">
        <w:rPr>
          <w:rFonts w:ascii="Times New Roman" w:hAnsi="Times New Roman"/>
          <w:sz w:val="24"/>
        </w:rPr>
        <w:t xml:space="preserve"> </w:t>
      </w:r>
      <w:r>
        <w:rPr>
          <w:rFonts w:ascii="Times New Roman" w:hAnsi="Times New Roman"/>
          <w:sz w:val="24"/>
        </w:rPr>
        <w:t xml:space="preserve">is now the sole </w:t>
      </w:r>
      <w:r>
        <w:rPr>
          <w:rFonts w:ascii="Times New Roman" w:hAnsi="Times New Roman"/>
          <w:sz w:val="24"/>
        </w:rPr>
        <w:lastRenderedPageBreak/>
        <w:t xml:space="preserve">surviving issue arising out </w:t>
      </w:r>
      <w:r w:rsidR="009F47CB">
        <w:rPr>
          <w:rFonts w:ascii="Times New Roman" w:hAnsi="Times New Roman"/>
          <w:sz w:val="24"/>
        </w:rPr>
        <w:t xml:space="preserve">of the decisions of the High Court on </w:t>
      </w:r>
      <w:r>
        <w:rPr>
          <w:rFonts w:ascii="Times New Roman" w:hAnsi="Times New Roman"/>
          <w:sz w:val="24"/>
        </w:rPr>
        <w:t xml:space="preserve">the </w:t>
      </w:r>
      <w:r w:rsidR="003D556E">
        <w:rPr>
          <w:rFonts w:ascii="Times New Roman" w:hAnsi="Times New Roman"/>
          <w:sz w:val="24"/>
        </w:rPr>
        <w:t xml:space="preserve">respondents’ </w:t>
      </w:r>
      <w:r>
        <w:rPr>
          <w:rFonts w:ascii="Times New Roman" w:hAnsi="Times New Roman"/>
          <w:sz w:val="24"/>
        </w:rPr>
        <w:t>motion of 3</w:t>
      </w:r>
      <w:r w:rsidRPr="00A57D69">
        <w:rPr>
          <w:rFonts w:ascii="Times New Roman" w:hAnsi="Times New Roman"/>
          <w:sz w:val="24"/>
          <w:vertAlign w:val="superscript"/>
        </w:rPr>
        <w:t>rd</w:t>
      </w:r>
      <w:r>
        <w:rPr>
          <w:rFonts w:ascii="Times New Roman" w:hAnsi="Times New Roman"/>
          <w:sz w:val="24"/>
        </w:rPr>
        <w:t xml:space="preserve"> June 2016.</w:t>
      </w:r>
      <w:r w:rsidR="003D556E" w:rsidRPr="003D556E">
        <w:rPr>
          <w:rFonts w:ascii="Times New Roman" w:hAnsi="Times New Roman"/>
          <w:sz w:val="24"/>
        </w:rPr>
        <w:t xml:space="preserve"> </w:t>
      </w:r>
      <w:r w:rsidR="003D556E">
        <w:rPr>
          <w:rFonts w:ascii="Times New Roman" w:hAnsi="Times New Roman"/>
          <w:sz w:val="24"/>
        </w:rPr>
        <w:t>More specifically, the issue is a</w:t>
      </w:r>
      <w:r w:rsidR="00E500C4">
        <w:rPr>
          <w:rFonts w:ascii="Times New Roman" w:hAnsi="Times New Roman"/>
          <w:sz w:val="24"/>
        </w:rPr>
        <w:t xml:space="preserve"> later</w:t>
      </w:r>
      <w:r w:rsidR="003D556E">
        <w:rPr>
          <w:rFonts w:ascii="Times New Roman" w:hAnsi="Times New Roman"/>
          <w:sz w:val="24"/>
        </w:rPr>
        <w:t xml:space="preserve"> order made by Murphy J.</w:t>
      </w:r>
      <w:r w:rsidR="00E500C4">
        <w:rPr>
          <w:rFonts w:ascii="Times New Roman" w:hAnsi="Times New Roman"/>
          <w:sz w:val="24"/>
        </w:rPr>
        <w:t>,</w:t>
      </w:r>
      <w:r w:rsidR="00B42977">
        <w:rPr>
          <w:rFonts w:ascii="Times New Roman" w:hAnsi="Times New Roman"/>
          <w:sz w:val="24"/>
        </w:rPr>
        <w:t xml:space="preserve"> on 11</w:t>
      </w:r>
      <w:r w:rsidR="00B42977" w:rsidRPr="008A5BFF">
        <w:rPr>
          <w:rFonts w:ascii="Times New Roman" w:hAnsi="Times New Roman"/>
          <w:sz w:val="24"/>
          <w:vertAlign w:val="superscript"/>
        </w:rPr>
        <w:t>th</w:t>
      </w:r>
      <w:r w:rsidR="00B42977">
        <w:rPr>
          <w:rFonts w:ascii="Times New Roman" w:hAnsi="Times New Roman"/>
          <w:sz w:val="24"/>
        </w:rPr>
        <w:t xml:space="preserve"> April 2019, following upon a second judgment on the motion delivered by her</w:t>
      </w:r>
      <w:r w:rsidR="00E500C4">
        <w:rPr>
          <w:rFonts w:ascii="Times New Roman" w:hAnsi="Times New Roman"/>
          <w:sz w:val="24"/>
        </w:rPr>
        <w:t xml:space="preserve"> on 2</w:t>
      </w:r>
      <w:r w:rsidR="00037939">
        <w:rPr>
          <w:rFonts w:ascii="Times New Roman" w:hAnsi="Times New Roman"/>
          <w:sz w:val="24"/>
        </w:rPr>
        <w:t>1</w:t>
      </w:r>
      <w:r w:rsidR="00037939" w:rsidRPr="00037939">
        <w:rPr>
          <w:rFonts w:ascii="Times New Roman" w:hAnsi="Times New Roman"/>
          <w:sz w:val="24"/>
          <w:vertAlign w:val="superscript"/>
        </w:rPr>
        <w:t>st</w:t>
      </w:r>
      <w:r w:rsidR="00E500C4">
        <w:rPr>
          <w:rFonts w:ascii="Times New Roman" w:hAnsi="Times New Roman"/>
          <w:sz w:val="24"/>
        </w:rPr>
        <w:t xml:space="preserve"> February 2019,</w:t>
      </w:r>
      <w:r w:rsidR="003D556E">
        <w:rPr>
          <w:rFonts w:ascii="Times New Roman" w:hAnsi="Times New Roman"/>
          <w:sz w:val="24"/>
        </w:rPr>
        <w:t xml:space="preserve"> directing such identification, which order is the subject of this appeal</w:t>
      </w:r>
      <w:r w:rsidR="00EA23E4">
        <w:rPr>
          <w:rFonts w:ascii="Times New Roman" w:hAnsi="Times New Roman"/>
          <w:sz w:val="24"/>
        </w:rPr>
        <w:t xml:space="preserve">. </w:t>
      </w:r>
    </w:p>
    <w:p w14:paraId="3E8D177F" w14:textId="650E60F2" w:rsidR="004F7340" w:rsidRPr="001063B7" w:rsidRDefault="00A57D69"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her judgment of 28</w:t>
      </w:r>
      <w:r w:rsidRPr="00A57D69">
        <w:rPr>
          <w:rFonts w:ascii="Times New Roman" w:hAnsi="Times New Roman"/>
          <w:sz w:val="24"/>
          <w:vertAlign w:val="superscript"/>
        </w:rPr>
        <w:t>th</w:t>
      </w:r>
      <w:r>
        <w:rPr>
          <w:rFonts w:ascii="Times New Roman" w:hAnsi="Times New Roman"/>
          <w:sz w:val="24"/>
        </w:rPr>
        <w:t xml:space="preserve"> July 2017, Murphy J. noted that no application had been brought as against the fourth named defendant by the respondents, from which she inferred that inspection facilities had been agreed with that defendant.  She noted (at para. 2</w:t>
      </w:r>
      <w:r w:rsidR="0053595C">
        <w:rPr>
          <w:rFonts w:ascii="Times New Roman" w:hAnsi="Times New Roman"/>
          <w:sz w:val="24"/>
        </w:rPr>
        <w:t>2</w:t>
      </w:r>
      <w:r>
        <w:rPr>
          <w:rFonts w:ascii="Times New Roman" w:hAnsi="Times New Roman"/>
          <w:sz w:val="24"/>
        </w:rPr>
        <w:t>) that samples had already been taken</w:t>
      </w:r>
      <w:r w:rsidR="00C90E7A">
        <w:rPr>
          <w:rFonts w:ascii="Times New Roman" w:hAnsi="Times New Roman"/>
          <w:sz w:val="24"/>
        </w:rPr>
        <w:t xml:space="preserve"> </w:t>
      </w:r>
      <w:r w:rsidR="0053595C">
        <w:rPr>
          <w:rFonts w:ascii="Times New Roman" w:hAnsi="Times New Roman"/>
          <w:color w:val="000000" w:themeColor="text1"/>
          <w:sz w:val="24"/>
        </w:rPr>
        <w:t>by the respondents</w:t>
      </w:r>
      <w:r w:rsidR="0053595C" w:rsidRPr="0053595C">
        <w:rPr>
          <w:rFonts w:ascii="Times New Roman" w:hAnsi="Times New Roman"/>
          <w:color w:val="000000" w:themeColor="text1"/>
          <w:sz w:val="24"/>
        </w:rPr>
        <w:t xml:space="preserve"> </w:t>
      </w:r>
      <w:r>
        <w:rPr>
          <w:rFonts w:ascii="Times New Roman" w:hAnsi="Times New Roman"/>
          <w:sz w:val="24"/>
        </w:rPr>
        <w:t xml:space="preserve">from the subfloors of the houses allegedly affected by pyritic heave, and that the appellants and the third named defendant had been facilitated in the taking of samples at the same time.  She also noted that the appellants’ expert, a </w:t>
      </w:r>
      <w:proofErr w:type="spellStart"/>
      <w:r>
        <w:rPr>
          <w:rFonts w:ascii="Times New Roman" w:hAnsi="Times New Roman"/>
          <w:sz w:val="24"/>
        </w:rPr>
        <w:t>Dr.</w:t>
      </w:r>
      <w:proofErr w:type="spellEnd"/>
      <w:r>
        <w:rPr>
          <w:rFonts w:ascii="Times New Roman" w:hAnsi="Times New Roman"/>
          <w:sz w:val="24"/>
        </w:rPr>
        <w:t xml:space="preserve"> Kelly, had averred that samples taken from two houses had been analysed, and those samples did not come from the </w:t>
      </w:r>
      <w:r w:rsidR="00D5569C">
        <w:rPr>
          <w:rFonts w:ascii="Times New Roman" w:hAnsi="Times New Roman"/>
          <w:sz w:val="24"/>
        </w:rPr>
        <w:t xml:space="preserve">Roadstone </w:t>
      </w:r>
      <w:r>
        <w:rPr>
          <w:rFonts w:ascii="Times New Roman" w:hAnsi="Times New Roman"/>
          <w:sz w:val="24"/>
        </w:rPr>
        <w:t xml:space="preserve">quarries.  From this evidence, the trial judge inferred that it is possible to identify the precise </w:t>
      </w:r>
      <w:r w:rsidR="001063B7">
        <w:rPr>
          <w:rFonts w:ascii="Times New Roman" w:hAnsi="Times New Roman"/>
          <w:sz w:val="24"/>
        </w:rPr>
        <w:t xml:space="preserve">source of subfloor infill in each house.  </w:t>
      </w:r>
    </w:p>
    <w:p w14:paraId="1DB339BE" w14:textId="79A62ED0" w:rsidR="001063B7" w:rsidRPr="001063B7" w:rsidRDefault="001063B7"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noted that the respondents had used deliveries of stone from all three suppliers as they arrived on site, for all purposes for which stone was required in the </w:t>
      </w:r>
      <w:r w:rsidR="002E7DF6">
        <w:rPr>
          <w:rFonts w:ascii="Times New Roman" w:hAnsi="Times New Roman"/>
          <w:sz w:val="24"/>
        </w:rPr>
        <w:t>D</w:t>
      </w:r>
      <w:r>
        <w:rPr>
          <w:rFonts w:ascii="Times New Roman" w:hAnsi="Times New Roman"/>
          <w:sz w:val="24"/>
        </w:rPr>
        <w:t>evelopment, including for subfloor stone infill in houses.  She also noted that the respondents had no records as to whose products were used in any particular house, and the respondents were therefore hampered in identifying the source of any reactive framboidal pyrite present in the subfloor infill.</w:t>
      </w:r>
      <w:r w:rsidR="00550C7F">
        <w:rPr>
          <w:rFonts w:ascii="Times New Roman" w:hAnsi="Times New Roman"/>
          <w:sz w:val="24"/>
        </w:rPr>
        <w:t xml:space="preserve"> It is this type of pyrite that can give rise to problems in dwellings, by reason of its propensity to expand in damp conditions. </w:t>
      </w:r>
      <w:r>
        <w:rPr>
          <w:rFonts w:ascii="Times New Roman" w:hAnsi="Times New Roman"/>
          <w:sz w:val="24"/>
        </w:rPr>
        <w:t xml:space="preserve"> </w:t>
      </w:r>
      <w:r w:rsidR="00550C7F">
        <w:rPr>
          <w:rFonts w:ascii="Times New Roman" w:hAnsi="Times New Roman"/>
          <w:sz w:val="24"/>
        </w:rPr>
        <w:t>The defendants, o</w:t>
      </w:r>
      <w:r>
        <w:rPr>
          <w:rFonts w:ascii="Times New Roman" w:hAnsi="Times New Roman"/>
          <w:sz w:val="24"/>
        </w:rPr>
        <w:t>n the other hand, had already been given access to the subfloor infill of the allegedly affected houses, and had had the opportunity to analyse it and compare it to the stone in their quarries.</w:t>
      </w:r>
    </w:p>
    <w:p w14:paraId="14E5FA0C" w14:textId="7446DA84" w:rsidR="00173A03" w:rsidRPr="00173A03" w:rsidRDefault="001063B7"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further noted that, by the time the motion had come on for hearing, the third named defendant had identified the relevant quarry from which it had supplied stone.  </w:t>
      </w:r>
      <w:r w:rsidR="00297267">
        <w:rPr>
          <w:rFonts w:ascii="Times New Roman" w:hAnsi="Times New Roman"/>
          <w:sz w:val="24"/>
        </w:rPr>
        <w:lastRenderedPageBreak/>
        <w:t>The trial judge</w:t>
      </w:r>
      <w:r w:rsidR="002E7DF6">
        <w:rPr>
          <w:rFonts w:ascii="Times New Roman" w:hAnsi="Times New Roman"/>
          <w:sz w:val="24"/>
        </w:rPr>
        <w:t>, having considered relevant authorities (to which I refer below)</w:t>
      </w:r>
      <w:r w:rsidR="00297267">
        <w:rPr>
          <w:rFonts w:ascii="Times New Roman" w:hAnsi="Times New Roman"/>
          <w:sz w:val="24"/>
        </w:rPr>
        <w:t xml:space="preserve"> then conducted a balancing exercise, weighing, on the one hand, the right of the respondents to litigate their claim, and on the other the right of the defendants to have their property rights interfered with as little as possible.</w:t>
      </w:r>
      <w:r w:rsidR="00173A03">
        <w:rPr>
          <w:rFonts w:ascii="Times New Roman" w:hAnsi="Times New Roman"/>
          <w:sz w:val="24"/>
        </w:rPr>
        <w:t xml:space="preserve"> </w:t>
      </w:r>
      <w:r w:rsidR="00297267">
        <w:rPr>
          <w:rFonts w:ascii="Times New Roman" w:hAnsi="Times New Roman"/>
          <w:sz w:val="24"/>
        </w:rPr>
        <w:t xml:space="preserve">At paras. 29 and 30 </w:t>
      </w:r>
      <w:r w:rsidR="00173A03">
        <w:rPr>
          <w:rFonts w:ascii="Times New Roman" w:hAnsi="Times New Roman"/>
          <w:sz w:val="24"/>
        </w:rPr>
        <w:t>she said</w:t>
      </w:r>
      <w:r w:rsidR="00644CC6">
        <w:rPr>
          <w:rFonts w:ascii="Times New Roman" w:hAnsi="Times New Roman"/>
          <w:sz w:val="24"/>
        </w:rPr>
        <w:t>:</w:t>
      </w:r>
    </w:p>
    <w:p w14:paraId="4E8DEEFE" w14:textId="5C43BD77" w:rsidR="00173A03" w:rsidRPr="00612340" w:rsidRDefault="00612340" w:rsidP="0058287A">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00173A03" w:rsidRPr="00612340">
        <w:rPr>
          <w:rFonts w:ascii="Times New Roman" w:hAnsi="Times New Roman"/>
          <w:i/>
          <w:iCs/>
          <w:sz w:val="24"/>
        </w:rPr>
        <w:t>29. …the Court asks itself what is the least intrusive inspection which w</w:t>
      </w:r>
      <w:r w:rsidR="005D0212" w:rsidRPr="00612340">
        <w:rPr>
          <w:rFonts w:ascii="Times New Roman" w:hAnsi="Times New Roman"/>
          <w:i/>
          <w:iCs/>
          <w:sz w:val="24"/>
        </w:rPr>
        <w:t>ill</w:t>
      </w:r>
      <w:r w:rsidR="00173A03" w:rsidRPr="00612340">
        <w:rPr>
          <w:rFonts w:ascii="Times New Roman" w:hAnsi="Times New Roman"/>
          <w:i/>
          <w:iCs/>
          <w:sz w:val="24"/>
        </w:rPr>
        <w:t xml:space="preserve"> satisf</w:t>
      </w:r>
      <w:r w:rsidR="005D0212" w:rsidRPr="00612340">
        <w:rPr>
          <w:rFonts w:ascii="Times New Roman" w:hAnsi="Times New Roman"/>
          <w:i/>
          <w:iCs/>
          <w:sz w:val="24"/>
        </w:rPr>
        <w:t>y</w:t>
      </w:r>
      <w:r w:rsidR="00173A03" w:rsidRPr="00612340">
        <w:rPr>
          <w:rFonts w:ascii="Times New Roman" w:hAnsi="Times New Roman"/>
          <w:i/>
          <w:iCs/>
          <w:sz w:val="24"/>
        </w:rPr>
        <w:t xml:space="preserve"> the plaintiffs</w:t>
      </w:r>
      <w:r w:rsidR="005D0212" w:rsidRPr="00612340">
        <w:rPr>
          <w:rFonts w:ascii="Times New Roman" w:hAnsi="Times New Roman"/>
          <w:i/>
          <w:iCs/>
          <w:sz w:val="24"/>
        </w:rPr>
        <w:t>’</w:t>
      </w:r>
      <w:r w:rsidR="00173A03" w:rsidRPr="00612340">
        <w:rPr>
          <w:rFonts w:ascii="Times New Roman" w:hAnsi="Times New Roman"/>
          <w:i/>
          <w:iCs/>
          <w:sz w:val="24"/>
        </w:rPr>
        <w:t xml:space="preserve"> need an</w:t>
      </w:r>
      <w:r w:rsidR="005D0212" w:rsidRPr="00612340">
        <w:rPr>
          <w:rFonts w:ascii="Times New Roman" w:hAnsi="Times New Roman"/>
          <w:i/>
          <w:iCs/>
          <w:sz w:val="24"/>
        </w:rPr>
        <w:t>d</w:t>
      </w:r>
      <w:r w:rsidR="00173A03" w:rsidRPr="00612340">
        <w:rPr>
          <w:rFonts w:ascii="Times New Roman" w:hAnsi="Times New Roman"/>
          <w:i/>
          <w:iCs/>
          <w:sz w:val="24"/>
        </w:rPr>
        <w:t xml:space="preserve"> entitlement to obtain evidence necessary to permit it to pursue its claim, while interfering to the least possible extent with the rights of others?</w:t>
      </w:r>
    </w:p>
    <w:p w14:paraId="044DC9A6" w14:textId="4A742516" w:rsidR="00173A03" w:rsidRPr="00173A03" w:rsidRDefault="00173A03" w:rsidP="0058287A">
      <w:pPr>
        <w:pStyle w:val="ListParagraph"/>
        <w:tabs>
          <w:tab w:val="left" w:pos="567"/>
        </w:tabs>
        <w:spacing w:line="480" w:lineRule="auto"/>
        <w:ind w:left="567"/>
        <w:rPr>
          <w:rFonts w:ascii="Times New Roman" w:hAnsi="Times New Roman"/>
          <w:sz w:val="24"/>
        </w:rPr>
      </w:pPr>
      <w:r w:rsidRPr="00612340">
        <w:rPr>
          <w:rFonts w:ascii="Times New Roman" w:hAnsi="Times New Roman"/>
          <w:i/>
          <w:iCs/>
          <w:sz w:val="24"/>
        </w:rPr>
        <w:t xml:space="preserve">30. It appears to the </w:t>
      </w:r>
      <w:r w:rsidR="005D0212" w:rsidRPr="00612340">
        <w:rPr>
          <w:rFonts w:ascii="Times New Roman" w:hAnsi="Times New Roman"/>
          <w:i/>
          <w:iCs/>
          <w:sz w:val="24"/>
        </w:rPr>
        <w:t>C</w:t>
      </w:r>
      <w:r w:rsidRPr="00612340">
        <w:rPr>
          <w:rFonts w:ascii="Times New Roman" w:hAnsi="Times New Roman"/>
          <w:i/>
          <w:iCs/>
          <w:sz w:val="24"/>
        </w:rPr>
        <w:t>ourt that this can best be achieved by making an order now for the inspection and sampling of the Murphy quarry at Hollywood. Unlike the Roadstone quarries, this is not a working quarry and is currently being used for landfill. Since drilling is not required, there is no danger of deleterious substances leaching into the water table. By contrast, inspection of Roadstone’s quarries would require interference in working quarries and would potentially require ancillary orders directing disclosure of various matters such as quarrying sites at the relevant times</w:t>
      </w:r>
      <w:r w:rsidR="00612340" w:rsidRPr="00612340">
        <w:rPr>
          <w:rFonts w:ascii="Times New Roman" w:hAnsi="Times New Roman"/>
          <w:i/>
          <w:iCs/>
          <w:sz w:val="24"/>
        </w:rPr>
        <w:t>.</w:t>
      </w:r>
      <w:r>
        <w:rPr>
          <w:rFonts w:ascii="Times New Roman" w:hAnsi="Times New Roman"/>
          <w:sz w:val="24"/>
        </w:rPr>
        <w:t>”</w:t>
      </w:r>
    </w:p>
    <w:p w14:paraId="3EFC8216" w14:textId="67A8A73B" w:rsidR="00C10656" w:rsidRPr="00C10656" w:rsidRDefault="00DB7A92"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concluded that the best course at that time was to make an order as against the third named defendant only.  She considered it possible that if inspections of the quarries of the third and fourth named defendants were to proceed, then by a process of elimination it might be possible to identify those houses in the construction of which the </w:t>
      </w:r>
      <w:r w:rsidR="00D5569C">
        <w:rPr>
          <w:rFonts w:ascii="Times New Roman" w:hAnsi="Times New Roman"/>
          <w:sz w:val="24"/>
        </w:rPr>
        <w:t>Roadstone</w:t>
      </w:r>
      <w:r w:rsidR="006C46F9">
        <w:rPr>
          <w:rFonts w:ascii="Times New Roman" w:hAnsi="Times New Roman"/>
          <w:sz w:val="24"/>
        </w:rPr>
        <w:t>’</w:t>
      </w:r>
      <w:r>
        <w:rPr>
          <w:rFonts w:ascii="Times New Roman" w:hAnsi="Times New Roman"/>
          <w:sz w:val="24"/>
        </w:rPr>
        <w:t xml:space="preserve">s products were used.  </w:t>
      </w:r>
      <w:r w:rsidR="00A01EA6">
        <w:rPr>
          <w:rFonts w:ascii="Times New Roman" w:hAnsi="Times New Roman"/>
          <w:sz w:val="24"/>
        </w:rPr>
        <w:t xml:space="preserve">In short, it appears that the trial judge considered that the outcome of the inspections to be carried out on the lands of the third and fourth named defendants would have a significant bearing on such orders as might be required to be made in respect of the </w:t>
      </w:r>
      <w:r w:rsidR="00D5569C">
        <w:rPr>
          <w:rFonts w:ascii="Times New Roman" w:hAnsi="Times New Roman"/>
          <w:sz w:val="24"/>
        </w:rPr>
        <w:t>Roadstone quarries</w:t>
      </w:r>
      <w:r w:rsidR="00A01EA6">
        <w:rPr>
          <w:rFonts w:ascii="Times New Roman" w:hAnsi="Times New Roman"/>
          <w:sz w:val="24"/>
        </w:rPr>
        <w:t xml:space="preserve">. </w:t>
      </w:r>
      <w:r w:rsidR="00C10656">
        <w:rPr>
          <w:rFonts w:ascii="Times New Roman" w:hAnsi="Times New Roman"/>
          <w:sz w:val="24"/>
        </w:rPr>
        <w:t>It was even possible such orders might not be required at all.</w:t>
      </w:r>
    </w:p>
    <w:p w14:paraId="342BBB65" w14:textId="3308F20A" w:rsidR="00A01EA6" w:rsidRPr="00E96511" w:rsidRDefault="00A01EA6"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Accordingly, the motion was then adjourned as regards the appellants.  For the purpose of what subsequently transpired, and for the purpose of this judgment, </w:t>
      </w:r>
      <w:r w:rsidR="005438A3">
        <w:rPr>
          <w:rFonts w:ascii="Times New Roman" w:hAnsi="Times New Roman"/>
          <w:sz w:val="24"/>
        </w:rPr>
        <w:t xml:space="preserve">the </w:t>
      </w:r>
      <w:r>
        <w:rPr>
          <w:rFonts w:ascii="Times New Roman" w:hAnsi="Times New Roman"/>
          <w:sz w:val="24"/>
        </w:rPr>
        <w:t>reference</w:t>
      </w:r>
      <w:r w:rsidR="00EA23E4">
        <w:rPr>
          <w:rFonts w:ascii="Times New Roman" w:hAnsi="Times New Roman"/>
          <w:sz w:val="24"/>
        </w:rPr>
        <w:t>s</w:t>
      </w:r>
      <w:r w:rsidR="005438A3">
        <w:rPr>
          <w:rFonts w:ascii="Times New Roman" w:hAnsi="Times New Roman"/>
          <w:sz w:val="24"/>
        </w:rPr>
        <w:t xml:space="preserve"> at para</w:t>
      </w:r>
      <w:r w:rsidR="005D0212">
        <w:rPr>
          <w:rFonts w:ascii="Times New Roman" w:hAnsi="Times New Roman"/>
          <w:sz w:val="24"/>
        </w:rPr>
        <w:t>s</w:t>
      </w:r>
      <w:r w:rsidR="005438A3">
        <w:rPr>
          <w:rFonts w:ascii="Times New Roman" w:hAnsi="Times New Roman"/>
          <w:sz w:val="24"/>
        </w:rPr>
        <w:t>.</w:t>
      </w:r>
      <w:r w:rsidR="0062583C">
        <w:rPr>
          <w:rFonts w:ascii="Times New Roman" w:hAnsi="Times New Roman"/>
          <w:sz w:val="24"/>
        </w:rPr>
        <w:t xml:space="preserve"> </w:t>
      </w:r>
      <w:r w:rsidR="005438A3">
        <w:rPr>
          <w:rFonts w:ascii="Times New Roman" w:hAnsi="Times New Roman"/>
          <w:sz w:val="24"/>
        </w:rPr>
        <w:lastRenderedPageBreak/>
        <w:t>2</w:t>
      </w:r>
      <w:r w:rsidR="00EA23E4">
        <w:rPr>
          <w:rFonts w:ascii="Times New Roman" w:hAnsi="Times New Roman"/>
          <w:sz w:val="24"/>
        </w:rPr>
        <w:t xml:space="preserve"> and </w:t>
      </w:r>
      <w:r w:rsidR="005D0212">
        <w:rPr>
          <w:rFonts w:ascii="Times New Roman" w:hAnsi="Times New Roman"/>
          <w:sz w:val="24"/>
        </w:rPr>
        <w:t>16</w:t>
      </w:r>
      <w:r w:rsidR="005438A3">
        <w:rPr>
          <w:rFonts w:ascii="Times New Roman" w:hAnsi="Times New Roman"/>
          <w:sz w:val="24"/>
        </w:rPr>
        <w:t xml:space="preserve"> of her judgment</w:t>
      </w:r>
      <w:r>
        <w:rPr>
          <w:rFonts w:ascii="Times New Roman" w:hAnsi="Times New Roman"/>
          <w:sz w:val="24"/>
        </w:rPr>
        <w:t xml:space="preserve"> to the identification of sites within the</w:t>
      </w:r>
      <w:r w:rsidR="002E7DF6">
        <w:rPr>
          <w:rFonts w:ascii="Times New Roman" w:hAnsi="Times New Roman"/>
          <w:sz w:val="24"/>
        </w:rPr>
        <w:t xml:space="preserve"> Roadstone quarries </w:t>
      </w:r>
      <w:r w:rsidRPr="00DE72A4">
        <w:rPr>
          <w:rFonts w:ascii="Times New Roman" w:hAnsi="Times New Roman"/>
          <w:sz w:val="24"/>
        </w:rPr>
        <w:t xml:space="preserve">from which stone supplied to the </w:t>
      </w:r>
      <w:r w:rsidR="00045016" w:rsidRPr="00DE72A4">
        <w:rPr>
          <w:rFonts w:ascii="Times New Roman" w:hAnsi="Times New Roman"/>
          <w:sz w:val="24"/>
        </w:rPr>
        <w:t>respondent</w:t>
      </w:r>
      <w:r w:rsidRPr="00DE72A4">
        <w:rPr>
          <w:rFonts w:ascii="Times New Roman" w:hAnsi="Times New Roman"/>
          <w:sz w:val="24"/>
        </w:rPr>
        <w:t>s had been sourced</w:t>
      </w:r>
      <w:r w:rsidR="00EA23E4" w:rsidRPr="00DE72A4">
        <w:rPr>
          <w:rFonts w:ascii="Times New Roman" w:hAnsi="Times New Roman"/>
          <w:sz w:val="24"/>
        </w:rPr>
        <w:t xml:space="preserve">, and the reference in para. 30 to identification of quarrying sites, </w:t>
      </w:r>
      <w:r w:rsidR="005438A3" w:rsidRPr="00DE72A4">
        <w:rPr>
          <w:rFonts w:ascii="Times New Roman" w:hAnsi="Times New Roman"/>
          <w:sz w:val="24"/>
        </w:rPr>
        <w:t>is of some importance</w:t>
      </w:r>
      <w:r w:rsidR="00E37400" w:rsidRPr="00DE72A4">
        <w:rPr>
          <w:rFonts w:ascii="Times New Roman" w:hAnsi="Times New Roman"/>
          <w:sz w:val="24"/>
        </w:rPr>
        <w:t>.</w:t>
      </w:r>
    </w:p>
    <w:p w14:paraId="26F0CC81" w14:textId="7DA294B0" w:rsidR="00E96511" w:rsidRPr="00E500C4" w:rsidRDefault="00E96511"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the course of her judgment, the trial judge considered the </w:t>
      </w:r>
      <w:r w:rsidR="00E500C4">
        <w:rPr>
          <w:rFonts w:ascii="Times New Roman" w:hAnsi="Times New Roman"/>
          <w:sz w:val="24"/>
        </w:rPr>
        <w:t>principles relevant to applications advanced pursuant to</w:t>
      </w:r>
      <w:r w:rsidR="0062583C">
        <w:rPr>
          <w:rFonts w:ascii="Times New Roman" w:hAnsi="Times New Roman"/>
          <w:sz w:val="24"/>
        </w:rPr>
        <w:t xml:space="preserve"> </w:t>
      </w:r>
      <w:r>
        <w:rPr>
          <w:rFonts w:ascii="Times New Roman" w:hAnsi="Times New Roman"/>
          <w:sz w:val="24"/>
        </w:rPr>
        <w:t>O.</w:t>
      </w:r>
      <w:r w:rsidR="0062583C">
        <w:rPr>
          <w:rFonts w:ascii="Times New Roman" w:hAnsi="Times New Roman"/>
          <w:sz w:val="24"/>
        </w:rPr>
        <w:t xml:space="preserve"> </w:t>
      </w:r>
      <w:r>
        <w:rPr>
          <w:rFonts w:ascii="Times New Roman" w:hAnsi="Times New Roman"/>
          <w:sz w:val="24"/>
        </w:rPr>
        <w:t>50, r.</w:t>
      </w:r>
      <w:r w:rsidR="005E68A0">
        <w:rPr>
          <w:rFonts w:ascii="Times New Roman" w:hAnsi="Times New Roman"/>
          <w:sz w:val="24"/>
        </w:rPr>
        <w:t xml:space="preserve"> </w:t>
      </w:r>
      <w:r>
        <w:rPr>
          <w:rFonts w:ascii="Times New Roman" w:hAnsi="Times New Roman"/>
          <w:sz w:val="24"/>
        </w:rPr>
        <w:t xml:space="preserve">4 RSC and relevant authorities in which the order has been considered, such as </w:t>
      </w:r>
      <w:r>
        <w:rPr>
          <w:rFonts w:ascii="Times New Roman" w:hAnsi="Times New Roman"/>
          <w:i/>
          <w:sz w:val="24"/>
        </w:rPr>
        <w:t>Bula L</w:t>
      </w:r>
      <w:r w:rsidR="00E8002A">
        <w:rPr>
          <w:rFonts w:ascii="Times New Roman" w:hAnsi="Times New Roman"/>
          <w:i/>
          <w:sz w:val="24"/>
        </w:rPr>
        <w:t>td.</w:t>
      </w:r>
      <w:r>
        <w:rPr>
          <w:rFonts w:ascii="Times New Roman" w:hAnsi="Times New Roman"/>
          <w:i/>
          <w:sz w:val="24"/>
        </w:rPr>
        <w:t xml:space="preserve"> v. Tara Mines</w:t>
      </w:r>
      <w:r w:rsidR="00E8002A">
        <w:rPr>
          <w:rFonts w:ascii="Times New Roman" w:hAnsi="Times New Roman"/>
          <w:i/>
          <w:sz w:val="24"/>
        </w:rPr>
        <w:t xml:space="preserve"> Ltd.</w:t>
      </w:r>
      <w:r>
        <w:rPr>
          <w:rFonts w:ascii="Times New Roman" w:hAnsi="Times New Roman"/>
          <w:i/>
          <w:sz w:val="24"/>
        </w:rPr>
        <w:t xml:space="preserve"> (No.1) </w:t>
      </w:r>
      <w:r>
        <w:rPr>
          <w:rFonts w:ascii="Times New Roman" w:hAnsi="Times New Roman"/>
          <w:sz w:val="24"/>
        </w:rPr>
        <w:t>[1987] IR 85</w:t>
      </w:r>
      <w:r w:rsidR="00C04CAB">
        <w:rPr>
          <w:rFonts w:ascii="Times New Roman" w:hAnsi="Times New Roman"/>
          <w:sz w:val="24"/>
        </w:rPr>
        <w:t xml:space="preserve"> and</w:t>
      </w:r>
      <w:r w:rsidR="004F795B">
        <w:rPr>
          <w:rFonts w:ascii="Times New Roman" w:hAnsi="Times New Roman"/>
          <w:sz w:val="24"/>
        </w:rPr>
        <w:t xml:space="preserve"> </w:t>
      </w:r>
      <w:r w:rsidR="00AF788A">
        <w:rPr>
          <w:rFonts w:ascii="Times New Roman" w:hAnsi="Times New Roman" w:cs="Times New Roman"/>
          <w:i/>
          <w:sz w:val="24"/>
          <w:szCs w:val="24"/>
        </w:rPr>
        <w:t xml:space="preserve">James Elliot Construction Ltd. v. Lagan &amp; Others </w:t>
      </w:r>
      <w:r w:rsidR="00AF788A">
        <w:rPr>
          <w:rFonts w:ascii="Times New Roman" w:hAnsi="Times New Roman" w:cs="Times New Roman"/>
          <w:sz w:val="24"/>
          <w:szCs w:val="24"/>
        </w:rPr>
        <w:t xml:space="preserve">[2015] IEHC </w:t>
      </w:r>
      <w:r w:rsidR="00E8002A">
        <w:rPr>
          <w:rFonts w:ascii="Times New Roman" w:hAnsi="Times New Roman" w:cs="Times New Roman"/>
          <w:sz w:val="24"/>
          <w:szCs w:val="24"/>
        </w:rPr>
        <w:t>63</w:t>
      </w:r>
      <w:r w:rsidR="00AF788A">
        <w:rPr>
          <w:rFonts w:ascii="Times New Roman" w:hAnsi="Times New Roman" w:cs="Times New Roman"/>
          <w:sz w:val="24"/>
          <w:szCs w:val="24"/>
        </w:rPr>
        <w:t>1.</w:t>
      </w:r>
      <w:r w:rsidR="004F795B">
        <w:rPr>
          <w:rFonts w:ascii="Times New Roman" w:hAnsi="Times New Roman"/>
          <w:sz w:val="24"/>
        </w:rPr>
        <w:t xml:space="preserve">  While I return to these in due course, the issue of law for determination on this appeal is very different to the issue determined by the trial </w:t>
      </w:r>
      <w:r w:rsidR="0062583C">
        <w:rPr>
          <w:rFonts w:ascii="Times New Roman" w:hAnsi="Times New Roman"/>
          <w:sz w:val="24"/>
        </w:rPr>
        <w:t>j</w:t>
      </w:r>
      <w:r w:rsidR="004F795B">
        <w:rPr>
          <w:rFonts w:ascii="Times New Roman" w:hAnsi="Times New Roman"/>
          <w:sz w:val="24"/>
        </w:rPr>
        <w:t>udge in her decision of 28</w:t>
      </w:r>
      <w:r w:rsidR="004F795B" w:rsidRPr="004F795B">
        <w:rPr>
          <w:rFonts w:ascii="Times New Roman" w:hAnsi="Times New Roman"/>
          <w:sz w:val="24"/>
          <w:vertAlign w:val="superscript"/>
        </w:rPr>
        <w:t>th</w:t>
      </w:r>
      <w:r w:rsidR="004F795B">
        <w:rPr>
          <w:rFonts w:ascii="Times New Roman" w:hAnsi="Times New Roman"/>
          <w:sz w:val="24"/>
        </w:rPr>
        <w:t xml:space="preserve"> July 2017</w:t>
      </w:r>
      <w:r w:rsidR="0062583C">
        <w:rPr>
          <w:rFonts w:ascii="Times New Roman" w:hAnsi="Times New Roman"/>
          <w:sz w:val="24"/>
        </w:rPr>
        <w:t>.</w:t>
      </w:r>
    </w:p>
    <w:p w14:paraId="1265B89A" w14:textId="00E82A0C" w:rsidR="00CC5FE3" w:rsidRPr="00CC5FE3" w:rsidRDefault="00CC5FE3" w:rsidP="0058287A">
      <w:pPr>
        <w:tabs>
          <w:tab w:val="left" w:pos="567"/>
        </w:tabs>
        <w:spacing w:line="480" w:lineRule="auto"/>
        <w:jc w:val="both"/>
        <w:rPr>
          <w:b/>
          <w:u w:val="single"/>
        </w:rPr>
      </w:pPr>
      <w:r>
        <w:rPr>
          <w:b/>
          <w:u w:val="single"/>
        </w:rPr>
        <w:t>Judgment of High Court, 21</w:t>
      </w:r>
      <w:r w:rsidRPr="00CC5FE3">
        <w:rPr>
          <w:b/>
          <w:u w:val="single"/>
          <w:vertAlign w:val="superscript"/>
        </w:rPr>
        <w:t>st</w:t>
      </w:r>
      <w:r>
        <w:rPr>
          <w:b/>
          <w:u w:val="single"/>
        </w:rPr>
        <w:t xml:space="preserve"> February 2019</w:t>
      </w:r>
      <w:r w:rsidR="00EB2264">
        <w:rPr>
          <w:b/>
          <w:u w:val="single"/>
        </w:rPr>
        <w:t xml:space="preserve"> </w:t>
      </w:r>
    </w:p>
    <w:p w14:paraId="60D089CD" w14:textId="479E2FF3" w:rsidR="004F7340" w:rsidRPr="00CC5FE3" w:rsidRDefault="00A01EA6"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due course, the motion was re-entered and </w:t>
      </w:r>
      <w:r w:rsidR="000516D1">
        <w:rPr>
          <w:rFonts w:ascii="Times New Roman" w:hAnsi="Times New Roman"/>
          <w:sz w:val="24"/>
        </w:rPr>
        <w:t>was listed</w:t>
      </w:r>
      <w:r>
        <w:rPr>
          <w:rFonts w:ascii="Times New Roman" w:hAnsi="Times New Roman"/>
          <w:sz w:val="24"/>
        </w:rPr>
        <w:t xml:space="preserve"> for hearing again in </w:t>
      </w:r>
      <w:r w:rsidR="000516D1">
        <w:rPr>
          <w:rFonts w:ascii="Times New Roman" w:hAnsi="Times New Roman"/>
          <w:sz w:val="24"/>
        </w:rPr>
        <w:t xml:space="preserve">July </w:t>
      </w:r>
      <w:r>
        <w:rPr>
          <w:rFonts w:ascii="Times New Roman" w:hAnsi="Times New Roman"/>
          <w:sz w:val="24"/>
        </w:rPr>
        <w:t>2018</w:t>
      </w:r>
      <w:r w:rsidR="00784643">
        <w:rPr>
          <w:rFonts w:ascii="Times New Roman" w:hAnsi="Times New Roman"/>
          <w:sz w:val="24"/>
        </w:rPr>
        <w:t>, when it did not conclude. It was then listed for hearing on 23</w:t>
      </w:r>
      <w:r w:rsidR="00784643" w:rsidRPr="00784643">
        <w:rPr>
          <w:rFonts w:ascii="Times New Roman" w:hAnsi="Times New Roman"/>
          <w:sz w:val="24"/>
          <w:vertAlign w:val="superscript"/>
        </w:rPr>
        <w:t>rd</w:t>
      </w:r>
      <w:r w:rsidR="00784643">
        <w:rPr>
          <w:rFonts w:ascii="Times New Roman" w:hAnsi="Times New Roman"/>
          <w:sz w:val="24"/>
        </w:rPr>
        <w:t xml:space="preserve"> October 2018 and concluded the following day.</w:t>
      </w:r>
      <w:r w:rsidR="00E30329">
        <w:rPr>
          <w:rFonts w:ascii="Times New Roman" w:hAnsi="Times New Roman"/>
          <w:sz w:val="24"/>
        </w:rPr>
        <w:t xml:space="preserve">  In the </w:t>
      </w:r>
      <w:r w:rsidR="00784643">
        <w:rPr>
          <w:rFonts w:ascii="Times New Roman" w:hAnsi="Times New Roman"/>
          <w:sz w:val="24"/>
        </w:rPr>
        <w:t>period since the first judgment of 28</w:t>
      </w:r>
      <w:r w:rsidR="00784643" w:rsidRPr="00784643">
        <w:rPr>
          <w:rFonts w:ascii="Times New Roman" w:hAnsi="Times New Roman"/>
          <w:sz w:val="24"/>
          <w:vertAlign w:val="superscript"/>
        </w:rPr>
        <w:t>th</w:t>
      </w:r>
      <w:r w:rsidR="00784643">
        <w:rPr>
          <w:rFonts w:ascii="Times New Roman" w:hAnsi="Times New Roman"/>
          <w:sz w:val="24"/>
        </w:rPr>
        <w:t xml:space="preserve"> July 2017</w:t>
      </w:r>
      <w:r w:rsidR="00E30329">
        <w:rPr>
          <w:rFonts w:ascii="Times New Roman" w:hAnsi="Times New Roman"/>
          <w:sz w:val="24"/>
        </w:rPr>
        <w:t xml:space="preserve">, the </w:t>
      </w:r>
      <w:r w:rsidR="00EB2264">
        <w:rPr>
          <w:rFonts w:ascii="Times New Roman" w:hAnsi="Times New Roman"/>
          <w:sz w:val="24"/>
        </w:rPr>
        <w:t>respondent</w:t>
      </w:r>
      <w:r w:rsidR="00E30329">
        <w:rPr>
          <w:rFonts w:ascii="Times New Roman" w:hAnsi="Times New Roman"/>
          <w:sz w:val="24"/>
        </w:rPr>
        <w:t>s had inspected the quarry of the third named defendant and</w:t>
      </w:r>
      <w:r w:rsidR="000516D1">
        <w:rPr>
          <w:rFonts w:ascii="Times New Roman" w:hAnsi="Times New Roman"/>
          <w:sz w:val="24"/>
        </w:rPr>
        <w:t>,</w:t>
      </w:r>
      <w:r w:rsidR="00E30329">
        <w:rPr>
          <w:rFonts w:ascii="Times New Roman" w:hAnsi="Times New Roman"/>
          <w:sz w:val="24"/>
        </w:rPr>
        <w:t xml:space="preserve"> having taken samples, it transpired it was not possible to identify with sufficient precision the presence of materials supplied by</w:t>
      </w:r>
      <w:r w:rsidR="000516D1">
        <w:rPr>
          <w:rFonts w:ascii="Times New Roman" w:hAnsi="Times New Roman"/>
          <w:sz w:val="24"/>
        </w:rPr>
        <w:t xml:space="preserve"> Roadstone</w:t>
      </w:r>
      <w:r w:rsidR="00927345">
        <w:rPr>
          <w:rFonts w:ascii="Times New Roman" w:hAnsi="Times New Roman"/>
          <w:sz w:val="24"/>
        </w:rPr>
        <w:t xml:space="preserve"> </w:t>
      </w:r>
      <w:r w:rsidR="000516D1">
        <w:rPr>
          <w:rFonts w:ascii="Times New Roman" w:hAnsi="Times New Roman"/>
          <w:sz w:val="24"/>
        </w:rPr>
        <w:t>in</w:t>
      </w:r>
      <w:r w:rsidR="00E30329">
        <w:rPr>
          <w:rFonts w:ascii="Times New Roman" w:hAnsi="Times New Roman"/>
          <w:sz w:val="24"/>
        </w:rPr>
        <w:t xml:space="preserve"> the houses allegedly affected.  For this reason, the</w:t>
      </w:r>
      <w:r w:rsidR="000516D1">
        <w:rPr>
          <w:rFonts w:ascii="Times New Roman" w:hAnsi="Times New Roman"/>
          <w:sz w:val="24"/>
        </w:rPr>
        <w:t xml:space="preserve"> respondent</w:t>
      </w:r>
      <w:r w:rsidR="00E30329">
        <w:rPr>
          <w:rFonts w:ascii="Times New Roman" w:hAnsi="Times New Roman"/>
          <w:sz w:val="24"/>
        </w:rPr>
        <w:t>s wished to proceed with their application to inspect the</w:t>
      </w:r>
      <w:r w:rsidR="000516D1">
        <w:rPr>
          <w:rFonts w:ascii="Times New Roman" w:hAnsi="Times New Roman"/>
          <w:sz w:val="24"/>
        </w:rPr>
        <w:t xml:space="preserve"> Roadstone</w:t>
      </w:r>
      <w:r w:rsidR="00E30329">
        <w:rPr>
          <w:rFonts w:ascii="Times New Roman" w:hAnsi="Times New Roman"/>
          <w:sz w:val="24"/>
        </w:rPr>
        <w:t xml:space="preserve"> quarries. </w:t>
      </w:r>
    </w:p>
    <w:p w14:paraId="60B24A67" w14:textId="7E558BA3" w:rsidR="00E30329" w:rsidRPr="00CC5FE3" w:rsidRDefault="000516D1"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the meantime, there had been </w:t>
      </w:r>
      <w:r w:rsidR="00E30329" w:rsidRPr="00CC5FE3">
        <w:rPr>
          <w:rFonts w:ascii="Times New Roman" w:hAnsi="Times New Roman"/>
          <w:sz w:val="24"/>
        </w:rPr>
        <w:t xml:space="preserve">progress on the pleadings since the decision of Murphy J. </w:t>
      </w:r>
      <w:r w:rsidR="00927345">
        <w:rPr>
          <w:rFonts w:ascii="Times New Roman" w:hAnsi="Times New Roman"/>
          <w:sz w:val="24"/>
        </w:rPr>
        <w:t xml:space="preserve">of </w:t>
      </w:r>
      <w:r>
        <w:rPr>
          <w:rFonts w:ascii="Times New Roman" w:hAnsi="Times New Roman"/>
          <w:sz w:val="24"/>
        </w:rPr>
        <w:t>28</w:t>
      </w:r>
      <w:r w:rsidRPr="000516D1">
        <w:rPr>
          <w:rFonts w:ascii="Times New Roman" w:hAnsi="Times New Roman"/>
          <w:sz w:val="24"/>
          <w:vertAlign w:val="superscript"/>
        </w:rPr>
        <w:t>th</w:t>
      </w:r>
      <w:r>
        <w:rPr>
          <w:rFonts w:ascii="Times New Roman" w:hAnsi="Times New Roman"/>
          <w:sz w:val="24"/>
        </w:rPr>
        <w:t xml:space="preserve"> </w:t>
      </w:r>
      <w:r w:rsidR="00E30329" w:rsidRPr="00CC5FE3">
        <w:rPr>
          <w:rFonts w:ascii="Times New Roman" w:hAnsi="Times New Roman"/>
          <w:sz w:val="24"/>
        </w:rPr>
        <w:t xml:space="preserve">July 2017.  At that time a statement of claim had not even been delivered by the </w:t>
      </w:r>
      <w:r w:rsidR="00784643">
        <w:rPr>
          <w:rFonts w:ascii="Times New Roman" w:hAnsi="Times New Roman"/>
          <w:sz w:val="24"/>
        </w:rPr>
        <w:t>respondent</w:t>
      </w:r>
      <w:r w:rsidR="00E30329" w:rsidRPr="00CC5FE3">
        <w:rPr>
          <w:rFonts w:ascii="Times New Roman" w:hAnsi="Times New Roman"/>
          <w:sz w:val="24"/>
        </w:rPr>
        <w:t>s.  In the intervening period, a statement of claim was delivered</w:t>
      </w:r>
      <w:r>
        <w:rPr>
          <w:rFonts w:ascii="Times New Roman" w:hAnsi="Times New Roman"/>
          <w:sz w:val="24"/>
        </w:rPr>
        <w:t xml:space="preserve"> </w:t>
      </w:r>
      <w:r w:rsidR="00E30329" w:rsidRPr="00CC5FE3">
        <w:rPr>
          <w:rFonts w:ascii="Times New Roman" w:hAnsi="Times New Roman"/>
          <w:sz w:val="24"/>
        </w:rPr>
        <w:t>and</w:t>
      </w:r>
      <w:r>
        <w:rPr>
          <w:rFonts w:ascii="Times New Roman" w:hAnsi="Times New Roman"/>
          <w:sz w:val="24"/>
        </w:rPr>
        <w:t>,</w:t>
      </w:r>
      <w:r w:rsidR="00E30329" w:rsidRPr="00CC5FE3">
        <w:rPr>
          <w:rFonts w:ascii="Times New Roman" w:hAnsi="Times New Roman"/>
          <w:sz w:val="24"/>
        </w:rPr>
        <w:t xml:space="preserve"> following upon</w:t>
      </w:r>
      <w:r>
        <w:rPr>
          <w:rFonts w:ascii="Times New Roman" w:hAnsi="Times New Roman"/>
          <w:sz w:val="24"/>
        </w:rPr>
        <w:t xml:space="preserve"> the </w:t>
      </w:r>
      <w:r w:rsidR="00E30329" w:rsidRPr="00CC5FE3">
        <w:rPr>
          <w:rFonts w:ascii="Times New Roman" w:hAnsi="Times New Roman"/>
          <w:sz w:val="24"/>
        </w:rPr>
        <w:t xml:space="preserve">motions issued by the appellants to compel </w:t>
      </w:r>
      <w:r>
        <w:rPr>
          <w:rFonts w:ascii="Times New Roman" w:hAnsi="Times New Roman"/>
          <w:sz w:val="24"/>
        </w:rPr>
        <w:t xml:space="preserve">the respondents to </w:t>
      </w:r>
      <w:r w:rsidR="00E30329" w:rsidRPr="00CC5FE3">
        <w:rPr>
          <w:rFonts w:ascii="Times New Roman" w:hAnsi="Times New Roman"/>
          <w:sz w:val="24"/>
        </w:rPr>
        <w:t>repl</w:t>
      </w:r>
      <w:r>
        <w:rPr>
          <w:rFonts w:ascii="Times New Roman" w:hAnsi="Times New Roman"/>
          <w:sz w:val="24"/>
        </w:rPr>
        <w:t>y</w:t>
      </w:r>
      <w:r w:rsidR="00E30329" w:rsidRPr="00CC5FE3">
        <w:rPr>
          <w:rFonts w:ascii="Times New Roman" w:hAnsi="Times New Roman"/>
          <w:sz w:val="24"/>
        </w:rPr>
        <w:t xml:space="preserve"> to particulars, and by the </w:t>
      </w:r>
      <w:r w:rsidR="00E37400">
        <w:rPr>
          <w:rFonts w:ascii="Times New Roman" w:hAnsi="Times New Roman"/>
          <w:sz w:val="24"/>
        </w:rPr>
        <w:t>respondent</w:t>
      </w:r>
      <w:r w:rsidR="00E30329" w:rsidRPr="00CC5FE3">
        <w:rPr>
          <w:rFonts w:ascii="Times New Roman" w:hAnsi="Times New Roman"/>
          <w:sz w:val="24"/>
        </w:rPr>
        <w:t>s for judgment in default of defence, the appellants delivered their defence on 19</w:t>
      </w:r>
      <w:r w:rsidR="00E30329" w:rsidRPr="00CC5FE3">
        <w:rPr>
          <w:rFonts w:ascii="Times New Roman" w:hAnsi="Times New Roman"/>
          <w:sz w:val="24"/>
          <w:vertAlign w:val="superscript"/>
        </w:rPr>
        <w:t>th</w:t>
      </w:r>
      <w:r w:rsidR="00E30329" w:rsidRPr="00CC5FE3">
        <w:rPr>
          <w:rFonts w:ascii="Times New Roman" w:hAnsi="Times New Roman"/>
          <w:sz w:val="24"/>
        </w:rPr>
        <w:t xml:space="preserve"> February 2018.  As recorded by Murphy J. in </w:t>
      </w:r>
      <w:r w:rsidR="00927345">
        <w:rPr>
          <w:rFonts w:ascii="Times New Roman" w:hAnsi="Times New Roman"/>
          <w:sz w:val="24"/>
        </w:rPr>
        <w:t>the</w:t>
      </w:r>
      <w:r w:rsidR="00E30329" w:rsidRPr="00CC5FE3">
        <w:rPr>
          <w:rFonts w:ascii="Times New Roman" w:hAnsi="Times New Roman"/>
          <w:sz w:val="24"/>
        </w:rPr>
        <w:t xml:space="preserve"> judgment</w:t>
      </w:r>
      <w:r w:rsidR="00927345">
        <w:rPr>
          <w:rFonts w:ascii="Times New Roman" w:hAnsi="Times New Roman"/>
          <w:sz w:val="24"/>
        </w:rPr>
        <w:t xml:space="preserve"> under appeal, which she handed down on</w:t>
      </w:r>
      <w:r w:rsidR="00E30329" w:rsidRPr="00CC5FE3">
        <w:rPr>
          <w:rFonts w:ascii="Times New Roman" w:hAnsi="Times New Roman"/>
          <w:sz w:val="24"/>
        </w:rPr>
        <w:t xml:space="preserve"> 21</w:t>
      </w:r>
      <w:r w:rsidR="00E30329" w:rsidRPr="00CC5FE3">
        <w:rPr>
          <w:rFonts w:ascii="Times New Roman" w:hAnsi="Times New Roman"/>
          <w:sz w:val="24"/>
          <w:vertAlign w:val="superscript"/>
        </w:rPr>
        <w:t>st</w:t>
      </w:r>
      <w:r w:rsidR="00E30329" w:rsidRPr="00CC5FE3">
        <w:rPr>
          <w:rFonts w:ascii="Times New Roman" w:hAnsi="Times New Roman"/>
          <w:sz w:val="24"/>
        </w:rPr>
        <w:t xml:space="preserve"> February 2019</w:t>
      </w:r>
      <w:r w:rsidR="00EB2264">
        <w:rPr>
          <w:rFonts w:ascii="Times New Roman" w:hAnsi="Times New Roman"/>
          <w:sz w:val="24"/>
        </w:rPr>
        <w:t xml:space="preserve"> (para.</w:t>
      </w:r>
      <w:r w:rsidR="00CC5A71">
        <w:rPr>
          <w:rFonts w:ascii="Times New Roman" w:hAnsi="Times New Roman"/>
          <w:sz w:val="24"/>
        </w:rPr>
        <w:t xml:space="preserve"> </w:t>
      </w:r>
      <w:r w:rsidR="00EB2264">
        <w:rPr>
          <w:rFonts w:ascii="Times New Roman" w:hAnsi="Times New Roman"/>
          <w:sz w:val="24"/>
        </w:rPr>
        <w:t>10)</w:t>
      </w:r>
      <w:r w:rsidR="00E30329" w:rsidRPr="00CC5FE3">
        <w:rPr>
          <w:rFonts w:ascii="Times New Roman" w:hAnsi="Times New Roman"/>
          <w:sz w:val="24"/>
        </w:rPr>
        <w:t>, the effect of the defence filed by the appellant</w:t>
      </w:r>
      <w:r>
        <w:rPr>
          <w:rFonts w:ascii="Times New Roman" w:hAnsi="Times New Roman"/>
          <w:sz w:val="24"/>
        </w:rPr>
        <w:t xml:space="preserve">s </w:t>
      </w:r>
      <w:r w:rsidR="00E30329" w:rsidRPr="00CC5FE3">
        <w:rPr>
          <w:rFonts w:ascii="Times New Roman" w:hAnsi="Times New Roman"/>
          <w:sz w:val="24"/>
        </w:rPr>
        <w:t xml:space="preserve">is to put the </w:t>
      </w:r>
      <w:r w:rsidR="005E68A0">
        <w:rPr>
          <w:rFonts w:ascii="Times New Roman" w:hAnsi="Times New Roman"/>
          <w:sz w:val="24"/>
        </w:rPr>
        <w:t>respondents</w:t>
      </w:r>
      <w:r w:rsidR="00E30329" w:rsidRPr="00CC5FE3">
        <w:rPr>
          <w:rFonts w:ascii="Times New Roman" w:hAnsi="Times New Roman"/>
          <w:sz w:val="24"/>
        </w:rPr>
        <w:t xml:space="preserve"> on full proof that </w:t>
      </w:r>
      <w:r w:rsidR="00CC5FE3" w:rsidRPr="00CC5FE3">
        <w:rPr>
          <w:rFonts w:ascii="Times New Roman" w:hAnsi="Times New Roman"/>
          <w:sz w:val="24"/>
        </w:rPr>
        <w:t>“</w:t>
      </w:r>
      <w:r w:rsidR="00E30329" w:rsidRPr="00CC5A71">
        <w:rPr>
          <w:rFonts w:ascii="Times New Roman" w:hAnsi="Times New Roman"/>
          <w:i/>
          <w:iCs/>
          <w:sz w:val="24"/>
        </w:rPr>
        <w:t xml:space="preserve">the first </w:t>
      </w:r>
      <w:r w:rsidR="00E30329" w:rsidRPr="00CC5A71">
        <w:rPr>
          <w:rFonts w:ascii="Times New Roman" w:hAnsi="Times New Roman"/>
          <w:i/>
          <w:iCs/>
          <w:sz w:val="24"/>
        </w:rPr>
        <w:lastRenderedPageBreak/>
        <w:t xml:space="preserve">defendant’s product was used as subfloor infill in each relevant </w:t>
      </w:r>
      <w:r w:rsidR="00CC5FE3" w:rsidRPr="00CC5A71">
        <w:rPr>
          <w:rFonts w:ascii="Times New Roman" w:hAnsi="Times New Roman"/>
          <w:i/>
          <w:iCs/>
          <w:sz w:val="24"/>
        </w:rPr>
        <w:t xml:space="preserve">house; that </w:t>
      </w:r>
      <w:r w:rsidR="00CC5A71" w:rsidRPr="00CC5A71">
        <w:rPr>
          <w:rFonts w:ascii="Times New Roman" w:hAnsi="Times New Roman"/>
          <w:i/>
          <w:iCs/>
          <w:sz w:val="24"/>
        </w:rPr>
        <w:t>same</w:t>
      </w:r>
      <w:r w:rsidR="00CC5FE3" w:rsidRPr="00CC5A71">
        <w:rPr>
          <w:rFonts w:ascii="Times New Roman" w:hAnsi="Times New Roman"/>
          <w:i/>
          <w:iCs/>
          <w:sz w:val="24"/>
        </w:rPr>
        <w:t xml:space="preserve"> contained reactive framboidal pyrite; that the reactive framboidal pyrite has resulted in pyritic heave, with consequential damage to the fabric of the houses.</w:t>
      </w:r>
      <w:r w:rsidR="00CC5FE3">
        <w:rPr>
          <w:rFonts w:ascii="Times New Roman" w:hAnsi="Times New Roman"/>
          <w:sz w:val="24"/>
        </w:rPr>
        <w:t xml:space="preserve">” </w:t>
      </w:r>
      <w:r w:rsidR="00E30329" w:rsidRPr="00CC5FE3">
        <w:rPr>
          <w:rFonts w:ascii="Times New Roman" w:hAnsi="Times New Roman"/>
          <w:sz w:val="24"/>
        </w:rPr>
        <w:t xml:space="preserve"> </w:t>
      </w:r>
    </w:p>
    <w:p w14:paraId="1273C65B" w14:textId="440E95A2" w:rsidR="00E30329" w:rsidRDefault="00CC5FE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CC5A71">
        <w:rPr>
          <w:rFonts w:ascii="Times New Roman" w:hAnsi="Times New Roman"/>
          <w:sz w:val="24"/>
        </w:rPr>
        <w:t>.</w:t>
      </w:r>
      <w:r>
        <w:rPr>
          <w:rFonts w:ascii="Times New Roman" w:hAnsi="Times New Roman"/>
          <w:sz w:val="24"/>
        </w:rPr>
        <w:t xml:space="preserve"> 11 of </w:t>
      </w:r>
      <w:r w:rsidR="00EB2264">
        <w:rPr>
          <w:rFonts w:ascii="Times New Roman" w:hAnsi="Times New Roman"/>
          <w:sz w:val="24"/>
        </w:rPr>
        <w:t>the same</w:t>
      </w:r>
      <w:r>
        <w:rPr>
          <w:rFonts w:ascii="Times New Roman" w:hAnsi="Times New Roman"/>
          <w:sz w:val="24"/>
        </w:rPr>
        <w:t xml:space="preserve"> judgment, Murphy J. held:</w:t>
      </w:r>
    </w:p>
    <w:p w14:paraId="038015BF" w14:textId="2A1A42CE" w:rsidR="00CC5FE3" w:rsidRPr="00E30329" w:rsidRDefault="00CC5FE3"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FE746D">
        <w:rPr>
          <w:rFonts w:ascii="Times New Roman" w:hAnsi="Times New Roman"/>
          <w:i/>
          <w:iCs/>
          <w:sz w:val="24"/>
        </w:rPr>
        <w:t>In light of the defence pleaded and the earlier judgment delivered by this court on 28</w:t>
      </w:r>
      <w:r w:rsidRPr="00FE746D">
        <w:rPr>
          <w:rFonts w:ascii="Times New Roman" w:hAnsi="Times New Roman"/>
          <w:i/>
          <w:iCs/>
          <w:sz w:val="24"/>
          <w:vertAlign w:val="superscript"/>
        </w:rPr>
        <w:t>th</w:t>
      </w:r>
      <w:r w:rsidRPr="00FE746D">
        <w:rPr>
          <w:rFonts w:ascii="Times New Roman" w:hAnsi="Times New Roman"/>
          <w:i/>
          <w:iCs/>
          <w:sz w:val="24"/>
        </w:rPr>
        <w:t xml:space="preserve"> July, 2017, the plaintiffs requested confirmation that the first defendant would now agree to provide inspection and sampling facilities at its </w:t>
      </w:r>
      <w:proofErr w:type="spellStart"/>
      <w:r w:rsidRPr="00FE746D">
        <w:rPr>
          <w:rFonts w:ascii="Times New Roman" w:hAnsi="Times New Roman"/>
          <w:i/>
          <w:iCs/>
          <w:sz w:val="24"/>
        </w:rPr>
        <w:t>Huntstown</w:t>
      </w:r>
      <w:proofErr w:type="spellEnd"/>
      <w:r w:rsidRPr="00FE746D">
        <w:rPr>
          <w:rFonts w:ascii="Times New Roman" w:hAnsi="Times New Roman"/>
          <w:i/>
          <w:iCs/>
          <w:sz w:val="24"/>
        </w:rPr>
        <w:t xml:space="preserve">, Belgard and </w:t>
      </w:r>
      <w:proofErr w:type="spellStart"/>
      <w:r w:rsidRPr="00FE746D">
        <w:rPr>
          <w:rFonts w:ascii="Times New Roman" w:hAnsi="Times New Roman"/>
          <w:i/>
          <w:iCs/>
          <w:sz w:val="24"/>
        </w:rPr>
        <w:t>Feltrim</w:t>
      </w:r>
      <w:proofErr w:type="spellEnd"/>
      <w:r w:rsidRPr="00FE746D">
        <w:rPr>
          <w:rFonts w:ascii="Times New Roman" w:hAnsi="Times New Roman"/>
          <w:i/>
          <w:iCs/>
          <w:sz w:val="24"/>
        </w:rPr>
        <w:t xml:space="preserve"> quarries. The court is satisfied that such an inspection is ‘necessary… for the purpose of obtaining full information or evidence’</w:t>
      </w:r>
      <w:r w:rsidR="00FE746D" w:rsidRPr="00FE746D">
        <w:rPr>
          <w:rFonts w:ascii="Times New Roman" w:hAnsi="Times New Roman"/>
          <w:i/>
          <w:iCs/>
          <w:sz w:val="24"/>
        </w:rPr>
        <w:t xml:space="preserve"> </w:t>
      </w:r>
      <w:r w:rsidRPr="00FE746D">
        <w:rPr>
          <w:rFonts w:ascii="Times New Roman" w:hAnsi="Times New Roman"/>
          <w:i/>
          <w:iCs/>
          <w:sz w:val="24"/>
        </w:rPr>
        <w:t>within the meaning of O. 50, r. 4</w:t>
      </w:r>
      <w:r w:rsidR="00FE746D" w:rsidRPr="00FE746D">
        <w:rPr>
          <w:rFonts w:ascii="Times New Roman" w:hAnsi="Times New Roman"/>
          <w:i/>
          <w:iCs/>
          <w:sz w:val="24"/>
        </w:rPr>
        <w:t>,</w:t>
      </w:r>
      <w:r w:rsidRPr="00FE746D">
        <w:rPr>
          <w:rFonts w:ascii="Times New Roman" w:hAnsi="Times New Roman"/>
          <w:i/>
          <w:iCs/>
          <w:sz w:val="24"/>
        </w:rPr>
        <w:t xml:space="preserve"> in light of the defence delivered on behalf of the first and second defendants.</w:t>
      </w:r>
      <w:r>
        <w:rPr>
          <w:rFonts w:ascii="Times New Roman" w:hAnsi="Times New Roman"/>
          <w:sz w:val="24"/>
        </w:rPr>
        <w:t>”</w:t>
      </w:r>
    </w:p>
    <w:p w14:paraId="7C968152" w14:textId="1419247B" w:rsidR="00E30329" w:rsidRDefault="00CC5FE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relates how the approach of the appellants to the application for inspection changed between the </w:t>
      </w:r>
      <w:r w:rsidR="00784643">
        <w:rPr>
          <w:rFonts w:ascii="Times New Roman" w:hAnsi="Times New Roman"/>
          <w:sz w:val="24"/>
        </w:rPr>
        <w:t xml:space="preserve">2017 and 2018 </w:t>
      </w:r>
      <w:r w:rsidR="00C911F5">
        <w:rPr>
          <w:rFonts w:ascii="Times New Roman" w:hAnsi="Times New Roman"/>
          <w:sz w:val="24"/>
        </w:rPr>
        <w:t>c</w:t>
      </w:r>
      <w:r w:rsidR="00784643">
        <w:rPr>
          <w:rFonts w:ascii="Times New Roman" w:hAnsi="Times New Roman"/>
          <w:sz w:val="24"/>
        </w:rPr>
        <w:t>ourt</w:t>
      </w:r>
      <w:r>
        <w:rPr>
          <w:rFonts w:ascii="Times New Roman" w:hAnsi="Times New Roman"/>
          <w:sz w:val="24"/>
        </w:rPr>
        <w:t xml:space="preserve"> dates.  On the first occasion, the appellants claimed that the application for inspection was premature on the basis, </w:t>
      </w:r>
      <w:r>
        <w:rPr>
          <w:rFonts w:ascii="Times New Roman" w:hAnsi="Times New Roman"/>
          <w:i/>
          <w:sz w:val="24"/>
        </w:rPr>
        <w:t xml:space="preserve">inter alia, </w:t>
      </w:r>
      <w:r>
        <w:rPr>
          <w:rFonts w:ascii="Times New Roman" w:hAnsi="Times New Roman"/>
          <w:sz w:val="24"/>
        </w:rPr>
        <w:t xml:space="preserve">that the pleadings were not closed.  On the second occasion, they claimed that the application was premature in the absence of discovery. </w:t>
      </w:r>
      <w:r w:rsidR="00D50EF3">
        <w:rPr>
          <w:rFonts w:ascii="Times New Roman" w:hAnsi="Times New Roman"/>
          <w:sz w:val="24"/>
        </w:rPr>
        <w:t>T</w:t>
      </w:r>
      <w:r>
        <w:rPr>
          <w:rFonts w:ascii="Times New Roman" w:hAnsi="Times New Roman"/>
          <w:sz w:val="24"/>
        </w:rPr>
        <w:t xml:space="preserve">he appellants were concerned that if inspection was ordered prior to discovery, and in particular, discovery of </w:t>
      </w:r>
      <w:r w:rsidR="00784643">
        <w:rPr>
          <w:rFonts w:ascii="Times New Roman" w:hAnsi="Times New Roman"/>
          <w:sz w:val="24"/>
        </w:rPr>
        <w:t>Roadstone</w:t>
      </w:r>
      <w:r w:rsidR="00223502">
        <w:rPr>
          <w:rFonts w:ascii="Times New Roman" w:hAnsi="Times New Roman"/>
          <w:sz w:val="24"/>
        </w:rPr>
        <w:t>’</w:t>
      </w:r>
      <w:r>
        <w:rPr>
          <w:rFonts w:ascii="Times New Roman" w:hAnsi="Times New Roman"/>
          <w:sz w:val="24"/>
        </w:rPr>
        <w:t>s blast records</w:t>
      </w:r>
      <w:r w:rsidR="00F75293">
        <w:rPr>
          <w:rFonts w:ascii="Times New Roman" w:hAnsi="Times New Roman"/>
          <w:sz w:val="24"/>
        </w:rPr>
        <w:t xml:space="preserve">, there would be a risk of multiple inspections.  The </w:t>
      </w:r>
      <w:r w:rsidR="00EB2264">
        <w:rPr>
          <w:rFonts w:ascii="Times New Roman" w:hAnsi="Times New Roman"/>
          <w:sz w:val="24"/>
        </w:rPr>
        <w:t>respondent</w:t>
      </w:r>
      <w:r w:rsidR="00F75293">
        <w:rPr>
          <w:rFonts w:ascii="Times New Roman" w:hAnsi="Times New Roman"/>
          <w:sz w:val="24"/>
        </w:rPr>
        <w:t xml:space="preserve">s </w:t>
      </w:r>
      <w:r w:rsidR="00772458">
        <w:rPr>
          <w:rFonts w:ascii="Times New Roman" w:hAnsi="Times New Roman"/>
          <w:sz w:val="24"/>
        </w:rPr>
        <w:t>countered this with</w:t>
      </w:r>
      <w:r w:rsidR="00F75293">
        <w:rPr>
          <w:rFonts w:ascii="Times New Roman" w:hAnsi="Times New Roman"/>
          <w:sz w:val="24"/>
        </w:rPr>
        <w:t xml:space="preserve"> a motion for discovery</w:t>
      </w:r>
      <w:r w:rsidR="00772458">
        <w:rPr>
          <w:rFonts w:ascii="Times New Roman" w:hAnsi="Times New Roman"/>
          <w:sz w:val="24"/>
        </w:rPr>
        <w:t>, which they issued on 2</w:t>
      </w:r>
      <w:r w:rsidR="00DF1A2F">
        <w:rPr>
          <w:rFonts w:ascii="Times New Roman" w:hAnsi="Times New Roman"/>
          <w:sz w:val="24"/>
        </w:rPr>
        <w:t>0</w:t>
      </w:r>
      <w:r w:rsidR="00DF1A2F">
        <w:rPr>
          <w:rFonts w:ascii="Times New Roman" w:hAnsi="Times New Roman"/>
          <w:sz w:val="24"/>
          <w:vertAlign w:val="superscript"/>
        </w:rPr>
        <w:t>th</w:t>
      </w:r>
      <w:r w:rsidR="00772458">
        <w:rPr>
          <w:rFonts w:ascii="Times New Roman" w:hAnsi="Times New Roman"/>
          <w:sz w:val="24"/>
        </w:rPr>
        <w:t xml:space="preserve"> September 2018, during the period between the commencement of the hearing of the inspection motion in July, and the resumed hearing of that motion on 23</w:t>
      </w:r>
      <w:r w:rsidR="00772458" w:rsidRPr="00772458">
        <w:rPr>
          <w:rFonts w:ascii="Times New Roman" w:hAnsi="Times New Roman"/>
          <w:sz w:val="24"/>
          <w:vertAlign w:val="superscript"/>
        </w:rPr>
        <w:t>rd</w:t>
      </w:r>
      <w:r w:rsidR="00772458">
        <w:rPr>
          <w:rFonts w:ascii="Times New Roman" w:hAnsi="Times New Roman"/>
          <w:sz w:val="24"/>
        </w:rPr>
        <w:t xml:space="preserve"> October 2018. The discovery motion </w:t>
      </w:r>
      <w:r w:rsidR="00DF1A2F">
        <w:rPr>
          <w:rFonts w:ascii="Times New Roman" w:hAnsi="Times New Roman"/>
          <w:sz w:val="24"/>
        </w:rPr>
        <w:t xml:space="preserve">was </w:t>
      </w:r>
      <w:r w:rsidR="00772458">
        <w:rPr>
          <w:rFonts w:ascii="Times New Roman" w:hAnsi="Times New Roman"/>
          <w:sz w:val="24"/>
        </w:rPr>
        <w:t xml:space="preserve">returnable </w:t>
      </w:r>
      <w:r w:rsidR="00DF1A2F">
        <w:rPr>
          <w:rFonts w:ascii="Times New Roman" w:hAnsi="Times New Roman"/>
          <w:sz w:val="24"/>
        </w:rPr>
        <w:t xml:space="preserve">for </w:t>
      </w:r>
      <w:r w:rsidR="00772458">
        <w:rPr>
          <w:rFonts w:ascii="Times New Roman" w:hAnsi="Times New Roman"/>
          <w:sz w:val="24"/>
        </w:rPr>
        <w:t>23</w:t>
      </w:r>
      <w:r w:rsidR="00772458" w:rsidRPr="00772458">
        <w:rPr>
          <w:rFonts w:ascii="Times New Roman" w:hAnsi="Times New Roman"/>
          <w:sz w:val="24"/>
          <w:vertAlign w:val="superscript"/>
        </w:rPr>
        <w:t>rd</w:t>
      </w:r>
      <w:r w:rsidR="00772458">
        <w:rPr>
          <w:rFonts w:ascii="Times New Roman" w:hAnsi="Times New Roman"/>
          <w:sz w:val="24"/>
        </w:rPr>
        <w:t xml:space="preserve"> October, but did not proceed</w:t>
      </w:r>
      <w:r w:rsidR="00DF1A2F">
        <w:rPr>
          <w:rFonts w:ascii="Times New Roman" w:hAnsi="Times New Roman"/>
          <w:sz w:val="24"/>
        </w:rPr>
        <w:t xml:space="preserve"> and was ultimately struck out by the trial </w:t>
      </w:r>
      <w:r w:rsidR="003220D9">
        <w:rPr>
          <w:rFonts w:ascii="Times New Roman" w:hAnsi="Times New Roman"/>
          <w:sz w:val="24"/>
        </w:rPr>
        <w:t>j</w:t>
      </w:r>
      <w:r w:rsidR="00DF1A2F">
        <w:rPr>
          <w:rFonts w:ascii="Times New Roman" w:hAnsi="Times New Roman"/>
          <w:sz w:val="24"/>
        </w:rPr>
        <w:t>udge by the order under appeal, though that part of the order is not appealed.</w:t>
      </w:r>
    </w:p>
    <w:p w14:paraId="07AD279E" w14:textId="67B29B1D" w:rsidR="00F75293" w:rsidRDefault="00F7529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trial judge noted, at para. 16</w:t>
      </w:r>
      <w:r w:rsidR="00DF1A2F">
        <w:rPr>
          <w:rFonts w:ascii="Times New Roman" w:hAnsi="Times New Roman"/>
          <w:sz w:val="24"/>
        </w:rPr>
        <w:t xml:space="preserve"> of her judgment</w:t>
      </w:r>
      <w:r>
        <w:rPr>
          <w:rFonts w:ascii="Times New Roman" w:hAnsi="Times New Roman"/>
          <w:sz w:val="24"/>
        </w:rPr>
        <w:t>, that the appellants had not</w:t>
      </w:r>
      <w:r w:rsidR="0065409A">
        <w:rPr>
          <w:rFonts w:ascii="Times New Roman" w:hAnsi="Times New Roman"/>
          <w:sz w:val="24"/>
        </w:rPr>
        <w:t xml:space="preserve"> identified any method of proof, short of sampling and inspection, which would satisfy their own </w:t>
      </w:r>
      <w:r w:rsidR="0065409A">
        <w:rPr>
          <w:rFonts w:ascii="Times New Roman" w:hAnsi="Times New Roman"/>
          <w:sz w:val="24"/>
        </w:rPr>
        <w:lastRenderedPageBreak/>
        <w:t>requirement (</w:t>
      </w:r>
      <w:r w:rsidR="00D50EF3">
        <w:rPr>
          <w:rFonts w:ascii="Times New Roman" w:hAnsi="Times New Roman"/>
          <w:sz w:val="24"/>
        </w:rPr>
        <w:t>arising out of</w:t>
      </w:r>
      <w:r w:rsidR="0065409A">
        <w:rPr>
          <w:rFonts w:ascii="Times New Roman" w:hAnsi="Times New Roman"/>
          <w:sz w:val="24"/>
        </w:rPr>
        <w:t xml:space="preserve"> their defences) </w:t>
      </w:r>
      <w:r w:rsidR="00D50EF3">
        <w:rPr>
          <w:rFonts w:ascii="Times New Roman" w:hAnsi="Times New Roman"/>
          <w:sz w:val="24"/>
        </w:rPr>
        <w:t>for</w:t>
      </w:r>
      <w:r w:rsidR="0065409A">
        <w:rPr>
          <w:rFonts w:ascii="Times New Roman" w:hAnsi="Times New Roman"/>
          <w:sz w:val="24"/>
        </w:rPr>
        <w:t xml:space="preserve"> proof of every element of the </w:t>
      </w:r>
      <w:r w:rsidR="002251D2">
        <w:rPr>
          <w:rFonts w:ascii="Times New Roman" w:hAnsi="Times New Roman"/>
          <w:sz w:val="24"/>
        </w:rPr>
        <w:t>respondents</w:t>
      </w:r>
      <w:r w:rsidR="0065409A">
        <w:rPr>
          <w:rFonts w:ascii="Times New Roman" w:hAnsi="Times New Roman"/>
          <w:sz w:val="24"/>
        </w:rPr>
        <w:t xml:space="preserve">’ claim.  </w:t>
      </w:r>
    </w:p>
    <w:p w14:paraId="4A5325C5" w14:textId="263293E6" w:rsidR="0065409A" w:rsidRDefault="00FF33D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referred to a motion issued by the </w:t>
      </w:r>
      <w:r w:rsidR="00EB2264">
        <w:rPr>
          <w:rFonts w:ascii="Times New Roman" w:hAnsi="Times New Roman"/>
          <w:sz w:val="24"/>
        </w:rPr>
        <w:t>respondent</w:t>
      </w:r>
      <w:r>
        <w:rPr>
          <w:rFonts w:ascii="Times New Roman" w:hAnsi="Times New Roman"/>
          <w:sz w:val="24"/>
        </w:rPr>
        <w:t>s pursuant to O. 31, r.</w:t>
      </w:r>
      <w:r w:rsidR="00493D19">
        <w:rPr>
          <w:rFonts w:ascii="Times New Roman" w:hAnsi="Times New Roman"/>
          <w:sz w:val="24"/>
        </w:rPr>
        <w:t xml:space="preserve"> </w:t>
      </w:r>
      <w:r>
        <w:rPr>
          <w:rFonts w:ascii="Times New Roman" w:hAnsi="Times New Roman"/>
          <w:sz w:val="24"/>
        </w:rPr>
        <w:t xml:space="preserve">18 </w:t>
      </w:r>
      <w:r w:rsidR="00493D19">
        <w:rPr>
          <w:rFonts w:ascii="Times New Roman" w:hAnsi="Times New Roman"/>
          <w:sz w:val="24"/>
        </w:rPr>
        <w:t>RSC</w:t>
      </w:r>
      <w:r w:rsidR="00A7645D">
        <w:rPr>
          <w:rFonts w:ascii="Times New Roman" w:hAnsi="Times New Roman"/>
          <w:sz w:val="24"/>
        </w:rPr>
        <w:t>, seeking an order for</w:t>
      </w:r>
      <w:r>
        <w:rPr>
          <w:rFonts w:ascii="Times New Roman" w:hAnsi="Times New Roman"/>
          <w:sz w:val="24"/>
        </w:rPr>
        <w:t xml:space="preserve"> production of </w:t>
      </w:r>
      <w:r w:rsidR="00784643">
        <w:rPr>
          <w:rFonts w:ascii="Times New Roman" w:hAnsi="Times New Roman"/>
          <w:sz w:val="24"/>
        </w:rPr>
        <w:t>Roadstone’s</w:t>
      </w:r>
      <w:r>
        <w:rPr>
          <w:rFonts w:ascii="Times New Roman" w:hAnsi="Times New Roman"/>
          <w:sz w:val="24"/>
        </w:rPr>
        <w:t xml:space="preserve"> </w:t>
      </w:r>
      <w:r w:rsidR="00F71424">
        <w:rPr>
          <w:rFonts w:ascii="Times New Roman" w:hAnsi="Times New Roman"/>
          <w:sz w:val="24"/>
        </w:rPr>
        <w:t xml:space="preserve">quarry </w:t>
      </w:r>
      <w:r>
        <w:rPr>
          <w:rFonts w:ascii="Times New Roman" w:hAnsi="Times New Roman"/>
          <w:sz w:val="24"/>
        </w:rPr>
        <w:t>blast records</w:t>
      </w:r>
      <w:r w:rsidR="00EB2264">
        <w:rPr>
          <w:rFonts w:ascii="Times New Roman" w:hAnsi="Times New Roman"/>
          <w:sz w:val="24"/>
        </w:rPr>
        <w:t xml:space="preserve">, which was also before the </w:t>
      </w:r>
      <w:r w:rsidR="00493D19">
        <w:rPr>
          <w:rFonts w:ascii="Times New Roman" w:hAnsi="Times New Roman"/>
          <w:sz w:val="24"/>
        </w:rPr>
        <w:t>c</w:t>
      </w:r>
      <w:r w:rsidR="00EB2264">
        <w:rPr>
          <w:rFonts w:ascii="Times New Roman" w:hAnsi="Times New Roman"/>
          <w:sz w:val="24"/>
        </w:rPr>
        <w:t>ourt</w:t>
      </w:r>
      <w:r w:rsidR="00927345">
        <w:rPr>
          <w:rFonts w:ascii="Times New Roman" w:hAnsi="Times New Roman"/>
          <w:sz w:val="24"/>
        </w:rPr>
        <w:t>.</w:t>
      </w:r>
      <w:r>
        <w:rPr>
          <w:rFonts w:ascii="Times New Roman" w:hAnsi="Times New Roman"/>
          <w:sz w:val="24"/>
        </w:rPr>
        <w:t xml:space="preserve"> </w:t>
      </w:r>
      <w:r w:rsidR="00F95EC4">
        <w:rPr>
          <w:rFonts w:ascii="Times New Roman" w:hAnsi="Times New Roman"/>
          <w:sz w:val="24"/>
        </w:rPr>
        <w:t>Th</w:t>
      </w:r>
      <w:r w:rsidR="00493D19">
        <w:rPr>
          <w:rFonts w:ascii="Times New Roman" w:hAnsi="Times New Roman"/>
          <w:sz w:val="24"/>
        </w:rPr>
        <w:t>e</w:t>
      </w:r>
      <w:r w:rsidR="00F95EC4">
        <w:rPr>
          <w:rFonts w:ascii="Times New Roman" w:hAnsi="Times New Roman"/>
          <w:sz w:val="24"/>
        </w:rPr>
        <w:t xml:space="preserve"> </w:t>
      </w:r>
      <w:r w:rsidR="00F71424">
        <w:rPr>
          <w:rFonts w:ascii="Times New Roman" w:hAnsi="Times New Roman"/>
          <w:sz w:val="24"/>
        </w:rPr>
        <w:t xml:space="preserve">respondents had issued this </w:t>
      </w:r>
      <w:r w:rsidR="00F95EC4">
        <w:rPr>
          <w:rFonts w:ascii="Times New Roman" w:hAnsi="Times New Roman"/>
          <w:sz w:val="24"/>
        </w:rPr>
        <w:t xml:space="preserve">motion </w:t>
      </w:r>
      <w:r w:rsidR="00F71424">
        <w:rPr>
          <w:rFonts w:ascii="Times New Roman" w:hAnsi="Times New Roman"/>
          <w:sz w:val="24"/>
        </w:rPr>
        <w:t>on 27</w:t>
      </w:r>
      <w:r w:rsidR="00F71424" w:rsidRPr="00F71424">
        <w:rPr>
          <w:rFonts w:ascii="Times New Roman" w:hAnsi="Times New Roman"/>
          <w:sz w:val="24"/>
          <w:vertAlign w:val="superscript"/>
        </w:rPr>
        <w:t>th</w:t>
      </w:r>
      <w:r w:rsidR="00F71424">
        <w:rPr>
          <w:rFonts w:ascii="Times New Roman" w:hAnsi="Times New Roman"/>
          <w:sz w:val="24"/>
        </w:rPr>
        <w:t xml:space="preserve"> June 2018, </w:t>
      </w:r>
      <w:r w:rsidR="00801C4A">
        <w:rPr>
          <w:rFonts w:ascii="Times New Roman" w:hAnsi="Times New Roman"/>
          <w:sz w:val="24"/>
        </w:rPr>
        <w:t xml:space="preserve">following upon service </w:t>
      </w:r>
      <w:r w:rsidR="00DF1A2F">
        <w:rPr>
          <w:rFonts w:ascii="Times New Roman" w:hAnsi="Times New Roman"/>
          <w:sz w:val="24"/>
        </w:rPr>
        <w:t xml:space="preserve">by them on the appellants </w:t>
      </w:r>
      <w:r w:rsidR="00801C4A">
        <w:rPr>
          <w:rFonts w:ascii="Times New Roman" w:hAnsi="Times New Roman"/>
          <w:sz w:val="24"/>
        </w:rPr>
        <w:t xml:space="preserve">of a Notice to Produce </w:t>
      </w:r>
      <w:r w:rsidR="0053555A">
        <w:rPr>
          <w:rFonts w:ascii="Times New Roman" w:hAnsi="Times New Roman"/>
          <w:sz w:val="24"/>
        </w:rPr>
        <w:t>the</w:t>
      </w:r>
      <w:r w:rsidR="00801C4A">
        <w:rPr>
          <w:rFonts w:ascii="Times New Roman" w:hAnsi="Times New Roman"/>
          <w:sz w:val="24"/>
        </w:rPr>
        <w:t xml:space="preserve"> blast records</w:t>
      </w:r>
      <w:r w:rsidR="00DF1A2F">
        <w:rPr>
          <w:rFonts w:ascii="Times New Roman" w:hAnsi="Times New Roman"/>
          <w:sz w:val="24"/>
        </w:rPr>
        <w:t xml:space="preserve">. The respondents had served the </w:t>
      </w:r>
      <w:r w:rsidR="008E48E9">
        <w:rPr>
          <w:rFonts w:ascii="Times New Roman" w:hAnsi="Times New Roman"/>
          <w:sz w:val="24"/>
        </w:rPr>
        <w:t xml:space="preserve">Notice to Produce </w:t>
      </w:r>
      <w:r w:rsidR="00F95EC4">
        <w:rPr>
          <w:rFonts w:ascii="Times New Roman" w:hAnsi="Times New Roman"/>
          <w:sz w:val="24"/>
        </w:rPr>
        <w:t xml:space="preserve">as a result of references to </w:t>
      </w:r>
      <w:r w:rsidR="00801C4A">
        <w:rPr>
          <w:rFonts w:ascii="Times New Roman" w:hAnsi="Times New Roman"/>
          <w:sz w:val="24"/>
        </w:rPr>
        <w:t>those records in affidavit</w:t>
      </w:r>
      <w:r w:rsidR="00F71424">
        <w:rPr>
          <w:rFonts w:ascii="Times New Roman" w:hAnsi="Times New Roman"/>
          <w:sz w:val="24"/>
        </w:rPr>
        <w:t>s</w:t>
      </w:r>
      <w:r w:rsidR="00801C4A">
        <w:rPr>
          <w:rFonts w:ascii="Times New Roman" w:hAnsi="Times New Roman"/>
          <w:sz w:val="24"/>
        </w:rPr>
        <w:t xml:space="preserve"> sworn on behalf of the appellants in opposition to the inspection motion. The appellants objected to production of the blast records prior to discovery, and the respondents responded with the motion for production of the same.</w:t>
      </w:r>
      <w:r w:rsidR="0053555A">
        <w:rPr>
          <w:rFonts w:ascii="Times New Roman" w:hAnsi="Times New Roman"/>
          <w:sz w:val="24"/>
        </w:rPr>
        <w:t xml:space="preserve"> </w:t>
      </w:r>
      <w:r>
        <w:rPr>
          <w:rFonts w:ascii="Times New Roman" w:hAnsi="Times New Roman"/>
          <w:sz w:val="24"/>
        </w:rPr>
        <w:t xml:space="preserve">While the trial judge concluded that a </w:t>
      </w:r>
      <w:r w:rsidR="008E48E9">
        <w:rPr>
          <w:rFonts w:ascii="Times New Roman" w:hAnsi="Times New Roman"/>
          <w:sz w:val="24"/>
        </w:rPr>
        <w:t>N</w:t>
      </w:r>
      <w:r>
        <w:rPr>
          <w:rFonts w:ascii="Times New Roman" w:hAnsi="Times New Roman"/>
          <w:sz w:val="24"/>
        </w:rPr>
        <w:t xml:space="preserve">otice to </w:t>
      </w:r>
      <w:r w:rsidR="008E48E9">
        <w:rPr>
          <w:rFonts w:ascii="Times New Roman" w:hAnsi="Times New Roman"/>
          <w:sz w:val="24"/>
        </w:rPr>
        <w:t>P</w:t>
      </w:r>
      <w:r>
        <w:rPr>
          <w:rFonts w:ascii="Times New Roman" w:hAnsi="Times New Roman"/>
          <w:sz w:val="24"/>
        </w:rPr>
        <w:t>roduce was not an appropriate mechanism to compel production of those record</w:t>
      </w:r>
      <w:r w:rsidR="001716F3">
        <w:rPr>
          <w:rFonts w:ascii="Times New Roman" w:hAnsi="Times New Roman"/>
          <w:sz w:val="24"/>
        </w:rPr>
        <w:t>s</w:t>
      </w:r>
      <w:r>
        <w:rPr>
          <w:rFonts w:ascii="Times New Roman" w:hAnsi="Times New Roman"/>
          <w:sz w:val="24"/>
        </w:rPr>
        <w:t xml:space="preserve">, she noted that the affidavits sworn </w:t>
      </w:r>
      <w:r w:rsidR="00A7645D">
        <w:rPr>
          <w:rFonts w:ascii="Times New Roman" w:hAnsi="Times New Roman"/>
          <w:sz w:val="24"/>
        </w:rPr>
        <w:t xml:space="preserve">on behalf of the appellants </w:t>
      </w:r>
      <w:r>
        <w:rPr>
          <w:rFonts w:ascii="Times New Roman" w:hAnsi="Times New Roman"/>
          <w:sz w:val="24"/>
        </w:rPr>
        <w:t xml:space="preserve">in </w:t>
      </w:r>
      <w:r w:rsidR="00A7645D">
        <w:rPr>
          <w:rFonts w:ascii="Times New Roman" w:hAnsi="Times New Roman"/>
          <w:sz w:val="24"/>
        </w:rPr>
        <w:t>opposition to that</w:t>
      </w:r>
      <w:r>
        <w:rPr>
          <w:rFonts w:ascii="Times New Roman" w:hAnsi="Times New Roman"/>
          <w:sz w:val="24"/>
        </w:rPr>
        <w:t xml:space="preserve"> motion revealed that </w:t>
      </w:r>
      <w:r w:rsidR="00784643">
        <w:rPr>
          <w:rFonts w:ascii="Times New Roman" w:hAnsi="Times New Roman"/>
          <w:sz w:val="24"/>
        </w:rPr>
        <w:t>Roadstone</w:t>
      </w:r>
      <w:r>
        <w:rPr>
          <w:rFonts w:ascii="Times New Roman" w:hAnsi="Times New Roman"/>
          <w:sz w:val="24"/>
        </w:rPr>
        <w:t xml:space="preserve"> had in its possession approximately 800 blast records, which, when taken together with delivery dockets</w:t>
      </w:r>
      <w:r w:rsidR="00784643">
        <w:rPr>
          <w:rFonts w:ascii="Times New Roman" w:hAnsi="Times New Roman"/>
          <w:sz w:val="24"/>
        </w:rPr>
        <w:t xml:space="preserve"> and extraction plans also in Roadstone’s possession</w:t>
      </w:r>
      <w:r>
        <w:rPr>
          <w:rFonts w:ascii="Times New Roman" w:hAnsi="Times New Roman"/>
          <w:sz w:val="24"/>
        </w:rPr>
        <w:t xml:space="preserve">, would enable it to identify the locations in its quarries from which stone delivered to the </w:t>
      </w:r>
      <w:r w:rsidR="00784643">
        <w:rPr>
          <w:rFonts w:ascii="Times New Roman" w:hAnsi="Times New Roman"/>
          <w:sz w:val="24"/>
        </w:rPr>
        <w:t>D</w:t>
      </w:r>
      <w:r>
        <w:rPr>
          <w:rFonts w:ascii="Times New Roman" w:hAnsi="Times New Roman"/>
          <w:sz w:val="24"/>
        </w:rPr>
        <w:t>evelopment could be identified.  The trial judge concluded as follows at paras. 21 and 22 of her judgment:</w:t>
      </w:r>
    </w:p>
    <w:p w14:paraId="0EEEC1F5" w14:textId="5DD833D4" w:rsidR="00FF33D3" w:rsidRPr="00493D19" w:rsidRDefault="00FF33D3" w:rsidP="0058287A">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008157E5" w:rsidRPr="00493D19">
        <w:rPr>
          <w:rFonts w:ascii="Times New Roman" w:hAnsi="Times New Roman"/>
          <w:i/>
          <w:iCs/>
          <w:sz w:val="24"/>
        </w:rPr>
        <w:t xml:space="preserve">21. </w:t>
      </w:r>
      <w:r w:rsidRPr="00493D19">
        <w:rPr>
          <w:rFonts w:ascii="Times New Roman" w:hAnsi="Times New Roman"/>
          <w:i/>
          <w:iCs/>
          <w:sz w:val="24"/>
        </w:rPr>
        <w:t xml:space="preserve">On the basis of the defence filed on behalf of the first and second defendants, inspection and sampling of the relevant locations of the defendant’s quarries is necessary to allow the plaintiffs </w:t>
      </w:r>
      <w:r w:rsidR="008157E5" w:rsidRPr="00493D19">
        <w:rPr>
          <w:rFonts w:ascii="Times New Roman" w:hAnsi="Times New Roman"/>
          <w:i/>
          <w:iCs/>
          <w:sz w:val="24"/>
        </w:rPr>
        <w:t xml:space="preserve">to </w:t>
      </w:r>
      <w:r w:rsidRPr="00493D19">
        <w:rPr>
          <w:rFonts w:ascii="Times New Roman" w:hAnsi="Times New Roman"/>
          <w:i/>
          <w:iCs/>
          <w:sz w:val="24"/>
        </w:rPr>
        <w:t>progress their claim. Until inspection and sampling take place, the plaintiffs will not be able to answer the particulars raised by the first three defendants as to the presen</w:t>
      </w:r>
      <w:r w:rsidR="008157E5" w:rsidRPr="00493D19">
        <w:rPr>
          <w:rFonts w:ascii="Times New Roman" w:hAnsi="Times New Roman"/>
          <w:i/>
          <w:iCs/>
          <w:sz w:val="24"/>
        </w:rPr>
        <w:t>ce and extent of each defendant’</w:t>
      </w:r>
      <w:r w:rsidRPr="00493D19">
        <w:rPr>
          <w:rFonts w:ascii="Times New Roman" w:hAnsi="Times New Roman"/>
          <w:i/>
          <w:iCs/>
          <w:sz w:val="24"/>
        </w:rPr>
        <w:t xml:space="preserve">s stone in each house manifesting pyritic heave. The defendants, having had access to the subfloor stone infill in each house allegedly affected for more than two years, have been able to compare that stone infill to the stone in their respective quarries and so have access to full information as to the presence or absence of reactive framboidal pyrite in the </w:t>
      </w:r>
      <w:r w:rsidRPr="00493D19">
        <w:rPr>
          <w:rFonts w:ascii="Times New Roman" w:hAnsi="Times New Roman"/>
          <w:i/>
          <w:iCs/>
          <w:sz w:val="24"/>
        </w:rPr>
        <w:lastRenderedPageBreak/>
        <w:t xml:space="preserve">stone infill supplied by them to the plaintiffs. The plaintiffs on the other hand do not have full information and will not have it until such time as they are permitted to inspect and take samples </w:t>
      </w:r>
      <w:r w:rsidR="008157E5" w:rsidRPr="00493D19">
        <w:rPr>
          <w:rFonts w:ascii="Times New Roman" w:hAnsi="Times New Roman"/>
          <w:i/>
          <w:iCs/>
          <w:sz w:val="24"/>
        </w:rPr>
        <w:t>from the locations in Roadstone’</w:t>
      </w:r>
      <w:r w:rsidRPr="00493D19">
        <w:rPr>
          <w:rFonts w:ascii="Times New Roman" w:hAnsi="Times New Roman"/>
          <w:i/>
          <w:iCs/>
          <w:sz w:val="24"/>
        </w:rPr>
        <w:t xml:space="preserve">s quarries, from which stone infill was supplied to the </w:t>
      </w:r>
      <w:proofErr w:type="spellStart"/>
      <w:r w:rsidRPr="00493D19">
        <w:rPr>
          <w:rFonts w:ascii="Times New Roman" w:hAnsi="Times New Roman"/>
          <w:i/>
          <w:iCs/>
          <w:sz w:val="24"/>
        </w:rPr>
        <w:t>Drumnigh</w:t>
      </w:r>
      <w:proofErr w:type="spellEnd"/>
      <w:r w:rsidRPr="00493D19">
        <w:rPr>
          <w:rFonts w:ascii="Times New Roman" w:hAnsi="Times New Roman"/>
          <w:i/>
          <w:iCs/>
          <w:sz w:val="24"/>
        </w:rPr>
        <w:t xml:space="preserve"> Wood Estate.</w:t>
      </w:r>
    </w:p>
    <w:p w14:paraId="48FCB8CC" w14:textId="296F678A" w:rsidR="008157E5" w:rsidRPr="00493D19" w:rsidRDefault="008157E5" w:rsidP="0058287A">
      <w:pPr>
        <w:pStyle w:val="ListParagraph"/>
        <w:tabs>
          <w:tab w:val="left" w:pos="567"/>
        </w:tabs>
        <w:spacing w:line="480" w:lineRule="auto"/>
        <w:ind w:left="567"/>
        <w:rPr>
          <w:rFonts w:ascii="Times New Roman" w:hAnsi="Times New Roman"/>
          <w:i/>
          <w:iCs/>
          <w:sz w:val="24"/>
        </w:rPr>
      </w:pPr>
      <w:r w:rsidRPr="00493D19">
        <w:rPr>
          <w:rFonts w:ascii="Times New Roman" w:hAnsi="Times New Roman"/>
          <w:i/>
          <w:iCs/>
          <w:sz w:val="24"/>
        </w:rPr>
        <w:t>22. The court is satisfied that intrinsic to its power to order inspection and sampling, pursuant to O. 50, r. 4, is the power to make orders to give effect to that inspection order. As the court held in its earlier judgment at para. 24, ‘The rule is flexible enough to deal with any given set of facts presented to a court.’ To illustrate that finding, the court quoted Chesterman J. in</w:t>
      </w:r>
      <w:bookmarkStart w:id="0" w:name="_Hlk94824309"/>
      <w:r w:rsidRPr="00493D19">
        <w:rPr>
          <w:rFonts w:ascii="Times New Roman" w:hAnsi="Times New Roman"/>
          <w:i/>
          <w:iCs/>
          <w:sz w:val="24"/>
        </w:rPr>
        <w:t xml:space="preserve"> </w:t>
      </w:r>
      <w:bookmarkStart w:id="1" w:name="_Hlk93606494"/>
      <w:r w:rsidRPr="00493D19">
        <w:rPr>
          <w:rFonts w:ascii="Times New Roman" w:hAnsi="Times New Roman"/>
          <w:i/>
          <w:iCs/>
          <w:sz w:val="24"/>
        </w:rPr>
        <w:t xml:space="preserve">Evans Deacon Pty Ltd v </w:t>
      </w:r>
      <w:proofErr w:type="spellStart"/>
      <w:r w:rsidRPr="00493D19">
        <w:rPr>
          <w:rFonts w:ascii="Times New Roman" w:hAnsi="Times New Roman"/>
          <w:i/>
          <w:iCs/>
          <w:sz w:val="24"/>
        </w:rPr>
        <w:t>Orekinetics</w:t>
      </w:r>
      <w:proofErr w:type="spellEnd"/>
      <w:r w:rsidRPr="00493D19">
        <w:rPr>
          <w:rFonts w:ascii="Times New Roman" w:hAnsi="Times New Roman"/>
          <w:i/>
          <w:iCs/>
          <w:sz w:val="24"/>
        </w:rPr>
        <w:t xml:space="preserve"> Ltd [2002] QSC 42 </w:t>
      </w:r>
      <w:bookmarkEnd w:id="0"/>
      <w:r w:rsidRPr="00493D19">
        <w:rPr>
          <w:rFonts w:ascii="Times New Roman" w:hAnsi="Times New Roman"/>
          <w:i/>
          <w:iCs/>
          <w:sz w:val="24"/>
        </w:rPr>
        <w:t xml:space="preserve">as cited by Martin J. in </w:t>
      </w:r>
      <w:bookmarkStart w:id="2" w:name="_Hlk92452709"/>
      <w:r w:rsidRPr="00493D19">
        <w:rPr>
          <w:rFonts w:ascii="Times New Roman" w:hAnsi="Times New Roman"/>
          <w:i/>
          <w:iCs/>
          <w:sz w:val="24"/>
        </w:rPr>
        <w:t xml:space="preserve">Process Minerals International Pty Ltd v Consolidated Minerals Pty Ltd </w:t>
      </w:r>
      <w:bookmarkEnd w:id="2"/>
      <w:r w:rsidRPr="00493D19">
        <w:rPr>
          <w:rFonts w:ascii="Times New Roman" w:hAnsi="Times New Roman"/>
          <w:i/>
          <w:iCs/>
          <w:sz w:val="24"/>
        </w:rPr>
        <w:t xml:space="preserve">[2012] WASC 254 </w:t>
      </w:r>
      <w:bookmarkEnd w:id="1"/>
      <w:r w:rsidRPr="00493D19">
        <w:rPr>
          <w:rFonts w:ascii="Times New Roman" w:hAnsi="Times New Roman"/>
          <w:i/>
          <w:iCs/>
          <w:sz w:val="24"/>
        </w:rPr>
        <w:t>at p. 17:-</w:t>
      </w:r>
    </w:p>
    <w:p w14:paraId="1BD1E2BE" w14:textId="1214C4E0" w:rsidR="008157E5" w:rsidRPr="00493D19" w:rsidRDefault="008157E5" w:rsidP="006C46F9">
      <w:pPr>
        <w:pStyle w:val="ListParagraph"/>
        <w:tabs>
          <w:tab w:val="left" w:pos="567"/>
        </w:tabs>
        <w:spacing w:line="480" w:lineRule="auto"/>
        <w:ind w:left="993"/>
        <w:rPr>
          <w:rFonts w:ascii="Times New Roman" w:hAnsi="Times New Roman"/>
          <w:i/>
          <w:iCs/>
          <w:sz w:val="24"/>
        </w:rPr>
      </w:pPr>
      <w:r w:rsidRPr="00493D19">
        <w:rPr>
          <w:rFonts w:ascii="Times New Roman" w:hAnsi="Times New Roman"/>
          <w:i/>
          <w:iCs/>
          <w:sz w:val="24"/>
        </w:rPr>
        <w:t>‘The discretion conferred by the rule is a wide one. It should not be limited by the superimposition of conditions not found in the rule itself. The order should not be made unless, on the material before the court, it is proper to do so. It must be remembered that the rule exists to promote the efficient and economical conduct of litigation.’</w:t>
      </w:r>
    </w:p>
    <w:p w14:paraId="4DB6E51C" w14:textId="65230C7D" w:rsidR="008157E5" w:rsidRPr="00493D19" w:rsidRDefault="008157E5" w:rsidP="0058287A">
      <w:pPr>
        <w:tabs>
          <w:tab w:val="left" w:pos="567"/>
        </w:tabs>
        <w:spacing w:line="480" w:lineRule="auto"/>
        <w:ind w:left="567"/>
        <w:jc w:val="both"/>
        <w:rPr>
          <w:i/>
          <w:iCs/>
        </w:rPr>
      </w:pPr>
      <w:r w:rsidRPr="00493D19">
        <w:rPr>
          <w:i/>
          <w:iCs/>
        </w:rPr>
        <w:t xml:space="preserve">What is required in this particular case is that the plaintiffs be allowed to inspect and take samples from the locations in Roadstone quarries from which stone infill was supplied to the </w:t>
      </w:r>
      <w:proofErr w:type="spellStart"/>
      <w:r w:rsidRPr="00493D19">
        <w:rPr>
          <w:i/>
          <w:iCs/>
        </w:rPr>
        <w:t>Drumnigh</w:t>
      </w:r>
      <w:proofErr w:type="spellEnd"/>
      <w:r w:rsidRPr="00493D19">
        <w:rPr>
          <w:i/>
          <w:iCs/>
        </w:rPr>
        <w:t xml:space="preserve"> Wood Estate during the period from September, 2001 to June, 2007. Roadstone has the information ne</w:t>
      </w:r>
      <w:r w:rsidR="00913FEC" w:rsidRPr="00493D19">
        <w:rPr>
          <w:i/>
          <w:iCs/>
        </w:rPr>
        <w:t>cessary to identify the</w:t>
      </w:r>
      <w:r w:rsidRPr="00493D19">
        <w:rPr>
          <w:i/>
          <w:iCs/>
        </w:rPr>
        <w:t xml:space="preserve"> locations. It has extraction plans which indicate the areas quarried at any particular time. It has blast records which give the date and coordinates of each blast. These apparently number 800. It has delivery dockets showing the deliveries made from each quarry to the </w:t>
      </w:r>
      <w:proofErr w:type="spellStart"/>
      <w:r w:rsidRPr="00493D19">
        <w:rPr>
          <w:i/>
          <w:iCs/>
        </w:rPr>
        <w:t>Drumnigh</w:t>
      </w:r>
      <w:proofErr w:type="spellEnd"/>
      <w:r w:rsidRPr="00493D19">
        <w:rPr>
          <w:i/>
          <w:iCs/>
        </w:rPr>
        <w:t xml:space="preserve"> Wood Estate. While Roadstone has argued that any inspection ordered </w:t>
      </w:r>
      <w:r w:rsidRPr="00493D19">
        <w:rPr>
          <w:i/>
          <w:iCs/>
        </w:rPr>
        <w:lastRenderedPageBreak/>
        <w:t>should follow discovery, it has never contended, nor can it, that it is not possible for it to identify the locations in its quarries, from which th</w:t>
      </w:r>
      <w:r w:rsidR="00913FEC" w:rsidRPr="00493D19">
        <w:rPr>
          <w:i/>
          <w:iCs/>
        </w:rPr>
        <w:t>e stone supplied by it derived.…</w:t>
      </w:r>
      <w:r w:rsidR="00913FEC" w:rsidRPr="00493D19">
        <w:t>”</w:t>
      </w:r>
    </w:p>
    <w:p w14:paraId="0193611F" w14:textId="3E042DD1" w:rsidR="00E30329" w:rsidRDefault="00913FEC"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As to the objection of the appellants that inspection in advance of discovery creates a risk of multiple inspections, the court noted that the </w:t>
      </w:r>
      <w:r w:rsidR="00A7645D">
        <w:rPr>
          <w:rFonts w:ascii="Times New Roman" w:hAnsi="Times New Roman"/>
          <w:sz w:val="24"/>
        </w:rPr>
        <w:t>respondent</w:t>
      </w:r>
      <w:r>
        <w:rPr>
          <w:rFonts w:ascii="Times New Roman" w:hAnsi="Times New Roman"/>
          <w:sz w:val="24"/>
        </w:rPr>
        <w:t xml:space="preserve">s </w:t>
      </w:r>
      <w:r w:rsidR="007F7275">
        <w:rPr>
          <w:rFonts w:ascii="Times New Roman" w:hAnsi="Times New Roman"/>
          <w:sz w:val="24"/>
        </w:rPr>
        <w:t xml:space="preserve">had </w:t>
      </w:r>
      <w:r>
        <w:rPr>
          <w:rFonts w:ascii="Times New Roman" w:hAnsi="Times New Roman"/>
          <w:sz w:val="24"/>
        </w:rPr>
        <w:t>confirm</w:t>
      </w:r>
      <w:r w:rsidR="007F7275">
        <w:rPr>
          <w:rFonts w:ascii="Times New Roman" w:hAnsi="Times New Roman"/>
          <w:sz w:val="24"/>
        </w:rPr>
        <w:t>ed</w:t>
      </w:r>
      <w:r>
        <w:rPr>
          <w:rFonts w:ascii="Times New Roman" w:hAnsi="Times New Roman"/>
          <w:sz w:val="24"/>
        </w:rPr>
        <w:t xml:space="preserve"> that in the event that the appellants identif</w:t>
      </w:r>
      <w:r w:rsidR="007F7275">
        <w:rPr>
          <w:rFonts w:ascii="Times New Roman" w:hAnsi="Times New Roman"/>
          <w:sz w:val="24"/>
        </w:rPr>
        <w:t>ied</w:t>
      </w:r>
      <w:r>
        <w:rPr>
          <w:rFonts w:ascii="Times New Roman" w:hAnsi="Times New Roman"/>
          <w:sz w:val="24"/>
        </w:rPr>
        <w:t xml:space="preserve"> the relevant locations from which stone was supplied to the </w:t>
      </w:r>
      <w:proofErr w:type="spellStart"/>
      <w:r>
        <w:rPr>
          <w:rFonts w:ascii="Times New Roman" w:hAnsi="Times New Roman"/>
          <w:sz w:val="24"/>
        </w:rPr>
        <w:t>Drumnigh</w:t>
      </w:r>
      <w:proofErr w:type="spellEnd"/>
      <w:r>
        <w:rPr>
          <w:rFonts w:ascii="Times New Roman" w:hAnsi="Times New Roman"/>
          <w:sz w:val="24"/>
        </w:rPr>
        <w:t xml:space="preserve"> Wood Estate, the </w:t>
      </w:r>
      <w:r w:rsidR="00A7645D">
        <w:rPr>
          <w:rFonts w:ascii="Times New Roman" w:hAnsi="Times New Roman"/>
          <w:sz w:val="24"/>
        </w:rPr>
        <w:t>respondent</w:t>
      </w:r>
      <w:r>
        <w:rPr>
          <w:rFonts w:ascii="Times New Roman" w:hAnsi="Times New Roman"/>
          <w:sz w:val="24"/>
        </w:rPr>
        <w:t xml:space="preserve">s would not need to conduct further inspections.  </w:t>
      </w:r>
    </w:p>
    <w:p w14:paraId="69A96FBA" w14:textId="0693183E" w:rsidR="00E30329" w:rsidRPr="00913FEC" w:rsidRDefault="00913FEC"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appellants also raised an objection that the order bein</w:t>
      </w:r>
      <w:r w:rsidR="007F7275">
        <w:rPr>
          <w:rFonts w:ascii="Times New Roman" w:hAnsi="Times New Roman"/>
          <w:sz w:val="24"/>
        </w:rPr>
        <w:t>g</w:t>
      </w:r>
      <w:r>
        <w:rPr>
          <w:rFonts w:ascii="Times New Roman" w:hAnsi="Times New Roman"/>
          <w:sz w:val="24"/>
        </w:rPr>
        <w:t xml:space="preserve"> contemplated by the trial judge would involve the appellants in a significant amount of work and expense not normally associated with an order for inspection.  The trial judge dealt with this by noting that such costs would be costs in the cause, recoverable by the appellants in the event that they are successful in the proceedings.</w:t>
      </w:r>
    </w:p>
    <w:p w14:paraId="20DEBC49" w14:textId="10A3DA47" w:rsidR="00913FEC" w:rsidRPr="00913FEC" w:rsidRDefault="00913FEC"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At para. 27, the trial judge expressed the view that inspection and sampling would allow real progress to be made in the litigation.  It would assist the </w:t>
      </w:r>
      <w:r w:rsidR="00A7645D">
        <w:rPr>
          <w:rFonts w:ascii="Times New Roman" w:hAnsi="Times New Roman"/>
          <w:sz w:val="24"/>
        </w:rPr>
        <w:t>respondent</w:t>
      </w:r>
      <w:r>
        <w:rPr>
          <w:rFonts w:ascii="Times New Roman" w:hAnsi="Times New Roman"/>
          <w:sz w:val="24"/>
        </w:rPr>
        <w:t xml:space="preserve">s in identifying with precision the source of the stone under each house allegedly affected – </w:t>
      </w:r>
      <w:r w:rsidR="007F7275">
        <w:rPr>
          <w:rFonts w:ascii="Times New Roman" w:hAnsi="Times New Roman"/>
          <w:sz w:val="24"/>
        </w:rPr>
        <w:t xml:space="preserve">an exercise </w:t>
      </w:r>
      <w:r>
        <w:rPr>
          <w:rFonts w:ascii="Times New Roman" w:hAnsi="Times New Roman"/>
          <w:sz w:val="24"/>
        </w:rPr>
        <w:t xml:space="preserve">which the </w:t>
      </w:r>
      <w:r w:rsidR="00E37400">
        <w:rPr>
          <w:rFonts w:ascii="Times New Roman" w:hAnsi="Times New Roman"/>
          <w:sz w:val="24"/>
        </w:rPr>
        <w:t>appell</w:t>
      </w:r>
      <w:r>
        <w:rPr>
          <w:rFonts w:ascii="Times New Roman" w:hAnsi="Times New Roman"/>
          <w:sz w:val="24"/>
        </w:rPr>
        <w:t xml:space="preserve">ants had </w:t>
      </w:r>
      <w:r w:rsidR="007F7275">
        <w:rPr>
          <w:rFonts w:ascii="Times New Roman" w:hAnsi="Times New Roman"/>
          <w:sz w:val="24"/>
        </w:rPr>
        <w:t xml:space="preserve">had </w:t>
      </w:r>
      <w:r>
        <w:rPr>
          <w:rFonts w:ascii="Times New Roman" w:hAnsi="Times New Roman"/>
          <w:sz w:val="24"/>
        </w:rPr>
        <w:t>sufficient</w:t>
      </w:r>
      <w:r w:rsidR="00A7645D">
        <w:rPr>
          <w:rFonts w:ascii="Times New Roman" w:hAnsi="Times New Roman"/>
          <w:sz w:val="24"/>
        </w:rPr>
        <w:t xml:space="preserve"> information</w:t>
      </w:r>
      <w:r>
        <w:rPr>
          <w:rFonts w:ascii="Times New Roman" w:hAnsi="Times New Roman"/>
          <w:sz w:val="24"/>
        </w:rPr>
        <w:t xml:space="preserve"> to </w:t>
      </w:r>
      <w:r w:rsidR="007F7275">
        <w:rPr>
          <w:rFonts w:ascii="Times New Roman" w:hAnsi="Times New Roman"/>
          <w:sz w:val="24"/>
        </w:rPr>
        <w:t>conduct</w:t>
      </w:r>
      <w:r>
        <w:rPr>
          <w:rFonts w:ascii="Times New Roman" w:hAnsi="Times New Roman"/>
          <w:sz w:val="24"/>
        </w:rPr>
        <w:t xml:space="preserve"> for some years.  It would assist the </w:t>
      </w:r>
      <w:r w:rsidR="00A7645D">
        <w:rPr>
          <w:rFonts w:ascii="Times New Roman" w:hAnsi="Times New Roman"/>
          <w:sz w:val="24"/>
        </w:rPr>
        <w:t>respondents</w:t>
      </w:r>
      <w:r>
        <w:rPr>
          <w:rFonts w:ascii="Times New Roman" w:hAnsi="Times New Roman"/>
          <w:sz w:val="24"/>
        </w:rPr>
        <w:t xml:space="preserve"> in answering the notice</w:t>
      </w:r>
      <w:r w:rsidR="00E37400">
        <w:rPr>
          <w:rFonts w:ascii="Times New Roman" w:hAnsi="Times New Roman"/>
          <w:sz w:val="24"/>
        </w:rPr>
        <w:t>s</w:t>
      </w:r>
      <w:r>
        <w:rPr>
          <w:rFonts w:ascii="Times New Roman" w:hAnsi="Times New Roman"/>
          <w:sz w:val="24"/>
        </w:rPr>
        <w:t xml:space="preserve"> for particulars raised by the first three defendants.  A</w:t>
      </w:r>
      <w:r w:rsidR="007F7275">
        <w:rPr>
          <w:rFonts w:ascii="Times New Roman" w:hAnsi="Times New Roman"/>
          <w:sz w:val="24"/>
        </w:rPr>
        <w:t>s</w:t>
      </w:r>
      <w:r>
        <w:rPr>
          <w:rFonts w:ascii="Times New Roman" w:hAnsi="Times New Roman"/>
          <w:sz w:val="24"/>
        </w:rPr>
        <w:t xml:space="preserve"> </w:t>
      </w:r>
      <w:r w:rsidR="007F7275">
        <w:rPr>
          <w:rFonts w:ascii="Times New Roman" w:hAnsi="Times New Roman"/>
          <w:sz w:val="24"/>
        </w:rPr>
        <w:t>regards the identification of locations within the quarries from which stone was extracted and supplied by the appellants,</w:t>
      </w:r>
      <w:r>
        <w:rPr>
          <w:rFonts w:ascii="Times New Roman" w:hAnsi="Times New Roman"/>
          <w:sz w:val="24"/>
        </w:rPr>
        <w:t xml:space="preserve"> the trial judge stated</w:t>
      </w:r>
      <w:r w:rsidR="007F7275">
        <w:rPr>
          <w:rFonts w:ascii="Times New Roman" w:hAnsi="Times New Roman"/>
          <w:sz w:val="24"/>
        </w:rPr>
        <w:t>, at para. 28</w:t>
      </w:r>
      <w:r>
        <w:rPr>
          <w:rFonts w:ascii="Times New Roman" w:hAnsi="Times New Roman"/>
          <w:sz w:val="24"/>
        </w:rPr>
        <w:t>:</w:t>
      </w:r>
    </w:p>
    <w:p w14:paraId="02694FCE" w14:textId="78F97F13" w:rsidR="00913FEC" w:rsidRPr="00913FEC" w:rsidRDefault="00913FEC"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345294">
        <w:rPr>
          <w:rFonts w:ascii="Times New Roman" w:hAnsi="Times New Roman"/>
          <w:i/>
          <w:iCs/>
          <w:sz w:val="24"/>
        </w:rPr>
        <w:t xml:space="preserve">By directing the first defendant to identify the locations in its quarries from which the stone supplied to the </w:t>
      </w:r>
      <w:proofErr w:type="spellStart"/>
      <w:r w:rsidRPr="00345294">
        <w:rPr>
          <w:rFonts w:ascii="Times New Roman" w:hAnsi="Times New Roman"/>
          <w:i/>
          <w:iCs/>
          <w:sz w:val="24"/>
        </w:rPr>
        <w:t>Drumnigh</w:t>
      </w:r>
      <w:proofErr w:type="spellEnd"/>
      <w:r w:rsidRPr="00345294">
        <w:rPr>
          <w:rFonts w:ascii="Times New Roman" w:hAnsi="Times New Roman"/>
          <w:i/>
          <w:iCs/>
          <w:sz w:val="24"/>
        </w:rPr>
        <w:t xml:space="preserve"> Wood Estate was extracted, the court is balancing the right of the plaintiff to have access to evidence in the control of his opponent with his opponent’s right to have the least possible interference with his property rights. This is best achieved by ensuring that there is a focussed single inspection which, at Roadstone’s election, all parties who may have a litigation interest in conducting an inspection</w:t>
      </w:r>
      <w:r w:rsidR="00345294" w:rsidRPr="00345294">
        <w:rPr>
          <w:rFonts w:ascii="Times New Roman" w:hAnsi="Times New Roman"/>
          <w:i/>
          <w:iCs/>
          <w:sz w:val="24"/>
        </w:rPr>
        <w:t>,</w:t>
      </w:r>
      <w:r w:rsidRPr="00345294">
        <w:rPr>
          <w:rFonts w:ascii="Times New Roman" w:hAnsi="Times New Roman"/>
          <w:i/>
          <w:iCs/>
          <w:sz w:val="24"/>
        </w:rPr>
        <w:t xml:space="preserve"> could attend.</w:t>
      </w:r>
      <w:r>
        <w:rPr>
          <w:rFonts w:ascii="Times New Roman" w:hAnsi="Times New Roman"/>
          <w:sz w:val="24"/>
        </w:rPr>
        <w:t>”</w:t>
      </w:r>
    </w:p>
    <w:p w14:paraId="3B399DB3" w14:textId="06B85AAF" w:rsidR="00913FEC" w:rsidRPr="00913FEC" w:rsidRDefault="00524451" w:rsidP="0058287A">
      <w:pPr>
        <w:pStyle w:val="ListParagraph"/>
        <w:tabs>
          <w:tab w:val="left" w:pos="567"/>
        </w:tabs>
        <w:spacing w:line="480" w:lineRule="auto"/>
        <w:ind w:left="0"/>
        <w:rPr>
          <w:rFonts w:ascii="Times New Roman" w:hAnsi="Times New Roman"/>
          <w:sz w:val="24"/>
        </w:rPr>
      </w:pPr>
      <w:r>
        <w:rPr>
          <w:rFonts w:ascii="Times New Roman" w:hAnsi="Times New Roman"/>
          <w:sz w:val="24"/>
        </w:rPr>
        <w:lastRenderedPageBreak/>
        <w:t>Accordingly</w:t>
      </w:r>
      <w:r w:rsidR="00913FEC">
        <w:rPr>
          <w:rFonts w:ascii="Times New Roman" w:hAnsi="Times New Roman"/>
          <w:sz w:val="24"/>
        </w:rPr>
        <w:t xml:space="preserve">, the court made an order for the inspection and sampling of the relevant </w:t>
      </w:r>
      <w:r>
        <w:rPr>
          <w:rFonts w:ascii="Times New Roman" w:hAnsi="Times New Roman"/>
          <w:sz w:val="24"/>
        </w:rPr>
        <w:t>locations</w:t>
      </w:r>
      <w:r w:rsidR="00913FEC">
        <w:rPr>
          <w:rFonts w:ascii="Times New Roman" w:hAnsi="Times New Roman"/>
          <w:sz w:val="24"/>
        </w:rPr>
        <w:t xml:space="preserve"> </w:t>
      </w:r>
      <w:r w:rsidR="007F7275">
        <w:rPr>
          <w:rFonts w:ascii="Times New Roman" w:hAnsi="Times New Roman"/>
          <w:sz w:val="24"/>
        </w:rPr>
        <w:t>within</w:t>
      </w:r>
      <w:r w:rsidR="00913FEC">
        <w:rPr>
          <w:rFonts w:ascii="Times New Roman" w:hAnsi="Times New Roman"/>
          <w:sz w:val="24"/>
        </w:rPr>
        <w:t xml:space="preserve"> the quarries of </w:t>
      </w:r>
      <w:r w:rsidR="008E1D58">
        <w:rPr>
          <w:rFonts w:ascii="Times New Roman" w:hAnsi="Times New Roman"/>
          <w:sz w:val="24"/>
        </w:rPr>
        <w:t>Roadstone</w:t>
      </w:r>
      <w:r w:rsidR="00913FEC">
        <w:rPr>
          <w:rFonts w:ascii="Times New Roman" w:hAnsi="Times New Roman"/>
          <w:sz w:val="24"/>
        </w:rPr>
        <w:t xml:space="preserve"> at </w:t>
      </w:r>
      <w:proofErr w:type="spellStart"/>
      <w:r w:rsidR="00913FEC">
        <w:rPr>
          <w:rFonts w:ascii="Times New Roman" w:hAnsi="Times New Roman"/>
          <w:sz w:val="24"/>
        </w:rPr>
        <w:t>Huntstown</w:t>
      </w:r>
      <w:proofErr w:type="spellEnd"/>
      <w:r w:rsidR="00913FEC">
        <w:rPr>
          <w:rFonts w:ascii="Times New Roman" w:hAnsi="Times New Roman"/>
          <w:sz w:val="24"/>
        </w:rPr>
        <w:t xml:space="preserve">, </w:t>
      </w:r>
      <w:r>
        <w:rPr>
          <w:rFonts w:ascii="Times New Roman" w:hAnsi="Times New Roman"/>
          <w:sz w:val="24"/>
        </w:rPr>
        <w:t xml:space="preserve">Belgard and </w:t>
      </w:r>
      <w:proofErr w:type="spellStart"/>
      <w:r>
        <w:rPr>
          <w:rFonts w:ascii="Times New Roman" w:hAnsi="Times New Roman"/>
          <w:sz w:val="24"/>
        </w:rPr>
        <w:t>Feltrim</w:t>
      </w:r>
      <w:proofErr w:type="spellEnd"/>
      <w:r>
        <w:rPr>
          <w:rFonts w:ascii="Times New Roman" w:hAnsi="Times New Roman"/>
          <w:sz w:val="24"/>
        </w:rPr>
        <w:t xml:space="preserve"> from which stone was extracted and delivered to the</w:t>
      </w:r>
      <w:r w:rsidR="008E1D58">
        <w:rPr>
          <w:rFonts w:ascii="Times New Roman" w:hAnsi="Times New Roman"/>
          <w:sz w:val="24"/>
        </w:rPr>
        <w:t xml:space="preserve"> D</w:t>
      </w:r>
      <w:r>
        <w:rPr>
          <w:rFonts w:ascii="Times New Roman" w:hAnsi="Times New Roman"/>
          <w:sz w:val="24"/>
        </w:rPr>
        <w:t xml:space="preserve">evelopment; and to give effect to the order, the court directed that </w:t>
      </w:r>
      <w:r w:rsidR="00333ED3">
        <w:rPr>
          <w:rFonts w:ascii="Times New Roman" w:hAnsi="Times New Roman"/>
          <w:sz w:val="24"/>
        </w:rPr>
        <w:t>Roadstone</w:t>
      </w:r>
      <w:r>
        <w:rPr>
          <w:rFonts w:ascii="Times New Roman" w:hAnsi="Times New Roman"/>
          <w:sz w:val="24"/>
        </w:rPr>
        <w:t xml:space="preserve"> should identify the relevant locations.  </w:t>
      </w:r>
      <w:r w:rsidR="00C55E24">
        <w:rPr>
          <w:rFonts w:ascii="Times New Roman" w:hAnsi="Times New Roman"/>
          <w:sz w:val="24"/>
        </w:rPr>
        <w:t xml:space="preserve">While the appellants initially appealed both parts of this order, i.e. firstly, the order for inspection and sampling, and, secondly the order directing </w:t>
      </w:r>
      <w:r w:rsidR="008E1D58">
        <w:rPr>
          <w:rFonts w:ascii="Times New Roman" w:hAnsi="Times New Roman"/>
          <w:sz w:val="24"/>
        </w:rPr>
        <w:t>Roadstone</w:t>
      </w:r>
      <w:r w:rsidR="00C55E24">
        <w:rPr>
          <w:rFonts w:ascii="Times New Roman" w:hAnsi="Times New Roman"/>
          <w:sz w:val="24"/>
        </w:rPr>
        <w:t xml:space="preserve"> to identify relevant locations within its quarries, they pursued the appeal in relation to the latter only</w:t>
      </w:r>
      <w:r w:rsidR="00337AD3">
        <w:rPr>
          <w:rFonts w:ascii="Times New Roman" w:hAnsi="Times New Roman"/>
          <w:sz w:val="24"/>
        </w:rPr>
        <w:t>, for reasons explained below</w:t>
      </w:r>
      <w:r w:rsidR="00C55E24">
        <w:rPr>
          <w:rFonts w:ascii="Times New Roman" w:hAnsi="Times New Roman"/>
          <w:sz w:val="24"/>
        </w:rPr>
        <w:t xml:space="preserve">. </w:t>
      </w:r>
      <w:r w:rsidR="00F34B92">
        <w:rPr>
          <w:rFonts w:ascii="Times New Roman" w:hAnsi="Times New Roman"/>
          <w:sz w:val="24"/>
        </w:rPr>
        <w:t xml:space="preserve">In granting the order, </w:t>
      </w:r>
      <w:r w:rsidR="006D4840">
        <w:rPr>
          <w:rFonts w:ascii="Times New Roman" w:hAnsi="Times New Roman"/>
          <w:sz w:val="24"/>
        </w:rPr>
        <w:t>which was perfected on 11</w:t>
      </w:r>
      <w:r w:rsidR="006D4840" w:rsidRPr="006D4840">
        <w:rPr>
          <w:rFonts w:ascii="Times New Roman" w:hAnsi="Times New Roman"/>
          <w:sz w:val="24"/>
          <w:vertAlign w:val="superscript"/>
        </w:rPr>
        <w:t>th</w:t>
      </w:r>
      <w:r w:rsidR="006D4840">
        <w:rPr>
          <w:rFonts w:ascii="Times New Roman" w:hAnsi="Times New Roman"/>
          <w:sz w:val="24"/>
        </w:rPr>
        <w:t xml:space="preserve"> April 2019, </w:t>
      </w:r>
      <w:r w:rsidR="00F34B92">
        <w:rPr>
          <w:rFonts w:ascii="Times New Roman" w:hAnsi="Times New Roman"/>
          <w:sz w:val="24"/>
        </w:rPr>
        <w:t xml:space="preserve">the </w:t>
      </w:r>
      <w:r w:rsidR="00345294">
        <w:rPr>
          <w:rFonts w:ascii="Times New Roman" w:hAnsi="Times New Roman"/>
          <w:sz w:val="24"/>
        </w:rPr>
        <w:t>c</w:t>
      </w:r>
      <w:r w:rsidR="00F34B92">
        <w:rPr>
          <w:rFonts w:ascii="Times New Roman" w:hAnsi="Times New Roman"/>
          <w:sz w:val="24"/>
        </w:rPr>
        <w:t xml:space="preserve">ourt noted an undertaking given by the respondents that, in the event that the </w:t>
      </w:r>
      <w:r w:rsidR="00345294">
        <w:rPr>
          <w:rFonts w:ascii="Times New Roman" w:hAnsi="Times New Roman"/>
          <w:sz w:val="24"/>
        </w:rPr>
        <w:t>c</w:t>
      </w:r>
      <w:r w:rsidR="00F34B92">
        <w:rPr>
          <w:rFonts w:ascii="Times New Roman" w:hAnsi="Times New Roman"/>
          <w:sz w:val="24"/>
        </w:rPr>
        <w:t xml:space="preserve">ourt should grant such orders, the respondents would not seek further orders for inspection of the quarries at </w:t>
      </w:r>
      <w:proofErr w:type="spellStart"/>
      <w:r w:rsidR="00F34B92">
        <w:rPr>
          <w:rFonts w:ascii="Times New Roman" w:hAnsi="Times New Roman"/>
          <w:sz w:val="24"/>
        </w:rPr>
        <w:t>Huntstown</w:t>
      </w:r>
      <w:proofErr w:type="spellEnd"/>
      <w:r w:rsidR="00F34B92">
        <w:rPr>
          <w:rFonts w:ascii="Times New Roman" w:hAnsi="Times New Roman"/>
          <w:sz w:val="24"/>
        </w:rPr>
        <w:t xml:space="preserve">, Belgard or </w:t>
      </w:r>
      <w:proofErr w:type="spellStart"/>
      <w:r w:rsidR="00F34B92">
        <w:rPr>
          <w:rFonts w:ascii="Times New Roman" w:hAnsi="Times New Roman"/>
          <w:sz w:val="24"/>
        </w:rPr>
        <w:t>Feltrim</w:t>
      </w:r>
      <w:proofErr w:type="spellEnd"/>
      <w:r w:rsidR="00F34B92">
        <w:rPr>
          <w:rFonts w:ascii="Times New Roman" w:hAnsi="Times New Roman"/>
          <w:sz w:val="24"/>
        </w:rPr>
        <w:t>, either in these proceedings or in the subrogated proceedings.</w:t>
      </w:r>
    </w:p>
    <w:p w14:paraId="202EB7FA" w14:textId="2D63A931" w:rsidR="00524451" w:rsidRPr="00524451" w:rsidRDefault="00337AD3"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w:t>
      </w:r>
      <w:r w:rsidR="00C55E24">
        <w:rPr>
          <w:rFonts w:ascii="Times New Roman" w:hAnsi="Times New Roman"/>
          <w:sz w:val="24"/>
        </w:rPr>
        <w:t xml:space="preserve">here was one other dimension to the appeal before this Court. </w:t>
      </w:r>
      <w:r w:rsidR="00524451">
        <w:rPr>
          <w:rFonts w:ascii="Times New Roman" w:hAnsi="Times New Roman"/>
          <w:sz w:val="24"/>
        </w:rPr>
        <w:t>At para. 25 of her judgment, the trial judge made remarks about the conduct of the appellants</w:t>
      </w:r>
      <w:r w:rsidR="007F7275">
        <w:rPr>
          <w:rFonts w:ascii="Times New Roman" w:hAnsi="Times New Roman"/>
          <w:sz w:val="24"/>
        </w:rPr>
        <w:t xml:space="preserve"> in the proceedings</w:t>
      </w:r>
      <w:r w:rsidR="00524451">
        <w:rPr>
          <w:rFonts w:ascii="Times New Roman" w:hAnsi="Times New Roman"/>
          <w:sz w:val="24"/>
        </w:rPr>
        <w:t xml:space="preserve">, which </w:t>
      </w:r>
      <w:r w:rsidR="007F7275">
        <w:rPr>
          <w:rFonts w:ascii="Times New Roman" w:hAnsi="Times New Roman"/>
          <w:sz w:val="24"/>
        </w:rPr>
        <w:t xml:space="preserve">remarks </w:t>
      </w:r>
      <w:r w:rsidR="00524451">
        <w:rPr>
          <w:rFonts w:ascii="Times New Roman" w:hAnsi="Times New Roman"/>
          <w:sz w:val="24"/>
        </w:rPr>
        <w:t xml:space="preserve">have given rise to a specific ground of appeal.  </w:t>
      </w:r>
      <w:r w:rsidR="007F7275">
        <w:rPr>
          <w:rFonts w:ascii="Times New Roman" w:hAnsi="Times New Roman"/>
          <w:sz w:val="24"/>
        </w:rPr>
        <w:t>In</w:t>
      </w:r>
      <w:r w:rsidR="00524451">
        <w:rPr>
          <w:rFonts w:ascii="Times New Roman" w:hAnsi="Times New Roman"/>
          <w:sz w:val="24"/>
        </w:rPr>
        <w:t xml:space="preserve"> order to address this ground, it is necessary to quote this paragraph in full:</w:t>
      </w:r>
    </w:p>
    <w:p w14:paraId="3BE2B367" w14:textId="635E8867" w:rsidR="00913FEC" w:rsidRDefault="00524451"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0A71B1">
        <w:rPr>
          <w:rFonts w:ascii="Times New Roman" w:hAnsi="Times New Roman"/>
          <w:i/>
          <w:iCs/>
          <w:sz w:val="24"/>
        </w:rPr>
        <w:t xml:space="preserve">25.  This court first became involved in the case management of these proceedings in May, 2017, when it first heard the plaintiff’s application for inspection pursuant to O. 50, r. 4. At that point, the pleadings were at the stage where the statement of claim had been served. In the period since then, the only progress made in the substantive claim has been to have the defences delivered and the pleadings closed. This is despite the fact that the case has been before the court on 25 occasions in that period. There have been nine mention dates, three judgment dates and a full 13 hearing days. The hearing days have been spent essentially dealing in one form or another, with Roadstone’s objections to the progression of this claim. The court has a growing impression that Roadstone is deploying a strategy to hinder, impede and delay the progress of this </w:t>
      </w:r>
      <w:r w:rsidRPr="000A71B1">
        <w:rPr>
          <w:rFonts w:ascii="Times New Roman" w:hAnsi="Times New Roman"/>
          <w:i/>
          <w:iCs/>
          <w:sz w:val="24"/>
        </w:rPr>
        <w:lastRenderedPageBreak/>
        <w:t>claim by any lawful means at its disposal. In our adversarial system of civil litigation well-resourced litigants can quite readily clog the system with multiple applications, should they choose to do so. Just because they can, does not mean they should or that they should be permitted to do so. Courts must be vigilant to ensure, as best they can, that their scarce resources which are provided for the benefit of society at large, are not monopolised or disproportionately used to serve the ends of wealthy litigants, whose interest may be to hinder or impede litigation rather than ensuring its efficient and economical conduct.</w:t>
      </w:r>
      <w:r>
        <w:rPr>
          <w:rFonts w:ascii="Times New Roman" w:hAnsi="Times New Roman"/>
          <w:sz w:val="24"/>
        </w:rPr>
        <w:t>”</w:t>
      </w:r>
    </w:p>
    <w:p w14:paraId="34EF1540" w14:textId="30CF34B2" w:rsidR="005871AA" w:rsidRPr="008C206F" w:rsidRDefault="005871AA"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order of the High Court was </w:t>
      </w:r>
      <w:r w:rsidR="006D4840">
        <w:rPr>
          <w:rFonts w:ascii="Times New Roman" w:hAnsi="Times New Roman"/>
          <w:sz w:val="24"/>
        </w:rPr>
        <w:t xml:space="preserve">perfected following </w:t>
      </w:r>
      <w:r>
        <w:rPr>
          <w:rFonts w:ascii="Times New Roman" w:hAnsi="Times New Roman"/>
          <w:sz w:val="24"/>
        </w:rPr>
        <w:t xml:space="preserve">upon submissions made by the parties as regards the precise terms of the order.  So far as the locations part of the order is concerned, the appellants requested the </w:t>
      </w:r>
      <w:r w:rsidR="000A71B1">
        <w:rPr>
          <w:rFonts w:ascii="Times New Roman" w:hAnsi="Times New Roman"/>
          <w:sz w:val="24"/>
        </w:rPr>
        <w:t>c</w:t>
      </w:r>
      <w:r>
        <w:rPr>
          <w:rFonts w:ascii="Times New Roman" w:hAnsi="Times New Roman"/>
          <w:sz w:val="24"/>
        </w:rPr>
        <w:t xml:space="preserve">ourt to qualify the order so as to provide that </w:t>
      </w:r>
      <w:r w:rsidR="008E1D58">
        <w:rPr>
          <w:rFonts w:ascii="Times New Roman" w:hAnsi="Times New Roman"/>
          <w:sz w:val="24"/>
        </w:rPr>
        <w:t xml:space="preserve">Roadstone </w:t>
      </w:r>
      <w:r>
        <w:rPr>
          <w:rFonts w:ascii="Times New Roman" w:hAnsi="Times New Roman"/>
          <w:sz w:val="24"/>
        </w:rPr>
        <w:t>identify the relevant locations in the quarries “</w:t>
      </w:r>
      <w:r w:rsidRPr="000A71B1">
        <w:rPr>
          <w:rFonts w:ascii="Times New Roman" w:hAnsi="Times New Roman"/>
          <w:i/>
          <w:iCs/>
          <w:sz w:val="24"/>
        </w:rPr>
        <w:t>insofar as possible based on the documentation and information available to it</w:t>
      </w:r>
      <w:r>
        <w:rPr>
          <w:rFonts w:ascii="Times New Roman" w:hAnsi="Times New Roman"/>
          <w:sz w:val="24"/>
        </w:rPr>
        <w:t>”.  The respondents objected to the inclusion of such language in the order, and the trial judge declined to qualify the order in this way, taking the view that to do so might diminish the intended impact of the order or give rise to further dispute</w:t>
      </w:r>
      <w:r w:rsidR="003D7E86">
        <w:rPr>
          <w:rFonts w:ascii="Times New Roman" w:hAnsi="Times New Roman"/>
          <w:sz w:val="24"/>
        </w:rPr>
        <w:t xml:space="preserve"> as to whether the appellants had or had not properly identified the relevant locations, and in turn, possibly, further disputes as to the undertaking given by the respondents not to seek further inspection</w:t>
      </w:r>
      <w:r>
        <w:rPr>
          <w:rFonts w:ascii="Times New Roman" w:hAnsi="Times New Roman"/>
          <w:sz w:val="24"/>
        </w:rPr>
        <w:t xml:space="preserve">.  Instead, the trial judge gave the parties liberty to apply in relation to the inspection and sampling in case any difficulties should arise in the implementation of the order.  </w:t>
      </w:r>
    </w:p>
    <w:p w14:paraId="34E9103E" w14:textId="5B143615" w:rsidR="005871AA" w:rsidRPr="008032F6" w:rsidRDefault="005871AA"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On 3</w:t>
      </w:r>
      <w:r w:rsidRPr="008C206F">
        <w:rPr>
          <w:rFonts w:ascii="Times New Roman" w:hAnsi="Times New Roman"/>
          <w:sz w:val="24"/>
          <w:vertAlign w:val="superscript"/>
        </w:rPr>
        <w:t>rd</w:t>
      </w:r>
      <w:r>
        <w:rPr>
          <w:rFonts w:ascii="Times New Roman" w:hAnsi="Times New Roman"/>
          <w:sz w:val="24"/>
        </w:rPr>
        <w:t xml:space="preserve"> May 2019, the appellants sought a partial stay as regards only that part of the order relating to the locations in the quarries from which stone infill was extracted and supplied to the respondents for use in the </w:t>
      </w:r>
      <w:r w:rsidR="008E1D58">
        <w:rPr>
          <w:rFonts w:ascii="Times New Roman" w:hAnsi="Times New Roman"/>
          <w:sz w:val="24"/>
        </w:rPr>
        <w:t>D</w:t>
      </w:r>
      <w:r>
        <w:rPr>
          <w:rFonts w:ascii="Times New Roman" w:hAnsi="Times New Roman"/>
          <w:sz w:val="24"/>
        </w:rPr>
        <w:t xml:space="preserve">evelopment.  On the same date, </w:t>
      </w:r>
      <w:r w:rsidR="00B00EE7">
        <w:rPr>
          <w:rFonts w:ascii="Times New Roman" w:hAnsi="Times New Roman"/>
          <w:sz w:val="24"/>
        </w:rPr>
        <w:t xml:space="preserve">Roadstone </w:t>
      </w:r>
      <w:r>
        <w:rPr>
          <w:rFonts w:ascii="Times New Roman" w:hAnsi="Times New Roman"/>
          <w:sz w:val="24"/>
        </w:rPr>
        <w:t xml:space="preserve">offered to provide the respondents with blast records and extraction plans for the quarries, for the relevant periods of supply, together with delivery dockets, so that the respondents </w:t>
      </w:r>
      <w:r>
        <w:rPr>
          <w:rFonts w:ascii="Times New Roman" w:hAnsi="Times New Roman"/>
          <w:sz w:val="24"/>
        </w:rPr>
        <w:lastRenderedPageBreak/>
        <w:t>could form their own view as to the relevant locations in the quarries for the purposes of inspection.  This application was opposed by the respondents.  The trial judge granted the partial stay until the first directions hearing before this Court</w:t>
      </w:r>
      <w:r w:rsidR="00F70E57">
        <w:rPr>
          <w:rFonts w:ascii="Times New Roman" w:hAnsi="Times New Roman"/>
          <w:sz w:val="24"/>
        </w:rPr>
        <w:t xml:space="preserve">, on condition that </w:t>
      </w:r>
      <w:r w:rsidR="00333ED3">
        <w:rPr>
          <w:rFonts w:ascii="Times New Roman" w:hAnsi="Times New Roman"/>
          <w:sz w:val="24"/>
        </w:rPr>
        <w:t>Roadstone d</w:t>
      </w:r>
      <w:r w:rsidR="00F70E57">
        <w:rPr>
          <w:rFonts w:ascii="Times New Roman" w:hAnsi="Times New Roman"/>
          <w:sz w:val="24"/>
        </w:rPr>
        <w:t>eliver the aforementioned documents within a period of eight weeks from the order for inspection of 11</w:t>
      </w:r>
      <w:r w:rsidR="00F70E57" w:rsidRPr="00F70E57">
        <w:rPr>
          <w:rFonts w:ascii="Times New Roman" w:hAnsi="Times New Roman"/>
          <w:sz w:val="24"/>
          <w:vertAlign w:val="superscript"/>
        </w:rPr>
        <w:t>th</w:t>
      </w:r>
      <w:r w:rsidR="00F70E57">
        <w:rPr>
          <w:rFonts w:ascii="Times New Roman" w:hAnsi="Times New Roman"/>
          <w:sz w:val="24"/>
        </w:rPr>
        <w:t xml:space="preserve"> April 2019.</w:t>
      </w:r>
      <w:r>
        <w:rPr>
          <w:rFonts w:ascii="Times New Roman" w:hAnsi="Times New Roman"/>
          <w:sz w:val="24"/>
        </w:rPr>
        <w:t xml:space="preserve"> The stay was thereafter extended by this Court, by consent, pending the determination of this appeal.</w:t>
      </w:r>
    </w:p>
    <w:p w14:paraId="381E8C64" w14:textId="56E7C2D5" w:rsidR="00913FEC" w:rsidRPr="00524451" w:rsidRDefault="00524451" w:rsidP="0058287A">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 xml:space="preserve">Grounds of </w:t>
      </w:r>
      <w:r w:rsidR="00B61E7E">
        <w:rPr>
          <w:rFonts w:ascii="Times New Roman" w:hAnsi="Times New Roman"/>
          <w:b/>
          <w:sz w:val="24"/>
          <w:u w:val="single"/>
        </w:rPr>
        <w:t>a</w:t>
      </w:r>
      <w:r>
        <w:rPr>
          <w:rFonts w:ascii="Times New Roman" w:hAnsi="Times New Roman"/>
          <w:b/>
          <w:sz w:val="24"/>
          <w:u w:val="single"/>
        </w:rPr>
        <w:t>ppeal</w:t>
      </w:r>
    </w:p>
    <w:p w14:paraId="7766753F" w14:textId="5D3575E2" w:rsidR="00DE6D99" w:rsidRDefault="00524451"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appellants</w:t>
      </w:r>
      <w:r w:rsidR="007F7275">
        <w:rPr>
          <w:rFonts w:ascii="Times New Roman" w:hAnsi="Times New Roman"/>
          <w:sz w:val="24"/>
        </w:rPr>
        <w:t xml:space="preserve"> filed</w:t>
      </w:r>
      <w:r>
        <w:rPr>
          <w:rFonts w:ascii="Times New Roman" w:hAnsi="Times New Roman"/>
          <w:sz w:val="24"/>
        </w:rPr>
        <w:t xml:space="preserve"> a notice of appeal on 21</w:t>
      </w:r>
      <w:r w:rsidRPr="00524451">
        <w:rPr>
          <w:rFonts w:ascii="Times New Roman" w:hAnsi="Times New Roman"/>
          <w:sz w:val="24"/>
          <w:vertAlign w:val="superscript"/>
        </w:rPr>
        <w:t>st</w:t>
      </w:r>
      <w:r>
        <w:rPr>
          <w:rFonts w:ascii="Times New Roman" w:hAnsi="Times New Roman"/>
          <w:sz w:val="24"/>
        </w:rPr>
        <w:t xml:space="preserve"> June 2019.  While they initially appealed from the order as a whole</w:t>
      </w:r>
      <w:r w:rsidR="000A71B1">
        <w:rPr>
          <w:rFonts w:ascii="Times New Roman" w:hAnsi="Times New Roman"/>
          <w:sz w:val="24"/>
        </w:rPr>
        <w:t>,</w:t>
      </w:r>
      <w:r>
        <w:rPr>
          <w:rFonts w:ascii="Times New Roman" w:hAnsi="Times New Roman"/>
          <w:sz w:val="24"/>
        </w:rPr>
        <w:t xml:space="preserve"> i.e. the order directing entry, inspection, taking samples and identification of locations on the lands of </w:t>
      </w:r>
      <w:r w:rsidR="00333ED3">
        <w:rPr>
          <w:rFonts w:ascii="Times New Roman" w:hAnsi="Times New Roman"/>
          <w:sz w:val="24"/>
        </w:rPr>
        <w:t xml:space="preserve">Roadstone </w:t>
      </w:r>
      <w:r>
        <w:rPr>
          <w:rFonts w:ascii="Times New Roman" w:hAnsi="Times New Roman"/>
          <w:sz w:val="24"/>
        </w:rPr>
        <w:t xml:space="preserve">from which stone was extracted and supplied to the </w:t>
      </w:r>
      <w:r w:rsidR="00634A24">
        <w:rPr>
          <w:rFonts w:ascii="Times New Roman" w:hAnsi="Times New Roman"/>
          <w:sz w:val="24"/>
        </w:rPr>
        <w:t>respondent</w:t>
      </w:r>
      <w:r>
        <w:rPr>
          <w:rFonts w:ascii="Times New Roman" w:hAnsi="Times New Roman"/>
          <w:sz w:val="24"/>
        </w:rPr>
        <w:t>s,</w:t>
      </w:r>
      <w:r w:rsidR="00634A24">
        <w:rPr>
          <w:rFonts w:ascii="Times New Roman" w:hAnsi="Times New Roman"/>
          <w:sz w:val="24"/>
        </w:rPr>
        <w:t xml:space="preserve"> as I mentioned above,</w:t>
      </w:r>
      <w:r>
        <w:rPr>
          <w:rFonts w:ascii="Times New Roman" w:hAnsi="Times New Roman"/>
          <w:sz w:val="24"/>
        </w:rPr>
        <w:t xml:space="preserve"> at the hearing of the appeal before this Court, the appellants pursued</w:t>
      </w:r>
      <w:r w:rsidR="00E44A2A">
        <w:rPr>
          <w:rFonts w:ascii="Times New Roman" w:hAnsi="Times New Roman"/>
          <w:sz w:val="24"/>
        </w:rPr>
        <w:t xml:space="preserve"> only</w:t>
      </w:r>
      <w:r>
        <w:rPr>
          <w:rFonts w:ascii="Times New Roman" w:hAnsi="Times New Roman"/>
          <w:sz w:val="24"/>
        </w:rPr>
        <w:t xml:space="preserve"> </w:t>
      </w:r>
      <w:r w:rsidR="00E44A2A">
        <w:rPr>
          <w:rFonts w:ascii="Times New Roman" w:hAnsi="Times New Roman"/>
          <w:sz w:val="24"/>
        </w:rPr>
        <w:t xml:space="preserve">that part of the appeal relating to the </w:t>
      </w:r>
      <w:r>
        <w:rPr>
          <w:rFonts w:ascii="Times New Roman" w:hAnsi="Times New Roman"/>
          <w:sz w:val="24"/>
        </w:rPr>
        <w:t>last mentioned part of the order</w:t>
      </w:r>
      <w:r w:rsidR="000A71B1">
        <w:rPr>
          <w:rFonts w:ascii="Times New Roman" w:hAnsi="Times New Roman"/>
          <w:sz w:val="24"/>
        </w:rPr>
        <w:t>,</w:t>
      </w:r>
      <w:r>
        <w:rPr>
          <w:rFonts w:ascii="Times New Roman" w:hAnsi="Times New Roman"/>
          <w:sz w:val="24"/>
        </w:rPr>
        <w:t xml:space="preserve"> i.e. that part requiring </w:t>
      </w:r>
      <w:r w:rsidR="00333ED3">
        <w:rPr>
          <w:rFonts w:ascii="Times New Roman" w:hAnsi="Times New Roman"/>
          <w:sz w:val="24"/>
        </w:rPr>
        <w:t>Roadstone</w:t>
      </w:r>
      <w:r>
        <w:rPr>
          <w:rFonts w:ascii="Times New Roman" w:hAnsi="Times New Roman"/>
          <w:sz w:val="24"/>
        </w:rPr>
        <w:t xml:space="preserve"> to identify locations from which stone was extracted and supplied </w:t>
      </w:r>
      <w:r w:rsidR="00A636B1">
        <w:rPr>
          <w:rFonts w:ascii="Times New Roman" w:hAnsi="Times New Roman"/>
          <w:sz w:val="24"/>
        </w:rPr>
        <w:t>to</w:t>
      </w:r>
      <w:r>
        <w:rPr>
          <w:rFonts w:ascii="Times New Roman" w:hAnsi="Times New Roman"/>
          <w:sz w:val="24"/>
        </w:rPr>
        <w:t xml:space="preserve"> the </w:t>
      </w:r>
      <w:r w:rsidR="00A636B1">
        <w:rPr>
          <w:rFonts w:ascii="Times New Roman" w:hAnsi="Times New Roman"/>
          <w:sz w:val="24"/>
        </w:rPr>
        <w:t>respondent</w:t>
      </w:r>
      <w:r w:rsidR="000B66DD">
        <w:rPr>
          <w:rFonts w:ascii="Times New Roman" w:hAnsi="Times New Roman"/>
          <w:sz w:val="24"/>
        </w:rPr>
        <w:t>s</w:t>
      </w:r>
      <w:r w:rsidR="00647852">
        <w:rPr>
          <w:rFonts w:ascii="Times New Roman" w:hAnsi="Times New Roman"/>
          <w:sz w:val="24"/>
        </w:rPr>
        <w:t xml:space="preserve"> for use in the D</w:t>
      </w:r>
      <w:r w:rsidR="00333ED3">
        <w:rPr>
          <w:rFonts w:ascii="Times New Roman" w:hAnsi="Times New Roman"/>
          <w:sz w:val="24"/>
        </w:rPr>
        <w:t>ev</w:t>
      </w:r>
      <w:r w:rsidR="004155C0">
        <w:rPr>
          <w:rFonts w:ascii="Times New Roman" w:hAnsi="Times New Roman"/>
          <w:sz w:val="24"/>
        </w:rPr>
        <w:t>e</w:t>
      </w:r>
      <w:r w:rsidR="00333ED3">
        <w:rPr>
          <w:rFonts w:ascii="Times New Roman" w:hAnsi="Times New Roman"/>
          <w:sz w:val="24"/>
        </w:rPr>
        <w:t>lopment</w:t>
      </w:r>
      <w:r>
        <w:rPr>
          <w:rFonts w:ascii="Times New Roman" w:hAnsi="Times New Roman"/>
          <w:sz w:val="24"/>
        </w:rPr>
        <w:t xml:space="preserve">.  This was </w:t>
      </w:r>
      <w:r w:rsidR="000B66DD">
        <w:rPr>
          <w:rFonts w:ascii="Times New Roman" w:hAnsi="Times New Roman"/>
          <w:sz w:val="24"/>
        </w:rPr>
        <w:t>because</w:t>
      </w:r>
      <w:r>
        <w:rPr>
          <w:rFonts w:ascii="Times New Roman" w:hAnsi="Times New Roman"/>
          <w:sz w:val="24"/>
        </w:rPr>
        <w:t xml:space="preserve">, in the intervening period, by </w:t>
      </w:r>
      <w:r w:rsidR="000B66DD">
        <w:rPr>
          <w:rFonts w:ascii="Times New Roman" w:hAnsi="Times New Roman"/>
          <w:sz w:val="24"/>
        </w:rPr>
        <w:t>arrangement</w:t>
      </w:r>
      <w:r>
        <w:rPr>
          <w:rFonts w:ascii="Times New Roman" w:hAnsi="Times New Roman"/>
          <w:sz w:val="24"/>
        </w:rPr>
        <w:t xml:space="preserve"> between the parties, </w:t>
      </w:r>
      <w:r w:rsidR="00333ED3">
        <w:rPr>
          <w:rFonts w:ascii="Times New Roman" w:hAnsi="Times New Roman"/>
          <w:sz w:val="24"/>
        </w:rPr>
        <w:t>Roadstone</w:t>
      </w:r>
      <w:r w:rsidR="00DE6D99">
        <w:rPr>
          <w:rFonts w:ascii="Times New Roman" w:hAnsi="Times New Roman"/>
          <w:sz w:val="24"/>
        </w:rPr>
        <w:t xml:space="preserve"> made available to the </w:t>
      </w:r>
      <w:r w:rsidR="00333ED3">
        <w:rPr>
          <w:rFonts w:ascii="Times New Roman" w:hAnsi="Times New Roman"/>
          <w:sz w:val="24"/>
        </w:rPr>
        <w:t>respondent</w:t>
      </w:r>
      <w:r w:rsidR="00DE6D99">
        <w:rPr>
          <w:rFonts w:ascii="Times New Roman" w:hAnsi="Times New Roman"/>
          <w:sz w:val="24"/>
        </w:rPr>
        <w:t xml:space="preserve">s </w:t>
      </w:r>
      <w:r w:rsidR="00333ED3">
        <w:rPr>
          <w:rFonts w:ascii="Times New Roman" w:hAnsi="Times New Roman"/>
          <w:sz w:val="24"/>
        </w:rPr>
        <w:t>its</w:t>
      </w:r>
      <w:r w:rsidR="00DE6D99">
        <w:rPr>
          <w:rFonts w:ascii="Times New Roman" w:hAnsi="Times New Roman"/>
          <w:sz w:val="24"/>
        </w:rPr>
        <w:t xml:space="preserve"> blast records</w:t>
      </w:r>
      <w:r w:rsidR="00333ED3">
        <w:rPr>
          <w:rFonts w:ascii="Times New Roman" w:hAnsi="Times New Roman"/>
          <w:sz w:val="24"/>
        </w:rPr>
        <w:t>,</w:t>
      </w:r>
      <w:r w:rsidR="00DE6D99">
        <w:rPr>
          <w:rFonts w:ascii="Times New Roman" w:hAnsi="Times New Roman"/>
          <w:sz w:val="24"/>
        </w:rPr>
        <w:t xml:space="preserve"> delivery dockets</w:t>
      </w:r>
      <w:r w:rsidR="00333ED3">
        <w:rPr>
          <w:rFonts w:ascii="Times New Roman" w:hAnsi="Times New Roman"/>
          <w:sz w:val="24"/>
        </w:rPr>
        <w:t xml:space="preserve"> an</w:t>
      </w:r>
      <w:r w:rsidR="000A71B1">
        <w:rPr>
          <w:rFonts w:ascii="Times New Roman" w:hAnsi="Times New Roman"/>
          <w:sz w:val="24"/>
        </w:rPr>
        <w:t>d</w:t>
      </w:r>
      <w:r w:rsidR="00333ED3">
        <w:rPr>
          <w:rFonts w:ascii="Times New Roman" w:hAnsi="Times New Roman"/>
          <w:sz w:val="24"/>
        </w:rPr>
        <w:t xml:space="preserve"> extraction plans (i.e. those relating to the materials supplied by it to the respondents in the relevant period)</w:t>
      </w:r>
      <w:r w:rsidR="00DE6D99">
        <w:rPr>
          <w:rFonts w:ascii="Times New Roman" w:hAnsi="Times New Roman"/>
          <w:sz w:val="24"/>
        </w:rPr>
        <w:t xml:space="preserve">, and thereafter facilitated the </w:t>
      </w:r>
      <w:r w:rsidR="00333ED3">
        <w:rPr>
          <w:rFonts w:ascii="Times New Roman" w:hAnsi="Times New Roman"/>
          <w:sz w:val="24"/>
        </w:rPr>
        <w:t>respondent</w:t>
      </w:r>
      <w:r w:rsidR="00DE6D99">
        <w:rPr>
          <w:rFonts w:ascii="Times New Roman" w:hAnsi="Times New Roman"/>
          <w:sz w:val="24"/>
        </w:rPr>
        <w:t xml:space="preserve">s with entry and inspection of </w:t>
      </w:r>
      <w:r w:rsidR="00333ED3">
        <w:rPr>
          <w:rFonts w:ascii="Times New Roman" w:hAnsi="Times New Roman"/>
          <w:sz w:val="24"/>
        </w:rPr>
        <w:t xml:space="preserve">its quarries at </w:t>
      </w:r>
      <w:proofErr w:type="spellStart"/>
      <w:r w:rsidR="00333ED3">
        <w:rPr>
          <w:rFonts w:ascii="Times New Roman" w:hAnsi="Times New Roman"/>
          <w:sz w:val="24"/>
        </w:rPr>
        <w:t>Huntstown</w:t>
      </w:r>
      <w:proofErr w:type="spellEnd"/>
      <w:r w:rsidR="00333ED3">
        <w:rPr>
          <w:rFonts w:ascii="Times New Roman" w:hAnsi="Times New Roman"/>
          <w:sz w:val="24"/>
        </w:rPr>
        <w:t xml:space="preserve">, Belgard and </w:t>
      </w:r>
      <w:proofErr w:type="spellStart"/>
      <w:r w:rsidR="00333ED3">
        <w:rPr>
          <w:rFonts w:ascii="Times New Roman" w:hAnsi="Times New Roman"/>
          <w:sz w:val="24"/>
        </w:rPr>
        <w:t>Feltrim</w:t>
      </w:r>
      <w:proofErr w:type="spellEnd"/>
      <w:r w:rsidR="00DE6D99">
        <w:rPr>
          <w:rFonts w:ascii="Times New Roman" w:hAnsi="Times New Roman"/>
          <w:sz w:val="24"/>
        </w:rPr>
        <w:t xml:space="preserve">, and the taking of samples.  At the hearing of this appeal, the </w:t>
      </w:r>
      <w:r w:rsidR="00AC3908">
        <w:rPr>
          <w:rFonts w:ascii="Times New Roman" w:hAnsi="Times New Roman"/>
          <w:sz w:val="24"/>
        </w:rPr>
        <w:t>respondent</w:t>
      </w:r>
      <w:r w:rsidR="00DE6D99">
        <w:rPr>
          <w:rFonts w:ascii="Times New Roman" w:hAnsi="Times New Roman"/>
          <w:sz w:val="24"/>
        </w:rPr>
        <w:t>s confirmed that</w:t>
      </w:r>
      <w:r w:rsidR="00AC3908">
        <w:rPr>
          <w:rFonts w:ascii="Times New Roman" w:hAnsi="Times New Roman"/>
          <w:sz w:val="24"/>
        </w:rPr>
        <w:t>,</w:t>
      </w:r>
      <w:r w:rsidR="00DE6D99">
        <w:rPr>
          <w:rFonts w:ascii="Times New Roman" w:hAnsi="Times New Roman"/>
          <w:sz w:val="24"/>
        </w:rPr>
        <w:t xml:space="preserve"> with the </w:t>
      </w:r>
      <w:r w:rsidR="00AC3908">
        <w:rPr>
          <w:rFonts w:ascii="Times New Roman" w:hAnsi="Times New Roman"/>
          <w:sz w:val="24"/>
        </w:rPr>
        <w:t xml:space="preserve">use of the </w:t>
      </w:r>
      <w:r w:rsidR="00DE6D99">
        <w:rPr>
          <w:rFonts w:ascii="Times New Roman" w:hAnsi="Times New Roman"/>
          <w:sz w:val="24"/>
        </w:rPr>
        <w:t xml:space="preserve">documentation provided by </w:t>
      </w:r>
      <w:r w:rsidR="00333ED3">
        <w:rPr>
          <w:rFonts w:ascii="Times New Roman" w:hAnsi="Times New Roman"/>
          <w:sz w:val="24"/>
        </w:rPr>
        <w:t>Roadstone,</w:t>
      </w:r>
      <w:r w:rsidR="00DE6D99">
        <w:rPr>
          <w:rFonts w:ascii="Times New Roman" w:hAnsi="Times New Roman"/>
          <w:sz w:val="24"/>
        </w:rPr>
        <w:t xml:space="preserve"> they had satisfied themselves as to the likely identification of the locations within the</w:t>
      </w:r>
      <w:r w:rsidR="004155C0">
        <w:rPr>
          <w:rFonts w:ascii="Times New Roman" w:hAnsi="Times New Roman"/>
          <w:sz w:val="24"/>
        </w:rPr>
        <w:t xml:space="preserve"> Roadstone</w:t>
      </w:r>
      <w:r w:rsidR="00DE6D99">
        <w:rPr>
          <w:rFonts w:ascii="Times New Roman" w:hAnsi="Times New Roman"/>
          <w:sz w:val="24"/>
        </w:rPr>
        <w:t xml:space="preserve"> quarries from which material was extracted and supplied to the </w:t>
      </w:r>
      <w:r w:rsidR="00AC3908">
        <w:rPr>
          <w:rFonts w:ascii="Times New Roman" w:hAnsi="Times New Roman"/>
          <w:sz w:val="24"/>
        </w:rPr>
        <w:t>respondent</w:t>
      </w:r>
      <w:r w:rsidR="00DE6D99">
        <w:rPr>
          <w:rFonts w:ascii="Times New Roman" w:hAnsi="Times New Roman"/>
          <w:sz w:val="24"/>
        </w:rPr>
        <w:t>s, and thereafter</w:t>
      </w:r>
      <w:r w:rsidR="00647852">
        <w:rPr>
          <w:rFonts w:ascii="Times New Roman" w:hAnsi="Times New Roman"/>
          <w:sz w:val="24"/>
        </w:rPr>
        <w:t>, and following agreement on an inspection protocol between the parties, they</w:t>
      </w:r>
      <w:r w:rsidR="00DE6D99">
        <w:rPr>
          <w:rFonts w:ascii="Times New Roman" w:hAnsi="Times New Roman"/>
          <w:sz w:val="24"/>
        </w:rPr>
        <w:t xml:space="preserve"> had </w:t>
      </w:r>
      <w:r w:rsidR="004155C0">
        <w:rPr>
          <w:rFonts w:ascii="Times New Roman" w:hAnsi="Times New Roman"/>
          <w:sz w:val="24"/>
        </w:rPr>
        <w:t>been</w:t>
      </w:r>
      <w:r w:rsidR="00647852">
        <w:rPr>
          <w:rFonts w:ascii="Times New Roman" w:hAnsi="Times New Roman"/>
          <w:sz w:val="24"/>
        </w:rPr>
        <w:t xml:space="preserve"> able </w:t>
      </w:r>
      <w:r w:rsidR="00DE6D99">
        <w:rPr>
          <w:rFonts w:ascii="Times New Roman" w:hAnsi="Times New Roman"/>
          <w:sz w:val="24"/>
        </w:rPr>
        <w:t xml:space="preserve">to inspect the relevant locations at the quarries and take such samples as they required.  The </w:t>
      </w:r>
      <w:r w:rsidR="00AC3908">
        <w:rPr>
          <w:rFonts w:ascii="Times New Roman" w:hAnsi="Times New Roman"/>
          <w:sz w:val="24"/>
        </w:rPr>
        <w:t>respondent</w:t>
      </w:r>
      <w:r w:rsidR="00DE6D99">
        <w:rPr>
          <w:rFonts w:ascii="Times New Roman" w:hAnsi="Times New Roman"/>
          <w:sz w:val="24"/>
        </w:rPr>
        <w:t xml:space="preserve">s confirmed to the </w:t>
      </w:r>
      <w:r w:rsidR="00825D36">
        <w:rPr>
          <w:rFonts w:ascii="Times New Roman" w:hAnsi="Times New Roman"/>
          <w:sz w:val="24"/>
        </w:rPr>
        <w:t>C</w:t>
      </w:r>
      <w:r w:rsidR="00DE6D99">
        <w:rPr>
          <w:rFonts w:ascii="Times New Roman" w:hAnsi="Times New Roman"/>
          <w:sz w:val="24"/>
        </w:rPr>
        <w:t xml:space="preserve">ourt that they had no ongoing need to enter upon </w:t>
      </w:r>
      <w:r w:rsidR="004155C0">
        <w:rPr>
          <w:rFonts w:ascii="Times New Roman" w:hAnsi="Times New Roman"/>
          <w:sz w:val="24"/>
        </w:rPr>
        <w:t>Roadstone’s</w:t>
      </w:r>
      <w:r w:rsidR="00DE6D99">
        <w:rPr>
          <w:rFonts w:ascii="Times New Roman" w:hAnsi="Times New Roman"/>
          <w:sz w:val="24"/>
        </w:rPr>
        <w:t xml:space="preserve"> lands, and </w:t>
      </w:r>
      <w:r w:rsidR="004155C0">
        <w:rPr>
          <w:rFonts w:ascii="Times New Roman" w:hAnsi="Times New Roman"/>
          <w:sz w:val="24"/>
        </w:rPr>
        <w:t xml:space="preserve">furthermore </w:t>
      </w:r>
      <w:r w:rsidR="00DE6D99">
        <w:rPr>
          <w:rFonts w:ascii="Times New Roman" w:hAnsi="Times New Roman"/>
          <w:sz w:val="24"/>
        </w:rPr>
        <w:lastRenderedPageBreak/>
        <w:t xml:space="preserve">that they would not again need to enter upon </w:t>
      </w:r>
      <w:r w:rsidR="004155C0">
        <w:rPr>
          <w:rFonts w:ascii="Times New Roman" w:hAnsi="Times New Roman"/>
          <w:sz w:val="24"/>
        </w:rPr>
        <w:t>its</w:t>
      </w:r>
      <w:r w:rsidR="00DE6D99">
        <w:rPr>
          <w:rFonts w:ascii="Times New Roman" w:hAnsi="Times New Roman"/>
          <w:sz w:val="24"/>
        </w:rPr>
        <w:t xml:space="preserve"> lands for the purposes of these proceedings.  </w:t>
      </w:r>
      <w:r w:rsidR="00292D09">
        <w:rPr>
          <w:rFonts w:ascii="Times New Roman" w:hAnsi="Times New Roman"/>
          <w:sz w:val="24"/>
        </w:rPr>
        <w:t xml:space="preserve">In response to a specific question from the Court as to whether the respondents accepted that </w:t>
      </w:r>
      <w:r w:rsidR="004155C0">
        <w:rPr>
          <w:rFonts w:ascii="Times New Roman" w:hAnsi="Times New Roman"/>
          <w:sz w:val="24"/>
        </w:rPr>
        <w:t>Roadstone</w:t>
      </w:r>
      <w:r w:rsidR="00292D09">
        <w:rPr>
          <w:rFonts w:ascii="Times New Roman" w:hAnsi="Times New Roman"/>
          <w:sz w:val="24"/>
        </w:rPr>
        <w:t xml:space="preserve"> had complied with the locations part of the order, counsel for the respondents confirmed that they did so accept, on the basis that </w:t>
      </w:r>
      <w:r w:rsidR="004155C0">
        <w:rPr>
          <w:rFonts w:ascii="Times New Roman" w:hAnsi="Times New Roman"/>
          <w:sz w:val="24"/>
        </w:rPr>
        <w:t>Roadstone</w:t>
      </w:r>
      <w:r w:rsidR="00292D09">
        <w:rPr>
          <w:rFonts w:ascii="Times New Roman" w:hAnsi="Times New Roman"/>
          <w:sz w:val="24"/>
        </w:rPr>
        <w:t xml:space="preserve"> had provided an affidavit to say that they could do no more to identify the relevant locations in </w:t>
      </w:r>
      <w:r w:rsidR="004155C0">
        <w:rPr>
          <w:rFonts w:ascii="Times New Roman" w:hAnsi="Times New Roman"/>
          <w:sz w:val="24"/>
        </w:rPr>
        <w:t>its</w:t>
      </w:r>
      <w:r w:rsidR="00292D09">
        <w:rPr>
          <w:rFonts w:ascii="Times New Roman" w:hAnsi="Times New Roman"/>
          <w:sz w:val="24"/>
        </w:rPr>
        <w:t xml:space="preserve"> quarries.</w:t>
      </w:r>
      <w:r w:rsidR="004155C0">
        <w:rPr>
          <w:rFonts w:ascii="Times New Roman" w:hAnsi="Times New Roman"/>
          <w:sz w:val="24"/>
        </w:rPr>
        <w:t xml:space="preserve"> This was a reference to an affidavit sworn by </w:t>
      </w:r>
      <w:r w:rsidR="00A173DE">
        <w:rPr>
          <w:rFonts w:ascii="Times New Roman" w:hAnsi="Times New Roman"/>
          <w:sz w:val="24"/>
        </w:rPr>
        <w:t xml:space="preserve">a </w:t>
      </w:r>
      <w:r w:rsidR="004155C0">
        <w:rPr>
          <w:rFonts w:ascii="Times New Roman" w:hAnsi="Times New Roman"/>
          <w:sz w:val="24"/>
        </w:rPr>
        <w:t>Mr.</w:t>
      </w:r>
      <w:r w:rsidR="00825D36">
        <w:rPr>
          <w:rFonts w:ascii="Times New Roman" w:hAnsi="Times New Roman"/>
          <w:sz w:val="24"/>
        </w:rPr>
        <w:t xml:space="preserve"> </w:t>
      </w:r>
      <w:r w:rsidR="004155C0">
        <w:rPr>
          <w:rFonts w:ascii="Times New Roman" w:hAnsi="Times New Roman"/>
          <w:sz w:val="24"/>
        </w:rPr>
        <w:t>John Glynn</w:t>
      </w:r>
      <w:r w:rsidR="00B32F3C">
        <w:rPr>
          <w:rFonts w:ascii="Times New Roman" w:hAnsi="Times New Roman"/>
          <w:sz w:val="24"/>
        </w:rPr>
        <w:t xml:space="preserve">, </w:t>
      </w:r>
      <w:r w:rsidR="00C85679">
        <w:rPr>
          <w:rFonts w:ascii="Times New Roman" w:hAnsi="Times New Roman"/>
          <w:sz w:val="24"/>
        </w:rPr>
        <w:t xml:space="preserve">Strategic Operations Manager </w:t>
      </w:r>
      <w:r w:rsidR="00B32F3C">
        <w:rPr>
          <w:rFonts w:ascii="Times New Roman" w:hAnsi="Times New Roman"/>
          <w:sz w:val="24"/>
        </w:rPr>
        <w:t xml:space="preserve">of Roadstone, </w:t>
      </w:r>
      <w:r w:rsidR="004155C0">
        <w:rPr>
          <w:rFonts w:ascii="Times New Roman" w:hAnsi="Times New Roman"/>
          <w:sz w:val="24"/>
        </w:rPr>
        <w:t>sworn by him</w:t>
      </w:r>
      <w:r w:rsidR="00B32F3C">
        <w:rPr>
          <w:rFonts w:ascii="Times New Roman" w:hAnsi="Times New Roman"/>
          <w:sz w:val="24"/>
        </w:rPr>
        <w:t xml:space="preserve"> </w:t>
      </w:r>
      <w:r w:rsidR="004155C0">
        <w:rPr>
          <w:rFonts w:ascii="Times New Roman" w:hAnsi="Times New Roman"/>
          <w:sz w:val="24"/>
        </w:rPr>
        <w:t>for the purpose of this appeal.</w:t>
      </w:r>
    </w:p>
    <w:p w14:paraId="30ACE966" w14:textId="447C65C8" w:rsidR="00DE6D99" w:rsidRDefault="009850AB"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grounds of appeal </w:t>
      </w:r>
      <w:r w:rsidR="00DE6D99">
        <w:rPr>
          <w:rFonts w:ascii="Times New Roman" w:hAnsi="Times New Roman"/>
          <w:sz w:val="24"/>
        </w:rPr>
        <w:t>may be summarised as follows:</w:t>
      </w:r>
    </w:p>
    <w:p w14:paraId="7482BD1A" w14:textId="753588E5" w:rsidR="00DE6D99" w:rsidRDefault="00DE6D99" w:rsidP="0058287A">
      <w:pPr>
        <w:pStyle w:val="ListParagraph"/>
        <w:numPr>
          <w:ilvl w:val="0"/>
          <w:numId w:val="2"/>
        </w:numPr>
        <w:tabs>
          <w:tab w:val="left" w:pos="567"/>
        </w:tabs>
        <w:spacing w:line="480" w:lineRule="auto"/>
        <w:ind w:left="1134" w:hanging="567"/>
        <w:rPr>
          <w:rFonts w:ascii="Times New Roman" w:hAnsi="Times New Roman"/>
          <w:sz w:val="24"/>
        </w:rPr>
      </w:pPr>
      <w:r>
        <w:rPr>
          <w:rFonts w:ascii="Times New Roman" w:hAnsi="Times New Roman"/>
          <w:sz w:val="24"/>
        </w:rPr>
        <w:t>O.</w:t>
      </w:r>
      <w:r w:rsidR="00825D36">
        <w:rPr>
          <w:rFonts w:ascii="Times New Roman" w:hAnsi="Times New Roman"/>
          <w:sz w:val="24"/>
        </w:rPr>
        <w:t xml:space="preserve"> </w:t>
      </w:r>
      <w:r>
        <w:rPr>
          <w:rFonts w:ascii="Times New Roman" w:hAnsi="Times New Roman"/>
          <w:sz w:val="24"/>
        </w:rPr>
        <w:t>50, r.</w:t>
      </w:r>
      <w:r w:rsidR="00825D36">
        <w:rPr>
          <w:rFonts w:ascii="Times New Roman" w:hAnsi="Times New Roman"/>
          <w:sz w:val="24"/>
        </w:rPr>
        <w:t xml:space="preserve"> </w:t>
      </w:r>
      <w:r>
        <w:rPr>
          <w:rFonts w:ascii="Times New Roman" w:hAnsi="Times New Roman"/>
          <w:sz w:val="24"/>
        </w:rPr>
        <w:t xml:space="preserve">4 </w:t>
      </w:r>
      <w:r w:rsidR="00825D36">
        <w:rPr>
          <w:rFonts w:ascii="Times New Roman" w:hAnsi="Times New Roman"/>
          <w:sz w:val="24"/>
        </w:rPr>
        <w:t>RSC</w:t>
      </w:r>
      <w:r>
        <w:rPr>
          <w:rFonts w:ascii="Times New Roman" w:hAnsi="Times New Roman"/>
          <w:sz w:val="24"/>
        </w:rPr>
        <w:t xml:space="preserve"> does not confer any authority on a court to require a defendant to litigation to furnish information under the guise of an order for inspection, and nor does it confer jurisdiction on a court to require a defendant to collate and review a large volume of documentation, for the purpose of providing information, separate and prior to the discovery process.  The High Court therefore exceeded </w:t>
      </w:r>
      <w:r w:rsidR="00647852">
        <w:rPr>
          <w:rFonts w:ascii="Times New Roman" w:hAnsi="Times New Roman"/>
          <w:sz w:val="24"/>
        </w:rPr>
        <w:t>the</w:t>
      </w:r>
      <w:r>
        <w:rPr>
          <w:rFonts w:ascii="Times New Roman" w:hAnsi="Times New Roman"/>
          <w:sz w:val="24"/>
        </w:rPr>
        <w:t xml:space="preserve"> jurisdiction conferred </w:t>
      </w:r>
      <w:r w:rsidR="00647852">
        <w:rPr>
          <w:rFonts w:ascii="Times New Roman" w:hAnsi="Times New Roman"/>
          <w:sz w:val="24"/>
        </w:rPr>
        <w:t>on i</w:t>
      </w:r>
      <w:r>
        <w:rPr>
          <w:rFonts w:ascii="Times New Roman" w:hAnsi="Times New Roman"/>
          <w:sz w:val="24"/>
        </w:rPr>
        <w:t>t by O.</w:t>
      </w:r>
      <w:r w:rsidR="00825D36">
        <w:rPr>
          <w:rFonts w:ascii="Times New Roman" w:hAnsi="Times New Roman"/>
          <w:sz w:val="24"/>
        </w:rPr>
        <w:t xml:space="preserve"> </w:t>
      </w:r>
      <w:r>
        <w:rPr>
          <w:rFonts w:ascii="Times New Roman" w:hAnsi="Times New Roman"/>
          <w:sz w:val="24"/>
        </w:rPr>
        <w:t xml:space="preserve">50, r. 4.  </w:t>
      </w:r>
    </w:p>
    <w:p w14:paraId="569D807C" w14:textId="0C9745B8" w:rsidR="00DE6D99" w:rsidRDefault="00DE6D99" w:rsidP="0058287A">
      <w:pPr>
        <w:pStyle w:val="ListParagraph"/>
        <w:numPr>
          <w:ilvl w:val="0"/>
          <w:numId w:val="2"/>
        </w:numPr>
        <w:tabs>
          <w:tab w:val="left" w:pos="567"/>
        </w:tabs>
        <w:spacing w:line="480" w:lineRule="auto"/>
        <w:ind w:left="1134" w:hanging="567"/>
        <w:rPr>
          <w:rFonts w:ascii="Times New Roman" w:hAnsi="Times New Roman"/>
          <w:sz w:val="24"/>
        </w:rPr>
      </w:pPr>
      <w:r>
        <w:rPr>
          <w:rFonts w:ascii="Times New Roman" w:hAnsi="Times New Roman"/>
          <w:sz w:val="24"/>
        </w:rPr>
        <w:t xml:space="preserve">The High Court erred in ordering </w:t>
      </w:r>
      <w:r w:rsidR="004155C0">
        <w:rPr>
          <w:rFonts w:ascii="Times New Roman" w:hAnsi="Times New Roman"/>
          <w:sz w:val="24"/>
        </w:rPr>
        <w:t xml:space="preserve">Roadstone </w:t>
      </w:r>
      <w:r>
        <w:rPr>
          <w:rFonts w:ascii="Times New Roman" w:hAnsi="Times New Roman"/>
          <w:sz w:val="24"/>
        </w:rPr>
        <w:t xml:space="preserve">to identify the locations in its quarries from which stone was supplied to the </w:t>
      </w:r>
      <w:r w:rsidR="00AC3908">
        <w:rPr>
          <w:rFonts w:ascii="Times New Roman" w:hAnsi="Times New Roman"/>
          <w:sz w:val="24"/>
        </w:rPr>
        <w:t>respondent</w:t>
      </w:r>
      <w:r>
        <w:rPr>
          <w:rFonts w:ascii="Times New Roman" w:hAnsi="Times New Roman"/>
          <w:sz w:val="24"/>
        </w:rPr>
        <w:t xml:space="preserve">s in circumstances where no such relief was sought in the notice of motion issued by the </w:t>
      </w:r>
      <w:r w:rsidR="00441960">
        <w:rPr>
          <w:rFonts w:ascii="Times New Roman" w:hAnsi="Times New Roman"/>
          <w:sz w:val="24"/>
        </w:rPr>
        <w:t>respondents</w:t>
      </w:r>
      <w:r>
        <w:rPr>
          <w:rFonts w:ascii="Times New Roman" w:hAnsi="Times New Roman"/>
          <w:sz w:val="24"/>
        </w:rPr>
        <w:t xml:space="preserve"> on 3</w:t>
      </w:r>
      <w:r w:rsidRPr="006871BA">
        <w:rPr>
          <w:rFonts w:ascii="Times New Roman" w:hAnsi="Times New Roman"/>
          <w:sz w:val="24"/>
          <w:vertAlign w:val="superscript"/>
        </w:rPr>
        <w:t>rd</w:t>
      </w:r>
      <w:r>
        <w:rPr>
          <w:rFonts w:ascii="Times New Roman" w:hAnsi="Times New Roman"/>
          <w:sz w:val="24"/>
        </w:rPr>
        <w:t xml:space="preserve"> June 2016.  Accordingly, the order made by the High Court was in breach of fair procedures.  </w:t>
      </w:r>
    </w:p>
    <w:p w14:paraId="66BA5273" w14:textId="0E71F5F5" w:rsidR="00DE6D99" w:rsidRDefault="00DE6D99" w:rsidP="0058287A">
      <w:pPr>
        <w:pStyle w:val="ListParagraph"/>
        <w:numPr>
          <w:ilvl w:val="0"/>
          <w:numId w:val="2"/>
        </w:numPr>
        <w:tabs>
          <w:tab w:val="left" w:pos="567"/>
        </w:tabs>
        <w:spacing w:line="480" w:lineRule="auto"/>
        <w:ind w:left="1134" w:hanging="567"/>
        <w:rPr>
          <w:rFonts w:ascii="Times New Roman" w:hAnsi="Times New Roman"/>
          <w:sz w:val="24"/>
        </w:rPr>
      </w:pPr>
      <w:r w:rsidRPr="005038BF">
        <w:rPr>
          <w:rFonts w:ascii="Times New Roman" w:hAnsi="Times New Roman"/>
          <w:sz w:val="24"/>
        </w:rPr>
        <w:t>Even if the court had jurisdiction under O.</w:t>
      </w:r>
      <w:r w:rsidR="00441960">
        <w:rPr>
          <w:rFonts w:ascii="Times New Roman" w:hAnsi="Times New Roman"/>
          <w:sz w:val="24"/>
        </w:rPr>
        <w:t xml:space="preserve"> </w:t>
      </w:r>
      <w:r w:rsidRPr="005038BF">
        <w:rPr>
          <w:rFonts w:ascii="Times New Roman" w:hAnsi="Times New Roman"/>
          <w:sz w:val="24"/>
        </w:rPr>
        <w:t>50, r.</w:t>
      </w:r>
      <w:r w:rsidR="00441960">
        <w:rPr>
          <w:rFonts w:ascii="Times New Roman" w:hAnsi="Times New Roman"/>
          <w:sz w:val="24"/>
        </w:rPr>
        <w:t xml:space="preserve"> </w:t>
      </w:r>
      <w:r w:rsidRPr="005038BF">
        <w:rPr>
          <w:rFonts w:ascii="Times New Roman" w:hAnsi="Times New Roman"/>
          <w:sz w:val="24"/>
        </w:rPr>
        <w:t>4, to make such an order, the court erred in doing so in circumstances where such an order was neither necessary nor expedient, as required by O.</w:t>
      </w:r>
      <w:r w:rsidR="00441960">
        <w:rPr>
          <w:rFonts w:ascii="Times New Roman" w:hAnsi="Times New Roman"/>
          <w:sz w:val="24"/>
        </w:rPr>
        <w:t xml:space="preserve"> </w:t>
      </w:r>
      <w:r w:rsidRPr="005038BF">
        <w:rPr>
          <w:rFonts w:ascii="Times New Roman" w:hAnsi="Times New Roman"/>
          <w:sz w:val="24"/>
        </w:rPr>
        <w:t>50, r.</w:t>
      </w:r>
      <w:r w:rsidR="00441960">
        <w:rPr>
          <w:rFonts w:ascii="Times New Roman" w:hAnsi="Times New Roman"/>
          <w:sz w:val="24"/>
        </w:rPr>
        <w:t xml:space="preserve"> </w:t>
      </w:r>
      <w:r w:rsidRPr="005038BF">
        <w:rPr>
          <w:rFonts w:ascii="Times New Roman" w:hAnsi="Times New Roman"/>
          <w:sz w:val="24"/>
        </w:rPr>
        <w:t xml:space="preserve">4.  </w:t>
      </w:r>
      <w:r w:rsidR="002E3B3A">
        <w:rPr>
          <w:rFonts w:ascii="Times New Roman" w:hAnsi="Times New Roman"/>
          <w:sz w:val="24"/>
        </w:rPr>
        <w:t xml:space="preserve">On the </w:t>
      </w:r>
      <w:r w:rsidR="00441960">
        <w:rPr>
          <w:rFonts w:ascii="Times New Roman" w:hAnsi="Times New Roman"/>
          <w:sz w:val="24"/>
        </w:rPr>
        <w:t>contrary</w:t>
      </w:r>
      <w:r w:rsidR="002E3B3A">
        <w:rPr>
          <w:rFonts w:ascii="Times New Roman" w:hAnsi="Times New Roman"/>
          <w:sz w:val="24"/>
        </w:rPr>
        <w:t>,</w:t>
      </w:r>
      <w:r w:rsidR="00441960">
        <w:rPr>
          <w:rFonts w:ascii="Times New Roman" w:hAnsi="Times New Roman"/>
          <w:sz w:val="24"/>
        </w:rPr>
        <w:t xml:space="preserve"> </w:t>
      </w:r>
      <w:r w:rsidR="002E3B3A">
        <w:rPr>
          <w:rFonts w:ascii="Times New Roman" w:hAnsi="Times New Roman"/>
          <w:sz w:val="24"/>
        </w:rPr>
        <w:t>t</w:t>
      </w:r>
      <w:r w:rsidRPr="005038BF">
        <w:rPr>
          <w:rFonts w:ascii="Times New Roman" w:hAnsi="Times New Roman"/>
          <w:sz w:val="24"/>
        </w:rPr>
        <w:t xml:space="preserve">he order made was oppressive, requiring the appellants to engage in </w:t>
      </w:r>
      <w:r w:rsidR="00AC3908" w:rsidRPr="005038BF">
        <w:rPr>
          <w:rFonts w:ascii="Times New Roman" w:hAnsi="Times New Roman"/>
          <w:sz w:val="24"/>
        </w:rPr>
        <w:t xml:space="preserve">a </w:t>
      </w:r>
      <w:r w:rsidRPr="005038BF">
        <w:rPr>
          <w:rFonts w:ascii="Times New Roman" w:hAnsi="Times New Roman"/>
          <w:sz w:val="24"/>
        </w:rPr>
        <w:t xml:space="preserve">very significant exercise of collating and reviewing a large volume of documentation generated a long time previously, as well as interviewing and obtaining information from </w:t>
      </w:r>
      <w:r w:rsidRPr="005038BF">
        <w:rPr>
          <w:rFonts w:ascii="Times New Roman" w:hAnsi="Times New Roman"/>
          <w:sz w:val="24"/>
        </w:rPr>
        <w:lastRenderedPageBreak/>
        <w:t>current and former employees of the appellants with a view to identifying locations within the</w:t>
      </w:r>
      <w:r w:rsidR="004155C0" w:rsidRPr="005038BF">
        <w:rPr>
          <w:rFonts w:ascii="Times New Roman" w:hAnsi="Times New Roman"/>
          <w:sz w:val="24"/>
        </w:rPr>
        <w:t xml:space="preserve"> Roadstone</w:t>
      </w:r>
      <w:r w:rsidRPr="005038BF">
        <w:rPr>
          <w:rFonts w:ascii="Times New Roman" w:hAnsi="Times New Roman"/>
          <w:sz w:val="24"/>
        </w:rPr>
        <w:t xml:space="preserve"> quarries, from which stone infill was supplied to the </w:t>
      </w:r>
      <w:r w:rsidR="00AC3908" w:rsidRPr="005038BF">
        <w:rPr>
          <w:rFonts w:ascii="Times New Roman" w:hAnsi="Times New Roman"/>
          <w:sz w:val="24"/>
        </w:rPr>
        <w:t>respondent</w:t>
      </w:r>
      <w:r w:rsidRPr="005038BF">
        <w:rPr>
          <w:rFonts w:ascii="Times New Roman" w:hAnsi="Times New Roman"/>
          <w:sz w:val="24"/>
        </w:rPr>
        <w:t xml:space="preserve">s.  Moreover, the exercise will also involve </w:t>
      </w:r>
      <w:r w:rsidR="004155C0" w:rsidRPr="005038BF">
        <w:rPr>
          <w:rFonts w:ascii="Times New Roman" w:hAnsi="Times New Roman"/>
          <w:sz w:val="24"/>
        </w:rPr>
        <w:t>Roadstone</w:t>
      </w:r>
      <w:r w:rsidRPr="005038BF">
        <w:rPr>
          <w:rFonts w:ascii="Times New Roman" w:hAnsi="Times New Roman"/>
          <w:sz w:val="24"/>
        </w:rPr>
        <w:t xml:space="preserve"> in forming a view or opinion as regards the relevant locations, giving rise to the possibility that the </w:t>
      </w:r>
      <w:r w:rsidR="00AC3908" w:rsidRPr="005038BF">
        <w:rPr>
          <w:rFonts w:ascii="Times New Roman" w:hAnsi="Times New Roman"/>
          <w:sz w:val="24"/>
        </w:rPr>
        <w:t>respondent</w:t>
      </w:r>
      <w:r w:rsidRPr="005038BF">
        <w:rPr>
          <w:rFonts w:ascii="Times New Roman" w:hAnsi="Times New Roman"/>
          <w:sz w:val="24"/>
        </w:rPr>
        <w:t xml:space="preserve">s could be found to be in breach of the order if they failed to identify the correct locations.  While blasting records will identify locations where blasting took place during the relevant period of supply, they will not identify the relevant locations from which stone infill was extracted and supplied to the </w:t>
      </w:r>
      <w:r w:rsidR="00AC3908" w:rsidRPr="005038BF">
        <w:rPr>
          <w:rFonts w:ascii="Times New Roman" w:hAnsi="Times New Roman"/>
          <w:sz w:val="24"/>
        </w:rPr>
        <w:t>respondent</w:t>
      </w:r>
      <w:r w:rsidRPr="005038BF">
        <w:rPr>
          <w:rFonts w:ascii="Times New Roman" w:hAnsi="Times New Roman"/>
          <w:sz w:val="24"/>
        </w:rPr>
        <w:t>s</w:t>
      </w:r>
      <w:r w:rsidR="00194E14" w:rsidRPr="005038BF">
        <w:rPr>
          <w:rFonts w:ascii="Times New Roman" w:hAnsi="Times New Roman"/>
          <w:color w:val="000000" w:themeColor="text1"/>
          <w:sz w:val="24"/>
        </w:rPr>
        <w:t>,</w:t>
      </w:r>
      <w:r w:rsidR="00194E14" w:rsidRPr="005038BF">
        <w:rPr>
          <w:rFonts w:ascii="Times New Roman" w:hAnsi="Times New Roman"/>
          <w:sz w:val="24"/>
        </w:rPr>
        <w:t xml:space="preserve"> in circumstances where there are now large voids in the areas where b</w:t>
      </w:r>
      <w:r w:rsidR="00AD5EE7" w:rsidRPr="005038BF">
        <w:rPr>
          <w:rFonts w:ascii="Times New Roman" w:hAnsi="Times New Roman"/>
          <w:sz w:val="24"/>
        </w:rPr>
        <w:t>la</w:t>
      </w:r>
      <w:r w:rsidR="00194E14" w:rsidRPr="005038BF">
        <w:rPr>
          <w:rFonts w:ascii="Times New Roman" w:hAnsi="Times New Roman"/>
          <w:sz w:val="24"/>
        </w:rPr>
        <w:t>sting took place, and from which materials were extracted and supplied.</w:t>
      </w:r>
      <w:r w:rsidR="00B242D8" w:rsidRPr="005038BF">
        <w:rPr>
          <w:rFonts w:ascii="Times New Roman" w:hAnsi="Times New Roman"/>
          <w:sz w:val="24"/>
        </w:rPr>
        <w:t xml:space="preserve"> If the High Court considered it appropr</w:t>
      </w:r>
      <w:r w:rsidR="00AD5EE7" w:rsidRPr="005038BF">
        <w:rPr>
          <w:rFonts w:ascii="Times New Roman" w:hAnsi="Times New Roman"/>
          <w:sz w:val="24"/>
        </w:rPr>
        <w:t>iate</w:t>
      </w:r>
      <w:r w:rsidR="00B242D8" w:rsidRPr="005038BF">
        <w:rPr>
          <w:rFonts w:ascii="Times New Roman" w:hAnsi="Times New Roman"/>
          <w:sz w:val="24"/>
        </w:rPr>
        <w:t xml:space="preserve"> to make an order for inspection, confined to the locations in the quarries from which stone was supplied to the respondents, such order was neither necessary nor expedient and should not have been made until after exchange of discovery, and this </w:t>
      </w:r>
      <w:r w:rsidR="00B42977">
        <w:rPr>
          <w:rFonts w:ascii="Times New Roman" w:hAnsi="Times New Roman"/>
          <w:sz w:val="24"/>
        </w:rPr>
        <w:t xml:space="preserve">is </w:t>
      </w:r>
      <w:r w:rsidR="00B242D8" w:rsidRPr="005038BF">
        <w:rPr>
          <w:rFonts w:ascii="Times New Roman" w:hAnsi="Times New Roman"/>
          <w:sz w:val="24"/>
        </w:rPr>
        <w:t xml:space="preserve">so also as regards any ancillary orders made by the </w:t>
      </w:r>
      <w:r w:rsidR="00441960">
        <w:rPr>
          <w:rFonts w:ascii="Times New Roman" w:hAnsi="Times New Roman"/>
          <w:sz w:val="24"/>
        </w:rPr>
        <w:t>c</w:t>
      </w:r>
      <w:r w:rsidR="00B242D8" w:rsidRPr="005038BF">
        <w:rPr>
          <w:rFonts w:ascii="Times New Roman" w:hAnsi="Times New Roman"/>
          <w:sz w:val="24"/>
        </w:rPr>
        <w:t>ourt for the purpose of O.</w:t>
      </w:r>
      <w:r w:rsidR="00441960">
        <w:rPr>
          <w:rFonts w:ascii="Times New Roman" w:hAnsi="Times New Roman"/>
          <w:sz w:val="24"/>
        </w:rPr>
        <w:t xml:space="preserve"> </w:t>
      </w:r>
      <w:r w:rsidR="00B242D8" w:rsidRPr="005038BF">
        <w:rPr>
          <w:rFonts w:ascii="Times New Roman" w:hAnsi="Times New Roman"/>
          <w:sz w:val="24"/>
        </w:rPr>
        <w:t>50, r.</w:t>
      </w:r>
      <w:r w:rsidR="00441960">
        <w:rPr>
          <w:rFonts w:ascii="Times New Roman" w:hAnsi="Times New Roman"/>
          <w:sz w:val="24"/>
        </w:rPr>
        <w:t xml:space="preserve"> </w:t>
      </w:r>
      <w:r w:rsidR="00B242D8" w:rsidRPr="005038BF">
        <w:rPr>
          <w:rFonts w:ascii="Times New Roman" w:hAnsi="Times New Roman"/>
          <w:sz w:val="24"/>
        </w:rPr>
        <w:t>4</w:t>
      </w:r>
      <w:r w:rsidR="005038BF">
        <w:rPr>
          <w:rFonts w:ascii="Times New Roman" w:hAnsi="Times New Roman"/>
          <w:sz w:val="24"/>
        </w:rPr>
        <w:t>.</w:t>
      </w:r>
      <w:r w:rsidR="00EE6CD6">
        <w:rPr>
          <w:rFonts w:ascii="Times New Roman" w:hAnsi="Times New Roman"/>
          <w:sz w:val="24"/>
        </w:rPr>
        <w:t xml:space="preserve"> </w:t>
      </w:r>
      <w:r w:rsidR="00B242D8">
        <w:rPr>
          <w:rFonts w:ascii="Times New Roman" w:hAnsi="Times New Roman"/>
          <w:sz w:val="24"/>
        </w:rPr>
        <w:t xml:space="preserve">In ordering </w:t>
      </w:r>
      <w:r w:rsidR="005038BF">
        <w:rPr>
          <w:rFonts w:ascii="Times New Roman" w:hAnsi="Times New Roman"/>
          <w:sz w:val="24"/>
        </w:rPr>
        <w:t>Roadstone</w:t>
      </w:r>
      <w:r w:rsidR="00B242D8">
        <w:rPr>
          <w:rFonts w:ascii="Times New Roman" w:hAnsi="Times New Roman"/>
          <w:sz w:val="24"/>
        </w:rPr>
        <w:t xml:space="preserve"> to identify the locations in its quarries from which stone </w:t>
      </w:r>
      <w:r w:rsidR="00861752">
        <w:rPr>
          <w:rFonts w:ascii="Times New Roman" w:hAnsi="Times New Roman"/>
          <w:sz w:val="24"/>
        </w:rPr>
        <w:t xml:space="preserve">was </w:t>
      </w:r>
      <w:r w:rsidR="00B242D8">
        <w:rPr>
          <w:rFonts w:ascii="Times New Roman" w:hAnsi="Times New Roman"/>
          <w:sz w:val="24"/>
        </w:rPr>
        <w:t xml:space="preserve">supplied by </w:t>
      </w:r>
      <w:r w:rsidR="005038BF">
        <w:rPr>
          <w:rFonts w:ascii="Times New Roman" w:hAnsi="Times New Roman"/>
          <w:sz w:val="24"/>
        </w:rPr>
        <w:t>Roadstone</w:t>
      </w:r>
      <w:r w:rsidR="00B242D8">
        <w:rPr>
          <w:rFonts w:ascii="Times New Roman" w:hAnsi="Times New Roman"/>
          <w:sz w:val="24"/>
        </w:rPr>
        <w:t xml:space="preserve"> to the respondents</w:t>
      </w:r>
      <w:r w:rsidR="00861752">
        <w:rPr>
          <w:rFonts w:ascii="Times New Roman" w:hAnsi="Times New Roman"/>
          <w:sz w:val="24"/>
        </w:rPr>
        <w:t xml:space="preserve">, the High Court required </w:t>
      </w:r>
      <w:r w:rsidR="005038BF">
        <w:rPr>
          <w:rFonts w:ascii="Times New Roman" w:hAnsi="Times New Roman"/>
          <w:sz w:val="24"/>
        </w:rPr>
        <w:t>Roadstone</w:t>
      </w:r>
      <w:r w:rsidR="00861752">
        <w:rPr>
          <w:rFonts w:ascii="Times New Roman" w:hAnsi="Times New Roman"/>
          <w:sz w:val="24"/>
        </w:rPr>
        <w:t xml:space="preserve"> to furnish information under the guise of an order for inspection. Further, in making a mandatory order in the terms that she did, </w:t>
      </w:r>
      <w:r>
        <w:rPr>
          <w:rFonts w:ascii="Times New Roman" w:hAnsi="Times New Roman"/>
          <w:sz w:val="24"/>
        </w:rPr>
        <w:t xml:space="preserve">the trial judge effectively reversed the burden of proof and required </w:t>
      </w:r>
      <w:r w:rsidR="005038BF">
        <w:rPr>
          <w:rFonts w:ascii="Times New Roman" w:hAnsi="Times New Roman"/>
          <w:sz w:val="24"/>
        </w:rPr>
        <w:t>Roadstone</w:t>
      </w:r>
      <w:r>
        <w:rPr>
          <w:rFonts w:ascii="Times New Roman" w:hAnsi="Times New Roman"/>
          <w:sz w:val="24"/>
        </w:rPr>
        <w:t xml:space="preserve"> to make admissions, which is wholly inconsistent with the right to fair procedures and the principles applicable in adversarial litigation.</w:t>
      </w:r>
    </w:p>
    <w:p w14:paraId="5399A688" w14:textId="77BBAB3F" w:rsidR="009850AB" w:rsidRDefault="009850AB" w:rsidP="0058287A">
      <w:pPr>
        <w:pStyle w:val="ListParagraph"/>
        <w:numPr>
          <w:ilvl w:val="0"/>
          <w:numId w:val="2"/>
        </w:numPr>
        <w:tabs>
          <w:tab w:val="left" w:pos="567"/>
        </w:tabs>
        <w:spacing w:line="480" w:lineRule="auto"/>
        <w:ind w:left="1134" w:hanging="567"/>
        <w:rPr>
          <w:rFonts w:ascii="Times New Roman" w:hAnsi="Times New Roman"/>
          <w:sz w:val="24"/>
        </w:rPr>
      </w:pPr>
      <w:r>
        <w:rPr>
          <w:rFonts w:ascii="Times New Roman" w:hAnsi="Times New Roman"/>
          <w:sz w:val="24"/>
        </w:rPr>
        <w:t>With reference to para</w:t>
      </w:r>
      <w:r w:rsidR="00E13223">
        <w:rPr>
          <w:rFonts w:ascii="Times New Roman" w:hAnsi="Times New Roman"/>
          <w:sz w:val="24"/>
        </w:rPr>
        <w:t>.</w:t>
      </w:r>
      <w:r>
        <w:rPr>
          <w:rFonts w:ascii="Times New Roman" w:hAnsi="Times New Roman"/>
          <w:sz w:val="24"/>
        </w:rPr>
        <w:t xml:space="preserve"> 25 of the judgment of the High Court, the appellants submit that the findings of the trial judge in this paragraph were not based on any evidence before the court, were not the subject of submissions by the parties, </w:t>
      </w:r>
      <w:r>
        <w:rPr>
          <w:rFonts w:ascii="Times New Roman" w:hAnsi="Times New Roman"/>
          <w:sz w:val="24"/>
        </w:rPr>
        <w:lastRenderedPageBreak/>
        <w:t xml:space="preserve">and are inaccurate. The adverse findings against </w:t>
      </w:r>
      <w:r w:rsidR="005038BF">
        <w:rPr>
          <w:rFonts w:ascii="Times New Roman" w:hAnsi="Times New Roman"/>
          <w:sz w:val="24"/>
        </w:rPr>
        <w:t xml:space="preserve">Roadstone </w:t>
      </w:r>
      <w:r>
        <w:rPr>
          <w:rFonts w:ascii="Times New Roman" w:hAnsi="Times New Roman"/>
          <w:sz w:val="24"/>
        </w:rPr>
        <w:t xml:space="preserve">in this paragraph of the judgment were made without affording </w:t>
      </w:r>
      <w:r w:rsidR="005038BF">
        <w:rPr>
          <w:rFonts w:ascii="Times New Roman" w:hAnsi="Times New Roman"/>
          <w:sz w:val="24"/>
        </w:rPr>
        <w:t>it</w:t>
      </w:r>
      <w:r>
        <w:rPr>
          <w:rFonts w:ascii="Times New Roman" w:hAnsi="Times New Roman"/>
          <w:sz w:val="24"/>
        </w:rPr>
        <w:t xml:space="preserve"> an opportunity to be heard and constitute a breach of </w:t>
      </w:r>
      <w:r w:rsidR="005038BF">
        <w:rPr>
          <w:rFonts w:ascii="Times New Roman" w:hAnsi="Times New Roman"/>
          <w:sz w:val="24"/>
        </w:rPr>
        <w:t>it</w:t>
      </w:r>
      <w:r>
        <w:rPr>
          <w:rFonts w:ascii="Times New Roman" w:hAnsi="Times New Roman"/>
          <w:sz w:val="24"/>
        </w:rPr>
        <w:t xml:space="preserve">s right to fair procedures. </w:t>
      </w:r>
      <w:r w:rsidR="00ED21DE">
        <w:rPr>
          <w:rFonts w:ascii="Times New Roman" w:hAnsi="Times New Roman"/>
          <w:sz w:val="24"/>
        </w:rPr>
        <w:t>T</w:t>
      </w:r>
      <w:r>
        <w:rPr>
          <w:rFonts w:ascii="Times New Roman" w:hAnsi="Times New Roman"/>
          <w:sz w:val="24"/>
        </w:rPr>
        <w:t>he appellants</w:t>
      </w:r>
      <w:r w:rsidR="00ED21DE">
        <w:rPr>
          <w:rFonts w:ascii="Times New Roman" w:hAnsi="Times New Roman"/>
          <w:sz w:val="24"/>
        </w:rPr>
        <w:t xml:space="preserve"> also </w:t>
      </w:r>
      <w:r>
        <w:rPr>
          <w:rFonts w:ascii="Times New Roman" w:hAnsi="Times New Roman"/>
          <w:sz w:val="24"/>
        </w:rPr>
        <w:t>contend that these findings</w:t>
      </w:r>
      <w:r w:rsidR="00ED21DE">
        <w:rPr>
          <w:rFonts w:ascii="Times New Roman" w:hAnsi="Times New Roman"/>
          <w:sz w:val="24"/>
        </w:rPr>
        <w:t xml:space="preserve">, which they claim were relied upon by the trial judge in arriving at her decision on the motion, </w:t>
      </w:r>
      <w:r>
        <w:rPr>
          <w:rFonts w:ascii="Times New Roman" w:hAnsi="Times New Roman"/>
          <w:sz w:val="24"/>
        </w:rPr>
        <w:t xml:space="preserve">are based on inaccurate facts and ought to be set aside. </w:t>
      </w:r>
    </w:p>
    <w:p w14:paraId="6511C2F1" w14:textId="1CB3C2B5" w:rsidR="00AC3908" w:rsidRPr="00AC3908" w:rsidRDefault="00AC3908" w:rsidP="0058287A">
      <w:pPr>
        <w:tabs>
          <w:tab w:val="left" w:pos="567"/>
        </w:tabs>
        <w:spacing w:line="480" w:lineRule="auto"/>
        <w:jc w:val="both"/>
        <w:rPr>
          <w:b/>
          <w:u w:val="single"/>
        </w:rPr>
      </w:pPr>
      <w:r w:rsidRPr="00AC3908">
        <w:rPr>
          <w:b/>
          <w:u w:val="single"/>
        </w:rPr>
        <w:t xml:space="preserve">Respondents’ </w:t>
      </w:r>
      <w:r w:rsidR="001E0518">
        <w:rPr>
          <w:b/>
          <w:u w:val="single"/>
        </w:rPr>
        <w:t>N</w:t>
      </w:r>
      <w:r w:rsidRPr="00AC3908">
        <w:rPr>
          <w:b/>
          <w:u w:val="single"/>
        </w:rPr>
        <w:t>otice</w:t>
      </w:r>
    </w:p>
    <w:p w14:paraId="5320E9C2" w14:textId="0AC2E1E5"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their respondents’ notice, the respondents reject all grounds of appeal.  In the first instance, they maintain that the appeal is moot or some of the grounds of appeal are moot and do not require determination in circumstances where the appellants have conceded in their notice of appeal that </w:t>
      </w:r>
      <w:r w:rsidR="005038BF">
        <w:rPr>
          <w:rFonts w:ascii="Times New Roman" w:hAnsi="Times New Roman"/>
          <w:sz w:val="24"/>
        </w:rPr>
        <w:t>Roadstone</w:t>
      </w:r>
      <w:r>
        <w:rPr>
          <w:rFonts w:ascii="Times New Roman" w:hAnsi="Times New Roman"/>
          <w:sz w:val="24"/>
        </w:rPr>
        <w:t xml:space="preserve"> “</w:t>
      </w:r>
      <w:r w:rsidRPr="00124C0A">
        <w:rPr>
          <w:rFonts w:ascii="Times New Roman" w:hAnsi="Times New Roman"/>
          <w:i/>
          <w:iCs/>
          <w:sz w:val="24"/>
        </w:rPr>
        <w:t>can identify the locations in which it was blasting during the relevant period of supply</w:t>
      </w:r>
      <w:r>
        <w:rPr>
          <w:rFonts w:ascii="Times New Roman" w:hAnsi="Times New Roman"/>
          <w:sz w:val="24"/>
        </w:rPr>
        <w:t>”</w:t>
      </w:r>
      <w:r w:rsidR="000C3F41">
        <w:rPr>
          <w:rFonts w:ascii="Times New Roman" w:hAnsi="Times New Roman"/>
          <w:sz w:val="24"/>
        </w:rPr>
        <w:t xml:space="preserve"> (</w:t>
      </w:r>
      <w:r>
        <w:rPr>
          <w:rFonts w:ascii="Times New Roman" w:hAnsi="Times New Roman"/>
          <w:sz w:val="24"/>
        </w:rPr>
        <w:t>subject only to potential gaps and some inaccuracies</w:t>
      </w:r>
      <w:r w:rsidR="000C3F41">
        <w:rPr>
          <w:rFonts w:ascii="Times New Roman" w:hAnsi="Times New Roman"/>
          <w:sz w:val="24"/>
        </w:rPr>
        <w:t xml:space="preserve">) </w:t>
      </w:r>
      <w:r>
        <w:rPr>
          <w:rFonts w:ascii="Times New Roman" w:hAnsi="Times New Roman"/>
          <w:sz w:val="24"/>
        </w:rPr>
        <w:t xml:space="preserve">and in which the appellants do not dispute that </w:t>
      </w:r>
      <w:r w:rsidR="005038BF">
        <w:rPr>
          <w:rFonts w:ascii="Times New Roman" w:hAnsi="Times New Roman"/>
          <w:sz w:val="24"/>
        </w:rPr>
        <w:t>Roadstone</w:t>
      </w:r>
      <w:r>
        <w:rPr>
          <w:rFonts w:ascii="Times New Roman" w:hAnsi="Times New Roman"/>
          <w:sz w:val="24"/>
        </w:rPr>
        <w:t xml:space="preserve"> supplied stone infill/crushed rock products to the respondents for use in the D</w:t>
      </w:r>
      <w:r w:rsidR="005038BF">
        <w:rPr>
          <w:rFonts w:ascii="Times New Roman" w:hAnsi="Times New Roman"/>
          <w:sz w:val="24"/>
        </w:rPr>
        <w:t>evelopment</w:t>
      </w:r>
      <w:r>
        <w:rPr>
          <w:rFonts w:ascii="Times New Roman" w:hAnsi="Times New Roman"/>
          <w:sz w:val="24"/>
        </w:rPr>
        <w:t>.  Moreover, the appellants did not seek and were not granted a stay on the portion of the order of the High Court of 11</w:t>
      </w:r>
      <w:r w:rsidRPr="00270C66">
        <w:rPr>
          <w:rFonts w:ascii="Times New Roman" w:hAnsi="Times New Roman"/>
          <w:sz w:val="24"/>
          <w:vertAlign w:val="superscript"/>
        </w:rPr>
        <w:t>th</w:t>
      </w:r>
      <w:r>
        <w:rPr>
          <w:rFonts w:ascii="Times New Roman" w:hAnsi="Times New Roman"/>
          <w:sz w:val="24"/>
        </w:rPr>
        <w:t xml:space="preserve"> April 2019 which required </w:t>
      </w:r>
      <w:r w:rsidR="005038BF">
        <w:rPr>
          <w:rFonts w:ascii="Times New Roman" w:hAnsi="Times New Roman"/>
          <w:sz w:val="24"/>
        </w:rPr>
        <w:t>Roadstone</w:t>
      </w:r>
      <w:r>
        <w:rPr>
          <w:rFonts w:ascii="Times New Roman" w:hAnsi="Times New Roman"/>
          <w:sz w:val="24"/>
        </w:rPr>
        <w:t xml:space="preserve"> to provide inspection and sampling facilities to the respondents, save the portion of the order that required </w:t>
      </w:r>
      <w:r w:rsidR="005038BF">
        <w:rPr>
          <w:rFonts w:ascii="Times New Roman" w:hAnsi="Times New Roman"/>
          <w:sz w:val="24"/>
        </w:rPr>
        <w:t>Roadstone</w:t>
      </w:r>
      <w:r>
        <w:rPr>
          <w:rFonts w:ascii="Times New Roman" w:hAnsi="Times New Roman"/>
          <w:sz w:val="24"/>
        </w:rPr>
        <w:t xml:space="preserve"> to provide details of the locations from which stone was extracted and supplied to the respondents</w:t>
      </w:r>
      <w:r w:rsidR="00124C0A">
        <w:rPr>
          <w:rFonts w:ascii="Times New Roman" w:hAnsi="Times New Roman"/>
          <w:sz w:val="24"/>
        </w:rPr>
        <w:t xml:space="preserve">. </w:t>
      </w:r>
      <w:r w:rsidR="000C3F41">
        <w:rPr>
          <w:rFonts w:ascii="Times New Roman" w:hAnsi="Times New Roman"/>
          <w:sz w:val="24"/>
        </w:rPr>
        <w:t>(</w:t>
      </w:r>
      <w:r>
        <w:rPr>
          <w:rFonts w:ascii="Times New Roman" w:hAnsi="Times New Roman"/>
          <w:sz w:val="24"/>
        </w:rPr>
        <w:t xml:space="preserve">This point acquired greater force by the time this appeal came on for hearing by reason of the fact that, in the intervening period, an inspection of </w:t>
      </w:r>
      <w:r w:rsidR="005038BF">
        <w:rPr>
          <w:rFonts w:ascii="Times New Roman" w:hAnsi="Times New Roman"/>
          <w:sz w:val="24"/>
        </w:rPr>
        <w:t>Roadstone’s quarries</w:t>
      </w:r>
      <w:r>
        <w:rPr>
          <w:rFonts w:ascii="Times New Roman" w:hAnsi="Times New Roman"/>
          <w:sz w:val="24"/>
        </w:rPr>
        <w:t xml:space="preserve"> had been carried out by the respondents, and I return to this issue in greater detail below</w:t>
      </w:r>
      <w:r w:rsidR="00124C0A">
        <w:rPr>
          <w:rFonts w:ascii="Times New Roman" w:hAnsi="Times New Roman"/>
          <w:sz w:val="24"/>
        </w:rPr>
        <w:t>.</w:t>
      </w:r>
      <w:r w:rsidR="000C3F41">
        <w:rPr>
          <w:rFonts w:ascii="Times New Roman" w:hAnsi="Times New Roman"/>
          <w:sz w:val="24"/>
        </w:rPr>
        <w:t>)</w:t>
      </w:r>
    </w:p>
    <w:p w14:paraId="30B48960" w14:textId="77777777"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Mootness aside, the respondents reject all grounds of appeal advanced by the appellants and in particular:</w:t>
      </w:r>
    </w:p>
    <w:p w14:paraId="1906EFCF" w14:textId="597E2321"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respondents submit that O.</w:t>
      </w:r>
      <w:r w:rsidR="00973065">
        <w:rPr>
          <w:rFonts w:ascii="Times New Roman" w:hAnsi="Times New Roman"/>
          <w:sz w:val="24"/>
        </w:rPr>
        <w:t xml:space="preserve"> </w:t>
      </w:r>
      <w:r>
        <w:rPr>
          <w:rFonts w:ascii="Times New Roman" w:hAnsi="Times New Roman"/>
          <w:sz w:val="24"/>
        </w:rPr>
        <w:t>50, r.</w:t>
      </w:r>
      <w:r w:rsidR="00973065">
        <w:rPr>
          <w:rFonts w:ascii="Times New Roman" w:hAnsi="Times New Roman"/>
          <w:sz w:val="24"/>
        </w:rPr>
        <w:t xml:space="preserve"> </w:t>
      </w:r>
      <w:r>
        <w:rPr>
          <w:rFonts w:ascii="Times New Roman" w:hAnsi="Times New Roman"/>
          <w:sz w:val="24"/>
        </w:rPr>
        <w:t>4 is</w:t>
      </w:r>
      <w:r w:rsidR="000C3F41">
        <w:rPr>
          <w:rFonts w:ascii="Times New Roman" w:hAnsi="Times New Roman"/>
          <w:sz w:val="24"/>
        </w:rPr>
        <w:t>, as the trial judge held in her first decision on the motion</w:t>
      </w:r>
      <w:r>
        <w:rPr>
          <w:rFonts w:ascii="Times New Roman" w:hAnsi="Times New Roman"/>
          <w:sz w:val="24"/>
        </w:rPr>
        <w:t xml:space="preserve"> “</w:t>
      </w:r>
      <w:r w:rsidRPr="00973065">
        <w:rPr>
          <w:rFonts w:ascii="Times New Roman" w:hAnsi="Times New Roman"/>
          <w:i/>
          <w:iCs/>
          <w:sz w:val="24"/>
        </w:rPr>
        <w:t xml:space="preserve">flexible enough to deal with any given set of facts </w:t>
      </w:r>
      <w:r w:rsidRPr="00973065">
        <w:rPr>
          <w:rFonts w:ascii="Times New Roman" w:hAnsi="Times New Roman"/>
          <w:i/>
          <w:iCs/>
          <w:sz w:val="24"/>
        </w:rPr>
        <w:lastRenderedPageBreak/>
        <w:t>presented to a cour</w:t>
      </w:r>
      <w:r>
        <w:rPr>
          <w:rFonts w:ascii="Times New Roman" w:hAnsi="Times New Roman"/>
          <w:sz w:val="24"/>
        </w:rPr>
        <w:t>t” (</w:t>
      </w:r>
      <w:r w:rsidR="000C3F41">
        <w:rPr>
          <w:rFonts w:ascii="Times New Roman" w:hAnsi="Times New Roman"/>
          <w:sz w:val="24"/>
        </w:rPr>
        <w:t xml:space="preserve">noting the trial judge’s </w:t>
      </w:r>
      <w:r>
        <w:rPr>
          <w:rFonts w:ascii="Times New Roman" w:hAnsi="Times New Roman"/>
          <w:sz w:val="24"/>
        </w:rPr>
        <w:t>refer</w:t>
      </w:r>
      <w:r w:rsidR="000C3F41">
        <w:rPr>
          <w:rFonts w:ascii="Times New Roman" w:hAnsi="Times New Roman"/>
          <w:sz w:val="24"/>
        </w:rPr>
        <w:t>ence</w:t>
      </w:r>
      <w:r>
        <w:rPr>
          <w:rFonts w:ascii="Times New Roman" w:hAnsi="Times New Roman"/>
          <w:sz w:val="24"/>
        </w:rPr>
        <w:t xml:space="preserve"> to analysis of </w:t>
      </w:r>
      <w:r w:rsidR="00B32F3C">
        <w:rPr>
          <w:rFonts w:ascii="Times New Roman" w:hAnsi="Times New Roman"/>
          <w:sz w:val="24"/>
        </w:rPr>
        <w:t xml:space="preserve">the application of </w:t>
      </w:r>
      <w:r>
        <w:rPr>
          <w:rFonts w:ascii="Times New Roman" w:hAnsi="Times New Roman"/>
          <w:sz w:val="24"/>
        </w:rPr>
        <w:t>a</w:t>
      </w:r>
      <w:r w:rsidR="00B32F3C">
        <w:rPr>
          <w:rFonts w:ascii="Times New Roman" w:hAnsi="Times New Roman"/>
          <w:sz w:val="24"/>
        </w:rPr>
        <w:t xml:space="preserve"> similar </w:t>
      </w:r>
      <w:r>
        <w:rPr>
          <w:rFonts w:ascii="Times New Roman" w:hAnsi="Times New Roman"/>
          <w:sz w:val="24"/>
        </w:rPr>
        <w:t>rule</w:t>
      </w:r>
      <w:r w:rsidR="00B32F3C">
        <w:rPr>
          <w:rFonts w:ascii="Times New Roman" w:hAnsi="Times New Roman"/>
          <w:sz w:val="24"/>
        </w:rPr>
        <w:t xml:space="preserve"> of the Supreme Court of </w:t>
      </w:r>
      <w:r w:rsidR="004D2C7B">
        <w:rPr>
          <w:rFonts w:ascii="Times New Roman" w:hAnsi="Times New Roman"/>
          <w:sz w:val="24"/>
        </w:rPr>
        <w:t>Queensland,</w:t>
      </w:r>
      <w:r>
        <w:rPr>
          <w:rFonts w:ascii="Times New Roman" w:hAnsi="Times New Roman"/>
          <w:sz w:val="24"/>
        </w:rPr>
        <w:t xml:space="preserve"> Australia in </w:t>
      </w:r>
      <w:r>
        <w:rPr>
          <w:rFonts w:ascii="Times New Roman" w:hAnsi="Times New Roman"/>
          <w:i/>
          <w:sz w:val="24"/>
        </w:rPr>
        <w:t xml:space="preserve">Evans Deakin Pty Ltd. v. </w:t>
      </w:r>
      <w:proofErr w:type="spellStart"/>
      <w:r>
        <w:rPr>
          <w:rFonts w:ascii="Times New Roman" w:hAnsi="Times New Roman"/>
          <w:i/>
          <w:sz w:val="24"/>
        </w:rPr>
        <w:t>Orekinetics</w:t>
      </w:r>
      <w:proofErr w:type="spellEnd"/>
      <w:r>
        <w:rPr>
          <w:rFonts w:ascii="Times New Roman" w:hAnsi="Times New Roman"/>
          <w:i/>
          <w:sz w:val="24"/>
        </w:rPr>
        <w:t xml:space="preserve"> Pty Ltd. </w:t>
      </w:r>
      <w:r>
        <w:rPr>
          <w:rFonts w:ascii="Times New Roman" w:hAnsi="Times New Roman"/>
          <w:sz w:val="24"/>
        </w:rPr>
        <w:t>[2002] QSC 42,</w:t>
      </w:r>
      <w:r w:rsidR="004D2C7B">
        <w:rPr>
          <w:rFonts w:ascii="Times New Roman" w:hAnsi="Times New Roman"/>
          <w:sz w:val="24"/>
        </w:rPr>
        <w:t xml:space="preserve"> as cited by Kenneth Martin J. of the Supreme Court of Western Australia</w:t>
      </w:r>
      <w:r w:rsidR="00B32F3C">
        <w:rPr>
          <w:rFonts w:ascii="Times New Roman" w:hAnsi="Times New Roman"/>
          <w:sz w:val="24"/>
        </w:rPr>
        <w:t xml:space="preserve"> in </w:t>
      </w:r>
      <w:r>
        <w:rPr>
          <w:rFonts w:ascii="Times New Roman" w:hAnsi="Times New Roman"/>
          <w:i/>
          <w:sz w:val="24"/>
        </w:rPr>
        <w:t xml:space="preserve">Processed Minerals International Pty Ltd. v. Consolidated Minerals Pty Ltd. </w:t>
      </w:r>
      <w:r>
        <w:rPr>
          <w:rFonts w:ascii="Times New Roman" w:hAnsi="Times New Roman"/>
          <w:sz w:val="24"/>
        </w:rPr>
        <w:t>[2012] WASC 254)</w:t>
      </w:r>
      <w:r w:rsidR="006114B6">
        <w:rPr>
          <w:rFonts w:ascii="Times New Roman" w:hAnsi="Times New Roman"/>
          <w:sz w:val="24"/>
        </w:rPr>
        <w:t>.</w:t>
      </w:r>
    </w:p>
    <w:p w14:paraId="3A2A9A10" w14:textId="39267B80"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 xml:space="preserve">Accordingly the High Court was entitled to make the order that it did requiring </w:t>
      </w:r>
      <w:r w:rsidR="005038BF">
        <w:rPr>
          <w:rFonts w:ascii="Times New Roman" w:hAnsi="Times New Roman"/>
          <w:sz w:val="24"/>
        </w:rPr>
        <w:t>Roadstone</w:t>
      </w:r>
      <w:r>
        <w:rPr>
          <w:rFonts w:ascii="Times New Roman" w:hAnsi="Times New Roman"/>
          <w:sz w:val="24"/>
        </w:rPr>
        <w:t xml:space="preserve"> to identify the locations from which stone products were extracted and supplied by </w:t>
      </w:r>
      <w:r w:rsidR="005038BF">
        <w:rPr>
          <w:rFonts w:ascii="Times New Roman" w:hAnsi="Times New Roman"/>
          <w:sz w:val="24"/>
        </w:rPr>
        <w:t>Roadstone</w:t>
      </w:r>
      <w:r>
        <w:rPr>
          <w:rFonts w:ascii="Times New Roman" w:hAnsi="Times New Roman"/>
          <w:sz w:val="24"/>
        </w:rPr>
        <w:t xml:space="preserve"> to the respondent.  It was clearly within the scope of the powers of the High Court to make such ancillary orders as were necessary and/or expedient to give </w:t>
      </w:r>
      <w:r w:rsidR="000C3F41">
        <w:rPr>
          <w:rFonts w:ascii="Times New Roman" w:hAnsi="Times New Roman"/>
          <w:sz w:val="24"/>
        </w:rPr>
        <w:t>e</w:t>
      </w:r>
      <w:r>
        <w:rPr>
          <w:rFonts w:ascii="Times New Roman" w:hAnsi="Times New Roman"/>
          <w:sz w:val="24"/>
        </w:rPr>
        <w:t>ffect to the principal order for inspection being made by the High Court.</w:t>
      </w:r>
    </w:p>
    <w:p w14:paraId="0F6524B1" w14:textId="77777777"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 xml:space="preserve">The trial judge in this case had been case managing these proceedings for a considerable period, and she considered it to be expedient and necessary to make the order that she did in order to progress the proceedings.  </w:t>
      </w:r>
    </w:p>
    <w:p w14:paraId="363D5BB7" w14:textId="77777777"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There was no breach of fair procedures on the part of the trial judge in making the order; moreover, if such an order were not made, there is every likelihood that the appellants would dispute, at a later stage, such locations as might be identified by the respondents, by reference to documents supplied by the appellants.</w:t>
      </w:r>
    </w:p>
    <w:p w14:paraId="6AF444E8" w14:textId="0AA52954"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w:t>
      </w:r>
      <w:r w:rsidRPr="004F6C8D">
        <w:rPr>
          <w:rFonts w:ascii="Times New Roman" w:hAnsi="Times New Roman"/>
          <w:sz w:val="24"/>
        </w:rPr>
        <w:t xml:space="preserve"> respondents deny that the High Court ordered the provision of information under the guise of a motion for inspection</w:t>
      </w:r>
      <w:r>
        <w:rPr>
          <w:rFonts w:ascii="Times New Roman" w:hAnsi="Times New Roman"/>
          <w:sz w:val="24"/>
        </w:rPr>
        <w:t xml:space="preserve">.  The part of the order that directed </w:t>
      </w:r>
      <w:r w:rsidR="005038BF">
        <w:rPr>
          <w:rFonts w:ascii="Times New Roman" w:hAnsi="Times New Roman"/>
          <w:sz w:val="24"/>
        </w:rPr>
        <w:t>Roadstone</w:t>
      </w:r>
      <w:r>
        <w:rPr>
          <w:rFonts w:ascii="Times New Roman" w:hAnsi="Times New Roman"/>
          <w:sz w:val="24"/>
        </w:rPr>
        <w:t xml:space="preserve"> to identify the locations from which stone products were extracted and supplied to the</w:t>
      </w:r>
      <w:r w:rsidR="005038BF">
        <w:rPr>
          <w:rFonts w:ascii="Times New Roman" w:hAnsi="Times New Roman"/>
          <w:sz w:val="24"/>
        </w:rPr>
        <w:t xml:space="preserve"> respondents</w:t>
      </w:r>
      <w:r>
        <w:rPr>
          <w:rFonts w:ascii="Times New Roman" w:hAnsi="Times New Roman"/>
          <w:sz w:val="24"/>
        </w:rPr>
        <w:t xml:space="preserve"> was necessary to ensure that the inspection of </w:t>
      </w:r>
      <w:r w:rsidR="005038BF">
        <w:rPr>
          <w:rFonts w:ascii="Times New Roman" w:hAnsi="Times New Roman"/>
          <w:sz w:val="24"/>
        </w:rPr>
        <w:lastRenderedPageBreak/>
        <w:t xml:space="preserve">Roadstone’s </w:t>
      </w:r>
      <w:r>
        <w:rPr>
          <w:rFonts w:ascii="Times New Roman" w:hAnsi="Times New Roman"/>
          <w:sz w:val="24"/>
        </w:rPr>
        <w:t>properties by the respondents was as focussed as possible and with a view to avoiding multiple inspections.</w:t>
      </w:r>
      <w:r w:rsidRPr="004F6C8D">
        <w:rPr>
          <w:rFonts w:ascii="Times New Roman" w:hAnsi="Times New Roman"/>
          <w:sz w:val="24"/>
        </w:rPr>
        <w:t xml:space="preserve"> </w:t>
      </w:r>
    </w:p>
    <w:p w14:paraId="380478C9" w14:textId="77777777"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 xml:space="preserve">The respondents deny that the order of the trial judge constituted a reversal of the burden of proof.  They further deny that the order was in any way oppressive or burdensome and endorsed the view of the trial judge that, in the event that the appellants are successful in the proceedings, they will recover the costs of complying with the order under appeal as costs in the cause. </w:t>
      </w:r>
    </w:p>
    <w:p w14:paraId="1E9A7E47" w14:textId="0A383253" w:rsidR="00DE6D99" w:rsidRDefault="00DE6D99" w:rsidP="0058287A">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respondents deny that the High Court made any adverse findings against the appellants without affording them an opportunity to be heard, and while the appellants have taken exception to the contents of para. 25 of the judgment under appeal, they have passed no comment upon or sought to reject the contents of para. 26, which provide support for the more general conclusions in para. 25.  The manner in which parties to proceedings conduct themselves may be the subject of criticism by a court including in any judgment delivered by a court and the assertion that the parties should have further opportunities, after the conclusion of the proceedings, or</w:t>
      </w:r>
      <w:r w:rsidR="00A87205">
        <w:rPr>
          <w:rFonts w:ascii="Times New Roman" w:hAnsi="Times New Roman"/>
          <w:sz w:val="24"/>
        </w:rPr>
        <w:t xml:space="preserve"> the conclusion of</w:t>
      </w:r>
      <w:r>
        <w:rPr>
          <w:rFonts w:ascii="Times New Roman" w:hAnsi="Times New Roman"/>
          <w:sz w:val="24"/>
        </w:rPr>
        <w:t xml:space="preserve"> an</w:t>
      </w:r>
      <w:r w:rsidR="00A87205">
        <w:rPr>
          <w:rFonts w:ascii="Times New Roman" w:hAnsi="Times New Roman"/>
          <w:sz w:val="24"/>
        </w:rPr>
        <w:t>y</w:t>
      </w:r>
      <w:r>
        <w:rPr>
          <w:rFonts w:ascii="Times New Roman" w:hAnsi="Times New Roman"/>
          <w:sz w:val="24"/>
        </w:rPr>
        <w:t xml:space="preserve"> interlocutory </w:t>
      </w:r>
      <w:r w:rsidR="00A87205">
        <w:rPr>
          <w:rFonts w:ascii="Times New Roman" w:hAnsi="Times New Roman"/>
          <w:sz w:val="24"/>
        </w:rPr>
        <w:t>application,</w:t>
      </w:r>
      <w:r>
        <w:rPr>
          <w:rFonts w:ascii="Times New Roman" w:hAnsi="Times New Roman"/>
          <w:sz w:val="24"/>
        </w:rPr>
        <w:t xml:space="preserve"> to make submissions about their conduct or to adduce further evidence in connection therewith, before they may be criticised in respect of such matters, is misconceived a matter of law.  </w:t>
      </w:r>
    </w:p>
    <w:p w14:paraId="27EB39AB" w14:textId="1C591459" w:rsidR="00DE6D99" w:rsidRPr="00BD2857" w:rsidRDefault="00DE6D99" w:rsidP="0058287A">
      <w:pPr>
        <w:tabs>
          <w:tab w:val="left" w:pos="567"/>
        </w:tabs>
        <w:spacing w:line="480" w:lineRule="auto"/>
        <w:jc w:val="both"/>
        <w:rPr>
          <w:b/>
          <w:u w:val="single"/>
        </w:rPr>
      </w:pPr>
      <w:r>
        <w:rPr>
          <w:b/>
          <w:u w:val="single"/>
        </w:rPr>
        <w:t>Developments subsequent to order under appeal</w:t>
      </w:r>
    </w:p>
    <w:p w14:paraId="061020BA" w14:textId="6016CD22" w:rsidR="00DE6D99" w:rsidRDefault="00E11C61"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As mentioned above, i</w:t>
      </w:r>
      <w:r w:rsidR="00DE6D99">
        <w:rPr>
          <w:rFonts w:ascii="Times New Roman" w:hAnsi="Times New Roman"/>
          <w:sz w:val="24"/>
        </w:rPr>
        <w:t xml:space="preserve">n May 2019, </w:t>
      </w:r>
      <w:r>
        <w:rPr>
          <w:rFonts w:ascii="Times New Roman" w:hAnsi="Times New Roman"/>
          <w:sz w:val="24"/>
        </w:rPr>
        <w:t xml:space="preserve">in accordance with the order for a stay granted by the trial </w:t>
      </w:r>
      <w:r w:rsidR="00202519">
        <w:rPr>
          <w:rFonts w:ascii="Times New Roman" w:hAnsi="Times New Roman"/>
          <w:sz w:val="24"/>
        </w:rPr>
        <w:t>j</w:t>
      </w:r>
      <w:r w:rsidR="00C97469">
        <w:rPr>
          <w:rFonts w:ascii="Times New Roman" w:hAnsi="Times New Roman"/>
          <w:sz w:val="24"/>
        </w:rPr>
        <w:t>udge,</w:t>
      </w:r>
      <w:r w:rsidR="00202519">
        <w:rPr>
          <w:rFonts w:ascii="Times New Roman" w:hAnsi="Times New Roman"/>
          <w:sz w:val="24"/>
        </w:rPr>
        <w:t xml:space="preserve"> </w:t>
      </w:r>
      <w:r w:rsidR="004952BB">
        <w:rPr>
          <w:rFonts w:ascii="Times New Roman" w:hAnsi="Times New Roman"/>
          <w:sz w:val="24"/>
        </w:rPr>
        <w:t>Roadstone</w:t>
      </w:r>
      <w:r w:rsidR="00DE6D99">
        <w:rPr>
          <w:rFonts w:ascii="Times New Roman" w:hAnsi="Times New Roman"/>
          <w:sz w:val="24"/>
        </w:rPr>
        <w:t xml:space="preserve"> provided the respondents with documentation, comprising blasting records</w:t>
      </w:r>
      <w:r w:rsidR="004952BB">
        <w:rPr>
          <w:rFonts w:ascii="Times New Roman" w:hAnsi="Times New Roman"/>
          <w:sz w:val="24"/>
        </w:rPr>
        <w:t xml:space="preserve">, extraction plans </w:t>
      </w:r>
      <w:r w:rsidR="00DE6D99">
        <w:rPr>
          <w:rFonts w:ascii="Times New Roman" w:hAnsi="Times New Roman"/>
          <w:sz w:val="24"/>
        </w:rPr>
        <w:t xml:space="preserve">and delivery dockets, so as to enable the respondents themselves to identify the relevant locations within the </w:t>
      </w:r>
      <w:r w:rsidR="004952BB">
        <w:rPr>
          <w:rFonts w:ascii="Times New Roman" w:hAnsi="Times New Roman"/>
          <w:sz w:val="24"/>
        </w:rPr>
        <w:t xml:space="preserve">Roadstone </w:t>
      </w:r>
      <w:r w:rsidR="00DE6D99">
        <w:rPr>
          <w:rFonts w:ascii="Times New Roman" w:hAnsi="Times New Roman"/>
          <w:sz w:val="24"/>
        </w:rPr>
        <w:t xml:space="preserve">quarries </w:t>
      </w:r>
      <w:r w:rsidR="004952BB">
        <w:rPr>
          <w:rFonts w:ascii="Times New Roman" w:hAnsi="Times New Roman"/>
          <w:sz w:val="24"/>
        </w:rPr>
        <w:t>from</w:t>
      </w:r>
      <w:r w:rsidR="00DE6D99">
        <w:rPr>
          <w:rFonts w:ascii="Times New Roman" w:hAnsi="Times New Roman"/>
          <w:sz w:val="24"/>
        </w:rPr>
        <w:t xml:space="preserve"> which stone was extracted and subsequently supplied to the respondents.  By arrangement, the respondents </w:t>
      </w:r>
      <w:r w:rsidR="00DE6D99">
        <w:rPr>
          <w:rFonts w:ascii="Times New Roman" w:hAnsi="Times New Roman"/>
          <w:sz w:val="24"/>
        </w:rPr>
        <w:lastRenderedPageBreak/>
        <w:t xml:space="preserve">subsequently attended </w:t>
      </w:r>
      <w:r w:rsidR="004952BB">
        <w:rPr>
          <w:rFonts w:ascii="Times New Roman" w:hAnsi="Times New Roman"/>
          <w:sz w:val="24"/>
        </w:rPr>
        <w:t xml:space="preserve">at the Roadstone quarries at </w:t>
      </w:r>
      <w:proofErr w:type="spellStart"/>
      <w:r w:rsidR="004952BB">
        <w:rPr>
          <w:rFonts w:ascii="Times New Roman" w:hAnsi="Times New Roman"/>
          <w:sz w:val="24"/>
        </w:rPr>
        <w:t>Huntstown</w:t>
      </w:r>
      <w:proofErr w:type="spellEnd"/>
      <w:r w:rsidR="004952BB">
        <w:rPr>
          <w:rFonts w:ascii="Times New Roman" w:hAnsi="Times New Roman"/>
          <w:sz w:val="24"/>
        </w:rPr>
        <w:t xml:space="preserve">, Belgard and </w:t>
      </w:r>
      <w:proofErr w:type="spellStart"/>
      <w:r w:rsidR="004952BB">
        <w:rPr>
          <w:rFonts w:ascii="Times New Roman" w:hAnsi="Times New Roman"/>
          <w:sz w:val="24"/>
        </w:rPr>
        <w:t>Feltrim</w:t>
      </w:r>
      <w:proofErr w:type="spellEnd"/>
      <w:r w:rsidR="004952BB">
        <w:rPr>
          <w:rFonts w:ascii="Times New Roman" w:hAnsi="Times New Roman"/>
          <w:sz w:val="24"/>
        </w:rPr>
        <w:t xml:space="preserve"> </w:t>
      </w:r>
      <w:r w:rsidR="00DE6D99">
        <w:rPr>
          <w:rFonts w:ascii="Times New Roman" w:hAnsi="Times New Roman"/>
          <w:sz w:val="24"/>
        </w:rPr>
        <w:t xml:space="preserve">to inspect the locations which they had identified from the documentation provided, and to take samples from those locations.  </w:t>
      </w:r>
    </w:p>
    <w:p w14:paraId="33C43D9D" w14:textId="65C8869D"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the event that this appeal is determined against the appellants, the stay will of course fall away, and, in the submission of the appellants, will leave</w:t>
      </w:r>
      <w:r w:rsidR="004952BB">
        <w:rPr>
          <w:rFonts w:ascii="Times New Roman" w:hAnsi="Times New Roman"/>
          <w:sz w:val="24"/>
        </w:rPr>
        <w:t xml:space="preserve"> Roadstone</w:t>
      </w:r>
      <w:r>
        <w:rPr>
          <w:rFonts w:ascii="Times New Roman" w:hAnsi="Times New Roman"/>
          <w:sz w:val="24"/>
        </w:rPr>
        <w:t xml:space="preserve"> subject to a free standing obligation (i.e. a continuing obligation, notwithstanding that the inspection has taken place), which is matter of great concern to the appellants.  The respondents however argue that the obligation to identify locations is not a free standing obligation, but is one ancillary to the order for inspection, and submit that this is abundantly clear from the judgment of Murphy J. at para.</w:t>
      </w:r>
      <w:r w:rsidR="00202519">
        <w:rPr>
          <w:rFonts w:ascii="Times New Roman" w:hAnsi="Times New Roman"/>
          <w:sz w:val="24"/>
        </w:rPr>
        <w:t xml:space="preserve"> </w:t>
      </w:r>
      <w:r w:rsidR="00F70E57">
        <w:rPr>
          <w:rFonts w:ascii="Times New Roman" w:hAnsi="Times New Roman"/>
          <w:sz w:val="24"/>
        </w:rPr>
        <w:t>30 thereof, wherein she states that the order [to identify locations] is made in order to “</w:t>
      </w:r>
      <w:r w:rsidR="00F70E57" w:rsidRPr="00202519">
        <w:rPr>
          <w:rFonts w:ascii="Times New Roman" w:hAnsi="Times New Roman"/>
          <w:i/>
          <w:iCs/>
          <w:sz w:val="24"/>
        </w:rPr>
        <w:t>give effect to</w:t>
      </w:r>
      <w:r w:rsidR="00F70E57">
        <w:rPr>
          <w:rFonts w:ascii="Times New Roman" w:hAnsi="Times New Roman"/>
          <w:sz w:val="24"/>
        </w:rPr>
        <w:t>” the order for inspection and sampling.</w:t>
      </w:r>
      <w:r>
        <w:rPr>
          <w:rFonts w:ascii="Times New Roman" w:hAnsi="Times New Roman"/>
          <w:sz w:val="24"/>
        </w:rPr>
        <w:t xml:space="preserve">   </w:t>
      </w:r>
    </w:p>
    <w:p w14:paraId="0A7C72CD" w14:textId="58E11923"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inspection and sampling undertaken by the respondents gave rise to an exchange of correspondence between the solicitors for the parties in the lead up to the hearing of this appeal, and subsequent to the exchange of submissions by the parties.  In a letter of 12</w:t>
      </w:r>
      <w:r w:rsidRPr="004437C4">
        <w:rPr>
          <w:rFonts w:ascii="Times New Roman" w:hAnsi="Times New Roman"/>
          <w:sz w:val="24"/>
          <w:vertAlign w:val="superscript"/>
        </w:rPr>
        <w:t>th</w:t>
      </w:r>
      <w:r>
        <w:rPr>
          <w:rFonts w:ascii="Times New Roman" w:hAnsi="Times New Roman"/>
          <w:sz w:val="24"/>
        </w:rPr>
        <w:t xml:space="preserve"> November 2020, Messrs. Arthur Cox, solicitors for the appellants, proposed to Messrs. Byrne Wallace, solicitors for the respondents, that the respondents should confirm:</w:t>
      </w:r>
    </w:p>
    <w:p w14:paraId="634CCFE1" w14:textId="7E25529B" w:rsidR="00DE6D99" w:rsidRDefault="00DE6D99" w:rsidP="00857A99">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 That </w:t>
      </w:r>
      <w:r w:rsidRPr="004437C4">
        <w:rPr>
          <w:rFonts w:ascii="Times New Roman" w:hAnsi="Times New Roman"/>
          <w:sz w:val="24"/>
        </w:rPr>
        <w:t>the appeal from the “</w:t>
      </w:r>
      <w:r w:rsidRPr="00202519">
        <w:rPr>
          <w:rFonts w:ascii="Times New Roman" w:hAnsi="Times New Roman"/>
          <w:i/>
          <w:iCs/>
          <w:sz w:val="24"/>
        </w:rPr>
        <w:t>locations</w:t>
      </w:r>
      <w:r w:rsidRPr="004437C4">
        <w:rPr>
          <w:rFonts w:ascii="Times New Roman" w:hAnsi="Times New Roman"/>
          <w:sz w:val="24"/>
        </w:rPr>
        <w:t>” portion of the High Court order should be</w:t>
      </w:r>
      <w:r w:rsidR="00202519">
        <w:rPr>
          <w:rFonts w:ascii="Times New Roman" w:hAnsi="Times New Roman"/>
          <w:sz w:val="24"/>
        </w:rPr>
        <w:t xml:space="preserve"> </w:t>
      </w:r>
      <w:r w:rsidRPr="004437C4">
        <w:rPr>
          <w:rFonts w:ascii="Times New Roman" w:hAnsi="Times New Roman"/>
          <w:sz w:val="24"/>
        </w:rPr>
        <w:t>allowed on consent and</w:t>
      </w:r>
      <w:r>
        <w:rPr>
          <w:rFonts w:ascii="Times New Roman" w:hAnsi="Times New Roman"/>
          <w:sz w:val="24"/>
        </w:rPr>
        <w:t>,</w:t>
      </w:r>
    </w:p>
    <w:p w14:paraId="14CFC76D" w14:textId="6E433741" w:rsidR="00DE6D99" w:rsidRPr="004437C4" w:rsidRDefault="00DE6D99" w:rsidP="00857A99">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(ii) </w:t>
      </w:r>
      <w:r w:rsidR="003E4585">
        <w:rPr>
          <w:rFonts w:ascii="Times New Roman" w:hAnsi="Times New Roman"/>
          <w:sz w:val="24"/>
        </w:rPr>
        <w:t>T</w:t>
      </w:r>
      <w:r>
        <w:rPr>
          <w:rFonts w:ascii="Times New Roman" w:hAnsi="Times New Roman"/>
          <w:sz w:val="24"/>
        </w:rPr>
        <w:t xml:space="preserve">hat they would not seek any further inspections of </w:t>
      </w:r>
      <w:r w:rsidR="008175B5">
        <w:rPr>
          <w:rFonts w:ascii="Times New Roman" w:hAnsi="Times New Roman"/>
          <w:sz w:val="24"/>
        </w:rPr>
        <w:t>Roadstone’s</w:t>
      </w:r>
      <w:r>
        <w:rPr>
          <w:rFonts w:ascii="Times New Roman" w:hAnsi="Times New Roman"/>
          <w:sz w:val="24"/>
        </w:rPr>
        <w:t xml:space="preserve"> quarries.</w:t>
      </w:r>
    </w:p>
    <w:p w14:paraId="02226E87" w14:textId="1520D521"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letter then went on to say that if such confirmations were provided, the appellants would bear their own costs in respect of this aspect of the appeal, on the basis that the respondents would do likewise.  This proposal was made in the light of the contents of paras. 7 and 8 of the submissions of the respondent</w:t>
      </w:r>
      <w:r w:rsidR="008545E2">
        <w:rPr>
          <w:rFonts w:ascii="Times New Roman" w:hAnsi="Times New Roman"/>
          <w:sz w:val="24"/>
        </w:rPr>
        <w:t>s</w:t>
      </w:r>
      <w:r>
        <w:rPr>
          <w:rFonts w:ascii="Times New Roman" w:hAnsi="Times New Roman"/>
          <w:sz w:val="24"/>
        </w:rPr>
        <w:t xml:space="preserve"> in which they stated as follows:</w:t>
      </w:r>
    </w:p>
    <w:p w14:paraId="4AFBD65D" w14:textId="59ED40A4" w:rsidR="00202519" w:rsidRPr="00202519" w:rsidRDefault="00DE6D99" w:rsidP="0058287A">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00202519" w:rsidRPr="00202519">
        <w:rPr>
          <w:rFonts w:ascii="Times New Roman" w:hAnsi="Times New Roman"/>
          <w:i/>
          <w:iCs/>
          <w:sz w:val="24"/>
        </w:rPr>
        <w:t xml:space="preserve">7. </w:t>
      </w:r>
      <w:r w:rsidRPr="00202519">
        <w:rPr>
          <w:rFonts w:ascii="Times New Roman" w:hAnsi="Times New Roman"/>
          <w:i/>
          <w:iCs/>
          <w:sz w:val="24"/>
        </w:rPr>
        <w:t xml:space="preserve">The first four grounds of appeal relate to the locations portion of the </w:t>
      </w:r>
      <w:r w:rsidR="00202519" w:rsidRPr="00202519">
        <w:rPr>
          <w:rFonts w:ascii="Times New Roman" w:hAnsi="Times New Roman"/>
          <w:i/>
          <w:iCs/>
          <w:sz w:val="24"/>
        </w:rPr>
        <w:t>O</w:t>
      </w:r>
      <w:r w:rsidRPr="00202519">
        <w:rPr>
          <w:rFonts w:ascii="Times New Roman" w:hAnsi="Times New Roman"/>
          <w:i/>
          <w:iCs/>
          <w:sz w:val="24"/>
        </w:rPr>
        <w:t xml:space="preserve">rder.  After the judgment and </w:t>
      </w:r>
      <w:r w:rsidR="00202519" w:rsidRPr="00202519">
        <w:rPr>
          <w:rFonts w:ascii="Times New Roman" w:hAnsi="Times New Roman"/>
          <w:i/>
          <w:iCs/>
          <w:sz w:val="24"/>
        </w:rPr>
        <w:t>O</w:t>
      </w:r>
      <w:r w:rsidRPr="00202519">
        <w:rPr>
          <w:rFonts w:ascii="Times New Roman" w:hAnsi="Times New Roman"/>
          <w:i/>
          <w:iCs/>
          <w:sz w:val="24"/>
        </w:rPr>
        <w:t xml:space="preserve">rder of the High Court, Roadstone furnished extensive </w:t>
      </w:r>
      <w:r w:rsidRPr="00202519">
        <w:rPr>
          <w:rFonts w:ascii="Times New Roman" w:hAnsi="Times New Roman"/>
          <w:i/>
          <w:iCs/>
          <w:sz w:val="24"/>
        </w:rPr>
        <w:lastRenderedPageBreak/>
        <w:t xml:space="preserve">documentation and information to the </w:t>
      </w:r>
      <w:r w:rsidR="00202519" w:rsidRPr="00202519">
        <w:rPr>
          <w:rFonts w:ascii="Times New Roman" w:hAnsi="Times New Roman"/>
          <w:i/>
          <w:iCs/>
          <w:sz w:val="24"/>
        </w:rPr>
        <w:t>R</w:t>
      </w:r>
      <w:r w:rsidRPr="00202519">
        <w:rPr>
          <w:rFonts w:ascii="Times New Roman" w:hAnsi="Times New Roman"/>
          <w:i/>
          <w:iCs/>
          <w:sz w:val="24"/>
        </w:rPr>
        <w:t xml:space="preserve">espondents relating to the identification of the relevant locations, provided confirmations in respect thereof on </w:t>
      </w:r>
      <w:r w:rsidR="00202519" w:rsidRPr="00202519">
        <w:rPr>
          <w:rFonts w:ascii="Times New Roman" w:hAnsi="Times New Roman"/>
          <w:i/>
          <w:iCs/>
          <w:sz w:val="24"/>
        </w:rPr>
        <w:t>A</w:t>
      </w:r>
      <w:r w:rsidRPr="00202519">
        <w:rPr>
          <w:rFonts w:ascii="Times New Roman" w:hAnsi="Times New Roman"/>
          <w:i/>
          <w:iCs/>
          <w:sz w:val="24"/>
        </w:rPr>
        <w:t xml:space="preserve">ffidavit and facilitated pre-inspection visits to the quarries, in the light of which the inspection of the Roadstone quarries took place in August and September 2019.  </w:t>
      </w:r>
    </w:p>
    <w:p w14:paraId="7DF6E0EB" w14:textId="08B59BB2" w:rsidR="00DE6D99" w:rsidRPr="009E2BF0" w:rsidRDefault="00202519" w:rsidP="0058287A">
      <w:pPr>
        <w:pStyle w:val="ListParagraph"/>
        <w:tabs>
          <w:tab w:val="left" w:pos="567"/>
        </w:tabs>
        <w:spacing w:line="480" w:lineRule="auto"/>
        <w:ind w:left="567"/>
        <w:rPr>
          <w:rFonts w:ascii="Times New Roman" w:hAnsi="Times New Roman"/>
          <w:sz w:val="24"/>
        </w:rPr>
      </w:pPr>
      <w:r w:rsidRPr="00202519">
        <w:rPr>
          <w:rFonts w:ascii="Times New Roman" w:hAnsi="Times New Roman"/>
          <w:i/>
          <w:iCs/>
          <w:sz w:val="24"/>
        </w:rPr>
        <w:t xml:space="preserve">8. </w:t>
      </w:r>
      <w:r w:rsidR="00DE6D99" w:rsidRPr="00202519">
        <w:rPr>
          <w:rFonts w:ascii="Times New Roman" w:hAnsi="Times New Roman"/>
          <w:i/>
          <w:iCs/>
          <w:sz w:val="24"/>
        </w:rPr>
        <w:t>The effect of the foregoing in conjunction with the significant narrowing of the grounds of appeal apparent from the submissions on behalf of Roadstone noted above has been to render each of these grounds of appeal moot and to obviate any conceivable basis for the appeal by reference thereto</w:t>
      </w:r>
      <w:r w:rsidRPr="00202519">
        <w:rPr>
          <w:rFonts w:ascii="Times New Roman" w:hAnsi="Times New Roman"/>
          <w:i/>
          <w:iCs/>
          <w:sz w:val="24"/>
        </w:rPr>
        <w:t>.</w:t>
      </w:r>
      <w:r w:rsidR="00DE6D99">
        <w:rPr>
          <w:rFonts w:ascii="Times New Roman" w:hAnsi="Times New Roman"/>
          <w:sz w:val="24"/>
        </w:rPr>
        <w:t xml:space="preserve">”  </w:t>
      </w:r>
    </w:p>
    <w:p w14:paraId="031F9A34" w14:textId="23ABB1D9"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As mentioned above, the appellants were concerned that the locations part of the order created a free</w:t>
      </w:r>
      <w:r w:rsidR="008545E2">
        <w:rPr>
          <w:rFonts w:ascii="Times New Roman" w:hAnsi="Times New Roman"/>
          <w:sz w:val="24"/>
        </w:rPr>
        <w:t>-</w:t>
      </w:r>
      <w:r>
        <w:rPr>
          <w:rFonts w:ascii="Times New Roman" w:hAnsi="Times New Roman"/>
          <w:sz w:val="24"/>
        </w:rPr>
        <w:t xml:space="preserve">standing obligation and therefore did not accept that the inspection and sampling that had taken place obviated any conceivable basis for the appeal.  It was for that reason that they proposed, as they did, that the respondents confirm that the appeal from the locations portion of the order should be allowed, and that no further inspection of </w:t>
      </w:r>
      <w:r w:rsidR="008175B5">
        <w:rPr>
          <w:rFonts w:ascii="Times New Roman" w:hAnsi="Times New Roman"/>
          <w:sz w:val="24"/>
        </w:rPr>
        <w:t>Roadstone’s</w:t>
      </w:r>
      <w:r>
        <w:rPr>
          <w:rFonts w:ascii="Times New Roman" w:hAnsi="Times New Roman"/>
          <w:sz w:val="24"/>
        </w:rPr>
        <w:t xml:space="preserve"> quarries would be sought.</w:t>
      </w:r>
    </w:p>
    <w:p w14:paraId="6E6B66A0" w14:textId="4D3CE4E5"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Messrs. Byrne Wallace replied by letter dated 18</w:t>
      </w:r>
      <w:r w:rsidRPr="00F00578">
        <w:rPr>
          <w:rFonts w:ascii="Times New Roman" w:hAnsi="Times New Roman"/>
          <w:sz w:val="24"/>
          <w:vertAlign w:val="superscript"/>
        </w:rPr>
        <w:t>th</w:t>
      </w:r>
      <w:r>
        <w:rPr>
          <w:rFonts w:ascii="Times New Roman" w:hAnsi="Times New Roman"/>
          <w:sz w:val="24"/>
        </w:rPr>
        <w:t xml:space="preserve"> November 2020.  They did not accept that the locations part of the order had any form of independent existence.  They took the position that the locations part of the order was merely to “</w:t>
      </w:r>
      <w:r w:rsidRPr="00632BB4">
        <w:rPr>
          <w:rFonts w:ascii="Times New Roman" w:hAnsi="Times New Roman"/>
          <w:i/>
          <w:iCs/>
          <w:sz w:val="24"/>
        </w:rPr>
        <w:t>give effect to</w:t>
      </w:r>
      <w:r>
        <w:rPr>
          <w:rFonts w:ascii="Times New Roman" w:hAnsi="Times New Roman"/>
          <w:sz w:val="24"/>
        </w:rPr>
        <w:t>” the principal order</w:t>
      </w:r>
      <w:r w:rsidR="00632BB4">
        <w:rPr>
          <w:rFonts w:ascii="Times New Roman" w:hAnsi="Times New Roman"/>
          <w:sz w:val="24"/>
        </w:rPr>
        <w:t>,</w:t>
      </w:r>
      <w:r>
        <w:rPr>
          <w:rFonts w:ascii="Times New Roman" w:hAnsi="Times New Roman"/>
          <w:sz w:val="24"/>
        </w:rPr>
        <w:t xml:space="preserve"> i.e. the order for inspection.  They referred to the penultimate paragraph of the judgment of the High Court in which the trial judge stated:</w:t>
      </w:r>
    </w:p>
    <w:p w14:paraId="294CE8A3" w14:textId="4A73A51E" w:rsidR="00DE6D99" w:rsidRPr="009E2BF0" w:rsidRDefault="00DE6D99"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4513BC">
        <w:rPr>
          <w:rFonts w:ascii="Times New Roman" w:hAnsi="Times New Roman"/>
          <w:i/>
          <w:iCs/>
          <w:sz w:val="24"/>
        </w:rPr>
        <w:t xml:space="preserve">For all of the reasons stated herein, the </w:t>
      </w:r>
      <w:r w:rsidR="00977AD4" w:rsidRPr="004513BC">
        <w:rPr>
          <w:rFonts w:ascii="Times New Roman" w:hAnsi="Times New Roman"/>
          <w:i/>
          <w:iCs/>
          <w:sz w:val="24"/>
        </w:rPr>
        <w:t>c</w:t>
      </w:r>
      <w:r w:rsidRPr="004513BC">
        <w:rPr>
          <w:rFonts w:ascii="Times New Roman" w:hAnsi="Times New Roman"/>
          <w:i/>
          <w:iCs/>
          <w:sz w:val="24"/>
        </w:rPr>
        <w:t xml:space="preserve">ourt proposes to make an order for the inspection and sampling of the relevant locations in Roadstone’s quarries at </w:t>
      </w:r>
      <w:proofErr w:type="spellStart"/>
      <w:r w:rsidRPr="004513BC">
        <w:rPr>
          <w:rFonts w:ascii="Times New Roman" w:hAnsi="Times New Roman"/>
          <w:i/>
          <w:iCs/>
          <w:sz w:val="24"/>
        </w:rPr>
        <w:t>Huntstown</w:t>
      </w:r>
      <w:proofErr w:type="spellEnd"/>
      <w:r w:rsidRPr="004513BC">
        <w:rPr>
          <w:rFonts w:ascii="Times New Roman" w:hAnsi="Times New Roman"/>
          <w:i/>
          <w:iCs/>
          <w:sz w:val="24"/>
        </w:rPr>
        <w:t xml:space="preserve">, Belgard and </w:t>
      </w:r>
      <w:proofErr w:type="spellStart"/>
      <w:r w:rsidRPr="004513BC">
        <w:rPr>
          <w:rFonts w:ascii="Times New Roman" w:hAnsi="Times New Roman"/>
          <w:i/>
          <w:iCs/>
          <w:sz w:val="24"/>
        </w:rPr>
        <w:t>Feltrim</w:t>
      </w:r>
      <w:proofErr w:type="spellEnd"/>
      <w:r w:rsidRPr="004513BC">
        <w:rPr>
          <w:rFonts w:ascii="Times New Roman" w:hAnsi="Times New Roman"/>
          <w:i/>
          <w:iCs/>
          <w:sz w:val="24"/>
        </w:rPr>
        <w:t xml:space="preserve"> from which stone was extracted and delivered to the plaintiff’s development at </w:t>
      </w:r>
      <w:proofErr w:type="spellStart"/>
      <w:r w:rsidRPr="004513BC">
        <w:rPr>
          <w:rFonts w:ascii="Times New Roman" w:hAnsi="Times New Roman"/>
          <w:i/>
          <w:iCs/>
          <w:sz w:val="24"/>
        </w:rPr>
        <w:t>Drumnigh</w:t>
      </w:r>
      <w:proofErr w:type="spellEnd"/>
      <w:r w:rsidRPr="004513BC">
        <w:rPr>
          <w:rFonts w:ascii="Times New Roman" w:hAnsi="Times New Roman"/>
          <w:i/>
          <w:iCs/>
          <w:sz w:val="24"/>
        </w:rPr>
        <w:t xml:space="preserve"> Wood Estate. To give effect to that order, the </w:t>
      </w:r>
      <w:r w:rsidR="00977AD4" w:rsidRPr="004513BC">
        <w:rPr>
          <w:rFonts w:ascii="Times New Roman" w:hAnsi="Times New Roman"/>
          <w:i/>
          <w:iCs/>
          <w:sz w:val="24"/>
        </w:rPr>
        <w:t>c</w:t>
      </w:r>
      <w:r w:rsidRPr="004513BC">
        <w:rPr>
          <w:rFonts w:ascii="Times New Roman" w:hAnsi="Times New Roman"/>
          <w:i/>
          <w:iCs/>
          <w:sz w:val="24"/>
        </w:rPr>
        <w:t>ourt directs the first defendant Roadstone, to identify the relevant locations.</w:t>
      </w:r>
      <w:r>
        <w:rPr>
          <w:rFonts w:ascii="Times New Roman" w:hAnsi="Times New Roman"/>
          <w:sz w:val="24"/>
        </w:rPr>
        <w:t>”</w:t>
      </w:r>
    </w:p>
    <w:p w14:paraId="06857DF9" w14:textId="583D790E"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Messrs. Byrne Wallace went on to say that as the inspection had taken place, there could be no question of </w:t>
      </w:r>
      <w:r w:rsidR="008175B5">
        <w:rPr>
          <w:rFonts w:ascii="Times New Roman" w:hAnsi="Times New Roman"/>
          <w:sz w:val="24"/>
        </w:rPr>
        <w:t>Roadstone</w:t>
      </w:r>
      <w:r>
        <w:rPr>
          <w:rFonts w:ascii="Times New Roman" w:hAnsi="Times New Roman"/>
          <w:sz w:val="24"/>
        </w:rPr>
        <w:t xml:space="preserve"> being required to take steps to give effect to the locations portion of the order, whether by identifying relevant locations in the quarries or otherwise.  </w:t>
      </w:r>
    </w:p>
    <w:p w14:paraId="4A3E7B3E" w14:textId="77777777" w:rsidR="00DE6D99" w:rsidRPr="009E2BF0"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respondents’ solicitors also noted that, when applying for the stay on the locations portion of the order, the appellants did not file any affidavit explaining the difficulties asserted by them in complying with the locations part of the order, and nor did they exercise the liberty to apply granted to them by the trial judge.  In response to the proposal made on behalf of the appellants, the respondents replied that the appellants should consent to an order striking out the entire appeal, including the fifth ground of appeal concerning para. 25 of the judgment of the High Court.  </w:t>
      </w:r>
    </w:p>
    <w:p w14:paraId="5A0AE5CB" w14:textId="015B47BF"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Two further letters were exchanged between the solicitors, but the parties were unable to reach agreement.  One point of significance did arise from this correspondence however, and that is that in response to a point made by Arthur Cox that the respondents had not unequivocally confirmed that the order of the High Court was spent, and that they would not seek further inspections of the </w:t>
      </w:r>
      <w:r w:rsidR="008175B5">
        <w:rPr>
          <w:rFonts w:ascii="Times New Roman" w:hAnsi="Times New Roman"/>
          <w:sz w:val="24"/>
        </w:rPr>
        <w:t xml:space="preserve">Roadstone </w:t>
      </w:r>
      <w:r>
        <w:rPr>
          <w:rFonts w:ascii="Times New Roman" w:hAnsi="Times New Roman"/>
          <w:sz w:val="24"/>
        </w:rPr>
        <w:t>quarries, Messrs</w:t>
      </w:r>
      <w:r w:rsidR="00722DF4">
        <w:rPr>
          <w:rFonts w:ascii="Times New Roman" w:hAnsi="Times New Roman"/>
          <w:sz w:val="24"/>
        </w:rPr>
        <w:t>.</w:t>
      </w:r>
      <w:r>
        <w:rPr>
          <w:rFonts w:ascii="Times New Roman" w:hAnsi="Times New Roman"/>
          <w:sz w:val="24"/>
        </w:rPr>
        <w:t xml:space="preserve"> Byrne Wallace, in a letter of 25</w:t>
      </w:r>
      <w:r w:rsidRPr="00C04328">
        <w:rPr>
          <w:rFonts w:ascii="Times New Roman" w:hAnsi="Times New Roman"/>
          <w:sz w:val="24"/>
          <w:vertAlign w:val="superscript"/>
        </w:rPr>
        <w:t>th</w:t>
      </w:r>
      <w:r>
        <w:rPr>
          <w:rFonts w:ascii="Times New Roman" w:hAnsi="Times New Roman"/>
          <w:sz w:val="24"/>
        </w:rPr>
        <w:t xml:space="preserve"> November 2020, stated: </w:t>
      </w:r>
      <w:r w:rsidRPr="00C04328">
        <w:rPr>
          <w:rFonts w:ascii="Times New Roman" w:hAnsi="Times New Roman"/>
          <w:sz w:val="24"/>
        </w:rPr>
        <w:t>“</w:t>
      </w:r>
      <w:r w:rsidRPr="00722DF4">
        <w:rPr>
          <w:rFonts w:ascii="Times New Roman" w:hAnsi="Times New Roman"/>
          <w:i/>
          <w:iCs/>
          <w:sz w:val="24"/>
        </w:rPr>
        <w:t>It is and has been perfectly clear that our clients will not need to, and will not, conduct further inspection of your clients’ quarries.</w:t>
      </w:r>
      <w:r w:rsidRPr="00C04328">
        <w:rPr>
          <w:rFonts w:ascii="Times New Roman" w:hAnsi="Times New Roman"/>
          <w:sz w:val="24"/>
        </w:rPr>
        <w:t>”</w:t>
      </w:r>
      <w:r>
        <w:rPr>
          <w:rFonts w:ascii="Times New Roman" w:hAnsi="Times New Roman"/>
          <w:sz w:val="24"/>
        </w:rPr>
        <w:t xml:space="preserve"> This statement was made on the basis</w:t>
      </w:r>
      <w:r w:rsidR="00E3670B">
        <w:rPr>
          <w:rFonts w:ascii="Times New Roman" w:hAnsi="Times New Roman"/>
          <w:sz w:val="24"/>
        </w:rPr>
        <w:t>, referred to in the immediately preceding sentence of that letter,</w:t>
      </w:r>
      <w:r>
        <w:rPr>
          <w:rFonts w:ascii="Times New Roman" w:hAnsi="Times New Roman"/>
          <w:sz w:val="24"/>
        </w:rPr>
        <w:t xml:space="preserve"> that the respondents accepted what had been stated on affidavit and by way of correspondence on behalf of the appellants</w:t>
      </w:r>
      <w:r w:rsidR="00722DF4">
        <w:rPr>
          <w:rFonts w:ascii="Times New Roman" w:hAnsi="Times New Roman"/>
          <w:sz w:val="24"/>
        </w:rPr>
        <w:t>,</w:t>
      </w:r>
      <w:r>
        <w:rPr>
          <w:rFonts w:ascii="Times New Roman" w:hAnsi="Times New Roman"/>
          <w:sz w:val="24"/>
        </w:rPr>
        <w:t xml:space="preserve"> i.e. that they had provided such information as they could in order to enable the relevant locations in the quarries from which samples should be taken to be identified, “</w:t>
      </w:r>
      <w:r w:rsidRPr="00722DF4">
        <w:rPr>
          <w:rFonts w:ascii="Times New Roman" w:hAnsi="Times New Roman"/>
          <w:i/>
          <w:iCs/>
          <w:sz w:val="24"/>
        </w:rPr>
        <w:t>insofar as possible</w:t>
      </w:r>
      <w:r>
        <w:rPr>
          <w:rFonts w:ascii="Times New Roman" w:hAnsi="Times New Roman"/>
          <w:sz w:val="24"/>
        </w:rPr>
        <w:t xml:space="preserve">”.  </w:t>
      </w:r>
    </w:p>
    <w:p w14:paraId="6F1E88A4" w14:textId="77777777" w:rsidR="00DE6D99" w:rsidRDefault="00DE6D99" w:rsidP="0058287A">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Issues to be decided on this appeal</w:t>
      </w:r>
    </w:p>
    <w:p w14:paraId="016CEB00" w14:textId="77777777" w:rsidR="00DE6D99" w:rsidRDefault="00DE6D9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This appeal raises three issues:</w:t>
      </w:r>
    </w:p>
    <w:p w14:paraId="4A80165F" w14:textId="7CEC4C2F" w:rsidR="00DE6D99" w:rsidRDefault="00C71DEB" w:rsidP="0058287A">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lastRenderedPageBreak/>
        <w:t xml:space="preserve">Are the first four grounds of appeal </w:t>
      </w:r>
      <w:r w:rsidR="00DE6D99">
        <w:rPr>
          <w:rFonts w:ascii="Times New Roman" w:hAnsi="Times New Roman"/>
          <w:sz w:val="24"/>
        </w:rPr>
        <w:t xml:space="preserve">moot, in light of the inspection that has taken place and the samples that have been taken by the respondents, and their subsequent confirmation that they will not need to and will not seek to conduct further inspections of the </w:t>
      </w:r>
      <w:r w:rsidR="008175B5">
        <w:rPr>
          <w:rFonts w:ascii="Times New Roman" w:hAnsi="Times New Roman"/>
          <w:sz w:val="24"/>
        </w:rPr>
        <w:t xml:space="preserve">Roadstone </w:t>
      </w:r>
      <w:r w:rsidR="00DE6D99">
        <w:rPr>
          <w:rFonts w:ascii="Times New Roman" w:hAnsi="Times New Roman"/>
          <w:sz w:val="24"/>
        </w:rPr>
        <w:t>quarries?</w:t>
      </w:r>
    </w:p>
    <w:p w14:paraId="2EE71D45" w14:textId="442089C6" w:rsidR="00DE6D99" w:rsidRDefault="00DE6D99" w:rsidP="0058287A">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 xml:space="preserve">If the </w:t>
      </w:r>
      <w:r w:rsidR="00C71DEB">
        <w:rPr>
          <w:rFonts w:ascii="Times New Roman" w:hAnsi="Times New Roman"/>
          <w:sz w:val="24"/>
        </w:rPr>
        <w:t>first four grounds of appeal are not moot</w:t>
      </w:r>
      <w:r>
        <w:rPr>
          <w:rFonts w:ascii="Times New Roman" w:hAnsi="Times New Roman"/>
          <w:sz w:val="24"/>
        </w:rPr>
        <w:t>, did the High Court have jurisdiction to make such an order?</w:t>
      </w:r>
    </w:p>
    <w:p w14:paraId="735AAE70" w14:textId="56369BE4" w:rsidR="00DE6D99" w:rsidRPr="009E2BF0" w:rsidRDefault="00DE6D99" w:rsidP="0058287A">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 xml:space="preserve">Did the trial judge make findings, in para. 25 of her judgment, </w:t>
      </w:r>
      <w:r w:rsidR="008545E2">
        <w:rPr>
          <w:rFonts w:ascii="Times New Roman" w:hAnsi="Times New Roman"/>
          <w:sz w:val="24"/>
        </w:rPr>
        <w:t>t</w:t>
      </w:r>
      <w:r>
        <w:rPr>
          <w:rFonts w:ascii="Times New Roman" w:hAnsi="Times New Roman"/>
          <w:sz w:val="24"/>
        </w:rPr>
        <w:t>hat can</w:t>
      </w:r>
      <w:r w:rsidR="008545E2">
        <w:rPr>
          <w:rFonts w:ascii="Times New Roman" w:hAnsi="Times New Roman"/>
          <w:sz w:val="24"/>
        </w:rPr>
        <w:t xml:space="preserve"> and should</w:t>
      </w:r>
      <w:r>
        <w:rPr>
          <w:rFonts w:ascii="Times New Roman" w:hAnsi="Times New Roman"/>
          <w:sz w:val="24"/>
        </w:rPr>
        <w:t xml:space="preserve"> be set aside if the </w:t>
      </w:r>
      <w:r w:rsidR="00BD7668">
        <w:rPr>
          <w:rFonts w:ascii="Times New Roman" w:hAnsi="Times New Roman"/>
          <w:sz w:val="24"/>
        </w:rPr>
        <w:t>C</w:t>
      </w:r>
      <w:r>
        <w:rPr>
          <w:rFonts w:ascii="Times New Roman" w:hAnsi="Times New Roman"/>
          <w:sz w:val="24"/>
        </w:rPr>
        <w:t xml:space="preserve">ourt were satisfied that such findings were made in </w:t>
      </w:r>
      <w:r w:rsidR="00C71DEB">
        <w:rPr>
          <w:rFonts w:ascii="Times New Roman" w:hAnsi="Times New Roman"/>
          <w:sz w:val="24"/>
        </w:rPr>
        <w:t>breach</w:t>
      </w:r>
      <w:r>
        <w:rPr>
          <w:rFonts w:ascii="Times New Roman" w:hAnsi="Times New Roman"/>
          <w:sz w:val="24"/>
        </w:rPr>
        <w:t xml:space="preserve"> of fair procedures?</w:t>
      </w:r>
    </w:p>
    <w:p w14:paraId="78E2FEBD" w14:textId="7E68D86D" w:rsidR="00DE6D99" w:rsidRPr="002958E4" w:rsidRDefault="00CA24BA" w:rsidP="0058287A">
      <w:pPr>
        <w:pStyle w:val="ListParagraph"/>
        <w:tabs>
          <w:tab w:val="left" w:pos="567"/>
        </w:tabs>
        <w:spacing w:line="480" w:lineRule="auto"/>
        <w:ind w:left="0"/>
        <w:rPr>
          <w:rFonts w:ascii="Times New Roman" w:hAnsi="Times New Roman"/>
          <w:b/>
          <w:sz w:val="24"/>
        </w:rPr>
      </w:pPr>
      <w:r w:rsidRPr="002958E4">
        <w:rPr>
          <w:rFonts w:ascii="Times New Roman" w:hAnsi="Times New Roman"/>
          <w:b/>
          <w:sz w:val="24"/>
        </w:rPr>
        <w:t>Are the first four grounds of appeal moot?</w:t>
      </w:r>
    </w:p>
    <w:p w14:paraId="0E654D73" w14:textId="539D6F55" w:rsidR="00913FEC" w:rsidRPr="00CA24BA" w:rsidRDefault="00CA24BA"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simple terms, the respondents contend that the appeal is moot so far as the first four grounds of appeal are concerned, because, having </w:t>
      </w:r>
      <w:r w:rsidR="00F70E57">
        <w:rPr>
          <w:rFonts w:ascii="Times New Roman" w:hAnsi="Times New Roman"/>
          <w:sz w:val="24"/>
        </w:rPr>
        <w:t>received</w:t>
      </w:r>
      <w:r>
        <w:rPr>
          <w:rFonts w:ascii="Times New Roman" w:hAnsi="Times New Roman"/>
          <w:sz w:val="24"/>
        </w:rPr>
        <w:t xml:space="preserve"> </w:t>
      </w:r>
      <w:r w:rsidR="00B02C76">
        <w:rPr>
          <w:rFonts w:ascii="Times New Roman" w:hAnsi="Times New Roman"/>
          <w:sz w:val="24"/>
        </w:rPr>
        <w:t>t</w:t>
      </w:r>
      <w:r>
        <w:rPr>
          <w:rFonts w:ascii="Times New Roman" w:hAnsi="Times New Roman"/>
          <w:sz w:val="24"/>
        </w:rPr>
        <w:t>he blast records</w:t>
      </w:r>
      <w:r w:rsidR="00F70E57">
        <w:rPr>
          <w:rFonts w:ascii="Times New Roman" w:hAnsi="Times New Roman"/>
          <w:sz w:val="24"/>
        </w:rPr>
        <w:t xml:space="preserve">, extraction plans </w:t>
      </w:r>
      <w:r>
        <w:rPr>
          <w:rFonts w:ascii="Times New Roman" w:hAnsi="Times New Roman"/>
          <w:sz w:val="24"/>
        </w:rPr>
        <w:t>and delivery dockets</w:t>
      </w:r>
      <w:r w:rsidR="00F70E57">
        <w:rPr>
          <w:rFonts w:ascii="Times New Roman" w:hAnsi="Times New Roman"/>
          <w:sz w:val="24"/>
        </w:rPr>
        <w:t>, a</w:t>
      </w:r>
      <w:r>
        <w:rPr>
          <w:rFonts w:ascii="Times New Roman" w:hAnsi="Times New Roman"/>
          <w:sz w:val="24"/>
        </w:rPr>
        <w:t>nd having carried out the inspection and taken samples from the quarries of the appellants</w:t>
      </w:r>
      <w:r w:rsidR="00F70E57">
        <w:rPr>
          <w:rFonts w:ascii="Times New Roman" w:hAnsi="Times New Roman"/>
          <w:sz w:val="24"/>
        </w:rPr>
        <w:t xml:space="preserve"> in September 2019</w:t>
      </w:r>
      <w:r>
        <w:rPr>
          <w:rFonts w:ascii="Times New Roman" w:hAnsi="Times New Roman"/>
          <w:sz w:val="24"/>
        </w:rPr>
        <w:t>, the</w:t>
      </w:r>
      <w:r w:rsidR="00F70E57">
        <w:rPr>
          <w:rFonts w:ascii="Times New Roman" w:hAnsi="Times New Roman"/>
          <w:sz w:val="24"/>
        </w:rPr>
        <w:t>y</w:t>
      </w:r>
      <w:r>
        <w:rPr>
          <w:rFonts w:ascii="Times New Roman" w:hAnsi="Times New Roman"/>
          <w:sz w:val="24"/>
        </w:rPr>
        <w:t xml:space="preserve"> accept that the part of the order requiring </w:t>
      </w:r>
      <w:r w:rsidR="003D53F8">
        <w:rPr>
          <w:rFonts w:ascii="Times New Roman" w:hAnsi="Times New Roman"/>
          <w:sz w:val="24"/>
        </w:rPr>
        <w:t>Roadstone</w:t>
      </w:r>
      <w:r>
        <w:rPr>
          <w:rFonts w:ascii="Times New Roman" w:hAnsi="Times New Roman"/>
          <w:sz w:val="24"/>
        </w:rPr>
        <w:t xml:space="preserve"> to identify locations within the quarries has been </w:t>
      </w:r>
      <w:r w:rsidR="00FA54A4">
        <w:rPr>
          <w:rFonts w:ascii="Times New Roman" w:hAnsi="Times New Roman"/>
          <w:sz w:val="24"/>
        </w:rPr>
        <w:t>satisfied</w:t>
      </w:r>
      <w:r w:rsidR="00342AD9">
        <w:rPr>
          <w:rFonts w:ascii="Times New Roman" w:hAnsi="Times New Roman"/>
          <w:sz w:val="24"/>
        </w:rPr>
        <w:t>. They accept this on the basis of an affidavit of 28</w:t>
      </w:r>
      <w:r w:rsidR="00342AD9" w:rsidRPr="00342AD9">
        <w:rPr>
          <w:rFonts w:ascii="Times New Roman" w:hAnsi="Times New Roman"/>
          <w:sz w:val="24"/>
          <w:vertAlign w:val="superscript"/>
        </w:rPr>
        <w:t>th</w:t>
      </w:r>
      <w:r w:rsidR="00342AD9">
        <w:rPr>
          <w:rFonts w:ascii="Times New Roman" w:hAnsi="Times New Roman"/>
          <w:sz w:val="24"/>
        </w:rPr>
        <w:t xml:space="preserve"> June 2019 of</w:t>
      </w:r>
      <w:r>
        <w:rPr>
          <w:rFonts w:ascii="Times New Roman" w:hAnsi="Times New Roman"/>
          <w:sz w:val="24"/>
        </w:rPr>
        <w:t xml:space="preserve"> Mr. </w:t>
      </w:r>
      <w:r w:rsidR="00342AD9">
        <w:rPr>
          <w:rFonts w:ascii="Times New Roman" w:hAnsi="Times New Roman"/>
          <w:sz w:val="24"/>
        </w:rPr>
        <w:t xml:space="preserve">John </w:t>
      </w:r>
      <w:r>
        <w:rPr>
          <w:rFonts w:ascii="Times New Roman" w:hAnsi="Times New Roman"/>
          <w:sz w:val="24"/>
        </w:rPr>
        <w:t>Glynn</w:t>
      </w:r>
      <w:r w:rsidR="00342AD9">
        <w:rPr>
          <w:rFonts w:ascii="Times New Roman" w:hAnsi="Times New Roman"/>
          <w:sz w:val="24"/>
        </w:rPr>
        <w:t xml:space="preserve">, Strategic Operations Manager of the first appellant, in which he </w:t>
      </w:r>
      <w:r>
        <w:rPr>
          <w:rFonts w:ascii="Times New Roman" w:hAnsi="Times New Roman"/>
          <w:sz w:val="24"/>
        </w:rPr>
        <w:t>deposed that the appellants can do no more</w:t>
      </w:r>
      <w:r w:rsidR="00342AD9">
        <w:rPr>
          <w:rFonts w:ascii="Times New Roman" w:hAnsi="Times New Roman"/>
          <w:sz w:val="24"/>
        </w:rPr>
        <w:t xml:space="preserve"> than they have done </w:t>
      </w:r>
      <w:r>
        <w:rPr>
          <w:rFonts w:ascii="Times New Roman" w:hAnsi="Times New Roman"/>
          <w:sz w:val="24"/>
        </w:rPr>
        <w:t>to identify the relevant locations</w:t>
      </w:r>
      <w:r w:rsidR="00342AD9">
        <w:rPr>
          <w:rFonts w:ascii="Times New Roman" w:hAnsi="Times New Roman"/>
          <w:sz w:val="24"/>
        </w:rPr>
        <w:t xml:space="preserve"> in the</w:t>
      </w:r>
      <w:r w:rsidR="003D53F8">
        <w:rPr>
          <w:rFonts w:ascii="Times New Roman" w:hAnsi="Times New Roman"/>
          <w:sz w:val="24"/>
        </w:rPr>
        <w:t xml:space="preserve"> Roadstone</w:t>
      </w:r>
      <w:r w:rsidR="00342AD9">
        <w:rPr>
          <w:rFonts w:ascii="Times New Roman" w:hAnsi="Times New Roman"/>
          <w:sz w:val="24"/>
        </w:rPr>
        <w:t xml:space="preserve"> quarries </w:t>
      </w:r>
      <w:r w:rsidR="003D53F8">
        <w:rPr>
          <w:rFonts w:ascii="Times New Roman" w:hAnsi="Times New Roman"/>
          <w:sz w:val="24"/>
        </w:rPr>
        <w:t>from</w:t>
      </w:r>
      <w:r w:rsidR="00342AD9">
        <w:rPr>
          <w:rFonts w:ascii="Times New Roman" w:hAnsi="Times New Roman"/>
          <w:sz w:val="24"/>
        </w:rPr>
        <w:t xml:space="preserve"> which stone infill and crushed rock products were supplied by </w:t>
      </w:r>
      <w:r w:rsidR="003D53F8">
        <w:rPr>
          <w:rFonts w:ascii="Times New Roman" w:hAnsi="Times New Roman"/>
          <w:sz w:val="24"/>
        </w:rPr>
        <w:t xml:space="preserve">Roadstone </w:t>
      </w:r>
      <w:r w:rsidR="00342AD9">
        <w:rPr>
          <w:rFonts w:ascii="Times New Roman" w:hAnsi="Times New Roman"/>
          <w:sz w:val="24"/>
        </w:rPr>
        <w:t>to the respondents for use in the Development</w:t>
      </w:r>
      <w:r>
        <w:rPr>
          <w:rFonts w:ascii="Times New Roman" w:hAnsi="Times New Roman"/>
          <w:sz w:val="24"/>
        </w:rPr>
        <w:t>.  The respondents submit that there is no suggestion on the</w:t>
      </w:r>
      <w:r w:rsidR="001535E6">
        <w:rPr>
          <w:rFonts w:ascii="Times New Roman" w:hAnsi="Times New Roman"/>
          <w:sz w:val="24"/>
        </w:rPr>
        <w:t>ir</w:t>
      </w:r>
      <w:r>
        <w:rPr>
          <w:rFonts w:ascii="Times New Roman" w:hAnsi="Times New Roman"/>
          <w:sz w:val="24"/>
        </w:rPr>
        <w:t xml:space="preserve"> part that the order will ever be invoked by them to suggest non-compliance with it, and, so far as the High Court is concerned, it has been informed of all of this at subsequent case management hearings</w:t>
      </w:r>
      <w:r w:rsidR="00FC67A8">
        <w:rPr>
          <w:rFonts w:ascii="Times New Roman" w:hAnsi="Times New Roman"/>
          <w:sz w:val="24"/>
        </w:rPr>
        <w:t>. The High Court is also</w:t>
      </w:r>
      <w:r>
        <w:rPr>
          <w:rFonts w:ascii="Times New Roman" w:hAnsi="Times New Roman"/>
          <w:sz w:val="24"/>
        </w:rPr>
        <w:t xml:space="preserve"> aware, since delivery of replies to particulars</w:t>
      </w:r>
      <w:r w:rsidR="00D2173D">
        <w:rPr>
          <w:rFonts w:ascii="Times New Roman" w:hAnsi="Times New Roman"/>
          <w:sz w:val="24"/>
        </w:rPr>
        <w:t xml:space="preserve"> by the plaintiffs</w:t>
      </w:r>
      <w:r>
        <w:rPr>
          <w:rFonts w:ascii="Times New Roman" w:hAnsi="Times New Roman"/>
          <w:sz w:val="24"/>
        </w:rPr>
        <w:t xml:space="preserve"> </w:t>
      </w:r>
      <w:r w:rsidR="00FC67A8">
        <w:rPr>
          <w:rFonts w:ascii="Times New Roman" w:hAnsi="Times New Roman"/>
          <w:sz w:val="24"/>
        </w:rPr>
        <w:t>in December 2019, that the inspection has served its intended purpose of enabling the respondents to identify those houses in the construction of which stone from the</w:t>
      </w:r>
      <w:r w:rsidR="003D53F8">
        <w:rPr>
          <w:rFonts w:ascii="Times New Roman" w:hAnsi="Times New Roman"/>
          <w:sz w:val="24"/>
        </w:rPr>
        <w:t xml:space="preserve"> </w:t>
      </w:r>
      <w:r w:rsidR="003D53F8">
        <w:rPr>
          <w:rFonts w:ascii="Times New Roman" w:hAnsi="Times New Roman"/>
          <w:sz w:val="24"/>
        </w:rPr>
        <w:lastRenderedPageBreak/>
        <w:t>Roadstone</w:t>
      </w:r>
      <w:r w:rsidR="00FC67A8">
        <w:rPr>
          <w:rFonts w:ascii="Times New Roman" w:hAnsi="Times New Roman"/>
          <w:sz w:val="24"/>
        </w:rPr>
        <w:t xml:space="preserve"> quarries was used. </w:t>
      </w:r>
      <w:r>
        <w:rPr>
          <w:rFonts w:ascii="Times New Roman" w:hAnsi="Times New Roman"/>
          <w:sz w:val="24"/>
        </w:rPr>
        <w:t xml:space="preserve"> </w:t>
      </w:r>
      <w:r w:rsidR="00D2173D">
        <w:rPr>
          <w:rFonts w:ascii="Times New Roman" w:hAnsi="Times New Roman"/>
          <w:sz w:val="24"/>
        </w:rPr>
        <w:t>Accordingly,</w:t>
      </w:r>
      <w:r>
        <w:rPr>
          <w:rFonts w:ascii="Times New Roman" w:hAnsi="Times New Roman"/>
          <w:sz w:val="24"/>
        </w:rPr>
        <w:t xml:space="preserve"> as far as the High Court is concerned, the issue of inspection and all related issues (including the </w:t>
      </w:r>
      <w:r w:rsidR="00153E0F" w:rsidRPr="00153E0F">
        <w:rPr>
          <w:rFonts w:ascii="Times New Roman" w:hAnsi="Times New Roman"/>
          <w:sz w:val="24"/>
        </w:rPr>
        <w:t>locations</w:t>
      </w:r>
      <w:r w:rsidR="00153E0F">
        <w:rPr>
          <w:rFonts w:ascii="Times New Roman" w:hAnsi="Times New Roman"/>
          <w:i/>
          <w:sz w:val="24"/>
        </w:rPr>
        <w:t xml:space="preserve"> </w:t>
      </w:r>
      <w:r>
        <w:rPr>
          <w:rFonts w:ascii="Times New Roman" w:hAnsi="Times New Roman"/>
          <w:sz w:val="24"/>
        </w:rPr>
        <w:t xml:space="preserve">part of the order) is now closed.  </w:t>
      </w:r>
    </w:p>
    <w:p w14:paraId="4EA6AEE9" w14:textId="3E9C3F5B" w:rsidR="00CA24BA" w:rsidRDefault="00CA24BA"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appellants’ position however is that if this Court does not entertain the appeal from this part of the order of the High Court, the result will be that the order of the High Court remains, and that the stay thereon will be lifted (unless continued by this Court) leaving </w:t>
      </w:r>
      <w:r w:rsidR="003D53F8">
        <w:rPr>
          <w:rFonts w:ascii="Times New Roman" w:hAnsi="Times New Roman"/>
          <w:sz w:val="24"/>
        </w:rPr>
        <w:t>Roadstone</w:t>
      </w:r>
      <w:r>
        <w:rPr>
          <w:rFonts w:ascii="Times New Roman" w:hAnsi="Times New Roman"/>
          <w:sz w:val="24"/>
        </w:rPr>
        <w:t xml:space="preserve"> in a situation where there is an extant order of the High Court with which </w:t>
      </w:r>
      <w:r w:rsidR="003D53F8">
        <w:rPr>
          <w:rFonts w:ascii="Times New Roman" w:hAnsi="Times New Roman"/>
          <w:sz w:val="24"/>
        </w:rPr>
        <w:t>it has</w:t>
      </w:r>
      <w:r>
        <w:rPr>
          <w:rFonts w:ascii="Times New Roman" w:hAnsi="Times New Roman"/>
          <w:sz w:val="24"/>
        </w:rPr>
        <w:t xml:space="preserve"> not complied, a situation which is not acceptable as far as the appellants are concerned.  In so far as the respondents point to the fact that the appellants were given liberty to apply by the High Court, and did not exercise that entitlement, the appellants say that there </w:t>
      </w:r>
      <w:r w:rsidR="00D2173D">
        <w:rPr>
          <w:rFonts w:ascii="Times New Roman" w:hAnsi="Times New Roman"/>
          <w:sz w:val="24"/>
        </w:rPr>
        <w:t xml:space="preserve">would have been </w:t>
      </w:r>
      <w:r>
        <w:rPr>
          <w:rFonts w:ascii="Times New Roman" w:hAnsi="Times New Roman"/>
          <w:sz w:val="24"/>
        </w:rPr>
        <w:t xml:space="preserve">little point in them exercising that liberty, </w:t>
      </w:r>
      <w:r w:rsidR="00C73F9D">
        <w:rPr>
          <w:rFonts w:ascii="Times New Roman" w:hAnsi="Times New Roman"/>
          <w:sz w:val="24"/>
        </w:rPr>
        <w:t xml:space="preserve">because the High Court previously rejected any suggestion that </w:t>
      </w:r>
      <w:r w:rsidR="00D2173D">
        <w:rPr>
          <w:rFonts w:ascii="Times New Roman" w:hAnsi="Times New Roman"/>
          <w:sz w:val="24"/>
        </w:rPr>
        <w:t>the appellants be permitted to</w:t>
      </w:r>
      <w:r w:rsidR="00C73F9D">
        <w:rPr>
          <w:rFonts w:ascii="Times New Roman" w:hAnsi="Times New Roman"/>
          <w:sz w:val="24"/>
        </w:rPr>
        <w:t xml:space="preserve"> qualify their compliance with this part of the order by re</w:t>
      </w:r>
      <w:r w:rsidR="00153E0F">
        <w:rPr>
          <w:rFonts w:ascii="Times New Roman" w:hAnsi="Times New Roman"/>
          <w:sz w:val="24"/>
        </w:rPr>
        <w:t xml:space="preserve">quiring the appellants </w:t>
      </w:r>
      <w:r w:rsidR="00C73F9D">
        <w:rPr>
          <w:rFonts w:ascii="Times New Roman" w:hAnsi="Times New Roman"/>
          <w:sz w:val="24"/>
        </w:rPr>
        <w:t>to identif</w:t>
      </w:r>
      <w:r w:rsidR="00153E0F">
        <w:rPr>
          <w:rFonts w:ascii="Times New Roman" w:hAnsi="Times New Roman"/>
          <w:sz w:val="24"/>
        </w:rPr>
        <w:t>y</w:t>
      </w:r>
      <w:r w:rsidR="003D53F8">
        <w:rPr>
          <w:rFonts w:ascii="Times New Roman" w:hAnsi="Times New Roman"/>
          <w:sz w:val="24"/>
        </w:rPr>
        <w:t xml:space="preserve"> </w:t>
      </w:r>
      <w:r w:rsidR="00C73F9D">
        <w:rPr>
          <w:rFonts w:ascii="Times New Roman" w:hAnsi="Times New Roman"/>
          <w:sz w:val="24"/>
        </w:rPr>
        <w:t>locations “</w:t>
      </w:r>
      <w:r w:rsidR="00763C2A">
        <w:rPr>
          <w:rFonts w:ascii="Times New Roman" w:hAnsi="Times New Roman"/>
          <w:i/>
          <w:iCs/>
          <w:sz w:val="24"/>
        </w:rPr>
        <w:t>inso</w:t>
      </w:r>
      <w:r w:rsidR="00C73F9D" w:rsidRPr="00BD7668">
        <w:rPr>
          <w:rFonts w:ascii="Times New Roman" w:hAnsi="Times New Roman"/>
          <w:i/>
          <w:iCs/>
          <w:sz w:val="24"/>
        </w:rPr>
        <w:t>far as possible</w:t>
      </w:r>
      <w:r w:rsidR="00C73F9D">
        <w:rPr>
          <w:rFonts w:ascii="Times New Roman" w:hAnsi="Times New Roman"/>
          <w:sz w:val="24"/>
        </w:rPr>
        <w:t>”.  If the High Court was not satisfied to insert such a caveat in the order to begin with, then it would be futile for the appellants to exercise the liberty to apply given by the order</w:t>
      </w:r>
      <w:r w:rsidR="00D2173D">
        <w:rPr>
          <w:rFonts w:ascii="Times New Roman" w:hAnsi="Times New Roman"/>
          <w:sz w:val="24"/>
        </w:rPr>
        <w:t xml:space="preserve"> for </w:t>
      </w:r>
      <w:r w:rsidR="00263940">
        <w:rPr>
          <w:rFonts w:ascii="Times New Roman" w:hAnsi="Times New Roman"/>
          <w:sz w:val="24"/>
        </w:rPr>
        <w:t>much the same</w:t>
      </w:r>
      <w:r w:rsidR="00D2173D">
        <w:rPr>
          <w:rFonts w:ascii="Times New Roman" w:hAnsi="Times New Roman"/>
          <w:sz w:val="24"/>
        </w:rPr>
        <w:t xml:space="preserve"> purpose</w:t>
      </w:r>
      <w:r w:rsidR="00C73F9D">
        <w:rPr>
          <w:rFonts w:ascii="Times New Roman" w:hAnsi="Times New Roman"/>
          <w:sz w:val="24"/>
        </w:rPr>
        <w:t xml:space="preserve">.  So, in the submission of the appellants, there remains a live controversy for determination by this Court.  </w:t>
      </w:r>
    </w:p>
    <w:p w14:paraId="03C91FA8" w14:textId="5E648EEB" w:rsidR="00524451" w:rsidRDefault="00C73F9D" w:rsidP="0058287A">
      <w:pPr>
        <w:pStyle w:val="ListParagraph"/>
        <w:numPr>
          <w:ilvl w:val="0"/>
          <w:numId w:val="1"/>
        </w:numPr>
        <w:tabs>
          <w:tab w:val="left" w:pos="567"/>
        </w:tabs>
        <w:spacing w:line="480" w:lineRule="auto"/>
        <w:ind w:left="0" w:firstLine="0"/>
        <w:rPr>
          <w:rFonts w:ascii="Times New Roman" w:hAnsi="Times New Roman"/>
          <w:sz w:val="24"/>
        </w:rPr>
      </w:pPr>
      <w:r w:rsidRPr="00C73F9D">
        <w:rPr>
          <w:rFonts w:ascii="Times New Roman" w:hAnsi="Times New Roman"/>
          <w:sz w:val="24"/>
        </w:rPr>
        <w:t xml:space="preserve">Moreover, </w:t>
      </w:r>
      <w:r>
        <w:rPr>
          <w:rFonts w:ascii="Times New Roman" w:hAnsi="Times New Roman"/>
          <w:sz w:val="24"/>
        </w:rPr>
        <w:t>the appellants expressed concern that the decision of the High Court as regards the interpretation of O.</w:t>
      </w:r>
      <w:r w:rsidR="00F65992">
        <w:rPr>
          <w:rFonts w:ascii="Times New Roman" w:hAnsi="Times New Roman"/>
          <w:sz w:val="24"/>
        </w:rPr>
        <w:t xml:space="preserve"> </w:t>
      </w:r>
      <w:r>
        <w:rPr>
          <w:rFonts w:ascii="Times New Roman" w:hAnsi="Times New Roman"/>
          <w:sz w:val="24"/>
        </w:rPr>
        <w:t>50, r.</w:t>
      </w:r>
      <w:r w:rsidR="00F65992">
        <w:rPr>
          <w:rFonts w:ascii="Times New Roman" w:hAnsi="Times New Roman"/>
          <w:sz w:val="24"/>
        </w:rPr>
        <w:t xml:space="preserve"> </w:t>
      </w:r>
      <w:r w:rsidR="003D53F8">
        <w:rPr>
          <w:rFonts w:ascii="Times New Roman" w:hAnsi="Times New Roman"/>
          <w:sz w:val="24"/>
        </w:rPr>
        <w:t>4</w:t>
      </w:r>
      <w:r>
        <w:rPr>
          <w:rFonts w:ascii="Times New Roman" w:hAnsi="Times New Roman"/>
          <w:sz w:val="24"/>
        </w:rPr>
        <w:t xml:space="preserve"> will, if left undisturbed, be a precedent which may well be used against the appellants in other litigation involving pyritic heave.  </w:t>
      </w:r>
    </w:p>
    <w:p w14:paraId="06DD9809" w14:textId="0FC58ABA" w:rsidR="00C73F9D" w:rsidRDefault="00D2173D"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While the parties made extensive submissions to this Court as the whether or not the this aspect of the appeal is moot, v</w:t>
      </w:r>
      <w:r w:rsidR="00C73F9D">
        <w:rPr>
          <w:rFonts w:ascii="Times New Roman" w:hAnsi="Times New Roman"/>
          <w:sz w:val="24"/>
        </w:rPr>
        <w:t>ery little wa</w:t>
      </w:r>
      <w:r>
        <w:rPr>
          <w:rFonts w:ascii="Times New Roman" w:hAnsi="Times New Roman"/>
          <w:sz w:val="24"/>
        </w:rPr>
        <w:t>s submitted</w:t>
      </w:r>
      <w:r w:rsidR="00C73F9D">
        <w:rPr>
          <w:rFonts w:ascii="Times New Roman" w:hAnsi="Times New Roman"/>
          <w:sz w:val="24"/>
        </w:rPr>
        <w:t xml:space="preserve"> to th</w:t>
      </w:r>
      <w:r>
        <w:rPr>
          <w:rFonts w:ascii="Times New Roman" w:hAnsi="Times New Roman"/>
          <w:sz w:val="24"/>
        </w:rPr>
        <w:t>e</w:t>
      </w:r>
      <w:r w:rsidR="00C73F9D">
        <w:rPr>
          <w:rFonts w:ascii="Times New Roman" w:hAnsi="Times New Roman"/>
          <w:sz w:val="24"/>
        </w:rPr>
        <w:t xml:space="preserve"> Cour</w:t>
      </w:r>
      <w:r w:rsidR="00F65992">
        <w:rPr>
          <w:rFonts w:ascii="Times New Roman" w:hAnsi="Times New Roman"/>
          <w:sz w:val="24"/>
        </w:rPr>
        <w:t>t</w:t>
      </w:r>
      <w:r w:rsidR="00C73F9D">
        <w:rPr>
          <w:rFonts w:ascii="Times New Roman" w:hAnsi="Times New Roman"/>
          <w:sz w:val="24"/>
        </w:rPr>
        <w:t xml:space="preserve"> as regards the law o</w:t>
      </w:r>
      <w:r>
        <w:rPr>
          <w:rFonts w:ascii="Times New Roman" w:hAnsi="Times New Roman"/>
          <w:sz w:val="24"/>
        </w:rPr>
        <w:t xml:space="preserve">f the doctrine of </w:t>
      </w:r>
      <w:r w:rsidR="00C73F9D">
        <w:rPr>
          <w:rFonts w:ascii="Times New Roman" w:hAnsi="Times New Roman"/>
          <w:sz w:val="24"/>
        </w:rPr>
        <w:t xml:space="preserve">mootness.  No authorities at all were opened to the Court, although counsel for the appellants referred to the decision of the Supreme Court in </w:t>
      </w:r>
      <w:proofErr w:type="spellStart"/>
      <w:r w:rsidR="00C73F9D">
        <w:rPr>
          <w:rFonts w:ascii="Times New Roman" w:hAnsi="Times New Roman"/>
          <w:i/>
          <w:sz w:val="24"/>
        </w:rPr>
        <w:t>Lofin</w:t>
      </w:r>
      <w:r w:rsidR="00327D1A">
        <w:rPr>
          <w:rFonts w:ascii="Times New Roman" w:hAnsi="Times New Roman"/>
          <w:i/>
          <w:sz w:val="24"/>
        </w:rPr>
        <w:t>m</w:t>
      </w:r>
      <w:r w:rsidR="00C73F9D">
        <w:rPr>
          <w:rFonts w:ascii="Times New Roman" w:hAnsi="Times New Roman"/>
          <w:i/>
          <w:sz w:val="24"/>
        </w:rPr>
        <w:t>akin</w:t>
      </w:r>
      <w:proofErr w:type="spellEnd"/>
      <w:r w:rsidR="00C73F9D">
        <w:rPr>
          <w:rFonts w:ascii="Times New Roman" w:hAnsi="Times New Roman"/>
          <w:i/>
          <w:sz w:val="24"/>
        </w:rPr>
        <w:t xml:space="preserve"> v. Minister for Justice </w:t>
      </w:r>
      <w:r w:rsidR="00C73F9D">
        <w:rPr>
          <w:rFonts w:ascii="Times New Roman" w:hAnsi="Times New Roman"/>
          <w:sz w:val="24"/>
        </w:rPr>
        <w:t>[</w:t>
      </w:r>
      <w:r w:rsidR="00FE2C94">
        <w:rPr>
          <w:rFonts w:ascii="Times New Roman" w:hAnsi="Times New Roman"/>
          <w:sz w:val="24"/>
        </w:rPr>
        <w:t>2013]</w:t>
      </w:r>
      <w:r w:rsidR="00D2589D">
        <w:rPr>
          <w:rFonts w:ascii="Times New Roman" w:hAnsi="Times New Roman"/>
          <w:sz w:val="24"/>
        </w:rPr>
        <w:t xml:space="preserve"> IESC 49.</w:t>
      </w:r>
      <w:r w:rsidR="00C73F9D">
        <w:rPr>
          <w:rFonts w:ascii="Times New Roman" w:hAnsi="Times New Roman"/>
          <w:sz w:val="24"/>
        </w:rPr>
        <w:t xml:space="preserve">  It was submitted on behalf of the appellants </w:t>
      </w:r>
      <w:r w:rsidR="006B5235">
        <w:rPr>
          <w:rFonts w:ascii="Times New Roman" w:hAnsi="Times New Roman"/>
          <w:sz w:val="24"/>
        </w:rPr>
        <w:t xml:space="preserve">(in very general terms) </w:t>
      </w:r>
      <w:r w:rsidR="00C73F9D">
        <w:rPr>
          <w:rFonts w:ascii="Times New Roman" w:hAnsi="Times New Roman"/>
          <w:sz w:val="24"/>
        </w:rPr>
        <w:t xml:space="preserve">that the principle established by </w:t>
      </w:r>
      <w:proofErr w:type="spellStart"/>
      <w:r w:rsidR="00C73F9D">
        <w:rPr>
          <w:rFonts w:ascii="Times New Roman" w:hAnsi="Times New Roman"/>
          <w:i/>
          <w:sz w:val="24"/>
        </w:rPr>
        <w:t>Lofin</w:t>
      </w:r>
      <w:r w:rsidR="00327D1A">
        <w:rPr>
          <w:rFonts w:ascii="Times New Roman" w:hAnsi="Times New Roman"/>
          <w:i/>
          <w:sz w:val="24"/>
        </w:rPr>
        <w:t>m</w:t>
      </w:r>
      <w:r w:rsidR="00C73F9D">
        <w:rPr>
          <w:rFonts w:ascii="Times New Roman" w:hAnsi="Times New Roman"/>
          <w:i/>
          <w:sz w:val="24"/>
        </w:rPr>
        <w:t>akin</w:t>
      </w:r>
      <w:proofErr w:type="spellEnd"/>
      <w:r w:rsidR="00C73F9D">
        <w:rPr>
          <w:rFonts w:ascii="Times New Roman" w:hAnsi="Times New Roman"/>
          <w:i/>
          <w:sz w:val="24"/>
        </w:rPr>
        <w:t xml:space="preserve"> </w:t>
      </w:r>
      <w:r w:rsidR="00C73F9D">
        <w:rPr>
          <w:rFonts w:ascii="Times New Roman" w:hAnsi="Times New Roman"/>
          <w:sz w:val="24"/>
        </w:rPr>
        <w:t xml:space="preserve">is that an appeal is moot when a decision </w:t>
      </w:r>
      <w:r w:rsidR="00C73F9D">
        <w:rPr>
          <w:rFonts w:ascii="Times New Roman" w:hAnsi="Times New Roman"/>
          <w:sz w:val="24"/>
        </w:rPr>
        <w:lastRenderedPageBreak/>
        <w:t>on the appeal will not have the effect of resolving some live controversy affecting or potentially affecting the rights of the parties</w:t>
      </w:r>
      <w:r w:rsidR="006B5235">
        <w:rPr>
          <w:rFonts w:ascii="Times New Roman" w:hAnsi="Times New Roman"/>
          <w:sz w:val="24"/>
        </w:rPr>
        <w:t>, but</w:t>
      </w:r>
      <w:r w:rsidR="00C73F9D">
        <w:rPr>
          <w:rFonts w:ascii="Times New Roman" w:hAnsi="Times New Roman"/>
          <w:sz w:val="24"/>
        </w:rPr>
        <w:t xml:space="preserve"> the court always</w:t>
      </w:r>
      <w:r w:rsidR="006B5235">
        <w:rPr>
          <w:rFonts w:ascii="Times New Roman" w:hAnsi="Times New Roman"/>
          <w:sz w:val="24"/>
        </w:rPr>
        <w:t xml:space="preserve"> retains a</w:t>
      </w:r>
      <w:r w:rsidR="00C73F9D">
        <w:rPr>
          <w:rFonts w:ascii="Times New Roman" w:hAnsi="Times New Roman"/>
          <w:sz w:val="24"/>
        </w:rPr>
        <w:t xml:space="preserve"> discretion to depart </w:t>
      </w:r>
      <w:r w:rsidR="006B5235">
        <w:rPr>
          <w:rFonts w:ascii="Times New Roman" w:hAnsi="Times New Roman"/>
          <w:sz w:val="24"/>
        </w:rPr>
        <w:t>from that general principle. However,</w:t>
      </w:r>
      <w:r w:rsidR="00C73F9D">
        <w:rPr>
          <w:rFonts w:ascii="Times New Roman" w:hAnsi="Times New Roman"/>
          <w:sz w:val="24"/>
        </w:rPr>
        <w:t xml:space="preserve"> that discretion will not be li</w:t>
      </w:r>
      <w:r w:rsidR="006B5235">
        <w:rPr>
          <w:rFonts w:ascii="Times New Roman" w:hAnsi="Times New Roman"/>
          <w:sz w:val="24"/>
        </w:rPr>
        <w:t>ght</w:t>
      </w:r>
      <w:r w:rsidR="00C73F9D">
        <w:rPr>
          <w:rFonts w:ascii="Times New Roman" w:hAnsi="Times New Roman"/>
          <w:sz w:val="24"/>
        </w:rPr>
        <w:t>ly exercised.</w:t>
      </w:r>
      <w:r w:rsidR="006B5235">
        <w:rPr>
          <w:rFonts w:ascii="Times New Roman" w:hAnsi="Times New Roman"/>
          <w:sz w:val="24"/>
        </w:rPr>
        <w:t xml:space="preserve"> In their written submissions, the respondents also refer to </w:t>
      </w:r>
      <w:proofErr w:type="spellStart"/>
      <w:r w:rsidR="006B5235" w:rsidRPr="006B5235">
        <w:rPr>
          <w:rFonts w:ascii="Times New Roman" w:hAnsi="Times New Roman"/>
          <w:i/>
          <w:sz w:val="24"/>
        </w:rPr>
        <w:t>Lofinmakin</w:t>
      </w:r>
      <w:proofErr w:type="spellEnd"/>
      <w:r w:rsidR="006B5235">
        <w:rPr>
          <w:rFonts w:ascii="Times New Roman" w:hAnsi="Times New Roman"/>
          <w:sz w:val="24"/>
        </w:rPr>
        <w:t xml:space="preserve">, and to </w:t>
      </w:r>
      <w:r w:rsidR="006B5235" w:rsidRPr="00BC379D">
        <w:rPr>
          <w:rFonts w:ascii="Times New Roman" w:hAnsi="Times New Roman"/>
          <w:i/>
          <w:sz w:val="24"/>
        </w:rPr>
        <w:t>Irwin v</w:t>
      </w:r>
      <w:r w:rsidR="00F65992">
        <w:rPr>
          <w:rFonts w:ascii="Times New Roman" w:hAnsi="Times New Roman"/>
          <w:i/>
          <w:sz w:val="24"/>
        </w:rPr>
        <w:t>.</w:t>
      </w:r>
      <w:r w:rsidR="006B5235" w:rsidRPr="00BC379D">
        <w:rPr>
          <w:rFonts w:ascii="Times New Roman" w:hAnsi="Times New Roman"/>
          <w:i/>
          <w:sz w:val="24"/>
        </w:rPr>
        <w:t xml:space="preserve"> </w:t>
      </w:r>
      <w:proofErr w:type="spellStart"/>
      <w:r w:rsidR="006B5235" w:rsidRPr="00BC379D">
        <w:rPr>
          <w:rFonts w:ascii="Times New Roman" w:hAnsi="Times New Roman"/>
          <w:i/>
          <w:sz w:val="24"/>
        </w:rPr>
        <w:t>Deasy</w:t>
      </w:r>
      <w:proofErr w:type="spellEnd"/>
      <w:r w:rsidR="00BC379D">
        <w:rPr>
          <w:rFonts w:ascii="Times New Roman" w:hAnsi="Times New Roman"/>
          <w:sz w:val="24"/>
        </w:rPr>
        <w:t xml:space="preserve"> </w:t>
      </w:r>
      <w:r w:rsidR="006B5235">
        <w:rPr>
          <w:rFonts w:ascii="Times New Roman" w:hAnsi="Times New Roman"/>
          <w:sz w:val="24"/>
        </w:rPr>
        <w:t>[2010] IESC 3</w:t>
      </w:r>
      <w:r w:rsidR="00F65992">
        <w:rPr>
          <w:rFonts w:ascii="Times New Roman" w:hAnsi="Times New Roman"/>
          <w:sz w:val="24"/>
        </w:rPr>
        <w:t>5</w:t>
      </w:r>
      <w:r w:rsidR="006B5235">
        <w:rPr>
          <w:rFonts w:ascii="Times New Roman" w:hAnsi="Times New Roman"/>
          <w:sz w:val="24"/>
        </w:rPr>
        <w:t>, in support of their contention that the issue raised by the appellants does not meet the threshold for determining moot cases, i.e. in their submission the issue raised is not one of exceptional public importance and there are no special reasons in the public interest for hearing the appeal, as far as the first four ground</w:t>
      </w:r>
      <w:r w:rsidR="00A8413C">
        <w:rPr>
          <w:rFonts w:ascii="Times New Roman" w:hAnsi="Times New Roman"/>
          <w:sz w:val="24"/>
        </w:rPr>
        <w:t>s</w:t>
      </w:r>
      <w:r w:rsidR="006B5235">
        <w:rPr>
          <w:rFonts w:ascii="Times New Roman" w:hAnsi="Times New Roman"/>
          <w:sz w:val="24"/>
        </w:rPr>
        <w:t xml:space="preserve"> of appeal are concerned.</w:t>
      </w:r>
    </w:p>
    <w:p w14:paraId="24BED41C" w14:textId="1777F53D" w:rsidR="00A1312A" w:rsidRPr="00AD12A2" w:rsidRDefault="00BC1218"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N</w:t>
      </w:r>
      <w:r w:rsidR="00C73F9D">
        <w:rPr>
          <w:rFonts w:ascii="Times New Roman" w:hAnsi="Times New Roman"/>
          <w:sz w:val="24"/>
        </w:rPr>
        <w:t xml:space="preserve">otwithstanding the very strong </w:t>
      </w:r>
      <w:r>
        <w:rPr>
          <w:rFonts w:ascii="Times New Roman" w:hAnsi="Times New Roman"/>
          <w:sz w:val="24"/>
        </w:rPr>
        <w:t>and persuasive a</w:t>
      </w:r>
      <w:r w:rsidR="00C73F9D">
        <w:rPr>
          <w:rFonts w:ascii="Times New Roman" w:hAnsi="Times New Roman"/>
          <w:sz w:val="24"/>
        </w:rPr>
        <w:t>rguments advanced on behalf of the respondents,</w:t>
      </w:r>
      <w:r>
        <w:rPr>
          <w:rFonts w:ascii="Times New Roman" w:hAnsi="Times New Roman"/>
          <w:sz w:val="24"/>
        </w:rPr>
        <w:t xml:space="preserve"> I am of the opinion that</w:t>
      </w:r>
      <w:r w:rsidR="00C73F9D">
        <w:rPr>
          <w:rFonts w:ascii="Times New Roman" w:hAnsi="Times New Roman"/>
          <w:sz w:val="24"/>
        </w:rPr>
        <w:t xml:space="preserve"> the appeal cannot be considered as moot in circumstances where </w:t>
      </w:r>
      <w:r w:rsidR="00153E0F">
        <w:rPr>
          <w:rFonts w:ascii="Times New Roman" w:hAnsi="Times New Roman"/>
          <w:sz w:val="24"/>
        </w:rPr>
        <w:t xml:space="preserve">the appellants remain subject to an order of the High Court with which they have not complied. </w:t>
      </w:r>
      <w:r w:rsidR="00AD12A2">
        <w:rPr>
          <w:rFonts w:ascii="Times New Roman" w:hAnsi="Times New Roman"/>
          <w:sz w:val="24"/>
        </w:rPr>
        <w:t>While</w:t>
      </w:r>
      <w:r w:rsidR="00A1312A" w:rsidRPr="00AD12A2">
        <w:rPr>
          <w:rFonts w:ascii="Times New Roman" w:hAnsi="Times New Roman"/>
          <w:sz w:val="24"/>
        </w:rPr>
        <w:t xml:space="preserve"> it is clear from the submissions of the respondents, that </w:t>
      </w:r>
      <w:r w:rsidR="00B9745E" w:rsidRPr="00AD12A2">
        <w:rPr>
          <w:rFonts w:ascii="Times New Roman" w:hAnsi="Times New Roman"/>
          <w:sz w:val="24"/>
        </w:rPr>
        <w:t xml:space="preserve">while </w:t>
      </w:r>
      <w:r w:rsidR="00A1312A" w:rsidRPr="00AD12A2">
        <w:rPr>
          <w:rFonts w:ascii="Times New Roman" w:hAnsi="Times New Roman"/>
          <w:sz w:val="24"/>
        </w:rPr>
        <w:t>they are accepting as a matter of practicality</w:t>
      </w:r>
      <w:r w:rsidR="00B9745E" w:rsidRPr="00AD12A2">
        <w:rPr>
          <w:rFonts w:ascii="Times New Roman" w:hAnsi="Times New Roman"/>
          <w:sz w:val="24"/>
        </w:rPr>
        <w:t xml:space="preserve"> that</w:t>
      </w:r>
      <w:r w:rsidR="00A1312A" w:rsidRPr="00AD12A2">
        <w:rPr>
          <w:rFonts w:ascii="Times New Roman" w:hAnsi="Times New Roman"/>
          <w:sz w:val="24"/>
        </w:rPr>
        <w:t xml:space="preserve"> the appellants can do no more than they have done to identify the relevant locations,</w:t>
      </w:r>
      <w:r w:rsidR="00B9745E" w:rsidRPr="00AD12A2">
        <w:rPr>
          <w:rFonts w:ascii="Times New Roman" w:hAnsi="Times New Roman"/>
          <w:sz w:val="24"/>
        </w:rPr>
        <w:t xml:space="preserve"> the respondents have made it clear both in their written submissions and in their oral submissions to this Court that that acceptance by them is made </w:t>
      </w:r>
      <w:r w:rsidR="00A1312A" w:rsidRPr="00AD12A2">
        <w:rPr>
          <w:rFonts w:ascii="Times New Roman" w:hAnsi="Times New Roman"/>
          <w:sz w:val="24"/>
        </w:rPr>
        <w:t xml:space="preserve">on the basis of </w:t>
      </w:r>
      <w:r w:rsidR="00B9745E" w:rsidRPr="00AD12A2">
        <w:rPr>
          <w:rFonts w:ascii="Times New Roman" w:hAnsi="Times New Roman"/>
          <w:sz w:val="24"/>
        </w:rPr>
        <w:t>the</w:t>
      </w:r>
      <w:r w:rsidR="00A1312A" w:rsidRPr="00AD12A2">
        <w:rPr>
          <w:rFonts w:ascii="Times New Roman" w:hAnsi="Times New Roman"/>
          <w:sz w:val="24"/>
        </w:rPr>
        <w:t xml:space="preserve"> sworn </w:t>
      </w:r>
      <w:r w:rsidR="00B9745E" w:rsidRPr="00AD12A2">
        <w:rPr>
          <w:rFonts w:ascii="Times New Roman" w:hAnsi="Times New Roman"/>
          <w:sz w:val="24"/>
        </w:rPr>
        <w:t>evidence</w:t>
      </w:r>
      <w:r w:rsidR="00A1312A" w:rsidRPr="00AD12A2">
        <w:rPr>
          <w:rFonts w:ascii="Times New Roman" w:hAnsi="Times New Roman"/>
          <w:sz w:val="24"/>
        </w:rPr>
        <w:t xml:space="preserve"> of Mr. Glynn.  It will be recalled that, at the time of the hearing both in the High Court and the hearing of this appeal, discovery had yet to be made by the appellants.  It is not entirely</w:t>
      </w:r>
      <w:r w:rsidR="00327D1A" w:rsidRPr="00AD12A2">
        <w:rPr>
          <w:rFonts w:ascii="Times New Roman" w:hAnsi="Times New Roman"/>
          <w:sz w:val="24"/>
        </w:rPr>
        <w:t xml:space="preserve"> fanci</w:t>
      </w:r>
      <w:r w:rsidR="00A1312A" w:rsidRPr="00AD12A2">
        <w:rPr>
          <w:rFonts w:ascii="Times New Roman" w:hAnsi="Times New Roman"/>
          <w:sz w:val="24"/>
        </w:rPr>
        <w:t xml:space="preserve">ful to consider that something could arise on discovery that might give rise to further dispute between the parties on this issue and cause the appellants to reconsider the locations issue, on the basis that their concession before this Court was made on a false premise. </w:t>
      </w:r>
      <w:r w:rsidR="00B9745E" w:rsidRPr="00AD12A2">
        <w:rPr>
          <w:rFonts w:ascii="Times New Roman" w:hAnsi="Times New Roman"/>
          <w:sz w:val="24"/>
        </w:rPr>
        <w:t xml:space="preserve"> I am fortified in my conclusion in this regard by the decision of O’Donnell J. (as he then was) in </w:t>
      </w:r>
      <w:r w:rsidR="00B9745E" w:rsidRPr="00AD12A2">
        <w:rPr>
          <w:rFonts w:ascii="Times New Roman" w:hAnsi="Times New Roman"/>
          <w:i/>
          <w:sz w:val="24"/>
        </w:rPr>
        <w:t>Farrell v</w:t>
      </w:r>
      <w:r w:rsidR="00261352">
        <w:rPr>
          <w:rFonts w:ascii="Times New Roman" w:hAnsi="Times New Roman"/>
          <w:i/>
          <w:sz w:val="24"/>
        </w:rPr>
        <w:t>.</w:t>
      </w:r>
      <w:r w:rsidR="00B9745E" w:rsidRPr="00AD12A2">
        <w:rPr>
          <w:rFonts w:ascii="Times New Roman" w:hAnsi="Times New Roman"/>
          <w:i/>
          <w:sz w:val="24"/>
        </w:rPr>
        <w:t xml:space="preserve"> Governor of St.</w:t>
      </w:r>
      <w:r w:rsidR="00261352">
        <w:rPr>
          <w:rFonts w:ascii="Times New Roman" w:hAnsi="Times New Roman"/>
          <w:i/>
          <w:sz w:val="24"/>
        </w:rPr>
        <w:t xml:space="preserve"> </w:t>
      </w:r>
      <w:r w:rsidR="00B9745E" w:rsidRPr="00AD12A2">
        <w:rPr>
          <w:rFonts w:ascii="Times New Roman" w:hAnsi="Times New Roman"/>
          <w:i/>
          <w:sz w:val="24"/>
        </w:rPr>
        <w:t>Patrick’s Institution</w:t>
      </w:r>
      <w:r w:rsidR="00B9745E" w:rsidRPr="00AD12A2">
        <w:rPr>
          <w:rFonts w:ascii="Times New Roman" w:hAnsi="Times New Roman"/>
          <w:sz w:val="24"/>
        </w:rPr>
        <w:t xml:space="preserve"> [2014]</w:t>
      </w:r>
      <w:r w:rsidR="00103172" w:rsidRPr="00AD12A2">
        <w:rPr>
          <w:rFonts w:ascii="Times New Roman" w:hAnsi="Times New Roman"/>
          <w:sz w:val="24"/>
        </w:rPr>
        <w:t xml:space="preserve"> 1 IR 699</w:t>
      </w:r>
      <w:r w:rsidR="00133998" w:rsidRPr="00AD12A2">
        <w:rPr>
          <w:rFonts w:ascii="Times New Roman" w:hAnsi="Times New Roman"/>
          <w:sz w:val="24"/>
        </w:rPr>
        <w:t>.</w:t>
      </w:r>
    </w:p>
    <w:p w14:paraId="3A55BD1E" w14:textId="7007D21D" w:rsidR="00133998" w:rsidRPr="00CE274B" w:rsidRDefault="00133998" w:rsidP="0058287A">
      <w:pPr>
        <w:pStyle w:val="ListParagraph"/>
        <w:numPr>
          <w:ilvl w:val="0"/>
          <w:numId w:val="1"/>
        </w:numPr>
        <w:tabs>
          <w:tab w:val="left" w:pos="567"/>
        </w:tabs>
        <w:spacing w:line="480" w:lineRule="auto"/>
        <w:ind w:left="0" w:firstLine="0"/>
        <w:rPr>
          <w:rFonts w:ascii="Times New Roman" w:hAnsi="Times New Roman"/>
          <w:sz w:val="24"/>
          <w:u w:val="single"/>
        </w:rPr>
      </w:pPr>
      <w:r w:rsidRPr="00CE274B">
        <w:rPr>
          <w:rFonts w:ascii="Times New Roman" w:hAnsi="Times New Roman"/>
          <w:i/>
          <w:sz w:val="24"/>
        </w:rPr>
        <w:t>Farrell</w:t>
      </w:r>
      <w:r>
        <w:rPr>
          <w:rFonts w:ascii="Times New Roman" w:hAnsi="Times New Roman"/>
          <w:sz w:val="24"/>
        </w:rPr>
        <w:t xml:space="preserve"> arose out of an enquiry pursuant to Article 40.4.2 of the Constitution.  The enquiry arose in circumstances where there were certain charges pending against Mr. Farrell </w:t>
      </w:r>
      <w:r>
        <w:rPr>
          <w:rFonts w:ascii="Times New Roman" w:hAnsi="Times New Roman"/>
          <w:sz w:val="24"/>
        </w:rPr>
        <w:lastRenderedPageBreak/>
        <w:t xml:space="preserve">in the District Court, and that court had refused him legal aid in respect of those charges.  Mr. Farrell sought to challenge that decision of the District Court by way of judicial review.  The High Court granted him leave to do so, and at the same time granted a stay on the District Court proceedings.  Within a matter of days, Mr. Farrell was before the District Court for a further remand, and it was submitted that the District Court had no jurisdiction to make any further order remanding Mr. Farrell in custody as the proceedings had been stayed.  The District judge did not accept this argument and remanded Mr. Farrell in custody, with consent to bail.  Arising out of that order, Mr. Farrell brought an application for his release pursuant to Article 40.4.2 of the Constitution.  </w:t>
      </w:r>
    </w:p>
    <w:p w14:paraId="0644E92A" w14:textId="360A3891" w:rsidR="00133998" w:rsidRPr="00D44D1B" w:rsidRDefault="00133998"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Before the enquiry came on for hearing in the High Court, Mr. Farrell was released.  Nonetheless, the High Court entertained the application because the trial judge took the view that because of the very narrow period of time involved, the issue was one which would escape effective judicial oversight unless determined.  Accordingly, the court heard the application, even though there could be no question of making any order for the release of Mr. Farrell.  Instead, finding in his favour, the High Court declared that Mr. Farrell was entitled to have been released from custody on the date when he made application, </w:t>
      </w:r>
      <w:r>
        <w:rPr>
          <w:rFonts w:ascii="Times New Roman" w:hAnsi="Times New Roman"/>
          <w:i/>
          <w:sz w:val="24"/>
        </w:rPr>
        <w:t xml:space="preserve">ex </w:t>
      </w:r>
      <w:proofErr w:type="spellStart"/>
      <w:r>
        <w:rPr>
          <w:rFonts w:ascii="Times New Roman" w:hAnsi="Times New Roman"/>
          <w:i/>
          <w:sz w:val="24"/>
        </w:rPr>
        <w:t>parte</w:t>
      </w:r>
      <w:proofErr w:type="spellEnd"/>
      <w:r w:rsidRPr="000C0043">
        <w:rPr>
          <w:rFonts w:ascii="Times New Roman" w:hAnsi="Times New Roman"/>
          <w:iCs/>
          <w:sz w:val="24"/>
        </w:rPr>
        <w:t xml:space="preserve">, </w:t>
      </w:r>
      <w:r>
        <w:rPr>
          <w:rFonts w:ascii="Times New Roman" w:hAnsi="Times New Roman"/>
          <w:sz w:val="24"/>
        </w:rPr>
        <w:t xml:space="preserve">to the High Court for an enquiry pursuant to Article 40.4.2 of the Constitution. </w:t>
      </w:r>
    </w:p>
    <w:p w14:paraId="1CB1ABC1" w14:textId="03842F4F" w:rsidR="00133998" w:rsidRPr="00D44D1B" w:rsidRDefault="00133998"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the Supreme Court, the majority took the view that the appeal was moot, but went on to hear and determine the appeal for five reasons, including that the issue arose in circumstances which would escape review if the court did not exercise its discretion to hear the appeal, and the issue was one of systemic relevance to cases before the courts, where an application for judicial review has been granted.  While O’Donnell J. concurred with the decision of the majority as regards the decision to determine the issue, he expressed the opinion that the appeal was not truly moot for reasons explained at para. 72 as follows:</w:t>
      </w:r>
    </w:p>
    <w:p w14:paraId="6716C721" w14:textId="79E49283" w:rsidR="00133998" w:rsidRDefault="00133998"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lastRenderedPageBreak/>
        <w:t>“</w:t>
      </w:r>
      <w:r w:rsidRPr="00166DDD">
        <w:rPr>
          <w:rFonts w:ascii="Times New Roman" w:hAnsi="Times New Roman"/>
          <w:i/>
          <w:iCs/>
          <w:sz w:val="24"/>
        </w:rPr>
        <w:t>72.  However, it seems to me that the appeal was not moot in any real sense of the word.  Mootness is an issue which can arise in Article 40 enquiries when for various reasons the applicant is at liberty.  There is, to put it at its lowest, some difficulty about making orders for release or non-release under Article 40 of a person who has long since left custody.  However here, the fact that the release had occurred before the High Court hearing meant that the court could not make any such order, and instead made a declaration that the respondent was entitled to have been released on the 4</w:t>
      </w:r>
      <w:r w:rsidRPr="00166DDD">
        <w:rPr>
          <w:rFonts w:ascii="Times New Roman" w:hAnsi="Times New Roman"/>
          <w:i/>
          <w:iCs/>
          <w:sz w:val="24"/>
          <w:vertAlign w:val="superscript"/>
        </w:rPr>
        <w:t>th</w:t>
      </w:r>
      <w:r w:rsidRPr="00166DDD">
        <w:rPr>
          <w:rFonts w:ascii="Times New Roman" w:hAnsi="Times New Roman"/>
          <w:i/>
          <w:iCs/>
          <w:sz w:val="24"/>
        </w:rPr>
        <w:t xml:space="preserve"> July</w:t>
      </w:r>
      <w:r w:rsidR="00166DDD" w:rsidRPr="00166DDD">
        <w:rPr>
          <w:rFonts w:ascii="Times New Roman" w:hAnsi="Times New Roman"/>
          <w:i/>
          <w:iCs/>
          <w:sz w:val="24"/>
        </w:rPr>
        <w:t>,</w:t>
      </w:r>
      <w:r w:rsidRPr="00166DDD">
        <w:rPr>
          <w:rFonts w:ascii="Times New Roman" w:hAnsi="Times New Roman"/>
          <w:i/>
          <w:iCs/>
          <w:sz w:val="24"/>
        </w:rPr>
        <w:t xml:space="preserve"> 2012.  Assuming for the moment that such an order could validly have been made under an Article 40 </w:t>
      </w:r>
      <w:r w:rsidR="00166DDD" w:rsidRPr="00166DDD">
        <w:rPr>
          <w:rFonts w:ascii="Times New Roman" w:hAnsi="Times New Roman"/>
          <w:i/>
          <w:iCs/>
          <w:sz w:val="24"/>
        </w:rPr>
        <w:t>i</w:t>
      </w:r>
      <w:r w:rsidRPr="00166DDD">
        <w:rPr>
          <w:rFonts w:ascii="Times New Roman" w:hAnsi="Times New Roman"/>
          <w:i/>
          <w:iCs/>
          <w:sz w:val="24"/>
        </w:rPr>
        <w:t>nquiry, that declaration together with a consequential order for the costs of the initial application and for 80</w:t>
      </w:r>
      <w:r w:rsidR="00166DDD" w:rsidRPr="00166DDD">
        <w:rPr>
          <w:rFonts w:ascii="Times New Roman" w:hAnsi="Times New Roman"/>
          <w:i/>
          <w:iCs/>
          <w:sz w:val="24"/>
        </w:rPr>
        <w:t>%</w:t>
      </w:r>
      <w:r w:rsidRPr="00166DDD">
        <w:rPr>
          <w:rFonts w:ascii="Times New Roman" w:hAnsi="Times New Roman"/>
          <w:i/>
          <w:iCs/>
          <w:sz w:val="24"/>
        </w:rPr>
        <w:t xml:space="preserve"> of the costs of the hearing of the </w:t>
      </w:r>
      <w:r w:rsidR="00166DDD" w:rsidRPr="00166DDD">
        <w:rPr>
          <w:rFonts w:ascii="Times New Roman" w:hAnsi="Times New Roman"/>
          <w:i/>
          <w:iCs/>
          <w:sz w:val="24"/>
        </w:rPr>
        <w:t>i</w:t>
      </w:r>
      <w:r w:rsidRPr="00166DDD">
        <w:rPr>
          <w:rFonts w:ascii="Times New Roman" w:hAnsi="Times New Roman"/>
          <w:i/>
          <w:iCs/>
          <w:sz w:val="24"/>
        </w:rPr>
        <w:t>nquiry</w:t>
      </w:r>
      <w:r w:rsidR="00166DDD" w:rsidRPr="00166DDD">
        <w:rPr>
          <w:rFonts w:ascii="Times New Roman" w:hAnsi="Times New Roman"/>
          <w:i/>
          <w:iCs/>
          <w:sz w:val="24"/>
        </w:rPr>
        <w:t>,</w:t>
      </w:r>
      <w:r w:rsidRPr="00166DDD">
        <w:rPr>
          <w:rFonts w:ascii="Times New Roman" w:hAnsi="Times New Roman"/>
          <w:i/>
          <w:iCs/>
          <w:sz w:val="24"/>
        </w:rPr>
        <w:t xml:space="preserve"> remains in place.  It is a declaration that </w:t>
      </w:r>
      <w:r w:rsidR="009B088E" w:rsidRPr="00166DDD">
        <w:rPr>
          <w:rFonts w:ascii="Times New Roman" w:hAnsi="Times New Roman"/>
          <w:i/>
          <w:iCs/>
          <w:sz w:val="24"/>
        </w:rPr>
        <w:t xml:space="preserve">of </w:t>
      </w:r>
      <w:r w:rsidRPr="00166DDD">
        <w:rPr>
          <w:rFonts w:ascii="Times New Roman" w:hAnsi="Times New Roman"/>
          <w:i/>
          <w:iCs/>
          <w:sz w:val="24"/>
        </w:rPr>
        <w:t>the legal position between the parties</w:t>
      </w:r>
      <w:r w:rsidR="00166DDD" w:rsidRPr="00166DDD">
        <w:rPr>
          <w:rFonts w:ascii="Times New Roman" w:hAnsi="Times New Roman"/>
          <w:i/>
          <w:iCs/>
          <w:sz w:val="24"/>
        </w:rPr>
        <w:t>,</w:t>
      </w:r>
      <w:r w:rsidRPr="00166DDD">
        <w:rPr>
          <w:rFonts w:ascii="Times New Roman" w:hAnsi="Times New Roman"/>
          <w:i/>
          <w:iCs/>
          <w:sz w:val="24"/>
        </w:rPr>
        <w:t xml:space="preserve"> which is binding upon them.  As long as it remains in place, and is in any way capable of affecting the rights and obligations of the parties (and moreover providing a legal basis and justification for the order for costs) I consider that the appellant was entitled to appeal it as of right and that the proceedings could not be said to be moot.  If however, this is too narrow a view, I also express my agreement with Denham J., that even if the appeal is considered to be moot, it is one that the court should hear and determine.</w:t>
      </w:r>
      <w:r>
        <w:rPr>
          <w:rFonts w:ascii="Times New Roman" w:hAnsi="Times New Roman"/>
          <w:sz w:val="24"/>
        </w:rPr>
        <w:t>”</w:t>
      </w:r>
    </w:p>
    <w:p w14:paraId="6631FC9D" w14:textId="77777777" w:rsidR="00B11DC6" w:rsidRPr="004E03FF" w:rsidRDefault="00133998"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this case, </w:t>
      </w:r>
      <w:r w:rsidR="00E85648">
        <w:rPr>
          <w:rFonts w:ascii="Times New Roman" w:hAnsi="Times New Roman"/>
          <w:sz w:val="24"/>
        </w:rPr>
        <w:t xml:space="preserve">Roadstone </w:t>
      </w:r>
      <w:r>
        <w:rPr>
          <w:rFonts w:ascii="Times New Roman" w:hAnsi="Times New Roman"/>
          <w:sz w:val="24"/>
        </w:rPr>
        <w:t>remain</w:t>
      </w:r>
      <w:r w:rsidR="00E85648">
        <w:rPr>
          <w:rFonts w:ascii="Times New Roman" w:hAnsi="Times New Roman"/>
          <w:sz w:val="24"/>
        </w:rPr>
        <w:t>s</w:t>
      </w:r>
      <w:r>
        <w:rPr>
          <w:rFonts w:ascii="Times New Roman" w:hAnsi="Times New Roman"/>
          <w:sz w:val="24"/>
        </w:rPr>
        <w:t xml:space="preserve"> subject to a</w:t>
      </w:r>
      <w:r w:rsidR="00E85648">
        <w:rPr>
          <w:rFonts w:ascii="Times New Roman" w:hAnsi="Times New Roman"/>
          <w:sz w:val="24"/>
        </w:rPr>
        <w:t>n</w:t>
      </w:r>
      <w:r>
        <w:rPr>
          <w:rFonts w:ascii="Times New Roman" w:hAnsi="Times New Roman"/>
          <w:sz w:val="24"/>
        </w:rPr>
        <w:t xml:space="preserve"> order </w:t>
      </w:r>
      <w:r w:rsidR="00E85648">
        <w:rPr>
          <w:rFonts w:ascii="Times New Roman" w:hAnsi="Times New Roman"/>
          <w:sz w:val="24"/>
        </w:rPr>
        <w:t xml:space="preserve">with </w:t>
      </w:r>
      <w:r>
        <w:rPr>
          <w:rFonts w:ascii="Times New Roman" w:hAnsi="Times New Roman"/>
          <w:sz w:val="24"/>
        </w:rPr>
        <w:t xml:space="preserve">which </w:t>
      </w:r>
      <w:r w:rsidR="00E85648">
        <w:rPr>
          <w:rFonts w:ascii="Times New Roman" w:hAnsi="Times New Roman"/>
          <w:sz w:val="24"/>
        </w:rPr>
        <w:t xml:space="preserve">it has not complied, and with which it claims it cannot comply. The respondents do not </w:t>
      </w:r>
      <w:r w:rsidR="0042702A">
        <w:rPr>
          <w:rFonts w:ascii="Times New Roman" w:hAnsi="Times New Roman"/>
          <w:sz w:val="24"/>
        </w:rPr>
        <w:t>dis</w:t>
      </w:r>
      <w:r w:rsidR="00E85648">
        <w:rPr>
          <w:rFonts w:ascii="Times New Roman" w:hAnsi="Times New Roman"/>
          <w:sz w:val="24"/>
        </w:rPr>
        <w:t>agree</w:t>
      </w:r>
      <w:r w:rsidR="0042702A">
        <w:rPr>
          <w:rFonts w:ascii="Times New Roman" w:hAnsi="Times New Roman"/>
          <w:sz w:val="24"/>
        </w:rPr>
        <w:t xml:space="preserve"> that</w:t>
      </w:r>
      <w:r w:rsidR="00E85648">
        <w:rPr>
          <w:rFonts w:ascii="Times New Roman" w:hAnsi="Times New Roman"/>
          <w:sz w:val="24"/>
        </w:rPr>
        <w:t xml:space="preserve"> the locations part of the order of Murphy J. has not been complied with by Roadstone, </w:t>
      </w:r>
      <w:r w:rsidR="0042702A">
        <w:rPr>
          <w:rFonts w:ascii="Times New Roman" w:hAnsi="Times New Roman"/>
          <w:sz w:val="24"/>
        </w:rPr>
        <w:t>and while it may be highly unlikely that the issue of compliance with th</w:t>
      </w:r>
      <w:r w:rsidR="00E85648">
        <w:rPr>
          <w:rFonts w:ascii="Times New Roman" w:hAnsi="Times New Roman"/>
          <w:sz w:val="24"/>
        </w:rPr>
        <w:t>e</w:t>
      </w:r>
      <w:r w:rsidR="0042702A">
        <w:rPr>
          <w:rFonts w:ascii="Times New Roman" w:hAnsi="Times New Roman"/>
          <w:sz w:val="24"/>
        </w:rPr>
        <w:t xml:space="preserve"> order will be raised in the remainder of the proceedings, this cannot be ruled out entirely. </w:t>
      </w:r>
      <w:r>
        <w:rPr>
          <w:rFonts w:ascii="Times New Roman" w:hAnsi="Times New Roman"/>
          <w:sz w:val="24"/>
        </w:rPr>
        <w:t xml:space="preserve">If anything, the order in this case has a greater continuing significance than the declaration made by the High Court in </w:t>
      </w:r>
      <w:r>
        <w:rPr>
          <w:rFonts w:ascii="Times New Roman" w:hAnsi="Times New Roman"/>
          <w:i/>
          <w:sz w:val="24"/>
        </w:rPr>
        <w:t xml:space="preserve">Farrell </w:t>
      </w:r>
      <w:r>
        <w:rPr>
          <w:rFonts w:ascii="Times New Roman" w:hAnsi="Times New Roman"/>
          <w:sz w:val="24"/>
        </w:rPr>
        <w:t xml:space="preserve">(for the reasons explained in </w:t>
      </w:r>
      <w:r w:rsidR="005D0212">
        <w:rPr>
          <w:rFonts w:ascii="Times New Roman" w:hAnsi="Times New Roman"/>
          <w:sz w:val="24"/>
        </w:rPr>
        <w:t>para</w:t>
      </w:r>
      <w:r>
        <w:rPr>
          <w:rFonts w:ascii="Times New Roman" w:hAnsi="Times New Roman"/>
          <w:sz w:val="24"/>
        </w:rPr>
        <w:t xml:space="preserve">. </w:t>
      </w:r>
      <w:r w:rsidR="00AD12A2">
        <w:rPr>
          <w:rFonts w:ascii="Times New Roman" w:hAnsi="Times New Roman"/>
          <w:sz w:val="24"/>
        </w:rPr>
        <w:t>4</w:t>
      </w:r>
      <w:r w:rsidR="00E85648">
        <w:rPr>
          <w:rFonts w:ascii="Times New Roman" w:hAnsi="Times New Roman"/>
          <w:sz w:val="24"/>
        </w:rPr>
        <w:t>4</w:t>
      </w:r>
      <w:r>
        <w:rPr>
          <w:rFonts w:ascii="Times New Roman" w:hAnsi="Times New Roman"/>
          <w:sz w:val="24"/>
        </w:rPr>
        <w:t xml:space="preserve"> above). </w:t>
      </w:r>
    </w:p>
    <w:p w14:paraId="06D8F493" w14:textId="721FF46D" w:rsidR="00B11DC6" w:rsidRPr="00130CD8" w:rsidRDefault="00B11DC6" w:rsidP="0058287A">
      <w:pPr>
        <w:pStyle w:val="ListParagraph"/>
        <w:numPr>
          <w:ilvl w:val="0"/>
          <w:numId w:val="1"/>
        </w:numPr>
        <w:tabs>
          <w:tab w:val="left" w:pos="567"/>
        </w:tabs>
        <w:spacing w:line="480" w:lineRule="auto"/>
        <w:ind w:left="0" w:firstLine="0"/>
        <w:rPr>
          <w:rFonts w:ascii="Times New Roman" w:hAnsi="Times New Roman"/>
          <w:bCs/>
          <w:sz w:val="24"/>
        </w:rPr>
      </w:pPr>
      <w:r w:rsidRPr="00130CD8">
        <w:rPr>
          <w:rFonts w:ascii="Times New Roman" w:hAnsi="Times New Roman"/>
          <w:bCs/>
          <w:sz w:val="24"/>
        </w:rPr>
        <w:lastRenderedPageBreak/>
        <w:t xml:space="preserve">Finally, on this issue, the appeal raises an important point of law as to the </w:t>
      </w:r>
      <w:r w:rsidR="005126FE" w:rsidRPr="00130CD8">
        <w:rPr>
          <w:rFonts w:ascii="Times New Roman" w:hAnsi="Times New Roman"/>
          <w:bCs/>
          <w:sz w:val="24"/>
        </w:rPr>
        <w:t>extent of the Court’s jurisdiction under O</w:t>
      </w:r>
      <w:r w:rsidR="00404E9C">
        <w:rPr>
          <w:rFonts w:ascii="Times New Roman" w:hAnsi="Times New Roman"/>
          <w:bCs/>
          <w:sz w:val="24"/>
        </w:rPr>
        <w:t>.</w:t>
      </w:r>
      <w:r w:rsidR="005126FE" w:rsidRPr="00130CD8">
        <w:rPr>
          <w:rFonts w:ascii="Times New Roman" w:hAnsi="Times New Roman"/>
          <w:bCs/>
          <w:sz w:val="24"/>
        </w:rPr>
        <w:t xml:space="preserve"> 50, r. 4 </w:t>
      </w:r>
      <w:r w:rsidR="006B737C">
        <w:rPr>
          <w:rFonts w:ascii="Times New Roman" w:hAnsi="Times New Roman"/>
          <w:bCs/>
          <w:sz w:val="24"/>
        </w:rPr>
        <w:t>RSC</w:t>
      </w:r>
      <w:r w:rsidR="005126FE" w:rsidRPr="00130CD8">
        <w:rPr>
          <w:rFonts w:ascii="Times New Roman" w:hAnsi="Times New Roman"/>
          <w:bCs/>
          <w:sz w:val="24"/>
        </w:rPr>
        <w:t>, which is likely to arise again in the future and, for that reason also, the Court took the view that it was appropriate to address the appeal on the merits.</w:t>
      </w:r>
    </w:p>
    <w:p w14:paraId="79041DB5" w14:textId="274898EB" w:rsidR="00133998" w:rsidRPr="000777ED" w:rsidRDefault="00133998" w:rsidP="0058287A">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Having thus concluded, I will now proceed to consider the second issue identified for determination</w:t>
      </w:r>
      <w:r w:rsidR="00082C13">
        <w:rPr>
          <w:rFonts w:ascii="Times New Roman" w:hAnsi="Times New Roman"/>
          <w:sz w:val="24"/>
        </w:rPr>
        <w:t>,</w:t>
      </w:r>
      <w:r>
        <w:rPr>
          <w:rFonts w:ascii="Times New Roman" w:hAnsi="Times New Roman"/>
          <w:sz w:val="24"/>
        </w:rPr>
        <w:t xml:space="preserve"> i.e. did the High Court have jurisdiction to make an order directing </w:t>
      </w:r>
      <w:r w:rsidR="00E85648">
        <w:rPr>
          <w:rFonts w:ascii="Times New Roman" w:hAnsi="Times New Roman"/>
          <w:sz w:val="24"/>
        </w:rPr>
        <w:t>Roadstone</w:t>
      </w:r>
      <w:r>
        <w:rPr>
          <w:rFonts w:ascii="Times New Roman" w:hAnsi="Times New Roman"/>
          <w:sz w:val="24"/>
        </w:rPr>
        <w:t xml:space="preserve"> to identify the locations within </w:t>
      </w:r>
      <w:r w:rsidR="00E85648">
        <w:rPr>
          <w:rFonts w:ascii="Times New Roman" w:hAnsi="Times New Roman"/>
          <w:sz w:val="24"/>
        </w:rPr>
        <w:t>its</w:t>
      </w:r>
      <w:r>
        <w:rPr>
          <w:rFonts w:ascii="Times New Roman" w:hAnsi="Times New Roman"/>
          <w:sz w:val="24"/>
        </w:rPr>
        <w:t xml:space="preserve"> quarries from which stone supplied by </w:t>
      </w:r>
      <w:r w:rsidR="00E85648">
        <w:rPr>
          <w:rFonts w:ascii="Times New Roman" w:hAnsi="Times New Roman"/>
          <w:sz w:val="24"/>
        </w:rPr>
        <w:t>it</w:t>
      </w:r>
      <w:r>
        <w:rPr>
          <w:rFonts w:ascii="Times New Roman" w:hAnsi="Times New Roman"/>
          <w:sz w:val="24"/>
        </w:rPr>
        <w:t xml:space="preserve"> to the respondents for use in the D</w:t>
      </w:r>
      <w:r w:rsidR="00E85648">
        <w:rPr>
          <w:rFonts w:ascii="Times New Roman" w:hAnsi="Times New Roman"/>
          <w:sz w:val="24"/>
        </w:rPr>
        <w:t>evelopment</w:t>
      </w:r>
      <w:r>
        <w:rPr>
          <w:rFonts w:ascii="Times New Roman" w:hAnsi="Times New Roman"/>
          <w:sz w:val="24"/>
        </w:rPr>
        <w:t xml:space="preserve"> was extracted?  </w:t>
      </w:r>
    </w:p>
    <w:p w14:paraId="0F2B6461" w14:textId="0E31C0AD" w:rsidR="00792120" w:rsidRPr="002958E4" w:rsidRDefault="00792120" w:rsidP="0058287A">
      <w:pPr>
        <w:pStyle w:val="ListParagraph"/>
        <w:tabs>
          <w:tab w:val="left" w:pos="567"/>
        </w:tabs>
        <w:spacing w:line="480" w:lineRule="auto"/>
        <w:ind w:left="0"/>
        <w:rPr>
          <w:rFonts w:ascii="Times New Roman" w:hAnsi="Times New Roman"/>
          <w:b/>
          <w:sz w:val="24"/>
        </w:rPr>
      </w:pPr>
      <w:r w:rsidRPr="002958E4">
        <w:rPr>
          <w:rFonts w:ascii="Times New Roman" w:hAnsi="Times New Roman"/>
          <w:b/>
          <w:sz w:val="24"/>
        </w:rPr>
        <w:t>Does O.</w:t>
      </w:r>
      <w:r w:rsidR="00082C13" w:rsidRPr="002958E4">
        <w:rPr>
          <w:rFonts w:ascii="Times New Roman" w:hAnsi="Times New Roman"/>
          <w:b/>
          <w:sz w:val="24"/>
        </w:rPr>
        <w:t xml:space="preserve"> </w:t>
      </w:r>
      <w:r w:rsidRPr="002958E4">
        <w:rPr>
          <w:rFonts w:ascii="Times New Roman" w:hAnsi="Times New Roman"/>
          <w:b/>
          <w:sz w:val="24"/>
        </w:rPr>
        <w:t>50, r.</w:t>
      </w:r>
      <w:r w:rsidR="00082C13" w:rsidRPr="002958E4">
        <w:rPr>
          <w:rFonts w:ascii="Times New Roman" w:hAnsi="Times New Roman"/>
          <w:b/>
          <w:sz w:val="24"/>
        </w:rPr>
        <w:t xml:space="preserve"> </w:t>
      </w:r>
      <w:r w:rsidRPr="002958E4">
        <w:rPr>
          <w:rFonts w:ascii="Times New Roman" w:hAnsi="Times New Roman"/>
          <w:b/>
          <w:sz w:val="24"/>
        </w:rPr>
        <w:t>4</w:t>
      </w:r>
      <w:r w:rsidR="00E44516" w:rsidRPr="002958E4">
        <w:rPr>
          <w:rFonts w:ascii="Times New Roman" w:hAnsi="Times New Roman"/>
          <w:b/>
          <w:sz w:val="24"/>
        </w:rPr>
        <w:t xml:space="preserve"> RSC</w:t>
      </w:r>
      <w:r w:rsidRPr="002958E4">
        <w:rPr>
          <w:rFonts w:ascii="Times New Roman" w:hAnsi="Times New Roman"/>
          <w:b/>
          <w:sz w:val="24"/>
        </w:rPr>
        <w:t xml:space="preserve"> confer jurisdiction on the High </w:t>
      </w:r>
      <w:r w:rsidR="002958E4">
        <w:rPr>
          <w:rFonts w:ascii="Times New Roman" w:hAnsi="Times New Roman"/>
          <w:b/>
          <w:sz w:val="24"/>
        </w:rPr>
        <w:t>C</w:t>
      </w:r>
      <w:r w:rsidRPr="002958E4">
        <w:rPr>
          <w:rFonts w:ascii="Times New Roman" w:hAnsi="Times New Roman"/>
          <w:b/>
          <w:sz w:val="24"/>
        </w:rPr>
        <w:t>ourt to make orders ancillary to an order for inspection (such as that made by the trial judge in this case ordering the first named appellant to “</w:t>
      </w:r>
      <w:r w:rsidRPr="002958E4">
        <w:rPr>
          <w:rFonts w:ascii="Times New Roman" w:hAnsi="Times New Roman"/>
          <w:b/>
          <w:i/>
          <w:iCs/>
          <w:sz w:val="24"/>
        </w:rPr>
        <w:t xml:space="preserve">identify… the locations in the said quarries from which the stone supplied by the </w:t>
      </w:r>
      <w:r w:rsidR="002958E4" w:rsidRPr="002958E4">
        <w:rPr>
          <w:rFonts w:ascii="Times New Roman" w:hAnsi="Times New Roman"/>
          <w:b/>
          <w:i/>
          <w:iCs/>
          <w:sz w:val="24"/>
        </w:rPr>
        <w:t xml:space="preserve">First Named Defendant </w:t>
      </w:r>
      <w:r w:rsidRPr="002958E4">
        <w:rPr>
          <w:rFonts w:ascii="Times New Roman" w:hAnsi="Times New Roman"/>
          <w:b/>
          <w:i/>
          <w:iCs/>
          <w:sz w:val="24"/>
        </w:rPr>
        <w:t xml:space="preserve">to the </w:t>
      </w:r>
      <w:r w:rsidR="002958E4">
        <w:rPr>
          <w:rFonts w:ascii="Times New Roman" w:hAnsi="Times New Roman"/>
          <w:b/>
          <w:i/>
          <w:iCs/>
          <w:sz w:val="24"/>
        </w:rPr>
        <w:t>P</w:t>
      </w:r>
      <w:r w:rsidRPr="002958E4">
        <w:rPr>
          <w:rFonts w:ascii="Times New Roman" w:hAnsi="Times New Roman"/>
          <w:b/>
          <w:i/>
          <w:iCs/>
          <w:sz w:val="24"/>
        </w:rPr>
        <w:t xml:space="preserve">laintiffs for use in the </w:t>
      </w:r>
      <w:proofErr w:type="spellStart"/>
      <w:r w:rsidRPr="002958E4">
        <w:rPr>
          <w:rFonts w:ascii="Times New Roman" w:hAnsi="Times New Roman"/>
          <w:b/>
          <w:i/>
          <w:iCs/>
          <w:sz w:val="24"/>
        </w:rPr>
        <w:t>Drumnigh</w:t>
      </w:r>
      <w:proofErr w:type="spellEnd"/>
      <w:r w:rsidRPr="002958E4">
        <w:rPr>
          <w:rFonts w:ascii="Times New Roman" w:hAnsi="Times New Roman"/>
          <w:b/>
          <w:i/>
          <w:iCs/>
          <w:sz w:val="24"/>
        </w:rPr>
        <w:t xml:space="preserve"> Wood Estate </w:t>
      </w:r>
      <w:proofErr w:type="spellStart"/>
      <w:r w:rsidRPr="002958E4">
        <w:rPr>
          <w:rFonts w:ascii="Times New Roman" w:hAnsi="Times New Roman"/>
          <w:b/>
          <w:i/>
          <w:iCs/>
          <w:sz w:val="24"/>
        </w:rPr>
        <w:t>Drumnigh</w:t>
      </w:r>
      <w:proofErr w:type="spellEnd"/>
      <w:r w:rsidRPr="002958E4">
        <w:rPr>
          <w:rFonts w:ascii="Times New Roman" w:hAnsi="Times New Roman"/>
          <w:b/>
          <w:i/>
          <w:iCs/>
          <w:sz w:val="24"/>
        </w:rPr>
        <w:t xml:space="preserve"> Wood </w:t>
      </w:r>
      <w:proofErr w:type="spellStart"/>
      <w:r w:rsidRPr="002958E4">
        <w:rPr>
          <w:rFonts w:ascii="Times New Roman" w:hAnsi="Times New Roman"/>
          <w:b/>
          <w:i/>
          <w:iCs/>
          <w:sz w:val="24"/>
        </w:rPr>
        <w:t>Portmarnock</w:t>
      </w:r>
      <w:proofErr w:type="spellEnd"/>
      <w:r w:rsidRPr="002958E4">
        <w:rPr>
          <w:rFonts w:ascii="Times New Roman" w:hAnsi="Times New Roman"/>
          <w:b/>
          <w:i/>
          <w:iCs/>
          <w:sz w:val="24"/>
        </w:rPr>
        <w:t xml:space="preserve"> Co</w:t>
      </w:r>
      <w:r w:rsidR="002958E4">
        <w:rPr>
          <w:rFonts w:ascii="Times New Roman" w:hAnsi="Times New Roman"/>
          <w:b/>
          <w:i/>
          <w:iCs/>
          <w:sz w:val="24"/>
        </w:rPr>
        <w:t>unty</w:t>
      </w:r>
      <w:r w:rsidRPr="002958E4">
        <w:rPr>
          <w:rFonts w:ascii="Times New Roman" w:hAnsi="Times New Roman"/>
          <w:b/>
          <w:i/>
          <w:iCs/>
          <w:sz w:val="24"/>
        </w:rPr>
        <w:t xml:space="preserve"> Dublin was extracted…</w:t>
      </w:r>
      <w:r w:rsidR="00D226AA" w:rsidRPr="002958E4">
        <w:rPr>
          <w:rFonts w:ascii="Times New Roman" w:hAnsi="Times New Roman"/>
          <w:b/>
          <w:sz w:val="24"/>
        </w:rPr>
        <w:t>”)?</w:t>
      </w:r>
    </w:p>
    <w:p w14:paraId="03304813" w14:textId="303431AC" w:rsidR="002F7B0F" w:rsidRPr="002F7B0F" w:rsidRDefault="00D22D56"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sidRPr="00D22D56">
        <w:rPr>
          <w:rFonts w:ascii="Times New Roman" w:hAnsi="Times New Roman"/>
          <w:sz w:val="24"/>
        </w:rPr>
        <w:t xml:space="preserve">In </w:t>
      </w:r>
      <w:r w:rsidRPr="00D22D56">
        <w:rPr>
          <w:rFonts w:ascii="Times New Roman" w:hAnsi="Times New Roman"/>
          <w:i/>
          <w:sz w:val="24"/>
        </w:rPr>
        <w:t>Bula Ltd. v. Tara Mines Ltd.</w:t>
      </w:r>
      <w:r w:rsidR="00352FB2" w:rsidRPr="00352FB2">
        <w:rPr>
          <w:rFonts w:ascii="Times New Roman" w:hAnsi="Times New Roman"/>
          <w:i/>
          <w:sz w:val="24"/>
        </w:rPr>
        <w:t xml:space="preserve"> </w:t>
      </w:r>
      <w:r w:rsidR="00352FB2">
        <w:rPr>
          <w:rFonts w:ascii="Times New Roman" w:hAnsi="Times New Roman"/>
          <w:i/>
          <w:sz w:val="24"/>
        </w:rPr>
        <w:t xml:space="preserve">(No.1) </w:t>
      </w:r>
      <w:r w:rsidR="00352FB2">
        <w:rPr>
          <w:rFonts w:ascii="Times New Roman" w:hAnsi="Times New Roman"/>
          <w:sz w:val="24"/>
        </w:rPr>
        <w:t>[1987] IR 85,</w:t>
      </w:r>
      <w:r w:rsidRPr="00D22D56">
        <w:rPr>
          <w:rFonts w:ascii="Times New Roman" w:hAnsi="Times New Roman"/>
          <w:i/>
          <w:sz w:val="24"/>
        </w:rPr>
        <w:t xml:space="preserve"> </w:t>
      </w:r>
      <w:r w:rsidRPr="00D22D56">
        <w:rPr>
          <w:rFonts w:ascii="Times New Roman" w:hAnsi="Times New Roman"/>
          <w:sz w:val="24"/>
        </w:rPr>
        <w:t>Murphy J. stated (at p.</w:t>
      </w:r>
      <w:r w:rsidR="00033089">
        <w:rPr>
          <w:rFonts w:ascii="Times New Roman" w:hAnsi="Times New Roman"/>
          <w:sz w:val="24"/>
        </w:rPr>
        <w:t xml:space="preserve"> </w:t>
      </w:r>
      <w:r w:rsidRPr="00D22D56">
        <w:rPr>
          <w:rFonts w:ascii="Times New Roman" w:hAnsi="Times New Roman"/>
          <w:sz w:val="24"/>
        </w:rPr>
        <w:t xml:space="preserve">92): </w:t>
      </w:r>
    </w:p>
    <w:p w14:paraId="19D3BEDC" w14:textId="77777777" w:rsidR="002F7B0F" w:rsidRDefault="00D22D56" w:rsidP="002F7B0F">
      <w:pPr>
        <w:pStyle w:val="ListParagraph"/>
        <w:tabs>
          <w:tab w:val="left" w:pos="567"/>
        </w:tabs>
        <w:spacing w:line="480" w:lineRule="auto"/>
        <w:ind w:left="567"/>
        <w:rPr>
          <w:rFonts w:ascii="Times New Roman" w:hAnsi="Times New Roman"/>
          <w:i/>
          <w:sz w:val="24"/>
        </w:rPr>
      </w:pPr>
      <w:r w:rsidRPr="00082C13">
        <w:rPr>
          <w:rFonts w:ascii="Times New Roman" w:hAnsi="Times New Roman"/>
          <w:iCs/>
          <w:sz w:val="24"/>
        </w:rPr>
        <w:t>“</w:t>
      </w:r>
      <w:r w:rsidRPr="00D22D56">
        <w:rPr>
          <w:rFonts w:ascii="Times New Roman" w:hAnsi="Times New Roman"/>
          <w:i/>
          <w:sz w:val="24"/>
        </w:rPr>
        <w:t xml:space="preserve">It seems to </w:t>
      </w:r>
      <w:r w:rsidRPr="002F7B0F">
        <w:rPr>
          <w:rFonts w:ascii="Times New Roman" w:hAnsi="Times New Roman"/>
          <w:i/>
          <w:iCs/>
          <w:sz w:val="24"/>
        </w:rPr>
        <w:t>me</w:t>
      </w:r>
      <w:r w:rsidRPr="00D22D56">
        <w:rPr>
          <w:rFonts w:ascii="Times New Roman" w:hAnsi="Times New Roman"/>
          <w:i/>
          <w:sz w:val="24"/>
        </w:rPr>
        <w:t xml:space="preserve"> that the rights of litigants to seek and the power of the courts to grant relief or assistance of a procedural nature must be viewed in the context of litigation and the administration of justice as a whole. It is the right of citizens under the Constitution to have access to the courts and for the resolution of justiciable controversies</w:t>
      </w:r>
      <w:r w:rsidR="00082C13">
        <w:rPr>
          <w:rFonts w:ascii="Times New Roman" w:hAnsi="Times New Roman"/>
          <w:i/>
          <w:sz w:val="24"/>
        </w:rPr>
        <w:t>.</w:t>
      </w:r>
      <w:r w:rsidRPr="00082C13">
        <w:rPr>
          <w:rFonts w:ascii="Times New Roman" w:hAnsi="Times New Roman"/>
          <w:iCs/>
          <w:sz w:val="24"/>
        </w:rPr>
        <w:t>”</w:t>
      </w:r>
      <w:r w:rsidRPr="00D22D56">
        <w:rPr>
          <w:rFonts w:ascii="Times New Roman" w:hAnsi="Times New Roman"/>
          <w:i/>
          <w:sz w:val="24"/>
        </w:rPr>
        <w:t xml:space="preserve">  </w:t>
      </w:r>
    </w:p>
    <w:p w14:paraId="0459AE47" w14:textId="6420786F" w:rsidR="00D22D56" w:rsidRPr="00D22D56" w:rsidRDefault="00D22D56" w:rsidP="002F7B0F">
      <w:pPr>
        <w:pStyle w:val="ListParagraph"/>
        <w:tabs>
          <w:tab w:val="left" w:pos="567"/>
        </w:tabs>
        <w:spacing w:line="480" w:lineRule="auto"/>
        <w:ind w:left="0"/>
        <w:rPr>
          <w:rFonts w:ascii="Times New Roman" w:hAnsi="Times New Roman" w:cs="Times New Roman"/>
          <w:i/>
          <w:sz w:val="24"/>
          <w:szCs w:val="24"/>
        </w:rPr>
      </w:pPr>
      <w:r w:rsidRPr="00D22D56">
        <w:rPr>
          <w:rFonts w:ascii="Times New Roman" w:hAnsi="Times New Roman" w:cs="Times New Roman"/>
          <w:sz w:val="24"/>
          <w:szCs w:val="24"/>
        </w:rPr>
        <w:t>At p.</w:t>
      </w:r>
      <w:r w:rsidR="00D644AD">
        <w:rPr>
          <w:rFonts w:ascii="Times New Roman" w:hAnsi="Times New Roman" w:cs="Times New Roman"/>
          <w:sz w:val="24"/>
          <w:szCs w:val="24"/>
        </w:rPr>
        <w:t xml:space="preserve"> </w:t>
      </w:r>
      <w:r w:rsidRPr="00D22D56">
        <w:rPr>
          <w:rFonts w:ascii="Times New Roman" w:hAnsi="Times New Roman" w:cs="Times New Roman"/>
          <w:sz w:val="24"/>
          <w:szCs w:val="24"/>
        </w:rPr>
        <w:t xml:space="preserve">93 he continued: </w:t>
      </w:r>
      <w:r w:rsidRPr="00082C13">
        <w:rPr>
          <w:rFonts w:ascii="Times New Roman" w:hAnsi="Times New Roman" w:cs="Times New Roman"/>
          <w:iCs/>
          <w:sz w:val="24"/>
          <w:szCs w:val="24"/>
        </w:rPr>
        <w:t>“</w:t>
      </w:r>
      <w:r w:rsidRPr="00D22D56">
        <w:rPr>
          <w:rFonts w:ascii="Times New Roman" w:hAnsi="Times New Roman" w:cs="Times New Roman"/>
          <w:i/>
          <w:sz w:val="24"/>
          <w:szCs w:val="24"/>
        </w:rPr>
        <w:t>If, then, a citizen is free to institute proceedings he must be at least equally free to invoke the procedures of the cou</w:t>
      </w:r>
      <w:r>
        <w:rPr>
          <w:rFonts w:ascii="Times New Roman" w:hAnsi="Times New Roman" w:cs="Times New Roman"/>
          <w:i/>
          <w:sz w:val="24"/>
          <w:szCs w:val="24"/>
        </w:rPr>
        <w:t>rt to present his case properly</w:t>
      </w:r>
      <w:r w:rsidR="00082C13">
        <w:rPr>
          <w:rFonts w:ascii="Times New Roman" w:hAnsi="Times New Roman" w:cs="Times New Roman"/>
          <w:i/>
          <w:sz w:val="24"/>
          <w:szCs w:val="24"/>
        </w:rPr>
        <w:t>.</w:t>
      </w:r>
      <w:r w:rsidRPr="00082C13">
        <w:rPr>
          <w:rFonts w:ascii="Times New Roman" w:hAnsi="Times New Roman" w:cs="Times New Roman"/>
          <w:iCs/>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It was the plaintiff’s claim in that case that the defendant had trespassed, below ground, into a valuable orebody belonging to the plaintiff.  The plaintiff sought an order for inspection of t</w:t>
      </w:r>
      <w:r w:rsidR="00FD02CE">
        <w:rPr>
          <w:rFonts w:ascii="Times New Roman" w:hAnsi="Times New Roman" w:cs="Times New Roman"/>
          <w:sz w:val="24"/>
          <w:szCs w:val="24"/>
        </w:rPr>
        <w:t>he</w:t>
      </w:r>
      <w:r>
        <w:rPr>
          <w:rFonts w:ascii="Times New Roman" w:hAnsi="Times New Roman" w:cs="Times New Roman"/>
          <w:sz w:val="24"/>
          <w:szCs w:val="24"/>
        </w:rPr>
        <w:t xml:space="preserve"> defendant’s lands in order to advance its case.  Murphy J. concluded that in the circumstances of the case “</w:t>
      </w:r>
      <w:r w:rsidRPr="00D22D56">
        <w:rPr>
          <w:rFonts w:ascii="Times New Roman" w:hAnsi="Times New Roman" w:cs="Times New Roman"/>
          <w:i/>
          <w:sz w:val="24"/>
          <w:szCs w:val="24"/>
        </w:rPr>
        <w:t xml:space="preserve">it would be impossible to vindicate the plaintiffs’ right to litigate if they were </w:t>
      </w:r>
      <w:r w:rsidRPr="00D22D56">
        <w:rPr>
          <w:rFonts w:ascii="Times New Roman" w:hAnsi="Times New Roman" w:cs="Times New Roman"/>
          <w:i/>
          <w:sz w:val="24"/>
          <w:szCs w:val="24"/>
        </w:rPr>
        <w:lastRenderedPageBreak/>
        <w:t>not afforded an appropriate opportunity of inspection to attempt to substantiate the claim which they</w:t>
      </w:r>
      <w:r w:rsidR="00082C13">
        <w:rPr>
          <w:rFonts w:ascii="Times New Roman" w:hAnsi="Times New Roman" w:cs="Times New Roman"/>
          <w:i/>
          <w:sz w:val="24"/>
          <w:szCs w:val="24"/>
        </w:rPr>
        <w:t xml:space="preserve"> </w:t>
      </w:r>
      <w:r w:rsidRPr="00D22D56">
        <w:rPr>
          <w:rFonts w:ascii="Times New Roman" w:hAnsi="Times New Roman" w:cs="Times New Roman"/>
          <w:i/>
          <w:sz w:val="24"/>
          <w:szCs w:val="24"/>
        </w:rPr>
        <w:t>have made</w:t>
      </w:r>
      <w:r w:rsidR="00082C13">
        <w:rPr>
          <w:rFonts w:ascii="Times New Roman" w:hAnsi="Times New Roman" w:cs="Times New Roman"/>
          <w:i/>
          <w:sz w:val="24"/>
          <w:szCs w:val="24"/>
        </w:rPr>
        <w:t>.</w:t>
      </w:r>
      <w:r w:rsidRPr="00082C13">
        <w:rPr>
          <w:rFonts w:ascii="Times New Roman" w:hAnsi="Times New Roman" w:cs="Times New Roman"/>
          <w:iCs/>
          <w:sz w:val="24"/>
          <w:szCs w:val="24"/>
        </w:rPr>
        <w:t>”</w:t>
      </w:r>
    </w:p>
    <w:p w14:paraId="1449F5CC" w14:textId="3FBED966" w:rsidR="00D22D56" w:rsidRPr="008432AB" w:rsidRDefault="00D22D56"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Pr>
          <w:rFonts w:ascii="Times New Roman" w:hAnsi="Times New Roman" w:cs="Times New Roman"/>
          <w:i/>
          <w:sz w:val="24"/>
          <w:szCs w:val="24"/>
        </w:rPr>
        <w:t xml:space="preserve">Bula </w:t>
      </w:r>
      <w:r>
        <w:rPr>
          <w:rFonts w:ascii="Times New Roman" w:hAnsi="Times New Roman" w:cs="Times New Roman"/>
          <w:sz w:val="24"/>
          <w:szCs w:val="24"/>
        </w:rPr>
        <w:t xml:space="preserve">was </w:t>
      </w:r>
      <w:r w:rsidRPr="00E44516">
        <w:rPr>
          <w:rFonts w:ascii="Times New Roman" w:hAnsi="Times New Roman"/>
          <w:sz w:val="24"/>
        </w:rPr>
        <w:t>considered</w:t>
      </w:r>
      <w:r>
        <w:rPr>
          <w:rFonts w:ascii="Times New Roman" w:hAnsi="Times New Roman" w:cs="Times New Roman"/>
          <w:sz w:val="24"/>
          <w:szCs w:val="24"/>
        </w:rPr>
        <w:t xml:space="preserve"> and applied by M</w:t>
      </w:r>
      <w:r w:rsidR="00604A7D">
        <w:rPr>
          <w:rFonts w:ascii="Times New Roman" w:hAnsi="Times New Roman" w:cs="Times New Roman"/>
          <w:sz w:val="24"/>
          <w:szCs w:val="24"/>
        </w:rPr>
        <w:t>o</w:t>
      </w:r>
      <w:r>
        <w:rPr>
          <w:rFonts w:ascii="Times New Roman" w:hAnsi="Times New Roman" w:cs="Times New Roman"/>
          <w:sz w:val="24"/>
          <w:szCs w:val="24"/>
        </w:rPr>
        <w:t xml:space="preserve">rris P. in </w:t>
      </w:r>
      <w:r>
        <w:rPr>
          <w:rFonts w:ascii="Times New Roman" w:hAnsi="Times New Roman" w:cs="Times New Roman"/>
          <w:i/>
          <w:sz w:val="24"/>
          <w:szCs w:val="24"/>
        </w:rPr>
        <w:t>Hearn</w:t>
      </w:r>
      <w:r w:rsidR="008432AB">
        <w:rPr>
          <w:rFonts w:ascii="Times New Roman" w:hAnsi="Times New Roman" w:cs="Times New Roman"/>
          <w:i/>
          <w:sz w:val="24"/>
          <w:szCs w:val="24"/>
        </w:rPr>
        <w:t>e v. Marathon Petroleum</w:t>
      </w:r>
      <w:r w:rsidR="00624074">
        <w:rPr>
          <w:rFonts w:ascii="Times New Roman" w:hAnsi="Times New Roman" w:cs="Times New Roman"/>
          <w:i/>
          <w:sz w:val="24"/>
          <w:szCs w:val="24"/>
        </w:rPr>
        <w:t xml:space="preserve"> Ireland</w:t>
      </w:r>
      <w:r w:rsidR="008432AB">
        <w:rPr>
          <w:rFonts w:ascii="Times New Roman" w:hAnsi="Times New Roman" w:cs="Times New Roman"/>
          <w:i/>
          <w:sz w:val="24"/>
          <w:szCs w:val="24"/>
        </w:rPr>
        <w:t xml:space="preserve"> Ltd. </w:t>
      </w:r>
      <w:r w:rsidR="008432AB">
        <w:rPr>
          <w:rFonts w:ascii="Times New Roman" w:hAnsi="Times New Roman" w:cs="Times New Roman"/>
          <w:sz w:val="24"/>
          <w:szCs w:val="24"/>
        </w:rPr>
        <w:t xml:space="preserve">[1998] 4 IR 186.  In that case, the plaintiff had issued proceedings against the defendant claiming damages for personal injuries allegedly sustained by him while working on the defendant’s oil rig.  The plaintiff sought an order for inspection of the oil rig, and the defendant, while willing </w:t>
      </w:r>
      <w:r w:rsidR="00516BF4">
        <w:rPr>
          <w:rFonts w:ascii="Times New Roman" w:hAnsi="Times New Roman" w:cs="Times New Roman"/>
          <w:sz w:val="24"/>
          <w:szCs w:val="24"/>
        </w:rPr>
        <w:t>(albeit reluctantly)</w:t>
      </w:r>
      <w:r w:rsidR="003C60B3">
        <w:rPr>
          <w:rFonts w:ascii="Times New Roman" w:hAnsi="Times New Roman" w:cs="Times New Roman"/>
          <w:sz w:val="24"/>
          <w:szCs w:val="24"/>
        </w:rPr>
        <w:t xml:space="preserve"> </w:t>
      </w:r>
      <w:r w:rsidR="008432AB">
        <w:rPr>
          <w:rFonts w:ascii="Times New Roman" w:hAnsi="Times New Roman" w:cs="Times New Roman"/>
          <w:sz w:val="24"/>
          <w:szCs w:val="24"/>
        </w:rPr>
        <w:t xml:space="preserve">to facilitate such inspection, was only willing to do so on the basis that the plaintiff’s expert carrying out the inspection would complete an indemnity in favour of the defendant absolving it from all responsibility for any injury sustained by him while carrying out the inspection.  The plaintiff’s engineer refused to carry out an inspection on these terms.  Since there was no dispute between the parties as regards the carrying out of the inspection, the issue for the court to decide, as identified by Morris P. was </w:t>
      </w:r>
      <w:r w:rsidR="008432AB" w:rsidRPr="008534D4">
        <w:rPr>
          <w:rFonts w:ascii="Times New Roman" w:hAnsi="Times New Roman" w:cs="Times New Roman"/>
          <w:iCs/>
          <w:sz w:val="24"/>
          <w:szCs w:val="24"/>
        </w:rPr>
        <w:t>“</w:t>
      </w:r>
      <w:r w:rsidR="008432AB" w:rsidRPr="008432AB">
        <w:rPr>
          <w:rFonts w:ascii="Times New Roman" w:hAnsi="Times New Roman" w:cs="Times New Roman"/>
          <w:i/>
          <w:sz w:val="24"/>
          <w:szCs w:val="24"/>
        </w:rPr>
        <w:t>whether the defendant i</w:t>
      </w:r>
      <w:r w:rsidR="00FD02CE">
        <w:rPr>
          <w:rFonts w:ascii="Times New Roman" w:hAnsi="Times New Roman" w:cs="Times New Roman"/>
          <w:i/>
          <w:sz w:val="24"/>
          <w:szCs w:val="24"/>
        </w:rPr>
        <w:t>s</w:t>
      </w:r>
      <w:r w:rsidR="008432AB" w:rsidRPr="008432AB">
        <w:rPr>
          <w:rFonts w:ascii="Times New Roman" w:hAnsi="Times New Roman" w:cs="Times New Roman"/>
          <w:i/>
          <w:sz w:val="24"/>
          <w:szCs w:val="24"/>
        </w:rPr>
        <w:t xml:space="preserve"> reasonable in seeking a full indemnity and if not then what terms, if any, should be imposed as being ‘just’ in the circumstances</w:t>
      </w:r>
      <w:r w:rsidR="00987408">
        <w:rPr>
          <w:rFonts w:ascii="Times New Roman" w:hAnsi="Times New Roman" w:cs="Times New Roman"/>
          <w:i/>
          <w:sz w:val="24"/>
          <w:szCs w:val="24"/>
        </w:rPr>
        <w:t>.</w:t>
      </w:r>
      <w:r w:rsidR="008432AB" w:rsidRPr="008534D4">
        <w:rPr>
          <w:rFonts w:ascii="Times New Roman" w:hAnsi="Times New Roman" w:cs="Times New Roman"/>
          <w:iCs/>
          <w:sz w:val="24"/>
          <w:szCs w:val="24"/>
        </w:rPr>
        <w:t>”</w:t>
      </w:r>
      <w:r w:rsidR="008432AB">
        <w:rPr>
          <w:rFonts w:ascii="Times New Roman" w:hAnsi="Times New Roman" w:cs="Times New Roman"/>
          <w:sz w:val="24"/>
          <w:szCs w:val="24"/>
        </w:rPr>
        <w:t xml:space="preserve">  </w:t>
      </w:r>
    </w:p>
    <w:p w14:paraId="51D6FDB4" w14:textId="56C23B89" w:rsidR="008432AB" w:rsidRPr="008432AB" w:rsidRDefault="008432AB"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sidRPr="00E44516">
        <w:rPr>
          <w:rFonts w:ascii="Times New Roman" w:hAnsi="Times New Roman"/>
          <w:sz w:val="24"/>
        </w:rPr>
        <w:t>Morris</w:t>
      </w:r>
      <w:r>
        <w:rPr>
          <w:rFonts w:ascii="Times New Roman" w:hAnsi="Times New Roman" w:cs="Times New Roman"/>
          <w:sz w:val="24"/>
          <w:szCs w:val="24"/>
        </w:rPr>
        <w:t xml:space="preserve"> P. considered </w:t>
      </w:r>
      <w:r>
        <w:rPr>
          <w:rFonts w:ascii="Times New Roman" w:hAnsi="Times New Roman" w:cs="Times New Roman"/>
          <w:i/>
          <w:sz w:val="24"/>
          <w:szCs w:val="24"/>
        </w:rPr>
        <w:t xml:space="preserve">Bula </w:t>
      </w:r>
      <w:r>
        <w:rPr>
          <w:rFonts w:ascii="Times New Roman" w:hAnsi="Times New Roman" w:cs="Times New Roman"/>
          <w:sz w:val="24"/>
          <w:szCs w:val="24"/>
        </w:rPr>
        <w:t xml:space="preserve">and the related case of </w:t>
      </w:r>
      <w:proofErr w:type="spellStart"/>
      <w:r>
        <w:rPr>
          <w:rFonts w:ascii="Times New Roman" w:hAnsi="Times New Roman" w:cs="Times New Roman"/>
          <w:i/>
          <w:sz w:val="24"/>
          <w:szCs w:val="24"/>
        </w:rPr>
        <w:t>Wymes</w:t>
      </w:r>
      <w:proofErr w:type="spellEnd"/>
      <w:r>
        <w:rPr>
          <w:rFonts w:ascii="Times New Roman" w:hAnsi="Times New Roman" w:cs="Times New Roman"/>
          <w:i/>
          <w:sz w:val="24"/>
          <w:szCs w:val="24"/>
        </w:rPr>
        <w:t xml:space="preserve"> v. Crowley</w:t>
      </w:r>
      <w:r w:rsidR="00F771DA">
        <w:rPr>
          <w:rFonts w:ascii="Times New Roman" w:hAnsi="Times New Roman" w:cs="Times New Roman"/>
          <w:i/>
          <w:sz w:val="24"/>
          <w:szCs w:val="24"/>
        </w:rPr>
        <w:t xml:space="preserve"> </w:t>
      </w:r>
      <w:r w:rsidR="00F771DA" w:rsidRPr="00F771DA">
        <w:rPr>
          <w:rFonts w:ascii="Times New Roman" w:hAnsi="Times New Roman" w:cs="Times New Roman"/>
          <w:iCs/>
          <w:sz w:val="24"/>
          <w:szCs w:val="24"/>
        </w:rPr>
        <w:t>(Unreported, High Court, 27</w:t>
      </w:r>
      <w:r w:rsidR="00F771DA" w:rsidRPr="00987408">
        <w:rPr>
          <w:rFonts w:ascii="Times New Roman" w:hAnsi="Times New Roman" w:cs="Times New Roman"/>
          <w:iCs/>
          <w:sz w:val="24"/>
          <w:szCs w:val="24"/>
          <w:vertAlign w:val="superscript"/>
        </w:rPr>
        <w:t>th</w:t>
      </w:r>
      <w:r w:rsidR="00F771DA" w:rsidRPr="00F771DA">
        <w:rPr>
          <w:rFonts w:ascii="Times New Roman" w:hAnsi="Times New Roman" w:cs="Times New Roman"/>
          <w:iCs/>
          <w:sz w:val="24"/>
          <w:szCs w:val="24"/>
        </w:rPr>
        <w:t xml:space="preserve"> February 1987)</w:t>
      </w:r>
      <w:r w:rsidRPr="00F771DA">
        <w:rPr>
          <w:rFonts w:ascii="Times New Roman" w:hAnsi="Times New Roman" w:cs="Times New Roman"/>
          <w:iCs/>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also the subject of a judgment handed down by Murphy J. on the same day as his judgment in </w:t>
      </w:r>
      <w:r>
        <w:rPr>
          <w:rFonts w:ascii="Times New Roman" w:hAnsi="Times New Roman" w:cs="Times New Roman"/>
          <w:i/>
          <w:sz w:val="24"/>
          <w:szCs w:val="24"/>
        </w:rPr>
        <w:t xml:space="preserve">Bula.  </w:t>
      </w:r>
      <w:r>
        <w:rPr>
          <w:rFonts w:ascii="Times New Roman" w:hAnsi="Times New Roman" w:cs="Times New Roman"/>
          <w:sz w:val="24"/>
          <w:szCs w:val="24"/>
        </w:rPr>
        <w:t>Having considered those authorities, Morris P. identified the following principles</w:t>
      </w:r>
      <w:r w:rsidR="00FD02CE">
        <w:rPr>
          <w:rFonts w:ascii="Times New Roman" w:hAnsi="Times New Roman" w:cs="Times New Roman"/>
          <w:sz w:val="24"/>
          <w:szCs w:val="24"/>
        </w:rPr>
        <w:t xml:space="preserve"> as being applicable to</w:t>
      </w:r>
      <w:r>
        <w:rPr>
          <w:rFonts w:ascii="Times New Roman" w:hAnsi="Times New Roman" w:cs="Times New Roman"/>
          <w:sz w:val="24"/>
          <w:szCs w:val="24"/>
        </w:rPr>
        <w:t xml:space="preserve"> applications under O.</w:t>
      </w:r>
      <w:r w:rsidR="00987408">
        <w:rPr>
          <w:rFonts w:ascii="Times New Roman" w:hAnsi="Times New Roman" w:cs="Times New Roman"/>
          <w:sz w:val="24"/>
          <w:szCs w:val="24"/>
        </w:rPr>
        <w:t xml:space="preserve"> </w:t>
      </w:r>
      <w:r>
        <w:rPr>
          <w:rFonts w:ascii="Times New Roman" w:hAnsi="Times New Roman" w:cs="Times New Roman"/>
          <w:sz w:val="24"/>
          <w:szCs w:val="24"/>
        </w:rPr>
        <w:t>50, r.</w:t>
      </w:r>
      <w:r w:rsidR="00987408">
        <w:rPr>
          <w:rFonts w:ascii="Times New Roman" w:hAnsi="Times New Roman" w:cs="Times New Roman"/>
          <w:sz w:val="24"/>
          <w:szCs w:val="24"/>
        </w:rPr>
        <w:t xml:space="preserve"> </w:t>
      </w:r>
      <w:r>
        <w:rPr>
          <w:rFonts w:ascii="Times New Roman" w:hAnsi="Times New Roman" w:cs="Times New Roman"/>
          <w:sz w:val="24"/>
          <w:szCs w:val="24"/>
        </w:rPr>
        <w:t>4:</w:t>
      </w:r>
    </w:p>
    <w:p w14:paraId="5FB9064A" w14:textId="76CD5EE8" w:rsidR="008432AB" w:rsidRDefault="008432AB" w:rsidP="0058287A">
      <w:pPr>
        <w:pStyle w:val="ListParagraph"/>
        <w:tabs>
          <w:tab w:val="left" w:pos="0"/>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w:t>
      </w:r>
      <w:r w:rsidR="00AE4F9E" w:rsidRPr="00987408">
        <w:rPr>
          <w:rFonts w:ascii="Times New Roman" w:hAnsi="Times New Roman" w:cs="Times New Roman"/>
          <w:i/>
          <w:iCs/>
          <w:sz w:val="24"/>
          <w:szCs w:val="24"/>
        </w:rPr>
        <w:t>[The court] must in the first instance ensure that circumstances are created in which the plaintiff will have facilities for presenting his case to the court so as to enable the court to have the benefit of all the advices and information which the plaintiff may wish to make available to the court. On the other hand the defendant’s rights as a property owner must be protected during this inspection so as to ensure that the inconvenience of the inspection is not injurious to his rights as a property owner</w:t>
      </w:r>
      <w:r w:rsidR="00987408" w:rsidRPr="00987408">
        <w:rPr>
          <w:rFonts w:ascii="Times New Roman" w:hAnsi="Times New Roman" w:cs="Times New Roman"/>
          <w:i/>
          <w:iCs/>
          <w:sz w:val="24"/>
          <w:szCs w:val="24"/>
        </w:rPr>
        <w:t>.</w:t>
      </w:r>
      <w:r w:rsidR="00AE4F9E">
        <w:rPr>
          <w:rFonts w:ascii="Times New Roman" w:hAnsi="Times New Roman" w:cs="Times New Roman"/>
          <w:sz w:val="24"/>
          <w:szCs w:val="24"/>
        </w:rPr>
        <w:t>”</w:t>
      </w:r>
    </w:p>
    <w:p w14:paraId="69CDBC38" w14:textId="7D757557" w:rsidR="008432AB" w:rsidRPr="00E61E25" w:rsidRDefault="00AE4F9E"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sidRPr="00E44516">
        <w:rPr>
          <w:rFonts w:ascii="Times New Roman" w:hAnsi="Times New Roman"/>
          <w:sz w:val="24"/>
        </w:rPr>
        <w:lastRenderedPageBreak/>
        <w:t>Morris</w:t>
      </w:r>
      <w:r>
        <w:rPr>
          <w:rFonts w:ascii="Times New Roman" w:hAnsi="Times New Roman" w:cs="Times New Roman"/>
          <w:sz w:val="24"/>
          <w:szCs w:val="24"/>
        </w:rPr>
        <w:t xml:space="preserve"> P. noted</w:t>
      </w:r>
      <w:r w:rsidR="00E61E25">
        <w:rPr>
          <w:rFonts w:ascii="Times New Roman" w:hAnsi="Times New Roman" w:cs="Times New Roman"/>
          <w:sz w:val="24"/>
          <w:szCs w:val="24"/>
        </w:rPr>
        <w:t>, at p.</w:t>
      </w:r>
      <w:r w:rsidR="00274792">
        <w:rPr>
          <w:rFonts w:ascii="Times New Roman" w:hAnsi="Times New Roman" w:cs="Times New Roman"/>
          <w:sz w:val="24"/>
          <w:szCs w:val="24"/>
        </w:rPr>
        <w:t xml:space="preserve"> </w:t>
      </w:r>
      <w:r w:rsidR="00E61E25">
        <w:rPr>
          <w:rFonts w:ascii="Times New Roman" w:hAnsi="Times New Roman" w:cs="Times New Roman"/>
          <w:sz w:val="24"/>
          <w:szCs w:val="24"/>
        </w:rPr>
        <w:t>189</w:t>
      </w:r>
      <w:r>
        <w:rPr>
          <w:rFonts w:ascii="Times New Roman" w:hAnsi="Times New Roman" w:cs="Times New Roman"/>
          <w:sz w:val="24"/>
          <w:szCs w:val="24"/>
        </w:rPr>
        <w:t xml:space="preserve"> that Murphy J. had held in </w:t>
      </w:r>
      <w:r w:rsidRPr="00AE4F9E">
        <w:rPr>
          <w:rFonts w:ascii="Times New Roman" w:hAnsi="Times New Roman" w:cs="Times New Roman"/>
          <w:i/>
          <w:sz w:val="24"/>
          <w:szCs w:val="24"/>
        </w:rPr>
        <w:t>Bula</w:t>
      </w:r>
      <w:r>
        <w:rPr>
          <w:rFonts w:ascii="Times New Roman" w:hAnsi="Times New Roman" w:cs="Times New Roman"/>
          <w:sz w:val="24"/>
          <w:szCs w:val="24"/>
        </w:rPr>
        <w:t xml:space="preserve"> that the “</w:t>
      </w:r>
      <w:r w:rsidRPr="006809DA">
        <w:rPr>
          <w:rFonts w:ascii="Times New Roman" w:hAnsi="Times New Roman" w:cs="Times New Roman"/>
          <w:i/>
          <w:iCs/>
          <w:sz w:val="24"/>
          <w:szCs w:val="24"/>
        </w:rPr>
        <w:t xml:space="preserve">purpose of the rule was to ensure that the litigant is given the information he needs </w:t>
      </w:r>
      <w:r w:rsidR="00AA2AA1" w:rsidRPr="006809DA">
        <w:rPr>
          <w:rFonts w:ascii="Times New Roman" w:hAnsi="Times New Roman" w:cs="Times New Roman"/>
          <w:i/>
          <w:iCs/>
          <w:sz w:val="24"/>
          <w:szCs w:val="24"/>
        </w:rPr>
        <w:t>‘</w:t>
      </w:r>
      <w:r w:rsidRPr="006809DA">
        <w:rPr>
          <w:rFonts w:ascii="Times New Roman" w:hAnsi="Times New Roman" w:cs="Times New Roman"/>
          <w:i/>
          <w:iCs/>
          <w:sz w:val="24"/>
          <w:szCs w:val="24"/>
        </w:rPr>
        <w:t>to present his case properly</w:t>
      </w:r>
      <w:r w:rsidR="00AA2AA1" w:rsidRPr="006809DA">
        <w:rPr>
          <w:rFonts w:ascii="Times New Roman" w:hAnsi="Times New Roman" w:cs="Times New Roman"/>
          <w:i/>
          <w:iCs/>
          <w:sz w:val="24"/>
          <w:szCs w:val="24"/>
        </w:rPr>
        <w:t>’</w:t>
      </w:r>
      <w:r w:rsidRPr="006809DA">
        <w:rPr>
          <w:rFonts w:ascii="Times New Roman" w:hAnsi="Times New Roman" w:cs="Times New Roman"/>
          <w:i/>
          <w:iCs/>
          <w:sz w:val="24"/>
          <w:szCs w:val="24"/>
        </w:rPr>
        <w:t xml:space="preserve"> and to that end the court has power to determine the terms on which such an inspection should take place so as to ensure that the business of the court is not obstructed by the party against whom the order for inspection is to be made</w:t>
      </w:r>
      <w:r w:rsidR="002E76E7" w:rsidRPr="006809DA">
        <w:rPr>
          <w:rFonts w:ascii="Times New Roman" w:hAnsi="Times New Roman" w:cs="Times New Roman"/>
          <w:i/>
          <w:iCs/>
          <w:sz w:val="24"/>
          <w:szCs w:val="24"/>
        </w:rPr>
        <w:t>.</w:t>
      </w:r>
      <w:r>
        <w:rPr>
          <w:rFonts w:ascii="Times New Roman" w:hAnsi="Times New Roman" w:cs="Times New Roman"/>
          <w:sz w:val="24"/>
          <w:szCs w:val="24"/>
        </w:rPr>
        <w:t xml:space="preserve">” </w:t>
      </w:r>
    </w:p>
    <w:p w14:paraId="48AD167C" w14:textId="30A9B990" w:rsidR="00E61E25" w:rsidRPr="00E44516" w:rsidRDefault="00E61E25" w:rsidP="0058287A">
      <w:pPr>
        <w:pStyle w:val="ListParagraph"/>
        <w:numPr>
          <w:ilvl w:val="0"/>
          <w:numId w:val="1"/>
        </w:numPr>
        <w:tabs>
          <w:tab w:val="left" w:pos="567"/>
        </w:tabs>
        <w:spacing w:line="480" w:lineRule="auto"/>
        <w:ind w:left="0" w:firstLine="0"/>
        <w:rPr>
          <w:rFonts w:ascii="Times New Roman" w:hAnsi="Times New Roman"/>
          <w:sz w:val="24"/>
        </w:rPr>
      </w:pPr>
      <w:r w:rsidRPr="00E44516">
        <w:rPr>
          <w:rFonts w:ascii="Times New Roman" w:hAnsi="Times New Roman"/>
          <w:sz w:val="24"/>
        </w:rPr>
        <w:t xml:space="preserve">On the facts of </w:t>
      </w:r>
      <w:r w:rsidRPr="006809DA">
        <w:rPr>
          <w:rFonts w:ascii="Times New Roman" w:hAnsi="Times New Roman"/>
          <w:i/>
          <w:iCs/>
          <w:sz w:val="24"/>
        </w:rPr>
        <w:t>Hearne</w:t>
      </w:r>
      <w:r w:rsidRPr="00E44516">
        <w:rPr>
          <w:rFonts w:ascii="Times New Roman" w:hAnsi="Times New Roman"/>
          <w:sz w:val="24"/>
        </w:rPr>
        <w:t xml:space="preserve">, Morris P. concluded that </w:t>
      </w:r>
      <w:r w:rsidRPr="006809DA">
        <w:rPr>
          <w:rFonts w:ascii="Times New Roman" w:hAnsi="Times New Roman"/>
          <w:sz w:val="24"/>
        </w:rPr>
        <w:t>“</w:t>
      </w:r>
      <w:r w:rsidR="006809DA" w:rsidRPr="006809DA">
        <w:rPr>
          <w:rFonts w:ascii="Times New Roman" w:hAnsi="Times New Roman"/>
          <w:i/>
          <w:iCs/>
          <w:sz w:val="24"/>
        </w:rPr>
        <w:t>[</w:t>
      </w:r>
      <w:r w:rsidRPr="006809DA">
        <w:rPr>
          <w:rFonts w:ascii="Times New Roman" w:hAnsi="Times New Roman"/>
          <w:i/>
          <w:iCs/>
          <w:sz w:val="24"/>
        </w:rPr>
        <w:t>t</w:t>
      </w:r>
      <w:r w:rsidR="006809DA" w:rsidRPr="006809DA">
        <w:rPr>
          <w:rFonts w:ascii="Times New Roman" w:hAnsi="Times New Roman"/>
          <w:i/>
          <w:iCs/>
          <w:sz w:val="24"/>
        </w:rPr>
        <w:t>]</w:t>
      </w:r>
      <w:r w:rsidRPr="006809DA">
        <w:rPr>
          <w:rFonts w:ascii="Times New Roman" w:hAnsi="Times New Roman"/>
          <w:i/>
          <w:iCs/>
          <w:sz w:val="24"/>
        </w:rPr>
        <w:t>o allow the defendant a total immunity from responsibility would of necessity mean that no inspection would take place and the court would be deprived of the benefit of engineering evidence and would be so obstructed in the administration of justice.</w:t>
      </w:r>
      <w:r w:rsidRPr="00E44516">
        <w:rPr>
          <w:rFonts w:ascii="Times New Roman" w:hAnsi="Times New Roman"/>
          <w:sz w:val="24"/>
        </w:rPr>
        <w:t>” Accordingly, he ordered that the inspection should proceed without the indemnity sought.</w:t>
      </w:r>
    </w:p>
    <w:p w14:paraId="51A4AF96" w14:textId="7EB8545D" w:rsidR="00AE4F9E" w:rsidRPr="009364D7" w:rsidRDefault="00AE4F9E"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In the </w:t>
      </w:r>
      <w:r w:rsidRPr="00E44516">
        <w:rPr>
          <w:rFonts w:ascii="Times New Roman" w:hAnsi="Times New Roman"/>
          <w:sz w:val="24"/>
        </w:rPr>
        <w:t>more</w:t>
      </w:r>
      <w:r>
        <w:rPr>
          <w:rFonts w:ascii="Times New Roman" w:hAnsi="Times New Roman" w:cs="Times New Roman"/>
          <w:sz w:val="24"/>
          <w:szCs w:val="24"/>
        </w:rPr>
        <w:t xml:space="preserve"> recent decision of </w:t>
      </w:r>
      <w:r>
        <w:rPr>
          <w:rFonts w:ascii="Times New Roman" w:hAnsi="Times New Roman" w:cs="Times New Roman"/>
          <w:i/>
          <w:sz w:val="24"/>
          <w:szCs w:val="24"/>
        </w:rPr>
        <w:t xml:space="preserve">James Elliot Construction Ltd. v. Kevin Lagan &amp; Others </w:t>
      </w:r>
      <w:r>
        <w:rPr>
          <w:rFonts w:ascii="Times New Roman" w:hAnsi="Times New Roman" w:cs="Times New Roman"/>
          <w:sz w:val="24"/>
          <w:szCs w:val="24"/>
        </w:rPr>
        <w:t xml:space="preserve">[2015] IEHC </w:t>
      </w:r>
      <w:r w:rsidR="006809DA">
        <w:rPr>
          <w:rFonts w:ascii="Times New Roman" w:hAnsi="Times New Roman" w:cs="Times New Roman"/>
          <w:sz w:val="24"/>
          <w:szCs w:val="24"/>
        </w:rPr>
        <w:t>63</w:t>
      </w:r>
      <w:r>
        <w:rPr>
          <w:rFonts w:ascii="Times New Roman" w:hAnsi="Times New Roman" w:cs="Times New Roman"/>
          <w:sz w:val="24"/>
          <w:szCs w:val="24"/>
        </w:rPr>
        <w:t>1, Costello J. carried out a review of the authorities relating to O.</w:t>
      </w:r>
      <w:r w:rsidR="009B4F31">
        <w:rPr>
          <w:rFonts w:ascii="Times New Roman" w:hAnsi="Times New Roman" w:cs="Times New Roman"/>
          <w:sz w:val="24"/>
          <w:szCs w:val="24"/>
        </w:rPr>
        <w:t xml:space="preserve"> </w:t>
      </w:r>
      <w:r>
        <w:rPr>
          <w:rFonts w:ascii="Times New Roman" w:hAnsi="Times New Roman" w:cs="Times New Roman"/>
          <w:sz w:val="24"/>
          <w:szCs w:val="24"/>
        </w:rPr>
        <w:t>50, r.</w:t>
      </w:r>
      <w:r w:rsidR="009B4F31">
        <w:rPr>
          <w:rFonts w:ascii="Times New Roman" w:hAnsi="Times New Roman" w:cs="Times New Roman"/>
          <w:sz w:val="24"/>
          <w:szCs w:val="24"/>
        </w:rPr>
        <w:t xml:space="preserve"> </w:t>
      </w:r>
      <w:r>
        <w:rPr>
          <w:rFonts w:ascii="Times New Roman" w:hAnsi="Times New Roman" w:cs="Times New Roman"/>
          <w:sz w:val="24"/>
          <w:szCs w:val="24"/>
        </w:rPr>
        <w:t xml:space="preserve">4, including all of the authorities referred to above. </w:t>
      </w:r>
      <w:r w:rsidR="009364D7">
        <w:rPr>
          <w:rFonts w:ascii="Times New Roman" w:hAnsi="Times New Roman" w:cs="Times New Roman"/>
          <w:sz w:val="24"/>
          <w:szCs w:val="24"/>
        </w:rPr>
        <w:t xml:space="preserve"> She then extrapolated the following principles as being relevant to such applications:</w:t>
      </w:r>
    </w:p>
    <w:p w14:paraId="3EB0BD1A" w14:textId="34DA3B28" w:rsidR="009364D7" w:rsidRPr="009B4F31" w:rsidRDefault="00984DAB"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sz w:val="24"/>
          <w:szCs w:val="24"/>
        </w:rPr>
        <w:t>“</w:t>
      </w:r>
      <w:r w:rsidR="009364D7" w:rsidRPr="009B4F31">
        <w:rPr>
          <w:rFonts w:ascii="Times New Roman" w:hAnsi="Times New Roman" w:cs="Times New Roman"/>
          <w:i/>
          <w:iCs/>
          <w:sz w:val="24"/>
          <w:szCs w:val="24"/>
        </w:rPr>
        <w:t xml:space="preserve">(1) </w:t>
      </w:r>
      <w:r w:rsidR="009364D7" w:rsidRPr="009B4F31">
        <w:rPr>
          <w:rFonts w:ascii="Times New Roman" w:hAnsi="Times New Roman" w:cs="Times New Roman"/>
          <w:i/>
          <w:iCs/>
          <w:sz w:val="24"/>
          <w:szCs w:val="24"/>
        </w:rPr>
        <w:tab/>
        <w:t xml:space="preserve">The </w:t>
      </w:r>
      <w:r w:rsidR="009B4F31" w:rsidRPr="009B4F31">
        <w:rPr>
          <w:rFonts w:ascii="Times New Roman" w:hAnsi="Times New Roman" w:cs="Times New Roman"/>
          <w:i/>
          <w:iCs/>
          <w:sz w:val="24"/>
          <w:szCs w:val="24"/>
        </w:rPr>
        <w:t>C</w:t>
      </w:r>
      <w:r w:rsidR="009364D7" w:rsidRPr="009B4F31">
        <w:rPr>
          <w:rFonts w:ascii="Times New Roman" w:hAnsi="Times New Roman" w:cs="Times New Roman"/>
          <w:i/>
          <w:iCs/>
          <w:sz w:val="24"/>
          <w:szCs w:val="24"/>
        </w:rPr>
        <w:t>ourt may order that a party may take samples of the property of another party to proceedings which may be necessary or expedient for the purpose of obtaining full information or evidence.</w:t>
      </w:r>
    </w:p>
    <w:p w14:paraId="23D1AA53" w14:textId="79D077B0" w:rsidR="009364D7" w:rsidRPr="009B4F31" w:rsidRDefault="009364D7"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i/>
          <w:iCs/>
          <w:sz w:val="24"/>
          <w:szCs w:val="24"/>
        </w:rPr>
        <w:t xml:space="preserve">(2) </w:t>
      </w:r>
      <w:r w:rsidRPr="009B4F31">
        <w:rPr>
          <w:rFonts w:ascii="Times New Roman" w:hAnsi="Times New Roman" w:cs="Times New Roman"/>
          <w:i/>
          <w:iCs/>
          <w:sz w:val="24"/>
          <w:szCs w:val="24"/>
        </w:rPr>
        <w:tab/>
        <w:t>The power must be viewed in the context of a party’s constitutional right of access to the courts.</w:t>
      </w:r>
    </w:p>
    <w:p w14:paraId="6F25FCD2" w14:textId="2B485F02" w:rsidR="009364D7" w:rsidRPr="009B4F31" w:rsidRDefault="009364D7"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i/>
          <w:iCs/>
          <w:sz w:val="24"/>
          <w:szCs w:val="24"/>
        </w:rPr>
        <w:t xml:space="preserve">(3) </w:t>
      </w:r>
      <w:r w:rsidRPr="009B4F31">
        <w:rPr>
          <w:rFonts w:ascii="Times New Roman" w:hAnsi="Times New Roman" w:cs="Times New Roman"/>
          <w:i/>
          <w:iCs/>
          <w:sz w:val="24"/>
          <w:szCs w:val="24"/>
        </w:rPr>
        <w:tab/>
        <w:t xml:space="preserve">The </w:t>
      </w:r>
      <w:r w:rsidR="009B4F31" w:rsidRPr="009B4F31">
        <w:rPr>
          <w:rFonts w:ascii="Times New Roman" w:hAnsi="Times New Roman" w:cs="Times New Roman"/>
          <w:i/>
          <w:iCs/>
          <w:sz w:val="24"/>
          <w:szCs w:val="24"/>
        </w:rPr>
        <w:t>C</w:t>
      </w:r>
      <w:r w:rsidRPr="009B4F31">
        <w:rPr>
          <w:rFonts w:ascii="Times New Roman" w:hAnsi="Times New Roman" w:cs="Times New Roman"/>
          <w:i/>
          <w:iCs/>
          <w:sz w:val="24"/>
          <w:szCs w:val="24"/>
        </w:rPr>
        <w:t xml:space="preserve">ourt must ensure that the litigant will have facilities to present his case to the </w:t>
      </w:r>
      <w:r w:rsidR="009B4F31" w:rsidRPr="009B4F31">
        <w:rPr>
          <w:rFonts w:ascii="Times New Roman" w:hAnsi="Times New Roman" w:cs="Times New Roman"/>
          <w:i/>
          <w:iCs/>
          <w:sz w:val="24"/>
          <w:szCs w:val="24"/>
        </w:rPr>
        <w:t>C</w:t>
      </w:r>
      <w:r w:rsidRPr="009B4F31">
        <w:rPr>
          <w:rFonts w:ascii="Times New Roman" w:hAnsi="Times New Roman" w:cs="Times New Roman"/>
          <w:i/>
          <w:iCs/>
          <w:sz w:val="24"/>
          <w:szCs w:val="24"/>
        </w:rPr>
        <w:t>ourt. This includes all the advices and information which the litigant wishes to present to the courts, either in support of his own case, or to undermine that of his opponent.</w:t>
      </w:r>
    </w:p>
    <w:p w14:paraId="6660D9D4" w14:textId="1B54DB3E" w:rsidR="009364D7" w:rsidRPr="009B4F31" w:rsidRDefault="009364D7"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i/>
          <w:iCs/>
          <w:sz w:val="24"/>
          <w:szCs w:val="24"/>
        </w:rPr>
        <w:t xml:space="preserve">(4) </w:t>
      </w:r>
      <w:r w:rsidRPr="009B4F31">
        <w:rPr>
          <w:rFonts w:ascii="Times New Roman" w:hAnsi="Times New Roman" w:cs="Times New Roman"/>
          <w:i/>
          <w:iCs/>
          <w:sz w:val="24"/>
          <w:szCs w:val="24"/>
        </w:rPr>
        <w:tab/>
        <w:t>The right to an order for inspection or the taking of samples is not dependent upon the strength of the case of the party seeking the order.</w:t>
      </w:r>
    </w:p>
    <w:p w14:paraId="65F36940" w14:textId="798CC73D" w:rsidR="009364D7" w:rsidRPr="009B4F31" w:rsidRDefault="009364D7"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i/>
          <w:iCs/>
          <w:sz w:val="24"/>
          <w:szCs w:val="24"/>
        </w:rPr>
        <w:lastRenderedPageBreak/>
        <w:t xml:space="preserve">(5) </w:t>
      </w:r>
      <w:r w:rsidRPr="009B4F31">
        <w:rPr>
          <w:rFonts w:ascii="Times New Roman" w:hAnsi="Times New Roman" w:cs="Times New Roman"/>
          <w:i/>
          <w:iCs/>
          <w:sz w:val="24"/>
          <w:szCs w:val="24"/>
        </w:rPr>
        <w:tab/>
        <w:t>Inspection, or the ordering of the taking of samples, should be facilitated if it can be achieved while at the same time protecting the interests of the opposing party. The interests of an opposing party that a court takes into account are those relating to that party’s rights as an owner or occupier of property.</w:t>
      </w:r>
    </w:p>
    <w:p w14:paraId="620C7A95" w14:textId="2B92CA84" w:rsidR="009364D7" w:rsidRPr="009B4F31" w:rsidRDefault="009364D7" w:rsidP="0058287A">
      <w:pPr>
        <w:pStyle w:val="ListParagraph"/>
        <w:tabs>
          <w:tab w:val="left" w:pos="0"/>
          <w:tab w:val="left" w:pos="567"/>
        </w:tabs>
        <w:spacing w:line="480" w:lineRule="auto"/>
        <w:ind w:left="1134" w:hanging="567"/>
        <w:rPr>
          <w:rFonts w:ascii="Times New Roman" w:hAnsi="Times New Roman" w:cs="Times New Roman"/>
          <w:i/>
          <w:iCs/>
          <w:sz w:val="24"/>
          <w:szCs w:val="24"/>
        </w:rPr>
      </w:pPr>
      <w:r w:rsidRPr="009B4F31">
        <w:rPr>
          <w:rFonts w:ascii="Times New Roman" w:hAnsi="Times New Roman" w:cs="Times New Roman"/>
          <w:i/>
          <w:iCs/>
          <w:sz w:val="24"/>
          <w:szCs w:val="24"/>
        </w:rPr>
        <w:t xml:space="preserve">(6) </w:t>
      </w:r>
      <w:r w:rsidRPr="009B4F31">
        <w:rPr>
          <w:rFonts w:ascii="Times New Roman" w:hAnsi="Times New Roman" w:cs="Times New Roman"/>
          <w:i/>
          <w:iCs/>
          <w:sz w:val="24"/>
          <w:szCs w:val="24"/>
        </w:rPr>
        <w:tab/>
        <w:t>The proposed inspection or taking of samples must be shown to be necessary or expedient by reference to the issues in the case.</w:t>
      </w:r>
    </w:p>
    <w:p w14:paraId="1947D3A8" w14:textId="511B689E" w:rsidR="009364D7" w:rsidRPr="009364D7" w:rsidRDefault="009364D7" w:rsidP="0058287A">
      <w:pPr>
        <w:pStyle w:val="ListParagraph"/>
        <w:tabs>
          <w:tab w:val="left" w:pos="0"/>
          <w:tab w:val="left" w:pos="567"/>
        </w:tabs>
        <w:spacing w:line="480" w:lineRule="auto"/>
        <w:ind w:left="1134" w:hanging="567"/>
        <w:rPr>
          <w:rFonts w:ascii="Times New Roman" w:hAnsi="Times New Roman" w:cs="Times New Roman"/>
          <w:sz w:val="24"/>
          <w:szCs w:val="24"/>
        </w:rPr>
      </w:pPr>
      <w:r w:rsidRPr="009B4F31">
        <w:rPr>
          <w:rFonts w:ascii="Times New Roman" w:hAnsi="Times New Roman" w:cs="Times New Roman"/>
          <w:i/>
          <w:iCs/>
          <w:sz w:val="24"/>
          <w:szCs w:val="24"/>
        </w:rPr>
        <w:t xml:space="preserve">(7) </w:t>
      </w:r>
      <w:r w:rsidRPr="009B4F31">
        <w:rPr>
          <w:rFonts w:ascii="Times New Roman" w:hAnsi="Times New Roman" w:cs="Times New Roman"/>
          <w:i/>
          <w:iCs/>
          <w:sz w:val="24"/>
          <w:szCs w:val="24"/>
        </w:rPr>
        <w:tab/>
        <w:t xml:space="preserve">The inspection or sampling ordered should be limited to that which the party seeking the order has shown to be necessary or expedient to his own case </w:t>
      </w:r>
      <w:r w:rsidR="00984DAB" w:rsidRPr="009B4F31">
        <w:rPr>
          <w:rFonts w:ascii="Times New Roman" w:hAnsi="Times New Roman" w:cs="Times New Roman"/>
          <w:i/>
          <w:iCs/>
          <w:sz w:val="24"/>
          <w:szCs w:val="24"/>
        </w:rPr>
        <w:t>or his defence of his opponent’</w:t>
      </w:r>
      <w:r w:rsidRPr="009B4F31">
        <w:rPr>
          <w:rFonts w:ascii="Times New Roman" w:hAnsi="Times New Roman" w:cs="Times New Roman"/>
          <w:i/>
          <w:iCs/>
          <w:sz w:val="24"/>
          <w:szCs w:val="24"/>
        </w:rPr>
        <w:t>s case.</w:t>
      </w:r>
      <w:r w:rsidR="00984DAB">
        <w:rPr>
          <w:rFonts w:ascii="Times New Roman" w:hAnsi="Times New Roman" w:cs="Times New Roman"/>
          <w:sz w:val="24"/>
          <w:szCs w:val="24"/>
        </w:rPr>
        <w:t>”</w:t>
      </w:r>
    </w:p>
    <w:p w14:paraId="2B7EC16A" w14:textId="6EA622E1" w:rsidR="008432AB" w:rsidRPr="00984DAB" w:rsidRDefault="00984DAB"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sidRPr="00E44516">
        <w:rPr>
          <w:rFonts w:ascii="Times New Roman" w:hAnsi="Times New Roman"/>
          <w:sz w:val="24"/>
        </w:rPr>
        <w:t>While</w:t>
      </w:r>
      <w:r>
        <w:rPr>
          <w:rFonts w:ascii="Times New Roman" w:hAnsi="Times New Roman" w:cs="Times New Roman"/>
          <w:sz w:val="24"/>
          <w:szCs w:val="24"/>
        </w:rPr>
        <w:t xml:space="preserve"> these principles make no reference to the nature of any ancillary powers enjoyed by the court for the purpose of O.</w:t>
      </w:r>
      <w:r w:rsidR="00D139CE">
        <w:rPr>
          <w:rFonts w:ascii="Times New Roman" w:hAnsi="Times New Roman" w:cs="Times New Roman"/>
          <w:sz w:val="24"/>
          <w:szCs w:val="24"/>
        </w:rPr>
        <w:t xml:space="preserve"> </w:t>
      </w:r>
      <w:r>
        <w:rPr>
          <w:rFonts w:ascii="Times New Roman" w:hAnsi="Times New Roman" w:cs="Times New Roman"/>
          <w:sz w:val="24"/>
          <w:szCs w:val="24"/>
        </w:rPr>
        <w:t>50, r.</w:t>
      </w:r>
      <w:r w:rsidR="00D139CE">
        <w:rPr>
          <w:rFonts w:ascii="Times New Roman" w:hAnsi="Times New Roman" w:cs="Times New Roman"/>
          <w:sz w:val="24"/>
          <w:szCs w:val="24"/>
        </w:rPr>
        <w:t xml:space="preserve"> </w:t>
      </w:r>
      <w:r>
        <w:rPr>
          <w:rFonts w:ascii="Times New Roman" w:hAnsi="Times New Roman" w:cs="Times New Roman"/>
          <w:sz w:val="24"/>
          <w:szCs w:val="24"/>
        </w:rPr>
        <w:t xml:space="preserve">4, they are nonetheless very helpful in a consideration of that issue, describing, as they do, the matters to be taken into account when considering </w:t>
      </w:r>
      <w:r w:rsidRPr="00E44516">
        <w:rPr>
          <w:rFonts w:ascii="Times New Roman" w:hAnsi="Times New Roman"/>
          <w:sz w:val="24"/>
        </w:rPr>
        <w:t xml:space="preserve">applications advanced under the rule.  Those matters </w:t>
      </w:r>
      <w:r w:rsidR="003C60B3" w:rsidRPr="00E44516">
        <w:rPr>
          <w:rFonts w:ascii="Times New Roman" w:hAnsi="Times New Roman"/>
          <w:sz w:val="24"/>
        </w:rPr>
        <w:t>may also</w:t>
      </w:r>
      <w:r w:rsidRPr="00E44516">
        <w:rPr>
          <w:rFonts w:ascii="Times New Roman" w:hAnsi="Times New Roman"/>
          <w:sz w:val="24"/>
        </w:rPr>
        <w:t xml:space="preserve"> inform the court in the considera</w:t>
      </w:r>
      <w:r>
        <w:rPr>
          <w:rFonts w:ascii="Times New Roman" w:hAnsi="Times New Roman" w:cs="Times New Roman"/>
          <w:sz w:val="24"/>
          <w:szCs w:val="24"/>
        </w:rPr>
        <w:t xml:space="preserve">tion of any orders </w:t>
      </w:r>
      <w:r w:rsidR="003C60B3">
        <w:rPr>
          <w:rFonts w:ascii="Times New Roman" w:hAnsi="Times New Roman" w:cs="Times New Roman"/>
          <w:sz w:val="24"/>
          <w:szCs w:val="24"/>
        </w:rPr>
        <w:t>that may be necessary to give effect to</w:t>
      </w:r>
      <w:r>
        <w:rPr>
          <w:rFonts w:ascii="Times New Roman" w:hAnsi="Times New Roman" w:cs="Times New Roman"/>
          <w:sz w:val="24"/>
          <w:szCs w:val="24"/>
        </w:rPr>
        <w:t xml:space="preserve"> the substantive orders under </w:t>
      </w:r>
      <w:r w:rsidRPr="00E44516">
        <w:rPr>
          <w:rFonts w:ascii="Times New Roman" w:hAnsi="Times New Roman"/>
          <w:sz w:val="24"/>
        </w:rPr>
        <w:t>consideration</w:t>
      </w:r>
      <w:r>
        <w:rPr>
          <w:rFonts w:ascii="Times New Roman" w:hAnsi="Times New Roman" w:cs="Times New Roman"/>
          <w:sz w:val="24"/>
          <w:szCs w:val="24"/>
        </w:rPr>
        <w:t xml:space="preserve"> by a court.  </w:t>
      </w:r>
    </w:p>
    <w:p w14:paraId="4C11DEF5" w14:textId="0957F975" w:rsidR="00984DAB" w:rsidRPr="00984DAB" w:rsidRDefault="00984DAB"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More </w:t>
      </w:r>
      <w:r w:rsidRPr="00E44516">
        <w:rPr>
          <w:rFonts w:ascii="Times New Roman" w:hAnsi="Times New Roman"/>
          <w:sz w:val="24"/>
        </w:rPr>
        <w:t>recently</w:t>
      </w:r>
      <w:r>
        <w:rPr>
          <w:rFonts w:ascii="Times New Roman" w:hAnsi="Times New Roman" w:cs="Times New Roman"/>
          <w:sz w:val="24"/>
          <w:szCs w:val="24"/>
        </w:rPr>
        <w:t xml:space="preserve">, in the case of </w:t>
      </w:r>
      <w:r>
        <w:rPr>
          <w:rFonts w:ascii="Times New Roman" w:hAnsi="Times New Roman" w:cs="Times New Roman"/>
          <w:i/>
          <w:sz w:val="24"/>
          <w:szCs w:val="24"/>
        </w:rPr>
        <w:t xml:space="preserve">Murphy Environmental Hollywood Ltd. </w:t>
      </w:r>
      <w:r w:rsidR="00F933D9">
        <w:rPr>
          <w:rFonts w:ascii="Times New Roman" w:hAnsi="Times New Roman" w:cs="Times New Roman"/>
          <w:i/>
          <w:sz w:val="24"/>
          <w:szCs w:val="24"/>
        </w:rPr>
        <w:t>v. Spencer Place Development Company</w:t>
      </w:r>
      <w:r>
        <w:rPr>
          <w:rFonts w:ascii="Times New Roman" w:hAnsi="Times New Roman" w:cs="Times New Roman"/>
          <w:i/>
          <w:sz w:val="24"/>
          <w:szCs w:val="24"/>
        </w:rPr>
        <w:t xml:space="preserve"> Ltd</w:t>
      </w:r>
      <w:r w:rsidR="00D139CE">
        <w:rPr>
          <w:rFonts w:ascii="Times New Roman" w:hAnsi="Times New Roman" w:cs="Times New Roman"/>
          <w:i/>
          <w:sz w:val="24"/>
          <w:szCs w:val="24"/>
        </w:rPr>
        <w:t>.</w:t>
      </w:r>
      <w:r>
        <w:rPr>
          <w:rFonts w:ascii="Times New Roman" w:hAnsi="Times New Roman" w:cs="Times New Roman"/>
          <w:i/>
          <w:sz w:val="24"/>
          <w:szCs w:val="24"/>
        </w:rPr>
        <w:t xml:space="preserve"> &amp; Ors. </w:t>
      </w:r>
      <w:r>
        <w:rPr>
          <w:rFonts w:ascii="Times New Roman" w:hAnsi="Times New Roman" w:cs="Times New Roman"/>
          <w:sz w:val="24"/>
          <w:szCs w:val="24"/>
        </w:rPr>
        <w:t xml:space="preserve">[2017] IEHC 782, Costello J. was required to consider an order already made by McGovern J. for the inspection of the first named plaintiff’s property, which had been made subject to agreement by the parties on a protocol for inspection.  The parties were unable to agree on the protocol and had to return to the court for further orders.  The case is of relevance for two reasons.  Firstly, in the course of her judgment, Costello J. considered and applied the first decision of the trial judge </w:t>
      </w:r>
      <w:r w:rsidR="002A65AB">
        <w:rPr>
          <w:rFonts w:ascii="Times New Roman" w:hAnsi="Times New Roman" w:cs="Times New Roman"/>
          <w:sz w:val="24"/>
          <w:szCs w:val="24"/>
        </w:rPr>
        <w:t xml:space="preserve">in these proceedings (and </w:t>
      </w:r>
      <w:r>
        <w:rPr>
          <w:rFonts w:ascii="Times New Roman" w:hAnsi="Times New Roman" w:cs="Times New Roman"/>
          <w:sz w:val="24"/>
          <w:szCs w:val="24"/>
        </w:rPr>
        <w:t>on this motion</w:t>
      </w:r>
      <w:r w:rsidR="002A65AB">
        <w:rPr>
          <w:rFonts w:ascii="Times New Roman" w:hAnsi="Times New Roman" w:cs="Times New Roman"/>
          <w:sz w:val="24"/>
          <w:szCs w:val="24"/>
        </w:rPr>
        <w:t>)</w:t>
      </w:r>
      <w:r>
        <w:rPr>
          <w:rFonts w:ascii="Times New Roman" w:hAnsi="Times New Roman" w:cs="Times New Roman"/>
          <w:sz w:val="24"/>
          <w:szCs w:val="24"/>
        </w:rPr>
        <w:t xml:space="preserve"> of 28</w:t>
      </w:r>
      <w:r w:rsidRPr="00984DAB">
        <w:rPr>
          <w:rFonts w:ascii="Times New Roman" w:hAnsi="Times New Roman" w:cs="Times New Roman"/>
          <w:sz w:val="24"/>
          <w:szCs w:val="24"/>
          <w:vertAlign w:val="superscript"/>
        </w:rPr>
        <w:t>th</w:t>
      </w:r>
      <w:r>
        <w:rPr>
          <w:rFonts w:ascii="Times New Roman" w:hAnsi="Times New Roman" w:cs="Times New Roman"/>
          <w:sz w:val="24"/>
          <w:szCs w:val="24"/>
        </w:rPr>
        <w:t xml:space="preserve"> July 2017.  It will be recalled that that decision was not appealed by any of the parties.  Costello J. laid some emphasis upon the determination of Murphy J. in that case that the purpose</w:t>
      </w:r>
      <w:r w:rsidR="00174C0C">
        <w:rPr>
          <w:rFonts w:ascii="Times New Roman" w:hAnsi="Times New Roman" w:cs="Times New Roman"/>
          <w:sz w:val="24"/>
          <w:szCs w:val="24"/>
        </w:rPr>
        <w:t xml:space="preserve"> of</w:t>
      </w:r>
      <w:r>
        <w:rPr>
          <w:rFonts w:ascii="Times New Roman" w:hAnsi="Times New Roman" w:cs="Times New Roman"/>
          <w:sz w:val="24"/>
          <w:szCs w:val="24"/>
        </w:rPr>
        <w:t xml:space="preserve"> the right of inspection conferred by O.</w:t>
      </w:r>
      <w:r w:rsidR="00174C0C">
        <w:rPr>
          <w:rFonts w:ascii="Times New Roman" w:hAnsi="Times New Roman" w:cs="Times New Roman"/>
          <w:sz w:val="24"/>
          <w:szCs w:val="24"/>
        </w:rPr>
        <w:t xml:space="preserve"> </w:t>
      </w:r>
      <w:r>
        <w:rPr>
          <w:rFonts w:ascii="Times New Roman" w:hAnsi="Times New Roman" w:cs="Times New Roman"/>
          <w:sz w:val="24"/>
          <w:szCs w:val="24"/>
        </w:rPr>
        <w:t>50, r.</w:t>
      </w:r>
      <w:r w:rsidR="00174C0C">
        <w:rPr>
          <w:rFonts w:ascii="Times New Roman" w:hAnsi="Times New Roman" w:cs="Times New Roman"/>
          <w:sz w:val="24"/>
          <w:szCs w:val="24"/>
        </w:rPr>
        <w:t xml:space="preserve"> </w:t>
      </w:r>
      <w:r>
        <w:rPr>
          <w:rFonts w:ascii="Times New Roman" w:hAnsi="Times New Roman" w:cs="Times New Roman"/>
          <w:sz w:val="24"/>
          <w:szCs w:val="24"/>
        </w:rPr>
        <w:t xml:space="preserve">4 </w:t>
      </w:r>
      <w:r>
        <w:rPr>
          <w:rFonts w:ascii="Times New Roman" w:hAnsi="Times New Roman" w:cs="Times New Roman"/>
          <w:sz w:val="24"/>
          <w:szCs w:val="24"/>
        </w:rPr>
        <w:lastRenderedPageBreak/>
        <w:t xml:space="preserve">is to ensure equality of arms as between the litigants.  She also noted with approval the statement by Murphy J. that a litigant has, within reason, and subject to the rules of evidence, the right to present his case as he considers appropriate.  </w:t>
      </w:r>
    </w:p>
    <w:p w14:paraId="496C39A8" w14:textId="196F5805" w:rsidR="00984DAB" w:rsidRPr="00E44516" w:rsidRDefault="00984DAB" w:rsidP="0058287A">
      <w:pPr>
        <w:pStyle w:val="ListParagraph"/>
        <w:numPr>
          <w:ilvl w:val="0"/>
          <w:numId w:val="1"/>
        </w:numPr>
        <w:tabs>
          <w:tab w:val="left" w:pos="567"/>
        </w:tabs>
        <w:spacing w:line="480" w:lineRule="auto"/>
        <w:ind w:left="0" w:firstLine="0"/>
        <w:rPr>
          <w:rFonts w:ascii="Times New Roman" w:hAnsi="Times New Roman" w:cs="Times New Roman"/>
          <w:i/>
          <w:sz w:val="24"/>
          <w:szCs w:val="24"/>
        </w:rPr>
      </w:pPr>
      <w:r>
        <w:rPr>
          <w:rFonts w:ascii="Times New Roman" w:hAnsi="Times New Roman" w:cs="Times New Roman"/>
          <w:sz w:val="24"/>
          <w:szCs w:val="24"/>
        </w:rPr>
        <w:t xml:space="preserve">While </w:t>
      </w:r>
      <w:r w:rsidRPr="00E44516">
        <w:rPr>
          <w:rFonts w:ascii="Times New Roman" w:hAnsi="Times New Roman"/>
          <w:sz w:val="24"/>
        </w:rPr>
        <w:t>these</w:t>
      </w:r>
      <w:r>
        <w:rPr>
          <w:rFonts w:ascii="Times New Roman" w:hAnsi="Times New Roman" w:cs="Times New Roman"/>
          <w:sz w:val="24"/>
          <w:szCs w:val="24"/>
        </w:rPr>
        <w:t xml:space="preserve"> authorities are informative and helpful in consideration of the issue now under discussion, they obviously only bring us so far.  </w:t>
      </w:r>
      <w:r w:rsidR="00F933D9">
        <w:rPr>
          <w:rFonts w:ascii="Times New Roman" w:hAnsi="Times New Roman" w:cs="Times New Roman"/>
          <w:sz w:val="24"/>
          <w:szCs w:val="24"/>
        </w:rPr>
        <w:t xml:space="preserve">The issue was more directly addressed by the High Court (Barr J.) in the recent case of </w:t>
      </w:r>
      <w:proofErr w:type="spellStart"/>
      <w:r w:rsidR="00F933D9">
        <w:rPr>
          <w:rFonts w:ascii="Times New Roman" w:hAnsi="Times New Roman" w:cs="Times New Roman"/>
          <w:i/>
          <w:sz w:val="24"/>
          <w:szCs w:val="24"/>
        </w:rPr>
        <w:t>Matute</w:t>
      </w:r>
      <w:proofErr w:type="spellEnd"/>
      <w:r w:rsidR="00F933D9">
        <w:rPr>
          <w:rFonts w:ascii="Times New Roman" w:hAnsi="Times New Roman" w:cs="Times New Roman"/>
          <w:i/>
          <w:sz w:val="24"/>
          <w:szCs w:val="24"/>
        </w:rPr>
        <w:t xml:space="preserve"> v. Medtronic Ireland Ltd. </w:t>
      </w:r>
      <w:r w:rsidR="00F933D9">
        <w:rPr>
          <w:rFonts w:ascii="Times New Roman" w:hAnsi="Times New Roman" w:cs="Times New Roman"/>
          <w:sz w:val="24"/>
          <w:szCs w:val="24"/>
        </w:rPr>
        <w:t>[2017] IEHC 431.  In that case the plaintiff claimed to have suffered a repetitive strain injury in the workplace</w:t>
      </w:r>
      <w:r w:rsidR="005F3C0C">
        <w:rPr>
          <w:rFonts w:ascii="Times New Roman" w:hAnsi="Times New Roman" w:cs="Times New Roman"/>
          <w:i/>
          <w:sz w:val="24"/>
          <w:szCs w:val="24"/>
        </w:rPr>
        <w:t xml:space="preserve">.  </w:t>
      </w:r>
      <w:r w:rsidR="005F3C0C">
        <w:rPr>
          <w:rFonts w:ascii="Times New Roman" w:hAnsi="Times New Roman" w:cs="Times New Roman"/>
          <w:sz w:val="24"/>
          <w:szCs w:val="24"/>
        </w:rPr>
        <w:t>In the usual way in such matters, the plaintiff sought facilities to have his workplace inspected by a consulting engineer.  The defendant agreed to provide the facilities but when the plaintiff’s engineer attended to carry out the inspection, he was informed that he would not be allowed to take photographs during the inspection.  This was to protect the confidentiality of the defendant in its industrial processes.  Instead, an employee of the defendant offered to take photographs during the course of the inspection, at the direction of the plaintiff’s engineer.  As a result, the plaintiff’s engineer did not receive sufficient photographs in quality or in number to enable him to draw up his report.  The trial judge concluded that the plaintiff was prejudiced as a result and made an order entitling the plaintiff’s engineer to re-inspect the premises and to take his own photographs.  By this time, however, the defendants had altered the configuration of that part of its premises where the plaintiff worked.  The trial judge received evidence that, as a result, the plaintiff was significantly prejudiced in the preparation of his case.  Accordingly, he directed the defendant to reinstate that portion of the defendant’s factory in which the plaintiff worked, to the condition that it was in at the time of the original inspection carried out by plaintiff’s engineer.  He made this order</w:t>
      </w:r>
      <w:r w:rsidR="00CA3BA3">
        <w:rPr>
          <w:rFonts w:ascii="Times New Roman" w:hAnsi="Times New Roman" w:cs="Times New Roman"/>
          <w:sz w:val="24"/>
          <w:szCs w:val="24"/>
        </w:rPr>
        <w:t>, pursuant to O</w:t>
      </w:r>
      <w:r w:rsidR="00174C0C">
        <w:rPr>
          <w:rFonts w:ascii="Times New Roman" w:hAnsi="Times New Roman" w:cs="Times New Roman"/>
          <w:sz w:val="24"/>
          <w:szCs w:val="24"/>
        </w:rPr>
        <w:t>.</w:t>
      </w:r>
      <w:r w:rsidR="00CA3BA3">
        <w:rPr>
          <w:rFonts w:ascii="Times New Roman" w:hAnsi="Times New Roman" w:cs="Times New Roman"/>
          <w:sz w:val="24"/>
          <w:szCs w:val="24"/>
        </w:rPr>
        <w:t xml:space="preserve"> 50, r.</w:t>
      </w:r>
      <w:r w:rsidR="00174C0C">
        <w:rPr>
          <w:rFonts w:ascii="Times New Roman" w:hAnsi="Times New Roman" w:cs="Times New Roman"/>
          <w:sz w:val="24"/>
          <w:szCs w:val="24"/>
        </w:rPr>
        <w:t xml:space="preserve"> </w:t>
      </w:r>
      <w:r w:rsidR="00CA3BA3">
        <w:rPr>
          <w:rFonts w:ascii="Times New Roman" w:hAnsi="Times New Roman" w:cs="Times New Roman"/>
          <w:sz w:val="24"/>
          <w:szCs w:val="24"/>
        </w:rPr>
        <w:t>4. N</w:t>
      </w:r>
      <w:r w:rsidR="005F3C0C">
        <w:rPr>
          <w:rFonts w:ascii="Times New Roman" w:hAnsi="Times New Roman" w:cs="Times New Roman"/>
          <w:sz w:val="24"/>
          <w:szCs w:val="24"/>
        </w:rPr>
        <w:t xml:space="preserve">otwithstanding that he had been informed that the </w:t>
      </w:r>
      <w:r w:rsidR="0004395A">
        <w:rPr>
          <w:rFonts w:ascii="Times New Roman" w:hAnsi="Times New Roman" w:cs="Times New Roman"/>
          <w:sz w:val="24"/>
          <w:szCs w:val="24"/>
        </w:rPr>
        <w:t xml:space="preserve">cost of such works would be of the order of €60,000. </w:t>
      </w:r>
      <w:r w:rsidR="00E66A10">
        <w:rPr>
          <w:rFonts w:ascii="Times New Roman" w:hAnsi="Times New Roman" w:cs="Times New Roman"/>
          <w:sz w:val="24"/>
          <w:szCs w:val="24"/>
        </w:rPr>
        <w:t xml:space="preserve">While the order was </w:t>
      </w:r>
      <w:r w:rsidR="00E66A10">
        <w:rPr>
          <w:rFonts w:ascii="Times New Roman" w:hAnsi="Times New Roman" w:cs="Times New Roman"/>
          <w:sz w:val="24"/>
          <w:szCs w:val="24"/>
        </w:rPr>
        <w:lastRenderedPageBreak/>
        <w:t>made pursuant O.</w:t>
      </w:r>
      <w:r w:rsidR="00174C0C">
        <w:rPr>
          <w:rFonts w:ascii="Times New Roman" w:hAnsi="Times New Roman" w:cs="Times New Roman"/>
          <w:sz w:val="24"/>
          <w:szCs w:val="24"/>
        </w:rPr>
        <w:t xml:space="preserve"> </w:t>
      </w:r>
      <w:r w:rsidR="00E66A10">
        <w:rPr>
          <w:rFonts w:ascii="Times New Roman" w:hAnsi="Times New Roman" w:cs="Times New Roman"/>
          <w:sz w:val="24"/>
          <w:szCs w:val="24"/>
        </w:rPr>
        <w:t>50, r.</w:t>
      </w:r>
      <w:r w:rsidR="00174C0C">
        <w:rPr>
          <w:rFonts w:ascii="Times New Roman" w:hAnsi="Times New Roman" w:cs="Times New Roman"/>
          <w:sz w:val="24"/>
          <w:szCs w:val="24"/>
        </w:rPr>
        <w:t xml:space="preserve"> </w:t>
      </w:r>
      <w:r w:rsidR="00E66A10">
        <w:rPr>
          <w:rFonts w:ascii="Times New Roman" w:hAnsi="Times New Roman" w:cs="Times New Roman"/>
          <w:sz w:val="24"/>
          <w:szCs w:val="24"/>
        </w:rPr>
        <w:t xml:space="preserve">4, it is unclear the extent to which the jurisdiction of the </w:t>
      </w:r>
      <w:r w:rsidR="00174C0C">
        <w:rPr>
          <w:rFonts w:ascii="Times New Roman" w:hAnsi="Times New Roman" w:cs="Times New Roman"/>
          <w:sz w:val="24"/>
          <w:szCs w:val="24"/>
        </w:rPr>
        <w:t>c</w:t>
      </w:r>
      <w:r w:rsidR="00E66A10">
        <w:rPr>
          <w:rFonts w:ascii="Times New Roman" w:hAnsi="Times New Roman" w:cs="Times New Roman"/>
          <w:sz w:val="24"/>
          <w:szCs w:val="24"/>
        </w:rPr>
        <w:t>ourt to make such an order was argued.</w:t>
      </w:r>
      <w:r w:rsidR="0004395A">
        <w:rPr>
          <w:rFonts w:ascii="Times New Roman" w:hAnsi="Times New Roman" w:cs="Times New Roman"/>
          <w:sz w:val="24"/>
          <w:szCs w:val="24"/>
        </w:rPr>
        <w:t xml:space="preserve"> </w:t>
      </w:r>
    </w:p>
    <w:p w14:paraId="0899CAE9" w14:textId="2A6F4CEE" w:rsidR="00792120" w:rsidRDefault="00604A7D"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w:t>
      </w:r>
      <w:r w:rsidR="00352FB2">
        <w:rPr>
          <w:rFonts w:ascii="Times New Roman" w:hAnsi="Times New Roman"/>
          <w:sz w:val="24"/>
        </w:rPr>
        <w:t xml:space="preserve">he </w:t>
      </w:r>
      <w:r>
        <w:rPr>
          <w:rFonts w:ascii="Times New Roman" w:hAnsi="Times New Roman"/>
          <w:sz w:val="24"/>
        </w:rPr>
        <w:t>jurisdiction</w:t>
      </w:r>
      <w:r w:rsidR="00352FB2">
        <w:rPr>
          <w:rFonts w:ascii="Times New Roman" w:hAnsi="Times New Roman"/>
          <w:sz w:val="24"/>
        </w:rPr>
        <w:t xml:space="preserve"> of the </w:t>
      </w:r>
      <w:r w:rsidR="00174C0C">
        <w:rPr>
          <w:rFonts w:ascii="Times New Roman" w:hAnsi="Times New Roman"/>
          <w:sz w:val="24"/>
        </w:rPr>
        <w:t>c</w:t>
      </w:r>
      <w:r w:rsidR="00352FB2">
        <w:rPr>
          <w:rFonts w:ascii="Times New Roman" w:hAnsi="Times New Roman"/>
          <w:sz w:val="24"/>
        </w:rPr>
        <w:t xml:space="preserve">ourt to grant orders ancillary to an order for inspection, and, if there is such a </w:t>
      </w:r>
      <w:r>
        <w:rPr>
          <w:rFonts w:ascii="Times New Roman" w:hAnsi="Times New Roman"/>
          <w:sz w:val="24"/>
        </w:rPr>
        <w:t>jurisdiction</w:t>
      </w:r>
      <w:r w:rsidR="00352FB2">
        <w:rPr>
          <w:rFonts w:ascii="Times New Roman" w:hAnsi="Times New Roman"/>
          <w:sz w:val="24"/>
        </w:rPr>
        <w:t xml:space="preserve">, the scope of it, are not matters that have </w:t>
      </w:r>
      <w:r w:rsidR="00792120">
        <w:rPr>
          <w:rFonts w:ascii="Times New Roman" w:hAnsi="Times New Roman"/>
          <w:sz w:val="24"/>
        </w:rPr>
        <w:t xml:space="preserve">arisen for </w:t>
      </w:r>
      <w:r>
        <w:rPr>
          <w:rFonts w:ascii="Times New Roman" w:hAnsi="Times New Roman"/>
          <w:sz w:val="24"/>
        </w:rPr>
        <w:t xml:space="preserve">detailed </w:t>
      </w:r>
      <w:r w:rsidR="00352FB2">
        <w:rPr>
          <w:rFonts w:ascii="Times New Roman" w:hAnsi="Times New Roman"/>
          <w:sz w:val="24"/>
        </w:rPr>
        <w:t>consider</w:t>
      </w:r>
      <w:r w:rsidR="00792120">
        <w:rPr>
          <w:rFonts w:ascii="Times New Roman" w:hAnsi="Times New Roman"/>
          <w:sz w:val="24"/>
        </w:rPr>
        <w:t>ation previously</w:t>
      </w:r>
      <w:r w:rsidR="00E66441">
        <w:rPr>
          <w:rFonts w:ascii="Times New Roman" w:hAnsi="Times New Roman"/>
          <w:sz w:val="24"/>
        </w:rPr>
        <w:t xml:space="preserve">. </w:t>
      </w:r>
      <w:r w:rsidR="00792120">
        <w:rPr>
          <w:rFonts w:ascii="Times New Roman" w:hAnsi="Times New Roman"/>
          <w:sz w:val="24"/>
        </w:rPr>
        <w:t>Much of the analysis of the trial judge is taken up with the primary issue as to whether or not to make an order for inspection.  Having decided that such an order was necessary (which part of her decision and order is no longer under appeal) the trial judge then went on to deal, at para.</w:t>
      </w:r>
      <w:r w:rsidR="00174C0C">
        <w:rPr>
          <w:rFonts w:ascii="Times New Roman" w:hAnsi="Times New Roman"/>
          <w:sz w:val="24"/>
        </w:rPr>
        <w:t xml:space="preserve"> </w:t>
      </w:r>
      <w:r w:rsidR="00306FF5">
        <w:rPr>
          <w:rFonts w:ascii="Times New Roman" w:hAnsi="Times New Roman"/>
          <w:sz w:val="24"/>
        </w:rPr>
        <w:t>22, with</w:t>
      </w:r>
      <w:r w:rsidR="003736A4">
        <w:rPr>
          <w:rFonts w:ascii="Times New Roman" w:hAnsi="Times New Roman"/>
          <w:sz w:val="24"/>
        </w:rPr>
        <w:t xml:space="preserve"> </w:t>
      </w:r>
      <w:r w:rsidR="00306FF5">
        <w:rPr>
          <w:rFonts w:ascii="Times New Roman" w:hAnsi="Times New Roman"/>
          <w:sz w:val="24"/>
        </w:rPr>
        <w:t>ancillary orders. The relevant parts of her judgment</w:t>
      </w:r>
      <w:r w:rsidR="00174C0C">
        <w:rPr>
          <w:rFonts w:ascii="Times New Roman" w:hAnsi="Times New Roman"/>
          <w:sz w:val="24"/>
        </w:rPr>
        <w:t>,</w:t>
      </w:r>
      <w:r w:rsidR="00306FF5">
        <w:rPr>
          <w:rFonts w:ascii="Times New Roman" w:hAnsi="Times New Roman"/>
          <w:sz w:val="24"/>
        </w:rPr>
        <w:t xml:space="preserve"> i.e. paras. 21 and 22 thereof are quoted in full at para. 1</w:t>
      </w:r>
      <w:r w:rsidR="003736A4">
        <w:rPr>
          <w:rFonts w:ascii="Times New Roman" w:hAnsi="Times New Roman"/>
          <w:sz w:val="24"/>
        </w:rPr>
        <w:t>9</w:t>
      </w:r>
      <w:r w:rsidR="00306FF5">
        <w:rPr>
          <w:rFonts w:ascii="Times New Roman" w:hAnsi="Times New Roman"/>
          <w:sz w:val="24"/>
        </w:rPr>
        <w:t xml:space="preserve"> above.  The appellants argue that the authorit</w:t>
      </w:r>
      <w:r>
        <w:rPr>
          <w:rFonts w:ascii="Times New Roman" w:hAnsi="Times New Roman"/>
          <w:sz w:val="24"/>
        </w:rPr>
        <w:t>y</w:t>
      </w:r>
      <w:r w:rsidR="00306FF5">
        <w:rPr>
          <w:rFonts w:ascii="Times New Roman" w:hAnsi="Times New Roman"/>
          <w:sz w:val="24"/>
        </w:rPr>
        <w:t xml:space="preserve"> referred to</w:t>
      </w:r>
      <w:r>
        <w:rPr>
          <w:rFonts w:ascii="Times New Roman" w:hAnsi="Times New Roman"/>
          <w:sz w:val="24"/>
        </w:rPr>
        <w:t xml:space="preserve"> and relied upon</w:t>
      </w:r>
      <w:r w:rsidR="00306FF5">
        <w:rPr>
          <w:rFonts w:ascii="Times New Roman" w:hAnsi="Times New Roman"/>
          <w:sz w:val="24"/>
        </w:rPr>
        <w:t xml:space="preserve"> by the trial judge in this part of her judgment</w:t>
      </w:r>
      <w:r w:rsidR="00352FB2">
        <w:rPr>
          <w:rFonts w:ascii="Times New Roman" w:hAnsi="Times New Roman"/>
          <w:sz w:val="24"/>
        </w:rPr>
        <w:t>, i.e</w:t>
      </w:r>
      <w:r w:rsidR="001A7EF5">
        <w:rPr>
          <w:rFonts w:ascii="Times New Roman" w:hAnsi="Times New Roman"/>
          <w:sz w:val="24"/>
        </w:rPr>
        <w:t>.</w:t>
      </w:r>
      <w:r>
        <w:rPr>
          <w:rFonts w:ascii="Times New Roman" w:hAnsi="Times New Roman"/>
          <w:sz w:val="24"/>
        </w:rPr>
        <w:t xml:space="preserve"> </w:t>
      </w:r>
      <w:r w:rsidRPr="008157E5">
        <w:rPr>
          <w:rFonts w:ascii="Times New Roman" w:hAnsi="Times New Roman"/>
          <w:i/>
          <w:sz w:val="24"/>
        </w:rPr>
        <w:t>Evans Deacon Pty Ltd</w:t>
      </w:r>
      <w:r w:rsidR="00174C0C">
        <w:rPr>
          <w:rFonts w:ascii="Times New Roman" w:hAnsi="Times New Roman"/>
          <w:i/>
          <w:sz w:val="24"/>
        </w:rPr>
        <w:t>.</w:t>
      </w:r>
      <w:r w:rsidRPr="008157E5">
        <w:rPr>
          <w:rFonts w:ascii="Times New Roman" w:hAnsi="Times New Roman"/>
          <w:i/>
          <w:sz w:val="24"/>
        </w:rPr>
        <w:t xml:space="preserve"> </w:t>
      </w:r>
      <w:r w:rsidR="00174C0C">
        <w:rPr>
          <w:rFonts w:ascii="Times New Roman" w:hAnsi="Times New Roman"/>
          <w:i/>
          <w:sz w:val="24"/>
        </w:rPr>
        <w:t>v.</w:t>
      </w:r>
      <w:r w:rsidRPr="008157E5">
        <w:rPr>
          <w:rFonts w:ascii="Times New Roman" w:hAnsi="Times New Roman"/>
          <w:i/>
          <w:sz w:val="24"/>
        </w:rPr>
        <w:t xml:space="preserve"> </w:t>
      </w:r>
      <w:proofErr w:type="spellStart"/>
      <w:r w:rsidRPr="008157E5">
        <w:rPr>
          <w:rFonts w:ascii="Times New Roman" w:hAnsi="Times New Roman"/>
          <w:i/>
          <w:sz w:val="24"/>
        </w:rPr>
        <w:t>Orekinetics</w:t>
      </w:r>
      <w:proofErr w:type="spellEnd"/>
      <w:r w:rsidRPr="008157E5">
        <w:rPr>
          <w:rFonts w:ascii="Times New Roman" w:hAnsi="Times New Roman"/>
          <w:i/>
          <w:sz w:val="24"/>
        </w:rPr>
        <w:t xml:space="preserve"> Ltd</w:t>
      </w:r>
      <w:r w:rsidR="00174C0C">
        <w:rPr>
          <w:rFonts w:ascii="Times New Roman" w:hAnsi="Times New Roman"/>
          <w:i/>
          <w:sz w:val="24"/>
        </w:rPr>
        <w:t>.</w:t>
      </w:r>
      <w:r w:rsidRPr="008157E5">
        <w:rPr>
          <w:rFonts w:ascii="Times New Roman" w:hAnsi="Times New Roman"/>
          <w:sz w:val="24"/>
        </w:rPr>
        <w:t xml:space="preserve"> [2002] QSC 42 </w:t>
      </w:r>
      <w:r>
        <w:rPr>
          <w:rFonts w:ascii="Times New Roman" w:hAnsi="Times New Roman"/>
          <w:sz w:val="24"/>
        </w:rPr>
        <w:t>is</w:t>
      </w:r>
      <w:r w:rsidR="00306FF5">
        <w:rPr>
          <w:rFonts w:ascii="Times New Roman" w:hAnsi="Times New Roman"/>
          <w:sz w:val="24"/>
        </w:rPr>
        <w:t xml:space="preserve"> not authority for the proposition for which </w:t>
      </w:r>
      <w:r>
        <w:rPr>
          <w:rFonts w:ascii="Times New Roman" w:hAnsi="Times New Roman"/>
          <w:sz w:val="24"/>
        </w:rPr>
        <w:t>it is</w:t>
      </w:r>
      <w:r w:rsidR="00306FF5">
        <w:rPr>
          <w:rFonts w:ascii="Times New Roman" w:hAnsi="Times New Roman"/>
          <w:sz w:val="24"/>
        </w:rPr>
        <w:t xml:space="preserve"> cited by her in the judgment, and the</w:t>
      </w:r>
      <w:r>
        <w:rPr>
          <w:rFonts w:ascii="Times New Roman" w:hAnsi="Times New Roman"/>
          <w:sz w:val="24"/>
        </w:rPr>
        <w:t xml:space="preserve"> appellants</w:t>
      </w:r>
      <w:r w:rsidR="00306FF5">
        <w:rPr>
          <w:rFonts w:ascii="Times New Roman" w:hAnsi="Times New Roman"/>
          <w:sz w:val="24"/>
        </w:rPr>
        <w:t xml:space="preserve"> rely on the express terms of O.</w:t>
      </w:r>
      <w:r w:rsidR="00174C0C">
        <w:rPr>
          <w:rFonts w:ascii="Times New Roman" w:hAnsi="Times New Roman"/>
          <w:sz w:val="24"/>
        </w:rPr>
        <w:t xml:space="preserve"> </w:t>
      </w:r>
      <w:r w:rsidR="00306FF5">
        <w:rPr>
          <w:rFonts w:ascii="Times New Roman" w:hAnsi="Times New Roman"/>
          <w:sz w:val="24"/>
        </w:rPr>
        <w:t>50, r.</w:t>
      </w:r>
      <w:r w:rsidR="00174C0C">
        <w:rPr>
          <w:rFonts w:ascii="Times New Roman" w:hAnsi="Times New Roman"/>
          <w:sz w:val="24"/>
        </w:rPr>
        <w:t xml:space="preserve"> </w:t>
      </w:r>
      <w:r w:rsidR="00306FF5">
        <w:rPr>
          <w:rFonts w:ascii="Times New Roman" w:hAnsi="Times New Roman"/>
          <w:sz w:val="24"/>
        </w:rPr>
        <w:t>4 which</w:t>
      </w:r>
      <w:r w:rsidR="00352FB2">
        <w:rPr>
          <w:rFonts w:ascii="Times New Roman" w:hAnsi="Times New Roman"/>
          <w:sz w:val="24"/>
        </w:rPr>
        <w:t xml:space="preserve"> they submit</w:t>
      </w:r>
      <w:r w:rsidR="00306FF5">
        <w:rPr>
          <w:rFonts w:ascii="Times New Roman" w:hAnsi="Times New Roman"/>
          <w:sz w:val="24"/>
        </w:rPr>
        <w:t xml:space="preserve"> does not confer any such jurisdiction on the court.  Specifically, they argue, the rule does not confer any jurisdiction on the court to order a party to proceedings to collate and review a large volume of documentation,</w:t>
      </w:r>
      <w:r w:rsidR="00E66A10">
        <w:rPr>
          <w:rFonts w:ascii="Times New Roman" w:hAnsi="Times New Roman"/>
          <w:sz w:val="24"/>
        </w:rPr>
        <w:t xml:space="preserve"> at significant expense,</w:t>
      </w:r>
      <w:r w:rsidR="00306FF5">
        <w:rPr>
          <w:rFonts w:ascii="Times New Roman" w:hAnsi="Times New Roman"/>
          <w:sz w:val="24"/>
        </w:rPr>
        <w:t xml:space="preserve"> for the purpose of providing information, separate and prior to the discovery process. </w:t>
      </w:r>
    </w:p>
    <w:p w14:paraId="59BD5F59" w14:textId="4EBFDC44" w:rsidR="00306FF5" w:rsidRDefault="00352FB2"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appellants rely on</w:t>
      </w:r>
      <w:r w:rsidR="00306FF5">
        <w:rPr>
          <w:rFonts w:ascii="Times New Roman" w:hAnsi="Times New Roman"/>
          <w:sz w:val="24"/>
        </w:rPr>
        <w:t xml:space="preserve"> the decision of the High Court in </w:t>
      </w:r>
      <w:r w:rsidR="00306FF5">
        <w:rPr>
          <w:rFonts w:ascii="Times New Roman" w:hAnsi="Times New Roman"/>
          <w:i/>
          <w:sz w:val="24"/>
        </w:rPr>
        <w:t>Bula Ltd. v. Tara Mines Ltd</w:t>
      </w:r>
      <w:r w:rsidR="00174C0C">
        <w:rPr>
          <w:rFonts w:ascii="Times New Roman" w:hAnsi="Times New Roman"/>
          <w:i/>
          <w:sz w:val="24"/>
        </w:rPr>
        <w:t>.</w:t>
      </w:r>
      <w:r w:rsidR="00306FF5">
        <w:rPr>
          <w:rFonts w:ascii="Times New Roman" w:hAnsi="Times New Roman"/>
          <w:sz w:val="24"/>
        </w:rPr>
        <w:t xml:space="preserve">, </w:t>
      </w:r>
      <w:r w:rsidR="002C1FA7">
        <w:rPr>
          <w:rFonts w:ascii="Times New Roman" w:hAnsi="Times New Roman"/>
          <w:sz w:val="24"/>
        </w:rPr>
        <w:t xml:space="preserve">insofar as </w:t>
      </w:r>
      <w:r w:rsidR="00306FF5">
        <w:rPr>
          <w:rFonts w:ascii="Times New Roman" w:hAnsi="Times New Roman"/>
          <w:sz w:val="24"/>
        </w:rPr>
        <w:t>in that case, the</w:t>
      </w:r>
      <w:r w:rsidR="002C1FA7">
        <w:rPr>
          <w:rFonts w:ascii="Times New Roman" w:hAnsi="Times New Roman"/>
          <w:sz w:val="24"/>
        </w:rPr>
        <w:t xml:space="preserve"> </w:t>
      </w:r>
      <w:r w:rsidR="00174C0C">
        <w:rPr>
          <w:rFonts w:ascii="Times New Roman" w:hAnsi="Times New Roman"/>
          <w:sz w:val="24"/>
        </w:rPr>
        <w:t>c</w:t>
      </w:r>
      <w:r w:rsidR="00306FF5">
        <w:rPr>
          <w:rFonts w:ascii="Times New Roman" w:hAnsi="Times New Roman"/>
          <w:sz w:val="24"/>
        </w:rPr>
        <w:t xml:space="preserve">ourt, while making an order for inspection, refused to make an order requiring the defendants to provide the inspectors with any maps, drawings or documentation for the purpose of the inspection, because such documentation was not sought </w:t>
      </w:r>
      <w:r w:rsidR="001E6EE7">
        <w:rPr>
          <w:rFonts w:ascii="Times New Roman" w:hAnsi="Times New Roman"/>
          <w:sz w:val="24"/>
        </w:rPr>
        <w:t>i</w:t>
      </w:r>
      <w:r w:rsidR="00306FF5">
        <w:rPr>
          <w:rFonts w:ascii="Times New Roman" w:hAnsi="Times New Roman"/>
          <w:sz w:val="24"/>
        </w:rPr>
        <w:t>n the original notice of motion, the court noting that such documentation “</w:t>
      </w:r>
      <w:r w:rsidR="00306FF5" w:rsidRPr="00174C0C">
        <w:rPr>
          <w:rFonts w:ascii="Times New Roman" w:hAnsi="Times New Roman"/>
          <w:i/>
          <w:iCs/>
          <w:sz w:val="24"/>
        </w:rPr>
        <w:t>need not be produced until an order for discovery has been made and complied with</w:t>
      </w:r>
      <w:r w:rsidR="00174C0C">
        <w:rPr>
          <w:rFonts w:ascii="Times New Roman" w:hAnsi="Times New Roman"/>
          <w:i/>
          <w:iCs/>
          <w:sz w:val="24"/>
        </w:rPr>
        <w:t>.</w:t>
      </w:r>
      <w:r w:rsidR="00306FF5">
        <w:rPr>
          <w:rFonts w:ascii="Times New Roman" w:hAnsi="Times New Roman"/>
          <w:sz w:val="24"/>
        </w:rPr>
        <w:t xml:space="preserve">”  </w:t>
      </w:r>
    </w:p>
    <w:p w14:paraId="6C304AD4" w14:textId="7C287530" w:rsidR="00306FF5" w:rsidRDefault="00306FF5"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respondents re</w:t>
      </w:r>
      <w:r w:rsidR="002C1FA7">
        <w:rPr>
          <w:rFonts w:ascii="Times New Roman" w:hAnsi="Times New Roman"/>
          <w:sz w:val="24"/>
        </w:rPr>
        <w:t xml:space="preserve">ly on </w:t>
      </w:r>
      <w:r>
        <w:rPr>
          <w:rFonts w:ascii="Times New Roman" w:hAnsi="Times New Roman"/>
          <w:sz w:val="24"/>
        </w:rPr>
        <w:t xml:space="preserve">the </w:t>
      </w:r>
      <w:r w:rsidR="0086609B">
        <w:rPr>
          <w:rFonts w:ascii="Times New Roman" w:hAnsi="Times New Roman"/>
          <w:sz w:val="24"/>
        </w:rPr>
        <w:t xml:space="preserve">express terms </w:t>
      </w:r>
      <w:r w:rsidR="002C1FA7">
        <w:rPr>
          <w:rFonts w:ascii="Times New Roman" w:hAnsi="Times New Roman"/>
          <w:sz w:val="24"/>
        </w:rPr>
        <w:t>of</w:t>
      </w:r>
      <w:r>
        <w:rPr>
          <w:rFonts w:ascii="Times New Roman" w:hAnsi="Times New Roman"/>
          <w:sz w:val="24"/>
        </w:rPr>
        <w:t xml:space="preserve"> </w:t>
      </w:r>
      <w:r w:rsidR="002C1FA7">
        <w:rPr>
          <w:rFonts w:ascii="Times New Roman" w:hAnsi="Times New Roman"/>
          <w:sz w:val="24"/>
        </w:rPr>
        <w:t>O</w:t>
      </w:r>
      <w:r w:rsidR="00174C0C">
        <w:rPr>
          <w:rFonts w:ascii="Times New Roman" w:hAnsi="Times New Roman"/>
          <w:sz w:val="24"/>
        </w:rPr>
        <w:t>.</w:t>
      </w:r>
      <w:r w:rsidR="002C1FA7">
        <w:rPr>
          <w:rFonts w:ascii="Times New Roman" w:hAnsi="Times New Roman"/>
          <w:sz w:val="24"/>
        </w:rPr>
        <w:t xml:space="preserve"> 50</w:t>
      </w:r>
      <w:r w:rsidR="00174C0C">
        <w:rPr>
          <w:rFonts w:ascii="Times New Roman" w:hAnsi="Times New Roman"/>
          <w:sz w:val="24"/>
        </w:rPr>
        <w:t xml:space="preserve">, </w:t>
      </w:r>
      <w:r w:rsidR="002C1FA7">
        <w:rPr>
          <w:rFonts w:ascii="Times New Roman" w:hAnsi="Times New Roman"/>
          <w:sz w:val="24"/>
        </w:rPr>
        <w:t>r.</w:t>
      </w:r>
      <w:r w:rsidR="00174C0C">
        <w:rPr>
          <w:rFonts w:ascii="Times New Roman" w:hAnsi="Times New Roman"/>
          <w:sz w:val="24"/>
        </w:rPr>
        <w:t xml:space="preserve"> </w:t>
      </w:r>
      <w:r w:rsidR="002C1FA7">
        <w:rPr>
          <w:rFonts w:ascii="Times New Roman" w:hAnsi="Times New Roman"/>
          <w:sz w:val="24"/>
        </w:rPr>
        <w:t>4,</w:t>
      </w:r>
      <w:r w:rsidR="0086609B">
        <w:rPr>
          <w:rFonts w:ascii="Times New Roman" w:hAnsi="Times New Roman"/>
          <w:sz w:val="24"/>
        </w:rPr>
        <w:t xml:space="preserve"> in particular the second line thereof</w:t>
      </w:r>
      <w:r w:rsidR="002C1FA7">
        <w:rPr>
          <w:rFonts w:ascii="Times New Roman" w:hAnsi="Times New Roman"/>
          <w:sz w:val="24"/>
        </w:rPr>
        <w:t xml:space="preserve"> </w:t>
      </w:r>
      <w:r>
        <w:rPr>
          <w:rFonts w:ascii="Times New Roman" w:hAnsi="Times New Roman"/>
          <w:sz w:val="24"/>
        </w:rPr>
        <w:t xml:space="preserve">which </w:t>
      </w:r>
      <w:r w:rsidR="002C1FA7">
        <w:rPr>
          <w:rFonts w:ascii="Times New Roman" w:hAnsi="Times New Roman"/>
          <w:sz w:val="24"/>
        </w:rPr>
        <w:t xml:space="preserve">provides </w:t>
      </w:r>
      <w:r>
        <w:rPr>
          <w:rFonts w:ascii="Times New Roman" w:hAnsi="Times New Roman"/>
          <w:sz w:val="24"/>
        </w:rPr>
        <w:t xml:space="preserve">that an order </w:t>
      </w:r>
      <w:r w:rsidR="002C1FA7">
        <w:rPr>
          <w:rFonts w:ascii="Times New Roman" w:hAnsi="Times New Roman"/>
          <w:sz w:val="24"/>
        </w:rPr>
        <w:t xml:space="preserve">for inspection </w:t>
      </w:r>
      <w:r>
        <w:rPr>
          <w:rFonts w:ascii="Times New Roman" w:hAnsi="Times New Roman"/>
          <w:sz w:val="24"/>
        </w:rPr>
        <w:t>may be made “</w:t>
      </w:r>
      <w:r w:rsidRPr="00174C0C">
        <w:rPr>
          <w:rFonts w:ascii="Times New Roman" w:hAnsi="Times New Roman"/>
          <w:i/>
          <w:iCs/>
          <w:sz w:val="24"/>
        </w:rPr>
        <w:t>upon such terms as may be just</w:t>
      </w:r>
      <w:r w:rsidR="00174C0C">
        <w:rPr>
          <w:rFonts w:ascii="Times New Roman" w:hAnsi="Times New Roman"/>
          <w:i/>
          <w:iCs/>
          <w:sz w:val="24"/>
        </w:rPr>
        <w:t>.</w:t>
      </w:r>
      <w:r>
        <w:rPr>
          <w:rFonts w:ascii="Times New Roman" w:hAnsi="Times New Roman"/>
          <w:sz w:val="24"/>
        </w:rPr>
        <w:t>”  They refer to the conclusion of the trial judge, at para. 28 of her judgment, that “</w:t>
      </w:r>
      <w:bookmarkStart w:id="3" w:name="_Hlk92403650"/>
      <w:r w:rsidRPr="00227F21">
        <w:rPr>
          <w:rFonts w:ascii="Times New Roman" w:hAnsi="Times New Roman"/>
          <w:i/>
          <w:iCs/>
          <w:sz w:val="24"/>
        </w:rPr>
        <w:t xml:space="preserve">the </w:t>
      </w:r>
      <w:r w:rsidRPr="00227F21">
        <w:rPr>
          <w:rFonts w:ascii="Times New Roman" w:hAnsi="Times New Roman"/>
          <w:i/>
          <w:iCs/>
          <w:sz w:val="24"/>
        </w:rPr>
        <w:lastRenderedPageBreak/>
        <w:t>ordering of inspection and sampling now, is in the interest of justice, the avoidance of unnecessary costs, the efficient use of the resources of the court and the vindication of the plaintiffs’ right of access to the court</w:t>
      </w:r>
      <w:bookmarkEnd w:id="3"/>
      <w:r>
        <w:rPr>
          <w:rFonts w:ascii="Times New Roman" w:hAnsi="Times New Roman"/>
          <w:sz w:val="24"/>
        </w:rPr>
        <w:t>” as well as the further conclusion of the court that “</w:t>
      </w:r>
      <w:r w:rsidR="00227F21" w:rsidRPr="00227F21">
        <w:rPr>
          <w:rFonts w:ascii="Times New Roman" w:hAnsi="Times New Roman"/>
          <w:i/>
          <w:iCs/>
          <w:sz w:val="24"/>
        </w:rPr>
        <w:t>[</w:t>
      </w:r>
      <w:r w:rsidRPr="00227F21">
        <w:rPr>
          <w:rFonts w:ascii="Times New Roman" w:hAnsi="Times New Roman"/>
          <w:i/>
          <w:iCs/>
          <w:sz w:val="24"/>
        </w:rPr>
        <w:t>b</w:t>
      </w:r>
      <w:r w:rsidR="00227F21" w:rsidRPr="00227F21">
        <w:rPr>
          <w:rFonts w:ascii="Times New Roman" w:hAnsi="Times New Roman"/>
          <w:i/>
          <w:iCs/>
          <w:sz w:val="24"/>
        </w:rPr>
        <w:t>]</w:t>
      </w:r>
      <w:r w:rsidRPr="00227F21">
        <w:rPr>
          <w:rFonts w:ascii="Times New Roman" w:hAnsi="Times New Roman"/>
          <w:i/>
          <w:iCs/>
          <w:sz w:val="24"/>
        </w:rPr>
        <w:t xml:space="preserve">y directing the first defendant to identify the locations in its quarries from which the stone supplied to the </w:t>
      </w:r>
      <w:proofErr w:type="spellStart"/>
      <w:r w:rsidRPr="00227F21">
        <w:rPr>
          <w:rFonts w:ascii="Times New Roman" w:hAnsi="Times New Roman"/>
          <w:i/>
          <w:iCs/>
          <w:sz w:val="24"/>
        </w:rPr>
        <w:t>Drumnigh</w:t>
      </w:r>
      <w:proofErr w:type="spellEnd"/>
      <w:r w:rsidRPr="00227F21">
        <w:rPr>
          <w:rFonts w:ascii="Times New Roman" w:hAnsi="Times New Roman"/>
          <w:i/>
          <w:iCs/>
          <w:sz w:val="24"/>
        </w:rPr>
        <w:t xml:space="preserve"> Wood Estate was extracted, the court is balancing the right of the plaintiff to have access to evidence in the control of his opponent with his opponent’s right to have the least possible interference with his property rights</w:t>
      </w:r>
      <w:r w:rsidR="00227F21" w:rsidRPr="00227F21">
        <w:rPr>
          <w:rFonts w:ascii="Times New Roman" w:hAnsi="Times New Roman"/>
          <w:i/>
          <w:iCs/>
          <w:sz w:val="24"/>
        </w:rPr>
        <w:t>.</w:t>
      </w:r>
      <w:r>
        <w:rPr>
          <w:rFonts w:ascii="Times New Roman" w:hAnsi="Times New Roman"/>
          <w:sz w:val="24"/>
        </w:rPr>
        <w:t xml:space="preserve">”  </w:t>
      </w:r>
    </w:p>
    <w:p w14:paraId="457F0132" w14:textId="397C8E84" w:rsidR="00792120" w:rsidRDefault="004944D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respondents submit that the reliefs sought in the motion before the court </w:t>
      </w:r>
      <w:r w:rsidR="002C1FA7">
        <w:rPr>
          <w:rFonts w:ascii="Times New Roman" w:hAnsi="Times New Roman"/>
          <w:sz w:val="24"/>
        </w:rPr>
        <w:t xml:space="preserve">expressly </w:t>
      </w:r>
      <w:r>
        <w:rPr>
          <w:rFonts w:ascii="Times New Roman" w:hAnsi="Times New Roman"/>
          <w:sz w:val="24"/>
        </w:rPr>
        <w:t>included the provision of “</w:t>
      </w:r>
      <w:r w:rsidRPr="00EB30AD">
        <w:rPr>
          <w:rFonts w:ascii="Times New Roman" w:hAnsi="Times New Roman"/>
          <w:i/>
          <w:iCs/>
          <w:sz w:val="24"/>
        </w:rPr>
        <w:t>such reasonable cooperation and assistance as the plaintiffs and their respective servants and/or agents may reasonably require in order to complete the inspection</w:t>
      </w:r>
      <w:r>
        <w:rPr>
          <w:rFonts w:ascii="Times New Roman" w:hAnsi="Times New Roman"/>
          <w:sz w:val="24"/>
        </w:rPr>
        <w:t xml:space="preserve">”, and submit that </w:t>
      </w:r>
      <w:r w:rsidR="002C1FA7">
        <w:rPr>
          <w:rFonts w:ascii="Times New Roman" w:hAnsi="Times New Roman"/>
          <w:sz w:val="24"/>
        </w:rPr>
        <w:t>such relief</w:t>
      </w:r>
      <w:r>
        <w:rPr>
          <w:rFonts w:ascii="Times New Roman" w:hAnsi="Times New Roman"/>
          <w:sz w:val="24"/>
        </w:rPr>
        <w:t xml:space="preserve"> is broad enough to include the identification of the relevant locations to enable the inspection to be undertaken.  This</w:t>
      </w:r>
      <w:r w:rsidR="003736A4">
        <w:rPr>
          <w:rFonts w:ascii="Times New Roman" w:hAnsi="Times New Roman"/>
          <w:sz w:val="24"/>
        </w:rPr>
        <w:t xml:space="preserve"> (it is submitted)</w:t>
      </w:r>
      <w:r>
        <w:rPr>
          <w:rFonts w:ascii="Times New Roman" w:hAnsi="Times New Roman"/>
          <w:sz w:val="24"/>
        </w:rPr>
        <w:t xml:space="preserve"> distinguishes the facts of this case from those in </w:t>
      </w:r>
      <w:r>
        <w:rPr>
          <w:rFonts w:ascii="Times New Roman" w:hAnsi="Times New Roman"/>
          <w:i/>
          <w:sz w:val="24"/>
        </w:rPr>
        <w:t xml:space="preserve">Bula v. Tara Mines </w:t>
      </w:r>
      <w:r>
        <w:rPr>
          <w:rFonts w:ascii="Times New Roman" w:hAnsi="Times New Roman"/>
          <w:sz w:val="24"/>
        </w:rPr>
        <w:t xml:space="preserve">where the court declined to direct the production of documentation because it was not sought in the original notice of motion. </w:t>
      </w:r>
      <w:r w:rsidR="00B03B22">
        <w:rPr>
          <w:rFonts w:ascii="Times New Roman" w:hAnsi="Times New Roman"/>
          <w:sz w:val="24"/>
        </w:rPr>
        <w:t>Moreover, it is clear f</w:t>
      </w:r>
      <w:r w:rsidR="001E6EE7">
        <w:rPr>
          <w:rFonts w:ascii="Times New Roman" w:hAnsi="Times New Roman"/>
          <w:sz w:val="24"/>
        </w:rPr>
        <w:t>ro</w:t>
      </w:r>
      <w:r w:rsidR="00B03B22">
        <w:rPr>
          <w:rFonts w:ascii="Times New Roman" w:hAnsi="Times New Roman"/>
          <w:sz w:val="24"/>
        </w:rPr>
        <w:t xml:space="preserve">m the decision in Bula that the </w:t>
      </w:r>
      <w:r w:rsidR="00EB30AD">
        <w:rPr>
          <w:rFonts w:ascii="Times New Roman" w:hAnsi="Times New Roman"/>
          <w:sz w:val="24"/>
        </w:rPr>
        <w:t>c</w:t>
      </w:r>
      <w:r w:rsidR="00B03B22">
        <w:rPr>
          <w:rFonts w:ascii="Times New Roman" w:hAnsi="Times New Roman"/>
          <w:sz w:val="24"/>
        </w:rPr>
        <w:t xml:space="preserve">ourt there made more restricted orders than it might have otherwise on account of </w:t>
      </w:r>
      <w:r w:rsidR="006D32BF">
        <w:rPr>
          <w:rFonts w:ascii="Times New Roman" w:hAnsi="Times New Roman"/>
          <w:sz w:val="24"/>
        </w:rPr>
        <w:t xml:space="preserve">other </w:t>
      </w:r>
      <w:r w:rsidR="00B03B22">
        <w:rPr>
          <w:rFonts w:ascii="Times New Roman" w:hAnsi="Times New Roman"/>
          <w:sz w:val="24"/>
        </w:rPr>
        <w:t xml:space="preserve">orders it had made </w:t>
      </w:r>
      <w:r w:rsidR="006D32BF">
        <w:rPr>
          <w:rFonts w:ascii="Times New Roman" w:hAnsi="Times New Roman"/>
          <w:sz w:val="24"/>
        </w:rPr>
        <w:t xml:space="preserve">on the same day in </w:t>
      </w:r>
      <w:r w:rsidR="003976F6">
        <w:rPr>
          <w:rFonts w:ascii="Times New Roman" w:hAnsi="Times New Roman"/>
          <w:sz w:val="24"/>
        </w:rPr>
        <w:t xml:space="preserve">the related case of </w:t>
      </w:r>
      <w:proofErr w:type="spellStart"/>
      <w:r w:rsidR="006D32BF" w:rsidRPr="006D32BF">
        <w:rPr>
          <w:rFonts w:ascii="Times New Roman" w:hAnsi="Times New Roman"/>
          <w:i/>
          <w:sz w:val="24"/>
        </w:rPr>
        <w:t>Wymes</w:t>
      </w:r>
      <w:proofErr w:type="spellEnd"/>
      <w:r w:rsidR="006D32BF" w:rsidRPr="006D32BF">
        <w:rPr>
          <w:rFonts w:ascii="Times New Roman" w:hAnsi="Times New Roman"/>
          <w:i/>
          <w:sz w:val="24"/>
        </w:rPr>
        <w:t xml:space="preserve"> v</w:t>
      </w:r>
      <w:r w:rsidR="00EB30AD">
        <w:rPr>
          <w:rFonts w:ascii="Times New Roman" w:hAnsi="Times New Roman"/>
          <w:i/>
          <w:sz w:val="24"/>
        </w:rPr>
        <w:t>.</w:t>
      </w:r>
      <w:r w:rsidR="006D32BF" w:rsidRPr="006D32BF">
        <w:rPr>
          <w:rFonts w:ascii="Times New Roman" w:hAnsi="Times New Roman"/>
          <w:i/>
          <w:sz w:val="24"/>
        </w:rPr>
        <w:t xml:space="preserve"> Crowley</w:t>
      </w:r>
      <w:r w:rsidR="006D32BF">
        <w:rPr>
          <w:rFonts w:ascii="Times New Roman" w:hAnsi="Times New Roman"/>
          <w:i/>
          <w:sz w:val="24"/>
        </w:rPr>
        <w:t>.</w:t>
      </w:r>
    </w:p>
    <w:p w14:paraId="3A4CDFCD" w14:textId="25BCF05E" w:rsidR="004944DF" w:rsidRPr="003976F6" w:rsidRDefault="004944D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respondents refer to the first decision of the trial judge on the motion of 28</w:t>
      </w:r>
      <w:r w:rsidRPr="004944DF">
        <w:rPr>
          <w:rFonts w:ascii="Times New Roman" w:hAnsi="Times New Roman"/>
          <w:sz w:val="24"/>
          <w:vertAlign w:val="superscript"/>
        </w:rPr>
        <w:t>th</w:t>
      </w:r>
      <w:r>
        <w:rPr>
          <w:rFonts w:ascii="Times New Roman" w:hAnsi="Times New Roman"/>
          <w:sz w:val="24"/>
        </w:rPr>
        <w:t xml:space="preserve"> July 2017 wherein she stated, at para. 24, that “</w:t>
      </w:r>
      <w:r w:rsidRPr="006E66A4">
        <w:rPr>
          <w:rFonts w:ascii="Times New Roman" w:hAnsi="Times New Roman"/>
          <w:i/>
          <w:iCs/>
          <w:sz w:val="24"/>
        </w:rPr>
        <w:t>the rule is flexible enough to deal with any given set of facts presented to a court</w:t>
      </w:r>
      <w:r>
        <w:rPr>
          <w:rFonts w:ascii="Times New Roman" w:hAnsi="Times New Roman"/>
          <w:sz w:val="24"/>
        </w:rPr>
        <w:t xml:space="preserve">”, a conclusion which the respondents observe was not appealed by any party.  It was in this context that the trial judge referred to the passage quoted above at para. </w:t>
      </w:r>
      <w:r w:rsidR="00604A7D">
        <w:rPr>
          <w:rFonts w:ascii="Times New Roman" w:hAnsi="Times New Roman"/>
          <w:sz w:val="24"/>
        </w:rPr>
        <w:t>1</w:t>
      </w:r>
      <w:r w:rsidR="003736A4">
        <w:rPr>
          <w:rFonts w:ascii="Times New Roman" w:hAnsi="Times New Roman"/>
          <w:sz w:val="24"/>
        </w:rPr>
        <w:t>9</w:t>
      </w:r>
      <w:r>
        <w:rPr>
          <w:rFonts w:ascii="Times New Roman" w:hAnsi="Times New Roman"/>
          <w:sz w:val="24"/>
        </w:rPr>
        <w:t xml:space="preserve"> from the decision of </w:t>
      </w:r>
      <w:r w:rsidR="00933AF5">
        <w:rPr>
          <w:rFonts w:ascii="Times New Roman" w:hAnsi="Times New Roman"/>
          <w:sz w:val="24"/>
        </w:rPr>
        <w:t>t</w:t>
      </w:r>
      <w:r>
        <w:rPr>
          <w:rFonts w:ascii="Times New Roman" w:hAnsi="Times New Roman"/>
          <w:sz w:val="24"/>
        </w:rPr>
        <w:t xml:space="preserve">he </w:t>
      </w:r>
      <w:r w:rsidR="00933AF5">
        <w:rPr>
          <w:rFonts w:ascii="Times New Roman" w:hAnsi="Times New Roman"/>
          <w:sz w:val="24"/>
        </w:rPr>
        <w:t>Supreme</w:t>
      </w:r>
      <w:r>
        <w:rPr>
          <w:rFonts w:ascii="Times New Roman" w:hAnsi="Times New Roman"/>
          <w:sz w:val="24"/>
        </w:rPr>
        <w:t xml:space="preserve"> Court of</w:t>
      </w:r>
      <w:r w:rsidR="00933AF5">
        <w:rPr>
          <w:rFonts w:ascii="Times New Roman" w:hAnsi="Times New Roman"/>
          <w:sz w:val="24"/>
        </w:rPr>
        <w:t xml:space="preserve"> Queensland</w:t>
      </w:r>
      <w:r w:rsidR="009B088E">
        <w:rPr>
          <w:rFonts w:ascii="Times New Roman" w:hAnsi="Times New Roman"/>
          <w:sz w:val="24"/>
        </w:rPr>
        <w:t>,</w:t>
      </w:r>
      <w:r>
        <w:rPr>
          <w:rFonts w:ascii="Times New Roman" w:hAnsi="Times New Roman"/>
          <w:sz w:val="24"/>
        </w:rPr>
        <w:t xml:space="preserve"> Australia</w:t>
      </w:r>
      <w:r w:rsidR="009B088E">
        <w:rPr>
          <w:rFonts w:ascii="Times New Roman" w:hAnsi="Times New Roman"/>
          <w:sz w:val="24"/>
        </w:rPr>
        <w:t xml:space="preserve">, </w:t>
      </w:r>
      <w:r>
        <w:rPr>
          <w:rFonts w:ascii="Times New Roman" w:hAnsi="Times New Roman"/>
          <w:sz w:val="24"/>
        </w:rPr>
        <w:t>in</w:t>
      </w:r>
      <w:r w:rsidR="00604A7D">
        <w:rPr>
          <w:rFonts w:ascii="Times New Roman" w:hAnsi="Times New Roman"/>
          <w:sz w:val="24"/>
        </w:rPr>
        <w:t xml:space="preserve"> </w:t>
      </w:r>
      <w:bookmarkStart w:id="4" w:name="_Hlk94824873"/>
      <w:r w:rsidR="00604A7D" w:rsidRPr="008157E5">
        <w:rPr>
          <w:rFonts w:ascii="Times New Roman" w:hAnsi="Times New Roman"/>
          <w:i/>
          <w:sz w:val="24"/>
        </w:rPr>
        <w:t>Evans Deacon Pty Ltd</w:t>
      </w:r>
      <w:r w:rsidR="00A8061D">
        <w:rPr>
          <w:rFonts w:ascii="Times New Roman" w:hAnsi="Times New Roman"/>
          <w:i/>
          <w:sz w:val="24"/>
        </w:rPr>
        <w:t>.</w:t>
      </w:r>
      <w:r w:rsidR="00604A7D" w:rsidRPr="008157E5">
        <w:rPr>
          <w:rFonts w:ascii="Times New Roman" w:hAnsi="Times New Roman"/>
          <w:i/>
          <w:sz w:val="24"/>
        </w:rPr>
        <w:t xml:space="preserve"> </w:t>
      </w:r>
      <w:r w:rsidR="00A8061D">
        <w:rPr>
          <w:rFonts w:ascii="Times New Roman" w:hAnsi="Times New Roman"/>
          <w:i/>
          <w:sz w:val="24"/>
        </w:rPr>
        <w:t>v.</w:t>
      </w:r>
      <w:r w:rsidR="00604A7D" w:rsidRPr="008157E5">
        <w:rPr>
          <w:rFonts w:ascii="Times New Roman" w:hAnsi="Times New Roman"/>
          <w:i/>
          <w:sz w:val="24"/>
        </w:rPr>
        <w:t xml:space="preserve"> </w:t>
      </w:r>
      <w:proofErr w:type="spellStart"/>
      <w:r w:rsidR="00604A7D" w:rsidRPr="008157E5">
        <w:rPr>
          <w:rFonts w:ascii="Times New Roman" w:hAnsi="Times New Roman"/>
          <w:i/>
          <w:sz w:val="24"/>
        </w:rPr>
        <w:t>Orekinetics</w:t>
      </w:r>
      <w:proofErr w:type="spellEnd"/>
      <w:r w:rsidR="00604A7D" w:rsidRPr="008157E5">
        <w:rPr>
          <w:rFonts w:ascii="Times New Roman" w:hAnsi="Times New Roman"/>
          <w:i/>
          <w:sz w:val="24"/>
        </w:rPr>
        <w:t xml:space="preserve"> Ltd</w:t>
      </w:r>
      <w:r w:rsidR="00A8061D">
        <w:rPr>
          <w:rFonts w:ascii="Times New Roman" w:hAnsi="Times New Roman"/>
          <w:i/>
          <w:sz w:val="24"/>
        </w:rPr>
        <w:t>.</w:t>
      </w:r>
      <w:r w:rsidR="00604A7D" w:rsidRPr="008157E5">
        <w:rPr>
          <w:rFonts w:ascii="Times New Roman" w:hAnsi="Times New Roman"/>
          <w:sz w:val="24"/>
        </w:rPr>
        <w:t xml:space="preserve"> [2002] QSC 42 </w:t>
      </w:r>
      <w:bookmarkEnd w:id="4"/>
      <w:r w:rsidR="00604A7D" w:rsidRPr="008157E5">
        <w:rPr>
          <w:rFonts w:ascii="Times New Roman" w:hAnsi="Times New Roman"/>
          <w:sz w:val="24"/>
        </w:rPr>
        <w:t xml:space="preserve">as cited by </w:t>
      </w:r>
      <w:r w:rsidR="004D2C7B">
        <w:rPr>
          <w:rFonts w:ascii="Times New Roman" w:hAnsi="Times New Roman"/>
          <w:sz w:val="24"/>
        </w:rPr>
        <w:t xml:space="preserve">Kenneth </w:t>
      </w:r>
      <w:r w:rsidR="00604A7D" w:rsidRPr="008157E5">
        <w:rPr>
          <w:rFonts w:ascii="Times New Roman" w:hAnsi="Times New Roman"/>
          <w:sz w:val="24"/>
        </w:rPr>
        <w:t>Martin J.</w:t>
      </w:r>
      <w:r w:rsidR="004D2C7B">
        <w:rPr>
          <w:rFonts w:ascii="Times New Roman" w:hAnsi="Times New Roman"/>
          <w:sz w:val="24"/>
        </w:rPr>
        <w:t xml:space="preserve"> of the Supreme Court of Western Australia</w:t>
      </w:r>
      <w:r w:rsidR="00604A7D" w:rsidRPr="008157E5">
        <w:rPr>
          <w:rFonts w:ascii="Times New Roman" w:hAnsi="Times New Roman"/>
          <w:sz w:val="24"/>
        </w:rPr>
        <w:t xml:space="preserve"> in </w:t>
      </w:r>
      <w:r w:rsidR="00604A7D" w:rsidRPr="008157E5">
        <w:rPr>
          <w:rFonts w:ascii="Times New Roman" w:hAnsi="Times New Roman"/>
          <w:i/>
          <w:sz w:val="24"/>
        </w:rPr>
        <w:t>Process Minerals International Pty Ltd</w:t>
      </w:r>
      <w:r w:rsidR="00A8061D">
        <w:rPr>
          <w:rFonts w:ascii="Times New Roman" w:hAnsi="Times New Roman"/>
          <w:i/>
          <w:sz w:val="24"/>
        </w:rPr>
        <w:t>.</w:t>
      </w:r>
      <w:r w:rsidR="00604A7D" w:rsidRPr="008157E5">
        <w:rPr>
          <w:rFonts w:ascii="Times New Roman" w:hAnsi="Times New Roman"/>
          <w:i/>
          <w:sz w:val="24"/>
        </w:rPr>
        <w:t xml:space="preserve"> v</w:t>
      </w:r>
      <w:r w:rsidR="00A8061D">
        <w:rPr>
          <w:rFonts w:ascii="Times New Roman" w:hAnsi="Times New Roman"/>
          <w:i/>
          <w:sz w:val="24"/>
        </w:rPr>
        <w:t>.</w:t>
      </w:r>
      <w:r w:rsidR="00604A7D" w:rsidRPr="008157E5">
        <w:rPr>
          <w:rFonts w:ascii="Times New Roman" w:hAnsi="Times New Roman"/>
          <w:i/>
          <w:sz w:val="24"/>
        </w:rPr>
        <w:t xml:space="preserve"> Consolidated Minerals Pty Ltd</w:t>
      </w:r>
      <w:r w:rsidR="00A8061D">
        <w:rPr>
          <w:rFonts w:ascii="Times New Roman" w:hAnsi="Times New Roman"/>
          <w:i/>
          <w:sz w:val="24"/>
        </w:rPr>
        <w:t>.</w:t>
      </w:r>
      <w:r w:rsidR="00604A7D" w:rsidRPr="008157E5">
        <w:rPr>
          <w:rFonts w:ascii="Times New Roman" w:hAnsi="Times New Roman"/>
          <w:sz w:val="24"/>
        </w:rPr>
        <w:t xml:space="preserve"> [2012] WASC 254 at p. 17</w:t>
      </w:r>
      <w:r w:rsidR="00B00EE7" w:rsidRPr="00A8061D">
        <w:rPr>
          <w:rFonts w:ascii="Times New Roman" w:hAnsi="Times New Roman"/>
          <w:iCs/>
          <w:sz w:val="24"/>
        </w:rPr>
        <w:t>.</w:t>
      </w:r>
    </w:p>
    <w:p w14:paraId="04193488" w14:textId="3BEEEFEC" w:rsidR="005C07E4" w:rsidRPr="00522D09" w:rsidRDefault="005C07E4" w:rsidP="0058287A">
      <w:pPr>
        <w:pStyle w:val="ListParagraph"/>
        <w:tabs>
          <w:tab w:val="left" w:pos="567"/>
        </w:tabs>
        <w:spacing w:line="480" w:lineRule="auto"/>
        <w:ind w:left="0"/>
        <w:rPr>
          <w:rFonts w:ascii="Times New Roman" w:hAnsi="Times New Roman"/>
          <w:b/>
          <w:i/>
          <w:iCs/>
          <w:sz w:val="24"/>
        </w:rPr>
      </w:pPr>
      <w:r w:rsidRPr="00522D09">
        <w:rPr>
          <w:rFonts w:ascii="Times New Roman" w:hAnsi="Times New Roman"/>
          <w:b/>
          <w:i/>
          <w:iCs/>
          <w:sz w:val="24"/>
        </w:rPr>
        <w:lastRenderedPageBreak/>
        <w:t>Discussion and conclusion on question of jurisdiction under O.</w:t>
      </w:r>
      <w:r w:rsidR="00387C88" w:rsidRPr="00522D09">
        <w:rPr>
          <w:rFonts w:ascii="Times New Roman" w:hAnsi="Times New Roman"/>
          <w:b/>
          <w:i/>
          <w:iCs/>
          <w:sz w:val="24"/>
        </w:rPr>
        <w:t xml:space="preserve"> </w:t>
      </w:r>
      <w:r w:rsidRPr="00522D09">
        <w:rPr>
          <w:rFonts w:ascii="Times New Roman" w:hAnsi="Times New Roman"/>
          <w:b/>
          <w:i/>
          <w:iCs/>
          <w:sz w:val="24"/>
        </w:rPr>
        <w:t>50,</w:t>
      </w:r>
      <w:r w:rsidR="00387C88" w:rsidRPr="00522D09">
        <w:rPr>
          <w:rFonts w:ascii="Times New Roman" w:hAnsi="Times New Roman"/>
          <w:b/>
          <w:i/>
          <w:iCs/>
          <w:sz w:val="24"/>
        </w:rPr>
        <w:t xml:space="preserve"> </w:t>
      </w:r>
      <w:r w:rsidRPr="00522D09">
        <w:rPr>
          <w:rFonts w:ascii="Times New Roman" w:hAnsi="Times New Roman"/>
          <w:b/>
          <w:i/>
          <w:iCs/>
          <w:sz w:val="24"/>
        </w:rPr>
        <w:t>r.</w:t>
      </w:r>
      <w:r w:rsidR="00387C88" w:rsidRPr="00522D09">
        <w:rPr>
          <w:rFonts w:ascii="Times New Roman" w:hAnsi="Times New Roman"/>
          <w:b/>
          <w:i/>
          <w:iCs/>
          <w:sz w:val="24"/>
        </w:rPr>
        <w:t xml:space="preserve"> </w:t>
      </w:r>
      <w:r w:rsidRPr="00522D09">
        <w:rPr>
          <w:rFonts w:ascii="Times New Roman" w:hAnsi="Times New Roman"/>
          <w:b/>
          <w:i/>
          <w:iCs/>
          <w:sz w:val="24"/>
        </w:rPr>
        <w:t>4</w:t>
      </w:r>
    </w:p>
    <w:p w14:paraId="2B5F682D" w14:textId="3E8FB2F3" w:rsidR="00792120" w:rsidRDefault="004944D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quarries of the appellants are vast.  The Court was informed at the hearing of this appeal that the Belgard Quarry is so large that it can be seen from outer space.  In an affidavit sworn by Mr.</w:t>
      </w:r>
      <w:r w:rsidR="00166331">
        <w:rPr>
          <w:rFonts w:ascii="Times New Roman" w:hAnsi="Times New Roman"/>
          <w:sz w:val="24"/>
        </w:rPr>
        <w:t xml:space="preserve"> </w:t>
      </w:r>
      <w:r w:rsidR="00C40595">
        <w:rPr>
          <w:rFonts w:ascii="Times New Roman" w:hAnsi="Times New Roman"/>
          <w:sz w:val="24"/>
        </w:rPr>
        <w:t xml:space="preserve">Michael </w:t>
      </w:r>
      <w:r>
        <w:rPr>
          <w:rFonts w:ascii="Times New Roman" w:hAnsi="Times New Roman"/>
          <w:sz w:val="24"/>
        </w:rPr>
        <w:t>Buckley</w:t>
      </w:r>
      <w:r w:rsidR="00C40595">
        <w:rPr>
          <w:rFonts w:ascii="Times New Roman" w:hAnsi="Times New Roman"/>
          <w:sz w:val="24"/>
        </w:rPr>
        <w:t>, Operations Director, Roadstone,</w:t>
      </w:r>
      <w:r w:rsidR="00166331">
        <w:rPr>
          <w:rFonts w:ascii="Times New Roman" w:hAnsi="Times New Roman"/>
          <w:sz w:val="24"/>
        </w:rPr>
        <w:t xml:space="preserve"> </w:t>
      </w:r>
      <w:r>
        <w:rPr>
          <w:rFonts w:ascii="Times New Roman" w:hAnsi="Times New Roman"/>
          <w:sz w:val="24"/>
        </w:rPr>
        <w:t xml:space="preserve">on behalf of the appellants of </w:t>
      </w:r>
      <w:r w:rsidR="004F5F25">
        <w:rPr>
          <w:rFonts w:ascii="Times New Roman" w:hAnsi="Times New Roman"/>
          <w:sz w:val="24"/>
        </w:rPr>
        <w:t>1</w:t>
      </w:r>
      <w:r>
        <w:rPr>
          <w:rFonts w:ascii="Times New Roman" w:hAnsi="Times New Roman"/>
          <w:sz w:val="24"/>
        </w:rPr>
        <w:t>6</w:t>
      </w:r>
      <w:r w:rsidRPr="004944DF">
        <w:rPr>
          <w:rFonts w:ascii="Times New Roman" w:hAnsi="Times New Roman"/>
          <w:sz w:val="24"/>
          <w:vertAlign w:val="superscript"/>
        </w:rPr>
        <w:t>th</w:t>
      </w:r>
      <w:r>
        <w:rPr>
          <w:rFonts w:ascii="Times New Roman" w:hAnsi="Times New Roman"/>
          <w:sz w:val="24"/>
        </w:rPr>
        <w:t xml:space="preserve"> Ma</w:t>
      </w:r>
      <w:r w:rsidR="004F5F25">
        <w:rPr>
          <w:rFonts w:ascii="Times New Roman" w:hAnsi="Times New Roman"/>
          <w:sz w:val="24"/>
        </w:rPr>
        <w:t>y</w:t>
      </w:r>
      <w:r>
        <w:rPr>
          <w:rFonts w:ascii="Times New Roman" w:hAnsi="Times New Roman"/>
          <w:sz w:val="24"/>
        </w:rPr>
        <w:t xml:space="preserve"> 2018, </w:t>
      </w:r>
      <w:r w:rsidR="002C1FA7">
        <w:rPr>
          <w:rFonts w:ascii="Times New Roman" w:hAnsi="Times New Roman"/>
          <w:sz w:val="24"/>
        </w:rPr>
        <w:t>Mr.</w:t>
      </w:r>
      <w:r w:rsidR="00166331">
        <w:rPr>
          <w:rFonts w:ascii="Times New Roman" w:hAnsi="Times New Roman"/>
          <w:sz w:val="24"/>
        </w:rPr>
        <w:t xml:space="preserve"> </w:t>
      </w:r>
      <w:r w:rsidR="002C1FA7">
        <w:rPr>
          <w:rFonts w:ascii="Times New Roman" w:hAnsi="Times New Roman"/>
          <w:sz w:val="24"/>
        </w:rPr>
        <w:t xml:space="preserve">Buckley deposes that </w:t>
      </w:r>
      <w:r>
        <w:rPr>
          <w:rFonts w:ascii="Times New Roman" w:hAnsi="Times New Roman"/>
          <w:sz w:val="24"/>
        </w:rPr>
        <w:t xml:space="preserve">the </w:t>
      </w:r>
      <w:r w:rsidR="004F5F25">
        <w:rPr>
          <w:rFonts w:ascii="Times New Roman" w:hAnsi="Times New Roman"/>
          <w:sz w:val="24"/>
        </w:rPr>
        <w:t xml:space="preserve">total active quarrying area of the Roadstone </w:t>
      </w:r>
      <w:r>
        <w:rPr>
          <w:rFonts w:ascii="Times New Roman" w:hAnsi="Times New Roman"/>
          <w:sz w:val="24"/>
        </w:rPr>
        <w:t>quarries cover</w:t>
      </w:r>
      <w:r w:rsidR="004F5F25">
        <w:rPr>
          <w:rFonts w:ascii="Times New Roman" w:hAnsi="Times New Roman"/>
          <w:sz w:val="24"/>
        </w:rPr>
        <w:t>s</w:t>
      </w:r>
      <w:r>
        <w:rPr>
          <w:rFonts w:ascii="Times New Roman" w:hAnsi="Times New Roman"/>
          <w:sz w:val="24"/>
        </w:rPr>
        <w:t xml:space="preserve"> over </w:t>
      </w:r>
      <w:r w:rsidR="004F5F25">
        <w:rPr>
          <w:rFonts w:ascii="Times New Roman" w:hAnsi="Times New Roman"/>
          <w:sz w:val="24"/>
        </w:rPr>
        <w:t>300</w:t>
      </w:r>
      <w:r>
        <w:rPr>
          <w:rFonts w:ascii="Times New Roman" w:hAnsi="Times New Roman"/>
          <w:sz w:val="24"/>
        </w:rPr>
        <w:t xml:space="preserve"> acres of land.</w:t>
      </w:r>
      <w:r w:rsidR="005126FE">
        <w:rPr>
          <w:rFonts w:ascii="Times New Roman" w:hAnsi="Times New Roman"/>
          <w:sz w:val="24"/>
        </w:rPr>
        <w:t xml:space="preserve"> </w:t>
      </w:r>
      <w:r w:rsidR="00B42977">
        <w:rPr>
          <w:rFonts w:ascii="Times New Roman" w:hAnsi="Times New Roman"/>
          <w:sz w:val="24"/>
        </w:rPr>
        <w:t>I</w:t>
      </w:r>
      <w:r>
        <w:rPr>
          <w:rFonts w:ascii="Times New Roman" w:hAnsi="Times New Roman"/>
          <w:sz w:val="24"/>
        </w:rPr>
        <w:t xml:space="preserve">t is clear that </w:t>
      </w:r>
      <w:r w:rsidR="00B42977">
        <w:rPr>
          <w:rFonts w:ascii="Times New Roman" w:hAnsi="Times New Roman"/>
          <w:sz w:val="24"/>
        </w:rPr>
        <w:t xml:space="preserve">without direction, </w:t>
      </w:r>
      <w:r>
        <w:rPr>
          <w:rFonts w:ascii="Times New Roman" w:hAnsi="Times New Roman"/>
          <w:sz w:val="24"/>
        </w:rPr>
        <w:t xml:space="preserve">any inspection of the quarries would be akin to looking for a needle in a haystack, and there was really no dispute that this was so.  This could have several consequences.  Firstly, it would almost certainly result in the respondents spending far longer in the quarries than </w:t>
      </w:r>
      <w:r w:rsidR="003976F6">
        <w:rPr>
          <w:rFonts w:ascii="Times New Roman" w:hAnsi="Times New Roman"/>
          <w:sz w:val="24"/>
        </w:rPr>
        <w:t xml:space="preserve">would be </w:t>
      </w:r>
      <w:r>
        <w:rPr>
          <w:rFonts w:ascii="Times New Roman" w:hAnsi="Times New Roman"/>
          <w:sz w:val="24"/>
        </w:rPr>
        <w:t>necessary</w:t>
      </w:r>
      <w:r w:rsidR="003976F6">
        <w:rPr>
          <w:rFonts w:ascii="Times New Roman" w:hAnsi="Times New Roman"/>
          <w:sz w:val="24"/>
        </w:rPr>
        <w:t xml:space="preserve"> if assistance from the appellants were to be provided</w:t>
      </w:r>
      <w:r>
        <w:rPr>
          <w:rFonts w:ascii="Times New Roman" w:hAnsi="Times New Roman"/>
          <w:sz w:val="24"/>
        </w:rPr>
        <w:t>.  These are active quarries</w:t>
      </w:r>
      <w:r w:rsidR="00B9022C">
        <w:rPr>
          <w:rFonts w:ascii="Times New Roman" w:hAnsi="Times New Roman"/>
          <w:sz w:val="24"/>
        </w:rPr>
        <w:t xml:space="preserve"> </w:t>
      </w:r>
      <w:r>
        <w:rPr>
          <w:rFonts w:ascii="Times New Roman" w:hAnsi="Times New Roman"/>
          <w:sz w:val="24"/>
        </w:rPr>
        <w:t>and</w:t>
      </w:r>
      <w:r w:rsidR="00B9022C">
        <w:rPr>
          <w:rFonts w:ascii="Times New Roman" w:hAnsi="Times New Roman"/>
          <w:sz w:val="24"/>
        </w:rPr>
        <w:t>, inevitably, inspection in such circumstances would give rise to heightened health and safety considerations not to mention increased costs and expense to both parties.  Moreover</w:t>
      </w:r>
      <w:r w:rsidR="003976F6">
        <w:rPr>
          <w:rFonts w:ascii="Times New Roman" w:hAnsi="Times New Roman"/>
          <w:sz w:val="24"/>
        </w:rPr>
        <w:t xml:space="preserve">, at the time, the </w:t>
      </w:r>
      <w:r w:rsidR="00166331">
        <w:rPr>
          <w:rFonts w:ascii="Times New Roman" w:hAnsi="Times New Roman"/>
          <w:sz w:val="24"/>
        </w:rPr>
        <w:t>c</w:t>
      </w:r>
      <w:r w:rsidR="003976F6">
        <w:rPr>
          <w:rFonts w:ascii="Times New Roman" w:hAnsi="Times New Roman"/>
          <w:sz w:val="24"/>
        </w:rPr>
        <w:t>ourt had good reason to believe that a bare order for inspection</w:t>
      </w:r>
      <w:r w:rsidR="00B9022C">
        <w:rPr>
          <w:rFonts w:ascii="Times New Roman" w:hAnsi="Times New Roman"/>
          <w:sz w:val="24"/>
        </w:rPr>
        <w:t xml:space="preserve"> would be frustrated in the absence of information as regards the locations from which the material concerned w</w:t>
      </w:r>
      <w:r w:rsidR="003976F6">
        <w:rPr>
          <w:rFonts w:ascii="Times New Roman" w:hAnsi="Times New Roman"/>
          <w:sz w:val="24"/>
        </w:rPr>
        <w:t>as</w:t>
      </w:r>
      <w:r w:rsidR="00B9022C">
        <w:rPr>
          <w:rFonts w:ascii="Times New Roman" w:hAnsi="Times New Roman"/>
          <w:sz w:val="24"/>
        </w:rPr>
        <w:t xml:space="preserve"> extracted and supplied to the Development.  </w:t>
      </w:r>
    </w:p>
    <w:p w14:paraId="7E440E71" w14:textId="4AD11782" w:rsidR="00B03B22" w:rsidRDefault="003E57A7"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appellants</w:t>
      </w:r>
      <w:r w:rsidR="00166331">
        <w:rPr>
          <w:rFonts w:ascii="Times New Roman" w:hAnsi="Times New Roman"/>
          <w:sz w:val="24"/>
        </w:rPr>
        <w:t>’</w:t>
      </w:r>
      <w:r>
        <w:rPr>
          <w:rFonts w:ascii="Times New Roman" w:hAnsi="Times New Roman"/>
          <w:sz w:val="24"/>
        </w:rPr>
        <w:t xml:space="preserve"> response to these difficulties is that the appropriate course for the respondents to take to address them is, firstly, to seek discovery of such documents as are necessary to identify </w:t>
      </w:r>
      <w:r w:rsidR="006D3F11">
        <w:rPr>
          <w:rFonts w:ascii="Times New Roman" w:hAnsi="Times New Roman"/>
          <w:sz w:val="24"/>
        </w:rPr>
        <w:t>the relevant locations in the quarries, and,</w:t>
      </w:r>
      <w:r w:rsidR="00166331">
        <w:rPr>
          <w:rFonts w:ascii="Times New Roman" w:hAnsi="Times New Roman"/>
          <w:sz w:val="24"/>
        </w:rPr>
        <w:t xml:space="preserve"> </w:t>
      </w:r>
      <w:r w:rsidR="006D3F11">
        <w:rPr>
          <w:rFonts w:ascii="Times New Roman" w:hAnsi="Times New Roman"/>
          <w:sz w:val="24"/>
        </w:rPr>
        <w:t>thereafter (if necessary) to bring a further “</w:t>
      </w:r>
      <w:r w:rsidR="006D3F11" w:rsidRPr="008254CC">
        <w:rPr>
          <w:rFonts w:ascii="Times New Roman" w:hAnsi="Times New Roman"/>
          <w:i/>
          <w:iCs/>
          <w:sz w:val="24"/>
        </w:rPr>
        <w:t>focused</w:t>
      </w:r>
      <w:r w:rsidR="00166331">
        <w:rPr>
          <w:rFonts w:ascii="Times New Roman" w:hAnsi="Times New Roman"/>
          <w:sz w:val="24"/>
        </w:rPr>
        <w:t>”</w:t>
      </w:r>
      <w:r w:rsidR="006D3F11">
        <w:rPr>
          <w:rFonts w:ascii="Times New Roman" w:hAnsi="Times New Roman"/>
          <w:sz w:val="24"/>
        </w:rPr>
        <w:t xml:space="preserve"> motion for production of documents and/or the provision of information.</w:t>
      </w:r>
      <w:r w:rsidR="00E21050">
        <w:rPr>
          <w:rFonts w:ascii="Times New Roman" w:hAnsi="Times New Roman"/>
          <w:sz w:val="24"/>
        </w:rPr>
        <w:t xml:space="preserve"> </w:t>
      </w:r>
      <w:r w:rsidR="006D3F11">
        <w:rPr>
          <w:rFonts w:ascii="Times New Roman" w:hAnsi="Times New Roman"/>
          <w:sz w:val="24"/>
        </w:rPr>
        <w:t xml:space="preserve">The appellants claim that what has happened in this case turns proper procedure on its head, creates confusion, and will inevitably lead to </w:t>
      </w:r>
      <w:r w:rsidR="00453E82">
        <w:rPr>
          <w:rFonts w:ascii="Times New Roman" w:hAnsi="Times New Roman"/>
          <w:sz w:val="24"/>
        </w:rPr>
        <w:t>more than one application for discovery. They submit that the reference to “</w:t>
      </w:r>
      <w:r w:rsidR="00453E82" w:rsidRPr="00E21050">
        <w:rPr>
          <w:rFonts w:ascii="Times New Roman" w:hAnsi="Times New Roman"/>
          <w:i/>
          <w:iCs/>
          <w:sz w:val="24"/>
        </w:rPr>
        <w:t>upon such terms as may be just</w:t>
      </w:r>
      <w:r w:rsidR="00453E82">
        <w:rPr>
          <w:rFonts w:ascii="Times New Roman" w:hAnsi="Times New Roman"/>
          <w:sz w:val="24"/>
        </w:rPr>
        <w:t>” in O</w:t>
      </w:r>
      <w:r w:rsidR="00E21050">
        <w:rPr>
          <w:rFonts w:ascii="Times New Roman" w:hAnsi="Times New Roman"/>
          <w:sz w:val="24"/>
        </w:rPr>
        <w:t>.</w:t>
      </w:r>
      <w:r w:rsidR="00453E82">
        <w:rPr>
          <w:rFonts w:ascii="Times New Roman" w:hAnsi="Times New Roman"/>
          <w:sz w:val="24"/>
        </w:rPr>
        <w:t xml:space="preserve"> 50</w:t>
      </w:r>
      <w:r w:rsidR="00E21050">
        <w:rPr>
          <w:rFonts w:ascii="Times New Roman" w:hAnsi="Times New Roman"/>
          <w:sz w:val="24"/>
        </w:rPr>
        <w:t xml:space="preserve">, </w:t>
      </w:r>
      <w:r w:rsidR="00453E82">
        <w:rPr>
          <w:rFonts w:ascii="Times New Roman" w:hAnsi="Times New Roman"/>
          <w:sz w:val="24"/>
        </w:rPr>
        <w:t>r.</w:t>
      </w:r>
      <w:r w:rsidR="00E21050">
        <w:rPr>
          <w:rFonts w:ascii="Times New Roman" w:hAnsi="Times New Roman"/>
          <w:sz w:val="24"/>
        </w:rPr>
        <w:t xml:space="preserve"> </w:t>
      </w:r>
      <w:r w:rsidR="00453E82">
        <w:rPr>
          <w:rFonts w:ascii="Times New Roman" w:hAnsi="Times New Roman"/>
          <w:sz w:val="24"/>
        </w:rPr>
        <w:t>4 means the terms upon which inspection may be carried out, and samples taken, by the applicant,</w:t>
      </w:r>
      <w:r w:rsidR="00E21050">
        <w:rPr>
          <w:rFonts w:ascii="Times New Roman" w:hAnsi="Times New Roman"/>
          <w:sz w:val="24"/>
        </w:rPr>
        <w:t xml:space="preserve"> </w:t>
      </w:r>
      <w:r w:rsidR="00453E82">
        <w:rPr>
          <w:rFonts w:ascii="Times New Roman" w:hAnsi="Times New Roman"/>
          <w:sz w:val="24"/>
        </w:rPr>
        <w:t xml:space="preserve">and typically those terms have been concerned with issues such as date and time </w:t>
      </w:r>
      <w:r w:rsidR="00B03B22">
        <w:rPr>
          <w:rFonts w:ascii="Times New Roman" w:hAnsi="Times New Roman"/>
          <w:sz w:val="24"/>
        </w:rPr>
        <w:t>o</w:t>
      </w:r>
      <w:r w:rsidR="00453E82">
        <w:rPr>
          <w:rFonts w:ascii="Times New Roman" w:hAnsi="Times New Roman"/>
          <w:sz w:val="24"/>
        </w:rPr>
        <w:t>f access, personnel, insurances and the like</w:t>
      </w:r>
      <w:r w:rsidR="005C07E4">
        <w:rPr>
          <w:rFonts w:ascii="Times New Roman" w:hAnsi="Times New Roman"/>
          <w:sz w:val="24"/>
        </w:rPr>
        <w:t xml:space="preserve">, i.e. conditions to be imposed upon the </w:t>
      </w:r>
      <w:r w:rsidR="005C07E4" w:rsidRPr="005C07E4">
        <w:rPr>
          <w:rFonts w:ascii="Times New Roman" w:hAnsi="Times New Roman"/>
          <w:i/>
          <w:sz w:val="24"/>
        </w:rPr>
        <w:lastRenderedPageBreak/>
        <w:t>applicant</w:t>
      </w:r>
      <w:r w:rsidR="005C07E4">
        <w:rPr>
          <w:rFonts w:ascii="Times New Roman" w:hAnsi="Times New Roman"/>
          <w:sz w:val="24"/>
        </w:rPr>
        <w:t xml:space="preserve">. </w:t>
      </w:r>
      <w:r w:rsidR="00B03B22">
        <w:rPr>
          <w:rFonts w:ascii="Times New Roman" w:hAnsi="Times New Roman"/>
          <w:sz w:val="24"/>
        </w:rPr>
        <w:t xml:space="preserve">The obligation to identify locations was not an ancillary order, but the imposition of a further substantive obligation on the </w:t>
      </w:r>
      <w:r w:rsidR="006D32BF">
        <w:rPr>
          <w:rFonts w:ascii="Times New Roman" w:hAnsi="Times New Roman"/>
          <w:sz w:val="24"/>
        </w:rPr>
        <w:t>appellan</w:t>
      </w:r>
      <w:r w:rsidR="00B03B22">
        <w:rPr>
          <w:rFonts w:ascii="Times New Roman" w:hAnsi="Times New Roman"/>
          <w:sz w:val="24"/>
        </w:rPr>
        <w:t>ts which the</w:t>
      </w:r>
      <w:r w:rsidR="006D32BF">
        <w:rPr>
          <w:rFonts w:ascii="Times New Roman" w:hAnsi="Times New Roman"/>
          <w:sz w:val="24"/>
        </w:rPr>
        <w:t xml:space="preserve"> respondents</w:t>
      </w:r>
      <w:r w:rsidR="00B03B22">
        <w:rPr>
          <w:rFonts w:ascii="Times New Roman" w:hAnsi="Times New Roman"/>
          <w:sz w:val="24"/>
        </w:rPr>
        <w:t xml:space="preserve"> did not even seek. </w:t>
      </w:r>
      <w:r w:rsidR="00453E82">
        <w:rPr>
          <w:rFonts w:ascii="Times New Roman" w:hAnsi="Times New Roman"/>
          <w:sz w:val="24"/>
        </w:rPr>
        <w:t xml:space="preserve">The appellants argue that it was no function of the trial judge to </w:t>
      </w:r>
      <w:r w:rsidR="00B03B22">
        <w:rPr>
          <w:rFonts w:ascii="Times New Roman" w:hAnsi="Times New Roman"/>
          <w:sz w:val="24"/>
        </w:rPr>
        <w:t>“</w:t>
      </w:r>
      <w:r w:rsidR="00B03B22" w:rsidRPr="00E21050">
        <w:rPr>
          <w:rFonts w:ascii="Times New Roman" w:hAnsi="Times New Roman"/>
          <w:i/>
          <w:iCs/>
          <w:sz w:val="24"/>
        </w:rPr>
        <w:t>enter the fray</w:t>
      </w:r>
      <w:r w:rsidR="00B03B22">
        <w:rPr>
          <w:rFonts w:ascii="Times New Roman" w:hAnsi="Times New Roman"/>
          <w:sz w:val="24"/>
        </w:rPr>
        <w:t xml:space="preserve">” and </w:t>
      </w:r>
      <w:r w:rsidR="00453E82">
        <w:rPr>
          <w:rFonts w:ascii="Times New Roman" w:hAnsi="Times New Roman"/>
          <w:sz w:val="24"/>
        </w:rPr>
        <w:t>work out the best way to give the resp</w:t>
      </w:r>
      <w:r w:rsidR="00B03B22">
        <w:rPr>
          <w:rFonts w:ascii="Times New Roman" w:hAnsi="Times New Roman"/>
          <w:sz w:val="24"/>
        </w:rPr>
        <w:t>o</w:t>
      </w:r>
      <w:r w:rsidR="00453E82">
        <w:rPr>
          <w:rFonts w:ascii="Times New Roman" w:hAnsi="Times New Roman"/>
          <w:sz w:val="24"/>
        </w:rPr>
        <w:t>ndents the most effective order</w:t>
      </w:r>
      <w:r w:rsidR="00B03B22">
        <w:rPr>
          <w:rFonts w:ascii="Times New Roman" w:hAnsi="Times New Roman"/>
          <w:sz w:val="24"/>
        </w:rPr>
        <w:t>, and</w:t>
      </w:r>
      <w:r w:rsidR="006D32BF">
        <w:rPr>
          <w:rFonts w:ascii="Times New Roman" w:hAnsi="Times New Roman"/>
          <w:sz w:val="24"/>
        </w:rPr>
        <w:t xml:space="preserve"> then </w:t>
      </w:r>
      <w:r w:rsidR="00B03B22">
        <w:rPr>
          <w:rFonts w:ascii="Times New Roman" w:hAnsi="Times New Roman"/>
          <w:sz w:val="24"/>
        </w:rPr>
        <w:t>provide them with such relief</w:t>
      </w:r>
      <w:r w:rsidR="006D32BF">
        <w:rPr>
          <w:rFonts w:ascii="Times New Roman" w:hAnsi="Times New Roman"/>
          <w:sz w:val="24"/>
        </w:rPr>
        <w:t>. Moreover, the appellants submit, that even if sought by the respondents, O</w:t>
      </w:r>
      <w:r w:rsidR="00E21050">
        <w:rPr>
          <w:rFonts w:ascii="Times New Roman" w:hAnsi="Times New Roman"/>
          <w:sz w:val="24"/>
        </w:rPr>
        <w:t>.</w:t>
      </w:r>
      <w:r w:rsidR="006D32BF">
        <w:rPr>
          <w:rFonts w:ascii="Times New Roman" w:hAnsi="Times New Roman"/>
          <w:sz w:val="24"/>
        </w:rPr>
        <w:t xml:space="preserve"> 50, r.</w:t>
      </w:r>
      <w:r w:rsidR="00E21050">
        <w:rPr>
          <w:rFonts w:ascii="Times New Roman" w:hAnsi="Times New Roman"/>
          <w:sz w:val="24"/>
        </w:rPr>
        <w:t xml:space="preserve"> </w:t>
      </w:r>
      <w:r w:rsidR="006D32BF">
        <w:rPr>
          <w:rFonts w:ascii="Times New Roman" w:hAnsi="Times New Roman"/>
          <w:sz w:val="24"/>
        </w:rPr>
        <w:t xml:space="preserve">4 does not authorise the </w:t>
      </w:r>
      <w:r w:rsidR="00E21050">
        <w:rPr>
          <w:rFonts w:ascii="Times New Roman" w:hAnsi="Times New Roman"/>
          <w:sz w:val="24"/>
        </w:rPr>
        <w:t>c</w:t>
      </w:r>
      <w:r w:rsidR="006D32BF">
        <w:rPr>
          <w:rFonts w:ascii="Times New Roman" w:hAnsi="Times New Roman"/>
          <w:sz w:val="24"/>
        </w:rPr>
        <w:t>ourt to make an order such as was made by the trial judge in this case.</w:t>
      </w:r>
    </w:p>
    <w:p w14:paraId="66A93F27" w14:textId="07E889F9" w:rsidR="00F82561" w:rsidRDefault="00B9022C"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discussion with the </w:t>
      </w:r>
      <w:r w:rsidR="003976F6">
        <w:rPr>
          <w:rFonts w:ascii="Times New Roman" w:hAnsi="Times New Roman"/>
          <w:sz w:val="24"/>
        </w:rPr>
        <w:t>C</w:t>
      </w:r>
      <w:r>
        <w:rPr>
          <w:rFonts w:ascii="Times New Roman" w:hAnsi="Times New Roman"/>
          <w:sz w:val="24"/>
        </w:rPr>
        <w:t>ourt, counsel for the appellants accepted</w:t>
      </w:r>
      <w:r w:rsidR="006D32BF">
        <w:rPr>
          <w:rFonts w:ascii="Times New Roman" w:hAnsi="Times New Roman"/>
          <w:sz w:val="24"/>
        </w:rPr>
        <w:t xml:space="preserve"> that in exceptional circumstances, and provided it was sought by an applicant, the </w:t>
      </w:r>
      <w:r w:rsidR="00E21050">
        <w:rPr>
          <w:rFonts w:ascii="Times New Roman" w:hAnsi="Times New Roman"/>
          <w:sz w:val="24"/>
        </w:rPr>
        <w:t>c</w:t>
      </w:r>
      <w:r w:rsidR="006D32BF">
        <w:rPr>
          <w:rFonts w:ascii="Times New Roman" w:hAnsi="Times New Roman"/>
          <w:sz w:val="24"/>
        </w:rPr>
        <w:t xml:space="preserve">ourt might have power to direct production of a particular map or drawing. Such an inference might be drawn from the decision in </w:t>
      </w:r>
      <w:r w:rsidR="006D32BF" w:rsidRPr="0039542D">
        <w:rPr>
          <w:rFonts w:ascii="Times New Roman" w:hAnsi="Times New Roman"/>
          <w:i/>
          <w:sz w:val="24"/>
        </w:rPr>
        <w:t>Bula</w:t>
      </w:r>
      <w:r w:rsidR="006D32BF">
        <w:rPr>
          <w:rFonts w:ascii="Times New Roman" w:hAnsi="Times New Roman"/>
          <w:sz w:val="24"/>
        </w:rPr>
        <w:t>.</w:t>
      </w:r>
      <w:r>
        <w:rPr>
          <w:rFonts w:ascii="Times New Roman" w:hAnsi="Times New Roman"/>
          <w:sz w:val="24"/>
        </w:rPr>
        <w:t xml:space="preserve"> </w:t>
      </w:r>
      <w:r w:rsidR="0039542D">
        <w:rPr>
          <w:rFonts w:ascii="Times New Roman" w:hAnsi="Times New Roman"/>
          <w:sz w:val="24"/>
        </w:rPr>
        <w:t xml:space="preserve">However, that power could never extend to a whole category of documents such as should more properly be the subject of an application for discovery. In this case, what is involved is large volumes of documentation generated over a period of </w:t>
      </w:r>
      <w:r w:rsidR="003976F6">
        <w:rPr>
          <w:rFonts w:ascii="Times New Roman" w:hAnsi="Times New Roman"/>
          <w:sz w:val="24"/>
        </w:rPr>
        <w:t>several</w:t>
      </w:r>
      <w:r w:rsidR="0039542D">
        <w:rPr>
          <w:rFonts w:ascii="Times New Roman" w:hAnsi="Times New Roman"/>
          <w:sz w:val="24"/>
        </w:rPr>
        <w:t xml:space="preserve"> years.</w:t>
      </w:r>
      <w:r>
        <w:rPr>
          <w:rFonts w:ascii="Times New Roman" w:hAnsi="Times New Roman"/>
          <w:sz w:val="24"/>
        </w:rPr>
        <w:t xml:space="preserve"> </w:t>
      </w:r>
    </w:p>
    <w:p w14:paraId="15B1435F" w14:textId="43034EFC" w:rsidR="00C9179E" w:rsidRDefault="00B9022C"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Nonetheless, </w:t>
      </w:r>
      <w:r w:rsidR="00F82561">
        <w:rPr>
          <w:rFonts w:ascii="Times New Roman" w:hAnsi="Times New Roman"/>
          <w:sz w:val="24"/>
        </w:rPr>
        <w:t xml:space="preserve">putting aside for one moment whether or not it is expressly sought by the motion, </w:t>
      </w:r>
      <w:r>
        <w:rPr>
          <w:rFonts w:ascii="Times New Roman" w:hAnsi="Times New Roman"/>
          <w:sz w:val="24"/>
        </w:rPr>
        <w:t xml:space="preserve">if it is the case that the court has jurisdiction to direct the provision of at least </w:t>
      </w:r>
      <w:r w:rsidR="00F82561">
        <w:rPr>
          <w:rFonts w:ascii="Times New Roman" w:hAnsi="Times New Roman"/>
          <w:sz w:val="24"/>
        </w:rPr>
        <w:t>some</w:t>
      </w:r>
      <w:r>
        <w:rPr>
          <w:rFonts w:ascii="Times New Roman" w:hAnsi="Times New Roman"/>
          <w:sz w:val="24"/>
        </w:rPr>
        <w:t xml:space="preserve"> information or documentation in aid of the order for inspection</w:t>
      </w:r>
      <w:r w:rsidR="00F82561">
        <w:rPr>
          <w:rFonts w:ascii="Times New Roman" w:hAnsi="Times New Roman"/>
          <w:sz w:val="24"/>
        </w:rPr>
        <w:t>,</w:t>
      </w:r>
      <w:r>
        <w:rPr>
          <w:rFonts w:ascii="Times New Roman" w:hAnsi="Times New Roman"/>
          <w:sz w:val="24"/>
        </w:rPr>
        <w:t xml:space="preserve"> that establishes the jurisdiction of the court to make such an order as a matter of principle</w:t>
      </w:r>
      <w:r w:rsidR="00F82561">
        <w:rPr>
          <w:rFonts w:ascii="Times New Roman" w:hAnsi="Times New Roman"/>
          <w:sz w:val="24"/>
        </w:rPr>
        <w:t>,</w:t>
      </w:r>
      <w:r>
        <w:rPr>
          <w:rFonts w:ascii="Times New Roman" w:hAnsi="Times New Roman"/>
          <w:sz w:val="24"/>
        </w:rPr>
        <w:t xml:space="preserve"> and thereafter, in any given case, what is at issue is a matter of degree. </w:t>
      </w:r>
      <w:r w:rsidR="00DB7159">
        <w:rPr>
          <w:rFonts w:ascii="Times New Roman" w:hAnsi="Times New Roman"/>
          <w:sz w:val="24"/>
        </w:rPr>
        <w:t>I agree with the conclusion of the trial judge, expressed at para.</w:t>
      </w:r>
      <w:r w:rsidR="00E21050">
        <w:rPr>
          <w:rFonts w:ascii="Times New Roman" w:hAnsi="Times New Roman"/>
          <w:sz w:val="24"/>
        </w:rPr>
        <w:t xml:space="preserve"> </w:t>
      </w:r>
      <w:r w:rsidR="00DB7159">
        <w:rPr>
          <w:rFonts w:ascii="Times New Roman" w:hAnsi="Times New Roman"/>
          <w:sz w:val="24"/>
        </w:rPr>
        <w:t xml:space="preserve">22 of her judgment that </w:t>
      </w:r>
      <w:r w:rsidR="00DB7159" w:rsidRPr="00E21050">
        <w:rPr>
          <w:rFonts w:ascii="Times New Roman" w:hAnsi="Times New Roman"/>
          <w:iCs/>
          <w:sz w:val="24"/>
        </w:rPr>
        <w:t>“</w:t>
      </w:r>
      <w:r w:rsidR="00DB7159" w:rsidRPr="00DB7159">
        <w:rPr>
          <w:rFonts w:ascii="Times New Roman" w:hAnsi="Times New Roman"/>
          <w:i/>
          <w:sz w:val="24"/>
        </w:rPr>
        <w:t>intrinsic to its power to order inspection and sampling, pursuant to O.</w:t>
      </w:r>
      <w:r w:rsidR="00E21050">
        <w:rPr>
          <w:rFonts w:ascii="Times New Roman" w:hAnsi="Times New Roman"/>
          <w:i/>
          <w:sz w:val="24"/>
        </w:rPr>
        <w:t xml:space="preserve"> </w:t>
      </w:r>
      <w:r w:rsidR="00DB7159" w:rsidRPr="00DB7159">
        <w:rPr>
          <w:rFonts w:ascii="Times New Roman" w:hAnsi="Times New Roman"/>
          <w:i/>
          <w:sz w:val="24"/>
        </w:rPr>
        <w:t>50,</w:t>
      </w:r>
      <w:r w:rsidR="008254CC">
        <w:rPr>
          <w:rFonts w:ascii="Times New Roman" w:hAnsi="Times New Roman"/>
          <w:i/>
          <w:sz w:val="24"/>
        </w:rPr>
        <w:t xml:space="preserve"> </w:t>
      </w:r>
      <w:r w:rsidR="00DB7159" w:rsidRPr="00DB7159">
        <w:rPr>
          <w:rFonts w:ascii="Times New Roman" w:hAnsi="Times New Roman"/>
          <w:i/>
          <w:sz w:val="24"/>
        </w:rPr>
        <w:t>r.</w:t>
      </w:r>
      <w:r w:rsidR="00E21050">
        <w:rPr>
          <w:rFonts w:ascii="Times New Roman" w:hAnsi="Times New Roman"/>
          <w:i/>
          <w:sz w:val="24"/>
        </w:rPr>
        <w:t xml:space="preserve"> </w:t>
      </w:r>
      <w:r w:rsidR="00DB7159" w:rsidRPr="00DB7159">
        <w:rPr>
          <w:rFonts w:ascii="Times New Roman" w:hAnsi="Times New Roman"/>
          <w:i/>
          <w:sz w:val="24"/>
        </w:rPr>
        <w:t>4, is the power to make orders to give effect to that inspection order</w:t>
      </w:r>
      <w:r w:rsidR="00DB7159" w:rsidRPr="00E21050">
        <w:rPr>
          <w:rFonts w:ascii="Times New Roman" w:hAnsi="Times New Roman"/>
          <w:i/>
          <w:iCs/>
          <w:sz w:val="24"/>
        </w:rPr>
        <w:t>.</w:t>
      </w:r>
      <w:r w:rsidR="00DB7159">
        <w:rPr>
          <w:rFonts w:ascii="Times New Roman" w:hAnsi="Times New Roman"/>
          <w:sz w:val="24"/>
        </w:rPr>
        <w:t>”</w:t>
      </w:r>
      <w:r w:rsidR="006E196F">
        <w:rPr>
          <w:rFonts w:ascii="Times New Roman" w:hAnsi="Times New Roman"/>
          <w:sz w:val="24"/>
        </w:rPr>
        <w:t xml:space="preserve"> </w:t>
      </w:r>
      <w:r w:rsidR="003736A4">
        <w:rPr>
          <w:rFonts w:ascii="Times New Roman" w:hAnsi="Times New Roman"/>
          <w:sz w:val="24"/>
        </w:rPr>
        <w:t>In arriving at this conclusion the trial</w:t>
      </w:r>
      <w:r w:rsidR="00E21050">
        <w:rPr>
          <w:rFonts w:ascii="Times New Roman" w:hAnsi="Times New Roman"/>
          <w:sz w:val="24"/>
        </w:rPr>
        <w:t xml:space="preserve"> j</w:t>
      </w:r>
      <w:r w:rsidR="003736A4">
        <w:rPr>
          <w:rFonts w:ascii="Times New Roman" w:hAnsi="Times New Roman"/>
          <w:sz w:val="24"/>
        </w:rPr>
        <w:t>udge had regard to the fact that such an order would achieve several objectives, all of which have been mentioned in the authorities above as forming the rationale for the rule, i.e.</w:t>
      </w:r>
      <w:r w:rsidR="00C9179E" w:rsidRPr="00C9179E">
        <w:rPr>
          <w:rFonts w:ascii="Times New Roman" w:hAnsi="Times New Roman"/>
          <w:sz w:val="24"/>
        </w:rPr>
        <w:t xml:space="preserve"> </w:t>
      </w:r>
      <w:r w:rsidR="00C9179E" w:rsidRPr="00E21050">
        <w:rPr>
          <w:rFonts w:ascii="Times New Roman" w:hAnsi="Times New Roman"/>
          <w:i/>
          <w:iCs/>
          <w:sz w:val="24"/>
        </w:rPr>
        <w:t xml:space="preserve">“…the interest of justice, the avoidance of unnecessary costs, the efficient use of the resources of the court and the </w:t>
      </w:r>
      <w:r w:rsidR="00C9179E" w:rsidRPr="00E21050">
        <w:rPr>
          <w:rFonts w:ascii="Times New Roman" w:hAnsi="Times New Roman"/>
          <w:i/>
          <w:iCs/>
          <w:sz w:val="24"/>
        </w:rPr>
        <w:lastRenderedPageBreak/>
        <w:t>vindication of the plaintiffs’ right of access to the court</w:t>
      </w:r>
      <w:r w:rsidR="00C9179E">
        <w:rPr>
          <w:rFonts w:ascii="Times New Roman" w:hAnsi="Times New Roman"/>
          <w:sz w:val="24"/>
        </w:rPr>
        <w:t xml:space="preserve">” as well as the other factors referred to by the trial </w:t>
      </w:r>
      <w:r w:rsidR="00E21050">
        <w:rPr>
          <w:rFonts w:ascii="Times New Roman" w:hAnsi="Times New Roman"/>
          <w:sz w:val="24"/>
        </w:rPr>
        <w:t>ju</w:t>
      </w:r>
      <w:r w:rsidR="00C9179E">
        <w:rPr>
          <w:rFonts w:ascii="Times New Roman" w:hAnsi="Times New Roman"/>
          <w:sz w:val="24"/>
        </w:rPr>
        <w:t>dge quoted above at para. 6</w:t>
      </w:r>
      <w:r w:rsidR="00C857B7">
        <w:rPr>
          <w:rFonts w:ascii="Times New Roman" w:hAnsi="Times New Roman"/>
          <w:sz w:val="24"/>
        </w:rPr>
        <w:t>2</w:t>
      </w:r>
      <w:r w:rsidR="00C9179E">
        <w:rPr>
          <w:rFonts w:ascii="Times New Roman" w:hAnsi="Times New Roman"/>
          <w:sz w:val="24"/>
        </w:rPr>
        <w:t xml:space="preserve">. So it is fair to say that the trial </w:t>
      </w:r>
      <w:r w:rsidR="00E21050">
        <w:rPr>
          <w:rFonts w:ascii="Times New Roman" w:hAnsi="Times New Roman"/>
          <w:sz w:val="24"/>
        </w:rPr>
        <w:t>j</w:t>
      </w:r>
      <w:r w:rsidR="00C9179E">
        <w:rPr>
          <w:rFonts w:ascii="Times New Roman" w:hAnsi="Times New Roman"/>
          <w:sz w:val="24"/>
        </w:rPr>
        <w:t>udge based her decision on this issue on well</w:t>
      </w:r>
      <w:r w:rsidR="00E21050">
        <w:rPr>
          <w:rFonts w:ascii="Times New Roman" w:hAnsi="Times New Roman"/>
          <w:sz w:val="24"/>
        </w:rPr>
        <w:t>-</w:t>
      </w:r>
      <w:r w:rsidR="00C9179E">
        <w:rPr>
          <w:rFonts w:ascii="Times New Roman" w:hAnsi="Times New Roman"/>
          <w:sz w:val="24"/>
        </w:rPr>
        <w:t>established principles relat</w:t>
      </w:r>
      <w:r w:rsidR="002E3B3A">
        <w:rPr>
          <w:rFonts w:ascii="Times New Roman" w:hAnsi="Times New Roman"/>
          <w:sz w:val="24"/>
        </w:rPr>
        <w:t>ing</w:t>
      </w:r>
      <w:r w:rsidR="00C9179E">
        <w:rPr>
          <w:rFonts w:ascii="Times New Roman" w:hAnsi="Times New Roman"/>
          <w:sz w:val="24"/>
        </w:rPr>
        <w:t xml:space="preserve"> to </w:t>
      </w:r>
      <w:r w:rsidR="002E3B3A">
        <w:rPr>
          <w:rFonts w:ascii="Times New Roman" w:hAnsi="Times New Roman"/>
          <w:sz w:val="24"/>
        </w:rPr>
        <w:t xml:space="preserve">the application of </w:t>
      </w:r>
      <w:r w:rsidR="00C9179E">
        <w:rPr>
          <w:rFonts w:ascii="Times New Roman" w:hAnsi="Times New Roman"/>
          <w:sz w:val="24"/>
        </w:rPr>
        <w:t>O</w:t>
      </w:r>
      <w:r w:rsidR="00E21050">
        <w:rPr>
          <w:rFonts w:ascii="Times New Roman" w:hAnsi="Times New Roman"/>
          <w:sz w:val="24"/>
        </w:rPr>
        <w:t>.</w:t>
      </w:r>
      <w:r w:rsidR="00C9179E">
        <w:rPr>
          <w:rFonts w:ascii="Times New Roman" w:hAnsi="Times New Roman"/>
          <w:sz w:val="24"/>
        </w:rPr>
        <w:t xml:space="preserve"> 50, r.</w:t>
      </w:r>
      <w:r w:rsidR="00E21050">
        <w:rPr>
          <w:rFonts w:ascii="Times New Roman" w:hAnsi="Times New Roman"/>
          <w:sz w:val="24"/>
        </w:rPr>
        <w:t xml:space="preserve"> </w:t>
      </w:r>
      <w:r w:rsidR="00C9179E">
        <w:rPr>
          <w:rFonts w:ascii="Times New Roman" w:hAnsi="Times New Roman"/>
          <w:sz w:val="24"/>
        </w:rPr>
        <w:t>4.</w:t>
      </w:r>
      <w:r w:rsidR="00C641DE">
        <w:rPr>
          <w:rFonts w:ascii="Times New Roman" w:hAnsi="Times New Roman"/>
          <w:sz w:val="24"/>
        </w:rPr>
        <w:t xml:space="preserve"> </w:t>
      </w:r>
    </w:p>
    <w:p w14:paraId="3F530226" w14:textId="2DF6F80A" w:rsidR="00D82CEE" w:rsidRDefault="00C9179E"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w:t>
      </w:r>
      <w:r w:rsidR="00E21050">
        <w:rPr>
          <w:rFonts w:ascii="Times New Roman" w:hAnsi="Times New Roman"/>
          <w:sz w:val="24"/>
        </w:rPr>
        <w:t>j</w:t>
      </w:r>
      <w:r>
        <w:rPr>
          <w:rFonts w:ascii="Times New Roman" w:hAnsi="Times New Roman"/>
          <w:sz w:val="24"/>
        </w:rPr>
        <w:t>udge stated expressly that she was directing Roadstone to identify the relevant locations in its quarries in order to “</w:t>
      </w:r>
      <w:r w:rsidRPr="00E21050">
        <w:rPr>
          <w:rFonts w:ascii="Times New Roman" w:hAnsi="Times New Roman"/>
          <w:i/>
          <w:iCs/>
          <w:sz w:val="24"/>
        </w:rPr>
        <w:t>give effect to</w:t>
      </w:r>
      <w:r>
        <w:rPr>
          <w:rFonts w:ascii="Times New Roman" w:hAnsi="Times New Roman"/>
          <w:sz w:val="24"/>
        </w:rPr>
        <w:t xml:space="preserve">” the order for inspection. </w:t>
      </w:r>
      <w:r w:rsidR="006E196F">
        <w:rPr>
          <w:rFonts w:ascii="Times New Roman" w:hAnsi="Times New Roman"/>
          <w:sz w:val="24"/>
        </w:rPr>
        <w:t>For much the same reason that the courts will avoid making orders with which compliance is not possible, it is surely desirable that the court should not make orders which, for one reason or another are unlikely to be effective.</w:t>
      </w:r>
      <w:r w:rsidR="00CD572B">
        <w:rPr>
          <w:rFonts w:ascii="Times New Roman" w:hAnsi="Times New Roman"/>
          <w:sz w:val="24"/>
        </w:rPr>
        <w:t xml:space="preserve"> Faced</w:t>
      </w:r>
      <w:r w:rsidR="0031159C">
        <w:rPr>
          <w:rFonts w:ascii="Times New Roman" w:hAnsi="Times New Roman"/>
          <w:sz w:val="24"/>
        </w:rPr>
        <w:t xml:space="preserve"> with such</w:t>
      </w:r>
      <w:r w:rsidR="00CD572B">
        <w:rPr>
          <w:rFonts w:ascii="Times New Roman" w:hAnsi="Times New Roman"/>
          <w:sz w:val="24"/>
        </w:rPr>
        <w:t xml:space="preserve"> </w:t>
      </w:r>
      <w:r w:rsidR="003C5A10">
        <w:rPr>
          <w:rFonts w:ascii="Times New Roman" w:hAnsi="Times New Roman"/>
          <w:sz w:val="24"/>
        </w:rPr>
        <w:t xml:space="preserve">a </w:t>
      </w:r>
      <w:r w:rsidR="00CD572B">
        <w:rPr>
          <w:rFonts w:ascii="Times New Roman" w:hAnsi="Times New Roman"/>
          <w:sz w:val="24"/>
        </w:rPr>
        <w:t>possibility</w:t>
      </w:r>
      <w:r w:rsidR="0031159C">
        <w:rPr>
          <w:rFonts w:ascii="Times New Roman" w:hAnsi="Times New Roman"/>
          <w:sz w:val="24"/>
        </w:rPr>
        <w:t>,</w:t>
      </w:r>
      <w:r w:rsidR="003C5A10">
        <w:rPr>
          <w:rFonts w:ascii="Times New Roman" w:hAnsi="Times New Roman"/>
          <w:sz w:val="24"/>
        </w:rPr>
        <w:t xml:space="preserve"> </w:t>
      </w:r>
      <w:r>
        <w:rPr>
          <w:rFonts w:ascii="Times New Roman" w:hAnsi="Times New Roman"/>
          <w:sz w:val="24"/>
        </w:rPr>
        <w:t xml:space="preserve">and having found that </w:t>
      </w:r>
      <w:r w:rsidR="003C5A10">
        <w:rPr>
          <w:rFonts w:ascii="Times New Roman" w:hAnsi="Times New Roman"/>
          <w:sz w:val="24"/>
        </w:rPr>
        <w:t xml:space="preserve">it </w:t>
      </w:r>
      <w:r>
        <w:rPr>
          <w:rFonts w:ascii="Times New Roman" w:hAnsi="Times New Roman"/>
          <w:sz w:val="24"/>
        </w:rPr>
        <w:t>was</w:t>
      </w:r>
      <w:r w:rsidR="000900A6">
        <w:rPr>
          <w:rFonts w:ascii="Times New Roman" w:hAnsi="Times New Roman"/>
          <w:sz w:val="24"/>
        </w:rPr>
        <w:t xml:space="preserve"> possible for Roadstone to identify the relevant locations, it was in my view </w:t>
      </w:r>
      <w:r w:rsidR="003C5A10">
        <w:rPr>
          <w:rFonts w:ascii="Times New Roman" w:hAnsi="Times New Roman"/>
          <w:sz w:val="24"/>
        </w:rPr>
        <w:t>reasonable and within the jurisdiction of the court to fashion its order in such a way as to maximise its effectiveness.</w:t>
      </w:r>
      <w:r w:rsidR="00C641DE">
        <w:rPr>
          <w:rFonts w:ascii="Times New Roman" w:hAnsi="Times New Roman"/>
          <w:sz w:val="24"/>
        </w:rPr>
        <w:t xml:space="preserve"> </w:t>
      </w:r>
      <w:r w:rsidR="00DF2489">
        <w:rPr>
          <w:rFonts w:ascii="Times New Roman" w:hAnsi="Times New Roman"/>
          <w:sz w:val="24"/>
        </w:rPr>
        <w:t>T</w:t>
      </w:r>
      <w:r w:rsidR="00C641DE">
        <w:rPr>
          <w:rFonts w:ascii="Times New Roman" w:hAnsi="Times New Roman"/>
          <w:sz w:val="24"/>
        </w:rPr>
        <w:t>h</w:t>
      </w:r>
      <w:r w:rsidR="00DF2489">
        <w:rPr>
          <w:rFonts w:ascii="Times New Roman" w:hAnsi="Times New Roman"/>
          <w:sz w:val="24"/>
        </w:rPr>
        <w:t>e</w:t>
      </w:r>
      <w:r w:rsidR="00C641DE">
        <w:rPr>
          <w:rFonts w:ascii="Times New Roman" w:hAnsi="Times New Roman"/>
          <w:sz w:val="24"/>
        </w:rPr>
        <w:t xml:space="preserve"> appellants </w:t>
      </w:r>
      <w:r w:rsidR="00E706C0">
        <w:rPr>
          <w:rFonts w:ascii="Times New Roman" w:hAnsi="Times New Roman"/>
          <w:sz w:val="24"/>
        </w:rPr>
        <w:t xml:space="preserve">submit </w:t>
      </w:r>
      <w:r w:rsidR="00C641DE">
        <w:rPr>
          <w:rFonts w:ascii="Times New Roman" w:hAnsi="Times New Roman"/>
          <w:sz w:val="24"/>
        </w:rPr>
        <w:t xml:space="preserve">that the passage cited by the trial </w:t>
      </w:r>
      <w:r w:rsidR="00E21050">
        <w:rPr>
          <w:rFonts w:ascii="Times New Roman" w:hAnsi="Times New Roman"/>
          <w:sz w:val="24"/>
        </w:rPr>
        <w:t>j</w:t>
      </w:r>
      <w:r w:rsidR="00C641DE">
        <w:rPr>
          <w:rFonts w:ascii="Times New Roman" w:hAnsi="Times New Roman"/>
          <w:sz w:val="24"/>
        </w:rPr>
        <w:t>udge from</w:t>
      </w:r>
      <w:r w:rsidR="00DE1968">
        <w:rPr>
          <w:rFonts w:ascii="Times New Roman" w:hAnsi="Times New Roman"/>
          <w:sz w:val="24"/>
        </w:rPr>
        <w:t xml:space="preserve"> </w:t>
      </w:r>
      <w:r w:rsidR="00914228" w:rsidRPr="008157E5">
        <w:rPr>
          <w:rFonts w:ascii="Times New Roman" w:hAnsi="Times New Roman"/>
          <w:i/>
          <w:sz w:val="24"/>
        </w:rPr>
        <w:t>Evans Deacon Pty Ltd</w:t>
      </w:r>
      <w:r w:rsidR="00E21050">
        <w:rPr>
          <w:rFonts w:ascii="Times New Roman" w:hAnsi="Times New Roman"/>
          <w:i/>
          <w:sz w:val="24"/>
        </w:rPr>
        <w:t>.</w:t>
      </w:r>
      <w:r w:rsidR="00914228" w:rsidRPr="008157E5">
        <w:rPr>
          <w:rFonts w:ascii="Times New Roman" w:hAnsi="Times New Roman"/>
          <w:i/>
          <w:sz w:val="24"/>
        </w:rPr>
        <w:t xml:space="preserve"> v</w:t>
      </w:r>
      <w:r w:rsidR="00E21050">
        <w:rPr>
          <w:rFonts w:ascii="Times New Roman" w:hAnsi="Times New Roman"/>
          <w:i/>
          <w:sz w:val="24"/>
        </w:rPr>
        <w:t>.</w:t>
      </w:r>
      <w:r w:rsidR="00914228" w:rsidRPr="008157E5">
        <w:rPr>
          <w:rFonts w:ascii="Times New Roman" w:hAnsi="Times New Roman"/>
          <w:i/>
          <w:sz w:val="24"/>
        </w:rPr>
        <w:t xml:space="preserve"> </w:t>
      </w:r>
      <w:proofErr w:type="spellStart"/>
      <w:r w:rsidR="00914228" w:rsidRPr="008157E5">
        <w:rPr>
          <w:rFonts w:ascii="Times New Roman" w:hAnsi="Times New Roman"/>
          <w:i/>
          <w:sz w:val="24"/>
        </w:rPr>
        <w:t>Orekinetics</w:t>
      </w:r>
      <w:proofErr w:type="spellEnd"/>
      <w:r w:rsidR="00914228" w:rsidRPr="008157E5">
        <w:rPr>
          <w:rFonts w:ascii="Times New Roman" w:hAnsi="Times New Roman"/>
          <w:i/>
          <w:sz w:val="24"/>
        </w:rPr>
        <w:t xml:space="preserve"> Ltd</w:t>
      </w:r>
      <w:r w:rsidR="00E21050">
        <w:rPr>
          <w:rFonts w:ascii="Times New Roman" w:hAnsi="Times New Roman"/>
          <w:i/>
          <w:sz w:val="24"/>
        </w:rPr>
        <w:t>.</w:t>
      </w:r>
      <w:r w:rsidR="00914228">
        <w:rPr>
          <w:rFonts w:ascii="Times New Roman" w:hAnsi="Times New Roman"/>
          <w:sz w:val="24"/>
        </w:rPr>
        <w:t xml:space="preserve"> </w:t>
      </w:r>
      <w:r w:rsidR="00C641DE">
        <w:rPr>
          <w:rFonts w:ascii="Times New Roman" w:hAnsi="Times New Roman"/>
          <w:sz w:val="24"/>
        </w:rPr>
        <w:t>(</w:t>
      </w:r>
      <w:r w:rsidR="00914228">
        <w:rPr>
          <w:rFonts w:ascii="Times New Roman" w:hAnsi="Times New Roman"/>
          <w:sz w:val="24"/>
        </w:rPr>
        <w:t>as cited by</w:t>
      </w:r>
      <w:r w:rsidR="00C641DE">
        <w:rPr>
          <w:rFonts w:ascii="Times New Roman" w:hAnsi="Times New Roman"/>
          <w:sz w:val="24"/>
        </w:rPr>
        <w:t xml:space="preserve"> Kenneth </w:t>
      </w:r>
      <w:r w:rsidR="00DE1968">
        <w:rPr>
          <w:rFonts w:ascii="Times New Roman" w:hAnsi="Times New Roman"/>
          <w:sz w:val="24"/>
        </w:rPr>
        <w:t>Martin J. in</w:t>
      </w:r>
      <w:r w:rsidR="00DE1968" w:rsidRPr="00DE1968">
        <w:rPr>
          <w:rFonts w:ascii="Times New Roman" w:hAnsi="Times New Roman"/>
          <w:i/>
          <w:sz w:val="24"/>
        </w:rPr>
        <w:t xml:space="preserve"> </w:t>
      </w:r>
      <w:r w:rsidR="00DE1968" w:rsidRPr="008157E5">
        <w:rPr>
          <w:rFonts w:ascii="Times New Roman" w:hAnsi="Times New Roman"/>
          <w:i/>
          <w:sz w:val="24"/>
        </w:rPr>
        <w:t>Process Minerals International Pty Ltd</w:t>
      </w:r>
      <w:r w:rsidR="00E21050">
        <w:rPr>
          <w:rFonts w:ascii="Times New Roman" w:hAnsi="Times New Roman"/>
          <w:i/>
          <w:sz w:val="24"/>
        </w:rPr>
        <w:t>.</w:t>
      </w:r>
      <w:r w:rsidR="00DE1968" w:rsidRPr="008157E5">
        <w:rPr>
          <w:rFonts w:ascii="Times New Roman" w:hAnsi="Times New Roman"/>
          <w:i/>
          <w:sz w:val="24"/>
        </w:rPr>
        <w:t xml:space="preserve"> v</w:t>
      </w:r>
      <w:r w:rsidR="00E21050">
        <w:rPr>
          <w:rFonts w:ascii="Times New Roman" w:hAnsi="Times New Roman"/>
          <w:i/>
          <w:sz w:val="24"/>
        </w:rPr>
        <w:t>.</w:t>
      </w:r>
      <w:r w:rsidR="00DE1968" w:rsidRPr="008157E5">
        <w:rPr>
          <w:rFonts w:ascii="Times New Roman" w:hAnsi="Times New Roman"/>
          <w:i/>
          <w:sz w:val="24"/>
        </w:rPr>
        <w:t xml:space="preserve"> Consolidated Minerals Pty Ltd</w:t>
      </w:r>
      <w:r w:rsidR="00E21050">
        <w:rPr>
          <w:rFonts w:ascii="Times New Roman" w:hAnsi="Times New Roman"/>
          <w:i/>
          <w:sz w:val="24"/>
        </w:rPr>
        <w:t>.</w:t>
      </w:r>
      <w:r w:rsidR="00C641DE" w:rsidRPr="00C641DE">
        <w:rPr>
          <w:rFonts w:ascii="Times New Roman" w:hAnsi="Times New Roman"/>
          <w:sz w:val="24"/>
        </w:rPr>
        <w:t>)</w:t>
      </w:r>
      <w:r w:rsidR="00C641DE">
        <w:rPr>
          <w:rFonts w:ascii="Times New Roman" w:hAnsi="Times New Roman"/>
          <w:i/>
          <w:sz w:val="24"/>
        </w:rPr>
        <w:t xml:space="preserve"> </w:t>
      </w:r>
      <w:r w:rsidR="00C641DE">
        <w:rPr>
          <w:rFonts w:ascii="Times New Roman" w:hAnsi="Times New Roman"/>
          <w:sz w:val="24"/>
        </w:rPr>
        <w:t xml:space="preserve">is not clear authority for the proposition that the </w:t>
      </w:r>
      <w:r w:rsidR="00E21050">
        <w:rPr>
          <w:rFonts w:ascii="Times New Roman" w:hAnsi="Times New Roman"/>
          <w:sz w:val="24"/>
        </w:rPr>
        <w:t>c</w:t>
      </w:r>
      <w:r w:rsidR="00C641DE">
        <w:rPr>
          <w:rFonts w:ascii="Times New Roman" w:hAnsi="Times New Roman"/>
          <w:sz w:val="24"/>
        </w:rPr>
        <w:t xml:space="preserve">ourt has jurisdiction to make ancillary orders of the sort made by the trial </w:t>
      </w:r>
      <w:r w:rsidR="00E21050">
        <w:rPr>
          <w:rFonts w:ascii="Times New Roman" w:hAnsi="Times New Roman"/>
          <w:sz w:val="24"/>
        </w:rPr>
        <w:t>j</w:t>
      </w:r>
      <w:r w:rsidR="00C641DE">
        <w:rPr>
          <w:rFonts w:ascii="Times New Roman" w:hAnsi="Times New Roman"/>
          <w:sz w:val="24"/>
        </w:rPr>
        <w:t>udge in this case</w:t>
      </w:r>
      <w:r w:rsidR="00E706C0">
        <w:rPr>
          <w:rFonts w:ascii="Times New Roman" w:hAnsi="Times New Roman"/>
          <w:sz w:val="24"/>
        </w:rPr>
        <w:t>. That may well be so, although it is of some interest to note that in that case Kenneth Martin J</w:t>
      </w:r>
      <w:r w:rsidR="00D53DB5">
        <w:rPr>
          <w:rFonts w:ascii="Times New Roman" w:hAnsi="Times New Roman"/>
          <w:sz w:val="24"/>
        </w:rPr>
        <w:t>.</w:t>
      </w:r>
      <w:r w:rsidR="00E706C0">
        <w:rPr>
          <w:rFonts w:ascii="Times New Roman" w:hAnsi="Times New Roman"/>
          <w:sz w:val="24"/>
        </w:rPr>
        <w:t xml:space="preserve"> stated, at para.</w:t>
      </w:r>
      <w:r w:rsidR="00D53DB5">
        <w:rPr>
          <w:rFonts w:ascii="Times New Roman" w:hAnsi="Times New Roman"/>
          <w:sz w:val="24"/>
        </w:rPr>
        <w:t xml:space="preserve"> </w:t>
      </w:r>
      <w:r w:rsidR="00E706C0">
        <w:rPr>
          <w:rFonts w:ascii="Times New Roman" w:hAnsi="Times New Roman"/>
          <w:sz w:val="24"/>
        </w:rPr>
        <w:t>11: “</w:t>
      </w:r>
      <w:r w:rsidR="00E706C0" w:rsidRPr="00D53DB5">
        <w:rPr>
          <w:rFonts w:ascii="Times New Roman" w:hAnsi="Times New Roman"/>
          <w:i/>
          <w:iCs/>
          <w:sz w:val="24"/>
        </w:rPr>
        <w:t>There is case authority to support the legitimacy of an inspection at a large scale manufacturing plant, including, if necessary</w:t>
      </w:r>
      <w:r w:rsidR="00D53DB5">
        <w:rPr>
          <w:rFonts w:ascii="Times New Roman" w:hAnsi="Times New Roman"/>
          <w:i/>
          <w:iCs/>
          <w:sz w:val="24"/>
        </w:rPr>
        <w:t>,</w:t>
      </w:r>
      <w:r w:rsidR="00E706C0" w:rsidRPr="00D53DB5">
        <w:rPr>
          <w:rFonts w:ascii="Times New Roman" w:hAnsi="Times New Roman"/>
          <w:i/>
          <w:iCs/>
          <w:sz w:val="24"/>
        </w:rPr>
        <w:t xml:space="preserve"> for the </w:t>
      </w:r>
      <w:r w:rsidR="00D53DB5">
        <w:rPr>
          <w:rFonts w:ascii="Times New Roman" w:hAnsi="Times New Roman"/>
          <w:i/>
          <w:iCs/>
          <w:sz w:val="24"/>
        </w:rPr>
        <w:t>c</w:t>
      </w:r>
      <w:r w:rsidR="00E706C0" w:rsidRPr="00D53DB5">
        <w:rPr>
          <w:rFonts w:ascii="Times New Roman" w:hAnsi="Times New Roman"/>
          <w:i/>
          <w:iCs/>
          <w:sz w:val="24"/>
        </w:rPr>
        <w:t xml:space="preserve">ourt to order a shutdown of a plant on the basis that it is a </w:t>
      </w:r>
      <w:r w:rsidR="00D53DB5">
        <w:rPr>
          <w:rFonts w:ascii="Times New Roman" w:hAnsi="Times New Roman"/>
          <w:i/>
          <w:iCs/>
          <w:sz w:val="24"/>
        </w:rPr>
        <w:t>‘</w:t>
      </w:r>
      <w:r w:rsidR="00E706C0" w:rsidRPr="00D53DB5">
        <w:rPr>
          <w:rFonts w:ascii="Times New Roman" w:hAnsi="Times New Roman"/>
          <w:i/>
          <w:iCs/>
          <w:sz w:val="24"/>
        </w:rPr>
        <w:t>physical object for the purposes of RSC O 28</w:t>
      </w:r>
      <w:r w:rsidR="00D53DB5">
        <w:rPr>
          <w:rFonts w:ascii="Times New Roman" w:hAnsi="Times New Roman"/>
          <w:i/>
          <w:iCs/>
          <w:sz w:val="24"/>
        </w:rPr>
        <w:t>’</w:t>
      </w:r>
      <w:r w:rsidR="00E706C0">
        <w:rPr>
          <w:rFonts w:ascii="Times New Roman" w:hAnsi="Times New Roman"/>
          <w:sz w:val="24"/>
        </w:rPr>
        <w:t xml:space="preserve">”, and in the previous paragraph he had noted that the applicant in that case had volunteered to pay whatever costs might result from the shutting down of the </w:t>
      </w:r>
      <w:r w:rsidR="00D8164D">
        <w:rPr>
          <w:rFonts w:ascii="Times New Roman" w:hAnsi="Times New Roman"/>
          <w:sz w:val="24"/>
        </w:rPr>
        <w:t>respondents’</w:t>
      </w:r>
      <w:r w:rsidR="00E706C0">
        <w:rPr>
          <w:rFonts w:ascii="Times New Roman" w:hAnsi="Times New Roman"/>
          <w:sz w:val="24"/>
        </w:rPr>
        <w:t xml:space="preserve"> plant, estimated in the range of A</w:t>
      </w:r>
      <w:r w:rsidR="00B97E43">
        <w:rPr>
          <w:rFonts w:ascii="Times New Roman" w:hAnsi="Times New Roman"/>
          <w:sz w:val="24"/>
        </w:rPr>
        <w:t>U</w:t>
      </w:r>
      <w:r w:rsidR="00E706C0">
        <w:rPr>
          <w:rFonts w:ascii="Times New Roman" w:hAnsi="Times New Roman"/>
          <w:sz w:val="24"/>
        </w:rPr>
        <w:t>$42,000</w:t>
      </w:r>
      <w:r w:rsidR="00D8164D">
        <w:rPr>
          <w:rFonts w:ascii="Times New Roman" w:hAnsi="Times New Roman"/>
          <w:sz w:val="24"/>
        </w:rPr>
        <w:t xml:space="preserve"> </w:t>
      </w:r>
      <w:r w:rsidR="00E706C0">
        <w:rPr>
          <w:rFonts w:ascii="Times New Roman" w:hAnsi="Times New Roman"/>
          <w:sz w:val="24"/>
        </w:rPr>
        <w:t>-</w:t>
      </w:r>
      <w:r w:rsidR="00D8164D">
        <w:rPr>
          <w:rFonts w:ascii="Times New Roman" w:hAnsi="Times New Roman"/>
          <w:sz w:val="24"/>
        </w:rPr>
        <w:t xml:space="preserve"> A</w:t>
      </w:r>
      <w:r w:rsidR="00B97E43">
        <w:rPr>
          <w:rFonts w:ascii="Times New Roman" w:hAnsi="Times New Roman"/>
          <w:sz w:val="24"/>
        </w:rPr>
        <w:t>U</w:t>
      </w:r>
      <w:r w:rsidR="00D8164D">
        <w:rPr>
          <w:rFonts w:ascii="Times New Roman" w:hAnsi="Times New Roman"/>
          <w:sz w:val="24"/>
        </w:rPr>
        <w:t>$</w:t>
      </w:r>
      <w:r w:rsidR="00E706C0">
        <w:rPr>
          <w:rFonts w:ascii="Times New Roman" w:hAnsi="Times New Roman"/>
          <w:sz w:val="24"/>
        </w:rPr>
        <w:t xml:space="preserve">52,000. In any case </w:t>
      </w:r>
      <w:r w:rsidR="00C641DE">
        <w:rPr>
          <w:rFonts w:ascii="Times New Roman" w:hAnsi="Times New Roman"/>
          <w:sz w:val="24"/>
        </w:rPr>
        <w:t xml:space="preserve">the relevance of the passage quoted </w:t>
      </w:r>
      <w:r w:rsidR="00E706C0">
        <w:rPr>
          <w:rFonts w:ascii="Times New Roman" w:hAnsi="Times New Roman"/>
          <w:sz w:val="24"/>
        </w:rPr>
        <w:t xml:space="preserve">by the trial </w:t>
      </w:r>
      <w:r w:rsidR="00D8164D">
        <w:rPr>
          <w:rFonts w:ascii="Times New Roman" w:hAnsi="Times New Roman"/>
          <w:sz w:val="24"/>
        </w:rPr>
        <w:t>j</w:t>
      </w:r>
      <w:r w:rsidR="00E706C0">
        <w:rPr>
          <w:rFonts w:ascii="Times New Roman" w:hAnsi="Times New Roman"/>
          <w:sz w:val="24"/>
        </w:rPr>
        <w:t xml:space="preserve">udge </w:t>
      </w:r>
      <w:r w:rsidR="00C641DE">
        <w:rPr>
          <w:rFonts w:ascii="Times New Roman" w:hAnsi="Times New Roman"/>
          <w:sz w:val="24"/>
        </w:rPr>
        <w:t xml:space="preserve">is that </w:t>
      </w:r>
      <w:r w:rsidR="00B00EE7">
        <w:rPr>
          <w:rFonts w:ascii="Times New Roman" w:hAnsi="Times New Roman"/>
          <w:sz w:val="24"/>
        </w:rPr>
        <w:t>it makes it emphasises</w:t>
      </w:r>
      <w:r w:rsidR="00E21050">
        <w:rPr>
          <w:rFonts w:ascii="Times New Roman" w:hAnsi="Times New Roman"/>
          <w:sz w:val="24"/>
        </w:rPr>
        <w:t xml:space="preserve"> </w:t>
      </w:r>
      <w:r w:rsidR="00B00EE7" w:rsidRPr="00E21050">
        <w:rPr>
          <w:rFonts w:ascii="Times New Roman" w:hAnsi="Times New Roman"/>
          <w:iCs/>
          <w:sz w:val="24"/>
        </w:rPr>
        <w:t>“</w:t>
      </w:r>
      <w:r w:rsidR="00DE1968" w:rsidRPr="000068FA">
        <w:rPr>
          <w:rFonts w:ascii="Times New Roman" w:hAnsi="Times New Roman"/>
          <w:i/>
          <w:sz w:val="24"/>
        </w:rPr>
        <w:t>the efficient and economical conduct of litigation</w:t>
      </w:r>
      <w:r w:rsidR="00DE1968" w:rsidRPr="00E21050">
        <w:rPr>
          <w:rFonts w:ascii="Times New Roman" w:hAnsi="Times New Roman"/>
          <w:i/>
          <w:iCs/>
          <w:sz w:val="24"/>
        </w:rPr>
        <w:t>.</w:t>
      </w:r>
      <w:r w:rsidR="00DE1968">
        <w:rPr>
          <w:rFonts w:ascii="Times New Roman" w:hAnsi="Times New Roman"/>
          <w:sz w:val="24"/>
        </w:rPr>
        <w:t xml:space="preserve">” </w:t>
      </w:r>
      <w:r w:rsidR="00B00EE7">
        <w:rPr>
          <w:rFonts w:ascii="Times New Roman" w:hAnsi="Times New Roman"/>
          <w:sz w:val="24"/>
        </w:rPr>
        <w:t xml:space="preserve">The </w:t>
      </w:r>
      <w:r w:rsidR="00E21050">
        <w:rPr>
          <w:rFonts w:ascii="Times New Roman" w:hAnsi="Times New Roman"/>
          <w:sz w:val="24"/>
        </w:rPr>
        <w:t>c</w:t>
      </w:r>
      <w:r w:rsidR="00B00EE7">
        <w:rPr>
          <w:rFonts w:ascii="Times New Roman" w:hAnsi="Times New Roman"/>
          <w:sz w:val="24"/>
        </w:rPr>
        <w:t xml:space="preserve">ourt should not be in the business of making orders which will result in just the opposite, and in fashioning the order that she did, the trial </w:t>
      </w:r>
      <w:r w:rsidR="00E21050">
        <w:rPr>
          <w:rFonts w:ascii="Times New Roman" w:hAnsi="Times New Roman"/>
          <w:sz w:val="24"/>
        </w:rPr>
        <w:lastRenderedPageBreak/>
        <w:t>j</w:t>
      </w:r>
      <w:r w:rsidR="00B00EE7">
        <w:rPr>
          <w:rFonts w:ascii="Times New Roman" w:hAnsi="Times New Roman"/>
          <w:sz w:val="24"/>
        </w:rPr>
        <w:t>udge was ensuring that the order for inspection would serve its purpose as efficiently as possible, in the interests of all the parties to the proceedings.</w:t>
      </w:r>
    </w:p>
    <w:p w14:paraId="47290D73" w14:textId="4DA377C8" w:rsidR="00792120" w:rsidRDefault="00FC67A8"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H</w:t>
      </w:r>
      <w:r w:rsidR="003C5A10">
        <w:rPr>
          <w:rFonts w:ascii="Times New Roman" w:hAnsi="Times New Roman"/>
          <w:sz w:val="24"/>
        </w:rPr>
        <w:t xml:space="preserve">owever, this is not a </w:t>
      </w:r>
      <w:r w:rsidR="003C5A10" w:rsidRPr="003C5A10">
        <w:rPr>
          <w:rFonts w:ascii="Times New Roman" w:hAnsi="Times New Roman"/>
          <w:i/>
          <w:sz w:val="24"/>
        </w:rPr>
        <w:t>carte blanche</w:t>
      </w:r>
      <w:r w:rsidR="003C5A10">
        <w:rPr>
          <w:rFonts w:ascii="Times New Roman" w:hAnsi="Times New Roman"/>
          <w:sz w:val="24"/>
        </w:rPr>
        <w:t xml:space="preserve"> for the </w:t>
      </w:r>
      <w:r w:rsidR="00E21050">
        <w:rPr>
          <w:rFonts w:ascii="Times New Roman" w:hAnsi="Times New Roman"/>
          <w:sz w:val="24"/>
        </w:rPr>
        <w:t>c</w:t>
      </w:r>
      <w:r w:rsidR="003C5A10">
        <w:rPr>
          <w:rFonts w:ascii="Times New Roman" w:hAnsi="Times New Roman"/>
          <w:sz w:val="24"/>
        </w:rPr>
        <w:t>ourt, and any ancillary orders made for such a purpose must</w:t>
      </w:r>
      <w:r w:rsidR="00E2443A">
        <w:rPr>
          <w:rFonts w:ascii="Times New Roman" w:hAnsi="Times New Roman"/>
          <w:sz w:val="24"/>
        </w:rPr>
        <w:t xml:space="preserve"> be reasonably necessary to give effect to the primary order for inspection, </w:t>
      </w:r>
      <w:r w:rsidR="003C5A10">
        <w:rPr>
          <w:rFonts w:ascii="Times New Roman" w:hAnsi="Times New Roman"/>
          <w:sz w:val="24"/>
        </w:rPr>
        <w:t xml:space="preserve">be </w:t>
      </w:r>
      <w:r w:rsidR="00882727">
        <w:rPr>
          <w:rFonts w:ascii="Times New Roman" w:hAnsi="Times New Roman"/>
          <w:sz w:val="24"/>
        </w:rPr>
        <w:t xml:space="preserve">expedient and </w:t>
      </w:r>
      <w:r w:rsidR="003C5A10">
        <w:rPr>
          <w:rFonts w:ascii="Times New Roman" w:hAnsi="Times New Roman"/>
          <w:sz w:val="24"/>
        </w:rPr>
        <w:t xml:space="preserve">within the capabilities of the parties </w:t>
      </w:r>
      <w:r w:rsidR="00C43AF9">
        <w:rPr>
          <w:rFonts w:ascii="Times New Roman" w:hAnsi="Times New Roman"/>
          <w:sz w:val="24"/>
        </w:rPr>
        <w:t xml:space="preserve">and </w:t>
      </w:r>
      <w:r w:rsidR="003C5A10">
        <w:rPr>
          <w:rFonts w:ascii="Times New Roman" w:hAnsi="Times New Roman"/>
          <w:sz w:val="24"/>
        </w:rPr>
        <w:t>should not be unduly onerous or oppressive.</w:t>
      </w:r>
      <w:r w:rsidR="00CD572B">
        <w:rPr>
          <w:rFonts w:ascii="Times New Roman" w:hAnsi="Times New Roman"/>
          <w:sz w:val="24"/>
        </w:rPr>
        <w:t xml:space="preserve"> </w:t>
      </w:r>
      <w:r w:rsidR="00E2443A">
        <w:rPr>
          <w:rFonts w:ascii="Times New Roman" w:hAnsi="Times New Roman"/>
          <w:sz w:val="24"/>
        </w:rPr>
        <w:t>What is onerous and oppressive will vary from case to case and relevant considerations in this regard would include the significance, financial and otherwise, of the issues raised by the litigation and the relative financial impact upon the party to whom the order is directed.</w:t>
      </w:r>
      <w:r w:rsidR="00C43AF9">
        <w:rPr>
          <w:rFonts w:ascii="Times New Roman" w:hAnsi="Times New Roman"/>
          <w:sz w:val="24"/>
        </w:rPr>
        <w:t xml:space="preserve"> In this case, the </w:t>
      </w:r>
      <w:r w:rsidR="000900A6">
        <w:rPr>
          <w:rFonts w:ascii="Times New Roman" w:hAnsi="Times New Roman"/>
          <w:sz w:val="24"/>
        </w:rPr>
        <w:t xml:space="preserve">trial </w:t>
      </w:r>
      <w:r w:rsidR="00E21050">
        <w:rPr>
          <w:rFonts w:ascii="Times New Roman" w:hAnsi="Times New Roman"/>
          <w:sz w:val="24"/>
        </w:rPr>
        <w:t>j</w:t>
      </w:r>
      <w:r w:rsidR="000900A6">
        <w:rPr>
          <w:rFonts w:ascii="Times New Roman" w:hAnsi="Times New Roman"/>
          <w:sz w:val="24"/>
        </w:rPr>
        <w:t xml:space="preserve">udge correctly identified that inspection by the respondents would be a catalyst to progress the litigation. The issues involved are of considerable financial significance, and while the trial </w:t>
      </w:r>
      <w:r w:rsidR="00E21050">
        <w:rPr>
          <w:rFonts w:ascii="Times New Roman" w:hAnsi="Times New Roman"/>
          <w:sz w:val="24"/>
        </w:rPr>
        <w:t>j</w:t>
      </w:r>
      <w:r w:rsidR="000900A6">
        <w:rPr>
          <w:rFonts w:ascii="Times New Roman" w:hAnsi="Times New Roman"/>
          <w:sz w:val="24"/>
        </w:rPr>
        <w:t>udge did not conduct any financial appraisal of the means of the parties to whom the order was directed, it was reasonable in the circumstances to presume it would be within the means of the appellants to comply with her order without hardship</w:t>
      </w:r>
      <w:r w:rsidR="002E3B3A">
        <w:rPr>
          <w:rFonts w:ascii="Times New Roman" w:hAnsi="Times New Roman"/>
          <w:sz w:val="24"/>
        </w:rPr>
        <w:t xml:space="preserve"> (and the appellants have never suggested otherwise)</w:t>
      </w:r>
      <w:r w:rsidR="000900A6">
        <w:rPr>
          <w:rFonts w:ascii="Times New Roman" w:hAnsi="Times New Roman"/>
          <w:sz w:val="24"/>
        </w:rPr>
        <w:t>.</w:t>
      </w:r>
      <w:r w:rsidR="00161370">
        <w:rPr>
          <w:rFonts w:ascii="Times New Roman" w:hAnsi="Times New Roman"/>
          <w:sz w:val="24"/>
        </w:rPr>
        <w:t xml:space="preserve"> </w:t>
      </w:r>
      <w:r w:rsidR="000900A6">
        <w:rPr>
          <w:rFonts w:ascii="Times New Roman" w:hAnsi="Times New Roman"/>
          <w:sz w:val="24"/>
        </w:rPr>
        <w:t>Moreover, as mentioned she addressed the costs impli</w:t>
      </w:r>
      <w:r w:rsidR="00161370">
        <w:rPr>
          <w:rFonts w:ascii="Times New Roman" w:hAnsi="Times New Roman"/>
          <w:sz w:val="24"/>
        </w:rPr>
        <w:t>ca</w:t>
      </w:r>
      <w:r w:rsidR="000900A6">
        <w:rPr>
          <w:rFonts w:ascii="Times New Roman" w:hAnsi="Times New Roman"/>
          <w:sz w:val="24"/>
        </w:rPr>
        <w:t>tions of the order in her observation that costs incurred in complying with the order would be costs in the cause.</w:t>
      </w:r>
    </w:p>
    <w:p w14:paraId="29843016" w14:textId="3844923E" w:rsidR="00B73612" w:rsidRPr="008254CC" w:rsidRDefault="004E37C4" w:rsidP="0058287A">
      <w:pPr>
        <w:pStyle w:val="ListParagraph"/>
        <w:tabs>
          <w:tab w:val="left" w:pos="567"/>
        </w:tabs>
        <w:spacing w:line="480" w:lineRule="auto"/>
        <w:ind w:left="0"/>
        <w:rPr>
          <w:rFonts w:ascii="Times New Roman" w:hAnsi="Times New Roman"/>
          <w:b/>
          <w:sz w:val="24"/>
          <w:u w:val="single"/>
        </w:rPr>
      </w:pPr>
      <w:r w:rsidRPr="008254CC">
        <w:rPr>
          <w:rFonts w:ascii="Times New Roman" w:hAnsi="Times New Roman"/>
          <w:b/>
          <w:sz w:val="24"/>
          <w:u w:val="single"/>
        </w:rPr>
        <w:t>Other grounds of appeal</w:t>
      </w:r>
    </w:p>
    <w:p w14:paraId="4C72A038" w14:textId="4CACC39D" w:rsidR="0004395A" w:rsidRDefault="0004395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This brings me to the other grounds of objection set out in the Notice of Appeal, which are summarised at para. 2</w:t>
      </w:r>
      <w:r w:rsidR="00161370">
        <w:rPr>
          <w:rFonts w:ascii="Times New Roman" w:hAnsi="Times New Roman"/>
          <w:sz w:val="24"/>
        </w:rPr>
        <w:t>7</w:t>
      </w:r>
      <w:r>
        <w:rPr>
          <w:rFonts w:ascii="Times New Roman" w:hAnsi="Times New Roman"/>
          <w:sz w:val="24"/>
        </w:rPr>
        <w:t xml:space="preserve"> above.  By these grounds the appellants claim that, even if the court had jurisdiction to make the order that it did, the trial judge erred in making the order for the following reasons</w:t>
      </w:r>
      <w:r w:rsidR="004E37C4">
        <w:rPr>
          <w:rFonts w:ascii="Times New Roman" w:hAnsi="Times New Roman"/>
          <w:sz w:val="24"/>
        </w:rPr>
        <w:t>.</w:t>
      </w:r>
    </w:p>
    <w:p w14:paraId="0AFC8A59" w14:textId="093F381F" w:rsidR="0004395A" w:rsidRPr="004E37C4" w:rsidRDefault="004E37C4" w:rsidP="0058287A">
      <w:pPr>
        <w:pStyle w:val="ListParagraph"/>
        <w:tabs>
          <w:tab w:val="left" w:pos="567"/>
        </w:tabs>
        <w:spacing w:line="480" w:lineRule="auto"/>
        <w:ind w:left="0"/>
        <w:rPr>
          <w:rFonts w:ascii="Times New Roman" w:hAnsi="Times New Roman"/>
          <w:b/>
          <w:sz w:val="24"/>
        </w:rPr>
      </w:pPr>
      <w:r w:rsidRPr="004E37C4">
        <w:rPr>
          <w:rFonts w:ascii="Times New Roman" w:hAnsi="Times New Roman"/>
          <w:b/>
          <w:sz w:val="24"/>
        </w:rPr>
        <w:t>B</w:t>
      </w:r>
      <w:r w:rsidR="0004395A" w:rsidRPr="004E37C4">
        <w:rPr>
          <w:rFonts w:ascii="Times New Roman" w:hAnsi="Times New Roman"/>
          <w:b/>
          <w:sz w:val="24"/>
        </w:rPr>
        <w:t>reach of fair procedures</w:t>
      </w:r>
    </w:p>
    <w:p w14:paraId="3A90854C" w14:textId="21DBFCA1" w:rsidR="000865DE" w:rsidRDefault="0004395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This ground of appeal arises out of the fact that the </w:t>
      </w:r>
      <w:r w:rsidR="00035976">
        <w:rPr>
          <w:rFonts w:ascii="Times New Roman" w:hAnsi="Times New Roman"/>
          <w:sz w:val="24"/>
        </w:rPr>
        <w:t xml:space="preserve">relief granted by the court was not expressly sought in the Notice of Motion.  However, this ground </w:t>
      </w:r>
      <w:r w:rsidR="00C43AF9">
        <w:rPr>
          <w:rFonts w:ascii="Times New Roman" w:hAnsi="Times New Roman"/>
          <w:sz w:val="24"/>
        </w:rPr>
        <w:t xml:space="preserve">takes no account of </w:t>
      </w:r>
      <w:r w:rsidR="00035976">
        <w:rPr>
          <w:rFonts w:ascii="Times New Roman" w:hAnsi="Times New Roman"/>
          <w:sz w:val="24"/>
        </w:rPr>
        <w:t xml:space="preserve">the manner in which the hearing of the motion progressed and evolved.  It was clear from a very </w:t>
      </w:r>
      <w:r w:rsidR="00035976">
        <w:rPr>
          <w:rFonts w:ascii="Times New Roman" w:hAnsi="Times New Roman"/>
          <w:sz w:val="24"/>
        </w:rPr>
        <w:lastRenderedPageBreak/>
        <w:t xml:space="preserve">early stage that the locations within the quarries at which inspection and sampling might take place was a significant issue in the </w:t>
      </w:r>
      <w:r w:rsidR="000865DE">
        <w:rPr>
          <w:rFonts w:ascii="Times New Roman" w:hAnsi="Times New Roman"/>
          <w:sz w:val="24"/>
        </w:rPr>
        <w:t xml:space="preserve">application before the </w:t>
      </w:r>
      <w:r w:rsidR="00C82B2B">
        <w:rPr>
          <w:rFonts w:ascii="Times New Roman" w:hAnsi="Times New Roman"/>
          <w:sz w:val="24"/>
        </w:rPr>
        <w:t>c</w:t>
      </w:r>
      <w:r w:rsidR="00035976">
        <w:rPr>
          <w:rFonts w:ascii="Times New Roman" w:hAnsi="Times New Roman"/>
          <w:sz w:val="24"/>
        </w:rPr>
        <w:t>ourt.</w:t>
      </w:r>
      <w:r w:rsidR="000865DE">
        <w:rPr>
          <w:rFonts w:ascii="Times New Roman" w:hAnsi="Times New Roman"/>
          <w:sz w:val="24"/>
        </w:rPr>
        <w:t xml:space="preserve"> The judgment under appeal records, at para. 14, that the appellants’ solicitor had sworn an affidavit asserting that the application for inspection was premature in the absence of discovery.  This affidavit was sworn in response to an affidavit sworn by the respondents’ solicitor of 26</w:t>
      </w:r>
      <w:r w:rsidR="000865DE" w:rsidRPr="00605AF4">
        <w:rPr>
          <w:rFonts w:ascii="Times New Roman" w:hAnsi="Times New Roman"/>
          <w:sz w:val="24"/>
          <w:vertAlign w:val="superscript"/>
        </w:rPr>
        <w:t>th</w:t>
      </w:r>
      <w:r w:rsidR="000865DE">
        <w:rPr>
          <w:rFonts w:ascii="Times New Roman" w:hAnsi="Times New Roman"/>
          <w:sz w:val="24"/>
        </w:rPr>
        <w:t xml:space="preserve"> September 2016, wherein he averred:</w:t>
      </w:r>
    </w:p>
    <w:p w14:paraId="55568BAD" w14:textId="509B45BB" w:rsidR="000865DE" w:rsidRDefault="000865DE"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00C82B2B" w:rsidRPr="00C82B2B">
        <w:rPr>
          <w:rFonts w:ascii="Times New Roman" w:hAnsi="Times New Roman"/>
          <w:i/>
          <w:iCs/>
          <w:sz w:val="24"/>
        </w:rPr>
        <w:t>i</w:t>
      </w:r>
      <w:r w:rsidRPr="00C82B2B">
        <w:rPr>
          <w:rFonts w:ascii="Times New Roman" w:hAnsi="Times New Roman"/>
          <w:i/>
          <w:iCs/>
          <w:sz w:val="24"/>
        </w:rPr>
        <w:t>f Roadstone is willing to identify the quarries at issue and the relevant parts thereof – or</w:t>
      </w:r>
      <w:r w:rsidR="00C82B2B" w:rsidRPr="00C82B2B">
        <w:rPr>
          <w:rFonts w:ascii="Times New Roman" w:hAnsi="Times New Roman"/>
          <w:i/>
          <w:iCs/>
          <w:sz w:val="24"/>
        </w:rPr>
        <w:t>,</w:t>
      </w:r>
      <w:r w:rsidRPr="00C82B2B">
        <w:rPr>
          <w:rFonts w:ascii="Times New Roman" w:hAnsi="Times New Roman"/>
          <w:i/>
          <w:iCs/>
          <w:sz w:val="24"/>
        </w:rPr>
        <w:t xml:space="preserve"> in the absence </w:t>
      </w:r>
      <w:r w:rsidR="00C82B2B" w:rsidRPr="00C82B2B">
        <w:rPr>
          <w:rFonts w:ascii="Times New Roman" w:hAnsi="Times New Roman"/>
          <w:i/>
          <w:iCs/>
          <w:sz w:val="24"/>
        </w:rPr>
        <w:t>of</w:t>
      </w:r>
      <w:r w:rsidRPr="00C82B2B">
        <w:rPr>
          <w:rFonts w:ascii="Times New Roman" w:hAnsi="Times New Roman"/>
          <w:i/>
          <w:iCs/>
          <w:sz w:val="24"/>
        </w:rPr>
        <w:t xml:space="preserve"> such willingness</w:t>
      </w:r>
      <w:r w:rsidR="00C82B2B" w:rsidRPr="00C82B2B">
        <w:rPr>
          <w:rFonts w:ascii="Times New Roman" w:hAnsi="Times New Roman"/>
          <w:i/>
          <w:iCs/>
          <w:sz w:val="24"/>
        </w:rPr>
        <w:t>,</w:t>
      </w:r>
      <w:r w:rsidRPr="00C82B2B">
        <w:rPr>
          <w:rFonts w:ascii="Times New Roman" w:hAnsi="Times New Roman"/>
          <w:i/>
          <w:iCs/>
          <w:sz w:val="24"/>
        </w:rPr>
        <w:t xml:space="preserve"> is directed by this Court </w:t>
      </w:r>
      <w:r w:rsidR="00C82B2B" w:rsidRPr="00C82B2B">
        <w:rPr>
          <w:rFonts w:ascii="Times New Roman" w:hAnsi="Times New Roman"/>
          <w:i/>
          <w:iCs/>
          <w:sz w:val="24"/>
        </w:rPr>
        <w:t>so to</w:t>
      </w:r>
      <w:r w:rsidRPr="00C82B2B">
        <w:rPr>
          <w:rFonts w:ascii="Times New Roman" w:hAnsi="Times New Roman"/>
          <w:i/>
          <w:iCs/>
          <w:sz w:val="24"/>
        </w:rPr>
        <w:t xml:space="preserve"> do (which can be verified in due course by</w:t>
      </w:r>
      <w:r w:rsidR="00C82B2B" w:rsidRPr="00C82B2B">
        <w:rPr>
          <w:rFonts w:ascii="Times New Roman" w:hAnsi="Times New Roman"/>
          <w:i/>
          <w:iCs/>
          <w:sz w:val="24"/>
        </w:rPr>
        <w:t>,</w:t>
      </w:r>
      <w:r w:rsidRPr="00C82B2B">
        <w:rPr>
          <w:rFonts w:ascii="Times New Roman" w:hAnsi="Times New Roman"/>
          <w:i/>
          <w:iCs/>
          <w:sz w:val="24"/>
        </w:rPr>
        <w:t xml:space="preserve"> inter alia</w:t>
      </w:r>
      <w:r w:rsidR="00C82B2B" w:rsidRPr="00C82B2B">
        <w:rPr>
          <w:rFonts w:ascii="Times New Roman" w:hAnsi="Times New Roman"/>
          <w:i/>
          <w:iCs/>
          <w:sz w:val="24"/>
        </w:rPr>
        <w:t>,</w:t>
      </w:r>
      <w:r w:rsidRPr="00C82B2B">
        <w:rPr>
          <w:rFonts w:ascii="Times New Roman" w:hAnsi="Times New Roman"/>
          <w:i/>
          <w:iCs/>
          <w:sz w:val="24"/>
        </w:rPr>
        <w:t xml:space="preserve"> discovery of the documentation to which Mr. Buckley refers) – there will be no need for documents to be produced by Roadstone at this stage.</w:t>
      </w:r>
      <w:r>
        <w:rPr>
          <w:rFonts w:ascii="Times New Roman" w:hAnsi="Times New Roman"/>
          <w:sz w:val="24"/>
        </w:rPr>
        <w:t>”</w:t>
      </w:r>
    </w:p>
    <w:p w14:paraId="7439483B" w14:textId="736B1555" w:rsidR="000865DE" w:rsidRDefault="000865DE" w:rsidP="0058287A">
      <w:pPr>
        <w:pStyle w:val="ListParagraph"/>
        <w:tabs>
          <w:tab w:val="left" w:pos="567"/>
        </w:tabs>
        <w:spacing w:line="480" w:lineRule="auto"/>
        <w:ind w:left="0"/>
        <w:rPr>
          <w:rFonts w:ascii="Times New Roman" w:hAnsi="Times New Roman"/>
          <w:sz w:val="24"/>
        </w:rPr>
      </w:pPr>
      <w:r>
        <w:rPr>
          <w:rFonts w:ascii="Times New Roman" w:hAnsi="Times New Roman"/>
          <w:sz w:val="24"/>
        </w:rPr>
        <w:t xml:space="preserve">It is clear therefore that from the earliest of stages (and well before the first judgment of July 2017) the identity of relevant locations within </w:t>
      </w:r>
      <w:r w:rsidR="00161370">
        <w:rPr>
          <w:rFonts w:ascii="Times New Roman" w:hAnsi="Times New Roman"/>
          <w:sz w:val="24"/>
        </w:rPr>
        <w:t>Roadstone’s</w:t>
      </w:r>
      <w:r>
        <w:rPr>
          <w:rFonts w:ascii="Times New Roman" w:hAnsi="Times New Roman"/>
          <w:sz w:val="24"/>
        </w:rPr>
        <w:t xml:space="preserve"> quarries was an issue in the </w:t>
      </w:r>
      <w:r w:rsidR="00FE0743">
        <w:rPr>
          <w:rFonts w:ascii="Times New Roman" w:hAnsi="Times New Roman"/>
          <w:sz w:val="24"/>
        </w:rPr>
        <w:t>application for inspection</w:t>
      </w:r>
      <w:r w:rsidRPr="00C3694E">
        <w:rPr>
          <w:rFonts w:ascii="Times New Roman" w:hAnsi="Times New Roman"/>
          <w:sz w:val="24"/>
        </w:rPr>
        <w:t xml:space="preserve">.  </w:t>
      </w:r>
    </w:p>
    <w:p w14:paraId="13AA86DD" w14:textId="71032D15" w:rsidR="000865DE" w:rsidRDefault="00FE074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w:t>
      </w:r>
      <w:r w:rsidR="00035976">
        <w:rPr>
          <w:rFonts w:ascii="Times New Roman" w:hAnsi="Times New Roman"/>
          <w:sz w:val="24"/>
        </w:rPr>
        <w:t xml:space="preserve"> para. </w:t>
      </w:r>
      <w:r w:rsidR="00697957">
        <w:rPr>
          <w:rFonts w:ascii="Times New Roman" w:hAnsi="Times New Roman"/>
          <w:sz w:val="24"/>
        </w:rPr>
        <w:t>7</w:t>
      </w:r>
      <w:r w:rsidR="00035976">
        <w:rPr>
          <w:rFonts w:ascii="Times New Roman" w:hAnsi="Times New Roman"/>
          <w:sz w:val="24"/>
        </w:rPr>
        <w:t xml:space="preserve"> above, I </w:t>
      </w:r>
      <w:r w:rsidR="004E37C4">
        <w:rPr>
          <w:rFonts w:ascii="Times New Roman" w:hAnsi="Times New Roman"/>
          <w:sz w:val="24"/>
        </w:rPr>
        <w:t>quoted a passage from the</w:t>
      </w:r>
      <w:r w:rsidR="00035976">
        <w:rPr>
          <w:rFonts w:ascii="Times New Roman" w:hAnsi="Times New Roman"/>
          <w:sz w:val="24"/>
        </w:rPr>
        <w:t xml:space="preserve"> </w:t>
      </w:r>
      <w:r w:rsidR="004E37C4">
        <w:rPr>
          <w:rFonts w:ascii="Times New Roman" w:hAnsi="Times New Roman"/>
          <w:sz w:val="24"/>
        </w:rPr>
        <w:t>first</w:t>
      </w:r>
      <w:r w:rsidR="00035976">
        <w:rPr>
          <w:rFonts w:ascii="Times New Roman" w:hAnsi="Times New Roman"/>
          <w:sz w:val="24"/>
        </w:rPr>
        <w:t xml:space="preserve"> judgment</w:t>
      </w:r>
      <w:r w:rsidR="004E37C4">
        <w:rPr>
          <w:rFonts w:ascii="Times New Roman" w:hAnsi="Times New Roman"/>
          <w:sz w:val="24"/>
        </w:rPr>
        <w:t xml:space="preserve"> of the trial judge </w:t>
      </w:r>
      <w:r w:rsidR="00035976">
        <w:rPr>
          <w:rFonts w:ascii="Times New Roman" w:hAnsi="Times New Roman"/>
          <w:sz w:val="24"/>
        </w:rPr>
        <w:t>of 28</w:t>
      </w:r>
      <w:r w:rsidR="00035976" w:rsidRPr="00035976">
        <w:rPr>
          <w:rFonts w:ascii="Times New Roman" w:hAnsi="Times New Roman"/>
          <w:sz w:val="24"/>
          <w:vertAlign w:val="superscript"/>
        </w:rPr>
        <w:t>th</w:t>
      </w:r>
      <w:r w:rsidR="00035976">
        <w:rPr>
          <w:rFonts w:ascii="Times New Roman" w:hAnsi="Times New Roman"/>
          <w:sz w:val="24"/>
        </w:rPr>
        <w:t xml:space="preserve"> July 2017, </w:t>
      </w:r>
      <w:r w:rsidR="004E37C4">
        <w:rPr>
          <w:rFonts w:ascii="Times New Roman" w:hAnsi="Times New Roman"/>
          <w:sz w:val="24"/>
        </w:rPr>
        <w:t xml:space="preserve">wherein </w:t>
      </w:r>
      <w:r w:rsidR="00035976">
        <w:rPr>
          <w:rFonts w:ascii="Times New Roman" w:hAnsi="Times New Roman"/>
          <w:sz w:val="24"/>
        </w:rPr>
        <w:t>the trial judge records that the respondents had asked the court to direct “</w:t>
      </w:r>
      <w:r w:rsidR="00035976" w:rsidRPr="00C82B2B">
        <w:rPr>
          <w:rFonts w:ascii="Times New Roman" w:hAnsi="Times New Roman"/>
          <w:i/>
          <w:iCs/>
          <w:sz w:val="24"/>
        </w:rPr>
        <w:t>the first defendant to cooperate with the inspection by identifying the location</w:t>
      </w:r>
      <w:r w:rsidR="003C6E55" w:rsidRPr="00C82B2B">
        <w:rPr>
          <w:rFonts w:ascii="Times New Roman" w:hAnsi="Times New Roman"/>
          <w:i/>
          <w:iCs/>
          <w:sz w:val="24"/>
        </w:rPr>
        <w:t>s</w:t>
      </w:r>
      <w:r w:rsidR="00035976" w:rsidRPr="00C82B2B">
        <w:rPr>
          <w:rFonts w:ascii="Times New Roman" w:hAnsi="Times New Roman"/>
          <w:i/>
          <w:iCs/>
          <w:sz w:val="24"/>
        </w:rPr>
        <w:t xml:space="preserve"> in its various quarries from which stone supplied to the plaintiffs had been sourced.</w:t>
      </w:r>
      <w:r w:rsidR="00035976">
        <w:rPr>
          <w:rFonts w:ascii="Times New Roman" w:hAnsi="Times New Roman"/>
          <w:sz w:val="24"/>
        </w:rPr>
        <w:t xml:space="preserve">”  </w:t>
      </w:r>
      <w:r w:rsidR="003150EF">
        <w:rPr>
          <w:rFonts w:ascii="Times New Roman" w:hAnsi="Times New Roman"/>
          <w:sz w:val="24"/>
        </w:rPr>
        <w:t>The trial judge rep</w:t>
      </w:r>
      <w:r w:rsidR="001A27B5">
        <w:rPr>
          <w:rFonts w:ascii="Times New Roman" w:hAnsi="Times New Roman"/>
          <w:sz w:val="24"/>
        </w:rPr>
        <w:t>e</w:t>
      </w:r>
      <w:r w:rsidR="003150EF">
        <w:rPr>
          <w:rFonts w:ascii="Times New Roman" w:hAnsi="Times New Roman"/>
          <w:sz w:val="24"/>
        </w:rPr>
        <w:t xml:space="preserve">ated </w:t>
      </w:r>
      <w:r w:rsidR="001A27B5">
        <w:rPr>
          <w:rFonts w:ascii="Times New Roman" w:hAnsi="Times New Roman"/>
          <w:sz w:val="24"/>
        </w:rPr>
        <w:t>this sentence almost verbatim in para.</w:t>
      </w:r>
      <w:r w:rsidR="00C82B2B">
        <w:rPr>
          <w:rFonts w:ascii="Times New Roman" w:hAnsi="Times New Roman"/>
          <w:sz w:val="24"/>
        </w:rPr>
        <w:t xml:space="preserve"> </w:t>
      </w:r>
      <w:r w:rsidR="001A27B5">
        <w:rPr>
          <w:rFonts w:ascii="Times New Roman" w:hAnsi="Times New Roman"/>
          <w:sz w:val="24"/>
        </w:rPr>
        <w:t xml:space="preserve">16 of the same judgment. </w:t>
      </w:r>
      <w:r w:rsidR="0045613D">
        <w:rPr>
          <w:rFonts w:ascii="Times New Roman" w:hAnsi="Times New Roman"/>
          <w:sz w:val="24"/>
        </w:rPr>
        <w:t xml:space="preserve">At para. 30 of the same judgment, the trial judge noted that </w:t>
      </w:r>
      <w:r w:rsidR="0045613D" w:rsidRPr="00C82B2B">
        <w:rPr>
          <w:rFonts w:ascii="Times New Roman" w:hAnsi="Times New Roman"/>
          <w:i/>
          <w:iCs/>
          <w:sz w:val="24"/>
        </w:rPr>
        <w:t>“…inspection of Roadstone’s quarries would require interference in working quarries and would potentially require ancillary orders directing disclosure of various matters such as quarrying sites at the relevant times</w:t>
      </w:r>
      <w:r w:rsidR="00C82B2B" w:rsidRPr="00C82B2B">
        <w:rPr>
          <w:rFonts w:ascii="Times New Roman" w:hAnsi="Times New Roman"/>
          <w:i/>
          <w:iCs/>
          <w:sz w:val="24"/>
        </w:rPr>
        <w:t>.</w:t>
      </w:r>
      <w:r w:rsidR="0045613D">
        <w:rPr>
          <w:rFonts w:ascii="Times New Roman" w:hAnsi="Times New Roman"/>
          <w:sz w:val="24"/>
        </w:rPr>
        <w:t xml:space="preserve">” </w:t>
      </w:r>
      <w:r w:rsidR="000865DE">
        <w:rPr>
          <w:rFonts w:ascii="Times New Roman" w:hAnsi="Times New Roman"/>
          <w:sz w:val="24"/>
        </w:rPr>
        <w:t>It is hardly unfair to observe therefore that</w:t>
      </w:r>
      <w:r w:rsidR="000865DE" w:rsidRPr="000865DE">
        <w:rPr>
          <w:rFonts w:ascii="Times New Roman" w:hAnsi="Times New Roman"/>
          <w:sz w:val="24"/>
        </w:rPr>
        <w:t xml:space="preserve"> </w:t>
      </w:r>
      <w:r w:rsidR="000865DE">
        <w:rPr>
          <w:rFonts w:ascii="Times New Roman" w:hAnsi="Times New Roman"/>
          <w:sz w:val="24"/>
        </w:rPr>
        <w:t xml:space="preserve">when the hearing resumed in July 2018, the appellants were on notice that the trial </w:t>
      </w:r>
      <w:r w:rsidR="00C82B2B">
        <w:rPr>
          <w:rFonts w:ascii="Times New Roman" w:hAnsi="Times New Roman"/>
          <w:sz w:val="24"/>
        </w:rPr>
        <w:t>j</w:t>
      </w:r>
      <w:r w:rsidR="000865DE">
        <w:rPr>
          <w:rFonts w:ascii="Times New Roman" w:hAnsi="Times New Roman"/>
          <w:sz w:val="24"/>
        </w:rPr>
        <w:t xml:space="preserve">udge, at least, considered that the application before her included an application directing </w:t>
      </w:r>
      <w:r w:rsidR="00161370">
        <w:rPr>
          <w:rFonts w:ascii="Times New Roman" w:hAnsi="Times New Roman"/>
          <w:sz w:val="24"/>
        </w:rPr>
        <w:t xml:space="preserve">Roadstone </w:t>
      </w:r>
      <w:r w:rsidR="000865DE">
        <w:rPr>
          <w:rFonts w:ascii="Times New Roman" w:hAnsi="Times New Roman"/>
          <w:sz w:val="24"/>
        </w:rPr>
        <w:t xml:space="preserve">to identify the locations in </w:t>
      </w:r>
      <w:r w:rsidR="00161370">
        <w:rPr>
          <w:rFonts w:ascii="Times New Roman" w:hAnsi="Times New Roman"/>
          <w:sz w:val="24"/>
        </w:rPr>
        <w:t>its</w:t>
      </w:r>
      <w:r w:rsidR="000865DE">
        <w:rPr>
          <w:rFonts w:ascii="Times New Roman" w:hAnsi="Times New Roman"/>
          <w:sz w:val="24"/>
        </w:rPr>
        <w:t xml:space="preserve"> quarries from which </w:t>
      </w:r>
      <w:r w:rsidR="000865DE">
        <w:rPr>
          <w:rFonts w:ascii="Times New Roman" w:hAnsi="Times New Roman"/>
          <w:sz w:val="24"/>
        </w:rPr>
        <w:lastRenderedPageBreak/>
        <w:t xml:space="preserve">materials were extracted and supplied to the respondents, by way of co-operation in support of any order for inspection the </w:t>
      </w:r>
      <w:r w:rsidR="00C82B2B">
        <w:rPr>
          <w:rFonts w:ascii="Times New Roman" w:hAnsi="Times New Roman"/>
          <w:sz w:val="24"/>
        </w:rPr>
        <w:t>c</w:t>
      </w:r>
      <w:r w:rsidR="000865DE">
        <w:rPr>
          <w:rFonts w:ascii="Times New Roman" w:hAnsi="Times New Roman"/>
          <w:sz w:val="24"/>
        </w:rPr>
        <w:t>ourt might make pursuant to the substantive application for inspection.</w:t>
      </w:r>
    </w:p>
    <w:p w14:paraId="2DF99B7A" w14:textId="10CC6EB8" w:rsidR="00697957" w:rsidRDefault="0045613D"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No less than fifty one affidavits had been sworn and exchanged in connection with this motion </w:t>
      </w:r>
      <w:r w:rsidR="00161370">
        <w:rPr>
          <w:rFonts w:ascii="Times New Roman" w:hAnsi="Times New Roman"/>
          <w:sz w:val="24"/>
        </w:rPr>
        <w:t xml:space="preserve">and the related motion for production </w:t>
      </w:r>
      <w:r>
        <w:rPr>
          <w:rFonts w:ascii="Times New Roman" w:hAnsi="Times New Roman"/>
          <w:sz w:val="24"/>
        </w:rPr>
        <w:t xml:space="preserve">by </w:t>
      </w:r>
      <w:r w:rsidR="00F073FD">
        <w:rPr>
          <w:rFonts w:ascii="Times New Roman" w:hAnsi="Times New Roman"/>
          <w:sz w:val="24"/>
        </w:rPr>
        <w:t xml:space="preserve">the </w:t>
      </w:r>
      <w:r>
        <w:rPr>
          <w:rFonts w:ascii="Times New Roman" w:hAnsi="Times New Roman"/>
          <w:sz w:val="24"/>
        </w:rPr>
        <w:t>time of the resumed hearing of the motion in July 2018. Other affidavits, including affidavits sworn on behalf of the appellants make reference to the need to identify the relevant areas of the quarries from which samples could be taken. So, for example, in an affidavit dated 6</w:t>
      </w:r>
      <w:r w:rsidRPr="0045613D">
        <w:rPr>
          <w:rFonts w:ascii="Times New Roman" w:hAnsi="Times New Roman"/>
          <w:sz w:val="24"/>
          <w:vertAlign w:val="superscript"/>
        </w:rPr>
        <w:t>th</w:t>
      </w:r>
      <w:r>
        <w:rPr>
          <w:rFonts w:ascii="Times New Roman" w:hAnsi="Times New Roman"/>
          <w:sz w:val="24"/>
        </w:rPr>
        <w:t xml:space="preserve"> March 2018, Mr</w:t>
      </w:r>
      <w:r w:rsidR="00706DEA">
        <w:rPr>
          <w:rFonts w:ascii="Times New Roman" w:hAnsi="Times New Roman"/>
          <w:sz w:val="24"/>
        </w:rPr>
        <w:t>.</w:t>
      </w:r>
      <w:r>
        <w:rPr>
          <w:rFonts w:ascii="Times New Roman" w:hAnsi="Times New Roman"/>
          <w:sz w:val="24"/>
        </w:rPr>
        <w:t xml:space="preserve"> Buckley avers</w:t>
      </w:r>
      <w:r w:rsidR="00697957">
        <w:rPr>
          <w:rFonts w:ascii="Times New Roman" w:hAnsi="Times New Roman"/>
          <w:sz w:val="24"/>
        </w:rPr>
        <w:t>:</w:t>
      </w:r>
      <w:r>
        <w:rPr>
          <w:rFonts w:ascii="Times New Roman" w:hAnsi="Times New Roman"/>
          <w:sz w:val="24"/>
        </w:rPr>
        <w:t xml:space="preserve"> </w:t>
      </w:r>
    </w:p>
    <w:p w14:paraId="166E2AE2" w14:textId="77777777" w:rsidR="00697957" w:rsidRDefault="0045613D" w:rsidP="00697957">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623AB5">
        <w:rPr>
          <w:rFonts w:ascii="Times New Roman" w:hAnsi="Times New Roman"/>
          <w:i/>
          <w:iCs/>
          <w:sz w:val="24"/>
        </w:rPr>
        <w:t xml:space="preserve">The Roadstone </w:t>
      </w:r>
      <w:r w:rsidR="00623AB5" w:rsidRPr="00623AB5">
        <w:rPr>
          <w:rFonts w:ascii="Times New Roman" w:hAnsi="Times New Roman"/>
          <w:i/>
          <w:iCs/>
          <w:sz w:val="24"/>
        </w:rPr>
        <w:t>Q</w:t>
      </w:r>
      <w:r w:rsidRPr="00623AB5">
        <w:rPr>
          <w:rFonts w:ascii="Times New Roman" w:hAnsi="Times New Roman"/>
          <w:i/>
          <w:iCs/>
          <w:sz w:val="24"/>
        </w:rPr>
        <w:t>uarries are fully operational and cover 1</w:t>
      </w:r>
      <w:r w:rsidR="00623AB5" w:rsidRPr="00623AB5">
        <w:rPr>
          <w:rFonts w:ascii="Times New Roman" w:hAnsi="Times New Roman"/>
          <w:i/>
          <w:iCs/>
          <w:sz w:val="24"/>
        </w:rPr>
        <w:t>,</w:t>
      </w:r>
      <w:r w:rsidRPr="00623AB5">
        <w:rPr>
          <w:rFonts w:ascii="Times New Roman" w:hAnsi="Times New Roman"/>
          <w:i/>
          <w:iCs/>
          <w:sz w:val="24"/>
        </w:rPr>
        <w:t xml:space="preserve">150 acres of land. The Roadstone </w:t>
      </w:r>
      <w:r w:rsidR="00623AB5" w:rsidRPr="00623AB5">
        <w:rPr>
          <w:rFonts w:ascii="Times New Roman" w:hAnsi="Times New Roman"/>
          <w:i/>
          <w:iCs/>
          <w:sz w:val="24"/>
        </w:rPr>
        <w:t>Q</w:t>
      </w:r>
      <w:r w:rsidRPr="00623AB5">
        <w:rPr>
          <w:rFonts w:ascii="Times New Roman" w:hAnsi="Times New Roman"/>
          <w:i/>
          <w:iCs/>
          <w:sz w:val="24"/>
        </w:rPr>
        <w:t xml:space="preserve">uarries produce many millions of tonnes of product per annum. To allow parties unlimited access to the Roadstone </w:t>
      </w:r>
      <w:r w:rsidR="00623AB5" w:rsidRPr="00623AB5">
        <w:rPr>
          <w:rFonts w:ascii="Times New Roman" w:hAnsi="Times New Roman"/>
          <w:i/>
          <w:iCs/>
          <w:sz w:val="24"/>
        </w:rPr>
        <w:t>Q</w:t>
      </w:r>
      <w:r w:rsidRPr="00623AB5">
        <w:rPr>
          <w:rFonts w:ascii="Times New Roman" w:hAnsi="Times New Roman"/>
          <w:i/>
          <w:iCs/>
          <w:sz w:val="24"/>
        </w:rPr>
        <w:t>uarries to inspect and take samples throughout the quarries as proposed would pose a serious risk to the health and safety of attendees and would interfere to a very significant extent with Roadstone’s operations. It is, therefore, necessary to plan the sample locations to ensure that the sample locations are safely accessible in accordance with Roadstone’s health and safety procedures.</w:t>
      </w:r>
      <w:r>
        <w:rPr>
          <w:rFonts w:ascii="Times New Roman" w:hAnsi="Times New Roman"/>
          <w:sz w:val="24"/>
        </w:rPr>
        <w:t xml:space="preserve">”  </w:t>
      </w:r>
    </w:p>
    <w:p w14:paraId="3F0D352C" w14:textId="77777777" w:rsidR="00697957" w:rsidRDefault="0045613D" w:rsidP="00697957">
      <w:pPr>
        <w:pStyle w:val="ListParagraph"/>
        <w:tabs>
          <w:tab w:val="left" w:pos="567"/>
        </w:tabs>
        <w:spacing w:line="480" w:lineRule="auto"/>
        <w:ind w:left="0"/>
        <w:rPr>
          <w:rFonts w:ascii="Times New Roman" w:hAnsi="Times New Roman"/>
          <w:sz w:val="24"/>
        </w:rPr>
      </w:pPr>
      <w:r>
        <w:rPr>
          <w:rFonts w:ascii="Times New Roman" w:hAnsi="Times New Roman"/>
          <w:sz w:val="24"/>
        </w:rPr>
        <w:t>In an affidavit dated 24</w:t>
      </w:r>
      <w:r w:rsidR="00623AB5" w:rsidRPr="00623AB5">
        <w:rPr>
          <w:rFonts w:ascii="Times New Roman" w:hAnsi="Times New Roman"/>
          <w:sz w:val="24"/>
          <w:vertAlign w:val="superscript"/>
        </w:rPr>
        <w:t>th</w:t>
      </w:r>
      <w:r>
        <w:rPr>
          <w:rFonts w:ascii="Times New Roman" w:hAnsi="Times New Roman"/>
          <w:sz w:val="24"/>
        </w:rPr>
        <w:t xml:space="preserve"> May 2018, Mr</w:t>
      </w:r>
      <w:r w:rsidR="00623AB5">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Goodhue</w:t>
      </w:r>
      <w:proofErr w:type="spellEnd"/>
      <w:r>
        <w:rPr>
          <w:rFonts w:ascii="Times New Roman" w:hAnsi="Times New Roman"/>
          <w:sz w:val="24"/>
        </w:rPr>
        <w:t xml:space="preserve"> on behalf of the respondents averred: </w:t>
      </w:r>
    </w:p>
    <w:p w14:paraId="5F5FA4F7" w14:textId="1D396CBC" w:rsidR="0045613D" w:rsidRDefault="0045613D" w:rsidP="00697957">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FB6C8E">
        <w:rPr>
          <w:rFonts w:ascii="Times New Roman" w:hAnsi="Times New Roman"/>
          <w:i/>
          <w:iCs/>
          <w:sz w:val="24"/>
        </w:rPr>
        <w:t xml:space="preserve">As indicated in the previous </w:t>
      </w:r>
      <w:r w:rsidR="00FB6C8E" w:rsidRPr="00FB6C8E">
        <w:rPr>
          <w:rFonts w:ascii="Times New Roman" w:hAnsi="Times New Roman"/>
          <w:i/>
          <w:iCs/>
          <w:sz w:val="24"/>
        </w:rPr>
        <w:t>A</w:t>
      </w:r>
      <w:r w:rsidRPr="00FB6C8E">
        <w:rPr>
          <w:rFonts w:ascii="Times New Roman" w:hAnsi="Times New Roman"/>
          <w:i/>
          <w:iCs/>
          <w:sz w:val="24"/>
        </w:rPr>
        <w:t xml:space="preserve">ffidavit of Professor Somerville, we are not seeking unlimited access to all parts of Roadstone’s quarries and, on the contrary, what is sought is access to those discrete areas of the quarries which are reasonably proximate to the areas of the quarries from which it is likely that stone infill supplied by Roadstone to the </w:t>
      </w:r>
      <w:r w:rsidR="00FB6C8E" w:rsidRPr="00FB6C8E">
        <w:rPr>
          <w:rFonts w:ascii="Times New Roman" w:hAnsi="Times New Roman"/>
          <w:i/>
          <w:iCs/>
          <w:sz w:val="24"/>
        </w:rPr>
        <w:t>P</w:t>
      </w:r>
      <w:r w:rsidRPr="00FB6C8E">
        <w:rPr>
          <w:rFonts w:ascii="Times New Roman" w:hAnsi="Times New Roman"/>
          <w:i/>
          <w:iCs/>
          <w:sz w:val="24"/>
        </w:rPr>
        <w:t>laintiffs between in or about April 2002 and in or about June 2007 derived.</w:t>
      </w:r>
      <w:r w:rsidRPr="0045613D">
        <w:rPr>
          <w:rFonts w:ascii="Times New Roman" w:hAnsi="Times New Roman"/>
          <w:sz w:val="24"/>
        </w:rPr>
        <w:t>”</w:t>
      </w:r>
    </w:p>
    <w:p w14:paraId="06D31EB6" w14:textId="510ED5E5" w:rsidR="000865DE" w:rsidRPr="000865DE" w:rsidRDefault="000865DE" w:rsidP="0058287A">
      <w:pPr>
        <w:pStyle w:val="ListParagraph"/>
        <w:numPr>
          <w:ilvl w:val="0"/>
          <w:numId w:val="1"/>
        </w:numPr>
        <w:tabs>
          <w:tab w:val="left" w:pos="567"/>
        </w:tabs>
        <w:spacing w:line="480" w:lineRule="auto"/>
        <w:ind w:left="0" w:firstLine="0"/>
        <w:rPr>
          <w:rFonts w:ascii="Times New Roman" w:hAnsi="Times New Roman"/>
          <w:sz w:val="24"/>
        </w:rPr>
      </w:pPr>
      <w:r w:rsidRPr="003119D1">
        <w:rPr>
          <w:rFonts w:ascii="Times New Roman" w:hAnsi="Times New Roman"/>
          <w:sz w:val="24"/>
        </w:rPr>
        <w:t>D</w:t>
      </w:r>
      <w:r w:rsidR="00892E24" w:rsidRPr="003119D1">
        <w:rPr>
          <w:rFonts w:ascii="Times New Roman" w:hAnsi="Times New Roman"/>
          <w:sz w:val="24"/>
        </w:rPr>
        <w:t xml:space="preserve">uring the course of the </w:t>
      </w:r>
      <w:r w:rsidR="005D6152" w:rsidRPr="003119D1">
        <w:rPr>
          <w:rFonts w:ascii="Times New Roman" w:hAnsi="Times New Roman"/>
          <w:sz w:val="24"/>
        </w:rPr>
        <w:t>hearing on 20</w:t>
      </w:r>
      <w:r w:rsidR="005D6152" w:rsidRPr="001B571D">
        <w:rPr>
          <w:rFonts w:ascii="Times New Roman" w:hAnsi="Times New Roman"/>
          <w:sz w:val="24"/>
          <w:vertAlign w:val="superscript"/>
        </w:rPr>
        <w:t>th</w:t>
      </w:r>
      <w:r w:rsidR="005D6152" w:rsidRPr="003119D1">
        <w:rPr>
          <w:rFonts w:ascii="Times New Roman" w:hAnsi="Times New Roman"/>
          <w:sz w:val="24"/>
        </w:rPr>
        <w:t xml:space="preserve"> July 2018, when the </w:t>
      </w:r>
      <w:r w:rsidR="001B571D">
        <w:rPr>
          <w:rFonts w:ascii="Times New Roman" w:hAnsi="Times New Roman"/>
          <w:sz w:val="24"/>
        </w:rPr>
        <w:t>c</w:t>
      </w:r>
      <w:r w:rsidR="005D6152" w:rsidRPr="003119D1">
        <w:rPr>
          <w:rFonts w:ascii="Times New Roman" w:hAnsi="Times New Roman"/>
          <w:sz w:val="24"/>
        </w:rPr>
        <w:t xml:space="preserve">ourt was hearing submissions about the motion for production of documents issued by the respondents, the </w:t>
      </w:r>
      <w:r w:rsidR="005D6152" w:rsidRPr="003119D1">
        <w:rPr>
          <w:rFonts w:ascii="Times New Roman" w:hAnsi="Times New Roman"/>
          <w:sz w:val="24"/>
        </w:rPr>
        <w:lastRenderedPageBreak/>
        <w:t xml:space="preserve">trial judge made the following observation in the course of an exchange with counsel for the appellant: </w:t>
      </w:r>
      <w:r w:rsidR="005D6152" w:rsidRPr="001B571D">
        <w:rPr>
          <w:rFonts w:ascii="Times New Roman" w:hAnsi="Times New Roman"/>
          <w:sz w:val="24"/>
        </w:rPr>
        <w:t>“</w:t>
      </w:r>
      <w:r w:rsidR="001B571D" w:rsidRPr="001B571D">
        <w:rPr>
          <w:rFonts w:ascii="Times New Roman" w:hAnsi="Times New Roman"/>
          <w:i/>
          <w:iCs/>
          <w:sz w:val="24"/>
        </w:rPr>
        <w:t>…</w:t>
      </w:r>
      <w:r w:rsidR="005D6152" w:rsidRPr="001B571D">
        <w:rPr>
          <w:rFonts w:ascii="Times New Roman" w:hAnsi="Times New Roman"/>
          <w:i/>
          <w:iCs/>
          <w:sz w:val="24"/>
        </w:rPr>
        <w:t>the whole purpose of the application is to ensure that the area of the quarry that is examined is the relevant area</w:t>
      </w:r>
      <w:r w:rsidR="00EB57C7" w:rsidRPr="003119D1">
        <w:rPr>
          <w:rFonts w:ascii="Times New Roman" w:hAnsi="Times New Roman"/>
          <w:sz w:val="24"/>
        </w:rPr>
        <w:t>”</w:t>
      </w:r>
      <w:r w:rsidR="001B571D">
        <w:rPr>
          <w:rFonts w:ascii="Times New Roman" w:hAnsi="Times New Roman"/>
          <w:sz w:val="24"/>
        </w:rPr>
        <w:t xml:space="preserve"> </w:t>
      </w:r>
      <w:r w:rsidR="005D6152" w:rsidRPr="003119D1">
        <w:rPr>
          <w:rFonts w:ascii="Times New Roman" w:hAnsi="Times New Roman"/>
          <w:sz w:val="24"/>
        </w:rPr>
        <w:t>and later she said, in the context of the motion for inspection: “</w:t>
      </w:r>
      <w:r w:rsidR="005D6152" w:rsidRPr="002C517A">
        <w:rPr>
          <w:rFonts w:ascii="Times New Roman" w:hAnsi="Times New Roman"/>
          <w:i/>
          <w:iCs/>
          <w:sz w:val="24"/>
        </w:rPr>
        <w:t xml:space="preserve">The question is whether the </w:t>
      </w:r>
      <w:r w:rsidR="002C517A" w:rsidRPr="002C517A">
        <w:rPr>
          <w:rFonts w:ascii="Times New Roman" w:hAnsi="Times New Roman"/>
          <w:i/>
          <w:iCs/>
          <w:sz w:val="24"/>
        </w:rPr>
        <w:t>c</w:t>
      </w:r>
      <w:r w:rsidR="005D6152" w:rsidRPr="002C517A">
        <w:rPr>
          <w:rFonts w:ascii="Times New Roman" w:hAnsi="Times New Roman"/>
          <w:i/>
          <w:iCs/>
          <w:sz w:val="24"/>
        </w:rPr>
        <w:t>ourt has a power under Order 50</w:t>
      </w:r>
      <w:r w:rsidR="00EB57C7" w:rsidRPr="002C517A">
        <w:rPr>
          <w:rFonts w:ascii="Times New Roman" w:hAnsi="Times New Roman"/>
          <w:i/>
          <w:iCs/>
          <w:sz w:val="24"/>
        </w:rPr>
        <w:t xml:space="preserve"> to get you to assist as it were the plaintiff in relation to the inspection</w:t>
      </w:r>
      <w:r w:rsidR="00EB57C7" w:rsidRPr="003119D1">
        <w:rPr>
          <w:rFonts w:ascii="Times New Roman" w:hAnsi="Times New Roman"/>
          <w:sz w:val="24"/>
        </w:rPr>
        <w:t xml:space="preserve">”. The applications before the </w:t>
      </w:r>
      <w:r w:rsidR="002C517A">
        <w:rPr>
          <w:rFonts w:ascii="Times New Roman" w:hAnsi="Times New Roman"/>
          <w:sz w:val="24"/>
        </w:rPr>
        <w:t>c</w:t>
      </w:r>
      <w:r w:rsidR="00EB57C7" w:rsidRPr="003119D1">
        <w:rPr>
          <w:rFonts w:ascii="Times New Roman" w:hAnsi="Times New Roman"/>
          <w:sz w:val="24"/>
        </w:rPr>
        <w:t>ourt did not finish on 20</w:t>
      </w:r>
      <w:r w:rsidR="00EB57C7" w:rsidRPr="002C517A">
        <w:rPr>
          <w:rFonts w:ascii="Times New Roman" w:hAnsi="Times New Roman"/>
          <w:sz w:val="24"/>
          <w:vertAlign w:val="superscript"/>
        </w:rPr>
        <w:t>th</w:t>
      </w:r>
      <w:r w:rsidR="00EB57C7" w:rsidRPr="003119D1">
        <w:rPr>
          <w:rFonts w:ascii="Times New Roman" w:hAnsi="Times New Roman"/>
          <w:sz w:val="24"/>
        </w:rPr>
        <w:t xml:space="preserve"> July, and did not resume hearing until</w:t>
      </w:r>
      <w:r w:rsidRPr="003119D1">
        <w:rPr>
          <w:rFonts w:ascii="Times New Roman" w:hAnsi="Times New Roman"/>
          <w:sz w:val="24"/>
        </w:rPr>
        <w:t xml:space="preserve"> 23</w:t>
      </w:r>
      <w:r w:rsidRPr="002C517A">
        <w:rPr>
          <w:rFonts w:ascii="Times New Roman" w:hAnsi="Times New Roman"/>
          <w:sz w:val="24"/>
          <w:vertAlign w:val="superscript"/>
        </w:rPr>
        <w:t>rd</w:t>
      </w:r>
      <w:r w:rsidR="00EB57C7" w:rsidRPr="003119D1">
        <w:rPr>
          <w:rFonts w:ascii="Times New Roman" w:hAnsi="Times New Roman"/>
          <w:sz w:val="24"/>
        </w:rPr>
        <w:t xml:space="preserve"> October.</w:t>
      </w:r>
      <w:r w:rsidRPr="003119D1">
        <w:rPr>
          <w:rFonts w:ascii="Times New Roman" w:hAnsi="Times New Roman"/>
          <w:sz w:val="24"/>
        </w:rPr>
        <w:t xml:space="preserve"> </w:t>
      </w:r>
    </w:p>
    <w:p w14:paraId="00DF1350" w14:textId="04EC73AC" w:rsidR="000865DE" w:rsidRPr="003119D1" w:rsidRDefault="000865DE" w:rsidP="0058287A">
      <w:pPr>
        <w:pStyle w:val="ListParagraph"/>
        <w:numPr>
          <w:ilvl w:val="0"/>
          <w:numId w:val="1"/>
        </w:numPr>
        <w:tabs>
          <w:tab w:val="left" w:pos="567"/>
        </w:tabs>
        <w:spacing w:line="480" w:lineRule="auto"/>
        <w:ind w:left="0" w:firstLine="0"/>
        <w:rPr>
          <w:rFonts w:ascii="Times New Roman" w:hAnsi="Times New Roman"/>
          <w:sz w:val="24"/>
        </w:rPr>
      </w:pPr>
      <w:r w:rsidRPr="003119D1">
        <w:rPr>
          <w:rFonts w:ascii="Times New Roman" w:hAnsi="Times New Roman"/>
          <w:sz w:val="24"/>
        </w:rPr>
        <w:t xml:space="preserve">On that date, there were lengthy exchanges between the trial </w:t>
      </w:r>
      <w:r w:rsidR="002C517A">
        <w:rPr>
          <w:rFonts w:ascii="Times New Roman" w:hAnsi="Times New Roman"/>
          <w:sz w:val="24"/>
        </w:rPr>
        <w:t>j</w:t>
      </w:r>
      <w:r w:rsidRPr="003119D1">
        <w:rPr>
          <w:rFonts w:ascii="Times New Roman" w:hAnsi="Times New Roman"/>
          <w:sz w:val="24"/>
        </w:rPr>
        <w:t>udge and counsel for the appellants about the issue, with counsel</w:t>
      </w:r>
      <w:r w:rsidR="00161370" w:rsidRPr="003119D1">
        <w:rPr>
          <w:rFonts w:ascii="Times New Roman" w:hAnsi="Times New Roman"/>
          <w:sz w:val="24"/>
        </w:rPr>
        <w:t xml:space="preserve"> for the appellants</w:t>
      </w:r>
      <w:r w:rsidRPr="003119D1">
        <w:rPr>
          <w:rFonts w:ascii="Times New Roman" w:hAnsi="Times New Roman"/>
          <w:sz w:val="24"/>
        </w:rPr>
        <w:t xml:space="preserve"> forcefully submitting that the application before the </w:t>
      </w:r>
      <w:r w:rsidR="002C517A">
        <w:rPr>
          <w:rFonts w:ascii="Times New Roman" w:hAnsi="Times New Roman"/>
          <w:sz w:val="24"/>
        </w:rPr>
        <w:t>c</w:t>
      </w:r>
      <w:r w:rsidRPr="003119D1">
        <w:rPr>
          <w:rFonts w:ascii="Times New Roman" w:hAnsi="Times New Roman"/>
          <w:sz w:val="24"/>
        </w:rPr>
        <w:t>ourt did not “</w:t>
      </w:r>
      <w:r w:rsidRPr="002C517A">
        <w:rPr>
          <w:rFonts w:ascii="Times New Roman" w:hAnsi="Times New Roman"/>
          <w:i/>
          <w:iCs/>
          <w:sz w:val="24"/>
        </w:rPr>
        <w:t>translate into an application</w:t>
      </w:r>
      <w:r w:rsidR="002C517A" w:rsidRPr="002C517A">
        <w:rPr>
          <w:rFonts w:ascii="Times New Roman" w:hAnsi="Times New Roman"/>
          <w:i/>
          <w:iCs/>
          <w:sz w:val="24"/>
        </w:rPr>
        <w:t xml:space="preserve"> </w:t>
      </w:r>
      <w:r w:rsidRPr="002C517A">
        <w:rPr>
          <w:rFonts w:ascii="Times New Roman" w:hAnsi="Times New Roman"/>
          <w:i/>
          <w:iCs/>
          <w:sz w:val="24"/>
        </w:rPr>
        <w:t>…</w:t>
      </w:r>
      <w:r w:rsidR="002C517A" w:rsidRPr="002C517A">
        <w:rPr>
          <w:rFonts w:ascii="Times New Roman" w:hAnsi="Times New Roman"/>
          <w:i/>
          <w:iCs/>
          <w:sz w:val="24"/>
        </w:rPr>
        <w:t xml:space="preserve"> </w:t>
      </w:r>
      <w:r w:rsidRPr="002C517A">
        <w:rPr>
          <w:rFonts w:ascii="Times New Roman" w:hAnsi="Times New Roman"/>
          <w:i/>
          <w:iCs/>
          <w:sz w:val="24"/>
        </w:rPr>
        <w:t>that Roadstone would have to identify locations where they had quarried</w:t>
      </w:r>
      <w:r w:rsidRPr="003119D1">
        <w:rPr>
          <w:rFonts w:ascii="Times New Roman" w:hAnsi="Times New Roman"/>
          <w:sz w:val="24"/>
        </w:rPr>
        <w:t xml:space="preserve">” and that counsel for the respondents had purported to make that application for the first time that day, in reply to counsel for the appellants. In response to that submission the trial </w:t>
      </w:r>
      <w:r w:rsidR="002C517A">
        <w:rPr>
          <w:rFonts w:ascii="Times New Roman" w:hAnsi="Times New Roman"/>
          <w:sz w:val="24"/>
        </w:rPr>
        <w:t>j</w:t>
      </w:r>
      <w:r w:rsidRPr="003119D1">
        <w:rPr>
          <w:rFonts w:ascii="Times New Roman" w:hAnsi="Times New Roman"/>
          <w:sz w:val="24"/>
        </w:rPr>
        <w:t>udge said: “</w:t>
      </w:r>
      <w:r w:rsidRPr="002C517A">
        <w:rPr>
          <w:rFonts w:ascii="Times New Roman" w:hAnsi="Times New Roman"/>
          <w:i/>
          <w:iCs/>
          <w:sz w:val="24"/>
        </w:rPr>
        <w:t>The issue, in fairness to everybody, was really raised by me on the last day as to the nature and extent of my discretion under Order 50, Rule 4</w:t>
      </w:r>
      <w:r w:rsidRPr="003119D1">
        <w:rPr>
          <w:rFonts w:ascii="Times New Roman" w:hAnsi="Times New Roman"/>
          <w:sz w:val="24"/>
        </w:rPr>
        <w:t xml:space="preserve">”, and counsel agreed, and said that he had submitted on that occasion that such an order was unprecedented. There then followed a further exchange between the </w:t>
      </w:r>
      <w:r w:rsidR="002C517A">
        <w:rPr>
          <w:rFonts w:ascii="Times New Roman" w:hAnsi="Times New Roman"/>
          <w:sz w:val="24"/>
        </w:rPr>
        <w:t>c</w:t>
      </w:r>
      <w:r w:rsidRPr="003119D1">
        <w:rPr>
          <w:rFonts w:ascii="Times New Roman" w:hAnsi="Times New Roman"/>
          <w:sz w:val="24"/>
        </w:rPr>
        <w:t>ourt and counsel in which the latter explained that compliance with such an order, while not impossible, would involve a huge undertaking, and he referred to affidavits of Mr.</w:t>
      </w:r>
      <w:r w:rsidR="002C517A">
        <w:rPr>
          <w:rFonts w:ascii="Times New Roman" w:hAnsi="Times New Roman"/>
          <w:sz w:val="24"/>
        </w:rPr>
        <w:t xml:space="preserve"> </w:t>
      </w:r>
      <w:r w:rsidRPr="003119D1">
        <w:rPr>
          <w:rFonts w:ascii="Times New Roman" w:hAnsi="Times New Roman"/>
          <w:sz w:val="24"/>
        </w:rPr>
        <w:t>Buckley and Mr.</w:t>
      </w:r>
      <w:r w:rsidR="002C517A">
        <w:rPr>
          <w:rFonts w:ascii="Times New Roman" w:hAnsi="Times New Roman"/>
          <w:sz w:val="24"/>
        </w:rPr>
        <w:t xml:space="preserve"> </w:t>
      </w:r>
      <w:r w:rsidRPr="003119D1">
        <w:rPr>
          <w:rFonts w:ascii="Times New Roman" w:hAnsi="Times New Roman"/>
          <w:sz w:val="24"/>
        </w:rPr>
        <w:t xml:space="preserve">Lenny, the solicitor for the appellants. The </w:t>
      </w:r>
      <w:r w:rsidR="002C517A">
        <w:rPr>
          <w:rFonts w:ascii="Times New Roman" w:hAnsi="Times New Roman"/>
          <w:sz w:val="24"/>
        </w:rPr>
        <w:t>c</w:t>
      </w:r>
      <w:r w:rsidRPr="003119D1">
        <w:rPr>
          <w:rFonts w:ascii="Times New Roman" w:hAnsi="Times New Roman"/>
          <w:sz w:val="24"/>
        </w:rPr>
        <w:t xml:space="preserve">ourt then decided to adjourn the hearing to the following day, to allow the parties to make submissions to her on the jurisdiction of the </w:t>
      </w:r>
      <w:r w:rsidR="002C517A">
        <w:rPr>
          <w:rFonts w:ascii="Times New Roman" w:hAnsi="Times New Roman"/>
          <w:sz w:val="24"/>
        </w:rPr>
        <w:t>c</w:t>
      </w:r>
      <w:r w:rsidRPr="003119D1">
        <w:rPr>
          <w:rFonts w:ascii="Times New Roman" w:hAnsi="Times New Roman"/>
          <w:sz w:val="24"/>
        </w:rPr>
        <w:t>ourt under O</w:t>
      </w:r>
      <w:r w:rsidR="002C517A">
        <w:rPr>
          <w:rFonts w:ascii="Times New Roman" w:hAnsi="Times New Roman"/>
          <w:sz w:val="24"/>
        </w:rPr>
        <w:t>.</w:t>
      </w:r>
      <w:r w:rsidRPr="003119D1">
        <w:rPr>
          <w:rFonts w:ascii="Times New Roman" w:hAnsi="Times New Roman"/>
          <w:sz w:val="24"/>
        </w:rPr>
        <w:t xml:space="preserve"> 50, r</w:t>
      </w:r>
      <w:r w:rsidR="002C517A">
        <w:rPr>
          <w:rFonts w:ascii="Times New Roman" w:hAnsi="Times New Roman"/>
          <w:sz w:val="24"/>
        </w:rPr>
        <w:t>.</w:t>
      </w:r>
      <w:r w:rsidRPr="003119D1">
        <w:rPr>
          <w:rFonts w:ascii="Times New Roman" w:hAnsi="Times New Roman"/>
          <w:sz w:val="24"/>
        </w:rPr>
        <w:t xml:space="preserve"> 4. Comprehensive submissions in this regard were then made by the parties the following day.</w:t>
      </w:r>
      <w:r w:rsidR="003C6E55" w:rsidRPr="003119D1">
        <w:rPr>
          <w:rFonts w:ascii="Times New Roman" w:hAnsi="Times New Roman"/>
          <w:sz w:val="24"/>
        </w:rPr>
        <w:t xml:space="preserve"> </w:t>
      </w:r>
    </w:p>
    <w:p w14:paraId="08F48C87" w14:textId="7244275C" w:rsidR="000865DE" w:rsidRPr="003119D1" w:rsidRDefault="00FE0743" w:rsidP="0058287A">
      <w:pPr>
        <w:pStyle w:val="ListParagraph"/>
        <w:numPr>
          <w:ilvl w:val="0"/>
          <w:numId w:val="1"/>
        </w:numPr>
        <w:tabs>
          <w:tab w:val="left" w:pos="567"/>
        </w:tabs>
        <w:spacing w:line="480" w:lineRule="auto"/>
        <w:ind w:left="0" w:firstLine="0"/>
        <w:rPr>
          <w:rFonts w:ascii="Times New Roman" w:hAnsi="Times New Roman"/>
          <w:sz w:val="24"/>
        </w:rPr>
      </w:pPr>
      <w:r w:rsidRPr="003119D1">
        <w:rPr>
          <w:rFonts w:ascii="Times New Roman" w:hAnsi="Times New Roman"/>
          <w:sz w:val="24"/>
        </w:rPr>
        <w:t>The following emerges from all of the above.</w:t>
      </w:r>
      <w:r w:rsidR="000865DE" w:rsidRPr="003119D1">
        <w:rPr>
          <w:rFonts w:ascii="Times New Roman" w:hAnsi="Times New Roman"/>
          <w:sz w:val="24"/>
        </w:rPr>
        <w:t xml:space="preserve"> </w:t>
      </w:r>
      <w:r w:rsidRPr="003119D1">
        <w:rPr>
          <w:rFonts w:ascii="Times New Roman" w:hAnsi="Times New Roman"/>
          <w:sz w:val="24"/>
        </w:rPr>
        <w:t>F</w:t>
      </w:r>
      <w:r w:rsidR="000865DE" w:rsidRPr="003119D1">
        <w:rPr>
          <w:rFonts w:ascii="Times New Roman" w:hAnsi="Times New Roman"/>
          <w:sz w:val="24"/>
        </w:rPr>
        <w:t>rom an early</w:t>
      </w:r>
      <w:r w:rsidRPr="003119D1">
        <w:rPr>
          <w:rFonts w:ascii="Times New Roman" w:hAnsi="Times New Roman"/>
          <w:sz w:val="24"/>
        </w:rPr>
        <w:t xml:space="preserve"> </w:t>
      </w:r>
      <w:r w:rsidR="000865DE" w:rsidRPr="003119D1">
        <w:rPr>
          <w:rFonts w:ascii="Times New Roman" w:hAnsi="Times New Roman"/>
          <w:sz w:val="24"/>
        </w:rPr>
        <w:t>stage (well before the judgment of July 2017),</w:t>
      </w:r>
      <w:r w:rsidR="00CE7EFC">
        <w:rPr>
          <w:rFonts w:ascii="Times New Roman" w:hAnsi="Times New Roman"/>
          <w:sz w:val="24"/>
        </w:rPr>
        <w:t xml:space="preserve"> </w:t>
      </w:r>
      <w:r w:rsidR="000865DE" w:rsidRPr="003119D1">
        <w:rPr>
          <w:rFonts w:ascii="Times New Roman" w:hAnsi="Times New Roman"/>
          <w:sz w:val="24"/>
        </w:rPr>
        <w:t xml:space="preserve">the identity of relevant locations within the appellants’ quarries was an issue in the proceedings. </w:t>
      </w:r>
      <w:r w:rsidR="003C6E55" w:rsidRPr="003119D1">
        <w:rPr>
          <w:rFonts w:ascii="Times New Roman" w:hAnsi="Times New Roman"/>
          <w:sz w:val="24"/>
        </w:rPr>
        <w:t xml:space="preserve">A request of the respondents to the </w:t>
      </w:r>
      <w:r w:rsidR="00CE7EFC">
        <w:rPr>
          <w:rFonts w:ascii="Times New Roman" w:hAnsi="Times New Roman"/>
          <w:sz w:val="24"/>
        </w:rPr>
        <w:t>c</w:t>
      </w:r>
      <w:r w:rsidR="003C6E55" w:rsidRPr="003119D1">
        <w:rPr>
          <w:rFonts w:ascii="Times New Roman" w:hAnsi="Times New Roman"/>
          <w:sz w:val="24"/>
        </w:rPr>
        <w:t xml:space="preserve">ourt to direct the appellants to cooperate with the order for inspection, by identifying relevant locations, was expressly </w:t>
      </w:r>
      <w:r w:rsidR="003C6E55" w:rsidRPr="003119D1">
        <w:rPr>
          <w:rFonts w:ascii="Times New Roman" w:hAnsi="Times New Roman"/>
          <w:sz w:val="24"/>
        </w:rPr>
        <w:lastRenderedPageBreak/>
        <w:t xml:space="preserve">identified by the trial </w:t>
      </w:r>
      <w:r w:rsidR="00CE7EFC">
        <w:rPr>
          <w:rFonts w:ascii="Times New Roman" w:hAnsi="Times New Roman"/>
          <w:sz w:val="24"/>
        </w:rPr>
        <w:t>j</w:t>
      </w:r>
      <w:r w:rsidR="003C6E55" w:rsidRPr="003119D1">
        <w:rPr>
          <w:rFonts w:ascii="Times New Roman" w:hAnsi="Times New Roman"/>
          <w:sz w:val="24"/>
        </w:rPr>
        <w:t xml:space="preserve">udge as such in her first judgment. It surfaced again in July 2018 at the resumed hearing and the appellants addressed the </w:t>
      </w:r>
      <w:r w:rsidR="00CE7EFC">
        <w:rPr>
          <w:rFonts w:ascii="Times New Roman" w:hAnsi="Times New Roman"/>
          <w:sz w:val="24"/>
        </w:rPr>
        <w:t>c</w:t>
      </w:r>
      <w:r w:rsidR="003C6E55" w:rsidRPr="003119D1">
        <w:rPr>
          <w:rFonts w:ascii="Times New Roman" w:hAnsi="Times New Roman"/>
          <w:sz w:val="24"/>
        </w:rPr>
        <w:t>ourt on the issue at some length on both 23</w:t>
      </w:r>
      <w:r w:rsidR="003C6E55" w:rsidRPr="00CE7EFC">
        <w:rPr>
          <w:rFonts w:ascii="Times New Roman" w:hAnsi="Times New Roman"/>
          <w:sz w:val="24"/>
          <w:vertAlign w:val="superscript"/>
        </w:rPr>
        <w:t>rd</w:t>
      </w:r>
      <w:r w:rsidR="003C6E55" w:rsidRPr="003119D1">
        <w:rPr>
          <w:rFonts w:ascii="Times New Roman" w:hAnsi="Times New Roman"/>
          <w:sz w:val="24"/>
        </w:rPr>
        <w:t xml:space="preserve"> and 24</w:t>
      </w:r>
      <w:r w:rsidR="003C6E55" w:rsidRPr="00CE7EFC">
        <w:rPr>
          <w:rFonts w:ascii="Times New Roman" w:hAnsi="Times New Roman"/>
          <w:sz w:val="24"/>
          <w:vertAlign w:val="superscript"/>
        </w:rPr>
        <w:t>th</w:t>
      </w:r>
      <w:r w:rsidR="003C6E55" w:rsidRPr="003119D1">
        <w:rPr>
          <w:rFonts w:ascii="Times New Roman" w:hAnsi="Times New Roman"/>
          <w:sz w:val="24"/>
        </w:rPr>
        <w:t xml:space="preserve"> October 2018.</w:t>
      </w:r>
      <w:r w:rsidR="000865DE" w:rsidRPr="003119D1">
        <w:rPr>
          <w:rFonts w:ascii="Times New Roman" w:hAnsi="Times New Roman"/>
          <w:sz w:val="24"/>
        </w:rPr>
        <w:t xml:space="preserve"> </w:t>
      </w:r>
    </w:p>
    <w:p w14:paraId="51613D79" w14:textId="00CBC9E6" w:rsidR="003C6E55" w:rsidRPr="003C6E55" w:rsidRDefault="003C6E55" w:rsidP="0058287A">
      <w:pPr>
        <w:pStyle w:val="ListParagraph"/>
        <w:numPr>
          <w:ilvl w:val="0"/>
          <w:numId w:val="1"/>
        </w:numPr>
        <w:tabs>
          <w:tab w:val="left" w:pos="567"/>
        </w:tabs>
        <w:spacing w:line="480" w:lineRule="auto"/>
        <w:ind w:left="0" w:firstLine="0"/>
        <w:rPr>
          <w:rFonts w:ascii="Times New Roman" w:hAnsi="Times New Roman"/>
          <w:sz w:val="24"/>
        </w:rPr>
      </w:pPr>
      <w:r w:rsidRPr="003119D1">
        <w:rPr>
          <w:rFonts w:ascii="Times New Roman" w:hAnsi="Times New Roman"/>
          <w:sz w:val="24"/>
        </w:rPr>
        <w:t xml:space="preserve">While the appellants </w:t>
      </w:r>
      <w:r w:rsidR="004F29E4">
        <w:rPr>
          <w:rFonts w:ascii="Times New Roman" w:hAnsi="Times New Roman"/>
          <w:sz w:val="24"/>
        </w:rPr>
        <w:t xml:space="preserve">say </w:t>
      </w:r>
      <w:r w:rsidRPr="003119D1">
        <w:rPr>
          <w:rFonts w:ascii="Times New Roman" w:hAnsi="Times New Roman"/>
          <w:sz w:val="24"/>
        </w:rPr>
        <w:t>that they would have submitted an affidavit addressing the difficulties or even the impossibility of complying with such an order, had they known that the application for such relief was being sought, I would reject this argument for several reasons. Firstly, as is apparent, the issue was well signalled by the first judgment. Any doubt as to whether or not it was indeed an issue must surely have been eliminated by the conclusion of the resumed hearing in July 2018, and an affidavit addressing the issue could have been filed in time for the resumed hearing in October 2018, at latest</w:t>
      </w:r>
      <w:r w:rsidR="00D82CEE">
        <w:rPr>
          <w:rFonts w:ascii="Times New Roman" w:hAnsi="Times New Roman"/>
          <w:sz w:val="24"/>
        </w:rPr>
        <w:t xml:space="preserve"> (In fact the hearing was adjourned from July to October so as to allow the appellants an opportunity to deliver an affidavit on the respondents</w:t>
      </w:r>
      <w:r w:rsidR="003024C2">
        <w:rPr>
          <w:rFonts w:ascii="Times New Roman" w:hAnsi="Times New Roman"/>
          <w:sz w:val="24"/>
        </w:rPr>
        <w:t>’</w:t>
      </w:r>
      <w:r w:rsidR="00D82CEE">
        <w:rPr>
          <w:rFonts w:ascii="Times New Roman" w:hAnsi="Times New Roman"/>
          <w:sz w:val="24"/>
        </w:rPr>
        <w:t xml:space="preserve"> production motion, and Mr.</w:t>
      </w:r>
      <w:r w:rsidR="003024C2">
        <w:rPr>
          <w:rFonts w:ascii="Times New Roman" w:hAnsi="Times New Roman"/>
          <w:sz w:val="24"/>
        </w:rPr>
        <w:t xml:space="preserve"> </w:t>
      </w:r>
      <w:r w:rsidR="00D82CEE">
        <w:rPr>
          <w:rFonts w:ascii="Times New Roman" w:hAnsi="Times New Roman"/>
          <w:sz w:val="24"/>
        </w:rPr>
        <w:t>Buckley swore an affidavit for that purpose on 31</w:t>
      </w:r>
      <w:r w:rsidR="00D82CEE" w:rsidRPr="003024C2">
        <w:rPr>
          <w:rFonts w:ascii="Times New Roman" w:hAnsi="Times New Roman"/>
          <w:sz w:val="24"/>
          <w:vertAlign w:val="superscript"/>
        </w:rPr>
        <w:t>st</w:t>
      </w:r>
      <w:r w:rsidR="00D82CEE">
        <w:rPr>
          <w:rFonts w:ascii="Times New Roman" w:hAnsi="Times New Roman"/>
          <w:sz w:val="24"/>
        </w:rPr>
        <w:t xml:space="preserve"> August 2018). </w:t>
      </w:r>
      <w:r w:rsidRPr="003119D1">
        <w:rPr>
          <w:rFonts w:ascii="Times New Roman" w:hAnsi="Times New Roman"/>
          <w:sz w:val="24"/>
        </w:rPr>
        <w:t xml:space="preserve"> Secondly, in October 2018, counsel addressed the </w:t>
      </w:r>
      <w:r w:rsidR="00EB6CEF">
        <w:rPr>
          <w:rFonts w:ascii="Times New Roman" w:hAnsi="Times New Roman"/>
          <w:sz w:val="24"/>
        </w:rPr>
        <w:t>c</w:t>
      </w:r>
      <w:r w:rsidRPr="003119D1">
        <w:rPr>
          <w:rFonts w:ascii="Times New Roman" w:hAnsi="Times New Roman"/>
          <w:sz w:val="24"/>
        </w:rPr>
        <w:t xml:space="preserve">ourt in some detail as to the task that would be faced by the appellants if such an order were granted. The judge was </w:t>
      </w:r>
      <w:r w:rsidR="004F29E4">
        <w:rPr>
          <w:rFonts w:ascii="Times New Roman" w:hAnsi="Times New Roman"/>
          <w:sz w:val="24"/>
        </w:rPr>
        <w:t xml:space="preserve">undoubtedly </w:t>
      </w:r>
      <w:r w:rsidRPr="003119D1">
        <w:rPr>
          <w:rFonts w:ascii="Times New Roman" w:hAnsi="Times New Roman"/>
          <w:sz w:val="24"/>
        </w:rPr>
        <w:t xml:space="preserve">alert to these issues, as is clear from her comments about the costs that would be incurred by the appellants in complying with the order being costs in the cause, and more significantly, by granting the parties liberty to apply. Thirdly, insofar </w:t>
      </w:r>
      <w:r w:rsidR="008B4C2E">
        <w:rPr>
          <w:rFonts w:ascii="Times New Roman" w:hAnsi="Times New Roman"/>
          <w:sz w:val="24"/>
        </w:rPr>
        <w:t xml:space="preserve">as </w:t>
      </w:r>
      <w:r w:rsidRPr="003119D1">
        <w:rPr>
          <w:rFonts w:ascii="Times New Roman" w:hAnsi="Times New Roman"/>
          <w:sz w:val="24"/>
        </w:rPr>
        <w:t>the appellants now submit, on the basis of the affidavit filed by Mr.</w:t>
      </w:r>
      <w:r w:rsidR="00EB6CEF">
        <w:rPr>
          <w:rFonts w:ascii="Times New Roman" w:hAnsi="Times New Roman"/>
          <w:sz w:val="24"/>
        </w:rPr>
        <w:t xml:space="preserve"> </w:t>
      </w:r>
      <w:r w:rsidRPr="003119D1">
        <w:rPr>
          <w:rFonts w:ascii="Times New Roman" w:hAnsi="Times New Roman"/>
          <w:sz w:val="24"/>
        </w:rPr>
        <w:t xml:space="preserve">Glynn for the purpose of this appeal, that compliance with the locations part of the order is impossible (contrary to the findings of the trial judge, and leaving aside whether or not the appellants have appealed from that particular finding), that too is addressed by the granting of liberty to apply by the trial judge. Indeed, difficulties in complying with court orders is the </w:t>
      </w:r>
      <w:r w:rsidR="00EB6CEF" w:rsidRPr="003119D1">
        <w:rPr>
          <w:rFonts w:ascii="Times New Roman" w:hAnsi="Times New Roman"/>
          <w:sz w:val="24"/>
        </w:rPr>
        <w:t>raison d’</w:t>
      </w:r>
      <w:r w:rsidR="00EB6CEF" w:rsidRPr="00EB6CEF">
        <w:rPr>
          <w:rFonts w:ascii="Times New Roman" w:hAnsi="Times New Roman"/>
          <w:sz w:val="24"/>
        </w:rPr>
        <w:t>ê</w:t>
      </w:r>
      <w:r w:rsidR="00EB6CEF" w:rsidRPr="003119D1">
        <w:rPr>
          <w:rFonts w:ascii="Times New Roman" w:hAnsi="Times New Roman"/>
          <w:sz w:val="24"/>
        </w:rPr>
        <w:t xml:space="preserve">tre </w:t>
      </w:r>
      <w:r w:rsidRPr="003119D1">
        <w:rPr>
          <w:rFonts w:ascii="Times New Roman" w:hAnsi="Times New Roman"/>
          <w:sz w:val="24"/>
        </w:rPr>
        <w:t xml:space="preserve">of giving parties liberty to apply. It </w:t>
      </w:r>
      <w:r w:rsidR="00FE0743" w:rsidRPr="003119D1">
        <w:rPr>
          <w:rFonts w:ascii="Times New Roman" w:hAnsi="Times New Roman"/>
          <w:sz w:val="24"/>
        </w:rPr>
        <w:t xml:space="preserve">is </w:t>
      </w:r>
      <w:r w:rsidRPr="003119D1">
        <w:rPr>
          <w:rFonts w:ascii="Times New Roman" w:hAnsi="Times New Roman"/>
          <w:sz w:val="24"/>
        </w:rPr>
        <w:t xml:space="preserve">not difficult to see what the trial judge was trying to achieve. The litigation would clearly be progressed in a material way either by the </w:t>
      </w:r>
      <w:r w:rsidR="00161370" w:rsidRPr="003119D1">
        <w:rPr>
          <w:rFonts w:ascii="Times New Roman" w:hAnsi="Times New Roman"/>
          <w:sz w:val="24"/>
        </w:rPr>
        <w:lastRenderedPageBreak/>
        <w:t xml:space="preserve">Roadstone </w:t>
      </w:r>
      <w:r w:rsidRPr="003119D1">
        <w:rPr>
          <w:rFonts w:ascii="Times New Roman" w:hAnsi="Times New Roman"/>
          <w:sz w:val="24"/>
        </w:rPr>
        <w:t xml:space="preserve">identifying the relevant locations, or by bringing the exercise as far as </w:t>
      </w:r>
      <w:r w:rsidR="00161370" w:rsidRPr="003119D1">
        <w:rPr>
          <w:rFonts w:ascii="Times New Roman" w:hAnsi="Times New Roman"/>
          <w:sz w:val="24"/>
        </w:rPr>
        <w:t>it</w:t>
      </w:r>
      <w:r w:rsidRPr="003119D1">
        <w:rPr>
          <w:rFonts w:ascii="Times New Roman" w:hAnsi="Times New Roman"/>
          <w:sz w:val="24"/>
        </w:rPr>
        <w:t xml:space="preserve"> could before bringing the matter back to </w:t>
      </w:r>
      <w:r w:rsidR="00EB6CEF">
        <w:rPr>
          <w:rFonts w:ascii="Times New Roman" w:hAnsi="Times New Roman"/>
          <w:sz w:val="24"/>
        </w:rPr>
        <w:t>c</w:t>
      </w:r>
      <w:r w:rsidRPr="003119D1">
        <w:rPr>
          <w:rFonts w:ascii="Times New Roman" w:hAnsi="Times New Roman"/>
          <w:sz w:val="24"/>
        </w:rPr>
        <w:t>ourt for further directions.</w:t>
      </w:r>
    </w:p>
    <w:p w14:paraId="62248A14" w14:textId="250D2A1D" w:rsidR="00B4144C" w:rsidRPr="0045613D" w:rsidRDefault="003C6E55" w:rsidP="0058287A">
      <w:pPr>
        <w:pStyle w:val="ListParagraph"/>
        <w:numPr>
          <w:ilvl w:val="0"/>
          <w:numId w:val="1"/>
        </w:numPr>
        <w:tabs>
          <w:tab w:val="left" w:pos="567"/>
        </w:tabs>
        <w:spacing w:line="480" w:lineRule="auto"/>
        <w:ind w:left="0" w:firstLine="0"/>
        <w:rPr>
          <w:rFonts w:ascii="Times New Roman" w:hAnsi="Times New Roman"/>
          <w:sz w:val="24"/>
        </w:rPr>
      </w:pPr>
      <w:r w:rsidRPr="003119D1">
        <w:rPr>
          <w:rFonts w:ascii="Times New Roman" w:hAnsi="Times New Roman"/>
          <w:sz w:val="24"/>
        </w:rPr>
        <w:t xml:space="preserve">For all of the foregoing reasons, I am of the view that any </w:t>
      </w:r>
      <w:r w:rsidR="004F29E4">
        <w:rPr>
          <w:rFonts w:ascii="Times New Roman" w:hAnsi="Times New Roman"/>
          <w:sz w:val="24"/>
        </w:rPr>
        <w:t xml:space="preserve">perceived </w:t>
      </w:r>
      <w:r w:rsidRPr="003119D1">
        <w:rPr>
          <w:rFonts w:ascii="Times New Roman" w:hAnsi="Times New Roman"/>
          <w:sz w:val="24"/>
        </w:rPr>
        <w:t xml:space="preserve">procedural </w:t>
      </w:r>
      <w:r w:rsidR="004F29E4">
        <w:rPr>
          <w:rFonts w:ascii="Times New Roman" w:hAnsi="Times New Roman"/>
          <w:sz w:val="24"/>
        </w:rPr>
        <w:t xml:space="preserve">unfairness </w:t>
      </w:r>
      <w:r w:rsidRPr="003119D1">
        <w:rPr>
          <w:rFonts w:ascii="Times New Roman" w:hAnsi="Times New Roman"/>
          <w:sz w:val="24"/>
        </w:rPr>
        <w:t>that there may have been</w:t>
      </w:r>
      <w:r w:rsidR="00FE0743" w:rsidRPr="003119D1">
        <w:rPr>
          <w:rFonts w:ascii="Times New Roman" w:hAnsi="Times New Roman"/>
          <w:sz w:val="24"/>
        </w:rPr>
        <w:t>,</w:t>
      </w:r>
      <w:r w:rsidR="00EB6CEF">
        <w:rPr>
          <w:rFonts w:ascii="Times New Roman" w:hAnsi="Times New Roman"/>
          <w:sz w:val="24"/>
        </w:rPr>
        <w:t xml:space="preserve"> </w:t>
      </w:r>
      <w:r w:rsidRPr="003119D1">
        <w:rPr>
          <w:rFonts w:ascii="Times New Roman" w:hAnsi="Times New Roman"/>
          <w:sz w:val="24"/>
        </w:rPr>
        <w:t xml:space="preserve">owing to the fact that there was no </w:t>
      </w:r>
      <w:r w:rsidR="00FE0743" w:rsidRPr="003119D1">
        <w:rPr>
          <w:rFonts w:ascii="Times New Roman" w:hAnsi="Times New Roman"/>
          <w:sz w:val="24"/>
        </w:rPr>
        <w:t xml:space="preserve">relief </w:t>
      </w:r>
      <w:r w:rsidRPr="003119D1">
        <w:rPr>
          <w:rFonts w:ascii="Times New Roman" w:hAnsi="Times New Roman"/>
          <w:sz w:val="24"/>
        </w:rPr>
        <w:t xml:space="preserve">expressly </w:t>
      </w:r>
      <w:r w:rsidR="00FE0743" w:rsidRPr="003119D1">
        <w:rPr>
          <w:rFonts w:ascii="Times New Roman" w:hAnsi="Times New Roman"/>
          <w:sz w:val="24"/>
        </w:rPr>
        <w:t>sought</w:t>
      </w:r>
      <w:r w:rsidRPr="003119D1">
        <w:rPr>
          <w:rFonts w:ascii="Times New Roman" w:hAnsi="Times New Roman"/>
          <w:sz w:val="24"/>
        </w:rPr>
        <w:t xml:space="preserve"> seeking orders directing the appellants to identify specific locations in their quarries</w:t>
      </w:r>
      <w:r w:rsidR="00FE0743" w:rsidRPr="003119D1">
        <w:rPr>
          <w:rFonts w:ascii="Times New Roman" w:hAnsi="Times New Roman"/>
          <w:sz w:val="24"/>
        </w:rPr>
        <w:t>,</w:t>
      </w:r>
      <w:r w:rsidRPr="003119D1">
        <w:rPr>
          <w:rFonts w:ascii="Times New Roman" w:hAnsi="Times New Roman"/>
          <w:sz w:val="24"/>
        </w:rPr>
        <w:t xml:space="preserve"> were cured by the time the application finally</w:t>
      </w:r>
      <w:r w:rsidR="00FE0743" w:rsidRPr="003119D1">
        <w:rPr>
          <w:rFonts w:ascii="Times New Roman" w:hAnsi="Times New Roman"/>
          <w:sz w:val="24"/>
        </w:rPr>
        <w:t xml:space="preserve"> </w:t>
      </w:r>
      <w:r w:rsidRPr="003119D1">
        <w:rPr>
          <w:rFonts w:ascii="Times New Roman" w:hAnsi="Times New Roman"/>
          <w:sz w:val="24"/>
        </w:rPr>
        <w:t xml:space="preserve">concluded in October 2018, and by the safeguards built in to the order made by the trial judge. I would therefore dismiss this ground of appeal also. </w:t>
      </w:r>
    </w:p>
    <w:p w14:paraId="32AA05AA" w14:textId="6DDBCA74" w:rsidR="00E13276" w:rsidRDefault="00E079E6" w:rsidP="0058287A">
      <w:pPr>
        <w:tabs>
          <w:tab w:val="left" w:pos="567"/>
        </w:tabs>
        <w:spacing w:line="480" w:lineRule="auto"/>
        <w:jc w:val="both"/>
        <w:rPr>
          <w:b/>
        </w:rPr>
      </w:pPr>
      <w:r w:rsidRPr="00383288">
        <w:rPr>
          <w:b/>
        </w:rPr>
        <w:t>Order</w:t>
      </w:r>
      <w:r w:rsidR="00383288" w:rsidRPr="00383288">
        <w:rPr>
          <w:b/>
        </w:rPr>
        <w:t xml:space="preserve"> neither necessary nor expedient</w:t>
      </w:r>
    </w:p>
    <w:p w14:paraId="23F2A4BA" w14:textId="3915089B" w:rsidR="004C5748" w:rsidRPr="004E650E" w:rsidRDefault="004C5748" w:rsidP="006438CA">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4E650E">
        <w:rPr>
          <w:rFonts w:ascii="Times New Roman" w:hAnsi="Times New Roman" w:cs="Times New Roman"/>
          <w:sz w:val="24"/>
          <w:szCs w:val="24"/>
        </w:rPr>
        <w:t xml:space="preserve">At the outset of consideration of this objection it is appropriate to recall that the order under appeal is an interlocutory order of a kind in the making of which the judge of first instance enjoys a margin of appreciation. It is useful to recall the words of Irvine J. in </w:t>
      </w:r>
      <w:r w:rsidRPr="004E650E">
        <w:rPr>
          <w:rFonts w:ascii="Times New Roman" w:hAnsi="Times New Roman" w:cs="Times New Roman"/>
          <w:i/>
          <w:iCs/>
          <w:sz w:val="24"/>
          <w:szCs w:val="24"/>
        </w:rPr>
        <w:t>Lawless v</w:t>
      </w:r>
      <w:r w:rsidR="004E650E">
        <w:rPr>
          <w:rFonts w:ascii="Times New Roman" w:hAnsi="Times New Roman" w:cs="Times New Roman"/>
          <w:i/>
          <w:iCs/>
          <w:sz w:val="24"/>
          <w:szCs w:val="24"/>
        </w:rPr>
        <w:t>.</w:t>
      </w:r>
      <w:r w:rsidRPr="004E650E">
        <w:rPr>
          <w:rFonts w:ascii="Times New Roman" w:hAnsi="Times New Roman" w:cs="Times New Roman"/>
          <w:i/>
          <w:iCs/>
          <w:sz w:val="24"/>
          <w:szCs w:val="24"/>
        </w:rPr>
        <w:t xml:space="preserve"> Aer</w:t>
      </w:r>
      <w:r w:rsidR="00B90701">
        <w:rPr>
          <w:rFonts w:ascii="Times New Roman" w:hAnsi="Times New Roman" w:cs="Times New Roman"/>
          <w:i/>
          <w:iCs/>
          <w:sz w:val="24"/>
          <w:szCs w:val="24"/>
        </w:rPr>
        <w:t xml:space="preserve"> L</w:t>
      </w:r>
      <w:r w:rsidRPr="004E650E">
        <w:rPr>
          <w:rFonts w:ascii="Times New Roman" w:hAnsi="Times New Roman" w:cs="Times New Roman"/>
          <w:i/>
          <w:iCs/>
          <w:sz w:val="24"/>
          <w:szCs w:val="24"/>
        </w:rPr>
        <w:t>ingus</w:t>
      </w:r>
      <w:r w:rsidR="00B90701">
        <w:rPr>
          <w:rFonts w:ascii="Times New Roman" w:hAnsi="Times New Roman" w:cs="Times New Roman"/>
          <w:i/>
          <w:iCs/>
          <w:sz w:val="24"/>
          <w:szCs w:val="24"/>
        </w:rPr>
        <w:t xml:space="preserve"> Group plc</w:t>
      </w:r>
      <w:r w:rsidRPr="004E650E">
        <w:rPr>
          <w:rFonts w:ascii="Times New Roman" w:hAnsi="Times New Roman" w:cs="Times New Roman"/>
          <w:sz w:val="24"/>
          <w:szCs w:val="24"/>
        </w:rPr>
        <w:t xml:space="preserve"> [2016] IECA 235</w:t>
      </w:r>
      <w:r w:rsidR="0041748E" w:rsidRPr="004E650E">
        <w:rPr>
          <w:rFonts w:ascii="Times New Roman" w:hAnsi="Times New Roman" w:cs="Times New Roman"/>
          <w:sz w:val="24"/>
          <w:szCs w:val="24"/>
        </w:rPr>
        <w:t>:</w:t>
      </w:r>
    </w:p>
    <w:p w14:paraId="0AE997C9" w14:textId="2367E092" w:rsidR="00AA00CB" w:rsidRPr="004E650E" w:rsidRDefault="00AA00CB" w:rsidP="004E650E">
      <w:pPr>
        <w:pStyle w:val="ListParagraph"/>
        <w:tabs>
          <w:tab w:val="left" w:pos="567"/>
        </w:tabs>
        <w:spacing w:line="480" w:lineRule="auto"/>
        <w:ind w:left="567"/>
        <w:rPr>
          <w:rFonts w:ascii="Times New Roman" w:hAnsi="Times New Roman" w:cs="Times New Roman"/>
          <w:i/>
          <w:iCs/>
          <w:sz w:val="24"/>
          <w:szCs w:val="24"/>
        </w:rPr>
      </w:pPr>
      <w:r w:rsidRPr="004E650E">
        <w:rPr>
          <w:rFonts w:ascii="Times New Roman" w:hAnsi="Times New Roman" w:cs="Times New Roman"/>
          <w:sz w:val="24"/>
          <w:szCs w:val="24"/>
        </w:rPr>
        <w:t>“</w:t>
      </w:r>
      <w:r w:rsidRPr="004E650E">
        <w:rPr>
          <w:rFonts w:ascii="Times New Roman" w:hAnsi="Times New Roman" w:cs="Times New Roman"/>
          <w:i/>
          <w:iCs/>
          <w:sz w:val="24"/>
          <w:szCs w:val="24"/>
        </w:rPr>
        <w:t xml:space="preserve">22. The first </w:t>
      </w:r>
      <w:r w:rsidRPr="004E650E">
        <w:rPr>
          <w:rFonts w:ascii="Times New Roman" w:hAnsi="Times New Roman"/>
          <w:i/>
          <w:iCs/>
          <w:sz w:val="24"/>
        </w:rPr>
        <w:t>matter</w:t>
      </w:r>
      <w:r w:rsidRPr="004E650E">
        <w:rPr>
          <w:rFonts w:ascii="Times New Roman" w:hAnsi="Times New Roman" w:cs="Times New Roman"/>
          <w:i/>
          <w:iCs/>
          <w:sz w:val="24"/>
          <w:szCs w:val="24"/>
        </w:rPr>
        <w:t xml:space="preserve"> to be briefly addressed in the course of this ruling is the court’s jurisdiction on this appeal. This is an appeal against an order made by the High Court judge in the exercise of her discretion in relation to an interlocutory matter. This is not a re</w:t>
      </w:r>
      <w:r w:rsidR="006D12CE">
        <w:rPr>
          <w:rFonts w:ascii="Times New Roman" w:hAnsi="Times New Roman" w:cs="Times New Roman"/>
          <w:i/>
          <w:iCs/>
          <w:sz w:val="24"/>
          <w:szCs w:val="24"/>
        </w:rPr>
        <w:t>-</w:t>
      </w:r>
      <w:r w:rsidRPr="004E650E">
        <w:rPr>
          <w:rFonts w:ascii="Times New Roman" w:hAnsi="Times New Roman" w:cs="Times New Roman"/>
          <w:i/>
          <w:iCs/>
          <w:sz w:val="24"/>
          <w:szCs w:val="24"/>
        </w:rPr>
        <w:t xml:space="preserve">hearing of that application and that being so this court should afford significant deference to the decision in the High Court. It is nonetheless clear that if an appellate court can detect a clear error in the manner of the approach of the High Court judge it is of course free to interfere with that decision. Further, even if the appellant cannot identify such an error the appellate court may nonetheless allow an appeal if satisfied that the justice of the case can only be met by such an approach. The Court is able to do this because it has available to it all of the affidavit evidence that was before the High Court at the time the original interlocutory decision was made. The role of the appellate court in this regard is set out in the decision of this </w:t>
      </w:r>
      <w:r w:rsidRPr="004E650E">
        <w:rPr>
          <w:rFonts w:ascii="Times New Roman" w:hAnsi="Times New Roman" w:cs="Times New Roman"/>
          <w:i/>
          <w:iCs/>
          <w:sz w:val="24"/>
          <w:szCs w:val="24"/>
        </w:rPr>
        <w:lastRenderedPageBreak/>
        <w:t>court in Collins v. Minister for Justice, Equality and Law Reform [2015] IECA 27 and by McMenamin J. in Lismore Homes Ltd. v. Bank of Ireland Finance Ltd. [2013] IESC 6.</w:t>
      </w:r>
    </w:p>
    <w:p w14:paraId="389938A7" w14:textId="7BF593FC" w:rsidR="0041748E" w:rsidRPr="004E650E" w:rsidRDefault="0041748E" w:rsidP="004E650E">
      <w:pPr>
        <w:pStyle w:val="ListParagraph"/>
        <w:tabs>
          <w:tab w:val="left" w:pos="567"/>
        </w:tabs>
        <w:spacing w:line="480" w:lineRule="auto"/>
        <w:ind w:left="567"/>
        <w:rPr>
          <w:rFonts w:ascii="Times New Roman" w:hAnsi="Times New Roman" w:cs="Times New Roman"/>
          <w:sz w:val="24"/>
          <w:szCs w:val="24"/>
        </w:rPr>
      </w:pPr>
      <w:r w:rsidRPr="004E650E">
        <w:rPr>
          <w:rFonts w:ascii="Times New Roman" w:hAnsi="Times New Roman" w:cs="Times New Roman"/>
          <w:i/>
          <w:iCs/>
          <w:sz w:val="24"/>
          <w:szCs w:val="24"/>
        </w:rPr>
        <w:t>23. However, it seems to me that all too often parties who are somewhat dissatisfied by interlocutory orders made in the High Court seek to use this Court as a venue to re-argue their application de novo in the hope of persuading this court to exercise its discretion in a somewhat different fashion from that which was adopted by the High Court judge at the original hearing. That is a practice which I believe is not to be encouraged. In order for this Court to displace the order of the High Court in a discovery matter the appellant should be in a position to establish that a real injustice will be done unless the High Court order is set aside. It should not be sufficient for an appellant simply to establish that there was a better or more suitable order that might have been made by the trial judge in the exercise of their discretion.</w:t>
      </w:r>
      <w:r w:rsidR="00AA00CB" w:rsidRPr="004E650E">
        <w:rPr>
          <w:rFonts w:ascii="Times New Roman" w:hAnsi="Times New Roman" w:cs="Times New Roman"/>
          <w:sz w:val="24"/>
          <w:szCs w:val="24"/>
        </w:rPr>
        <w:t>”</w:t>
      </w:r>
    </w:p>
    <w:p w14:paraId="510EBFB6" w14:textId="14C4522F" w:rsidR="00AA00CB" w:rsidRDefault="00AA00CB" w:rsidP="006438CA">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4E650E">
        <w:rPr>
          <w:rFonts w:ascii="Times New Roman" w:hAnsi="Times New Roman" w:cs="Times New Roman"/>
          <w:sz w:val="24"/>
          <w:szCs w:val="24"/>
        </w:rPr>
        <w:t xml:space="preserve">It must also be remembered that the order made by the trial judge was one made by her in the course of case managing these proceedings, for which she had had responsibility for a considerable period at the time she heard the application. Accordingly the deference to be accorded to the trial judge </w:t>
      </w:r>
      <w:r w:rsidR="00835452" w:rsidRPr="004E650E">
        <w:rPr>
          <w:rFonts w:ascii="Times New Roman" w:hAnsi="Times New Roman" w:cs="Times New Roman"/>
          <w:sz w:val="24"/>
          <w:szCs w:val="24"/>
        </w:rPr>
        <w:t>in her consideration of and decision on the application</w:t>
      </w:r>
      <w:r w:rsidR="00835452" w:rsidRPr="004E650E">
        <w:rPr>
          <w:rFonts w:ascii="Times New Roman" w:hAnsi="Times New Roman" w:cs="Times New Roman"/>
          <w:i/>
          <w:sz w:val="24"/>
          <w:szCs w:val="24"/>
        </w:rPr>
        <w:t xml:space="preserve"> </w:t>
      </w:r>
      <w:r w:rsidR="00835452" w:rsidRPr="004E650E">
        <w:rPr>
          <w:rFonts w:ascii="Times New Roman" w:hAnsi="Times New Roman" w:cs="Times New Roman"/>
          <w:sz w:val="24"/>
          <w:szCs w:val="24"/>
        </w:rPr>
        <w:t>applies</w:t>
      </w:r>
      <w:r w:rsidR="00835452" w:rsidRPr="004E650E">
        <w:rPr>
          <w:rFonts w:ascii="Times New Roman" w:hAnsi="Times New Roman" w:cs="Times New Roman"/>
          <w:i/>
          <w:sz w:val="24"/>
          <w:szCs w:val="24"/>
        </w:rPr>
        <w:t xml:space="preserve"> a fortiori.</w:t>
      </w:r>
      <w:r w:rsidR="00835452" w:rsidRPr="004E650E">
        <w:rPr>
          <w:rFonts w:ascii="Times New Roman" w:hAnsi="Times New Roman" w:cs="Times New Roman"/>
          <w:sz w:val="24"/>
          <w:szCs w:val="24"/>
        </w:rPr>
        <w:t xml:space="preserve"> As Collins J. observed in an earlier decision in these same proceedings (see</w:t>
      </w:r>
      <w:r w:rsidR="00C47E02">
        <w:rPr>
          <w:rFonts w:ascii="Times New Roman" w:hAnsi="Times New Roman" w:cs="Times New Roman"/>
          <w:sz w:val="24"/>
          <w:szCs w:val="24"/>
        </w:rPr>
        <w:t xml:space="preserve"> </w:t>
      </w:r>
      <w:r w:rsidR="00C47E02" w:rsidRPr="00C47E02">
        <w:rPr>
          <w:rFonts w:ascii="Times New Roman" w:hAnsi="Times New Roman" w:cs="Times New Roman"/>
          <w:i/>
          <w:iCs/>
          <w:sz w:val="24"/>
          <w:szCs w:val="24"/>
        </w:rPr>
        <w:t>Ballymore Residential Limited &amp; Anor</w:t>
      </w:r>
      <w:r w:rsidR="00C47E02">
        <w:rPr>
          <w:rFonts w:ascii="Times New Roman" w:hAnsi="Times New Roman" w:cs="Times New Roman"/>
          <w:i/>
          <w:iCs/>
          <w:sz w:val="24"/>
          <w:szCs w:val="24"/>
        </w:rPr>
        <w:t>.</w:t>
      </w:r>
      <w:r w:rsidR="00C47E02" w:rsidRPr="00C47E02">
        <w:rPr>
          <w:rFonts w:ascii="Times New Roman" w:hAnsi="Times New Roman" w:cs="Times New Roman"/>
          <w:i/>
          <w:iCs/>
          <w:sz w:val="24"/>
          <w:szCs w:val="24"/>
        </w:rPr>
        <w:t xml:space="preserve"> v. Roadstone Limited &amp; Ors</w:t>
      </w:r>
      <w:r w:rsidR="00C47E02">
        <w:rPr>
          <w:rFonts w:ascii="Times New Roman" w:hAnsi="Times New Roman" w:cs="Times New Roman"/>
          <w:i/>
          <w:iCs/>
          <w:sz w:val="24"/>
          <w:szCs w:val="24"/>
        </w:rPr>
        <w:t xml:space="preserve">. </w:t>
      </w:r>
      <w:r w:rsidR="00C47E02" w:rsidRPr="00C47E02">
        <w:rPr>
          <w:rFonts w:ascii="Times New Roman" w:hAnsi="Times New Roman" w:cs="Times New Roman"/>
          <w:sz w:val="24"/>
          <w:szCs w:val="24"/>
        </w:rPr>
        <w:t>[2021] IECA 167</w:t>
      </w:r>
      <w:r w:rsidR="00C47E02">
        <w:rPr>
          <w:rFonts w:ascii="Times New Roman" w:hAnsi="Times New Roman" w:cs="Times New Roman"/>
          <w:sz w:val="24"/>
          <w:szCs w:val="24"/>
        </w:rPr>
        <w:t>, para. 6):</w:t>
      </w:r>
    </w:p>
    <w:p w14:paraId="4A918CE5" w14:textId="336CC43E" w:rsidR="00C47E02" w:rsidRPr="004E650E" w:rsidRDefault="00C47E02" w:rsidP="00C47E02">
      <w:pPr>
        <w:pStyle w:val="ListParagraph"/>
        <w:tabs>
          <w:tab w:val="left" w:pos="567"/>
        </w:tabs>
        <w:spacing w:line="480" w:lineRule="auto"/>
        <w:ind w:left="567"/>
        <w:rPr>
          <w:rFonts w:ascii="Times New Roman" w:hAnsi="Times New Roman" w:cs="Times New Roman"/>
          <w:sz w:val="24"/>
          <w:szCs w:val="24"/>
        </w:rPr>
      </w:pPr>
      <w:r>
        <w:rPr>
          <w:rFonts w:ascii="Times New Roman" w:hAnsi="Times New Roman" w:cs="Times New Roman"/>
          <w:sz w:val="24"/>
          <w:szCs w:val="24"/>
        </w:rPr>
        <w:t>“</w:t>
      </w:r>
      <w:r w:rsidRPr="00C47E02">
        <w:rPr>
          <w:rFonts w:ascii="Times New Roman" w:hAnsi="Times New Roman" w:cs="Times New Roman"/>
          <w:i/>
          <w:iCs/>
          <w:sz w:val="24"/>
          <w:szCs w:val="24"/>
        </w:rPr>
        <w:t xml:space="preserve">Appellate courts have also recognised that case management is likely to be an entirely hollow exercise unless appropriate judicial restraint is exercised on appeals from case management decisions made by the High Court. As it was put by Clarke J in Dowling v Minister for Finance [2012] IESC 32, an appellate court ‘should only intervene if there is demonstrated a degree of irremediable prejudice created by the relevant case </w:t>
      </w:r>
      <w:r w:rsidRPr="00C47E02">
        <w:rPr>
          <w:rFonts w:ascii="Times New Roman" w:hAnsi="Times New Roman" w:cs="Times New Roman"/>
          <w:i/>
          <w:iCs/>
          <w:sz w:val="24"/>
          <w:szCs w:val="24"/>
        </w:rPr>
        <w:lastRenderedPageBreak/>
        <w:t>management directions such as could not reasonably be expected be remedied by the trial judge (or at least where the chances of that happening were small) and where therefore, unusually, the safer course of action would be for this Court to intervene immediately to alter the case management directions.’ (at para 3.5)</w:t>
      </w:r>
      <w:r>
        <w:rPr>
          <w:rFonts w:ascii="Times New Roman" w:hAnsi="Times New Roman" w:cs="Times New Roman"/>
          <w:sz w:val="24"/>
          <w:szCs w:val="24"/>
        </w:rPr>
        <w:t>”</w:t>
      </w:r>
    </w:p>
    <w:p w14:paraId="36C4A37B" w14:textId="6D749627" w:rsidR="00835452" w:rsidRPr="004E650E" w:rsidRDefault="00835452" w:rsidP="006438CA">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4E650E">
        <w:rPr>
          <w:rFonts w:ascii="Times New Roman" w:hAnsi="Times New Roman" w:cs="Times New Roman"/>
          <w:sz w:val="24"/>
          <w:szCs w:val="24"/>
        </w:rPr>
        <w:t xml:space="preserve">It is with those principles in mind that I will address the objections to the order considered from this point onwards. </w:t>
      </w:r>
    </w:p>
    <w:p w14:paraId="6D166B06" w14:textId="631F04C6" w:rsidR="002B66A7" w:rsidRPr="009F4C7B" w:rsidRDefault="00E13276"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Dealing first with the question </w:t>
      </w:r>
      <w:r w:rsidR="009F6F79">
        <w:rPr>
          <w:rFonts w:ascii="Times New Roman" w:hAnsi="Times New Roman"/>
          <w:sz w:val="24"/>
        </w:rPr>
        <w:t>of necessity,</w:t>
      </w:r>
      <w:r w:rsidR="002B66A7" w:rsidRPr="002B66A7">
        <w:rPr>
          <w:rFonts w:ascii="Times New Roman" w:hAnsi="Times New Roman"/>
          <w:sz w:val="24"/>
        </w:rPr>
        <w:t xml:space="preserve"> </w:t>
      </w:r>
      <w:r w:rsidR="002B66A7">
        <w:rPr>
          <w:rFonts w:ascii="Times New Roman" w:hAnsi="Times New Roman"/>
          <w:sz w:val="24"/>
        </w:rPr>
        <w:t xml:space="preserve">the trial judge concluded that inspection and sampling facilities were necessary in light of the defence delivered on behalf of the appellants, which puts the </w:t>
      </w:r>
      <w:r w:rsidR="006451EC">
        <w:rPr>
          <w:rFonts w:ascii="Times New Roman" w:hAnsi="Times New Roman"/>
          <w:sz w:val="24"/>
        </w:rPr>
        <w:t>respondents</w:t>
      </w:r>
      <w:r w:rsidR="002B66A7">
        <w:rPr>
          <w:rFonts w:ascii="Times New Roman" w:hAnsi="Times New Roman"/>
          <w:sz w:val="24"/>
        </w:rPr>
        <w:t xml:space="preserve"> on full proof of their claim. She also observed that until inspection and sampling </w:t>
      </w:r>
      <w:r w:rsidR="00836890">
        <w:rPr>
          <w:rFonts w:ascii="Times New Roman" w:hAnsi="Times New Roman"/>
          <w:sz w:val="24"/>
        </w:rPr>
        <w:t xml:space="preserve">take </w:t>
      </w:r>
      <w:r w:rsidR="002B66A7">
        <w:rPr>
          <w:rFonts w:ascii="Times New Roman" w:hAnsi="Times New Roman"/>
          <w:sz w:val="24"/>
        </w:rPr>
        <w:t xml:space="preserve">place, the </w:t>
      </w:r>
      <w:r w:rsidR="006451EC">
        <w:rPr>
          <w:rFonts w:ascii="Times New Roman" w:hAnsi="Times New Roman"/>
          <w:sz w:val="24"/>
        </w:rPr>
        <w:t>respondent</w:t>
      </w:r>
      <w:r w:rsidR="002B66A7">
        <w:rPr>
          <w:rFonts w:ascii="Times New Roman" w:hAnsi="Times New Roman"/>
          <w:sz w:val="24"/>
        </w:rPr>
        <w:t>s will not be able to answer the notice for particulars raised by the appellants as to the presence and extent of each defendant’s stone in each house manifesting pyritic heave</w:t>
      </w:r>
      <w:r w:rsidR="00C3694E">
        <w:rPr>
          <w:rFonts w:ascii="Times New Roman" w:hAnsi="Times New Roman"/>
          <w:sz w:val="24"/>
        </w:rPr>
        <w:t xml:space="preserve"> (these replies had been delivered, following upon inspection of the quarries, by the time th</w:t>
      </w:r>
      <w:r w:rsidR="003C6E55">
        <w:rPr>
          <w:rFonts w:ascii="Times New Roman" w:hAnsi="Times New Roman"/>
          <w:sz w:val="24"/>
        </w:rPr>
        <w:t>is</w:t>
      </w:r>
      <w:r w:rsidR="00C3694E">
        <w:rPr>
          <w:rFonts w:ascii="Times New Roman" w:hAnsi="Times New Roman"/>
          <w:sz w:val="24"/>
        </w:rPr>
        <w:t xml:space="preserve"> appeal came on for hearing)</w:t>
      </w:r>
      <w:r w:rsidR="002B66A7">
        <w:rPr>
          <w:rFonts w:ascii="Times New Roman" w:hAnsi="Times New Roman"/>
          <w:sz w:val="24"/>
        </w:rPr>
        <w:t>. She had regard to concerns expressed by the appellants that the respondent</w:t>
      </w:r>
      <w:r w:rsidR="00F0726D">
        <w:rPr>
          <w:rFonts w:ascii="Times New Roman" w:hAnsi="Times New Roman"/>
          <w:sz w:val="24"/>
        </w:rPr>
        <w:t>s</w:t>
      </w:r>
      <w:r w:rsidR="002B66A7">
        <w:rPr>
          <w:rFonts w:ascii="Times New Roman" w:hAnsi="Times New Roman"/>
          <w:sz w:val="24"/>
        </w:rPr>
        <w:t xml:space="preserve"> had not identified any locations in the quarries from which they proposed to take samples, which the appellants feared could give rise to multiple inspections. The solution that the trial judge devised to address this issue was to require the appellants to identify the relevant locations, rather than have inspection deferred until after discovery as the appellants submitted was the appropriate course. The trial judge was concerned to progress the litigation, and considered this to be the best way of achieving that objective. She addressed the concern of the appellants about multiple inspections by noting in her order</w:t>
      </w:r>
      <w:r w:rsidR="009F4C7B">
        <w:rPr>
          <w:rFonts w:ascii="Times New Roman" w:hAnsi="Times New Roman"/>
          <w:sz w:val="24"/>
        </w:rPr>
        <w:t xml:space="preserve"> “</w:t>
      </w:r>
      <w:r w:rsidR="009F4C7B" w:rsidRPr="00BB2911">
        <w:rPr>
          <w:rFonts w:ascii="Times New Roman" w:hAnsi="Times New Roman"/>
          <w:i/>
          <w:iCs/>
          <w:sz w:val="24"/>
        </w:rPr>
        <w:t xml:space="preserve">the undertaking of the </w:t>
      </w:r>
      <w:r w:rsidR="004C2917">
        <w:rPr>
          <w:rFonts w:ascii="Times New Roman" w:hAnsi="Times New Roman"/>
          <w:i/>
          <w:iCs/>
          <w:sz w:val="24"/>
        </w:rPr>
        <w:t>P</w:t>
      </w:r>
      <w:r w:rsidR="009F4C7B" w:rsidRPr="00BB2911">
        <w:rPr>
          <w:rFonts w:ascii="Times New Roman" w:hAnsi="Times New Roman"/>
          <w:i/>
          <w:iCs/>
          <w:sz w:val="24"/>
        </w:rPr>
        <w:t xml:space="preserve">laintiffs that in the event that the </w:t>
      </w:r>
      <w:r w:rsidR="004C2917" w:rsidRPr="00BB2911">
        <w:rPr>
          <w:rFonts w:ascii="Times New Roman" w:hAnsi="Times New Roman"/>
          <w:i/>
          <w:iCs/>
          <w:sz w:val="24"/>
        </w:rPr>
        <w:t xml:space="preserve">First Named Defendant </w:t>
      </w:r>
      <w:r w:rsidR="009F4C7B" w:rsidRPr="00BB2911">
        <w:rPr>
          <w:rFonts w:ascii="Times New Roman" w:hAnsi="Times New Roman"/>
          <w:i/>
          <w:iCs/>
          <w:sz w:val="24"/>
        </w:rPr>
        <w:t xml:space="preserve">is directed to identify … the relevant locations in [its quarries] from which the stone supplied by the First </w:t>
      </w:r>
      <w:r w:rsidR="004C2917" w:rsidRPr="00BB2911">
        <w:rPr>
          <w:rFonts w:ascii="Times New Roman" w:hAnsi="Times New Roman"/>
          <w:i/>
          <w:iCs/>
          <w:sz w:val="24"/>
        </w:rPr>
        <w:t xml:space="preserve">Named Defendant </w:t>
      </w:r>
      <w:r w:rsidR="009F4C7B" w:rsidRPr="00BB2911">
        <w:rPr>
          <w:rFonts w:ascii="Times New Roman" w:hAnsi="Times New Roman"/>
          <w:i/>
          <w:iCs/>
          <w:sz w:val="24"/>
        </w:rPr>
        <w:t xml:space="preserve">to the </w:t>
      </w:r>
      <w:r w:rsidR="004C2917">
        <w:rPr>
          <w:rFonts w:ascii="Times New Roman" w:hAnsi="Times New Roman"/>
          <w:i/>
          <w:iCs/>
          <w:sz w:val="24"/>
        </w:rPr>
        <w:t>P</w:t>
      </w:r>
      <w:r w:rsidR="009F4C7B" w:rsidRPr="00BB2911">
        <w:rPr>
          <w:rFonts w:ascii="Times New Roman" w:hAnsi="Times New Roman"/>
          <w:i/>
          <w:iCs/>
          <w:sz w:val="24"/>
        </w:rPr>
        <w:t xml:space="preserve">laintiffs for use in the </w:t>
      </w:r>
      <w:proofErr w:type="spellStart"/>
      <w:r w:rsidR="009F4C7B" w:rsidRPr="00BB2911">
        <w:rPr>
          <w:rFonts w:ascii="Times New Roman" w:hAnsi="Times New Roman"/>
          <w:i/>
          <w:iCs/>
          <w:sz w:val="24"/>
        </w:rPr>
        <w:t>Drumnigh</w:t>
      </w:r>
      <w:proofErr w:type="spellEnd"/>
      <w:r w:rsidR="009F4C7B" w:rsidRPr="00BB2911">
        <w:rPr>
          <w:rFonts w:ascii="Times New Roman" w:hAnsi="Times New Roman"/>
          <w:i/>
          <w:iCs/>
          <w:sz w:val="24"/>
        </w:rPr>
        <w:t xml:space="preserve"> Wood Estate was extracted</w:t>
      </w:r>
      <w:r w:rsidR="004C2917">
        <w:rPr>
          <w:rFonts w:ascii="Times New Roman" w:hAnsi="Times New Roman"/>
          <w:i/>
          <w:iCs/>
          <w:sz w:val="24"/>
        </w:rPr>
        <w:t xml:space="preserve"> …</w:t>
      </w:r>
      <w:r w:rsidR="009F4C7B" w:rsidRPr="00BB2911">
        <w:rPr>
          <w:rFonts w:ascii="Times New Roman" w:hAnsi="Times New Roman"/>
          <w:i/>
          <w:iCs/>
          <w:sz w:val="24"/>
        </w:rPr>
        <w:t xml:space="preserve"> that</w:t>
      </w:r>
      <w:r w:rsidR="00BB2911" w:rsidRPr="00BB2911">
        <w:rPr>
          <w:rFonts w:ascii="Times New Roman" w:hAnsi="Times New Roman"/>
          <w:i/>
          <w:iCs/>
          <w:sz w:val="24"/>
        </w:rPr>
        <w:t xml:space="preserve"> </w:t>
      </w:r>
      <w:r w:rsidR="009F4C7B" w:rsidRPr="00BB2911">
        <w:rPr>
          <w:rFonts w:ascii="Times New Roman" w:hAnsi="Times New Roman"/>
          <w:i/>
          <w:iCs/>
          <w:sz w:val="24"/>
        </w:rPr>
        <w:t xml:space="preserve">they will not seek to conduct any further </w:t>
      </w:r>
      <w:r w:rsidR="009F4C7B" w:rsidRPr="00BB2911">
        <w:rPr>
          <w:rFonts w:ascii="Times New Roman" w:hAnsi="Times New Roman"/>
          <w:i/>
          <w:iCs/>
          <w:sz w:val="24"/>
        </w:rPr>
        <w:lastRenderedPageBreak/>
        <w:t xml:space="preserve">inspections in the [quarries] either in these proceedings or in the parallel subrogated proceedings being maintained by Liberty </w:t>
      </w:r>
      <w:r w:rsidR="004C2917">
        <w:rPr>
          <w:rFonts w:ascii="Times New Roman" w:hAnsi="Times New Roman"/>
          <w:i/>
          <w:iCs/>
          <w:sz w:val="24"/>
        </w:rPr>
        <w:t>I</w:t>
      </w:r>
      <w:r w:rsidR="009F4C7B" w:rsidRPr="00BB2911">
        <w:rPr>
          <w:rFonts w:ascii="Times New Roman" w:hAnsi="Times New Roman"/>
          <w:i/>
          <w:iCs/>
          <w:sz w:val="24"/>
        </w:rPr>
        <w:t>nsurance</w:t>
      </w:r>
      <w:r w:rsidR="00BB2911" w:rsidRPr="00BB2911">
        <w:rPr>
          <w:rFonts w:ascii="Times New Roman" w:hAnsi="Times New Roman"/>
          <w:i/>
          <w:iCs/>
          <w:sz w:val="24"/>
        </w:rPr>
        <w:t>.</w:t>
      </w:r>
      <w:r w:rsidR="009F4C7B" w:rsidRPr="003119D1">
        <w:rPr>
          <w:rFonts w:ascii="Times New Roman" w:hAnsi="Times New Roman"/>
          <w:sz w:val="24"/>
        </w:rPr>
        <w:t>”</w:t>
      </w:r>
    </w:p>
    <w:p w14:paraId="3F05EBE1" w14:textId="38070190" w:rsidR="00E13276" w:rsidRPr="002B66A7" w:rsidRDefault="00C67573"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As originally advanced, this ground of appeal was concerned with the expedience and necessity of the order for inspection, including that part of the order that required </w:t>
      </w:r>
      <w:r w:rsidR="006451EC">
        <w:rPr>
          <w:rFonts w:ascii="Times New Roman" w:hAnsi="Times New Roman"/>
          <w:sz w:val="24"/>
        </w:rPr>
        <w:t>Roadstone</w:t>
      </w:r>
      <w:r>
        <w:rPr>
          <w:rFonts w:ascii="Times New Roman" w:hAnsi="Times New Roman"/>
          <w:sz w:val="24"/>
        </w:rPr>
        <w:t xml:space="preserve"> to identify locations within the quarries from which stone was supplied by </w:t>
      </w:r>
      <w:r w:rsidR="006451EC">
        <w:rPr>
          <w:rFonts w:ascii="Times New Roman" w:hAnsi="Times New Roman"/>
          <w:sz w:val="24"/>
        </w:rPr>
        <w:t>Roadstone</w:t>
      </w:r>
      <w:r>
        <w:rPr>
          <w:rFonts w:ascii="Times New Roman" w:hAnsi="Times New Roman"/>
          <w:sz w:val="24"/>
        </w:rPr>
        <w:t xml:space="preserve"> for use in the D</w:t>
      </w:r>
      <w:r w:rsidR="006451EC">
        <w:rPr>
          <w:rFonts w:ascii="Times New Roman" w:hAnsi="Times New Roman"/>
          <w:sz w:val="24"/>
        </w:rPr>
        <w:t>evelopment</w:t>
      </w:r>
      <w:r>
        <w:rPr>
          <w:rFonts w:ascii="Times New Roman" w:hAnsi="Times New Roman"/>
          <w:sz w:val="24"/>
        </w:rPr>
        <w:t>. Once the appeal against the order for inspection was withdrawn, this ground of objection became concerned only with the locations part of the order. Since</w:t>
      </w:r>
      <w:r w:rsidR="009F6F79">
        <w:rPr>
          <w:rFonts w:ascii="Times New Roman" w:hAnsi="Times New Roman"/>
          <w:sz w:val="24"/>
        </w:rPr>
        <w:t xml:space="preserve"> </w:t>
      </w:r>
      <w:r w:rsidR="002B66A7">
        <w:rPr>
          <w:rFonts w:ascii="Times New Roman" w:hAnsi="Times New Roman"/>
          <w:sz w:val="24"/>
        </w:rPr>
        <w:t>the</w:t>
      </w:r>
      <w:r w:rsidR="009F6F79">
        <w:rPr>
          <w:rFonts w:ascii="Times New Roman" w:hAnsi="Times New Roman"/>
          <w:sz w:val="24"/>
        </w:rPr>
        <w:t xml:space="preserve"> order for inspection </w:t>
      </w:r>
      <w:r w:rsidR="002B66A7">
        <w:rPr>
          <w:rFonts w:ascii="Times New Roman" w:hAnsi="Times New Roman"/>
          <w:sz w:val="24"/>
        </w:rPr>
        <w:t>now stands unimpeached</w:t>
      </w:r>
      <w:r w:rsidR="009F6F79">
        <w:rPr>
          <w:rFonts w:ascii="Times New Roman" w:hAnsi="Times New Roman"/>
          <w:sz w:val="24"/>
        </w:rPr>
        <w:t xml:space="preserve">, there </w:t>
      </w:r>
      <w:r w:rsidR="00AE4041">
        <w:rPr>
          <w:rFonts w:ascii="Times New Roman" w:hAnsi="Times New Roman"/>
          <w:sz w:val="24"/>
        </w:rPr>
        <w:t xml:space="preserve">can be </w:t>
      </w:r>
      <w:r w:rsidR="009F6F79">
        <w:rPr>
          <w:rFonts w:ascii="Times New Roman" w:hAnsi="Times New Roman"/>
          <w:sz w:val="24"/>
        </w:rPr>
        <w:t xml:space="preserve">no doubt at all, even on the </w:t>
      </w:r>
      <w:r w:rsidR="00886E6F">
        <w:rPr>
          <w:rFonts w:ascii="Times New Roman" w:hAnsi="Times New Roman"/>
          <w:sz w:val="24"/>
        </w:rPr>
        <w:t>appellants’ case, that</w:t>
      </w:r>
      <w:r w:rsidR="00AE4041">
        <w:rPr>
          <w:rFonts w:ascii="Times New Roman" w:hAnsi="Times New Roman"/>
          <w:sz w:val="24"/>
        </w:rPr>
        <w:t>, in order to give effect to that order, it was</w:t>
      </w:r>
      <w:r w:rsidR="00886E6F">
        <w:rPr>
          <w:rFonts w:ascii="Times New Roman" w:hAnsi="Times New Roman"/>
          <w:sz w:val="24"/>
        </w:rPr>
        <w:t xml:space="preserve"> necessary either for the respondents to identify the relevant locations in the quarries themselves, or to have them identified by the appellants. </w:t>
      </w:r>
      <w:r>
        <w:rPr>
          <w:rFonts w:ascii="Times New Roman" w:hAnsi="Times New Roman"/>
          <w:sz w:val="24"/>
        </w:rPr>
        <w:t>Otherwise the inspection of the quarries would be an almost random exercise, giving rise</w:t>
      </w:r>
      <w:r w:rsidR="00826EE3">
        <w:rPr>
          <w:rFonts w:ascii="Times New Roman" w:hAnsi="Times New Roman"/>
          <w:sz w:val="24"/>
        </w:rPr>
        <w:t>,</w:t>
      </w:r>
      <w:r w:rsidR="00826EE3" w:rsidRPr="00826EE3">
        <w:rPr>
          <w:rFonts w:ascii="Times New Roman" w:hAnsi="Times New Roman"/>
          <w:i/>
          <w:sz w:val="24"/>
        </w:rPr>
        <w:t xml:space="preserve"> inter alia</w:t>
      </w:r>
      <w:r w:rsidR="00826EE3">
        <w:rPr>
          <w:rFonts w:ascii="Times New Roman" w:hAnsi="Times New Roman"/>
          <w:sz w:val="24"/>
        </w:rPr>
        <w:t>,</w:t>
      </w:r>
      <w:r>
        <w:rPr>
          <w:rFonts w:ascii="Times New Roman" w:hAnsi="Times New Roman"/>
          <w:sz w:val="24"/>
        </w:rPr>
        <w:t xml:space="preserve"> to the very risk identified by the appellants themselves</w:t>
      </w:r>
      <w:r w:rsidR="00BB2911">
        <w:rPr>
          <w:rFonts w:ascii="Times New Roman" w:hAnsi="Times New Roman"/>
          <w:sz w:val="24"/>
        </w:rPr>
        <w:t>,</w:t>
      </w:r>
      <w:r>
        <w:rPr>
          <w:rFonts w:ascii="Times New Roman" w:hAnsi="Times New Roman"/>
          <w:sz w:val="24"/>
        </w:rPr>
        <w:t xml:space="preserve"> i.e. </w:t>
      </w:r>
      <w:r w:rsidR="00826EE3">
        <w:rPr>
          <w:rFonts w:ascii="Times New Roman" w:hAnsi="Times New Roman"/>
          <w:sz w:val="24"/>
        </w:rPr>
        <w:t xml:space="preserve">the need for repeated inspections. </w:t>
      </w:r>
      <w:r w:rsidR="00886E6F">
        <w:rPr>
          <w:rFonts w:ascii="Times New Roman" w:hAnsi="Times New Roman"/>
          <w:sz w:val="24"/>
        </w:rPr>
        <w:t>Since the trial judge declined to make an order for production of documents</w:t>
      </w:r>
      <w:r w:rsidR="00E079E6">
        <w:rPr>
          <w:rFonts w:ascii="Times New Roman" w:hAnsi="Times New Roman"/>
          <w:sz w:val="24"/>
        </w:rPr>
        <w:t xml:space="preserve"> (the appellants having opposed the application of the respondents)</w:t>
      </w:r>
      <w:r w:rsidR="00886E6F">
        <w:rPr>
          <w:rFonts w:ascii="Times New Roman" w:hAnsi="Times New Roman"/>
          <w:sz w:val="24"/>
        </w:rPr>
        <w:t>, the only remaining means of identifying the relevant locations in the quarries</w:t>
      </w:r>
      <w:r w:rsidR="00E079E6">
        <w:rPr>
          <w:rFonts w:ascii="Times New Roman" w:hAnsi="Times New Roman"/>
          <w:sz w:val="24"/>
        </w:rPr>
        <w:t xml:space="preserve">, at the time of granting the order for inspection, </w:t>
      </w:r>
      <w:r w:rsidR="00886E6F">
        <w:rPr>
          <w:rFonts w:ascii="Times New Roman" w:hAnsi="Times New Roman"/>
          <w:sz w:val="24"/>
        </w:rPr>
        <w:t xml:space="preserve">was to direct the </w:t>
      </w:r>
      <w:r w:rsidR="006451EC">
        <w:rPr>
          <w:rFonts w:ascii="Times New Roman" w:hAnsi="Times New Roman"/>
          <w:sz w:val="24"/>
        </w:rPr>
        <w:t>Roadstone</w:t>
      </w:r>
      <w:r w:rsidR="00886E6F">
        <w:rPr>
          <w:rFonts w:ascii="Times New Roman" w:hAnsi="Times New Roman"/>
          <w:sz w:val="24"/>
        </w:rPr>
        <w:t xml:space="preserve"> to do so.  For these reasons, </w:t>
      </w:r>
      <w:r w:rsidR="00F0726D">
        <w:rPr>
          <w:rFonts w:ascii="Times New Roman" w:hAnsi="Times New Roman"/>
          <w:sz w:val="24"/>
        </w:rPr>
        <w:t>I am of the</w:t>
      </w:r>
      <w:r w:rsidR="00826EE3">
        <w:rPr>
          <w:rFonts w:ascii="Times New Roman" w:hAnsi="Times New Roman"/>
          <w:sz w:val="24"/>
        </w:rPr>
        <w:t xml:space="preserve"> view that</w:t>
      </w:r>
      <w:r w:rsidR="00F0726D">
        <w:rPr>
          <w:rFonts w:ascii="Times New Roman" w:hAnsi="Times New Roman"/>
          <w:sz w:val="24"/>
        </w:rPr>
        <w:t xml:space="preserve"> </w:t>
      </w:r>
      <w:r w:rsidR="00886E6F">
        <w:rPr>
          <w:rFonts w:ascii="Times New Roman" w:hAnsi="Times New Roman"/>
          <w:sz w:val="24"/>
        </w:rPr>
        <w:t>the</w:t>
      </w:r>
      <w:r w:rsidR="00826EE3">
        <w:rPr>
          <w:rFonts w:ascii="Times New Roman" w:hAnsi="Times New Roman"/>
          <w:sz w:val="24"/>
        </w:rPr>
        <w:t xml:space="preserve"> </w:t>
      </w:r>
      <w:r w:rsidR="00886E6F">
        <w:rPr>
          <w:rFonts w:ascii="Times New Roman" w:hAnsi="Times New Roman"/>
          <w:sz w:val="24"/>
        </w:rPr>
        <w:t xml:space="preserve">locations part of the order was necessary. </w:t>
      </w:r>
    </w:p>
    <w:p w14:paraId="57A25E1F" w14:textId="37D397A5" w:rsidR="00886E6F" w:rsidRDefault="00886E6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appellants further argue that the order was not expedient; on the contrary, it is oppressive, requiring </w:t>
      </w:r>
      <w:r w:rsidR="006451EC">
        <w:rPr>
          <w:rFonts w:ascii="Times New Roman" w:hAnsi="Times New Roman"/>
          <w:sz w:val="24"/>
        </w:rPr>
        <w:t>Roadstone</w:t>
      </w:r>
      <w:r>
        <w:rPr>
          <w:rFonts w:ascii="Times New Roman" w:hAnsi="Times New Roman"/>
          <w:sz w:val="24"/>
        </w:rPr>
        <w:t xml:space="preserve"> to collate and analyse large volumes of different categories of documentation, and then to form a view on the basis of that documentation as to the locations in the quarries from which stone was extracted and delivered to the D</w:t>
      </w:r>
      <w:r w:rsidR="006451EC">
        <w:rPr>
          <w:rFonts w:ascii="Times New Roman" w:hAnsi="Times New Roman"/>
          <w:sz w:val="24"/>
        </w:rPr>
        <w:t>evelopment</w:t>
      </w:r>
      <w:r>
        <w:rPr>
          <w:rFonts w:ascii="Times New Roman" w:hAnsi="Times New Roman"/>
          <w:sz w:val="24"/>
        </w:rPr>
        <w:t xml:space="preserve">.  </w:t>
      </w:r>
      <w:r w:rsidR="004422C0">
        <w:rPr>
          <w:rFonts w:ascii="Times New Roman" w:hAnsi="Times New Roman"/>
          <w:sz w:val="24"/>
        </w:rPr>
        <w:t>In an affidavit sworn on 1</w:t>
      </w:r>
      <w:r w:rsidR="004422C0" w:rsidRPr="004422C0">
        <w:rPr>
          <w:rFonts w:ascii="Times New Roman" w:hAnsi="Times New Roman"/>
          <w:sz w:val="24"/>
          <w:vertAlign w:val="superscript"/>
        </w:rPr>
        <w:t>st</w:t>
      </w:r>
      <w:r w:rsidR="004422C0">
        <w:rPr>
          <w:rFonts w:ascii="Times New Roman" w:hAnsi="Times New Roman"/>
          <w:sz w:val="24"/>
        </w:rPr>
        <w:t xml:space="preserve"> July 2019, Ms. Elizabeth Upton, of Arthur Cox, the appellants’ solicitors, avers that t</w:t>
      </w:r>
      <w:r>
        <w:rPr>
          <w:rFonts w:ascii="Times New Roman" w:hAnsi="Times New Roman"/>
          <w:sz w:val="24"/>
        </w:rPr>
        <w:t>he appellants</w:t>
      </w:r>
      <w:r w:rsidR="004422C0">
        <w:rPr>
          <w:rFonts w:ascii="Times New Roman" w:hAnsi="Times New Roman"/>
          <w:sz w:val="24"/>
        </w:rPr>
        <w:t>’ costs incurred up to that point in time in providing documents and information to the re</w:t>
      </w:r>
      <w:r w:rsidR="00C531FB">
        <w:rPr>
          <w:rFonts w:ascii="Times New Roman" w:hAnsi="Times New Roman"/>
          <w:sz w:val="24"/>
        </w:rPr>
        <w:t>s</w:t>
      </w:r>
      <w:r w:rsidR="004422C0">
        <w:rPr>
          <w:rFonts w:ascii="Times New Roman" w:hAnsi="Times New Roman"/>
          <w:sz w:val="24"/>
        </w:rPr>
        <w:t>ponden</w:t>
      </w:r>
      <w:r w:rsidR="00C531FB">
        <w:rPr>
          <w:rFonts w:ascii="Times New Roman" w:hAnsi="Times New Roman"/>
          <w:sz w:val="24"/>
        </w:rPr>
        <w:t>ts</w:t>
      </w:r>
      <w:r w:rsidR="004422C0">
        <w:rPr>
          <w:rFonts w:ascii="Times New Roman" w:hAnsi="Times New Roman"/>
          <w:sz w:val="24"/>
        </w:rPr>
        <w:t xml:space="preserve"> was of the order of</w:t>
      </w:r>
      <w:r>
        <w:rPr>
          <w:rFonts w:ascii="Times New Roman" w:hAnsi="Times New Roman"/>
          <w:sz w:val="24"/>
        </w:rPr>
        <w:t xml:space="preserve"> €90,000</w:t>
      </w:r>
      <w:r w:rsidR="00C531FB">
        <w:rPr>
          <w:rFonts w:ascii="Times New Roman" w:hAnsi="Times New Roman"/>
          <w:sz w:val="24"/>
        </w:rPr>
        <w:t xml:space="preserve">, and had taken </w:t>
      </w:r>
      <w:r w:rsidR="00C531FB">
        <w:rPr>
          <w:rFonts w:ascii="Times New Roman" w:hAnsi="Times New Roman"/>
          <w:sz w:val="24"/>
        </w:rPr>
        <w:lastRenderedPageBreak/>
        <w:t>up 200 hours of management time</w:t>
      </w:r>
      <w:r>
        <w:rPr>
          <w:rFonts w:ascii="Times New Roman" w:hAnsi="Times New Roman"/>
          <w:sz w:val="24"/>
        </w:rPr>
        <w:t>.</w:t>
      </w:r>
      <w:r w:rsidR="00C531FB">
        <w:rPr>
          <w:rFonts w:ascii="Times New Roman" w:hAnsi="Times New Roman"/>
          <w:sz w:val="24"/>
        </w:rPr>
        <w:t xml:space="preserve"> The costs incurred included services provided by various IT suppliers and an aerial mapping company.</w:t>
      </w:r>
    </w:p>
    <w:p w14:paraId="4FA15CA6" w14:textId="00CB46A5" w:rsidR="00886E6F" w:rsidRDefault="00886E6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It must be acknowledged that the locations part of the order required a significant amount of work and expense on the part of the appellants.  However, all of that must be seen in the following context.  Firstly, the proceedings themselves involve more than thirty houses, and potentially very significant claims for damages.  There are related proceedings (the subrogated proceedings, involving </w:t>
      </w:r>
      <w:r w:rsidR="00FC67A8">
        <w:rPr>
          <w:rFonts w:ascii="Times New Roman" w:hAnsi="Times New Roman"/>
          <w:sz w:val="24"/>
        </w:rPr>
        <w:t>50 or more h</w:t>
      </w:r>
      <w:r>
        <w:rPr>
          <w:rFonts w:ascii="Times New Roman" w:hAnsi="Times New Roman"/>
          <w:sz w:val="24"/>
        </w:rPr>
        <w:t xml:space="preserve">ouses) and as the judge pointed out, it is within the control of the appellants to ensure that just one inspection occurs to address all proceedings.  </w:t>
      </w:r>
      <w:r w:rsidR="00D319EB">
        <w:rPr>
          <w:rFonts w:ascii="Times New Roman" w:hAnsi="Times New Roman"/>
          <w:sz w:val="24"/>
        </w:rPr>
        <w:t>So the stakes involved are potentially very high, and whatever work is involved in complying with the locations part of the order must be seen in that light.  The court is also entitled to have regard to the fact that the parties to the proceedings are substantial and well-resourced entities</w:t>
      </w:r>
      <w:r w:rsidR="006B35A7">
        <w:rPr>
          <w:rFonts w:ascii="Times New Roman" w:hAnsi="Times New Roman"/>
          <w:sz w:val="24"/>
        </w:rPr>
        <w:t>, and, so far as Roadstone is concerned, that it has both the financial resources and personnel resources required to comply with the order</w:t>
      </w:r>
      <w:r w:rsidR="00D319EB">
        <w:rPr>
          <w:rFonts w:ascii="Times New Roman" w:hAnsi="Times New Roman"/>
          <w:sz w:val="24"/>
        </w:rPr>
        <w:t xml:space="preserve">. </w:t>
      </w:r>
      <w:r w:rsidR="00F55C36">
        <w:rPr>
          <w:rFonts w:ascii="Times New Roman" w:hAnsi="Times New Roman"/>
          <w:sz w:val="24"/>
        </w:rPr>
        <w:t>Of course, t</w:t>
      </w:r>
      <w:r w:rsidR="00E079E6">
        <w:rPr>
          <w:rFonts w:ascii="Times New Roman" w:hAnsi="Times New Roman"/>
          <w:sz w:val="24"/>
        </w:rPr>
        <w:t>his</w:t>
      </w:r>
      <w:r w:rsidR="00F55C36">
        <w:rPr>
          <w:rFonts w:ascii="Times New Roman" w:hAnsi="Times New Roman"/>
          <w:sz w:val="24"/>
        </w:rPr>
        <w:t xml:space="preserve"> of itself </w:t>
      </w:r>
      <w:r w:rsidR="00E079E6">
        <w:rPr>
          <w:rFonts w:ascii="Times New Roman" w:hAnsi="Times New Roman"/>
          <w:sz w:val="24"/>
        </w:rPr>
        <w:t xml:space="preserve">does not entitle a court to impose expense on such litigants, or </w:t>
      </w:r>
      <w:r w:rsidR="00F55C36">
        <w:rPr>
          <w:rFonts w:ascii="Times New Roman" w:hAnsi="Times New Roman"/>
          <w:sz w:val="24"/>
        </w:rPr>
        <w:t xml:space="preserve">entitle a court to </w:t>
      </w:r>
      <w:r w:rsidR="00E079E6">
        <w:rPr>
          <w:rFonts w:ascii="Times New Roman" w:hAnsi="Times New Roman"/>
          <w:sz w:val="24"/>
        </w:rPr>
        <w:t xml:space="preserve">do so lightly, but </w:t>
      </w:r>
      <w:r w:rsidR="006451EC">
        <w:rPr>
          <w:rFonts w:ascii="Times New Roman" w:hAnsi="Times New Roman"/>
          <w:sz w:val="24"/>
        </w:rPr>
        <w:t xml:space="preserve">as I indicated above, </w:t>
      </w:r>
      <w:r w:rsidR="00E079E6">
        <w:rPr>
          <w:rFonts w:ascii="Times New Roman" w:hAnsi="Times New Roman"/>
          <w:sz w:val="24"/>
        </w:rPr>
        <w:t xml:space="preserve">it is a factor a court may reasonably take into account </w:t>
      </w:r>
      <w:r w:rsidR="00FE0743">
        <w:rPr>
          <w:rFonts w:ascii="Times New Roman" w:hAnsi="Times New Roman"/>
          <w:sz w:val="24"/>
        </w:rPr>
        <w:t>when considering an order of the kind made by the trial judge in this case,</w:t>
      </w:r>
      <w:r w:rsidR="006451EC">
        <w:rPr>
          <w:rFonts w:ascii="Times New Roman" w:hAnsi="Times New Roman"/>
          <w:sz w:val="24"/>
        </w:rPr>
        <w:t xml:space="preserve"> </w:t>
      </w:r>
      <w:r w:rsidR="00E079E6">
        <w:rPr>
          <w:rFonts w:ascii="Times New Roman" w:hAnsi="Times New Roman"/>
          <w:sz w:val="24"/>
        </w:rPr>
        <w:t>if only from the point of view of being assured tha</w:t>
      </w:r>
      <w:r w:rsidR="00F55C36">
        <w:rPr>
          <w:rFonts w:ascii="Times New Roman" w:hAnsi="Times New Roman"/>
          <w:sz w:val="24"/>
        </w:rPr>
        <w:t>t</w:t>
      </w:r>
      <w:r w:rsidR="00E079E6">
        <w:rPr>
          <w:rFonts w:ascii="Times New Roman" w:hAnsi="Times New Roman"/>
          <w:sz w:val="24"/>
        </w:rPr>
        <w:t xml:space="preserve"> the part</w:t>
      </w:r>
      <w:r w:rsidR="00F55C36">
        <w:rPr>
          <w:rFonts w:ascii="Times New Roman" w:hAnsi="Times New Roman"/>
          <w:sz w:val="24"/>
        </w:rPr>
        <w:t>y</w:t>
      </w:r>
      <w:r w:rsidR="00E079E6">
        <w:rPr>
          <w:rFonts w:ascii="Times New Roman" w:hAnsi="Times New Roman"/>
          <w:sz w:val="24"/>
        </w:rPr>
        <w:t xml:space="preserve"> concerned </w:t>
      </w:r>
      <w:r w:rsidR="00F55C36">
        <w:rPr>
          <w:rFonts w:ascii="Times New Roman" w:hAnsi="Times New Roman"/>
          <w:sz w:val="24"/>
        </w:rPr>
        <w:t xml:space="preserve">can comply with the order without hardship. </w:t>
      </w:r>
      <w:r w:rsidR="00D319EB">
        <w:rPr>
          <w:rFonts w:ascii="Times New Roman" w:hAnsi="Times New Roman"/>
          <w:sz w:val="24"/>
        </w:rPr>
        <w:t xml:space="preserve">Seen in that light, the locations part of the order may reasonably be considered to be expedient, and not oppressive, as claimed by the appellants.  </w:t>
      </w:r>
    </w:p>
    <w:p w14:paraId="70896D85" w14:textId="19B17CEF" w:rsidR="006451EC" w:rsidRDefault="00C27CF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Moreover,</w:t>
      </w:r>
      <w:r w:rsidR="006451EC">
        <w:rPr>
          <w:rFonts w:ascii="Times New Roman" w:hAnsi="Times New Roman"/>
          <w:sz w:val="24"/>
        </w:rPr>
        <w:t xml:space="preserve"> a very considerable amount of the work undertaken</w:t>
      </w:r>
      <w:r w:rsidR="0011414E">
        <w:rPr>
          <w:rFonts w:ascii="Times New Roman" w:hAnsi="Times New Roman"/>
          <w:sz w:val="24"/>
        </w:rPr>
        <w:t xml:space="preserve"> and expense incurred </w:t>
      </w:r>
      <w:r w:rsidR="006451EC">
        <w:rPr>
          <w:rFonts w:ascii="Times New Roman" w:hAnsi="Times New Roman"/>
          <w:sz w:val="24"/>
        </w:rPr>
        <w:t xml:space="preserve">by Roadstone in endeavouring to comply with the order of the trial </w:t>
      </w:r>
      <w:r w:rsidR="00BB2911">
        <w:rPr>
          <w:rFonts w:ascii="Times New Roman" w:hAnsi="Times New Roman"/>
          <w:sz w:val="24"/>
        </w:rPr>
        <w:t>j</w:t>
      </w:r>
      <w:r w:rsidR="006451EC">
        <w:rPr>
          <w:rFonts w:ascii="Times New Roman" w:hAnsi="Times New Roman"/>
          <w:sz w:val="24"/>
        </w:rPr>
        <w:t xml:space="preserve">udge </w:t>
      </w:r>
      <w:r w:rsidR="004C5748">
        <w:rPr>
          <w:rFonts w:ascii="Times New Roman" w:hAnsi="Times New Roman"/>
          <w:sz w:val="24"/>
        </w:rPr>
        <w:t>must</w:t>
      </w:r>
      <w:r w:rsidR="006451EC">
        <w:rPr>
          <w:rFonts w:ascii="Times New Roman" w:hAnsi="Times New Roman"/>
          <w:sz w:val="24"/>
        </w:rPr>
        <w:t xml:space="preserve"> </w:t>
      </w:r>
      <w:r w:rsidR="0011414E">
        <w:rPr>
          <w:rFonts w:ascii="Times New Roman" w:hAnsi="Times New Roman"/>
          <w:sz w:val="24"/>
        </w:rPr>
        <w:t>overlap with work undertaken and expense</w:t>
      </w:r>
      <w:r w:rsidR="006451EC">
        <w:rPr>
          <w:rFonts w:ascii="Times New Roman" w:hAnsi="Times New Roman"/>
          <w:sz w:val="24"/>
        </w:rPr>
        <w:t xml:space="preserve"> </w:t>
      </w:r>
      <w:r w:rsidR="0011414E">
        <w:rPr>
          <w:rFonts w:ascii="Times New Roman" w:hAnsi="Times New Roman"/>
          <w:sz w:val="24"/>
        </w:rPr>
        <w:t xml:space="preserve">incurred in </w:t>
      </w:r>
      <w:r w:rsidR="006451EC">
        <w:rPr>
          <w:rFonts w:ascii="Times New Roman" w:hAnsi="Times New Roman"/>
          <w:sz w:val="24"/>
        </w:rPr>
        <w:t xml:space="preserve">complying with any order for discovery that </w:t>
      </w:r>
      <w:r w:rsidR="0011414E">
        <w:rPr>
          <w:rFonts w:ascii="Times New Roman" w:hAnsi="Times New Roman"/>
          <w:sz w:val="24"/>
        </w:rPr>
        <w:t xml:space="preserve">may be </w:t>
      </w:r>
      <w:r w:rsidR="006451EC">
        <w:rPr>
          <w:rFonts w:ascii="Times New Roman" w:hAnsi="Times New Roman"/>
          <w:sz w:val="24"/>
        </w:rPr>
        <w:t>made in the proceedings</w:t>
      </w:r>
      <w:r w:rsidR="0011414E">
        <w:rPr>
          <w:rFonts w:ascii="Times New Roman" w:hAnsi="Times New Roman"/>
          <w:sz w:val="24"/>
        </w:rPr>
        <w:t xml:space="preserve"> as against the appellants</w:t>
      </w:r>
      <w:r w:rsidR="006451EC">
        <w:rPr>
          <w:rFonts w:ascii="Times New Roman" w:hAnsi="Times New Roman"/>
          <w:sz w:val="24"/>
        </w:rPr>
        <w:t xml:space="preserve">. </w:t>
      </w:r>
      <w:r w:rsidR="0011414E">
        <w:rPr>
          <w:rFonts w:ascii="Times New Roman" w:hAnsi="Times New Roman"/>
          <w:sz w:val="24"/>
        </w:rPr>
        <w:t xml:space="preserve"> Obviously, in saying this I am not intending in any way to pre-empt the outcome of any discovery application which must be </w:t>
      </w:r>
      <w:r w:rsidR="0011414E">
        <w:rPr>
          <w:rFonts w:ascii="Times New Roman" w:hAnsi="Times New Roman"/>
          <w:sz w:val="24"/>
        </w:rPr>
        <w:lastRenderedPageBreak/>
        <w:t xml:space="preserve">adjudicated upon on its own merits, but if this is correct, to one extent or another it further weakens the argument that the order made by the trial </w:t>
      </w:r>
      <w:r w:rsidR="00BB2911">
        <w:rPr>
          <w:rFonts w:ascii="Times New Roman" w:hAnsi="Times New Roman"/>
          <w:sz w:val="24"/>
        </w:rPr>
        <w:t>j</w:t>
      </w:r>
      <w:r w:rsidR="0011414E">
        <w:rPr>
          <w:rFonts w:ascii="Times New Roman" w:hAnsi="Times New Roman"/>
          <w:sz w:val="24"/>
        </w:rPr>
        <w:t xml:space="preserve">udge was not expedient. </w:t>
      </w:r>
    </w:p>
    <w:p w14:paraId="05C40B13" w14:textId="2FC9D5E5" w:rsidR="00826EE3" w:rsidRDefault="00D319EB" w:rsidP="0058287A">
      <w:pPr>
        <w:pStyle w:val="ListParagraph"/>
        <w:numPr>
          <w:ilvl w:val="0"/>
          <w:numId w:val="1"/>
        </w:numPr>
        <w:tabs>
          <w:tab w:val="left" w:pos="567"/>
        </w:tabs>
        <w:spacing w:line="480" w:lineRule="auto"/>
        <w:ind w:left="0" w:firstLine="0"/>
        <w:rPr>
          <w:rFonts w:ascii="Times New Roman" w:hAnsi="Times New Roman"/>
          <w:sz w:val="24"/>
        </w:rPr>
      </w:pPr>
      <w:r w:rsidRPr="00826EE3">
        <w:rPr>
          <w:rFonts w:ascii="Times New Roman" w:hAnsi="Times New Roman"/>
          <w:sz w:val="24"/>
        </w:rPr>
        <w:t xml:space="preserve">In any case, the trial judge addressed this issue by pointing out that the expenses incurred by the appellants in complying with the locations part of the order will be costs in the cause, and recoverable by the appellants in </w:t>
      </w:r>
      <w:r w:rsidR="00BB2911">
        <w:rPr>
          <w:rFonts w:ascii="Times New Roman" w:hAnsi="Times New Roman"/>
          <w:sz w:val="24"/>
        </w:rPr>
        <w:t xml:space="preserve">the </w:t>
      </w:r>
      <w:r w:rsidRPr="00826EE3">
        <w:rPr>
          <w:rFonts w:ascii="Times New Roman" w:hAnsi="Times New Roman"/>
          <w:sz w:val="24"/>
        </w:rPr>
        <w:t xml:space="preserve">event that they are successful in defending the proceedings.  </w:t>
      </w:r>
      <w:r w:rsidR="00F55C36" w:rsidRPr="00826EE3">
        <w:rPr>
          <w:rFonts w:ascii="Times New Roman" w:hAnsi="Times New Roman"/>
          <w:sz w:val="24"/>
        </w:rPr>
        <w:t>Conversely, if the costs involved</w:t>
      </w:r>
      <w:r w:rsidR="00CE4CEB">
        <w:rPr>
          <w:rFonts w:ascii="Times New Roman" w:hAnsi="Times New Roman"/>
          <w:sz w:val="24"/>
        </w:rPr>
        <w:t xml:space="preserve"> we</w:t>
      </w:r>
      <w:r w:rsidR="00F55C36" w:rsidRPr="00826EE3">
        <w:rPr>
          <w:rFonts w:ascii="Times New Roman" w:hAnsi="Times New Roman"/>
          <w:sz w:val="24"/>
        </w:rPr>
        <w:t>re initially borne by the respondents, and they subsequently succeeded in the proceedings, they would be entitled to recovery of the same as costs in the cause. Thus, the impact of the locations part of the order as regards which party must bear the cost of compliance with it is arguably neutral in the final analysis.</w:t>
      </w:r>
    </w:p>
    <w:p w14:paraId="6AB85E15" w14:textId="55DAD675" w:rsidR="00DD07D2" w:rsidRPr="00DD07D2" w:rsidRDefault="00D319EB"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The appellants also claim that it is impossible to comply with the locations part of the order</w:t>
      </w:r>
      <w:r w:rsidR="001E5C28" w:rsidRPr="00DA49EC">
        <w:rPr>
          <w:rFonts w:ascii="Times New Roman" w:hAnsi="Times New Roman"/>
          <w:sz w:val="24"/>
        </w:rPr>
        <w:t xml:space="preserve">, and that the order requires </w:t>
      </w:r>
      <w:r w:rsidR="0011414E" w:rsidRPr="00DA49EC">
        <w:rPr>
          <w:rFonts w:ascii="Times New Roman" w:hAnsi="Times New Roman"/>
          <w:sz w:val="24"/>
        </w:rPr>
        <w:t>Roadstone</w:t>
      </w:r>
      <w:r w:rsidR="001E5C28" w:rsidRPr="00DA49EC">
        <w:rPr>
          <w:rFonts w:ascii="Times New Roman" w:hAnsi="Times New Roman"/>
          <w:sz w:val="24"/>
        </w:rPr>
        <w:t xml:space="preserve"> to form a view as to the relevant locations, exposing the appellants to the risk of being found to be in breach of the order if the respondents subsequently contend that it has failed to identify the correct locations.</w:t>
      </w:r>
      <w:r w:rsidRPr="00DA49EC">
        <w:rPr>
          <w:rFonts w:ascii="Times New Roman" w:hAnsi="Times New Roman"/>
          <w:sz w:val="24"/>
        </w:rPr>
        <w:t xml:space="preserve">  </w:t>
      </w:r>
      <w:r w:rsidR="001E5C28" w:rsidRPr="00DA49EC">
        <w:rPr>
          <w:rFonts w:ascii="Times New Roman" w:hAnsi="Times New Roman"/>
          <w:sz w:val="24"/>
        </w:rPr>
        <w:t>The appellants point to the fact that the order is not qualified in any way (notwithstanding their request to the court that should be made subject to the caveat “</w:t>
      </w:r>
      <w:r w:rsidR="001E5C28" w:rsidRPr="00BB2911">
        <w:rPr>
          <w:rFonts w:ascii="Times New Roman" w:hAnsi="Times New Roman"/>
          <w:i/>
          <w:iCs/>
          <w:sz w:val="24"/>
        </w:rPr>
        <w:t>insofar as possible</w:t>
      </w:r>
      <w:r w:rsidR="001E5C28" w:rsidRPr="00DA49EC">
        <w:rPr>
          <w:rFonts w:ascii="Times New Roman" w:hAnsi="Times New Roman"/>
          <w:sz w:val="24"/>
        </w:rPr>
        <w:t xml:space="preserve">”). </w:t>
      </w:r>
      <w:r w:rsidRPr="00DA49EC">
        <w:rPr>
          <w:rFonts w:ascii="Times New Roman" w:hAnsi="Times New Roman"/>
          <w:sz w:val="24"/>
        </w:rPr>
        <w:t>Th</w:t>
      </w:r>
      <w:r w:rsidR="001E5C28" w:rsidRPr="00DA49EC">
        <w:rPr>
          <w:rFonts w:ascii="Times New Roman" w:hAnsi="Times New Roman"/>
          <w:sz w:val="24"/>
        </w:rPr>
        <w:t>e appellants claim that it is impossible to comply with the order</w:t>
      </w:r>
      <w:r w:rsidRPr="00DA49EC">
        <w:rPr>
          <w:rFonts w:ascii="Times New Roman" w:hAnsi="Times New Roman"/>
          <w:sz w:val="24"/>
        </w:rPr>
        <w:t xml:space="preserve"> because large sections of the quarries from which stone was extracted are now, for all practical purposes, voids by reason of the scale of quarrying activities in the intervening years.  The locations as such no longer exist.  However, even if in one sense this is true, it is, in another sense a spurious argument.  Taken to its logical conclusion, there would be no point in inspection at all.  It is unsurprising that after so many years of quarrying activity since the construction of the </w:t>
      </w:r>
      <w:r w:rsidR="0011414E" w:rsidRPr="00DA49EC">
        <w:rPr>
          <w:rFonts w:ascii="Times New Roman" w:hAnsi="Times New Roman"/>
          <w:sz w:val="24"/>
        </w:rPr>
        <w:t xml:space="preserve">Development </w:t>
      </w:r>
      <w:r w:rsidRPr="00DA49EC">
        <w:rPr>
          <w:rFonts w:ascii="Times New Roman" w:hAnsi="Times New Roman"/>
          <w:sz w:val="24"/>
        </w:rPr>
        <w:t xml:space="preserve">that the quarries would have altered substantially in the meantime.  It is not difficult to see how this could create difficulties in taking samples such that the experts employed by the parties can be satisfied that the samples </w:t>
      </w:r>
      <w:r w:rsidR="00BA54F3" w:rsidRPr="00DA49EC">
        <w:rPr>
          <w:rFonts w:ascii="Times New Roman" w:hAnsi="Times New Roman"/>
          <w:sz w:val="24"/>
        </w:rPr>
        <w:t xml:space="preserve">taken are taken from the same sources or equivalent sources from which </w:t>
      </w:r>
      <w:r w:rsidRPr="00DA49EC">
        <w:rPr>
          <w:rFonts w:ascii="Times New Roman" w:hAnsi="Times New Roman"/>
          <w:sz w:val="24"/>
        </w:rPr>
        <w:t xml:space="preserve">stone </w:t>
      </w:r>
      <w:r w:rsidR="00BA54F3" w:rsidRPr="00DA49EC">
        <w:rPr>
          <w:rFonts w:ascii="Times New Roman" w:hAnsi="Times New Roman"/>
          <w:sz w:val="24"/>
        </w:rPr>
        <w:t xml:space="preserve">was </w:t>
      </w:r>
      <w:r w:rsidRPr="00DA49EC">
        <w:rPr>
          <w:rFonts w:ascii="Times New Roman" w:hAnsi="Times New Roman"/>
          <w:sz w:val="24"/>
        </w:rPr>
        <w:t xml:space="preserve">supplied </w:t>
      </w:r>
      <w:r w:rsidR="00FE0743" w:rsidRPr="00DA49EC">
        <w:rPr>
          <w:rFonts w:ascii="Times New Roman" w:hAnsi="Times New Roman"/>
          <w:sz w:val="24"/>
        </w:rPr>
        <w:t xml:space="preserve">by </w:t>
      </w:r>
      <w:r w:rsidR="0011414E" w:rsidRPr="00DA49EC">
        <w:rPr>
          <w:rFonts w:ascii="Times New Roman" w:hAnsi="Times New Roman"/>
          <w:sz w:val="24"/>
        </w:rPr>
        <w:t>Roadstone</w:t>
      </w:r>
      <w:r w:rsidR="00FE0743" w:rsidRPr="00DA49EC">
        <w:rPr>
          <w:rFonts w:ascii="Times New Roman" w:hAnsi="Times New Roman"/>
          <w:sz w:val="24"/>
        </w:rPr>
        <w:t xml:space="preserve"> to the respondents</w:t>
      </w:r>
      <w:r w:rsidRPr="00DA49EC">
        <w:rPr>
          <w:rFonts w:ascii="Times New Roman" w:hAnsi="Times New Roman"/>
          <w:sz w:val="24"/>
        </w:rPr>
        <w:t xml:space="preserve">, but that is a matter for the </w:t>
      </w:r>
      <w:r w:rsidRPr="00DA49EC">
        <w:rPr>
          <w:rFonts w:ascii="Times New Roman" w:hAnsi="Times New Roman"/>
          <w:sz w:val="24"/>
        </w:rPr>
        <w:lastRenderedPageBreak/>
        <w:t>experts employed by the parties and if matters had proceeded as directed by the trial judge, it would have been for them to try and agree an appropriate protocol to ensure, as far as possible, that the samples taken</w:t>
      </w:r>
      <w:r w:rsidR="00826EE3" w:rsidRPr="00DA49EC">
        <w:rPr>
          <w:rFonts w:ascii="Times New Roman" w:hAnsi="Times New Roman"/>
          <w:sz w:val="24"/>
        </w:rPr>
        <w:t xml:space="preserve"> were taken from those areas </w:t>
      </w:r>
      <w:r w:rsidR="00BA54F3" w:rsidRPr="00DA49EC">
        <w:rPr>
          <w:rFonts w:ascii="Times New Roman" w:hAnsi="Times New Roman"/>
          <w:sz w:val="24"/>
        </w:rPr>
        <w:t>that correspond</w:t>
      </w:r>
      <w:r w:rsidR="00FE0743" w:rsidRPr="00DA49EC">
        <w:rPr>
          <w:rFonts w:ascii="Times New Roman" w:hAnsi="Times New Roman"/>
          <w:sz w:val="24"/>
        </w:rPr>
        <w:t>,</w:t>
      </w:r>
      <w:r w:rsidR="00BB2911">
        <w:rPr>
          <w:rFonts w:ascii="Times New Roman" w:hAnsi="Times New Roman"/>
          <w:sz w:val="24"/>
        </w:rPr>
        <w:t xml:space="preserve"> </w:t>
      </w:r>
      <w:r w:rsidR="00BA54F3" w:rsidRPr="00DA49EC">
        <w:rPr>
          <w:rFonts w:ascii="Times New Roman" w:hAnsi="Times New Roman"/>
          <w:sz w:val="24"/>
        </w:rPr>
        <w:t>as closely as possible</w:t>
      </w:r>
      <w:r w:rsidR="00FE0743" w:rsidRPr="00DA49EC">
        <w:rPr>
          <w:rFonts w:ascii="Times New Roman" w:hAnsi="Times New Roman"/>
          <w:sz w:val="24"/>
        </w:rPr>
        <w:t>,</w:t>
      </w:r>
      <w:r w:rsidR="00BB2911">
        <w:rPr>
          <w:rFonts w:ascii="Times New Roman" w:hAnsi="Times New Roman"/>
          <w:sz w:val="24"/>
        </w:rPr>
        <w:t xml:space="preserve"> </w:t>
      </w:r>
      <w:r w:rsidR="00BA54F3" w:rsidRPr="00DA49EC">
        <w:rPr>
          <w:rFonts w:ascii="Times New Roman" w:hAnsi="Times New Roman"/>
          <w:sz w:val="24"/>
        </w:rPr>
        <w:t xml:space="preserve">to the areas </w:t>
      </w:r>
      <w:r w:rsidR="00826EE3" w:rsidRPr="00DA49EC">
        <w:rPr>
          <w:rFonts w:ascii="Times New Roman" w:hAnsi="Times New Roman"/>
          <w:sz w:val="24"/>
        </w:rPr>
        <w:t xml:space="preserve">from which stone </w:t>
      </w:r>
      <w:r w:rsidRPr="00DA49EC">
        <w:rPr>
          <w:rFonts w:ascii="Times New Roman" w:hAnsi="Times New Roman"/>
          <w:sz w:val="24"/>
        </w:rPr>
        <w:t xml:space="preserve">was previously supplied by </w:t>
      </w:r>
      <w:r w:rsidR="0011414E" w:rsidRPr="00DA49EC">
        <w:rPr>
          <w:rFonts w:ascii="Times New Roman" w:hAnsi="Times New Roman"/>
          <w:sz w:val="24"/>
        </w:rPr>
        <w:t>Roadstone</w:t>
      </w:r>
      <w:r w:rsidRPr="00DA49EC">
        <w:rPr>
          <w:rFonts w:ascii="Times New Roman" w:hAnsi="Times New Roman"/>
          <w:sz w:val="24"/>
        </w:rPr>
        <w:t xml:space="preserve"> to the respondents</w:t>
      </w:r>
      <w:r w:rsidR="00FE0743" w:rsidRPr="00DA49EC">
        <w:rPr>
          <w:rFonts w:ascii="Times New Roman" w:hAnsi="Times New Roman"/>
          <w:sz w:val="24"/>
        </w:rPr>
        <w:t>, for use in the D</w:t>
      </w:r>
      <w:r w:rsidR="0011414E" w:rsidRPr="00DA49EC">
        <w:rPr>
          <w:rFonts w:ascii="Times New Roman" w:hAnsi="Times New Roman"/>
          <w:sz w:val="24"/>
        </w:rPr>
        <w:t>evelopment</w:t>
      </w:r>
      <w:r w:rsidR="00FE0743" w:rsidRPr="00DA49EC">
        <w:rPr>
          <w:rFonts w:ascii="Times New Roman" w:hAnsi="Times New Roman"/>
          <w:sz w:val="24"/>
        </w:rPr>
        <w:t>.</w:t>
      </w:r>
      <w:r w:rsidRPr="00DA49EC">
        <w:rPr>
          <w:rFonts w:ascii="Times New Roman" w:hAnsi="Times New Roman"/>
          <w:sz w:val="24"/>
        </w:rPr>
        <w:t xml:space="preserve"> </w:t>
      </w:r>
    </w:p>
    <w:p w14:paraId="4CC30B76" w14:textId="4912A6C7" w:rsidR="00BE2B12" w:rsidRPr="00CE4CEB" w:rsidRDefault="00DD07D2"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The same applies in relation to another difficulty identified by Mr</w:t>
      </w:r>
      <w:r w:rsidR="00BB2911">
        <w:rPr>
          <w:rFonts w:ascii="Times New Roman" w:hAnsi="Times New Roman"/>
          <w:sz w:val="24"/>
        </w:rPr>
        <w:t>.</w:t>
      </w:r>
      <w:r w:rsidRPr="00DA49EC">
        <w:rPr>
          <w:rFonts w:ascii="Times New Roman" w:hAnsi="Times New Roman"/>
          <w:sz w:val="24"/>
        </w:rPr>
        <w:t xml:space="preserve"> Glynn in his affidavit. This difficulty arises from the fact that once quarried, stone from different locations in the quarries </w:t>
      </w:r>
      <w:r w:rsidR="00BE2B12" w:rsidRPr="00DA49EC">
        <w:rPr>
          <w:rFonts w:ascii="Times New Roman" w:hAnsi="Times New Roman"/>
          <w:sz w:val="24"/>
        </w:rPr>
        <w:t>is</w:t>
      </w:r>
      <w:r w:rsidRPr="00DA49EC">
        <w:rPr>
          <w:rFonts w:ascii="Times New Roman" w:hAnsi="Times New Roman"/>
          <w:sz w:val="24"/>
        </w:rPr>
        <w:t xml:space="preserve"> stockpiled for up to six months, with the result that reviewing delivery dockets and comparing them to blast records corresponding to the same days as the delivery dockets does not necessarily identify the location within a quarry from which stone supplied on any given day was extracted. </w:t>
      </w:r>
      <w:r w:rsidR="00BE2B12" w:rsidRPr="00DA49EC">
        <w:rPr>
          <w:rFonts w:ascii="Times New Roman" w:hAnsi="Times New Roman"/>
          <w:sz w:val="24"/>
        </w:rPr>
        <w:t xml:space="preserve">By reference to three random examples taken in the different quarries, </w:t>
      </w:r>
      <w:r w:rsidRPr="00DA49EC">
        <w:rPr>
          <w:rFonts w:ascii="Times New Roman" w:hAnsi="Times New Roman"/>
          <w:sz w:val="24"/>
        </w:rPr>
        <w:t>Mr.</w:t>
      </w:r>
      <w:r w:rsidR="00BB2911">
        <w:rPr>
          <w:rFonts w:ascii="Times New Roman" w:hAnsi="Times New Roman"/>
          <w:sz w:val="24"/>
        </w:rPr>
        <w:t xml:space="preserve"> </w:t>
      </w:r>
      <w:r w:rsidRPr="00DA49EC">
        <w:rPr>
          <w:rFonts w:ascii="Times New Roman" w:hAnsi="Times New Roman"/>
          <w:sz w:val="24"/>
        </w:rPr>
        <w:t xml:space="preserve">Glynn </w:t>
      </w:r>
      <w:r w:rsidR="00BE2B12" w:rsidRPr="00DA49EC">
        <w:rPr>
          <w:rFonts w:ascii="Times New Roman" w:hAnsi="Times New Roman"/>
          <w:sz w:val="24"/>
        </w:rPr>
        <w:t>demonstrates this difficulty. On the dates concerned, in one quarry 36 different possible locations</w:t>
      </w:r>
      <w:r w:rsidR="00FE0743" w:rsidRPr="00DA49EC">
        <w:rPr>
          <w:rFonts w:ascii="Times New Roman" w:hAnsi="Times New Roman"/>
          <w:sz w:val="24"/>
        </w:rPr>
        <w:t xml:space="preserve"> from which stone was extracted</w:t>
      </w:r>
      <w:r w:rsidR="003C6E55" w:rsidRPr="00DA49EC">
        <w:rPr>
          <w:rFonts w:ascii="Times New Roman" w:hAnsi="Times New Roman"/>
          <w:sz w:val="24"/>
        </w:rPr>
        <w:t xml:space="preserve"> were</w:t>
      </w:r>
      <w:r w:rsidR="00BE2B12" w:rsidRPr="00DA49EC">
        <w:rPr>
          <w:rFonts w:ascii="Times New Roman" w:hAnsi="Times New Roman"/>
          <w:sz w:val="24"/>
        </w:rPr>
        <w:t xml:space="preserve"> identified, in another 22 different locations</w:t>
      </w:r>
      <w:r w:rsidR="00FE0743" w:rsidRPr="00DA49EC">
        <w:rPr>
          <w:rFonts w:ascii="Times New Roman" w:hAnsi="Times New Roman"/>
          <w:sz w:val="24"/>
        </w:rPr>
        <w:t xml:space="preserve"> were identified</w:t>
      </w:r>
      <w:r w:rsidR="00BE2B12" w:rsidRPr="00DA49EC">
        <w:rPr>
          <w:rFonts w:ascii="Times New Roman" w:hAnsi="Times New Roman"/>
          <w:sz w:val="24"/>
        </w:rPr>
        <w:t xml:space="preserve"> and in the third </w:t>
      </w:r>
      <w:r w:rsidR="00FE0743" w:rsidRPr="00DA49EC">
        <w:rPr>
          <w:rFonts w:ascii="Times New Roman" w:hAnsi="Times New Roman"/>
          <w:sz w:val="24"/>
        </w:rPr>
        <w:t>example</w:t>
      </w:r>
      <w:r w:rsidR="00BE2B12" w:rsidRPr="00DA49EC">
        <w:rPr>
          <w:rFonts w:ascii="Times New Roman" w:hAnsi="Times New Roman"/>
          <w:sz w:val="24"/>
        </w:rPr>
        <w:t xml:space="preserve"> 6 different locations</w:t>
      </w:r>
      <w:r w:rsidR="00FE0743" w:rsidRPr="00DA49EC">
        <w:rPr>
          <w:rFonts w:ascii="Times New Roman" w:hAnsi="Times New Roman"/>
          <w:sz w:val="24"/>
        </w:rPr>
        <w:t xml:space="preserve"> </w:t>
      </w:r>
      <w:r w:rsidR="00BE2B12" w:rsidRPr="00DA49EC">
        <w:rPr>
          <w:rFonts w:ascii="Times New Roman" w:hAnsi="Times New Roman"/>
          <w:sz w:val="24"/>
        </w:rPr>
        <w:t>were identified. Mr</w:t>
      </w:r>
      <w:r w:rsidR="00BB2911">
        <w:rPr>
          <w:rFonts w:ascii="Times New Roman" w:hAnsi="Times New Roman"/>
          <w:sz w:val="24"/>
        </w:rPr>
        <w:t>.</w:t>
      </w:r>
      <w:r w:rsidR="00BE2B12" w:rsidRPr="00DA49EC">
        <w:rPr>
          <w:rFonts w:ascii="Times New Roman" w:hAnsi="Times New Roman"/>
          <w:sz w:val="24"/>
        </w:rPr>
        <w:t xml:space="preserve"> Glynn d</w:t>
      </w:r>
      <w:r w:rsidRPr="00DA49EC">
        <w:rPr>
          <w:rFonts w:ascii="Times New Roman" w:hAnsi="Times New Roman"/>
          <w:sz w:val="24"/>
        </w:rPr>
        <w:t>iscusses how this difficulty might be addressed</w:t>
      </w:r>
      <w:r w:rsidR="006C0630" w:rsidRPr="00DA49EC">
        <w:rPr>
          <w:rFonts w:ascii="Times New Roman" w:hAnsi="Times New Roman"/>
          <w:sz w:val="24"/>
        </w:rPr>
        <w:t>,</w:t>
      </w:r>
      <w:r w:rsidR="00BE2B12" w:rsidRPr="00DA49EC">
        <w:rPr>
          <w:rFonts w:ascii="Times New Roman" w:hAnsi="Times New Roman"/>
          <w:sz w:val="24"/>
        </w:rPr>
        <w:t xml:space="preserve"> and how it might be possible to narrow the possible locations involved, but he avers that, based on the information available, it will not be possible to identify the locations from which stone was extracted and supplied to the D</w:t>
      </w:r>
      <w:r w:rsidR="004A3529" w:rsidRPr="00DA49EC">
        <w:rPr>
          <w:rFonts w:ascii="Times New Roman" w:hAnsi="Times New Roman"/>
          <w:sz w:val="24"/>
        </w:rPr>
        <w:t>evelopment</w:t>
      </w:r>
      <w:r w:rsidR="00BE2B12" w:rsidRPr="00DA49EC">
        <w:rPr>
          <w:rFonts w:ascii="Times New Roman" w:hAnsi="Times New Roman"/>
          <w:sz w:val="24"/>
        </w:rPr>
        <w:t>, and he does not understand how the trial judge concluded that this is possible.</w:t>
      </w:r>
      <w:r w:rsidR="00CE4CEB" w:rsidRPr="00DA49EC">
        <w:rPr>
          <w:rFonts w:ascii="Times New Roman" w:hAnsi="Times New Roman"/>
          <w:sz w:val="24"/>
        </w:rPr>
        <w:t xml:space="preserve"> He concludes his affidavit by saying that the appellants have provided the blasting records, delivery dockets and extraction plans to the respondents, and that the appellants have no objection to the inspection proceeding subject only to </w:t>
      </w:r>
      <w:r w:rsidR="004F29E4">
        <w:rPr>
          <w:rFonts w:ascii="Times New Roman" w:hAnsi="Times New Roman"/>
          <w:sz w:val="24"/>
        </w:rPr>
        <w:t xml:space="preserve">the </w:t>
      </w:r>
      <w:r w:rsidR="00CE4CEB" w:rsidRPr="00DA49EC">
        <w:rPr>
          <w:rFonts w:ascii="Times New Roman" w:hAnsi="Times New Roman"/>
          <w:sz w:val="24"/>
        </w:rPr>
        <w:t>finalis</w:t>
      </w:r>
      <w:r w:rsidR="004F29E4">
        <w:rPr>
          <w:rFonts w:ascii="Times New Roman" w:hAnsi="Times New Roman"/>
          <w:sz w:val="24"/>
        </w:rPr>
        <w:t>ation of</w:t>
      </w:r>
      <w:r w:rsidR="00CE4CEB" w:rsidRPr="00DA49EC">
        <w:rPr>
          <w:rFonts w:ascii="Times New Roman" w:hAnsi="Times New Roman"/>
          <w:sz w:val="24"/>
        </w:rPr>
        <w:t xml:space="preserve"> an agreement on an inspection protocol, in respect of which discussions were, at the time of completion of his affidavit (20</w:t>
      </w:r>
      <w:r w:rsidR="00CE4CEB" w:rsidRPr="00BB2911">
        <w:rPr>
          <w:rFonts w:ascii="Times New Roman" w:hAnsi="Times New Roman"/>
          <w:sz w:val="24"/>
          <w:vertAlign w:val="superscript"/>
        </w:rPr>
        <w:t>th</w:t>
      </w:r>
      <w:r w:rsidR="00CE4CEB" w:rsidRPr="00DA49EC">
        <w:rPr>
          <w:rFonts w:ascii="Times New Roman" w:hAnsi="Times New Roman"/>
          <w:sz w:val="24"/>
        </w:rPr>
        <w:t xml:space="preserve"> June 2019) at an advanced stage.</w:t>
      </w:r>
    </w:p>
    <w:p w14:paraId="118B4C2A" w14:textId="770345E9" w:rsidR="00BD12BF" w:rsidRPr="00936366" w:rsidRDefault="00936366"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While the affidavit of Mr</w:t>
      </w:r>
      <w:r w:rsidR="00BB2911">
        <w:rPr>
          <w:rFonts w:ascii="Times New Roman" w:hAnsi="Times New Roman"/>
          <w:sz w:val="24"/>
        </w:rPr>
        <w:t>.</w:t>
      </w:r>
      <w:r>
        <w:rPr>
          <w:rFonts w:ascii="Times New Roman" w:hAnsi="Times New Roman"/>
          <w:sz w:val="24"/>
        </w:rPr>
        <w:t xml:space="preserve"> Glynn persuasively discusses the difficulties in identifying the locations within the quarries from which stone was extracted and supplied for use in the </w:t>
      </w:r>
      <w:r>
        <w:rPr>
          <w:rFonts w:ascii="Times New Roman" w:hAnsi="Times New Roman"/>
          <w:sz w:val="24"/>
        </w:rPr>
        <w:lastRenderedPageBreak/>
        <w:t>D</w:t>
      </w:r>
      <w:r w:rsidR="004A3529">
        <w:rPr>
          <w:rFonts w:ascii="Times New Roman" w:hAnsi="Times New Roman"/>
          <w:sz w:val="24"/>
        </w:rPr>
        <w:t>evelopment</w:t>
      </w:r>
      <w:r>
        <w:rPr>
          <w:rFonts w:ascii="Times New Roman" w:hAnsi="Times New Roman"/>
          <w:sz w:val="24"/>
        </w:rPr>
        <w:t>, the answer to these difficulties</w:t>
      </w:r>
      <w:r w:rsidR="00FE0743">
        <w:rPr>
          <w:rFonts w:ascii="Times New Roman" w:hAnsi="Times New Roman"/>
          <w:sz w:val="24"/>
        </w:rPr>
        <w:t>, as I have already mentioned,</w:t>
      </w:r>
      <w:r>
        <w:rPr>
          <w:rFonts w:ascii="Times New Roman" w:hAnsi="Times New Roman"/>
          <w:sz w:val="24"/>
        </w:rPr>
        <w:t xml:space="preserve"> is that the trial judge gave the parties liberty to apply. While it </w:t>
      </w:r>
      <w:r w:rsidR="004A3529">
        <w:rPr>
          <w:rFonts w:ascii="Times New Roman" w:hAnsi="Times New Roman"/>
          <w:sz w:val="24"/>
        </w:rPr>
        <w:t xml:space="preserve">was argued that it would have served no purpose for the appellants to exercise the liberty to apply, given that the trial </w:t>
      </w:r>
      <w:r w:rsidR="00BB2911">
        <w:rPr>
          <w:rFonts w:ascii="Times New Roman" w:hAnsi="Times New Roman"/>
          <w:sz w:val="24"/>
        </w:rPr>
        <w:t>j</w:t>
      </w:r>
      <w:r w:rsidR="004A3529">
        <w:rPr>
          <w:rFonts w:ascii="Times New Roman" w:hAnsi="Times New Roman"/>
          <w:sz w:val="24"/>
        </w:rPr>
        <w:t>udge had rejected the caveat to the order proposed by the appellants, i.e. that it be qualified by the use of the words “</w:t>
      </w:r>
      <w:r w:rsidR="00BF7A2C">
        <w:rPr>
          <w:rFonts w:ascii="Times New Roman" w:hAnsi="Times New Roman"/>
          <w:i/>
          <w:iCs/>
          <w:sz w:val="24"/>
        </w:rPr>
        <w:t>inso</w:t>
      </w:r>
      <w:r w:rsidR="004A3529" w:rsidRPr="00BB2911">
        <w:rPr>
          <w:rFonts w:ascii="Times New Roman" w:hAnsi="Times New Roman"/>
          <w:i/>
          <w:iCs/>
          <w:sz w:val="24"/>
        </w:rPr>
        <w:t>far as possible</w:t>
      </w:r>
      <w:r w:rsidR="004A3529">
        <w:rPr>
          <w:rFonts w:ascii="Times New Roman" w:hAnsi="Times New Roman"/>
          <w:sz w:val="24"/>
        </w:rPr>
        <w:t xml:space="preserve">”, that argument in my view is misconceived. There is a world of a difference between considering an advance application to qualify her order on the one hand, and considering whether or not to vary her order in the light of the very detailed and </w:t>
      </w:r>
      <w:r w:rsidR="00BB2911">
        <w:rPr>
          <w:rFonts w:ascii="Times New Roman" w:hAnsi="Times New Roman"/>
          <w:sz w:val="24"/>
        </w:rPr>
        <w:t>well-reasoned</w:t>
      </w:r>
      <w:r w:rsidR="004A3529">
        <w:rPr>
          <w:rFonts w:ascii="Times New Roman" w:hAnsi="Times New Roman"/>
          <w:sz w:val="24"/>
        </w:rPr>
        <w:t xml:space="preserve"> affidavit of Mr.</w:t>
      </w:r>
      <w:r w:rsidR="00BB2911">
        <w:rPr>
          <w:rFonts w:ascii="Times New Roman" w:hAnsi="Times New Roman"/>
          <w:sz w:val="24"/>
        </w:rPr>
        <w:t xml:space="preserve"> </w:t>
      </w:r>
      <w:r w:rsidR="004A3529">
        <w:rPr>
          <w:rFonts w:ascii="Times New Roman" w:hAnsi="Times New Roman"/>
          <w:sz w:val="24"/>
        </w:rPr>
        <w:t xml:space="preserve">Glynn prepared </w:t>
      </w:r>
      <w:r w:rsidR="004A3529" w:rsidRPr="004A3529">
        <w:rPr>
          <w:rFonts w:ascii="Times New Roman" w:hAnsi="Times New Roman"/>
          <w:i/>
          <w:sz w:val="24"/>
        </w:rPr>
        <w:t>after</w:t>
      </w:r>
      <w:r w:rsidR="004A3529">
        <w:rPr>
          <w:rFonts w:ascii="Times New Roman" w:hAnsi="Times New Roman"/>
          <w:sz w:val="24"/>
        </w:rPr>
        <w:t xml:space="preserve"> Roadstone has attempted compliance with the order on the other. </w:t>
      </w:r>
      <w:r w:rsidR="003073BF">
        <w:rPr>
          <w:rFonts w:ascii="Times New Roman" w:hAnsi="Times New Roman"/>
          <w:sz w:val="24"/>
        </w:rPr>
        <w:t>It is idle to speculate now, but what may be said is that the exercise of the liberty to apply may well have resulted in a variation to the order which would have addressed the concerns of the appellants to their satisfaction.</w:t>
      </w:r>
      <w:r w:rsidR="001E5C28">
        <w:rPr>
          <w:rFonts w:ascii="Times New Roman" w:hAnsi="Times New Roman"/>
          <w:sz w:val="24"/>
        </w:rPr>
        <w:t xml:space="preserve"> Viewed in that light, the order cannot be considered oppressive, as contended by the appellants.</w:t>
      </w:r>
      <w:r w:rsidR="00FE0743">
        <w:rPr>
          <w:rFonts w:ascii="Times New Roman" w:hAnsi="Times New Roman"/>
          <w:sz w:val="24"/>
        </w:rPr>
        <w:t xml:space="preserve"> I would therefore reject this ground o</w:t>
      </w:r>
      <w:r w:rsidR="003073BF">
        <w:rPr>
          <w:rFonts w:ascii="Times New Roman" w:hAnsi="Times New Roman"/>
          <w:sz w:val="24"/>
        </w:rPr>
        <w:t>f</w:t>
      </w:r>
      <w:r w:rsidR="00FE0743">
        <w:rPr>
          <w:rFonts w:ascii="Times New Roman" w:hAnsi="Times New Roman"/>
          <w:sz w:val="24"/>
        </w:rPr>
        <w:t xml:space="preserve"> appeal also.</w:t>
      </w:r>
    </w:p>
    <w:p w14:paraId="769C13D2" w14:textId="2DC6E387" w:rsidR="007B3662" w:rsidRPr="00F70AE9" w:rsidRDefault="007B3662" w:rsidP="0058287A">
      <w:pPr>
        <w:pStyle w:val="ListParagraph"/>
        <w:tabs>
          <w:tab w:val="left" w:pos="567"/>
        </w:tabs>
        <w:spacing w:line="480" w:lineRule="auto"/>
        <w:ind w:left="0"/>
        <w:rPr>
          <w:rFonts w:ascii="Times New Roman" w:hAnsi="Times New Roman"/>
          <w:b/>
          <w:sz w:val="24"/>
        </w:rPr>
      </w:pPr>
      <w:r w:rsidRPr="00F70AE9">
        <w:rPr>
          <w:rFonts w:ascii="Times New Roman" w:hAnsi="Times New Roman"/>
          <w:b/>
          <w:sz w:val="24"/>
        </w:rPr>
        <w:t xml:space="preserve">Reversal of </w:t>
      </w:r>
      <w:r w:rsidR="00167800">
        <w:rPr>
          <w:rFonts w:ascii="Times New Roman" w:hAnsi="Times New Roman"/>
          <w:b/>
          <w:sz w:val="24"/>
        </w:rPr>
        <w:t>b</w:t>
      </w:r>
      <w:r w:rsidRPr="00F70AE9">
        <w:rPr>
          <w:rFonts w:ascii="Times New Roman" w:hAnsi="Times New Roman"/>
          <w:b/>
          <w:sz w:val="24"/>
        </w:rPr>
        <w:t xml:space="preserve">urden of </w:t>
      </w:r>
      <w:r w:rsidR="00167800">
        <w:rPr>
          <w:rFonts w:ascii="Times New Roman" w:hAnsi="Times New Roman"/>
          <w:b/>
          <w:sz w:val="24"/>
        </w:rPr>
        <w:t>p</w:t>
      </w:r>
      <w:r w:rsidRPr="00F70AE9">
        <w:rPr>
          <w:rFonts w:ascii="Times New Roman" w:hAnsi="Times New Roman"/>
          <w:b/>
          <w:sz w:val="24"/>
        </w:rPr>
        <w:t>roof</w:t>
      </w:r>
    </w:p>
    <w:p w14:paraId="03D0DA7B" w14:textId="7415E6D7" w:rsidR="007B3662" w:rsidRDefault="007B3662"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appellants argue that the effect of the order is to require them to make admissions, thereby reversing the burden of proof.  They also argue that the order constitutes an order to furnish information under the guise of an order for inspection.  </w:t>
      </w:r>
    </w:p>
    <w:p w14:paraId="0775DFD5" w14:textId="36C409EA" w:rsidR="007B3662" w:rsidRDefault="007B3662"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Taking this latter point first, while it is true to say that it requires the appellants to furnish information, it is for the limited purpose only of identifying locations, to give effect to the order for inspection.  Once that purpose is satisfied, the effect of the order is spent.  For this reason, it seems to me that it is more accurate to characterise it, as the trial judge did, as an order made to give effect to the order for inspection</w:t>
      </w:r>
      <w:r w:rsidR="00FE0743">
        <w:rPr>
          <w:rFonts w:ascii="Times New Roman" w:hAnsi="Times New Roman"/>
          <w:sz w:val="24"/>
        </w:rPr>
        <w:t>,</w:t>
      </w:r>
      <w:r>
        <w:rPr>
          <w:rFonts w:ascii="Times New Roman" w:hAnsi="Times New Roman"/>
          <w:sz w:val="24"/>
        </w:rPr>
        <w:t xml:space="preserve"> rather than an order made for the provision of information which might be used against the appellants in the proceedings.  </w:t>
      </w:r>
    </w:p>
    <w:p w14:paraId="6C2847B4" w14:textId="4011CD65" w:rsidR="007B3662" w:rsidRDefault="007B3662"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their defence, at para. 12(b) the appellants plead:</w:t>
      </w:r>
    </w:p>
    <w:p w14:paraId="0601649A" w14:textId="142D1A6F" w:rsidR="007B3662" w:rsidRDefault="007B3662"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lastRenderedPageBreak/>
        <w:t>“</w:t>
      </w:r>
      <w:r w:rsidRPr="00605E0E">
        <w:rPr>
          <w:rFonts w:ascii="Times New Roman" w:hAnsi="Times New Roman"/>
          <w:i/>
          <w:iCs/>
          <w:sz w:val="24"/>
        </w:rPr>
        <w:t xml:space="preserve">It is admitted that the first defendant supplied stone infill and crushed rock products to the plaintiffs for use in the </w:t>
      </w:r>
      <w:proofErr w:type="spellStart"/>
      <w:r w:rsidRPr="00605E0E">
        <w:rPr>
          <w:rFonts w:ascii="Times New Roman" w:hAnsi="Times New Roman"/>
          <w:i/>
          <w:iCs/>
          <w:sz w:val="24"/>
        </w:rPr>
        <w:t>Drumnigh</w:t>
      </w:r>
      <w:proofErr w:type="spellEnd"/>
      <w:r w:rsidRPr="00605E0E">
        <w:rPr>
          <w:rFonts w:ascii="Times New Roman" w:hAnsi="Times New Roman"/>
          <w:i/>
          <w:iCs/>
          <w:sz w:val="24"/>
        </w:rPr>
        <w:t xml:space="preserve"> Estate but no admission is made as to the quantities and specification of the products supplied or the use to which those products were put.</w:t>
      </w:r>
      <w:r>
        <w:rPr>
          <w:rFonts w:ascii="Times New Roman" w:hAnsi="Times New Roman"/>
          <w:sz w:val="24"/>
        </w:rPr>
        <w:t>”</w:t>
      </w:r>
    </w:p>
    <w:p w14:paraId="7F29411D" w14:textId="3448EA31" w:rsidR="007B3662" w:rsidRPr="007B3662" w:rsidRDefault="007B3662" w:rsidP="0058287A">
      <w:pPr>
        <w:tabs>
          <w:tab w:val="left" w:pos="567"/>
        </w:tabs>
        <w:spacing w:line="480" w:lineRule="auto"/>
        <w:jc w:val="both"/>
      </w:pPr>
      <w:r>
        <w:t xml:space="preserve">By identifying locations in the quarries from which stone was extracted and delivered by </w:t>
      </w:r>
      <w:r w:rsidR="00BB49A1">
        <w:t xml:space="preserve">Roadstone </w:t>
      </w:r>
      <w:r>
        <w:t xml:space="preserve">to the respondents, </w:t>
      </w:r>
      <w:r w:rsidR="00BB49A1">
        <w:t xml:space="preserve">Roadstone </w:t>
      </w:r>
      <w:r>
        <w:t xml:space="preserve">will be doing no more than has already been admitted in the defence and will not be making any concessions regarding the quality or fitness for purpose of the goods supplied.  There is therefore no question of any reversal of the burden of proof. </w:t>
      </w:r>
      <w:r w:rsidR="00FE0743">
        <w:t>I therefore reject this ground of appeal also.</w:t>
      </w:r>
    </w:p>
    <w:p w14:paraId="7345DE4F" w14:textId="43F1153A" w:rsidR="005F3C0C" w:rsidRPr="00280274" w:rsidRDefault="0089210A" w:rsidP="0058287A">
      <w:pPr>
        <w:pStyle w:val="ListParagraph"/>
        <w:tabs>
          <w:tab w:val="left" w:pos="567"/>
        </w:tabs>
        <w:spacing w:line="480" w:lineRule="auto"/>
        <w:ind w:left="0"/>
        <w:rPr>
          <w:rFonts w:ascii="Times New Roman" w:hAnsi="Times New Roman"/>
          <w:b/>
          <w:sz w:val="24"/>
        </w:rPr>
      </w:pPr>
      <w:r w:rsidRPr="00280274">
        <w:rPr>
          <w:rFonts w:ascii="Times New Roman" w:hAnsi="Times New Roman"/>
          <w:b/>
          <w:sz w:val="24"/>
        </w:rPr>
        <w:t>Did the trial judge make findings, in para. 25 of her judgment, that can and should be set aside if the court were satisfied that such findings were made in breach of fair procedures?</w:t>
      </w:r>
    </w:p>
    <w:p w14:paraId="5092BF7C" w14:textId="7A4509B1" w:rsidR="0089210A" w:rsidRDefault="0089210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This question arises out of the fifth ground of appeal, which in turn arises out of the appellants’ dissatisfaction with para. 25 of the judgment under appeal.  While para. 25 is set out in full at para. 2</w:t>
      </w:r>
      <w:r w:rsidR="00280274">
        <w:rPr>
          <w:rFonts w:ascii="Times New Roman" w:hAnsi="Times New Roman"/>
          <w:sz w:val="24"/>
        </w:rPr>
        <w:t>3</w:t>
      </w:r>
      <w:r>
        <w:rPr>
          <w:rFonts w:ascii="Times New Roman" w:hAnsi="Times New Roman"/>
          <w:sz w:val="24"/>
        </w:rPr>
        <w:t xml:space="preserve"> above, it is expedient to set it out again for the purpose of consideration of this ground of appeal:</w:t>
      </w:r>
    </w:p>
    <w:p w14:paraId="69A28F80" w14:textId="4C1E88AC" w:rsidR="0089210A" w:rsidRDefault="0089210A"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605E0E">
        <w:rPr>
          <w:rFonts w:ascii="Times New Roman" w:hAnsi="Times New Roman"/>
          <w:i/>
          <w:iCs/>
          <w:sz w:val="24"/>
        </w:rPr>
        <w:t>25.  This court first became involved in the case management of these proceedings in May, 2017, when it first heard the plaintiff</w:t>
      </w:r>
      <w:r w:rsidR="00280274">
        <w:rPr>
          <w:rFonts w:ascii="Times New Roman" w:hAnsi="Times New Roman"/>
          <w:i/>
          <w:iCs/>
          <w:sz w:val="24"/>
        </w:rPr>
        <w:t>’</w:t>
      </w:r>
      <w:r w:rsidRPr="00605E0E">
        <w:rPr>
          <w:rFonts w:ascii="Times New Roman" w:hAnsi="Times New Roman"/>
          <w:i/>
          <w:iCs/>
          <w:sz w:val="24"/>
        </w:rPr>
        <w:t xml:space="preserve">s application for inspection pursuant to O. 50, r. 4. At that point, the pleadings were at the stage where the statement of claim had been served. In the period since then, the only progress made in the substantive claim has been to have the defences delivered and the pleadings closed. This is despite the fact that the case has been before the court on 25 occasions in that period. There have been nine mention dates, three judgment dates and a full 13 hearing days. The hearing days have been spent essentially dealing in one form or another, with Roadstone’s objections to the progression of this claim. The court has a growing impression that </w:t>
      </w:r>
      <w:r w:rsidRPr="00605E0E">
        <w:rPr>
          <w:rFonts w:ascii="Times New Roman" w:hAnsi="Times New Roman"/>
          <w:i/>
          <w:iCs/>
          <w:sz w:val="24"/>
        </w:rPr>
        <w:lastRenderedPageBreak/>
        <w:t>Roadstone is deploying a strategy to hinder, impede and delay the progress of this claim by any lawful means at its disposal. In our adversarial system of civil litigation well-resourced litigants can quite readily clog the system with multiple applications, should they choose to do so. Just because they can, does not mean they should or that they should be permitted to do so. Courts must be vigilant to ensure, as best they can, that their scarce resources which are provided for the benefit of society at large, are not monopolised or disproportionately used to serve the ends of wealthy litigants, whose interest may be to hinder or impede litigation rather than ensuring its efficient and economical conduct.</w:t>
      </w:r>
      <w:r w:rsidRPr="0089210A">
        <w:rPr>
          <w:rFonts w:ascii="Times New Roman" w:hAnsi="Times New Roman"/>
          <w:sz w:val="24"/>
        </w:rPr>
        <w:t>”</w:t>
      </w:r>
    </w:p>
    <w:p w14:paraId="79F8754B" w14:textId="4DDBAC7F" w:rsidR="00A42D5A" w:rsidRPr="000873B2" w:rsidRDefault="00A42D5A" w:rsidP="0058287A">
      <w:pPr>
        <w:pStyle w:val="ListParagraph"/>
        <w:tabs>
          <w:tab w:val="left" w:pos="567"/>
        </w:tabs>
        <w:spacing w:line="480" w:lineRule="auto"/>
        <w:ind w:left="0"/>
        <w:rPr>
          <w:rFonts w:ascii="Times New Roman" w:hAnsi="Times New Roman"/>
          <w:b/>
          <w:i/>
          <w:iCs/>
          <w:sz w:val="24"/>
        </w:rPr>
      </w:pPr>
      <w:r w:rsidRPr="000873B2">
        <w:rPr>
          <w:rFonts w:ascii="Times New Roman" w:hAnsi="Times New Roman"/>
          <w:b/>
          <w:i/>
          <w:iCs/>
          <w:sz w:val="24"/>
        </w:rPr>
        <w:t xml:space="preserve">Submissions of </w:t>
      </w:r>
      <w:r w:rsidR="00B61E7E">
        <w:rPr>
          <w:rFonts w:ascii="Times New Roman" w:hAnsi="Times New Roman"/>
          <w:b/>
          <w:i/>
          <w:iCs/>
          <w:sz w:val="24"/>
        </w:rPr>
        <w:t>a</w:t>
      </w:r>
      <w:r w:rsidRPr="000873B2">
        <w:rPr>
          <w:rFonts w:ascii="Times New Roman" w:hAnsi="Times New Roman"/>
          <w:b/>
          <w:i/>
          <w:iCs/>
          <w:sz w:val="24"/>
        </w:rPr>
        <w:t>ppellants on fifth ground of appeal</w:t>
      </w:r>
    </w:p>
    <w:p w14:paraId="2510B031" w14:textId="1FBC95EC" w:rsidR="0089210A" w:rsidRDefault="0089210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 have summarised,</w:t>
      </w:r>
      <w:r w:rsidR="00122928">
        <w:rPr>
          <w:rFonts w:ascii="Times New Roman" w:hAnsi="Times New Roman"/>
          <w:sz w:val="24"/>
        </w:rPr>
        <w:t xml:space="preserve"> at </w:t>
      </w:r>
      <w:r>
        <w:rPr>
          <w:rFonts w:ascii="Times New Roman" w:hAnsi="Times New Roman"/>
          <w:sz w:val="24"/>
        </w:rPr>
        <w:t>para. 2</w:t>
      </w:r>
      <w:r w:rsidR="00BB49A1">
        <w:rPr>
          <w:rFonts w:ascii="Times New Roman" w:hAnsi="Times New Roman"/>
          <w:sz w:val="24"/>
        </w:rPr>
        <w:t>7</w:t>
      </w:r>
      <w:r>
        <w:rPr>
          <w:rFonts w:ascii="Times New Roman" w:hAnsi="Times New Roman"/>
          <w:sz w:val="24"/>
        </w:rPr>
        <w:t>(</w:t>
      </w:r>
      <w:r w:rsidR="00010211">
        <w:rPr>
          <w:rFonts w:ascii="Times New Roman" w:hAnsi="Times New Roman"/>
          <w:sz w:val="24"/>
        </w:rPr>
        <w:t>4</w:t>
      </w:r>
      <w:r>
        <w:rPr>
          <w:rFonts w:ascii="Times New Roman" w:hAnsi="Times New Roman"/>
          <w:sz w:val="24"/>
        </w:rPr>
        <w:t>)</w:t>
      </w:r>
      <w:r w:rsidR="00122928">
        <w:rPr>
          <w:rFonts w:ascii="Times New Roman" w:hAnsi="Times New Roman"/>
          <w:sz w:val="24"/>
        </w:rPr>
        <w:t xml:space="preserve"> above,</w:t>
      </w:r>
      <w:r>
        <w:rPr>
          <w:rFonts w:ascii="Times New Roman" w:hAnsi="Times New Roman"/>
          <w:sz w:val="24"/>
        </w:rPr>
        <w:t xml:space="preserve"> the ground of appeal arising out of this paragraph.  In essence, however, the appellants complain that the findings contained in this paragraph (such as they are) were made in breach of fair procedures because at no stage, either during the course of the hearing of the motion or following the delivery of the judgment by the trial judge, were the appellants afforded the opportunity to address her on these issues.  Moreover, the findings are based on inaccurate facts and ought to be set aside.</w:t>
      </w:r>
    </w:p>
    <w:p w14:paraId="611D56B2" w14:textId="681EB538" w:rsidR="0089210A" w:rsidRDefault="0089210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It is submitted that the statement that “</w:t>
      </w:r>
      <w:r w:rsidRPr="00605E0E">
        <w:rPr>
          <w:rFonts w:ascii="Times New Roman" w:hAnsi="Times New Roman"/>
          <w:i/>
          <w:iCs/>
          <w:sz w:val="24"/>
        </w:rPr>
        <w:t>the hearing days have been spent essentially in dealing in one form or another, with Roadstone’s objections to the progression of this claim</w:t>
      </w:r>
      <w:r>
        <w:rPr>
          <w:rFonts w:ascii="Times New Roman" w:hAnsi="Times New Roman"/>
          <w:sz w:val="24"/>
        </w:rPr>
        <w:t>” is factually inaccurate.  This is addressed in an affidavit sworn by Ms. Elizabeth Upton on behalf of the appellants on 11</w:t>
      </w:r>
      <w:r w:rsidRPr="0089210A">
        <w:rPr>
          <w:rFonts w:ascii="Times New Roman" w:hAnsi="Times New Roman"/>
          <w:sz w:val="24"/>
          <w:vertAlign w:val="superscript"/>
        </w:rPr>
        <w:t>th</w:t>
      </w:r>
      <w:r>
        <w:rPr>
          <w:rFonts w:ascii="Times New Roman" w:hAnsi="Times New Roman"/>
          <w:sz w:val="24"/>
        </w:rPr>
        <w:t xml:space="preserve"> June 2019</w:t>
      </w:r>
      <w:r w:rsidR="009B088E">
        <w:rPr>
          <w:rFonts w:ascii="Times New Roman" w:hAnsi="Times New Roman"/>
          <w:sz w:val="24"/>
        </w:rPr>
        <w:t>, for the purpose of placing evidence before this Court regarding the procedural history of these proceedings, in connection with this ground of appeal.</w:t>
      </w:r>
      <w:r w:rsidR="00476D6A">
        <w:rPr>
          <w:rFonts w:ascii="Times New Roman" w:hAnsi="Times New Roman"/>
          <w:sz w:val="24"/>
        </w:rPr>
        <w:t xml:space="preserve">  Ms. Upton points out that nine motions have been brought </w:t>
      </w:r>
      <w:r w:rsidR="00122928">
        <w:rPr>
          <w:rFonts w:ascii="Times New Roman" w:hAnsi="Times New Roman"/>
          <w:sz w:val="24"/>
        </w:rPr>
        <w:t>i</w:t>
      </w:r>
      <w:r w:rsidR="00476D6A">
        <w:rPr>
          <w:rFonts w:ascii="Times New Roman" w:hAnsi="Times New Roman"/>
          <w:sz w:val="24"/>
        </w:rPr>
        <w:t>n the case</w:t>
      </w:r>
      <w:r w:rsidR="00122928">
        <w:rPr>
          <w:rFonts w:ascii="Times New Roman" w:hAnsi="Times New Roman"/>
          <w:sz w:val="24"/>
        </w:rPr>
        <w:t>,</w:t>
      </w:r>
      <w:r w:rsidR="00476D6A">
        <w:rPr>
          <w:rFonts w:ascii="Times New Roman" w:hAnsi="Times New Roman"/>
          <w:sz w:val="24"/>
        </w:rPr>
        <w:t xml:space="preserve"> only two of which were brought by the first named appellant, and it was</w:t>
      </w:r>
      <w:r w:rsidR="00605E0E">
        <w:rPr>
          <w:rFonts w:ascii="Times New Roman" w:hAnsi="Times New Roman"/>
          <w:sz w:val="24"/>
        </w:rPr>
        <w:t xml:space="preserve"> not</w:t>
      </w:r>
      <w:r w:rsidR="00476D6A">
        <w:rPr>
          <w:rFonts w:ascii="Times New Roman" w:hAnsi="Times New Roman"/>
          <w:sz w:val="24"/>
        </w:rPr>
        <w:t xml:space="preserve"> even a party to three other applications.  Six of the motions were issued by the respondents.  Of the 25 occasions referred to by the judge when the matter was before the court, three of those dates were dates </w:t>
      </w:r>
      <w:r w:rsidR="00476D6A">
        <w:rPr>
          <w:rFonts w:ascii="Times New Roman" w:hAnsi="Times New Roman"/>
          <w:sz w:val="24"/>
        </w:rPr>
        <w:lastRenderedPageBreak/>
        <w:t>on which matters were listed for judgment, and nine of them were dates when the case was simply in for mention.  Also included are dates dealing with motions brought by the respondents for production and discovery.  The motion for production was dismissed, and the discovery motion did not proceed.</w:t>
      </w:r>
    </w:p>
    <w:p w14:paraId="31595DE3" w14:textId="1417CD92" w:rsidR="00476D6A" w:rsidRPr="009965F1" w:rsidRDefault="00476D6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Other issues are also raised.  Initially, the motion for inspection concerned six quarries of the appellants, but was then reduced to three.  The respondents claimed, inaccurately, that they needed inspection to draft a statement of claim.  There were also complications brought about by the fact that the respondents chose, in addition to issuing these proceedings, to join the appellants as third parties to three of the homeowner proceedings, and the judge herself stated that the respondents could not “</w:t>
      </w:r>
      <w:r w:rsidRPr="00605E0E">
        <w:rPr>
          <w:rFonts w:ascii="Times New Roman" w:hAnsi="Times New Roman"/>
          <w:i/>
          <w:iCs/>
          <w:sz w:val="24"/>
        </w:rPr>
        <w:t>ride two horses</w:t>
      </w:r>
      <w:r>
        <w:rPr>
          <w:rFonts w:ascii="Times New Roman" w:hAnsi="Times New Roman"/>
          <w:sz w:val="24"/>
        </w:rPr>
        <w:t>” (</w:t>
      </w:r>
      <w:r w:rsidR="00BB49A1">
        <w:rPr>
          <w:rFonts w:ascii="Times New Roman" w:hAnsi="Times New Roman"/>
          <w:sz w:val="24"/>
        </w:rPr>
        <w:t>al</w:t>
      </w:r>
      <w:r>
        <w:rPr>
          <w:rFonts w:ascii="Times New Roman" w:hAnsi="Times New Roman"/>
          <w:sz w:val="24"/>
        </w:rPr>
        <w:t xml:space="preserve">though it must be observed that the appellants failed in their attempt to have these proceedings </w:t>
      </w:r>
      <w:r w:rsidRPr="00605E0E">
        <w:rPr>
          <w:rFonts w:ascii="Times New Roman" w:hAnsi="Times New Roman" w:cs="Times New Roman"/>
          <w:sz w:val="24"/>
          <w:szCs w:val="24"/>
        </w:rPr>
        <w:t>dismissed, both at first instance and on appeal to this Court).</w:t>
      </w:r>
    </w:p>
    <w:p w14:paraId="28ABF235" w14:textId="527C0262" w:rsidR="00476D6A" w:rsidRDefault="00476D6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appellants contend that the trial judge afforded them no opportunity to address her on these issues causing her to have an inaccurate impression as to the conduct of the litigation by the appellants, and that this in turn fed into her decision to grant the order for inspection.  All of this, it is argued, occurred in breach of fair procedures, and aside from the immediate impact on these proceedings, causes the appellants unfair reputational harm, not least because the comments were made by the trial judge who has been case managing the proceedings over a number of years.  </w:t>
      </w:r>
    </w:p>
    <w:p w14:paraId="38BE6C83" w14:textId="667D3DEE" w:rsidR="0089210A" w:rsidRDefault="00476D6A"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While this ground of appeal does not relate</w:t>
      </w:r>
      <w:r w:rsidR="00A42D5A">
        <w:rPr>
          <w:rFonts w:ascii="Times New Roman" w:hAnsi="Times New Roman"/>
          <w:sz w:val="24"/>
        </w:rPr>
        <w:t xml:space="preserve"> directly </w:t>
      </w:r>
      <w:r>
        <w:rPr>
          <w:rFonts w:ascii="Times New Roman" w:hAnsi="Times New Roman"/>
          <w:sz w:val="24"/>
        </w:rPr>
        <w:t xml:space="preserve">to any specific order made by the trial judge, the appellants submit that there is authority for the proposition that an appellate court may set aside findings </w:t>
      </w:r>
      <w:r w:rsidR="00AC78BC">
        <w:rPr>
          <w:rFonts w:ascii="Times New Roman" w:hAnsi="Times New Roman"/>
          <w:sz w:val="24"/>
        </w:rPr>
        <w:t>made</w:t>
      </w:r>
      <w:r w:rsidR="00B407A4">
        <w:rPr>
          <w:rFonts w:ascii="Times New Roman" w:hAnsi="Times New Roman"/>
          <w:sz w:val="24"/>
        </w:rPr>
        <w:t xml:space="preserve"> </w:t>
      </w:r>
      <w:r w:rsidR="00122928">
        <w:rPr>
          <w:rFonts w:ascii="Times New Roman" w:hAnsi="Times New Roman"/>
          <w:sz w:val="24"/>
        </w:rPr>
        <w:t xml:space="preserve">on an </w:t>
      </w:r>
      <w:r w:rsidR="00B407A4">
        <w:rPr>
          <w:rFonts w:ascii="Times New Roman" w:hAnsi="Times New Roman"/>
          <w:sz w:val="24"/>
        </w:rPr>
        <w:t xml:space="preserve">inaccurate factual basis and that were </w:t>
      </w:r>
      <w:r w:rsidR="00AC78BC">
        <w:rPr>
          <w:rFonts w:ascii="Times New Roman" w:hAnsi="Times New Roman"/>
          <w:sz w:val="24"/>
        </w:rPr>
        <w:t>arrived at</w:t>
      </w:r>
      <w:r w:rsidR="00B407A4">
        <w:rPr>
          <w:rFonts w:ascii="Times New Roman" w:hAnsi="Times New Roman"/>
          <w:sz w:val="24"/>
        </w:rPr>
        <w:t xml:space="preserve"> in breach of fair procedures.  </w:t>
      </w:r>
    </w:p>
    <w:p w14:paraId="08321457" w14:textId="1870355F" w:rsidR="0089210A" w:rsidRDefault="00B407A4"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appellants referred the court to three authorities, </w:t>
      </w:r>
      <w:r w:rsidR="00270217">
        <w:rPr>
          <w:rFonts w:ascii="Times New Roman" w:hAnsi="Times New Roman"/>
          <w:i/>
          <w:sz w:val="24"/>
        </w:rPr>
        <w:t>NALM</w:t>
      </w:r>
      <w:r>
        <w:rPr>
          <w:rFonts w:ascii="Times New Roman" w:hAnsi="Times New Roman"/>
          <w:i/>
          <w:sz w:val="24"/>
        </w:rPr>
        <w:t xml:space="preserve"> v. </w:t>
      </w:r>
      <w:proofErr w:type="spellStart"/>
      <w:r>
        <w:rPr>
          <w:rFonts w:ascii="Times New Roman" w:hAnsi="Times New Roman"/>
          <w:i/>
          <w:sz w:val="24"/>
        </w:rPr>
        <w:t>Middleview</w:t>
      </w:r>
      <w:proofErr w:type="spellEnd"/>
      <w:r>
        <w:rPr>
          <w:rFonts w:ascii="Times New Roman" w:hAnsi="Times New Roman"/>
          <w:i/>
          <w:sz w:val="24"/>
        </w:rPr>
        <w:t xml:space="preserve"> Ltd. </w:t>
      </w:r>
      <w:r>
        <w:rPr>
          <w:rFonts w:ascii="Times New Roman" w:hAnsi="Times New Roman"/>
          <w:sz w:val="24"/>
        </w:rPr>
        <w:t xml:space="preserve">[2017] IECA 290, </w:t>
      </w:r>
      <w:r>
        <w:rPr>
          <w:rFonts w:ascii="Times New Roman" w:hAnsi="Times New Roman"/>
          <w:i/>
          <w:sz w:val="24"/>
        </w:rPr>
        <w:t xml:space="preserve">Defender Ltd. v. HSBC France </w:t>
      </w:r>
      <w:r>
        <w:rPr>
          <w:rFonts w:ascii="Times New Roman" w:hAnsi="Times New Roman"/>
          <w:sz w:val="24"/>
        </w:rPr>
        <w:t xml:space="preserve">[2020] IESC 37 and </w:t>
      </w:r>
      <w:r>
        <w:rPr>
          <w:rFonts w:ascii="Times New Roman" w:hAnsi="Times New Roman"/>
          <w:i/>
          <w:sz w:val="24"/>
        </w:rPr>
        <w:t xml:space="preserve">Seredych v. Minister for </w:t>
      </w:r>
      <w:r>
        <w:rPr>
          <w:rFonts w:ascii="Times New Roman" w:hAnsi="Times New Roman"/>
          <w:i/>
          <w:sz w:val="24"/>
        </w:rPr>
        <w:lastRenderedPageBreak/>
        <w:t xml:space="preserve">Justice and Equality </w:t>
      </w:r>
      <w:r>
        <w:rPr>
          <w:rFonts w:ascii="Times New Roman" w:hAnsi="Times New Roman"/>
          <w:sz w:val="24"/>
        </w:rPr>
        <w:t xml:space="preserve">[2020] IESC 62.  In </w:t>
      </w:r>
      <w:r>
        <w:rPr>
          <w:rFonts w:ascii="Times New Roman" w:hAnsi="Times New Roman"/>
          <w:i/>
          <w:sz w:val="24"/>
        </w:rPr>
        <w:t xml:space="preserve">Defender, </w:t>
      </w:r>
      <w:r>
        <w:rPr>
          <w:rFonts w:ascii="Times New Roman" w:hAnsi="Times New Roman"/>
          <w:sz w:val="24"/>
        </w:rPr>
        <w:t>the trial judge had been critical of the parties and their representatives as regards the conduct of the litigation</w:t>
      </w:r>
      <w:r w:rsidR="000B5A83">
        <w:rPr>
          <w:rFonts w:ascii="Times New Roman" w:hAnsi="Times New Roman"/>
          <w:sz w:val="24"/>
        </w:rPr>
        <w:t>, and in particular for failing to seek trial of a preliminary point of law, which, if determined in favour of the defendants would be decisive of the proceedings and avoid a six month trial</w:t>
      </w:r>
      <w:r>
        <w:rPr>
          <w:rFonts w:ascii="Times New Roman" w:hAnsi="Times New Roman"/>
          <w:sz w:val="24"/>
        </w:rPr>
        <w:t>.  In the Supreme Court, O’Donnell J. (as he then was) addressed this criticism as follows at paras. 23 and 24:</w:t>
      </w:r>
    </w:p>
    <w:p w14:paraId="69AC9065" w14:textId="23BC3F3A" w:rsidR="001109C8" w:rsidRPr="00605E0E" w:rsidRDefault="001109C8" w:rsidP="0058287A">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Pr="00605E0E">
        <w:rPr>
          <w:rFonts w:ascii="Times New Roman" w:hAnsi="Times New Roman"/>
          <w:i/>
          <w:iCs/>
          <w:sz w:val="24"/>
        </w:rPr>
        <w:t>… It is apparent that the judgment is replete with references to the importance of case management and contains some critical observations on the practices of lawyers and parties in relation to litigation. I completely agree that trial courts are not passive observers of litigation, and have to manage litigation effectively, but it remains the parties’ litigation, which the court is managing. Thus, a court can: readily fix time for the delivery of pleadings and the identification of issues; insist upon clarity in what is and is not alleged; encourage realism in that regard by indicating there will be consequences in costs for unnecessarily raising or contesting issues; limit the length of submissions and, in some cases, the number of expert witnesses; and insist on realistic estimates of the time to be taken. Experienced trial judges can insist on realism where it is lacking, require efficiency, and encourage practicality.</w:t>
      </w:r>
    </w:p>
    <w:p w14:paraId="39C43A98" w14:textId="07D25304" w:rsidR="00476D6A" w:rsidRPr="00605E0E" w:rsidRDefault="001109C8" w:rsidP="0058287A">
      <w:pPr>
        <w:pStyle w:val="ListParagraph"/>
        <w:tabs>
          <w:tab w:val="left" w:pos="567"/>
        </w:tabs>
        <w:spacing w:line="480" w:lineRule="auto"/>
        <w:ind w:left="567"/>
        <w:rPr>
          <w:rFonts w:ascii="Times New Roman" w:hAnsi="Times New Roman"/>
          <w:i/>
          <w:iCs/>
          <w:sz w:val="24"/>
        </w:rPr>
      </w:pPr>
      <w:r w:rsidRPr="00605E0E">
        <w:rPr>
          <w:rFonts w:ascii="Times New Roman" w:hAnsi="Times New Roman"/>
          <w:i/>
          <w:iCs/>
          <w:sz w:val="24"/>
        </w:rPr>
        <w:t>24. But there is no reason to deprecate private parties seeking to litigate claims in courts when they cannot resolve them otherwise. That is, indeed, a core function of the administration of justice. An important part of the administration of justice is that a party, in particular the losing party, should believe that his or her case was fairly ventilated and considered. That does not mean that, in some cases, a judge may not consider that it is necessary to determine that an issue which one party seeks to raise does not properly arise in the case, or may not intervene to direct that an issue be determined where there is a clear benefit in doing so and a real likelihood that it may determine the proceedings or, at least, considerably shorten them….</w:t>
      </w:r>
      <w:r w:rsidRPr="00605E0E">
        <w:rPr>
          <w:rFonts w:ascii="Times New Roman" w:hAnsi="Times New Roman"/>
          <w:sz w:val="24"/>
        </w:rPr>
        <w:t>”</w:t>
      </w:r>
      <w:r w:rsidR="00476D6A" w:rsidRPr="00605E0E">
        <w:rPr>
          <w:rFonts w:ascii="Times New Roman" w:hAnsi="Times New Roman"/>
          <w:sz w:val="24"/>
        </w:rPr>
        <w:t xml:space="preserve"> </w:t>
      </w:r>
    </w:p>
    <w:p w14:paraId="082CD6E7" w14:textId="6B6AC373" w:rsidR="00476D6A" w:rsidRDefault="00673A0B"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In </w:t>
      </w:r>
      <w:r w:rsidRPr="00673A0B">
        <w:rPr>
          <w:rFonts w:ascii="Times New Roman" w:hAnsi="Times New Roman"/>
          <w:i/>
          <w:sz w:val="24"/>
        </w:rPr>
        <w:t>Seredy</w:t>
      </w:r>
      <w:r w:rsidR="001109C8" w:rsidRPr="00673A0B">
        <w:rPr>
          <w:rFonts w:ascii="Times New Roman" w:hAnsi="Times New Roman"/>
          <w:i/>
          <w:sz w:val="24"/>
        </w:rPr>
        <w:t>ch</w:t>
      </w:r>
      <w:r>
        <w:rPr>
          <w:rFonts w:ascii="Times New Roman" w:hAnsi="Times New Roman"/>
          <w:sz w:val="24"/>
        </w:rPr>
        <w:t>, the Supreme Court (Baker J</w:t>
      </w:r>
      <w:r w:rsidR="00605E0E">
        <w:rPr>
          <w:rFonts w:ascii="Times New Roman" w:hAnsi="Times New Roman"/>
          <w:sz w:val="24"/>
        </w:rPr>
        <w:t>.</w:t>
      </w:r>
      <w:r>
        <w:rPr>
          <w:rFonts w:ascii="Times New Roman" w:hAnsi="Times New Roman"/>
          <w:sz w:val="24"/>
        </w:rPr>
        <w:t>) was highly critical of the trial judge for making comments, both in his principal judgment and in a separate judgment refusing leave to appeal, about counsel for the parties.  Baker J. considered that the comments called into question</w:t>
      </w:r>
      <w:r w:rsidR="000B5A83">
        <w:rPr>
          <w:rFonts w:ascii="Times New Roman" w:hAnsi="Times New Roman"/>
          <w:sz w:val="24"/>
        </w:rPr>
        <w:t xml:space="preserve"> both</w:t>
      </w:r>
      <w:r>
        <w:rPr>
          <w:rFonts w:ascii="Times New Roman" w:hAnsi="Times New Roman"/>
          <w:sz w:val="24"/>
        </w:rPr>
        <w:t xml:space="preserve"> the professional integrity</w:t>
      </w:r>
      <w:r w:rsidR="000B5A83">
        <w:rPr>
          <w:rFonts w:ascii="Times New Roman" w:hAnsi="Times New Roman"/>
          <w:sz w:val="24"/>
        </w:rPr>
        <w:t xml:space="preserve"> and competence </w:t>
      </w:r>
      <w:r>
        <w:rPr>
          <w:rFonts w:ascii="Times New Roman" w:hAnsi="Times New Roman"/>
          <w:sz w:val="24"/>
        </w:rPr>
        <w:t>of counsel on both sides, remarking, at para. 94:</w:t>
      </w:r>
    </w:p>
    <w:p w14:paraId="5C471C1E" w14:textId="70A57911" w:rsidR="00673A0B" w:rsidRDefault="00673A0B"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605E0E">
        <w:rPr>
          <w:rFonts w:ascii="Times New Roman" w:hAnsi="Times New Roman"/>
          <w:i/>
          <w:iCs/>
          <w:sz w:val="24"/>
        </w:rPr>
        <w:t>In particular the judgment on the leave application contained a number of quite remarkable and personally insulting comments regarding the competence and trustworthiness of counsel for the State and the professional competence of both senior counsel</w:t>
      </w:r>
      <w:r w:rsidR="00605E0E">
        <w:rPr>
          <w:rFonts w:ascii="Times New Roman" w:hAnsi="Times New Roman"/>
          <w:i/>
          <w:iCs/>
          <w:sz w:val="24"/>
        </w:rPr>
        <w:t>.</w:t>
      </w:r>
      <w:r>
        <w:rPr>
          <w:rFonts w:ascii="Times New Roman" w:hAnsi="Times New Roman"/>
          <w:sz w:val="24"/>
        </w:rPr>
        <w:t>”</w:t>
      </w:r>
    </w:p>
    <w:p w14:paraId="7E91EFCF" w14:textId="2B14BBD9" w:rsidR="00476D6A" w:rsidRDefault="00673A0B" w:rsidP="0058287A">
      <w:pPr>
        <w:pStyle w:val="ListParagraph"/>
        <w:tabs>
          <w:tab w:val="left" w:pos="567"/>
        </w:tabs>
        <w:spacing w:line="480" w:lineRule="auto"/>
        <w:ind w:left="0"/>
        <w:rPr>
          <w:rFonts w:ascii="Times New Roman" w:hAnsi="Times New Roman"/>
          <w:sz w:val="24"/>
        </w:rPr>
      </w:pPr>
      <w:r>
        <w:rPr>
          <w:rFonts w:ascii="Times New Roman" w:hAnsi="Times New Roman"/>
          <w:sz w:val="24"/>
        </w:rPr>
        <w:t>The counsel concerned were identified by their names, and neither had the opportunity to respond.  At para. 98, Baker J. said:</w:t>
      </w:r>
    </w:p>
    <w:p w14:paraId="5577426E" w14:textId="634765AF" w:rsidR="00673A0B" w:rsidRDefault="00673A0B"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8F4B0D">
        <w:rPr>
          <w:rFonts w:ascii="Times New Roman" w:hAnsi="Times New Roman"/>
          <w:i/>
          <w:iCs/>
          <w:sz w:val="24"/>
        </w:rPr>
        <w:t>Such comments have no place in a judgment. The relationship between counsel and the court must be one of mutual respect. The judge is in a particular position of power and can damage or destroy a career with a remark made in court or in a written judgment. Equally a judge can cause personal distress, not just because the judge holds a position of power, but also because he or she is held in high esteem by the profession and generally by members of society.</w:t>
      </w:r>
      <w:r>
        <w:rPr>
          <w:rFonts w:ascii="Times New Roman" w:hAnsi="Times New Roman"/>
          <w:sz w:val="24"/>
        </w:rPr>
        <w:t>”</w:t>
      </w:r>
    </w:p>
    <w:p w14:paraId="53001B46" w14:textId="25DB1EB6" w:rsidR="00476D6A" w:rsidRDefault="00673A0B"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Baker J. went on to observe that while there may be occasions when a judge may doubt the integrity of counsel or his or her professional competence, in a written judgment, that should not be done lightly and without affording the lawyer concerned the opportunity to respond and defend his or her reputation and professional competence.  </w:t>
      </w:r>
      <w:r w:rsidR="00476D6A">
        <w:rPr>
          <w:rFonts w:ascii="Times New Roman" w:hAnsi="Times New Roman"/>
          <w:sz w:val="24"/>
        </w:rPr>
        <w:t xml:space="preserve"> </w:t>
      </w:r>
    </w:p>
    <w:p w14:paraId="049A702D" w14:textId="4514D7E5" w:rsidR="00476D6A" w:rsidRDefault="00673A0B" w:rsidP="0058287A">
      <w:pPr>
        <w:pStyle w:val="ListParagraph"/>
        <w:numPr>
          <w:ilvl w:val="0"/>
          <w:numId w:val="1"/>
        </w:numPr>
        <w:tabs>
          <w:tab w:val="left" w:pos="567"/>
        </w:tabs>
        <w:spacing w:line="480" w:lineRule="auto"/>
        <w:ind w:left="0" w:firstLine="0"/>
        <w:rPr>
          <w:rFonts w:ascii="Times New Roman" w:hAnsi="Times New Roman"/>
          <w:sz w:val="24"/>
        </w:rPr>
      </w:pPr>
      <w:proofErr w:type="spellStart"/>
      <w:r>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is a decision of this Court (Ryan P.) handed down on 26</w:t>
      </w:r>
      <w:r w:rsidRPr="00673A0B">
        <w:rPr>
          <w:rFonts w:ascii="Times New Roman" w:hAnsi="Times New Roman"/>
          <w:sz w:val="24"/>
          <w:vertAlign w:val="superscript"/>
        </w:rPr>
        <w:t>th</w:t>
      </w:r>
      <w:r>
        <w:rPr>
          <w:rFonts w:ascii="Times New Roman" w:hAnsi="Times New Roman"/>
          <w:sz w:val="24"/>
        </w:rPr>
        <w:t xml:space="preserve"> October 2017.  Ryan P. identified fourteen grounds of appeal, including two grounds relating to findings concerning the evidence of a witness which the trial court had described as being misleading.  Following upon his initial judgment, the trial judge heard submissions on the issue, but </w:t>
      </w:r>
      <w:r>
        <w:rPr>
          <w:rFonts w:ascii="Times New Roman" w:hAnsi="Times New Roman"/>
          <w:sz w:val="24"/>
        </w:rPr>
        <w:lastRenderedPageBreak/>
        <w:t>refused to revise his judgment, and delivered a further written judgment explaining why he did not consider it necessary to do so.  However, he accepted that the witness concerned had not intended to mislead the court.  At para. 49, Ryan P. stated:</w:t>
      </w:r>
    </w:p>
    <w:p w14:paraId="0AA4D249" w14:textId="27CE5B29" w:rsidR="00673A0B" w:rsidRPr="005360B7" w:rsidRDefault="00673A0B" w:rsidP="0058287A">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Pr="005360B7">
        <w:rPr>
          <w:rFonts w:ascii="Times New Roman" w:hAnsi="Times New Roman"/>
          <w:i/>
          <w:iCs/>
          <w:sz w:val="24"/>
        </w:rPr>
        <w:t xml:space="preserve">49.  </w:t>
      </w:r>
      <w:r w:rsidR="00270217" w:rsidRPr="005360B7">
        <w:rPr>
          <w:rFonts w:ascii="Times New Roman" w:hAnsi="Times New Roman"/>
          <w:i/>
          <w:iCs/>
          <w:sz w:val="24"/>
        </w:rPr>
        <w:t xml:space="preserve">There is a fundamental distinction between the approach of this Court to the substance of appeal and to the complaints by the appellants in respect of the second judgment. It is understandable that the appellants would wish to have the adverse comments that the judge made about Mr. </w:t>
      </w:r>
      <w:r w:rsidR="000B5A83" w:rsidRPr="005360B7">
        <w:rPr>
          <w:rFonts w:ascii="Times New Roman" w:hAnsi="Times New Roman"/>
          <w:i/>
          <w:iCs/>
          <w:sz w:val="24"/>
        </w:rPr>
        <w:t>[        ]</w:t>
      </w:r>
      <w:r w:rsidR="00270217" w:rsidRPr="005360B7">
        <w:rPr>
          <w:rFonts w:ascii="Times New Roman" w:hAnsi="Times New Roman"/>
          <w:i/>
          <w:iCs/>
          <w:sz w:val="24"/>
        </w:rPr>
        <w:t xml:space="preserve"> set aside. However, the hearing at which the trial judge permitted his original judgment to be revisited was not as I understand in any sense a re-hearing. It was an application at the request of a party to the judge that he would reconsider a particular section of his judgment. The present appellants did make clear that they were not seeking to secure a different outcome to the case, but merely to apply for a reconsideration of the comments about Mr. </w:t>
      </w:r>
      <w:r w:rsidR="000B5A83" w:rsidRPr="005360B7">
        <w:rPr>
          <w:rFonts w:ascii="Times New Roman" w:hAnsi="Times New Roman"/>
          <w:i/>
          <w:iCs/>
          <w:sz w:val="24"/>
        </w:rPr>
        <w:t>[       ]</w:t>
      </w:r>
      <w:r w:rsidR="00270217" w:rsidRPr="005360B7">
        <w:rPr>
          <w:rFonts w:ascii="Times New Roman" w:hAnsi="Times New Roman"/>
          <w:i/>
          <w:iCs/>
          <w:sz w:val="24"/>
        </w:rPr>
        <w:t>. The judge was free to entertain the application or to refuse to do so, in his discretion. He was satisfied to revisit the matter and he then delivered a further judgment. I think that a wide margin of appreciation has to be allowed to the court of trial in such circumstances. The judge is entitled to express views about the evidence in the case before him</w:t>
      </w:r>
      <w:r w:rsidR="008110AD" w:rsidRPr="005360B7">
        <w:rPr>
          <w:rFonts w:ascii="Times New Roman" w:hAnsi="Times New Roman"/>
          <w:i/>
          <w:iCs/>
          <w:sz w:val="24"/>
        </w:rPr>
        <w:t>.</w:t>
      </w:r>
      <w:r w:rsidR="00270217" w:rsidRPr="005360B7">
        <w:rPr>
          <w:rFonts w:ascii="Times New Roman" w:hAnsi="Times New Roman"/>
          <w:i/>
          <w:iCs/>
          <w:sz w:val="24"/>
        </w:rPr>
        <w:t xml:space="preserve"> </w:t>
      </w:r>
      <w:r w:rsidR="008110AD" w:rsidRPr="005360B7">
        <w:rPr>
          <w:rFonts w:ascii="Times New Roman" w:hAnsi="Times New Roman"/>
          <w:i/>
          <w:iCs/>
          <w:sz w:val="24"/>
        </w:rPr>
        <w:t>W</w:t>
      </w:r>
      <w:r w:rsidR="00270217" w:rsidRPr="005360B7">
        <w:rPr>
          <w:rFonts w:ascii="Times New Roman" w:hAnsi="Times New Roman"/>
          <w:i/>
          <w:iCs/>
          <w:sz w:val="24"/>
        </w:rPr>
        <w:t xml:space="preserve">hen matters come before the court on affidavit and it transpires that errors are made, many judges will think it appropriate to comment and criticise and even to make severe criticisms. In regard to comments that are not necessary for the appeal, I think that the Court of Appeal should be slow to embark on an evaluation of the validity of observations and comments made by the trial judge in the course of a judgment unless there is some apparent error of law or fact or that there is some otherwise exceptional circumstances where justice seems to require it. Even if the court might take a different view on written material including affidavits, there is a zone in which the trial judge is free to express his or her view and that will sometimes </w:t>
      </w:r>
      <w:r w:rsidR="00270217" w:rsidRPr="005360B7">
        <w:rPr>
          <w:rFonts w:ascii="Times New Roman" w:hAnsi="Times New Roman"/>
          <w:i/>
          <w:iCs/>
          <w:sz w:val="24"/>
        </w:rPr>
        <w:lastRenderedPageBreak/>
        <w:t xml:space="preserve">include expressions of irritation or exasperation about things the judge thinks are wrong or should have been done differently or better. Appeal courts would be full with cases in which the decision was not being challenged, but rather something that the judge said or did would be the matter of debate. So, it seems to me that this Court should be careful to ensure that we spend our time on matters that are in dispute between the parties as affecting liability of one or the other in respect of legal wrongs. My approach, therefore, to this part of the appeal is reluctant and hesitant. This is not because I do not appreciate Mr. </w:t>
      </w:r>
      <w:r w:rsidR="008110AD" w:rsidRPr="005360B7">
        <w:rPr>
          <w:rFonts w:ascii="Times New Roman" w:hAnsi="Times New Roman"/>
          <w:i/>
          <w:iCs/>
          <w:sz w:val="24"/>
        </w:rPr>
        <w:t xml:space="preserve">[        </w:t>
      </w:r>
      <w:r w:rsidR="00270217" w:rsidRPr="005360B7">
        <w:rPr>
          <w:rFonts w:ascii="Times New Roman" w:hAnsi="Times New Roman"/>
          <w:i/>
          <w:iCs/>
          <w:sz w:val="24"/>
        </w:rPr>
        <w:t xml:space="preserve"> </w:t>
      </w:r>
      <w:r w:rsidR="008110AD" w:rsidRPr="005360B7">
        <w:rPr>
          <w:rFonts w:ascii="Times New Roman" w:hAnsi="Times New Roman"/>
          <w:i/>
          <w:iCs/>
          <w:sz w:val="24"/>
        </w:rPr>
        <w:t xml:space="preserve">]’s </w:t>
      </w:r>
      <w:r w:rsidR="00270217" w:rsidRPr="005360B7">
        <w:rPr>
          <w:rFonts w:ascii="Times New Roman" w:hAnsi="Times New Roman"/>
          <w:i/>
          <w:iCs/>
          <w:sz w:val="24"/>
        </w:rPr>
        <w:t>concern that his reputation might be impaired by things that the judge in the High Court said about him. It is simply that my conception of the function of this Court reflects a severe limitation on our capacity to endeavour to put right what he may consider to be erroneous in what the judge said</w:t>
      </w:r>
      <w:r w:rsidR="00395770" w:rsidRPr="005360B7">
        <w:rPr>
          <w:rFonts w:ascii="Times New Roman" w:hAnsi="Times New Roman"/>
          <w:i/>
          <w:iCs/>
          <w:sz w:val="24"/>
        </w:rPr>
        <w:t>.</w:t>
      </w:r>
      <w:r w:rsidR="00395770" w:rsidRPr="005360B7">
        <w:rPr>
          <w:rFonts w:ascii="Times New Roman" w:hAnsi="Times New Roman"/>
          <w:sz w:val="24"/>
        </w:rPr>
        <w:t>”</w:t>
      </w:r>
    </w:p>
    <w:p w14:paraId="35D81F24" w14:textId="3F8E3434" w:rsidR="00395770" w:rsidRDefault="00395770"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While this decision is not very helpful to the appellants’ arguments on this issue, they very correctly drew it to the attention of the </w:t>
      </w:r>
      <w:r w:rsidR="00D32D25">
        <w:rPr>
          <w:rFonts w:ascii="Times New Roman" w:hAnsi="Times New Roman"/>
          <w:sz w:val="24"/>
        </w:rPr>
        <w:t>C</w:t>
      </w:r>
      <w:r>
        <w:rPr>
          <w:rFonts w:ascii="Times New Roman" w:hAnsi="Times New Roman"/>
          <w:sz w:val="24"/>
        </w:rPr>
        <w:t>ourt.  While acknowledging that it is not helpful, they make two points about the decision.  The first is that the decision does not close out a review by an appellate court of criticisms of the parties in all circumstances.  It is submitted that even within the parameters of what was stated by Ryan P., an appeal court may review comments made by the trial judge where there is an error of fact and there are exceptional circumstances such that justice requires such a review.</w:t>
      </w:r>
    </w:p>
    <w:p w14:paraId="65B38D7E" w14:textId="4D68F17F" w:rsidR="00673A0B" w:rsidRDefault="00395770"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Secondly, the appellants submit, the decision in </w:t>
      </w:r>
      <w:proofErr w:type="spellStart"/>
      <w:r>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 xml:space="preserve">has been overtaken by the subsequent decisions of the Supreme Court in both </w:t>
      </w:r>
      <w:r>
        <w:rPr>
          <w:rFonts w:ascii="Times New Roman" w:hAnsi="Times New Roman"/>
          <w:i/>
          <w:sz w:val="24"/>
        </w:rPr>
        <w:t xml:space="preserve">Defender </w:t>
      </w:r>
      <w:r>
        <w:rPr>
          <w:rFonts w:ascii="Times New Roman" w:hAnsi="Times New Roman"/>
          <w:sz w:val="24"/>
        </w:rPr>
        <w:t xml:space="preserve">and </w:t>
      </w:r>
      <w:r>
        <w:rPr>
          <w:rFonts w:ascii="Times New Roman" w:hAnsi="Times New Roman"/>
          <w:i/>
          <w:sz w:val="24"/>
        </w:rPr>
        <w:t xml:space="preserve">Seredych, </w:t>
      </w:r>
      <w:r>
        <w:rPr>
          <w:rFonts w:ascii="Times New Roman" w:hAnsi="Times New Roman"/>
          <w:sz w:val="24"/>
        </w:rPr>
        <w:t xml:space="preserve">which now more accurately represent the approach an appellate court should take in such matters. </w:t>
      </w:r>
    </w:p>
    <w:p w14:paraId="026CD9D4" w14:textId="6A3EFAB5" w:rsidR="00673A0B" w:rsidRPr="000873B2" w:rsidRDefault="00BF397F" w:rsidP="0058287A">
      <w:pPr>
        <w:pStyle w:val="ListParagraph"/>
        <w:tabs>
          <w:tab w:val="left" w:pos="567"/>
        </w:tabs>
        <w:spacing w:line="480" w:lineRule="auto"/>
        <w:ind w:left="0"/>
        <w:rPr>
          <w:rFonts w:ascii="Times New Roman" w:hAnsi="Times New Roman"/>
          <w:b/>
          <w:i/>
          <w:iCs/>
          <w:sz w:val="24"/>
        </w:rPr>
      </w:pPr>
      <w:r w:rsidRPr="000873B2">
        <w:rPr>
          <w:rFonts w:ascii="Times New Roman" w:hAnsi="Times New Roman"/>
          <w:b/>
          <w:i/>
          <w:iCs/>
          <w:sz w:val="24"/>
        </w:rPr>
        <w:t xml:space="preserve">Submissions of respondents on </w:t>
      </w:r>
      <w:r w:rsidR="00D32D25" w:rsidRPr="000873B2">
        <w:rPr>
          <w:rFonts w:ascii="Times New Roman" w:hAnsi="Times New Roman"/>
          <w:b/>
          <w:i/>
          <w:iCs/>
          <w:sz w:val="24"/>
        </w:rPr>
        <w:t>fifth</w:t>
      </w:r>
      <w:r w:rsidRPr="000873B2">
        <w:rPr>
          <w:rFonts w:ascii="Times New Roman" w:hAnsi="Times New Roman"/>
          <w:b/>
          <w:i/>
          <w:iCs/>
          <w:sz w:val="24"/>
        </w:rPr>
        <w:t xml:space="preserve"> </w:t>
      </w:r>
      <w:r w:rsidR="00D32D25" w:rsidRPr="000873B2">
        <w:rPr>
          <w:rFonts w:ascii="Times New Roman" w:hAnsi="Times New Roman"/>
          <w:b/>
          <w:i/>
          <w:iCs/>
          <w:sz w:val="24"/>
        </w:rPr>
        <w:t>g</w:t>
      </w:r>
      <w:r w:rsidRPr="000873B2">
        <w:rPr>
          <w:rFonts w:ascii="Times New Roman" w:hAnsi="Times New Roman"/>
          <w:b/>
          <w:i/>
          <w:iCs/>
          <w:sz w:val="24"/>
        </w:rPr>
        <w:t xml:space="preserve">round of </w:t>
      </w:r>
      <w:r w:rsidR="00D32D25" w:rsidRPr="000873B2">
        <w:rPr>
          <w:rFonts w:ascii="Times New Roman" w:hAnsi="Times New Roman"/>
          <w:b/>
          <w:i/>
          <w:iCs/>
          <w:sz w:val="24"/>
        </w:rPr>
        <w:t>a</w:t>
      </w:r>
      <w:r w:rsidRPr="000873B2">
        <w:rPr>
          <w:rFonts w:ascii="Times New Roman" w:hAnsi="Times New Roman"/>
          <w:b/>
          <w:i/>
          <w:iCs/>
          <w:sz w:val="24"/>
        </w:rPr>
        <w:t>ppeal</w:t>
      </w:r>
    </w:p>
    <w:p w14:paraId="584954A5" w14:textId="4D75826F" w:rsidR="00673A0B" w:rsidRDefault="00BF397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respondents reject the claim that para. 25 of the judgment contain</w:t>
      </w:r>
      <w:r w:rsidR="008110AD">
        <w:rPr>
          <w:rFonts w:ascii="Times New Roman" w:hAnsi="Times New Roman"/>
          <w:sz w:val="24"/>
        </w:rPr>
        <w:t>s</w:t>
      </w:r>
      <w:r>
        <w:rPr>
          <w:rFonts w:ascii="Times New Roman" w:hAnsi="Times New Roman"/>
          <w:sz w:val="24"/>
        </w:rPr>
        <w:t xml:space="preserve"> a recitation of the procedural history of the proceedings and notes that the appellants have taken no issue with the detailed procedural history set forth in the judgment in paras. 2 – 24.</w:t>
      </w:r>
    </w:p>
    <w:p w14:paraId="6E89CF98" w14:textId="3217F1AA" w:rsidR="00BF397F" w:rsidRDefault="00BF397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The respondents deny that evidence or submissions were required in order for the trial judge to express the views that she did in para. 25.  The trial judge had extensive knowledge of the proceedings and the procedural conduct of the app</w:t>
      </w:r>
      <w:r w:rsidR="00A42D5A">
        <w:rPr>
          <w:rFonts w:ascii="Times New Roman" w:hAnsi="Times New Roman"/>
          <w:sz w:val="24"/>
        </w:rPr>
        <w:t>ellants</w:t>
      </w:r>
      <w:r>
        <w:rPr>
          <w:rFonts w:ascii="Times New Roman" w:hAnsi="Times New Roman"/>
          <w:sz w:val="24"/>
        </w:rPr>
        <w:t xml:space="preserve"> having case managed the proceedings since October 2017.  In so far as any evidence was required by the trial judge for those conclusions, that was to be found in the enormous volume of affidavits before the court. </w:t>
      </w:r>
    </w:p>
    <w:p w14:paraId="4B7690E3" w14:textId="77772FD1" w:rsidR="00BF397F" w:rsidRDefault="00BF397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respondents submit that the appellants c</w:t>
      </w:r>
      <w:r w:rsidR="008110AD">
        <w:rPr>
          <w:rFonts w:ascii="Times New Roman" w:hAnsi="Times New Roman"/>
          <w:sz w:val="24"/>
        </w:rPr>
        <w:t>ould not</w:t>
      </w:r>
      <w:r>
        <w:rPr>
          <w:rFonts w:ascii="Times New Roman" w:hAnsi="Times New Roman"/>
          <w:sz w:val="24"/>
        </w:rPr>
        <w:t xml:space="preserve"> reasonably </w:t>
      </w:r>
      <w:r w:rsidR="008110AD">
        <w:rPr>
          <w:rFonts w:ascii="Times New Roman" w:hAnsi="Times New Roman"/>
          <w:sz w:val="24"/>
        </w:rPr>
        <w:t xml:space="preserve">have </w:t>
      </w:r>
      <w:r>
        <w:rPr>
          <w:rFonts w:ascii="Times New Roman" w:hAnsi="Times New Roman"/>
          <w:sz w:val="24"/>
        </w:rPr>
        <w:t>expect</w:t>
      </w:r>
      <w:r w:rsidR="008110AD">
        <w:rPr>
          <w:rFonts w:ascii="Times New Roman" w:hAnsi="Times New Roman"/>
          <w:sz w:val="24"/>
        </w:rPr>
        <w:t xml:space="preserve">ed </w:t>
      </w:r>
      <w:r>
        <w:rPr>
          <w:rFonts w:ascii="Times New Roman" w:hAnsi="Times New Roman"/>
          <w:sz w:val="24"/>
        </w:rPr>
        <w:t xml:space="preserve">the </w:t>
      </w:r>
      <w:r w:rsidR="008110AD">
        <w:rPr>
          <w:rFonts w:ascii="Times New Roman" w:hAnsi="Times New Roman"/>
          <w:sz w:val="24"/>
        </w:rPr>
        <w:t>trial judge</w:t>
      </w:r>
      <w:r>
        <w:rPr>
          <w:rFonts w:ascii="Times New Roman" w:hAnsi="Times New Roman"/>
          <w:sz w:val="24"/>
        </w:rPr>
        <w:t xml:space="preserve"> to</w:t>
      </w:r>
      <w:r w:rsidR="008110AD">
        <w:rPr>
          <w:rFonts w:ascii="Times New Roman" w:hAnsi="Times New Roman"/>
          <w:sz w:val="24"/>
        </w:rPr>
        <w:t xml:space="preserve"> have </w:t>
      </w:r>
      <w:r>
        <w:rPr>
          <w:rFonts w:ascii="Times New Roman" w:hAnsi="Times New Roman"/>
          <w:sz w:val="24"/>
        </w:rPr>
        <w:t>invite</w:t>
      </w:r>
      <w:r w:rsidR="008110AD">
        <w:rPr>
          <w:rFonts w:ascii="Times New Roman" w:hAnsi="Times New Roman"/>
          <w:sz w:val="24"/>
        </w:rPr>
        <w:t>d</w:t>
      </w:r>
      <w:r>
        <w:rPr>
          <w:rFonts w:ascii="Times New Roman" w:hAnsi="Times New Roman"/>
          <w:sz w:val="24"/>
        </w:rPr>
        <w:t xml:space="preserve"> submissions on these conclusions having regard to the extent of their opposition to the proceeding</w:t>
      </w:r>
      <w:r w:rsidR="007E3CC3">
        <w:rPr>
          <w:rFonts w:ascii="Times New Roman" w:hAnsi="Times New Roman"/>
          <w:sz w:val="24"/>
        </w:rPr>
        <w:t>s</w:t>
      </w:r>
      <w:r>
        <w:rPr>
          <w:rFonts w:ascii="Times New Roman" w:hAnsi="Times New Roman"/>
          <w:sz w:val="24"/>
        </w:rPr>
        <w:t xml:space="preserve"> which on this application the trial judge found to be “</w:t>
      </w:r>
      <w:r w:rsidRPr="003A29E2">
        <w:rPr>
          <w:rFonts w:ascii="Times New Roman" w:hAnsi="Times New Roman"/>
          <w:i/>
          <w:iCs/>
          <w:sz w:val="24"/>
        </w:rPr>
        <w:t>spurious</w:t>
      </w:r>
      <w:r>
        <w:rPr>
          <w:rFonts w:ascii="Times New Roman" w:hAnsi="Times New Roman"/>
          <w:sz w:val="24"/>
        </w:rPr>
        <w:t>”.  Moreover, it is submitted that a statement by the trial judge that she had a “</w:t>
      </w:r>
      <w:r w:rsidRPr="003A29E2">
        <w:rPr>
          <w:rFonts w:ascii="Times New Roman" w:hAnsi="Times New Roman"/>
          <w:i/>
          <w:iCs/>
          <w:sz w:val="24"/>
        </w:rPr>
        <w:t>growing impression</w:t>
      </w:r>
      <w:r>
        <w:rPr>
          <w:rFonts w:ascii="Times New Roman" w:hAnsi="Times New Roman"/>
          <w:sz w:val="24"/>
        </w:rPr>
        <w:t xml:space="preserve">” as regards the strategy of the appellants does not constitute an adverse finding against the appellants.  Furthermore, the court is entitled to form such impression as it did.  </w:t>
      </w:r>
    </w:p>
    <w:p w14:paraId="2C1C78E3" w14:textId="68ACFF99" w:rsidR="00BF397F" w:rsidRDefault="00BF397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As a matter of law, the contention that parties to proceedings are entitled to make submissions to the court about their conduct in the proceedings before they can be criticised by the court or before the court delivers its judgment is misconceived and at variance with the </w:t>
      </w:r>
      <w:r w:rsidR="003A29E2">
        <w:rPr>
          <w:rFonts w:ascii="Times New Roman" w:hAnsi="Times New Roman"/>
          <w:sz w:val="24"/>
        </w:rPr>
        <w:t>c</w:t>
      </w:r>
      <w:r>
        <w:rPr>
          <w:rFonts w:ascii="Times New Roman" w:hAnsi="Times New Roman"/>
          <w:sz w:val="24"/>
        </w:rPr>
        <w:t>onstitutionally mandated function of the court to administer justice between all litigants, and the inherent powers of the court, including its inherent power to control its procedures.</w:t>
      </w:r>
    </w:p>
    <w:p w14:paraId="2896F3B3" w14:textId="59C1E2CF" w:rsidR="00BF397F" w:rsidRDefault="00BF397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Furthermore, the appellants make no reference at all to para. 26 of the judgment of the trial judge </w:t>
      </w:r>
      <w:r w:rsidR="0063139F">
        <w:rPr>
          <w:rFonts w:ascii="Times New Roman" w:hAnsi="Times New Roman"/>
          <w:sz w:val="24"/>
        </w:rPr>
        <w:t>in which she stated:</w:t>
      </w:r>
    </w:p>
    <w:p w14:paraId="7E270A91" w14:textId="0325FB23" w:rsidR="0063139F" w:rsidRDefault="0063139F" w:rsidP="0058287A">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00171A">
        <w:rPr>
          <w:rFonts w:ascii="Times New Roman" w:hAnsi="Times New Roman"/>
          <w:i/>
          <w:iCs/>
          <w:sz w:val="24"/>
        </w:rPr>
        <w:t xml:space="preserve">26. The court's impression as to Roadstone’s strategy was strengthened during the hearing of this application, by an exchange which it had with Roadstone’s counsel. The court, having found during the course of the hearing, that inspection and sampling are necessary on the facts and the pleadings, asked counsel whether Roadstone accepted that inspection was necessary in principle, and were merely asking the court </w:t>
      </w:r>
      <w:r w:rsidRPr="0000171A">
        <w:rPr>
          <w:rFonts w:ascii="Times New Roman" w:hAnsi="Times New Roman"/>
          <w:i/>
          <w:iCs/>
          <w:sz w:val="24"/>
        </w:rPr>
        <w:lastRenderedPageBreak/>
        <w:t>to delay inspection until after discovery, so that a more focussed inspection could occur. Counsel informed the court that Roadstone was reserving its right to challenge the necessity for inspection, even after discovery had been completed. The court indicated that if that was Roadstone’s position there was little point in delaying inspection until after discovery. Having sought time to take instructions, counsel informed the court that he had been unable to get instructions as to whether Roadstone accepted in principle that inspection was necessary and was merely seeking a delay in execution, until discovery was completed. Offered the opportunity to take instructions on the matter overnight and revert if he obtained instructions, to that effect, counsel did not return. The position therefore, appears to be that Roadstone does not accept the court’s finding that inspection is necessary but nonetheless wants the court to delay issuing an order directing inspection until discovery is complete, at which point it will seek to argue the whole inspection motion</w:t>
      </w:r>
      <w:r w:rsidR="000873B2">
        <w:rPr>
          <w:rFonts w:ascii="Times New Roman" w:hAnsi="Times New Roman"/>
          <w:i/>
          <w:iCs/>
          <w:sz w:val="24"/>
        </w:rPr>
        <w:t xml:space="preserve"> </w:t>
      </w:r>
      <w:r w:rsidRPr="0000171A">
        <w:rPr>
          <w:rFonts w:ascii="Times New Roman" w:hAnsi="Times New Roman"/>
          <w:i/>
          <w:iCs/>
          <w:sz w:val="24"/>
        </w:rPr>
        <w:t>de novo</w:t>
      </w:r>
      <w:r w:rsidR="001535AA">
        <w:rPr>
          <w:rFonts w:ascii="Times New Roman" w:hAnsi="Times New Roman"/>
          <w:i/>
          <w:iCs/>
          <w:sz w:val="24"/>
        </w:rPr>
        <w:t>. …</w:t>
      </w:r>
      <w:r>
        <w:rPr>
          <w:rFonts w:ascii="Times New Roman" w:hAnsi="Times New Roman"/>
          <w:sz w:val="24"/>
        </w:rPr>
        <w:t>”</w:t>
      </w:r>
    </w:p>
    <w:p w14:paraId="561B84E1" w14:textId="16747C7F" w:rsidR="00673A0B" w:rsidRDefault="0063139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As to the authorities, it is submitted on behalf of the respondents that the most relevant of the authorities i</w:t>
      </w:r>
      <w:r w:rsidR="008110AD">
        <w:rPr>
          <w:rFonts w:ascii="Times New Roman" w:hAnsi="Times New Roman"/>
          <w:sz w:val="24"/>
        </w:rPr>
        <w:t>s</w:t>
      </w:r>
      <w:r>
        <w:rPr>
          <w:rFonts w:ascii="Times New Roman" w:hAnsi="Times New Roman"/>
          <w:sz w:val="24"/>
        </w:rPr>
        <w:t xml:space="preserve"> </w:t>
      </w:r>
      <w:proofErr w:type="spellStart"/>
      <w:r>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 xml:space="preserve">and that the matters giving rise to the comments of the Supreme Court in </w:t>
      </w:r>
      <w:r>
        <w:rPr>
          <w:rFonts w:ascii="Times New Roman" w:hAnsi="Times New Roman"/>
          <w:i/>
          <w:sz w:val="24"/>
        </w:rPr>
        <w:t xml:space="preserve">Defender </w:t>
      </w:r>
      <w:r>
        <w:rPr>
          <w:rFonts w:ascii="Times New Roman" w:hAnsi="Times New Roman"/>
          <w:sz w:val="24"/>
        </w:rPr>
        <w:t xml:space="preserve">and </w:t>
      </w:r>
      <w:r>
        <w:rPr>
          <w:rFonts w:ascii="Times New Roman" w:hAnsi="Times New Roman"/>
          <w:i/>
          <w:sz w:val="24"/>
        </w:rPr>
        <w:t xml:space="preserve">Seredych </w:t>
      </w:r>
      <w:r>
        <w:rPr>
          <w:rFonts w:ascii="Times New Roman" w:hAnsi="Times New Roman"/>
          <w:sz w:val="24"/>
        </w:rPr>
        <w:t xml:space="preserve">are entirely distinguishable from the matters now complained of by the appellants.  In </w:t>
      </w:r>
      <w:r>
        <w:rPr>
          <w:rFonts w:ascii="Times New Roman" w:hAnsi="Times New Roman"/>
          <w:i/>
          <w:sz w:val="24"/>
        </w:rPr>
        <w:t xml:space="preserve">Defender </w:t>
      </w:r>
      <w:r>
        <w:rPr>
          <w:rFonts w:ascii="Times New Roman" w:hAnsi="Times New Roman"/>
          <w:sz w:val="24"/>
        </w:rPr>
        <w:t xml:space="preserve">the complaints of the parties arose from the fact that the trial judge directed the trial of a preliminary issue at the outset of the proceedings, against the wishes of the parties.  It was in that context that </w:t>
      </w:r>
      <w:r w:rsidR="00795C30">
        <w:rPr>
          <w:rFonts w:ascii="Times New Roman" w:hAnsi="Times New Roman"/>
          <w:sz w:val="24"/>
        </w:rPr>
        <w:t xml:space="preserve">certain critical remarks were made by the trial judge.  In </w:t>
      </w:r>
      <w:r w:rsidR="00795C30">
        <w:rPr>
          <w:rFonts w:ascii="Times New Roman" w:hAnsi="Times New Roman"/>
          <w:i/>
          <w:sz w:val="24"/>
        </w:rPr>
        <w:t xml:space="preserve">Seredych, </w:t>
      </w:r>
      <w:r w:rsidR="00795C30">
        <w:rPr>
          <w:rFonts w:ascii="Times New Roman" w:hAnsi="Times New Roman"/>
          <w:sz w:val="24"/>
        </w:rPr>
        <w:t>the comments that were made concerned the lawyers representing the applicant in the proceedings</w:t>
      </w:r>
      <w:r w:rsidR="008110AD">
        <w:rPr>
          <w:rFonts w:ascii="Times New Roman" w:hAnsi="Times New Roman"/>
          <w:sz w:val="24"/>
        </w:rPr>
        <w:t>, rather than the litigants, as here</w:t>
      </w:r>
      <w:r w:rsidR="00795C30">
        <w:rPr>
          <w:rFonts w:ascii="Times New Roman" w:hAnsi="Times New Roman"/>
          <w:sz w:val="24"/>
        </w:rPr>
        <w:t xml:space="preserve">.  On the other hand, it is submitted that </w:t>
      </w:r>
      <w:proofErr w:type="spellStart"/>
      <w:r w:rsidR="00795C30">
        <w:rPr>
          <w:rFonts w:ascii="Times New Roman" w:hAnsi="Times New Roman"/>
          <w:i/>
          <w:sz w:val="24"/>
        </w:rPr>
        <w:t>Middleview</w:t>
      </w:r>
      <w:proofErr w:type="spellEnd"/>
      <w:r w:rsidR="00795C30">
        <w:rPr>
          <w:rFonts w:ascii="Times New Roman" w:hAnsi="Times New Roman"/>
          <w:i/>
          <w:sz w:val="24"/>
        </w:rPr>
        <w:t xml:space="preserve"> </w:t>
      </w:r>
      <w:r w:rsidR="00795C30">
        <w:rPr>
          <w:rFonts w:ascii="Times New Roman" w:hAnsi="Times New Roman"/>
          <w:sz w:val="24"/>
        </w:rPr>
        <w:t>is</w:t>
      </w:r>
      <w:r w:rsidR="00380ACF">
        <w:rPr>
          <w:rFonts w:ascii="Times New Roman" w:hAnsi="Times New Roman"/>
          <w:sz w:val="24"/>
        </w:rPr>
        <w:t xml:space="preserve"> </w:t>
      </w:r>
      <w:r w:rsidR="00795C30">
        <w:rPr>
          <w:rFonts w:ascii="Times New Roman" w:hAnsi="Times New Roman"/>
          <w:sz w:val="24"/>
        </w:rPr>
        <w:t xml:space="preserve">analogous and deals squarely with </w:t>
      </w:r>
      <w:r w:rsidR="00380ACF">
        <w:rPr>
          <w:rFonts w:ascii="Times New Roman" w:hAnsi="Times New Roman"/>
          <w:sz w:val="24"/>
        </w:rPr>
        <w:t>this ground appeal.</w:t>
      </w:r>
      <w:r w:rsidR="005469FF">
        <w:rPr>
          <w:rFonts w:ascii="Times New Roman" w:hAnsi="Times New Roman"/>
          <w:sz w:val="24"/>
        </w:rPr>
        <w:t xml:space="preserve"> On the basis of </w:t>
      </w:r>
      <w:proofErr w:type="spellStart"/>
      <w:r w:rsidR="005469FF" w:rsidRPr="005469FF">
        <w:rPr>
          <w:rFonts w:ascii="Times New Roman" w:hAnsi="Times New Roman"/>
          <w:i/>
          <w:sz w:val="24"/>
        </w:rPr>
        <w:t>Middleview</w:t>
      </w:r>
      <w:proofErr w:type="spellEnd"/>
      <w:r w:rsidR="005469FF">
        <w:rPr>
          <w:rFonts w:ascii="Times New Roman" w:hAnsi="Times New Roman"/>
          <w:sz w:val="24"/>
        </w:rPr>
        <w:t>, this Court should not engage in any evaluation of the observations made by the trial judge in para.</w:t>
      </w:r>
      <w:r w:rsidR="001642FC">
        <w:rPr>
          <w:rFonts w:ascii="Times New Roman" w:hAnsi="Times New Roman"/>
          <w:sz w:val="24"/>
        </w:rPr>
        <w:t xml:space="preserve"> </w:t>
      </w:r>
      <w:r w:rsidR="005469FF">
        <w:rPr>
          <w:rFonts w:ascii="Times New Roman" w:hAnsi="Times New Roman"/>
          <w:sz w:val="24"/>
        </w:rPr>
        <w:t>25.</w:t>
      </w:r>
      <w:r w:rsidR="00380ACF">
        <w:rPr>
          <w:rFonts w:ascii="Times New Roman" w:hAnsi="Times New Roman"/>
          <w:sz w:val="24"/>
        </w:rPr>
        <w:t xml:space="preserve">  </w:t>
      </w:r>
    </w:p>
    <w:p w14:paraId="248C9CDD" w14:textId="6D72CF4A" w:rsidR="00BF397F" w:rsidRPr="008127CB" w:rsidRDefault="00380ACF" w:rsidP="0058287A">
      <w:pPr>
        <w:pStyle w:val="ListParagraph"/>
        <w:tabs>
          <w:tab w:val="left" w:pos="567"/>
        </w:tabs>
        <w:spacing w:line="480" w:lineRule="auto"/>
        <w:ind w:left="0"/>
        <w:rPr>
          <w:rFonts w:ascii="Times New Roman" w:hAnsi="Times New Roman"/>
          <w:b/>
          <w:i/>
          <w:iCs/>
          <w:sz w:val="24"/>
        </w:rPr>
      </w:pPr>
      <w:r w:rsidRPr="008127CB">
        <w:rPr>
          <w:rFonts w:ascii="Times New Roman" w:hAnsi="Times New Roman"/>
          <w:b/>
          <w:i/>
          <w:iCs/>
          <w:sz w:val="24"/>
        </w:rPr>
        <w:t xml:space="preserve">Discussion and conclusion on </w:t>
      </w:r>
      <w:r w:rsidR="001642FC" w:rsidRPr="008127CB">
        <w:rPr>
          <w:rFonts w:ascii="Times New Roman" w:hAnsi="Times New Roman"/>
          <w:b/>
          <w:i/>
          <w:iCs/>
          <w:sz w:val="24"/>
        </w:rPr>
        <w:t>fifth</w:t>
      </w:r>
      <w:r w:rsidRPr="008127CB">
        <w:rPr>
          <w:rFonts w:ascii="Times New Roman" w:hAnsi="Times New Roman"/>
          <w:b/>
          <w:i/>
          <w:iCs/>
          <w:sz w:val="24"/>
        </w:rPr>
        <w:t xml:space="preserve"> </w:t>
      </w:r>
      <w:r w:rsidR="001642FC" w:rsidRPr="008127CB">
        <w:rPr>
          <w:rFonts w:ascii="Times New Roman" w:hAnsi="Times New Roman"/>
          <w:b/>
          <w:i/>
          <w:iCs/>
          <w:sz w:val="24"/>
        </w:rPr>
        <w:t>g</w:t>
      </w:r>
      <w:r w:rsidRPr="008127CB">
        <w:rPr>
          <w:rFonts w:ascii="Times New Roman" w:hAnsi="Times New Roman"/>
          <w:b/>
          <w:i/>
          <w:iCs/>
          <w:sz w:val="24"/>
        </w:rPr>
        <w:t xml:space="preserve">round of </w:t>
      </w:r>
      <w:r w:rsidR="001642FC" w:rsidRPr="008127CB">
        <w:rPr>
          <w:rFonts w:ascii="Times New Roman" w:hAnsi="Times New Roman"/>
          <w:b/>
          <w:i/>
          <w:iCs/>
          <w:sz w:val="24"/>
        </w:rPr>
        <w:t>a</w:t>
      </w:r>
      <w:r w:rsidRPr="008127CB">
        <w:rPr>
          <w:rFonts w:ascii="Times New Roman" w:hAnsi="Times New Roman"/>
          <w:b/>
          <w:i/>
          <w:iCs/>
          <w:sz w:val="24"/>
        </w:rPr>
        <w:t>ppeal</w:t>
      </w:r>
    </w:p>
    <w:p w14:paraId="159BDE2A" w14:textId="2643C192" w:rsidR="00D72633" w:rsidRDefault="00380AC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In making the observations that gave rise to this ground of appeal, the trial judge observed that “</w:t>
      </w:r>
      <w:r w:rsidRPr="001642FC">
        <w:rPr>
          <w:rFonts w:ascii="Times New Roman" w:hAnsi="Times New Roman"/>
          <w:i/>
          <w:iCs/>
          <w:sz w:val="24"/>
        </w:rPr>
        <w:t>there have been nine mention dates, three judgment dates and a full thirteen hearing days.  The hearing days have been spent essentially dealing in one form or another, with Roadstone’s objections to the progression of this claim…</w:t>
      </w:r>
      <w:r>
        <w:rPr>
          <w:rFonts w:ascii="Times New Roman" w:hAnsi="Times New Roman"/>
          <w:sz w:val="24"/>
        </w:rPr>
        <w:t>”</w:t>
      </w:r>
      <w:r w:rsidR="001642FC">
        <w:rPr>
          <w:rFonts w:ascii="Times New Roman" w:hAnsi="Times New Roman"/>
          <w:sz w:val="24"/>
        </w:rPr>
        <w:t>.</w:t>
      </w:r>
      <w:r>
        <w:rPr>
          <w:rFonts w:ascii="Times New Roman" w:hAnsi="Times New Roman"/>
          <w:sz w:val="24"/>
        </w:rPr>
        <w:t xml:space="preserve">  In the very detailed analysis of the proceedings up to the date of her affidavit of 11</w:t>
      </w:r>
      <w:r w:rsidR="009965F1" w:rsidRPr="009965F1">
        <w:rPr>
          <w:rFonts w:ascii="Times New Roman" w:hAnsi="Times New Roman"/>
          <w:sz w:val="24"/>
          <w:vertAlign w:val="superscript"/>
        </w:rPr>
        <w:t>th</w:t>
      </w:r>
      <w:r w:rsidR="009965F1">
        <w:rPr>
          <w:rFonts w:ascii="Times New Roman" w:hAnsi="Times New Roman"/>
          <w:sz w:val="24"/>
        </w:rPr>
        <w:t xml:space="preserve"> </w:t>
      </w:r>
      <w:r>
        <w:rPr>
          <w:rFonts w:ascii="Times New Roman" w:hAnsi="Times New Roman"/>
          <w:sz w:val="24"/>
        </w:rPr>
        <w:t>June 2019, Ms. Upton summarises, at para. 54 thereof, the subject matter of the hearing dates as follows:</w:t>
      </w:r>
    </w:p>
    <w:p w14:paraId="04E1A6AF" w14:textId="48924DC5" w:rsidR="00347175" w:rsidRPr="001642FC" w:rsidRDefault="00347175" w:rsidP="0058287A">
      <w:pPr>
        <w:pStyle w:val="ListParagraph"/>
        <w:tabs>
          <w:tab w:val="left" w:pos="567"/>
        </w:tabs>
        <w:spacing w:line="480" w:lineRule="auto"/>
        <w:ind w:left="1134" w:hanging="567"/>
        <w:rPr>
          <w:rFonts w:ascii="Times New Roman" w:hAnsi="Times New Roman"/>
          <w:i/>
          <w:iCs/>
          <w:sz w:val="24"/>
        </w:rPr>
      </w:pPr>
      <w:r>
        <w:rPr>
          <w:rFonts w:ascii="Times New Roman" w:hAnsi="Times New Roman"/>
          <w:sz w:val="24"/>
        </w:rPr>
        <w:t>“</w:t>
      </w:r>
      <w:r w:rsidRPr="001642FC">
        <w:rPr>
          <w:rFonts w:ascii="Times New Roman" w:hAnsi="Times New Roman"/>
          <w:i/>
          <w:iCs/>
          <w:sz w:val="24"/>
        </w:rPr>
        <w:t>•</w:t>
      </w:r>
      <w:r w:rsidR="001642FC" w:rsidRPr="001642FC">
        <w:rPr>
          <w:rFonts w:ascii="Times New Roman" w:hAnsi="Times New Roman"/>
          <w:i/>
          <w:iCs/>
          <w:sz w:val="24"/>
        </w:rPr>
        <w:tab/>
      </w:r>
      <w:r w:rsidRPr="001642FC">
        <w:rPr>
          <w:rFonts w:ascii="Times New Roman" w:hAnsi="Times New Roman"/>
          <w:i/>
          <w:iCs/>
          <w:sz w:val="24"/>
        </w:rPr>
        <w:t xml:space="preserve">The first application for inspection took three days.  This application was against Roadstone and Murphy Concrete and was also opposed by Murphy Concrete, who instructed </w:t>
      </w:r>
      <w:r w:rsidR="001642FC" w:rsidRPr="001642FC">
        <w:rPr>
          <w:rFonts w:ascii="Times New Roman" w:hAnsi="Times New Roman"/>
          <w:i/>
          <w:iCs/>
          <w:sz w:val="24"/>
        </w:rPr>
        <w:t xml:space="preserve">Senior Counsel </w:t>
      </w:r>
      <w:r w:rsidRPr="001642FC">
        <w:rPr>
          <w:rFonts w:ascii="Times New Roman" w:hAnsi="Times New Roman"/>
          <w:i/>
          <w:iCs/>
          <w:sz w:val="24"/>
        </w:rPr>
        <w:t>to appear and make submissions.</w:t>
      </w:r>
    </w:p>
    <w:p w14:paraId="5FC44DB5" w14:textId="3207F9D6"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Judgment was delivered in the motion for inspection on 28 July 2017.  An order for inspection was not made against Roadstone.  An order for inspection was, however, made against Murphy Concrete.</w:t>
      </w:r>
    </w:p>
    <w:p w14:paraId="08E5F332" w14:textId="77777777"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 xml:space="preserve">The hearing of the motions to compel replies to particulars took two days.  A motion was issued by both Roadstone and Murphy Concrete and counsel for Murphy Concrete moved the motions for particulars on its behalf. </w:t>
      </w:r>
    </w:p>
    <w:p w14:paraId="78AF81DA" w14:textId="26B2DC60"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 xml:space="preserve">Judgment was delivered in the motions for further and better particulars on 29 January 2018.  The </w:t>
      </w:r>
      <w:r w:rsidR="001642FC" w:rsidRPr="001642FC">
        <w:rPr>
          <w:rFonts w:ascii="Times New Roman" w:hAnsi="Times New Roman"/>
          <w:i/>
          <w:iCs/>
          <w:sz w:val="24"/>
        </w:rPr>
        <w:t>C</w:t>
      </w:r>
      <w:r w:rsidRPr="001642FC">
        <w:rPr>
          <w:rFonts w:ascii="Times New Roman" w:hAnsi="Times New Roman"/>
          <w:i/>
          <w:iCs/>
          <w:sz w:val="24"/>
        </w:rPr>
        <w:t>ourt ordered Roadstone and Murphy Concrete to deliver their defences but adjourned the motions with liberty to re-enter on the basis that they were entitled to seek replies to the outstanding particulars prior to the hearing of this matter.</w:t>
      </w:r>
    </w:p>
    <w:p w14:paraId="00158D59" w14:textId="31DE4E79"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 xml:space="preserve">Three hearing dates were taken up with Roadstone’s motion to strike out, from 30 May 2018 to 2 June 2018.  </w:t>
      </w:r>
    </w:p>
    <w:p w14:paraId="55DC3A44" w14:textId="08CCC567"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 xml:space="preserve">Judgment was delivered in the motion to strike out on 26 June 2018.  </w:t>
      </w:r>
    </w:p>
    <w:p w14:paraId="7CB41F9D" w14:textId="11D97EA2"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 xml:space="preserve">The renewed application for inspection came on for hearing on 19 July 2018.  It did not finish on that date because the court also had to hear Ballymore’s motion </w:t>
      </w:r>
      <w:r w:rsidRPr="001642FC">
        <w:rPr>
          <w:rFonts w:ascii="Times New Roman" w:hAnsi="Times New Roman"/>
          <w:i/>
          <w:iCs/>
          <w:sz w:val="24"/>
        </w:rPr>
        <w:lastRenderedPageBreak/>
        <w:t>for production.  Counsel for Ballymore moved the motion for production on 20 July 2018.</w:t>
      </w:r>
    </w:p>
    <w:p w14:paraId="252DBA81" w14:textId="0F37081E" w:rsidR="00347175"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The renewed application for inspection and the motion for production resumed on 23 October and ran for two days.</w:t>
      </w:r>
    </w:p>
    <w:p w14:paraId="1724B599" w14:textId="0AE34F88" w:rsidR="009965F1" w:rsidRPr="001642FC" w:rsidRDefault="00347175" w:rsidP="0058287A">
      <w:pPr>
        <w:pStyle w:val="ListParagraph"/>
        <w:tabs>
          <w:tab w:val="left" w:pos="567"/>
        </w:tabs>
        <w:spacing w:line="480" w:lineRule="auto"/>
        <w:ind w:left="1134" w:hanging="283"/>
        <w:rPr>
          <w:rFonts w:ascii="Times New Roman" w:hAnsi="Times New Roman"/>
          <w:i/>
          <w:iCs/>
          <w:sz w:val="24"/>
        </w:rPr>
      </w:pPr>
      <w:r w:rsidRPr="001642FC">
        <w:rPr>
          <w:rFonts w:ascii="Times New Roman" w:hAnsi="Times New Roman"/>
          <w:i/>
          <w:iCs/>
          <w:sz w:val="24"/>
        </w:rPr>
        <w:t>•</w:t>
      </w:r>
      <w:r w:rsidRPr="001642FC">
        <w:rPr>
          <w:rFonts w:ascii="Times New Roman" w:hAnsi="Times New Roman"/>
          <w:i/>
          <w:iCs/>
          <w:sz w:val="24"/>
        </w:rPr>
        <w:tab/>
        <w:t>Judgment in the renewed application for inspection was delivered on 21 February 2019.</w:t>
      </w:r>
      <w:r w:rsidRPr="001642FC">
        <w:rPr>
          <w:rFonts w:ascii="Times New Roman" w:hAnsi="Times New Roman"/>
          <w:sz w:val="24"/>
        </w:rPr>
        <w:t>”</w:t>
      </w:r>
    </w:p>
    <w:p w14:paraId="71183324" w14:textId="0FDCA15F" w:rsidR="009965F1" w:rsidRPr="00DA49EC" w:rsidRDefault="009965F1"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 xml:space="preserve">The analysis of Ms. Upton makes it plain that the appellants have been responsible for the issue of just two out of the nine motions that have been issued in the proceedings. By my calculations, those motions, being the motions to strike out and a motion to compel replies to particulars, took up five out of thirteen hearing days. From a statistical viewpoint, this in and of itself does not suggest an obstructive approach to the litigation by the appellants and I think it must be </w:t>
      </w:r>
      <w:r w:rsidR="00E37945">
        <w:rPr>
          <w:rFonts w:ascii="Times New Roman" w:hAnsi="Times New Roman"/>
          <w:sz w:val="24"/>
        </w:rPr>
        <w:t xml:space="preserve">acknowledged </w:t>
      </w:r>
      <w:r w:rsidRPr="00DA49EC">
        <w:rPr>
          <w:rFonts w:ascii="Times New Roman" w:hAnsi="Times New Roman"/>
          <w:sz w:val="24"/>
        </w:rPr>
        <w:t>the appellants have not, on any view of the history of the proceedings, “</w:t>
      </w:r>
      <w:r w:rsidRPr="008127CB">
        <w:rPr>
          <w:rFonts w:ascii="Times New Roman" w:hAnsi="Times New Roman"/>
          <w:i/>
          <w:iCs/>
          <w:sz w:val="24"/>
        </w:rPr>
        <w:t>clogged</w:t>
      </w:r>
      <w:r w:rsidRPr="00DA49EC">
        <w:rPr>
          <w:rFonts w:ascii="Times New Roman" w:hAnsi="Times New Roman"/>
          <w:sz w:val="24"/>
        </w:rPr>
        <w:t xml:space="preserve">” the process with multiple applications . But bare statistics rarely, if ever, tell the complete story. The manner in which a party responds to the proceedings and interlocutory applications brought by other parties is likely to be just as informative of its approach to the litigation as are the steps it initiates. This is where it becomes particularly difficult for an appellate </w:t>
      </w:r>
      <w:r w:rsidR="004A5C7F">
        <w:rPr>
          <w:rFonts w:ascii="Times New Roman" w:hAnsi="Times New Roman"/>
          <w:sz w:val="24"/>
        </w:rPr>
        <w:t>c</w:t>
      </w:r>
      <w:r w:rsidRPr="00DA49EC">
        <w:rPr>
          <w:rFonts w:ascii="Times New Roman" w:hAnsi="Times New Roman"/>
          <w:sz w:val="24"/>
        </w:rPr>
        <w:t xml:space="preserve">ourt to undertake a review of comments such as those made by the trial judge, without undertaking a complete review of the evidence and the transcripts. </w:t>
      </w:r>
      <w:r w:rsidR="00E37945">
        <w:rPr>
          <w:rFonts w:ascii="Times New Roman" w:hAnsi="Times New Roman"/>
          <w:sz w:val="24"/>
        </w:rPr>
        <w:t xml:space="preserve">This is especially so when those comments were made by the judge who has gained an intimate acquaintance with what are complex proceedings of long duration by reason of her  involvement in the case management of the proceedings </w:t>
      </w:r>
      <w:r w:rsidRPr="00DA49EC">
        <w:rPr>
          <w:rFonts w:ascii="Times New Roman" w:hAnsi="Times New Roman"/>
          <w:sz w:val="24"/>
        </w:rPr>
        <w:t xml:space="preserve">This is not the function of an appellate court. </w:t>
      </w:r>
      <w:r w:rsidR="00E37945">
        <w:rPr>
          <w:rFonts w:ascii="Times New Roman" w:hAnsi="Times New Roman"/>
          <w:sz w:val="24"/>
        </w:rPr>
        <w:t xml:space="preserve">As Ryan </w:t>
      </w:r>
      <w:r w:rsidR="00DE27D8">
        <w:rPr>
          <w:rFonts w:ascii="Times New Roman" w:hAnsi="Times New Roman"/>
          <w:sz w:val="24"/>
        </w:rPr>
        <w:t>P</w:t>
      </w:r>
      <w:r w:rsidR="00E37945">
        <w:rPr>
          <w:rFonts w:ascii="Times New Roman" w:hAnsi="Times New Roman"/>
          <w:sz w:val="24"/>
        </w:rPr>
        <w:t xml:space="preserve">. observed in </w:t>
      </w:r>
      <w:proofErr w:type="spellStart"/>
      <w:r w:rsidR="00E37945" w:rsidRPr="00804DC6">
        <w:rPr>
          <w:rFonts w:ascii="Times New Roman" w:hAnsi="Times New Roman"/>
          <w:i/>
          <w:sz w:val="24"/>
        </w:rPr>
        <w:t>Middleview</w:t>
      </w:r>
      <w:proofErr w:type="spellEnd"/>
      <w:r w:rsidR="005914B9">
        <w:rPr>
          <w:rFonts w:ascii="Times New Roman" w:hAnsi="Times New Roman"/>
          <w:sz w:val="24"/>
        </w:rPr>
        <w:t>:</w:t>
      </w:r>
      <w:r w:rsidR="00E37945">
        <w:rPr>
          <w:rFonts w:ascii="Times New Roman" w:hAnsi="Times New Roman"/>
          <w:sz w:val="24"/>
        </w:rPr>
        <w:t xml:space="preserve"> “</w:t>
      </w:r>
      <w:r w:rsidR="00E37945" w:rsidRPr="005360B7">
        <w:rPr>
          <w:rFonts w:ascii="Times New Roman" w:hAnsi="Times New Roman"/>
          <w:i/>
          <w:iCs/>
          <w:sz w:val="24"/>
        </w:rPr>
        <w:t>Appeal courts would be full with cases in which the decision was not being challenged, but rather something that the judge said or did would be the matter of debate</w:t>
      </w:r>
      <w:r w:rsidR="00E37945" w:rsidRPr="00804DC6">
        <w:rPr>
          <w:rFonts w:ascii="Times New Roman" w:hAnsi="Times New Roman"/>
          <w:sz w:val="24"/>
        </w:rPr>
        <w:t xml:space="preserve">” </w:t>
      </w:r>
      <w:r w:rsidR="00E37945">
        <w:rPr>
          <w:rFonts w:ascii="Times New Roman" w:hAnsi="Times New Roman"/>
          <w:iCs/>
          <w:sz w:val="24"/>
        </w:rPr>
        <w:t xml:space="preserve">if objections of this kind </w:t>
      </w:r>
      <w:r w:rsidR="00333728">
        <w:rPr>
          <w:rFonts w:ascii="Times New Roman" w:hAnsi="Times New Roman"/>
          <w:iCs/>
          <w:sz w:val="24"/>
        </w:rPr>
        <w:t>are sustained on appeal.</w:t>
      </w:r>
      <w:r w:rsidR="00E37945">
        <w:rPr>
          <w:rFonts w:ascii="Times New Roman" w:hAnsi="Times New Roman"/>
          <w:i/>
          <w:iCs/>
          <w:sz w:val="24"/>
        </w:rPr>
        <w:t xml:space="preserve"> </w:t>
      </w:r>
    </w:p>
    <w:p w14:paraId="0B1BB43A" w14:textId="36B5D9D2" w:rsidR="009965F1" w:rsidRPr="000B4CD3" w:rsidRDefault="008B2119"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As the respondents point out, the trial judge expressed particular frustration</w:t>
      </w:r>
      <w:r w:rsidR="005469FF">
        <w:rPr>
          <w:rFonts w:ascii="Times New Roman" w:hAnsi="Times New Roman"/>
          <w:sz w:val="24"/>
        </w:rPr>
        <w:t xml:space="preserve"> (in para.</w:t>
      </w:r>
      <w:r w:rsidR="004A5C7F">
        <w:rPr>
          <w:rFonts w:ascii="Times New Roman" w:hAnsi="Times New Roman"/>
          <w:sz w:val="24"/>
        </w:rPr>
        <w:t xml:space="preserve"> </w:t>
      </w:r>
      <w:r w:rsidR="005469FF">
        <w:rPr>
          <w:rFonts w:ascii="Times New Roman" w:hAnsi="Times New Roman"/>
          <w:sz w:val="24"/>
        </w:rPr>
        <w:t>26 of her judgment)</w:t>
      </w:r>
      <w:r>
        <w:rPr>
          <w:rFonts w:ascii="Times New Roman" w:hAnsi="Times New Roman"/>
          <w:sz w:val="24"/>
        </w:rPr>
        <w:t xml:space="preserve"> that the appellants would not concede</w:t>
      </w:r>
      <w:r w:rsidR="009965F1">
        <w:rPr>
          <w:rFonts w:ascii="Times New Roman" w:hAnsi="Times New Roman"/>
          <w:sz w:val="24"/>
        </w:rPr>
        <w:t>, even</w:t>
      </w:r>
      <w:r>
        <w:rPr>
          <w:rFonts w:ascii="Times New Roman" w:hAnsi="Times New Roman"/>
          <w:sz w:val="24"/>
        </w:rPr>
        <w:t xml:space="preserve"> in principle</w:t>
      </w:r>
      <w:r w:rsidR="009965F1">
        <w:rPr>
          <w:rFonts w:ascii="Times New Roman" w:hAnsi="Times New Roman"/>
          <w:sz w:val="24"/>
        </w:rPr>
        <w:t>,</w:t>
      </w:r>
      <w:r>
        <w:rPr>
          <w:rFonts w:ascii="Times New Roman" w:hAnsi="Times New Roman"/>
          <w:sz w:val="24"/>
        </w:rPr>
        <w:t xml:space="preserve"> the necessity for inspection, even if </w:t>
      </w:r>
      <w:r w:rsidR="009965F1">
        <w:rPr>
          <w:rFonts w:ascii="Times New Roman" w:hAnsi="Times New Roman"/>
          <w:sz w:val="24"/>
        </w:rPr>
        <w:t xml:space="preserve">it had </w:t>
      </w:r>
      <w:r>
        <w:rPr>
          <w:rFonts w:ascii="Times New Roman" w:hAnsi="Times New Roman"/>
          <w:sz w:val="24"/>
        </w:rPr>
        <w:t xml:space="preserve">to await discovery. </w:t>
      </w:r>
      <w:r w:rsidR="009965F1">
        <w:rPr>
          <w:rFonts w:ascii="Times New Roman" w:hAnsi="Times New Roman"/>
          <w:sz w:val="24"/>
        </w:rPr>
        <w:t>This occurred at a case management hearing on 26</w:t>
      </w:r>
      <w:r w:rsidR="009965F1" w:rsidRPr="009965F1">
        <w:rPr>
          <w:rFonts w:ascii="Times New Roman" w:hAnsi="Times New Roman"/>
          <w:sz w:val="24"/>
          <w:vertAlign w:val="superscript"/>
        </w:rPr>
        <w:t>th</w:t>
      </w:r>
      <w:r w:rsidR="009965F1">
        <w:rPr>
          <w:rFonts w:ascii="Times New Roman" w:hAnsi="Times New Roman"/>
          <w:sz w:val="24"/>
        </w:rPr>
        <w:t xml:space="preserve"> July 2018 when the trial </w:t>
      </w:r>
      <w:r w:rsidR="004A5C7F">
        <w:rPr>
          <w:rFonts w:ascii="Times New Roman" w:hAnsi="Times New Roman"/>
          <w:sz w:val="24"/>
        </w:rPr>
        <w:t>j</w:t>
      </w:r>
      <w:r w:rsidR="009965F1">
        <w:rPr>
          <w:rFonts w:ascii="Times New Roman" w:hAnsi="Times New Roman"/>
          <w:sz w:val="24"/>
        </w:rPr>
        <w:t xml:space="preserve">udge asked </w:t>
      </w:r>
      <w:r>
        <w:rPr>
          <w:rFonts w:ascii="Times New Roman" w:hAnsi="Times New Roman"/>
          <w:sz w:val="24"/>
        </w:rPr>
        <w:t>counsel for the appellants</w:t>
      </w:r>
      <w:r w:rsidR="00F55F12">
        <w:rPr>
          <w:rFonts w:ascii="Times New Roman" w:hAnsi="Times New Roman"/>
          <w:sz w:val="24"/>
        </w:rPr>
        <w:t xml:space="preserve"> whether</w:t>
      </w:r>
      <w:r w:rsidR="000B4CD3">
        <w:rPr>
          <w:rFonts w:ascii="Times New Roman" w:hAnsi="Times New Roman"/>
          <w:sz w:val="24"/>
        </w:rPr>
        <w:t xml:space="preserve"> or not</w:t>
      </w:r>
      <w:r w:rsidR="00F55F12">
        <w:rPr>
          <w:rFonts w:ascii="Times New Roman" w:hAnsi="Times New Roman"/>
          <w:sz w:val="24"/>
        </w:rPr>
        <w:t xml:space="preserve"> </w:t>
      </w:r>
      <w:r w:rsidR="000B4CD3">
        <w:rPr>
          <w:rFonts w:ascii="Times New Roman" w:hAnsi="Times New Roman"/>
          <w:sz w:val="24"/>
        </w:rPr>
        <w:t>the appellants accepted</w:t>
      </w:r>
      <w:r w:rsidR="00F55F12">
        <w:rPr>
          <w:rFonts w:ascii="Times New Roman" w:hAnsi="Times New Roman"/>
          <w:sz w:val="24"/>
        </w:rPr>
        <w:t xml:space="preserve"> that there would have to be an inspection. Counsel replied</w:t>
      </w:r>
      <w:r>
        <w:rPr>
          <w:rFonts w:ascii="Times New Roman" w:hAnsi="Times New Roman"/>
          <w:sz w:val="24"/>
        </w:rPr>
        <w:t xml:space="preserve"> that </w:t>
      </w:r>
      <w:r w:rsidR="00F55F12">
        <w:rPr>
          <w:rFonts w:ascii="Times New Roman" w:hAnsi="Times New Roman"/>
          <w:sz w:val="24"/>
        </w:rPr>
        <w:t xml:space="preserve">she </w:t>
      </w:r>
      <w:r>
        <w:rPr>
          <w:rFonts w:ascii="Times New Roman" w:hAnsi="Times New Roman"/>
          <w:sz w:val="24"/>
        </w:rPr>
        <w:t xml:space="preserve">did not have instructions to give an answer.  </w:t>
      </w:r>
      <w:r w:rsidR="00F55F12">
        <w:rPr>
          <w:rFonts w:ascii="Times New Roman" w:hAnsi="Times New Roman"/>
          <w:sz w:val="24"/>
        </w:rPr>
        <w:t xml:space="preserve">The trial </w:t>
      </w:r>
      <w:r w:rsidR="004A5C7F">
        <w:rPr>
          <w:rFonts w:ascii="Times New Roman" w:hAnsi="Times New Roman"/>
          <w:sz w:val="24"/>
        </w:rPr>
        <w:t>j</w:t>
      </w:r>
      <w:r w:rsidR="00F55F12">
        <w:rPr>
          <w:rFonts w:ascii="Times New Roman" w:hAnsi="Times New Roman"/>
          <w:sz w:val="24"/>
        </w:rPr>
        <w:t>udge</w:t>
      </w:r>
      <w:r>
        <w:rPr>
          <w:rFonts w:ascii="Times New Roman" w:hAnsi="Times New Roman"/>
          <w:sz w:val="24"/>
        </w:rPr>
        <w:t xml:space="preserve"> afforded th</w:t>
      </w:r>
      <w:r w:rsidR="00F55F12">
        <w:rPr>
          <w:rFonts w:ascii="Times New Roman" w:hAnsi="Times New Roman"/>
          <w:sz w:val="24"/>
        </w:rPr>
        <w:t xml:space="preserve">e appellants’ legal advisors </w:t>
      </w:r>
      <w:r>
        <w:rPr>
          <w:rFonts w:ascii="Times New Roman" w:hAnsi="Times New Roman"/>
          <w:sz w:val="24"/>
        </w:rPr>
        <w:t xml:space="preserve">the opportunity to obtain such instructions (including the opportunity to mention the matter to her the next day) </w:t>
      </w:r>
      <w:r w:rsidR="005469FF">
        <w:rPr>
          <w:rFonts w:ascii="Times New Roman" w:hAnsi="Times New Roman"/>
          <w:sz w:val="24"/>
        </w:rPr>
        <w:t xml:space="preserve">and </w:t>
      </w:r>
      <w:r>
        <w:rPr>
          <w:rFonts w:ascii="Times New Roman" w:hAnsi="Times New Roman"/>
          <w:sz w:val="24"/>
        </w:rPr>
        <w:t>expressly informed counsel that the answer to this question would be “</w:t>
      </w:r>
      <w:r w:rsidRPr="004A5C7F">
        <w:rPr>
          <w:rFonts w:ascii="Times New Roman" w:hAnsi="Times New Roman"/>
          <w:i/>
          <w:iCs/>
          <w:sz w:val="24"/>
        </w:rPr>
        <w:t>extremely material to the court’s determination</w:t>
      </w:r>
      <w:r>
        <w:rPr>
          <w:rFonts w:ascii="Times New Roman" w:hAnsi="Times New Roman"/>
          <w:sz w:val="24"/>
        </w:rPr>
        <w:t>”.  Nonetheless, the appellants’ legal advisors were unable to obtain instructions, and did not return the next day.</w:t>
      </w:r>
      <w:r w:rsidR="009965F1">
        <w:rPr>
          <w:rFonts w:ascii="Times New Roman" w:hAnsi="Times New Roman"/>
          <w:sz w:val="24"/>
        </w:rPr>
        <w:t xml:space="preserve"> It has to be said that the failure on the part of the appellants to concede</w:t>
      </w:r>
      <w:r w:rsidR="00F55F12">
        <w:rPr>
          <w:rFonts w:ascii="Times New Roman" w:hAnsi="Times New Roman"/>
          <w:sz w:val="24"/>
        </w:rPr>
        <w:t>,</w:t>
      </w:r>
      <w:r w:rsidR="004A5C7F">
        <w:rPr>
          <w:rFonts w:ascii="Times New Roman" w:hAnsi="Times New Roman"/>
          <w:sz w:val="24"/>
        </w:rPr>
        <w:t xml:space="preserve"> </w:t>
      </w:r>
      <w:r w:rsidR="009965F1">
        <w:rPr>
          <w:rFonts w:ascii="Times New Roman" w:hAnsi="Times New Roman"/>
          <w:sz w:val="24"/>
        </w:rPr>
        <w:t>even in principle</w:t>
      </w:r>
      <w:r w:rsidR="00F55F12">
        <w:rPr>
          <w:rFonts w:ascii="Times New Roman" w:hAnsi="Times New Roman"/>
          <w:sz w:val="24"/>
        </w:rPr>
        <w:t>, that</w:t>
      </w:r>
      <w:r w:rsidR="009965F1">
        <w:rPr>
          <w:rFonts w:ascii="Times New Roman" w:hAnsi="Times New Roman"/>
          <w:sz w:val="24"/>
        </w:rPr>
        <w:t xml:space="preserve"> inspection</w:t>
      </w:r>
      <w:r w:rsidR="00F55F12">
        <w:rPr>
          <w:rFonts w:ascii="Times New Roman" w:hAnsi="Times New Roman"/>
          <w:sz w:val="24"/>
        </w:rPr>
        <w:t xml:space="preserve"> of </w:t>
      </w:r>
      <w:r w:rsidR="000B4CD3">
        <w:rPr>
          <w:rFonts w:ascii="Times New Roman" w:hAnsi="Times New Roman"/>
          <w:sz w:val="24"/>
        </w:rPr>
        <w:t>the Roadstone</w:t>
      </w:r>
      <w:r w:rsidR="00F55F12">
        <w:rPr>
          <w:rFonts w:ascii="Times New Roman" w:hAnsi="Times New Roman"/>
          <w:sz w:val="24"/>
        </w:rPr>
        <w:t xml:space="preserve"> quarries was necessary,</w:t>
      </w:r>
      <w:r w:rsidR="009965F1">
        <w:rPr>
          <w:rFonts w:ascii="Times New Roman" w:hAnsi="Times New Roman"/>
          <w:sz w:val="24"/>
        </w:rPr>
        <w:t xml:space="preserve"> even </w:t>
      </w:r>
      <w:r w:rsidR="00F55F12">
        <w:rPr>
          <w:rFonts w:ascii="Times New Roman" w:hAnsi="Times New Roman"/>
          <w:sz w:val="24"/>
        </w:rPr>
        <w:t xml:space="preserve">if it had to await </w:t>
      </w:r>
      <w:r w:rsidR="009965F1">
        <w:rPr>
          <w:rFonts w:ascii="Times New Roman" w:hAnsi="Times New Roman"/>
          <w:sz w:val="24"/>
        </w:rPr>
        <w:t>discovery, was very difficult to understand</w:t>
      </w:r>
      <w:r w:rsidR="00F55F12">
        <w:rPr>
          <w:rFonts w:ascii="Times New Roman" w:hAnsi="Times New Roman"/>
          <w:sz w:val="24"/>
        </w:rPr>
        <w:t xml:space="preserve"> </w:t>
      </w:r>
      <w:r w:rsidR="009965F1">
        <w:rPr>
          <w:rFonts w:ascii="Times New Roman" w:hAnsi="Times New Roman"/>
          <w:sz w:val="24"/>
        </w:rPr>
        <w:t xml:space="preserve">and one can well imagine why the trial judge found this frustrating after </w:t>
      </w:r>
      <w:r w:rsidR="004A5C7F">
        <w:rPr>
          <w:rFonts w:ascii="Times New Roman" w:hAnsi="Times New Roman"/>
          <w:sz w:val="24"/>
        </w:rPr>
        <w:t>five</w:t>
      </w:r>
      <w:r w:rsidR="009965F1">
        <w:rPr>
          <w:rFonts w:ascii="Times New Roman" w:hAnsi="Times New Roman"/>
          <w:sz w:val="24"/>
        </w:rPr>
        <w:t xml:space="preserve"> days of hearing (at that point in time) and having had to consider up to 51 affidavits and exhibits.  </w:t>
      </w:r>
    </w:p>
    <w:p w14:paraId="7D0FFAAB" w14:textId="3FC880B9" w:rsidR="00380ACF" w:rsidRDefault="00380ACF"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 </w:t>
      </w:r>
      <w:r w:rsidR="008B2119">
        <w:rPr>
          <w:rFonts w:ascii="Times New Roman" w:hAnsi="Times New Roman"/>
          <w:sz w:val="24"/>
        </w:rPr>
        <w:t xml:space="preserve">As far as the authorities referred to the </w:t>
      </w:r>
      <w:r w:rsidR="004A5C7F">
        <w:rPr>
          <w:rFonts w:ascii="Times New Roman" w:hAnsi="Times New Roman"/>
          <w:sz w:val="24"/>
        </w:rPr>
        <w:t>C</w:t>
      </w:r>
      <w:r w:rsidR="008B2119">
        <w:rPr>
          <w:rFonts w:ascii="Times New Roman" w:hAnsi="Times New Roman"/>
          <w:sz w:val="24"/>
        </w:rPr>
        <w:t>ourt are concerned, I do not see any inconsistenc</w:t>
      </w:r>
      <w:r w:rsidR="005469FF">
        <w:rPr>
          <w:rFonts w:ascii="Times New Roman" w:hAnsi="Times New Roman"/>
          <w:sz w:val="24"/>
        </w:rPr>
        <w:t>y</w:t>
      </w:r>
      <w:r w:rsidR="008B2119">
        <w:rPr>
          <w:rFonts w:ascii="Times New Roman" w:hAnsi="Times New Roman"/>
          <w:sz w:val="24"/>
        </w:rPr>
        <w:t xml:space="preserve"> between the decision of Ryan P. in this Court and the decisions of the Supreme Court in </w:t>
      </w:r>
      <w:r w:rsidR="008B2119">
        <w:rPr>
          <w:rFonts w:ascii="Times New Roman" w:hAnsi="Times New Roman"/>
          <w:i/>
          <w:sz w:val="24"/>
        </w:rPr>
        <w:t xml:space="preserve">Defender </w:t>
      </w:r>
      <w:r w:rsidR="008B2119">
        <w:rPr>
          <w:rFonts w:ascii="Times New Roman" w:hAnsi="Times New Roman"/>
          <w:sz w:val="24"/>
        </w:rPr>
        <w:t xml:space="preserve">and </w:t>
      </w:r>
      <w:r w:rsidR="008B2119">
        <w:rPr>
          <w:rFonts w:ascii="Times New Roman" w:hAnsi="Times New Roman"/>
          <w:i/>
          <w:sz w:val="24"/>
        </w:rPr>
        <w:t>Seredych</w:t>
      </w:r>
      <w:r w:rsidR="008B2119" w:rsidRPr="00F11167">
        <w:rPr>
          <w:rFonts w:ascii="Times New Roman" w:hAnsi="Times New Roman"/>
          <w:iCs/>
          <w:sz w:val="24"/>
        </w:rPr>
        <w:t>.</w:t>
      </w:r>
      <w:r w:rsidR="008B2119">
        <w:rPr>
          <w:rFonts w:ascii="Times New Roman" w:hAnsi="Times New Roman"/>
          <w:i/>
          <w:sz w:val="24"/>
        </w:rPr>
        <w:t xml:space="preserve"> </w:t>
      </w:r>
      <w:r w:rsidR="008B2119" w:rsidRPr="00A70D8D">
        <w:rPr>
          <w:rFonts w:ascii="Times New Roman" w:hAnsi="Times New Roman"/>
          <w:i/>
          <w:sz w:val="24"/>
        </w:rPr>
        <w:t xml:space="preserve"> </w:t>
      </w:r>
      <w:r w:rsidR="00A70D8D" w:rsidRPr="00A70D8D">
        <w:rPr>
          <w:rFonts w:ascii="Times New Roman" w:hAnsi="Times New Roman"/>
          <w:i/>
          <w:sz w:val="24"/>
        </w:rPr>
        <w:t xml:space="preserve">Defender </w:t>
      </w:r>
      <w:r w:rsidR="00A70D8D">
        <w:rPr>
          <w:rFonts w:ascii="Times New Roman" w:hAnsi="Times New Roman"/>
          <w:sz w:val="24"/>
        </w:rPr>
        <w:t xml:space="preserve">makes it plain that parties to proceedings should not be criticised merely for litigating claims which they cannot resolve. </w:t>
      </w:r>
      <w:r w:rsidR="00F55F12">
        <w:rPr>
          <w:rFonts w:ascii="Times New Roman" w:hAnsi="Times New Roman"/>
          <w:sz w:val="24"/>
        </w:rPr>
        <w:t>No such criticism was made of the appellants here, e</w:t>
      </w:r>
      <w:r w:rsidR="002132B1">
        <w:rPr>
          <w:rFonts w:ascii="Times New Roman" w:hAnsi="Times New Roman"/>
          <w:sz w:val="24"/>
        </w:rPr>
        <w:t>x</w:t>
      </w:r>
      <w:r w:rsidR="00F55F12">
        <w:rPr>
          <w:rFonts w:ascii="Times New Roman" w:hAnsi="Times New Roman"/>
          <w:sz w:val="24"/>
        </w:rPr>
        <w:t>press or implied</w:t>
      </w:r>
      <w:r w:rsidR="002132B1">
        <w:rPr>
          <w:rFonts w:ascii="Times New Roman" w:hAnsi="Times New Roman"/>
          <w:sz w:val="24"/>
        </w:rPr>
        <w:t xml:space="preserve">. </w:t>
      </w:r>
      <w:r w:rsidR="00A70D8D">
        <w:rPr>
          <w:rFonts w:ascii="Times New Roman" w:hAnsi="Times New Roman"/>
          <w:i/>
          <w:sz w:val="24"/>
        </w:rPr>
        <w:t xml:space="preserve">Seredych </w:t>
      </w:r>
      <w:r w:rsidR="00A70D8D">
        <w:rPr>
          <w:rFonts w:ascii="Times New Roman" w:hAnsi="Times New Roman"/>
          <w:sz w:val="24"/>
        </w:rPr>
        <w:t xml:space="preserve">makes it clear that judges should not subject lawyers to insulting remarks regarding their competence and integrity, and where a judge contemplates such criticism, should not do so without affording the lawyer concerned the opportunity to respond and defend his or her good name.  Counsel for the appellants fairly makes the point that litigants too are entitled to their good name, and that in this case the appellants were subjected to criticisms regarding their approach to these </w:t>
      </w:r>
      <w:r w:rsidR="00A70D8D">
        <w:rPr>
          <w:rFonts w:ascii="Times New Roman" w:hAnsi="Times New Roman"/>
          <w:sz w:val="24"/>
        </w:rPr>
        <w:lastRenderedPageBreak/>
        <w:t xml:space="preserve">proceedings, without being afforded an opportunity to reply.  </w:t>
      </w:r>
      <w:r w:rsidR="002132B1">
        <w:rPr>
          <w:rFonts w:ascii="Times New Roman" w:hAnsi="Times New Roman"/>
          <w:sz w:val="24"/>
        </w:rPr>
        <w:t xml:space="preserve">Nonetheless, the remarks in </w:t>
      </w:r>
      <w:r w:rsidR="002132B1" w:rsidRPr="00594C43">
        <w:rPr>
          <w:rFonts w:ascii="Times New Roman" w:hAnsi="Times New Roman"/>
          <w:i/>
          <w:sz w:val="24"/>
        </w:rPr>
        <w:t xml:space="preserve">Seredych </w:t>
      </w:r>
      <w:r w:rsidR="002132B1">
        <w:rPr>
          <w:rFonts w:ascii="Times New Roman" w:hAnsi="Times New Roman"/>
          <w:sz w:val="24"/>
        </w:rPr>
        <w:t>were of quite a different character to those made by the tri</w:t>
      </w:r>
      <w:r w:rsidR="00594C43">
        <w:rPr>
          <w:rFonts w:ascii="Times New Roman" w:hAnsi="Times New Roman"/>
          <w:sz w:val="24"/>
        </w:rPr>
        <w:t>a</w:t>
      </w:r>
      <w:r w:rsidR="002132B1">
        <w:rPr>
          <w:rFonts w:ascii="Times New Roman" w:hAnsi="Times New Roman"/>
          <w:sz w:val="24"/>
        </w:rPr>
        <w:t xml:space="preserve">l </w:t>
      </w:r>
      <w:r w:rsidR="004A5C7F">
        <w:rPr>
          <w:rFonts w:ascii="Times New Roman" w:hAnsi="Times New Roman"/>
          <w:sz w:val="24"/>
        </w:rPr>
        <w:t>j</w:t>
      </w:r>
      <w:r w:rsidR="002132B1">
        <w:rPr>
          <w:rFonts w:ascii="Times New Roman" w:hAnsi="Times New Roman"/>
          <w:sz w:val="24"/>
        </w:rPr>
        <w:t>udge in this case</w:t>
      </w:r>
      <w:r w:rsidR="00333728">
        <w:rPr>
          <w:rFonts w:ascii="Times New Roman" w:hAnsi="Times New Roman"/>
          <w:sz w:val="24"/>
        </w:rPr>
        <w:t>, which were much more closely connected to the manner in which the proceedings were being conducted</w:t>
      </w:r>
      <w:r w:rsidR="002132B1">
        <w:rPr>
          <w:rFonts w:ascii="Times New Roman" w:hAnsi="Times New Roman"/>
          <w:sz w:val="24"/>
        </w:rPr>
        <w:t>.</w:t>
      </w:r>
    </w:p>
    <w:p w14:paraId="583CB88D" w14:textId="6105142C" w:rsidR="00380ACF" w:rsidRDefault="0028537B" w:rsidP="0058287A">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 agree with counsel for the respondents that </w:t>
      </w:r>
      <w:proofErr w:type="spellStart"/>
      <w:r>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 xml:space="preserve">is the most analogous of the three authorities to which the </w:t>
      </w:r>
      <w:r w:rsidR="004A5C7F">
        <w:rPr>
          <w:rFonts w:ascii="Times New Roman" w:hAnsi="Times New Roman"/>
          <w:sz w:val="24"/>
        </w:rPr>
        <w:t>C</w:t>
      </w:r>
      <w:r>
        <w:rPr>
          <w:rFonts w:ascii="Times New Roman" w:hAnsi="Times New Roman"/>
          <w:sz w:val="24"/>
        </w:rPr>
        <w:t xml:space="preserve">ourt has been referred.  As I have said above, the </w:t>
      </w:r>
      <w:r w:rsidR="00594C43">
        <w:rPr>
          <w:rFonts w:ascii="Times New Roman" w:hAnsi="Times New Roman"/>
          <w:sz w:val="24"/>
        </w:rPr>
        <w:t>C</w:t>
      </w:r>
      <w:r>
        <w:rPr>
          <w:rFonts w:ascii="Times New Roman" w:hAnsi="Times New Roman"/>
          <w:sz w:val="24"/>
        </w:rPr>
        <w:t xml:space="preserve">ourt is, in effect, being asked to review not </w:t>
      </w:r>
      <w:r w:rsidR="009965F1">
        <w:rPr>
          <w:rFonts w:ascii="Times New Roman" w:hAnsi="Times New Roman"/>
          <w:sz w:val="24"/>
        </w:rPr>
        <w:t xml:space="preserve">a </w:t>
      </w:r>
      <w:r>
        <w:rPr>
          <w:rFonts w:ascii="Times New Roman" w:hAnsi="Times New Roman"/>
          <w:sz w:val="24"/>
        </w:rPr>
        <w:t xml:space="preserve">finding or an order made by the trial judge, but an impression that she has formed.  As Ryan P. observed in </w:t>
      </w:r>
      <w:proofErr w:type="spellStart"/>
      <w:r>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the “</w:t>
      </w:r>
      <w:r w:rsidRPr="004A5C7F">
        <w:rPr>
          <w:rFonts w:ascii="Times New Roman" w:hAnsi="Times New Roman"/>
          <w:i/>
          <w:iCs/>
          <w:sz w:val="24"/>
        </w:rPr>
        <w:t>Court of Appeal should be slow to embark on an evaluation of the validity of observations and comments made by the judge in the course of a judgment unless there is some apparent error of law or fact or that there is some otherwise exceptional circumstance where justice seems to require it.</w:t>
      </w:r>
      <w:r>
        <w:rPr>
          <w:rFonts w:ascii="Times New Roman" w:hAnsi="Times New Roman"/>
          <w:sz w:val="24"/>
        </w:rPr>
        <w:t>”  Even if this Court might take a different view on the facts, that in itself is not sufficient for this Court to intervene, for the reasons articulated by Ryan P. in para. 49 of his judgment (see para</w:t>
      </w:r>
      <w:r w:rsidR="004A5C7F">
        <w:rPr>
          <w:rFonts w:ascii="Times New Roman" w:hAnsi="Times New Roman"/>
          <w:sz w:val="24"/>
        </w:rPr>
        <w:t>.</w:t>
      </w:r>
      <w:r>
        <w:rPr>
          <w:rFonts w:ascii="Times New Roman" w:hAnsi="Times New Roman"/>
          <w:sz w:val="24"/>
        </w:rPr>
        <w:t xml:space="preserve"> </w:t>
      </w:r>
      <w:r w:rsidR="00804DC6">
        <w:rPr>
          <w:rFonts w:ascii="Times New Roman" w:hAnsi="Times New Roman"/>
          <w:sz w:val="24"/>
        </w:rPr>
        <w:t>104</w:t>
      </w:r>
      <w:r>
        <w:rPr>
          <w:rFonts w:ascii="Times New Roman" w:hAnsi="Times New Roman"/>
          <w:sz w:val="24"/>
        </w:rPr>
        <w:t xml:space="preserve"> above).</w:t>
      </w:r>
    </w:p>
    <w:p w14:paraId="51118F5E" w14:textId="761627C0" w:rsidR="001307B6" w:rsidRDefault="00091A06" w:rsidP="001307B6">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 recent decision of this </w:t>
      </w:r>
      <w:r w:rsidR="00804DC6">
        <w:rPr>
          <w:rFonts w:ascii="Times New Roman" w:hAnsi="Times New Roman"/>
          <w:sz w:val="24"/>
        </w:rPr>
        <w:t>C</w:t>
      </w:r>
      <w:r>
        <w:rPr>
          <w:rFonts w:ascii="Times New Roman" w:hAnsi="Times New Roman"/>
          <w:sz w:val="24"/>
        </w:rPr>
        <w:t xml:space="preserve">ourt </w:t>
      </w:r>
      <w:r w:rsidR="001307B6">
        <w:rPr>
          <w:rFonts w:ascii="Times New Roman" w:hAnsi="Times New Roman"/>
          <w:sz w:val="24"/>
        </w:rPr>
        <w:t xml:space="preserve">in which the grounds of appeal included complaints about comments made by the trial judge (in that case) both during the course of the hearing and in his judgment, is also instructive. </w:t>
      </w:r>
      <w:r w:rsidR="001307B6" w:rsidRPr="00804DC6">
        <w:rPr>
          <w:rFonts w:ascii="Times New Roman" w:hAnsi="Times New Roman"/>
          <w:iCs/>
          <w:sz w:val="24"/>
        </w:rPr>
        <w:t xml:space="preserve">In </w:t>
      </w:r>
      <w:r w:rsidR="001307B6" w:rsidRPr="00804DC6">
        <w:rPr>
          <w:rFonts w:ascii="Times New Roman" w:hAnsi="Times New Roman"/>
          <w:i/>
          <w:sz w:val="24"/>
        </w:rPr>
        <w:t>Dully v</w:t>
      </w:r>
      <w:r w:rsidR="00804DC6">
        <w:rPr>
          <w:rFonts w:ascii="Times New Roman" w:hAnsi="Times New Roman"/>
          <w:i/>
          <w:sz w:val="24"/>
        </w:rPr>
        <w:t>.</w:t>
      </w:r>
      <w:r w:rsidR="001307B6" w:rsidRPr="00804DC6">
        <w:rPr>
          <w:rFonts w:ascii="Times New Roman" w:hAnsi="Times New Roman"/>
          <w:i/>
          <w:sz w:val="24"/>
        </w:rPr>
        <w:t xml:space="preserve"> Athlone Stadium Limited </w:t>
      </w:r>
      <w:r w:rsidR="001307B6" w:rsidRPr="00804DC6">
        <w:rPr>
          <w:rFonts w:ascii="Times New Roman" w:hAnsi="Times New Roman"/>
          <w:iCs/>
          <w:sz w:val="24"/>
        </w:rPr>
        <w:t>[2021] IECA 337</w:t>
      </w:r>
      <w:r w:rsidR="001307B6">
        <w:rPr>
          <w:rFonts w:ascii="Times New Roman" w:hAnsi="Times New Roman"/>
          <w:sz w:val="24"/>
        </w:rPr>
        <w:t>, a judgment of the Court, it was held at paras</w:t>
      </w:r>
      <w:r w:rsidR="00804DC6">
        <w:rPr>
          <w:rFonts w:ascii="Times New Roman" w:hAnsi="Times New Roman"/>
          <w:sz w:val="24"/>
        </w:rPr>
        <w:t>.</w:t>
      </w:r>
      <w:r w:rsidR="001307B6">
        <w:rPr>
          <w:rFonts w:ascii="Times New Roman" w:hAnsi="Times New Roman"/>
          <w:sz w:val="24"/>
        </w:rPr>
        <w:t xml:space="preserve"> 124</w:t>
      </w:r>
      <w:r w:rsidR="00347887">
        <w:rPr>
          <w:rFonts w:ascii="Times New Roman" w:hAnsi="Times New Roman"/>
          <w:sz w:val="24"/>
        </w:rPr>
        <w:t xml:space="preserve"> </w:t>
      </w:r>
      <w:r w:rsidR="001307B6">
        <w:rPr>
          <w:rFonts w:ascii="Times New Roman" w:hAnsi="Times New Roman"/>
          <w:sz w:val="24"/>
        </w:rPr>
        <w:t>-</w:t>
      </w:r>
      <w:r w:rsidR="00347887">
        <w:rPr>
          <w:rFonts w:ascii="Times New Roman" w:hAnsi="Times New Roman"/>
          <w:sz w:val="24"/>
        </w:rPr>
        <w:t xml:space="preserve"> </w:t>
      </w:r>
      <w:r w:rsidR="001307B6">
        <w:rPr>
          <w:rFonts w:ascii="Times New Roman" w:hAnsi="Times New Roman"/>
          <w:sz w:val="24"/>
        </w:rPr>
        <w:t>126 as follows:</w:t>
      </w:r>
    </w:p>
    <w:p w14:paraId="47343AE3" w14:textId="32B1E6F8" w:rsidR="001307B6" w:rsidRPr="001A2820" w:rsidRDefault="001307B6" w:rsidP="001A2820">
      <w:pPr>
        <w:pStyle w:val="ListParagraph"/>
        <w:tabs>
          <w:tab w:val="left" w:pos="567"/>
        </w:tabs>
        <w:spacing w:line="480" w:lineRule="auto"/>
        <w:ind w:left="567"/>
        <w:rPr>
          <w:rFonts w:ascii="Times New Roman" w:hAnsi="Times New Roman"/>
          <w:i/>
          <w:iCs/>
          <w:sz w:val="24"/>
        </w:rPr>
      </w:pPr>
      <w:r>
        <w:rPr>
          <w:rFonts w:ascii="Times New Roman" w:hAnsi="Times New Roman"/>
          <w:sz w:val="24"/>
        </w:rPr>
        <w:t>“</w:t>
      </w:r>
      <w:r w:rsidRPr="001A2820">
        <w:rPr>
          <w:rFonts w:ascii="Times New Roman" w:hAnsi="Times New Roman"/>
          <w:i/>
          <w:iCs/>
          <w:sz w:val="24"/>
        </w:rPr>
        <w:t xml:space="preserve">124. Each ground of objection falls to be examined having regard to the fact that a Judge must be given a wide power to exercise discipline over the conduct of proceedings before him or her, to intervene to prevent time wasting and otherwise to take such steps as are necessary to enable the efficient disposition of the proceedings before the Court.  A Judge must not only be free to assert that authority, but as part of that same exercise must be free to express during the proceedings or in his or her </w:t>
      </w:r>
      <w:r w:rsidRPr="001A2820">
        <w:rPr>
          <w:rFonts w:ascii="Times New Roman" w:hAnsi="Times New Roman"/>
          <w:i/>
          <w:iCs/>
          <w:sz w:val="24"/>
        </w:rPr>
        <w:lastRenderedPageBreak/>
        <w:t>judgment criticism of parties, of their counsel, of their solicitors or of their witnesses where this is believed by the Judge to be merited.</w:t>
      </w:r>
    </w:p>
    <w:p w14:paraId="1DD8784D" w14:textId="2D48238B" w:rsidR="001307B6" w:rsidRPr="001A2820" w:rsidRDefault="001307B6" w:rsidP="001A2820">
      <w:pPr>
        <w:pStyle w:val="ListParagraph"/>
        <w:tabs>
          <w:tab w:val="left" w:pos="567"/>
        </w:tabs>
        <w:spacing w:line="480" w:lineRule="auto"/>
        <w:ind w:left="567"/>
        <w:rPr>
          <w:rFonts w:ascii="Times New Roman" w:hAnsi="Times New Roman"/>
          <w:i/>
          <w:iCs/>
          <w:sz w:val="24"/>
        </w:rPr>
      </w:pPr>
      <w:r w:rsidRPr="001A2820">
        <w:rPr>
          <w:rFonts w:ascii="Times New Roman" w:hAnsi="Times New Roman"/>
          <w:i/>
          <w:iCs/>
          <w:sz w:val="24"/>
        </w:rPr>
        <w:t xml:space="preserve">125. Of course (as O’Malley J. has recently explained in addressing comments by a Judge during the course of a trial) unnecessarily trenchant or insulting criticisms should be avoided, the Court must take account of the fact that carelessness with language may lead to unintended affront and upset and ‘judges should avoid using opprobrious words about a party, or his or her professional representatives, </w:t>
      </w:r>
      <w:r w:rsidRPr="001A2820">
        <w:rPr>
          <w:rFonts w:ascii="Times New Roman" w:hAnsi="Times New Roman"/>
          <w:b/>
          <w:bCs/>
          <w:i/>
          <w:iCs/>
          <w:sz w:val="24"/>
        </w:rPr>
        <w:t>unless the situation appears to call for it</w:t>
      </w:r>
      <w:r w:rsidRPr="001A2820">
        <w:rPr>
          <w:rFonts w:ascii="Times New Roman" w:hAnsi="Times New Roman"/>
          <w:i/>
          <w:iCs/>
          <w:sz w:val="24"/>
        </w:rPr>
        <w:t xml:space="preserve">’ (Murphy v. DPP [2021] IESC 75 at para. 68; </w:t>
      </w:r>
      <w:r w:rsidR="001A2820" w:rsidRPr="001A2820">
        <w:rPr>
          <w:rFonts w:ascii="Times New Roman" w:hAnsi="Times New Roman"/>
          <w:i/>
          <w:iCs/>
          <w:sz w:val="24"/>
        </w:rPr>
        <w:t xml:space="preserve">[original </w:t>
      </w:r>
      <w:r w:rsidRPr="001A2820">
        <w:rPr>
          <w:rFonts w:ascii="Times New Roman" w:hAnsi="Times New Roman"/>
          <w:i/>
          <w:iCs/>
          <w:sz w:val="24"/>
        </w:rPr>
        <w:t>emphasis</w:t>
      </w:r>
      <w:r w:rsidR="001A2820" w:rsidRPr="001A2820">
        <w:rPr>
          <w:rFonts w:ascii="Times New Roman" w:hAnsi="Times New Roman"/>
          <w:i/>
          <w:iCs/>
          <w:sz w:val="24"/>
        </w:rPr>
        <w:t>]</w:t>
      </w:r>
      <w:r w:rsidRPr="001A2820">
        <w:rPr>
          <w:rFonts w:ascii="Times New Roman" w:hAnsi="Times New Roman"/>
          <w:i/>
          <w:iCs/>
          <w:sz w:val="24"/>
        </w:rPr>
        <w:t xml:space="preserve">). </w:t>
      </w:r>
    </w:p>
    <w:p w14:paraId="68B18CB4" w14:textId="5F8581FA" w:rsidR="001307B6" w:rsidRPr="001A2820" w:rsidRDefault="001307B6" w:rsidP="001A2820">
      <w:pPr>
        <w:pStyle w:val="ListParagraph"/>
        <w:tabs>
          <w:tab w:val="left" w:pos="567"/>
        </w:tabs>
        <w:spacing w:line="480" w:lineRule="auto"/>
        <w:ind w:left="567"/>
        <w:rPr>
          <w:rFonts w:ascii="Times New Roman" w:hAnsi="Times New Roman"/>
          <w:i/>
          <w:iCs/>
          <w:sz w:val="24"/>
        </w:rPr>
      </w:pPr>
      <w:r w:rsidRPr="001A2820">
        <w:rPr>
          <w:rFonts w:ascii="Times New Roman" w:hAnsi="Times New Roman"/>
          <w:i/>
          <w:iCs/>
          <w:sz w:val="24"/>
        </w:rPr>
        <w:t>126. However (as the highlighted words from the judgment of O’Malley J. and the decision in Seredych both make clear) none of this prevents the delivery of a judgment which expresses, forcefully if believed necessary, the judge’s assessment of the manner in which the case has been conducted before the Court and, it follows, the making of such criticisms – even if found to be overly severe or ultimately unjustified on the facts – will not in themselves constitute a ground on which a judgment is set aside.  To make out a case of the kind suggested by these grounds of appeal, the comments must, whether alone or in conjunction with other features of the judgment or conduct of the hearing, themselves present clear unfairness such as to undermine the findings reached in the judgment, or to demonstrate animus, or be such that a reasonable bystander would reasonably apprehend such bias.  That reasonable bystander must, obviously, be fully</w:t>
      </w:r>
      <w:r w:rsidR="00FC66F9" w:rsidRPr="001A2820">
        <w:rPr>
          <w:rFonts w:ascii="Times New Roman" w:hAnsi="Times New Roman"/>
          <w:i/>
          <w:iCs/>
          <w:sz w:val="24"/>
        </w:rPr>
        <w:t xml:space="preserve"> </w:t>
      </w:r>
      <w:r w:rsidRPr="001A2820">
        <w:rPr>
          <w:rFonts w:ascii="Times New Roman" w:hAnsi="Times New Roman"/>
          <w:i/>
          <w:iCs/>
          <w:sz w:val="24"/>
        </w:rPr>
        <w:t>informed</w:t>
      </w:r>
      <w:r w:rsidR="00B11DC6" w:rsidRPr="001A2820">
        <w:rPr>
          <w:rFonts w:ascii="Times New Roman" w:hAnsi="Times New Roman"/>
          <w:i/>
          <w:iCs/>
          <w:sz w:val="24"/>
        </w:rPr>
        <w:t xml:space="preserve"> </w:t>
      </w:r>
      <w:r w:rsidRPr="001A2820">
        <w:rPr>
          <w:rFonts w:ascii="Times New Roman" w:hAnsi="Times New Roman"/>
          <w:i/>
          <w:iCs/>
          <w:sz w:val="24"/>
        </w:rPr>
        <w:t>and aware of what happened during the trial itself</w:t>
      </w:r>
      <w:r w:rsidR="001A2820" w:rsidRPr="001A2820">
        <w:rPr>
          <w:rFonts w:ascii="Times New Roman" w:hAnsi="Times New Roman"/>
          <w:i/>
          <w:iCs/>
          <w:sz w:val="24"/>
        </w:rPr>
        <w:t>.</w:t>
      </w:r>
      <w:r w:rsidR="001A2820" w:rsidRPr="001A2820">
        <w:rPr>
          <w:rFonts w:ascii="Times New Roman" w:hAnsi="Times New Roman"/>
          <w:sz w:val="24"/>
        </w:rPr>
        <w:t>”</w:t>
      </w:r>
    </w:p>
    <w:p w14:paraId="3219EAB0" w14:textId="45645D0E" w:rsidR="0028537B" w:rsidRPr="004A025F" w:rsidRDefault="00F37E23" w:rsidP="004A025F">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impression formed by the trial judge as to the strategy of the appellants is one gleaned from her extensive involvement in the proceedings and would be almost impossible for this </w:t>
      </w:r>
      <w:r w:rsidR="004A025F">
        <w:rPr>
          <w:rFonts w:ascii="Times New Roman" w:hAnsi="Times New Roman"/>
          <w:sz w:val="24"/>
        </w:rPr>
        <w:t>C</w:t>
      </w:r>
      <w:r>
        <w:rPr>
          <w:rFonts w:ascii="Times New Roman" w:hAnsi="Times New Roman"/>
          <w:sz w:val="24"/>
        </w:rPr>
        <w:t xml:space="preserve">ourt to review, even if it were disposed to do so, without conducting a detailed assessment of all of the proceedings up the date of the judgment under appeal. It is clear </w:t>
      </w:r>
      <w:r>
        <w:rPr>
          <w:rFonts w:ascii="Times New Roman" w:hAnsi="Times New Roman"/>
          <w:sz w:val="24"/>
        </w:rPr>
        <w:lastRenderedPageBreak/>
        <w:t xml:space="preserve">from </w:t>
      </w:r>
      <w:proofErr w:type="spellStart"/>
      <w:r w:rsidRPr="001A2820">
        <w:rPr>
          <w:rFonts w:ascii="Times New Roman" w:hAnsi="Times New Roman"/>
          <w:i/>
          <w:sz w:val="24"/>
        </w:rPr>
        <w:t>Middleview</w:t>
      </w:r>
      <w:proofErr w:type="spellEnd"/>
      <w:r>
        <w:rPr>
          <w:rFonts w:ascii="Times New Roman" w:hAnsi="Times New Roman"/>
          <w:i/>
          <w:sz w:val="24"/>
        </w:rPr>
        <w:t xml:space="preserve"> </w:t>
      </w:r>
      <w:r>
        <w:rPr>
          <w:rFonts w:ascii="Times New Roman" w:hAnsi="Times New Roman"/>
          <w:sz w:val="24"/>
        </w:rPr>
        <w:t xml:space="preserve">and more recently the decision of this </w:t>
      </w:r>
      <w:r w:rsidR="004A025F">
        <w:rPr>
          <w:rFonts w:ascii="Times New Roman" w:hAnsi="Times New Roman"/>
          <w:sz w:val="24"/>
        </w:rPr>
        <w:t>C</w:t>
      </w:r>
      <w:r>
        <w:rPr>
          <w:rFonts w:ascii="Times New Roman" w:hAnsi="Times New Roman"/>
          <w:sz w:val="24"/>
        </w:rPr>
        <w:t xml:space="preserve">ourt in </w:t>
      </w:r>
      <w:r w:rsidRPr="001A2820">
        <w:rPr>
          <w:rFonts w:ascii="Times New Roman" w:hAnsi="Times New Roman"/>
          <w:i/>
          <w:sz w:val="24"/>
        </w:rPr>
        <w:t>Dully</w:t>
      </w:r>
      <w:r>
        <w:rPr>
          <w:rFonts w:ascii="Times New Roman" w:hAnsi="Times New Roman"/>
          <w:i/>
          <w:sz w:val="24"/>
        </w:rPr>
        <w:t xml:space="preserve"> </w:t>
      </w:r>
      <w:r w:rsidR="00D40117">
        <w:rPr>
          <w:rFonts w:ascii="Times New Roman" w:hAnsi="Times New Roman"/>
          <w:sz w:val="24"/>
        </w:rPr>
        <w:t>that trial judges are entitled to express their views about the manner in which litigation has been conducted in their judgments and that they enjoy a wide margin of appreciation in doing so. In this case, the comments made by the trial judge fall well short of providing any basis for intervention by this Court, not least having regard to the contents of para</w:t>
      </w:r>
      <w:r w:rsidR="004A025F">
        <w:rPr>
          <w:rFonts w:ascii="Times New Roman" w:hAnsi="Times New Roman"/>
          <w:sz w:val="24"/>
        </w:rPr>
        <w:t>.</w:t>
      </w:r>
      <w:r w:rsidR="00D40117">
        <w:rPr>
          <w:rFonts w:ascii="Times New Roman" w:hAnsi="Times New Roman"/>
          <w:sz w:val="24"/>
        </w:rPr>
        <w:t xml:space="preserve"> 26 of her judgment, about which no complaint has been made.</w:t>
      </w:r>
      <w:r w:rsidR="00B11DC6">
        <w:rPr>
          <w:rFonts w:ascii="Times New Roman" w:hAnsi="Times New Roman"/>
          <w:sz w:val="24"/>
        </w:rPr>
        <w:t xml:space="preserve"> Accordingly, I reject this ground of appeal also.</w:t>
      </w:r>
    </w:p>
    <w:p w14:paraId="37BA7DCD" w14:textId="4ABF8C63" w:rsidR="007410B0" w:rsidRPr="004738CE" w:rsidRDefault="007410B0" w:rsidP="0058287A">
      <w:pPr>
        <w:tabs>
          <w:tab w:val="left" w:pos="567"/>
        </w:tabs>
        <w:spacing w:line="480" w:lineRule="auto"/>
        <w:jc w:val="both"/>
        <w:rPr>
          <w:b/>
          <w:u w:val="single"/>
        </w:rPr>
      </w:pPr>
      <w:r w:rsidRPr="004738CE">
        <w:rPr>
          <w:b/>
          <w:u w:val="single"/>
        </w:rPr>
        <w:t xml:space="preserve">Summary of </w:t>
      </w:r>
      <w:r w:rsidR="00696133">
        <w:rPr>
          <w:b/>
          <w:u w:val="single"/>
        </w:rPr>
        <w:t>c</w:t>
      </w:r>
      <w:r w:rsidRPr="004738CE">
        <w:rPr>
          <w:b/>
          <w:u w:val="single"/>
        </w:rPr>
        <w:t>oncl</w:t>
      </w:r>
      <w:r w:rsidR="0086609B" w:rsidRPr="004738CE">
        <w:rPr>
          <w:b/>
          <w:u w:val="single"/>
        </w:rPr>
        <w:t>usions</w:t>
      </w:r>
    </w:p>
    <w:p w14:paraId="1850F50B" w14:textId="3D05BA18" w:rsidR="0086609B" w:rsidRPr="00DA49EC" w:rsidRDefault="006D4840"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Notwithstanding the inspection carried out by the respondents at the Roadstone quarries in September 2019, in circumstances where the order of the High Court of 11</w:t>
      </w:r>
      <w:r w:rsidR="00882727" w:rsidRPr="006346BA">
        <w:rPr>
          <w:rFonts w:ascii="Times New Roman" w:hAnsi="Times New Roman"/>
          <w:sz w:val="24"/>
          <w:vertAlign w:val="superscript"/>
        </w:rPr>
        <w:t>th</w:t>
      </w:r>
      <w:r w:rsidRPr="00DA49EC">
        <w:rPr>
          <w:rFonts w:ascii="Times New Roman" w:hAnsi="Times New Roman"/>
          <w:sz w:val="24"/>
        </w:rPr>
        <w:t xml:space="preserve"> April 2019 remains extant and has not been complied with by Roadstone</w:t>
      </w:r>
      <w:r w:rsidR="00882727" w:rsidRPr="00DA49EC">
        <w:rPr>
          <w:rFonts w:ascii="Times New Roman" w:hAnsi="Times New Roman"/>
          <w:sz w:val="24"/>
        </w:rPr>
        <w:t>,</w:t>
      </w:r>
      <w:r w:rsidRPr="00DA49EC">
        <w:rPr>
          <w:rFonts w:ascii="Times New Roman" w:hAnsi="Times New Roman"/>
          <w:sz w:val="24"/>
        </w:rPr>
        <w:t xml:space="preserve"> the order is capable of affecting the rights of the parties in the proceedings, and in such circumstances the appeal cannot be considered moot.</w:t>
      </w:r>
    </w:p>
    <w:p w14:paraId="24C72A9F" w14:textId="5C96939A" w:rsidR="00882727" w:rsidRPr="00DA49EC" w:rsidRDefault="00882727"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Order 50, r</w:t>
      </w:r>
      <w:r w:rsidR="006346BA">
        <w:rPr>
          <w:rFonts w:ascii="Times New Roman" w:hAnsi="Times New Roman"/>
          <w:sz w:val="24"/>
        </w:rPr>
        <w:t>.</w:t>
      </w:r>
      <w:r w:rsidRPr="00DA49EC">
        <w:rPr>
          <w:rFonts w:ascii="Times New Roman" w:hAnsi="Times New Roman"/>
          <w:sz w:val="24"/>
        </w:rPr>
        <w:t xml:space="preserve"> 4 </w:t>
      </w:r>
      <w:r w:rsidR="006346BA">
        <w:rPr>
          <w:rFonts w:ascii="Times New Roman" w:hAnsi="Times New Roman"/>
          <w:sz w:val="24"/>
        </w:rPr>
        <w:t>RSC</w:t>
      </w:r>
      <w:r w:rsidRPr="00DA49EC">
        <w:rPr>
          <w:rFonts w:ascii="Times New Roman" w:hAnsi="Times New Roman"/>
          <w:sz w:val="24"/>
        </w:rPr>
        <w:t xml:space="preserve"> is broad enough to confer jurisdiction of the High Court to make such ancillary orders as are reasonably necessary and expedient to give effect to an order for inspection made pursuant to </w:t>
      </w:r>
      <w:r w:rsidR="006346BA">
        <w:rPr>
          <w:rFonts w:ascii="Times New Roman" w:hAnsi="Times New Roman"/>
          <w:sz w:val="24"/>
        </w:rPr>
        <w:t>O.</w:t>
      </w:r>
      <w:r w:rsidRPr="00DA49EC">
        <w:rPr>
          <w:rFonts w:ascii="Times New Roman" w:hAnsi="Times New Roman"/>
          <w:sz w:val="24"/>
        </w:rPr>
        <w:t xml:space="preserve"> 50, r</w:t>
      </w:r>
      <w:r w:rsidR="006346BA">
        <w:rPr>
          <w:rFonts w:ascii="Times New Roman" w:hAnsi="Times New Roman"/>
          <w:sz w:val="24"/>
        </w:rPr>
        <w:t>.</w:t>
      </w:r>
      <w:r w:rsidRPr="00DA49EC">
        <w:rPr>
          <w:rFonts w:ascii="Times New Roman" w:hAnsi="Times New Roman"/>
          <w:sz w:val="24"/>
        </w:rPr>
        <w:t xml:space="preserve"> </w:t>
      </w:r>
      <w:r w:rsidR="0010260F" w:rsidRPr="00DA49EC">
        <w:rPr>
          <w:rFonts w:ascii="Times New Roman" w:hAnsi="Times New Roman"/>
          <w:sz w:val="24"/>
        </w:rPr>
        <w:t>4</w:t>
      </w:r>
      <w:r w:rsidRPr="00DA49EC">
        <w:rPr>
          <w:rFonts w:ascii="Times New Roman" w:hAnsi="Times New Roman"/>
          <w:sz w:val="24"/>
        </w:rPr>
        <w:t>, subject to the constraints set out in para. 6</w:t>
      </w:r>
      <w:r w:rsidR="00921330">
        <w:rPr>
          <w:rFonts w:ascii="Times New Roman" w:hAnsi="Times New Roman"/>
          <w:sz w:val="24"/>
        </w:rPr>
        <w:t>8</w:t>
      </w:r>
      <w:r w:rsidRPr="00DA49EC">
        <w:rPr>
          <w:rFonts w:ascii="Times New Roman" w:hAnsi="Times New Roman"/>
          <w:sz w:val="24"/>
        </w:rPr>
        <w:t xml:space="preserve"> above.</w:t>
      </w:r>
    </w:p>
    <w:p w14:paraId="2B1ECE78" w14:textId="5D10C951" w:rsidR="00882727" w:rsidRPr="00DA49EC" w:rsidRDefault="00882727"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 xml:space="preserve">The order made by the trial </w:t>
      </w:r>
      <w:r w:rsidR="006346BA">
        <w:rPr>
          <w:rFonts w:ascii="Times New Roman" w:hAnsi="Times New Roman"/>
          <w:sz w:val="24"/>
        </w:rPr>
        <w:t>j</w:t>
      </w:r>
      <w:r w:rsidRPr="00DA49EC">
        <w:rPr>
          <w:rFonts w:ascii="Times New Roman" w:hAnsi="Times New Roman"/>
          <w:sz w:val="24"/>
        </w:rPr>
        <w:t>udge in this case</w:t>
      </w:r>
      <w:r w:rsidR="0010260F" w:rsidRPr="00DA49EC">
        <w:rPr>
          <w:rFonts w:ascii="Times New Roman" w:hAnsi="Times New Roman"/>
          <w:sz w:val="24"/>
        </w:rPr>
        <w:t xml:space="preserve"> was necessary and expedient in order to give effect to the order for inspection. Contrary to the arguments made by the appellants, it was not made in breach of fair procedures and did not have the effect of reversing the burden of proof in the proceedings.</w:t>
      </w:r>
      <w:r w:rsidRPr="00DA49EC">
        <w:rPr>
          <w:rFonts w:ascii="Times New Roman" w:hAnsi="Times New Roman"/>
          <w:sz w:val="24"/>
        </w:rPr>
        <w:t xml:space="preserve"> </w:t>
      </w:r>
    </w:p>
    <w:p w14:paraId="3719300A" w14:textId="06D824E4" w:rsidR="0010260F" w:rsidRPr="00DA49EC" w:rsidRDefault="0010260F"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Having regard to the submissions made on behalf of the respondent</w:t>
      </w:r>
      <w:r w:rsidR="003A22E3">
        <w:rPr>
          <w:rFonts w:ascii="Times New Roman" w:hAnsi="Times New Roman"/>
          <w:sz w:val="24"/>
        </w:rPr>
        <w:t>s</w:t>
      </w:r>
      <w:r w:rsidRPr="00DA49EC">
        <w:rPr>
          <w:rFonts w:ascii="Times New Roman" w:hAnsi="Times New Roman"/>
          <w:sz w:val="24"/>
        </w:rPr>
        <w:t xml:space="preserve"> that the respondents will not be seeking any further inspections of the Roadstone quarries, it is appropriate that the stay placed upon the order of the High Court, by this </w:t>
      </w:r>
      <w:r w:rsidR="006346BA">
        <w:rPr>
          <w:rFonts w:ascii="Times New Roman" w:hAnsi="Times New Roman"/>
          <w:sz w:val="24"/>
        </w:rPr>
        <w:t>C</w:t>
      </w:r>
      <w:r w:rsidRPr="00DA49EC">
        <w:rPr>
          <w:rFonts w:ascii="Times New Roman" w:hAnsi="Times New Roman"/>
          <w:sz w:val="24"/>
        </w:rPr>
        <w:t xml:space="preserve">ourt, in </w:t>
      </w:r>
      <w:r w:rsidR="006346BA">
        <w:rPr>
          <w:rFonts w:ascii="Times New Roman" w:hAnsi="Times New Roman"/>
          <w:sz w:val="24"/>
        </w:rPr>
        <w:t>May</w:t>
      </w:r>
      <w:r w:rsidRPr="00DA49EC">
        <w:rPr>
          <w:rFonts w:ascii="Times New Roman" w:hAnsi="Times New Roman"/>
          <w:sz w:val="24"/>
        </w:rPr>
        <w:t xml:space="preserve"> 2019 should be continued indefinitely, pending further orders (if any).</w:t>
      </w:r>
    </w:p>
    <w:p w14:paraId="395CA207" w14:textId="21833326" w:rsidR="0010260F" w:rsidRPr="00DA49EC" w:rsidRDefault="0010260F"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The comments made by the trial judge at para</w:t>
      </w:r>
      <w:r w:rsidR="00461A7F">
        <w:rPr>
          <w:rFonts w:ascii="Times New Roman" w:hAnsi="Times New Roman"/>
          <w:sz w:val="24"/>
        </w:rPr>
        <w:t>.</w:t>
      </w:r>
      <w:r w:rsidRPr="00DA49EC">
        <w:rPr>
          <w:rFonts w:ascii="Times New Roman" w:hAnsi="Times New Roman"/>
          <w:sz w:val="24"/>
        </w:rPr>
        <w:t xml:space="preserve"> 25 of her judgment do not constitute findings that are capable of being set aside.</w:t>
      </w:r>
    </w:p>
    <w:p w14:paraId="2ACDEEFD" w14:textId="2D38EF56" w:rsidR="00F83308" w:rsidRPr="00DA49EC" w:rsidRDefault="0010260F"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lastRenderedPageBreak/>
        <w:t>The appeal is dismissed</w:t>
      </w:r>
      <w:r w:rsidR="00F83308" w:rsidRPr="00DA49EC">
        <w:rPr>
          <w:rFonts w:ascii="Times New Roman" w:hAnsi="Times New Roman"/>
          <w:sz w:val="24"/>
        </w:rPr>
        <w:t xml:space="preserve"> and the order of the High Court of 11</w:t>
      </w:r>
      <w:r w:rsidR="00461A7F" w:rsidRPr="00461A7F">
        <w:rPr>
          <w:rFonts w:ascii="Times New Roman" w:hAnsi="Times New Roman"/>
          <w:sz w:val="24"/>
          <w:vertAlign w:val="superscript"/>
        </w:rPr>
        <w:t>th</w:t>
      </w:r>
      <w:r w:rsidR="00F83308" w:rsidRPr="00DA49EC">
        <w:rPr>
          <w:rFonts w:ascii="Times New Roman" w:hAnsi="Times New Roman"/>
          <w:sz w:val="24"/>
        </w:rPr>
        <w:t xml:space="preserve"> April 2019 is affirmed. I will set out now my provisional views as to costs, which is that since the respondents have been wholly successful in this appeal, the appellants should pay the costs of the respondents, to be adjudicated in default of agreement.  If the appellants wish to contend that a different order as to costs should be made, they may, within fourteen days of the delivery of this judgment, contact the </w:t>
      </w:r>
      <w:r w:rsidR="00461A7F">
        <w:rPr>
          <w:rFonts w:ascii="Times New Roman" w:hAnsi="Times New Roman"/>
          <w:sz w:val="24"/>
        </w:rPr>
        <w:t>O</w:t>
      </w:r>
      <w:r w:rsidR="00F83308" w:rsidRPr="00DA49EC">
        <w:rPr>
          <w:rFonts w:ascii="Times New Roman" w:hAnsi="Times New Roman"/>
          <w:sz w:val="24"/>
        </w:rPr>
        <w:t xml:space="preserve">ffice of the Court of the Appeal and request a short oral hearing at which submissions will be made by the parties in relation to the appropriate order for costs.  The appellants should note that in the event that they are unsuccessful in altering the provisional order for costs which I have indicated, then they may be required to pay the costs of the additional hearing. </w:t>
      </w:r>
    </w:p>
    <w:p w14:paraId="2AE9C648" w14:textId="1C3D23C2" w:rsidR="004944DF" w:rsidRPr="00DA49EC" w:rsidRDefault="00F83308" w:rsidP="0058287A">
      <w:pPr>
        <w:pStyle w:val="ListParagraph"/>
        <w:numPr>
          <w:ilvl w:val="0"/>
          <w:numId w:val="1"/>
        </w:numPr>
        <w:tabs>
          <w:tab w:val="left" w:pos="567"/>
        </w:tabs>
        <w:spacing w:line="480" w:lineRule="auto"/>
        <w:ind w:left="0" w:firstLine="0"/>
        <w:rPr>
          <w:rFonts w:ascii="Times New Roman" w:hAnsi="Times New Roman"/>
          <w:sz w:val="24"/>
        </w:rPr>
      </w:pPr>
      <w:r w:rsidRPr="00DA49EC">
        <w:rPr>
          <w:rFonts w:ascii="Times New Roman" w:hAnsi="Times New Roman"/>
          <w:sz w:val="24"/>
        </w:rPr>
        <w:t xml:space="preserve">Faherty and Collins </w:t>
      </w:r>
      <w:r w:rsidR="00DA49EC">
        <w:rPr>
          <w:rFonts w:ascii="Times New Roman" w:hAnsi="Times New Roman"/>
          <w:sz w:val="24"/>
        </w:rPr>
        <w:t>J</w:t>
      </w:r>
      <w:r w:rsidRPr="00DA49EC">
        <w:rPr>
          <w:rFonts w:ascii="Times New Roman" w:hAnsi="Times New Roman"/>
          <w:sz w:val="24"/>
        </w:rPr>
        <w:t xml:space="preserve">J. have expressed their agreement with this judgment. </w:t>
      </w:r>
    </w:p>
    <w:sectPr w:rsidR="004944DF" w:rsidRPr="00DA49EC"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7022" w14:textId="77777777" w:rsidR="00E06A42" w:rsidRDefault="00E06A42">
      <w:r>
        <w:separator/>
      </w:r>
    </w:p>
  </w:endnote>
  <w:endnote w:type="continuationSeparator" w:id="0">
    <w:p w14:paraId="1AF28B3C" w14:textId="77777777" w:rsidR="00E06A42" w:rsidRDefault="00E0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D491" w14:textId="77777777" w:rsidR="00E06A42" w:rsidRDefault="00E06A42">
      <w:r>
        <w:separator/>
      </w:r>
    </w:p>
  </w:footnote>
  <w:footnote w:type="continuationSeparator" w:id="0">
    <w:p w14:paraId="4756C112" w14:textId="77777777" w:rsidR="00E06A42" w:rsidRDefault="00E06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1E17" w14:textId="77777777" w:rsidR="008F4B0D" w:rsidRDefault="008F4B0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2343A37" w14:textId="77777777" w:rsidR="008F4B0D" w:rsidRDefault="008F4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2270" w14:textId="229031DF" w:rsidR="008F4B0D" w:rsidRDefault="008F4B0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- 54 -</w:t>
    </w:r>
    <w:r>
      <w:rPr>
        <w:rStyle w:val="PageNumber"/>
      </w:rPr>
      <w:fldChar w:fldCharType="end"/>
    </w:r>
  </w:p>
  <w:p w14:paraId="4084E347" w14:textId="77777777" w:rsidR="008F4B0D" w:rsidRDefault="008F4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18B8" w14:textId="77777777" w:rsidR="008F4B0D" w:rsidRDefault="008F4B0D">
    <w:pPr>
      <w:pStyle w:val="Header"/>
      <w:jc w:val="center"/>
    </w:pPr>
    <w:r w:rsidRPr="00BB5679">
      <w:rPr>
        <w:noProof/>
      </w:rPr>
      <w:drawing>
        <wp:inline distT="0" distB="0" distL="0" distR="0" wp14:anchorId="5E10CE83" wp14:editId="45CF6D61">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50BB"/>
    <w:multiLevelType w:val="hybridMultilevel"/>
    <w:tmpl w:val="AA1A2166"/>
    <w:lvl w:ilvl="0" w:tplc="F992FB6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1F622AF2"/>
    <w:multiLevelType w:val="hybridMultilevel"/>
    <w:tmpl w:val="D7EE3C68"/>
    <w:lvl w:ilvl="0" w:tplc="92E6F69A">
      <w:start w:val="1"/>
      <w:numFmt w:val="decimal"/>
      <w:lvlText w:val="%1."/>
      <w:lvlJc w:val="left"/>
      <w:pPr>
        <w:ind w:left="644"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AF0F03"/>
    <w:multiLevelType w:val="hybridMultilevel"/>
    <w:tmpl w:val="6BC25CA6"/>
    <w:lvl w:ilvl="0" w:tplc="92E6F69A">
      <w:start w:val="1"/>
      <w:numFmt w:val="decimal"/>
      <w:lvlText w:val="%1."/>
      <w:lvlJc w:val="left"/>
      <w:pPr>
        <w:ind w:left="644"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9314BE"/>
    <w:multiLevelType w:val="hybridMultilevel"/>
    <w:tmpl w:val="CC8EE760"/>
    <w:lvl w:ilvl="0" w:tplc="F992FB6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15:restartNumberingAfterBreak="0">
    <w:nsid w:val="30335CA1"/>
    <w:multiLevelType w:val="hybridMultilevel"/>
    <w:tmpl w:val="8E88730A"/>
    <w:lvl w:ilvl="0" w:tplc="F992FB6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3"/>
  </w:num>
  <w:num w:numId="3">
    <w:abstractNumId w:val="0"/>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593EAE"/>
    <w:rsid w:val="0000171A"/>
    <w:rsid w:val="000068AE"/>
    <w:rsid w:val="000068FA"/>
    <w:rsid w:val="00010211"/>
    <w:rsid w:val="000159C0"/>
    <w:rsid w:val="00015A2F"/>
    <w:rsid w:val="0001764F"/>
    <w:rsid w:val="00023E5C"/>
    <w:rsid w:val="00025246"/>
    <w:rsid w:val="000261C7"/>
    <w:rsid w:val="00033089"/>
    <w:rsid w:val="00035976"/>
    <w:rsid w:val="00035C62"/>
    <w:rsid w:val="0003601B"/>
    <w:rsid w:val="00037939"/>
    <w:rsid w:val="0004086D"/>
    <w:rsid w:val="0004395A"/>
    <w:rsid w:val="00045016"/>
    <w:rsid w:val="000466F7"/>
    <w:rsid w:val="00047808"/>
    <w:rsid w:val="000516D1"/>
    <w:rsid w:val="00072F89"/>
    <w:rsid w:val="00073E1E"/>
    <w:rsid w:val="00077701"/>
    <w:rsid w:val="000777ED"/>
    <w:rsid w:val="00081285"/>
    <w:rsid w:val="00082C13"/>
    <w:rsid w:val="000865DE"/>
    <w:rsid w:val="000873B2"/>
    <w:rsid w:val="000900A6"/>
    <w:rsid w:val="00091A06"/>
    <w:rsid w:val="00093996"/>
    <w:rsid w:val="000A3514"/>
    <w:rsid w:val="000A71B1"/>
    <w:rsid w:val="000B2DC3"/>
    <w:rsid w:val="000B4CD3"/>
    <w:rsid w:val="000B5284"/>
    <w:rsid w:val="000B5A83"/>
    <w:rsid w:val="000B66DD"/>
    <w:rsid w:val="000B6DC0"/>
    <w:rsid w:val="000C0043"/>
    <w:rsid w:val="000C3F41"/>
    <w:rsid w:val="000C758F"/>
    <w:rsid w:val="000D5B05"/>
    <w:rsid w:val="000D5B29"/>
    <w:rsid w:val="000D5C5B"/>
    <w:rsid w:val="000D7C3B"/>
    <w:rsid w:val="000F1347"/>
    <w:rsid w:val="000F34BD"/>
    <w:rsid w:val="0010260F"/>
    <w:rsid w:val="0010295F"/>
    <w:rsid w:val="00103172"/>
    <w:rsid w:val="00104B4D"/>
    <w:rsid w:val="001063B7"/>
    <w:rsid w:val="001109C8"/>
    <w:rsid w:val="0011414E"/>
    <w:rsid w:val="00117016"/>
    <w:rsid w:val="00121251"/>
    <w:rsid w:val="00121C4A"/>
    <w:rsid w:val="00122928"/>
    <w:rsid w:val="00124C0A"/>
    <w:rsid w:val="00126862"/>
    <w:rsid w:val="001307B6"/>
    <w:rsid w:val="00130CD8"/>
    <w:rsid w:val="00131D43"/>
    <w:rsid w:val="00133415"/>
    <w:rsid w:val="00133998"/>
    <w:rsid w:val="00133E9A"/>
    <w:rsid w:val="00140174"/>
    <w:rsid w:val="001420F9"/>
    <w:rsid w:val="0014728D"/>
    <w:rsid w:val="001535AA"/>
    <w:rsid w:val="001535E6"/>
    <w:rsid w:val="00153E0F"/>
    <w:rsid w:val="00156934"/>
    <w:rsid w:val="00160B83"/>
    <w:rsid w:val="00161370"/>
    <w:rsid w:val="00161FEC"/>
    <w:rsid w:val="001642FC"/>
    <w:rsid w:val="00166331"/>
    <w:rsid w:val="00166DDD"/>
    <w:rsid w:val="00166F9B"/>
    <w:rsid w:val="00167800"/>
    <w:rsid w:val="001716D2"/>
    <w:rsid w:val="001716F3"/>
    <w:rsid w:val="00173A03"/>
    <w:rsid w:val="00174C0C"/>
    <w:rsid w:val="001756F7"/>
    <w:rsid w:val="001817B8"/>
    <w:rsid w:val="00183295"/>
    <w:rsid w:val="00187263"/>
    <w:rsid w:val="0019249B"/>
    <w:rsid w:val="00194E14"/>
    <w:rsid w:val="00195897"/>
    <w:rsid w:val="00197B3E"/>
    <w:rsid w:val="001A1FA5"/>
    <w:rsid w:val="001A27B5"/>
    <w:rsid w:val="001A2820"/>
    <w:rsid w:val="001A3668"/>
    <w:rsid w:val="001A396E"/>
    <w:rsid w:val="001A7EF5"/>
    <w:rsid w:val="001B571D"/>
    <w:rsid w:val="001C10D0"/>
    <w:rsid w:val="001C214C"/>
    <w:rsid w:val="001C2A6B"/>
    <w:rsid w:val="001C2BA0"/>
    <w:rsid w:val="001C6747"/>
    <w:rsid w:val="001D17D7"/>
    <w:rsid w:val="001D3495"/>
    <w:rsid w:val="001E0518"/>
    <w:rsid w:val="001E25D8"/>
    <w:rsid w:val="001E2850"/>
    <w:rsid w:val="001E4AAF"/>
    <w:rsid w:val="001E5C28"/>
    <w:rsid w:val="001E6EE7"/>
    <w:rsid w:val="001F0338"/>
    <w:rsid w:val="001F3B55"/>
    <w:rsid w:val="001F46E0"/>
    <w:rsid w:val="001F758C"/>
    <w:rsid w:val="00202519"/>
    <w:rsid w:val="00202BC6"/>
    <w:rsid w:val="002036A1"/>
    <w:rsid w:val="00205E2C"/>
    <w:rsid w:val="002102B2"/>
    <w:rsid w:val="0021155D"/>
    <w:rsid w:val="002132B1"/>
    <w:rsid w:val="00223502"/>
    <w:rsid w:val="002251D2"/>
    <w:rsid w:val="00225B48"/>
    <w:rsid w:val="00227F21"/>
    <w:rsid w:val="002506DD"/>
    <w:rsid w:val="002549C7"/>
    <w:rsid w:val="00261352"/>
    <w:rsid w:val="00262E0F"/>
    <w:rsid w:val="00263940"/>
    <w:rsid w:val="0026400B"/>
    <w:rsid w:val="00270217"/>
    <w:rsid w:val="002718FD"/>
    <w:rsid w:val="0027399F"/>
    <w:rsid w:val="002741D4"/>
    <w:rsid w:val="00274792"/>
    <w:rsid w:val="002778B8"/>
    <w:rsid w:val="00280274"/>
    <w:rsid w:val="00283BB5"/>
    <w:rsid w:val="0028537B"/>
    <w:rsid w:val="002857A9"/>
    <w:rsid w:val="00286777"/>
    <w:rsid w:val="00287BF6"/>
    <w:rsid w:val="002902FE"/>
    <w:rsid w:val="00292A5F"/>
    <w:rsid w:val="00292D09"/>
    <w:rsid w:val="002958E4"/>
    <w:rsid w:val="002963AB"/>
    <w:rsid w:val="00296918"/>
    <w:rsid w:val="00297267"/>
    <w:rsid w:val="002A2CBC"/>
    <w:rsid w:val="002A65AB"/>
    <w:rsid w:val="002A6D29"/>
    <w:rsid w:val="002B0E05"/>
    <w:rsid w:val="002B4A11"/>
    <w:rsid w:val="002B4E63"/>
    <w:rsid w:val="002B66A7"/>
    <w:rsid w:val="002B71DE"/>
    <w:rsid w:val="002B7EC0"/>
    <w:rsid w:val="002C14B8"/>
    <w:rsid w:val="002C15AF"/>
    <w:rsid w:val="002C1FA7"/>
    <w:rsid w:val="002C517A"/>
    <w:rsid w:val="002C727D"/>
    <w:rsid w:val="002D0691"/>
    <w:rsid w:val="002D270B"/>
    <w:rsid w:val="002D548D"/>
    <w:rsid w:val="002D5653"/>
    <w:rsid w:val="002D5E00"/>
    <w:rsid w:val="002D7B18"/>
    <w:rsid w:val="002E1D5E"/>
    <w:rsid w:val="002E32FF"/>
    <w:rsid w:val="002E3B3A"/>
    <w:rsid w:val="002E54EE"/>
    <w:rsid w:val="002E76E7"/>
    <w:rsid w:val="002E7DF6"/>
    <w:rsid w:val="002F5F12"/>
    <w:rsid w:val="002F6A7A"/>
    <w:rsid w:val="002F7B0F"/>
    <w:rsid w:val="0030075A"/>
    <w:rsid w:val="003024C2"/>
    <w:rsid w:val="00304792"/>
    <w:rsid w:val="00305348"/>
    <w:rsid w:val="00305F91"/>
    <w:rsid w:val="00306FF5"/>
    <w:rsid w:val="003073BF"/>
    <w:rsid w:val="00310020"/>
    <w:rsid w:val="0031159C"/>
    <w:rsid w:val="003119D1"/>
    <w:rsid w:val="003150EF"/>
    <w:rsid w:val="0031585F"/>
    <w:rsid w:val="00316D7D"/>
    <w:rsid w:val="00321226"/>
    <w:rsid w:val="003220D9"/>
    <w:rsid w:val="00322185"/>
    <w:rsid w:val="003239CE"/>
    <w:rsid w:val="00323EF3"/>
    <w:rsid w:val="003261F8"/>
    <w:rsid w:val="00327D1A"/>
    <w:rsid w:val="00333728"/>
    <w:rsid w:val="003337A7"/>
    <w:rsid w:val="00333ED3"/>
    <w:rsid w:val="00337AD3"/>
    <w:rsid w:val="003413BA"/>
    <w:rsid w:val="00342AD9"/>
    <w:rsid w:val="00343076"/>
    <w:rsid w:val="0034468E"/>
    <w:rsid w:val="00345294"/>
    <w:rsid w:val="00345D47"/>
    <w:rsid w:val="00347175"/>
    <w:rsid w:val="00347887"/>
    <w:rsid w:val="00352FB2"/>
    <w:rsid w:val="00355FCB"/>
    <w:rsid w:val="00357BDF"/>
    <w:rsid w:val="003607BE"/>
    <w:rsid w:val="003612EE"/>
    <w:rsid w:val="003617DB"/>
    <w:rsid w:val="003626C3"/>
    <w:rsid w:val="00365B1B"/>
    <w:rsid w:val="00372012"/>
    <w:rsid w:val="003736A4"/>
    <w:rsid w:val="00377322"/>
    <w:rsid w:val="00380ACF"/>
    <w:rsid w:val="00383288"/>
    <w:rsid w:val="00385D45"/>
    <w:rsid w:val="00387C88"/>
    <w:rsid w:val="0039542D"/>
    <w:rsid w:val="00395770"/>
    <w:rsid w:val="003976F6"/>
    <w:rsid w:val="003A22E3"/>
    <w:rsid w:val="003A277F"/>
    <w:rsid w:val="003A29E2"/>
    <w:rsid w:val="003A682B"/>
    <w:rsid w:val="003B19C8"/>
    <w:rsid w:val="003C09FF"/>
    <w:rsid w:val="003C5A10"/>
    <w:rsid w:val="003C60B3"/>
    <w:rsid w:val="003C6E55"/>
    <w:rsid w:val="003D15FC"/>
    <w:rsid w:val="003D4AED"/>
    <w:rsid w:val="003D53F8"/>
    <w:rsid w:val="003D556E"/>
    <w:rsid w:val="003D7E86"/>
    <w:rsid w:val="003E1A12"/>
    <w:rsid w:val="003E4585"/>
    <w:rsid w:val="003E57A7"/>
    <w:rsid w:val="003E7674"/>
    <w:rsid w:val="003F4936"/>
    <w:rsid w:val="004045F9"/>
    <w:rsid w:val="00404E9C"/>
    <w:rsid w:val="004155C0"/>
    <w:rsid w:val="00415F71"/>
    <w:rsid w:val="00416247"/>
    <w:rsid w:val="0041748E"/>
    <w:rsid w:val="00423328"/>
    <w:rsid w:val="004241C1"/>
    <w:rsid w:val="00424C6E"/>
    <w:rsid w:val="0042702A"/>
    <w:rsid w:val="004320A0"/>
    <w:rsid w:val="004355A8"/>
    <w:rsid w:val="00441960"/>
    <w:rsid w:val="004422C0"/>
    <w:rsid w:val="004437D5"/>
    <w:rsid w:val="004513BC"/>
    <w:rsid w:val="00452FA7"/>
    <w:rsid w:val="00453E82"/>
    <w:rsid w:val="00453EED"/>
    <w:rsid w:val="0045613D"/>
    <w:rsid w:val="00457B07"/>
    <w:rsid w:val="00457EB5"/>
    <w:rsid w:val="00460821"/>
    <w:rsid w:val="00461A7F"/>
    <w:rsid w:val="00465836"/>
    <w:rsid w:val="004664AC"/>
    <w:rsid w:val="00472481"/>
    <w:rsid w:val="004738CE"/>
    <w:rsid w:val="0047458D"/>
    <w:rsid w:val="00476D6A"/>
    <w:rsid w:val="00480772"/>
    <w:rsid w:val="00487E13"/>
    <w:rsid w:val="00493D19"/>
    <w:rsid w:val="004944DF"/>
    <w:rsid w:val="00494A09"/>
    <w:rsid w:val="004952BB"/>
    <w:rsid w:val="0049604F"/>
    <w:rsid w:val="004968CA"/>
    <w:rsid w:val="004A025F"/>
    <w:rsid w:val="004A3529"/>
    <w:rsid w:val="004A5C7F"/>
    <w:rsid w:val="004A68C1"/>
    <w:rsid w:val="004B6A19"/>
    <w:rsid w:val="004C2917"/>
    <w:rsid w:val="004C5748"/>
    <w:rsid w:val="004C6EB4"/>
    <w:rsid w:val="004C77C9"/>
    <w:rsid w:val="004C7B30"/>
    <w:rsid w:val="004D008F"/>
    <w:rsid w:val="004D2C7B"/>
    <w:rsid w:val="004D3FA4"/>
    <w:rsid w:val="004E03FF"/>
    <w:rsid w:val="004E37C4"/>
    <w:rsid w:val="004E650E"/>
    <w:rsid w:val="004E6F57"/>
    <w:rsid w:val="004F0C48"/>
    <w:rsid w:val="004F0E7B"/>
    <w:rsid w:val="004F29E4"/>
    <w:rsid w:val="004F37C7"/>
    <w:rsid w:val="004F5F25"/>
    <w:rsid w:val="004F7340"/>
    <w:rsid w:val="004F795B"/>
    <w:rsid w:val="005038BF"/>
    <w:rsid w:val="00504FFD"/>
    <w:rsid w:val="00506C9D"/>
    <w:rsid w:val="0050735E"/>
    <w:rsid w:val="00510002"/>
    <w:rsid w:val="00511D9A"/>
    <w:rsid w:val="005126FE"/>
    <w:rsid w:val="00516BF4"/>
    <w:rsid w:val="00520BEB"/>
    <w:rsid w:val="00522D09"/>
    <w:rsid w:val="00524451"/>
    <w:rsid w:val="00525CFE"/>
    <w:rsid w:val="00526E1E"/>
    <w:rsid w:val="00531E94"/>
    <w:rsid w:val="00533B91"/>
    <w:rsid w:val="005340E9"/>
    <w:rsid w:val="0053555A"/>
    <w:rsid w:val="0053595C"/>
    <w:rsid w:val="005360B7"/>
    <w:rsid w:val="005363D5"/>
    <w:rsid w:val="005433B1"/>
    <w:rsid w:val="00543559"/>
    <w:rsid w:val="005438A3"/>
    <w:rsid w:val="005469FF"/>
    <w:rsid w:val="005502CA"/>
    <w:rsid w:val="00550C7F"/>
    <w:rsid w:val="005532C8"/>
    <w:rsid w:val="005549AA"/>
    <w:rsid w:val="005557E1"/>
    <w:rsid w:val="00562D5D"/>
    <w:rsid w:val="00565221"/>
    <w:rsid w:val="005749C9"/>
    <w:rsid w:val="00574BDF"/>
    <w:rsid w:val="0058287A"/>
    <w:rsid w:val="00585F9F"/>
    <w:rsid w:val="005871AA"/>
    <w:rsid w:val="005914B9"/>
    <w:rsid w:val="00593EAE"/>
    <w:rsid w:val="00594C43"/>
    <w:rsid w:val="0059587C"/>
    <w:rsid w:val="005A30A2"/>
    <w:rsid w:val="005B4470"/>
    <w:rsid w:val="005B6004"/>
    <w:rsid w:val="005B60A2"/>
    <w:rsid w:val="005C07E4"/>
    <w:rsid w:val="005D0212"/>
    <w:rsid w:val="005D0BF5"/>
    <w:rsid w:val="005D24AE"/>
    <w:rsid w:val="005D354F"/>
    <w:rsid w:val="005D6152"/>
    <w:rsid w:val="005D6420"/>
    <w:rsid w:val="005E085D"/>
    <w:rsid w:val="005E1862"/>
    <w:rsid w:val="005E5C56"/>
    <w:rsid w:val="005E68A0"/>
    <w:rsid w:val="005F08D3"/>
    <w:rsid w:val="005F3C0C"/>
    <w:rsid w:val="005F6B41"/>
    <w:rsid w:val="00604A7D"/>
    <w:rsid w:val="00605AF4"/>
    <w:rsid w:val="00605E0E"/>
    <w:rsid w:val="0060750F"/>
    <w:rsid w:val="006114B6"/>
    <w:rsid w:val="00612340"/>
    <w:rsid w:val="0061767A"/>
    <w:rsid w:val="00623AB5"/>
    <w:rsid w:val="00624074"/>
    <w:rsid w:val="0062583C"/>
    <w:rsid w:val="0062611D"/>
    <w:rsid w:val="006300C8"/>
    <w:rsid w:val="0063139F"/>
    <w:rsid w:val="00632BB4"/>
    <w:rsid w:val="00633A90"/>
    <w:rsid w:val="00633C8D"/>
    <w:rsid w:val="006346BA"/>
    <w:rsid w:val="00634A24"/>
    <w:rsid w:val="006375F4"/>
    <w:rsid w:val="0064333C"/>
    <w:rsid w:val="006433E6"/>
    <w:rsid w:val="00643667"/>
    <w:rsid w:val="006438CA"/>
    <w:rsid w:val="00644CC6"/>
    <w:rsid w:val="006451EC"/>
    <w:rsid w:val="00645FFE"/>
    <w:rsid w:val="00647852"/>
    <w:rsid w:val="006513BD"/>
    <w:rsid w:val="0065409A"/>
    <w:rsid w:val="00654D65"/>
    <w:rsid w:val="00662241"/>
    <w:rsid w:val="00664DD8"/>
    <w:rsid w:val="00666664"/>
    <w:rsid w:val="00673A0B"/>
    <w:rsid w:val="00674098"/>
    <w:rsid w:val="006765C8"/>
    <w:rsid w:val="006809DA"/>
    <w:rsid w:val="00682C00"/>
    <w:rsid w:val="00693CA0"/>
    <w:rsid w:val="00696133"/>
    <w:rsid w:val="00697957"/>
    <w:rsid w:val="006A34CC"/>
    <w:rsid w:val="006A4A55"/>
    <w:rsid w:val="006A761E"/>
    <w:rsid w:val="006B0743"/>
    <w:rsid w:val="006B35A7"/>
    <w:rsid w:val="006B5235"/>
    <w:rsid w:val="006B737C"/>
    <w:rsid w:val="006B7C19"/>
    <w:rsid w:val="006B7FFE"/>
    <w:rsid w:val="006C0630"/>
    <w:rsid w:val="006C2D14"/>
    <w:rsid w:val="006C44FB"/>
    <w:rsid w:val="006C46F9"/>
    <w:rsid w:val="006C525C"/>
    <w:rsid w:val="006D12CE"/>
    <w:rsid w:val="006D32BF"/>
    <w:rsid w:val="006D39A5"/>
    <w:rsid w:val="006D3F11"/>
    <w:rsid w:val="006D444D"/>
    <w:rsid w:val="006D4840"/>
    <w:rsid w:val="006E196F"/>
    <w:rsid w:val="006E3635"/>
    <w:rsid w:val="006E66A4"/>
    <w:rsid w:val="00704553"/>
    <w:rsid w:val="00706DEA"/>
    <w:rsid w:val="007111D5"/>
    <w:rsid w:val="007124E8"/>
    <w:rsid w:val="00722DF4"/>
    <w:rsid w:val="00724AE1"/>
    <w:rsid w:val="007262AE"/>
    <w:rsid w:val="00732611"/>
    <w:rsid w:val="0074097D"/>
    <w:rsid w:val="007410B0"/>
    <w:rsid w:val="00742EA0"/>
    <w:rsid w:val="00747240"/>
    <w:rsid w:val="00747EBA"/>
    <w:rsid w:val="00757187"/>
    <w:rsid w:val="00760B43"/>
    <w:rsid w:val="0076357A"/>
    <w:rsid w:val="00763C2A"/>
    <w:rsid w:val="00771A86"/>
    <w:rsid w:val="00772458"/>
    <w:rsid w:val="007809A4"/>
    <w:rsid w:val="00780F5F"/>
    <w:rsid w:val="00784643"/>
    <w:rsid w:val="00784DD5"/>
    <w:rsid w:val="00787A8B"/>
    <w:rsid w:val="00792120"/>
    <w:rsid w:val="00795C30"/>
    <w:rsid w:val="007960BA"/>
    <w:rsid w:val="007A1652"/>
    <w:rsid w:val="007B00D6"/>
    <w:rsid w:val="007B13D4"/>
    <w:rsid w:val="007B2FDB"/>
    <w:rsid w:val="007B3662"/>
    <w:rsid w:val="007B5A59"/>
    <w:rsid w:val="007B752F"/>
    <w:rsid w:val="007C0026"/>
    <w:rsid w:val="007C46A7"/>
    <w:rsid w:val="007C5588"/>
    <w:rsid w:val="007C65FA"/>
    <w:rsid w:val="007D3BF4"/>
    <w:rsid w:val="007D46F6"/>
    <w:rsid w:val="007D4C37"/>
    <w:rsid w:val="007E01E9"/>
    <w:rsid w:val="007E2D55"/>
    <w:rsid w:val="007E3CC3"/>
    <w:rsid w:val="007E4567"/>
    <w:rsid w:val="007E50A7"/>
    <w:rsid w:val="007F3A3B"/>
    <w:rsid w:val="007F7275"/>
    <w:rsid w:val="007F7ED8"/>
    <w:rsid w:val="00801C4A"/>
    <w:rsid w:val="008032F6"/>
    <w:rsid w:val="008044F6"/>
    <w:rsid w:val="00804DC6"/>
    <w:rsid w:val="00805F50"/>
    <w:rsid w:val="00806902"/>
    <w:rsid w:val="008110AD"/>
    <w:rsid w:val="00811EB7"/>
    <w:rsid w:val="008127CB"/>
    <w:rsid w:val="00813383"/>
    <w:rsid w:val="008157E5"/>
    <w:rsid w:val="0081646F"/>
    <w:rsid w:val="008175B5"/>
    <w:rsid w:val="00823564"/>
    <w:rsid w:val="008254CC"/>
    <w:rsid w:val="00825B3C"/>
    <w:rsid w:val="00825D36"/>
    <w:rsid w:val="00826EE3"/>
    <w:rsid w:val="00831DDD"/>
    <w:rsid w:val="00835452"/>
    <w:rsid w:val="00835836"/>
    <w:rsid w:val="00836890"/>
    <w:rsid w:val="008409D3"/>
    <w:rsid w:val="008429E1"/>
    <w:rsid w:val="00842BF2"/>
    <w:rsid w:val="008432AB"/>
    <w:rsid w:val="00844D50"/>
    <w:rsid w:val="00852597"/>
    <w:rsid w:val="008534D4"/>
    <w:rsid w:val="00853D4F"/>
    <w:rsid w:val="00853F20"/>
    <w:rsid w:val="008545E2"/>
    <w:rsid w:val="00854779"/>
    <w:rsid w:val="00857A99"/>
    <w:rsid w:val="00861752"/>
    <w:rsid w:val="008621D8"/>
    <w:rsid w:val="00862D1C"/>
    <w:rsid w:val="0086609B"/>
    <w:rsid w:val="00866F30"/>
    <w:rsid w:val="00872944"/>
    <w:rsid w:val="00875D75"/>
    <w:rsid w:val="008768B0"/>
    <w:rsid w:val="00882727"/>
    <w:rsid w:val="00883915"/>
    <w:rsid w:val="008855FB"/>
    <w:rsid w:val="00886E6F"/>
    <w:rsid w:val="0089056E"/>
    <w:rsid w:val="0089210A"/>
    <w:rsid w:val="00892E24"/>
    <w:rsid w:val="00893EFE"/>
    <w:rsid w:val="008A4540"/>
    <w:rsid w:val="008A55CF"/>
    <w:rsid w:val="008A5BFF"/>
    <w:rsid w:val="008A7DBC"/>
    <w:rsid w:val="008B1423"/>
    <w:rsid w:val="008B2119"/>
    <w:rsid w:val="008B4C2E"/>
    <w:rsid w:val="008B55E7"/>
    <w:rsid w:val="008C0D0D"/>
    <w:rsid w:val="008D0770"/>
    <w:rsid w:val="008D58BB"/>
    <w:rsid w:val="008D5D2E"/>
    <w:rsid w:val="008E1870"/>
    <w:rsid w:val="008E1D58"/>
    <w:rsid w:val="008E48E9"/>
    <w:rsid w:val="008F1322"/>
    <w:rsid w:val="008F1444"/>
    <w:rsid w:val="008F28EC"/>
    <w:rsid w:val="008F4B0D"/>
    <w:rsid w:val="008F7174"/>
    <w:rsid w:val="00900411"/>
    <w:rsid w:val="00904303"/>
    <w:rsid w:val="009100A1"/>
    <w:rsid w:val="00910A6A"/>
    <w:rsid w:val="00913FEC"/>
    <w:rsid w:val="00914228"/>
    <w:rsid w:val="0091693D"/>
    <w:rsid w:val="00921330"/>
    <w:rsid w:val="0092221D"/>
    <w:rsid w:val="009226C3"/>
    <w:rsid w:val="009235D8"/>
    <w:rsid w:val="009272E3"/>
    <w:rsid w:val="00927345"/>
    <w:rsid w:val="00933308"/>
    <w:rsid w:val="00933AF5"/>
    <w:rsid w:val="00935A17"/>
    <w:rsid w:val="00935FF4"/>
    <w:rsid w:val="00936366"/>
    <w:rsid w:val="009364D7"/>
    <w:rsid w:val="009365D0"/>
    <w:rsid w:val="0094767B"/>
    <w:rsid w:val="00960008"/>
    <w:rsid w:val="00973065"/>
    <w:rsid w:val="00977AD4"/>
    <w:rsid w:val="00984DAB"/>
    <w:rsid w:val="009850AB"/>
    <w:rsid w:val="00985BB7"/>
    <w:rsid w:val="009862B4"/>
    <w:rsid w:val="00987408"/>
    <w:rsid w:val="009965F1"/>
    <w:rsid w:val="009A6AE6"/>
    <w:rsid w:val="009B088E"/>
    <w:rsid w:val="009B3252"/>
    <w:rsid w:val="009B4F31"/>
    <w:rsid w:val="009C74DE"/>
    <w:rsid w:val="009C7582"/>
    <w:rsid w:val="009D0C33"/>
    <w:rsid w:val="009D3C0A"/>
    <w:rsid w:val="009D6087"/>
    <w:rsid w:val="009E648C"/>
    <w:rsid w:val="009F08C4"/>
    <w:rsid w:val="009F21D1"/>
    <w:rsid w:val="009F47CB"/>
    <w:rsid w:val="009F4C7B"/>
    <w:rsid w:val="009F6F79"/>
    <w:rsid w:val="00A01EA6"/>
    <w:rsid w:val="00A02515"/>
    <w:rsid w:val="00A07EF1"/>
    <w:rsid w:val="00A101F1"/>
    <w:rsid w:val="00A104D4"/>
    <w:rsid w:val="00A1312A"/>
    <w:rsid w:val="00A173DE"/>
    <w:rsid w:val="00A17AC1"/>
    <w:rsid w:val="00A20BEF"/>
    <w:rsid w:val="00A259C3"/>
    <w:rsid w:val="00A26ED5"/>
    <w:rsid w:val="00A27F9F"/>
    <w:rsid w:val="00A30584"/>
    <w:rsid w:val="00A3133A"/>
    <w:rsid w:val="00A3554B"/>
    <w:rsid w:val="00A357AC"/>
    <w:rsid w:val="00A4182D"/>
    <w:rsid w:val="00A4246B"/>
    <w:rsid w:val="00A42D5A"/>
    <w:rsid w:val="00A45EA8"/>
    <w:rsid w:val="00A57D69"/>
    <w:rsid w:val="00A6134A"/>
    <w:rsid w:val="00A636B1"/>
    <w:rsid w:val="00A70D8D"/>
    <w:rsid w:val="00A7645D"/>
    <w:rsid w:val="00A7669F"/>
    <w:rsid w:val="00A76D89"/>
    <w:rsid w:val="00A8061D"/>
    <w:rsid w:val="00A83836"/>
    <w:rsid w:val="00A8413C"/>
    <w:rsid w:val="00A8498E"/>
    <w:rsid w:val="00A87205"/>
    <w:rsid w:val="00A9363D"/>
    <w:rsid w:val="00A94EB4"/>
    <w:rsid w:val="00AA00CB"/>
    <w:rsid w:val="00AA13A0"/>
    <w:rsid w:val="00AA2AA1"/>
    <w:rsid w:val="00AA777D"/>
    <w:rsid w:val="00AB47FA"/>
    <w:rsid w:val="00AC3908"/>
    <w:rsid w:val="00AC76CE"/>
    <w:rsid w:val="00AC78BC"/>
    <w:rsid w:val="00AD12A2"/>
    <w:rsid w:val="00AD1308"/>
    <w:rsid w:val="00AD5B13"/>
    <w:rsid w:val="00AD5EE7"/>
    <w:rsid w:val="00AD6F4E"/>
    <w:rsid w:val="00AE4041"/>
    <w:rsid w:val="00AE4F9E"/>
    <w:rsid w:val="00AE563C"/>
    <w:rsid w:val="00AE6B4E"/>
    <w:rsid w:val="00AE79E7"/>
    <w:rsid w:val="00AF2343"/>
    <w:rsid w:val="00AF788A"/>
    <w:rsid w:val="00AF788C"/>
    <w:rsid w:val="00B00EE7"/>
    <w:rsid w:val="00B02C76"/>
    <w:rsid w:val="00B03B22"/>
    <w:rsid w:val="00B05269"/>
    <w:rsid w:val="00B11DC6"/>
    <w:rsid w:val="00B13EF7"/>
    <w:rsid w:val="00B20C20"/>
    <w:rsid w:val="00B23BC1"/>
    <w:rsid w:val="00B2419B"/>
    <w:rsid w:val="00B242D8"/>
    <w:rsid w:val="00B26B23"/>
    <w:rsid w:val="00B32F3C"/>
    <w:rsid w:val="00B407A4"/>
    <w:rsid w:val="00B4144C"/>
    <w:rsid w:val="00B418DE"/>
    <w:rsid w:val="00B42977"/>
    <w:rsid w:val="00B44BB2"/>
    <w:rsid w:val="00B50314"/>
    <w:rsid w:val="00B50931"/>
    <w:rsid w:val="00B55C0A"/>
    <w:rsid w:val="00B57C98"/>
    <w:rsid w:val="00B61E7E"/>
    <w:rsid w:val="00B627BF"/>
    <w:rsid w:val="00B73612"/>
    <w:rsid w:val="00B813B4"/>
    <w:rsid w:val="00B8548F"/>
    <w:rsid w:val="00B9022C"/>
    <w:rsid w:val="00B90701"/>
    <w:rsid w:val="00B9553F"/>
    <w:rsid w:val="00B9745E"/>
    <w:rsid w:val="00B97E43"/>
    <w:rsid w:val="00BA0607"/>
    <w:rsid w:val="00BA54F3"/>
    <w:rsid w:val="00BA7A08"/>
    <w:rsid w:val="00BB170B"/>
    <w:rsid w:val="00BB2911"/>
    <w:rsid w:val="00BB389F"/>
    <w:rsid w:val="00BB49A1"/>
    <w:rsid w:val="00BB5679"/>
    <w:rsid w:val="00BC1218"/>
    <w:rsid w:val="00BC379D"/>
    <w:rsid w:val="00BC75FD"/>
    <w:rsid w:val="00BD12BF"/>
    <w:rsid w:val="00BD7668"/>
    <w:rsid w:val="00BE2B12"/>
    <w:rsid w:val="00BE7B3B"/>
    <w:rsid w:val="00BF35AC"/>
    <w:rsid w:val="00BF397F"/>
    <w:rsid w:val="00BF7A2C"/>
    <w:rsid w:val="00C015CC"/>
    <w:rsid w:val="00C04CAB"/>
    <w:rsid w:val="00C05B77"/>
    <w:rsid w:val="00C07DBC"/>
    <w:rsid w:val="00C10656"/>
    <w:rsid w:val="00C1439D"/>
    <w:rsid w:val="00C17F6E"/>
    <w:rsid w:val="00C22817"/>
    <w:rsid w:val="00C27CFF"/>
    <w:rsid w:val="00C30EAF"/>
    <w:rsid w:val="00C322B0"/>
    <w:rsid w:val="00C32C9F"/>
    <w:rsid w:val="00C3694E"/>
    <w:rsid w:val="00C3771D"/>
    <w:rsid w:val="00C40595"/>
    <w:rsid w:val="00C4087A"/>
    <w:rsid w:val="00C40C41"/>
    <w:rsid w:val="00C43AF9"/>
    <w:rsid w:val="00C461A3"/>
    <w:rsid w:val="00C47E02"/>
    <w:rsid w:val="00C504F6"/>
    <w:rsid w:val="00C531FB"/>
    <w:rsid w:val="00C541FE"/>
    <w:rsid w:val="00C55E24"/>
    <w:rsid w:val="00C563E0"/>
    <w:rsid w:val="00C57362"/>
    <w:rsid w:val="00C57E72"/>
    <w:rsid w:val="00C6392B"/>
    <w:rsid w:val="00C641DE"/>
    <w:rsid w:val="00C67573"/>
    <w:rsid w:val="00C71DEB"/>
    <w:rsid w:val="00C73AF4"/>
    <w:rsid w:val="00C73F9D"/>
    <w:rsid w:val="00C74245"/>
    <w:rsid w:val="00C7463E"/>
    <w:rsid w:val="00C7548E"/>
    <w:rsid w:val="00C77E4E"/>
    <w:rsid w:val="00C81519"/>
    <w:rsid w:val="00C8257F"/>
    <w:rsid w:val="00C82B2B"/>
    <w:rsid w:val="00C85679"/>
    <w:rsid w:val="00C857B7"/>
    <w:rsid w:val="00C90BBE"/>
    <w:rsid w:val="00C90E7A"/>
    <w:rsid w:val="00C911F5"/>
    <w:rsid w:val="00C9174E"/>
    <w:rsid w:val="00C9179E"/>
    <w:rsid w:val="00C9233C"/>
    <w:rsid w:val="00C97469"/>
    <w:rsid w:val="00CA07D8"/>
    <w:rsid w:val="00CA1C91"/>
    <w:rsid w:val="00CA24BA"/>
    <w:rsid w:val="00CA3BA3"/>
    <w:rsid w:val="00CB2FE6"/>
    <w:rsid w:val="00CB4219"/>
    <w:rsid w:val="00CB66AF"/>
    <w:rsid w:val="00CC5A71"/>
    <w:rsid w:val="00CC5FE3"/>
    <w:rsid w:val="00CD5299"/>
    <w:rsid w:val="00CD572B"/>
    <w:rsid w:val="00CE2539"/>
    <w:rsid w:val="00CE4CEB"/>
    <w:rsid w:val="00CE5490"/>
    <w:rsid w:val="00CE7EFC"/>
    <w:rsid w:val="00D01F41"/>
    <w:rsid w:val="00D04B9E"/>
    <w:rsid w:val="00D06BFC"/>
    <w:rsid w:val="00D070FD"/>
    <w:rsid w:val="00D07A18"/>
    <w:rsid w:val="00D1185E"/>
    <w:rsid w:val="00D139CE"/>
    <w:rsid w:val="00D15301"/>
    <w:rsid w:val="00D16BCB"/>
    <w:rsid w:val="00D2173D"/>
    <w:rsid w:val="00D217A0"/>
    <w:rsid w:val="00D219EB"/>
    <w:rsid w:val="00D226AA"/>
    <w:rsid w:val="00D228CC"/>
    <w:rsid w:val="00D22A05"/>
    <w:rsid w:val="00D22D56"/>
    <w:rsid w:val="00D23F70"/>
    <w:rsid w:val="00D24ACC"/>
    <w:rsid w:val="00D24FAA"/>
    <w:rsid w:val="00D2589D"/>
    <w:rsid w:val="00D319EB"/>
    <w:rsid w:val="00D32D25"/>
    <w:rsid w:val="00D40117"/>
    <w:rsid w:val="00D45A5E"/>
    <w:rsid w:val="00D50EF3"/>
    <w:rsid w:val="00D50F1C"/>
    <w:rsid w:val="00D53966"/>
    <w:rsid w:val="00D53DB5"/>
    <w:rsid w:val="00D5569C"/>
    <w:rsid w:val="00D644AD"/>
    <w:rsid w:val="00D66DE8"/>
    <w:rsid w:val="00D72633"/>
    <w:rsid w:val="00D7425D"/>
    <w:rsid w:val="00D8164D"/>
    <w:rsid w:val="00D82CEE"/>
    <w:rsid w:val="00D90224"/>
    <w:rsid w:val="00D91BA0"/>
    <w:rsid w:val="00DA2D18"/>
    <w:rsid w:val="00DA49EC"/>
    <w:rsid w:val="00DB46FA"/>
    <w:rsid w:val="00DB4DD0"/>
    <w:rsid w:val="00DB5531"/>
    <w:rsid w:val="00DB7159"/>
    <w:rsid w:val="00DB7A92"/>
    <w:rsid w:val="00DD07D2"/>
    <w:rsid w:val="00DD1C4A"/>
    <w:rsid w:val="00DD4FA0"/>
    <w:rsid w:val="00DE1968"/>
    <w:rsid w:val="00DE27D8"/>
    <w:rsid w:val="00DE37CF"/>
    <w:rsid w:val="00DE5455"/>
    <w:rsid w:val="00DE6D99"/>
    <w:rsid w:val="00DE72A4"/>
    <w:rsid w:val="00DF1A2F"/>
    <w:rsid w:val="00DF2489"/>
    <w:rsid w:val="00E0259E"/>
    <w:rsid w:val="00E06A42"/>
    <w:rsid w:val="00E079E6"/>
    <w:rsid w:val="00E11C61"/>
    <w:rsid w:val="00E12D03"/>
    <w:rsid w:val="00E13223"/>
    <w:rsid w:val="00E13276"/>
    <w:rsid w:val="00E14D63"/>
    <w:rsid w:val="00E16FAE"/>
    <w:rsid w:val="00E21050"/>
    <w:rsid w:val="00E2443A"/>
    <w:rsid w:val="00E249E4"/>
    <w:rsid w:val="00E30329"/>
    <w:rsid w:val="00E352D4"/>
    <w:rsid w:val="00E3670B"/>
    <w:rsid w:val="00E37400"/>
    <w:rsid w:val="00E3771E"/>
    <w:rsid w:val="00E37945"/>
    <w:rsid w:val="00E44516"/>
    <w:rsid w:val="00E44A2A"/>
    <w:rsid w:val="00E45620"/>
    <w:rsid w:val="00E500C4"/>
    <w:rsid w:val="00E5294C"/>
    <w:rsid w:val="00E61E25"/>
    <w:rsid w:val="00E64611"/>
    <w:rsid w:val="00E66441"/>
    <w:rsid w:val="00E66499"/>
    <w:rsid w:val="00E66A10"/>
    <w:rsid w:val="00E66CB8"/>
    <w:rsid w:val="00E706C0"/>
    <w:rsid w:val="00E74EE9"/>
    <w:rsid w:val="00E8002A"/>
    <w:rsid w:val="00E85648"/>
    <w:rsid w:val="00E95B2E"/>
    <w:rsid w:val="00E96511"/>
    <w:rsid w:val="00E96914"/>
    <w:rsid w:val="00EA23E4"/>
    <w:rsid w:val="00EA43F9"/>
    <w:rsid w:val="00EB2264"/>
    <w:rsid w:val="00EB307A"/>
    <w:rsid w:val="00EB30AD"/>
    <w:rsid w:val="00EB57C7"/>
    <w:rsid w:val="00EB6CEF"/>
    <w:rsid w:val="00EC27EB"/>
    <w:rsid w:val="00EC53B6"/>
    <w:rsid w:val="00ED21DE"/>
    <w:rsid w:val="00ED3455"/>
    <w:rsid w:val="00ED39B9"/>
    <w:rsid w:val="00ED64E8"/>
    <w:rsid w:val="00EE02C7"/>
    <w:rsid w:val="00EE06A5"/>
    <w:rsid w:val="00EE1627"/>
    <w:rsid w:val="00EE1799"/>
    <w:rsid w:val="00EE6CD6"/>
    <w:rsid w:val="00EF3EA1"/>
    <w:rsid w:val="00EF57A5"/>
    <w:rsid w:val="00EF66EA"/>
    <w:rsid w:val="00F0018A"/>
    <w:rsid w:val="00F023C0"/>
    <w:rsid w:val="00F03D56"/>
    <w:rsid w:val="00F0726D"/>
    <w:rsid w:val="00F073FD"/>
    <w:rsid w:val="00F11167"/>
    <w:rsid w:val="00F17D64"/>
    <w:rsid w:val="00F218DC"/>
    <w:rsid w:val="00F22B08"/>
    <w:rsid w:val="00F22C54"/>
    <w:rsid w:val="00F236F6"/>
    <w:rsid w:val="00F336E7"/>
    <w:rsid w:val="00F34B92"/>
    <w:rsid w:val="00F37E23"/>
    <w:rsid w:val="00F43436"/>
    <w:rsid w:val="00F47E8F"/>
    <w:rsid w:val="00F5157E"/>
    <w:rsid w:val="00F526DD"/>
    <w:rsid w:val="00F52AEA"/>
    <w:rsid w:val="00F53CEC"/>
    <w:rsid w:val="00F55C36"/>
    <w:rsid w:val="00F55F12"/>
    <w:rsid w:val="00F63318"/>
    <w:rsid w:val="00F65992"/>
    <w:rsid w:val="00F67EF1"/>
    <w:rsid w:val="00F70AE9"/>
    <w:rsid w:val="00F70E57"/>
    <w:rsid w:val="00F71424"/>
    <w:rsid w:val="00F75293"/>
    <w:rsid w:val="00F771DA"/>
    <w:rsid w:val="00F809D1"/>
    <w:rsid w:val="00F82561"/>
    <w:rsid w:val="00F83308"/>
    <w:rsid w:val="00F933D9"/>
    <w:rsid w:val="00F93ACC"/>
    <w:rsid w:val="00F93BAB"/>
    <w:rsid w:val="00F951AB"/>
    <w:rsid w:val="00F95EC4"/>
    <w:rsid w:val="00F97850"/>
    <w:rsid w:val="00FA3F8D"/>
    <w:rsid w:val="00FA54A4"/>
    <w:rsid w:val="00FB2D41"/>
    <w:rsid w:val="00FB6C8E"/>
    <w:rsid w:val="00FC0E78"/>
    <w:rsid w:val="00FC66F9"/>
    <w:rsid w:val="00FC67A8"/>
    <w:rsid w:val="00FD02CE"/>
    <w:rsid w:val="00FD2953"/>
    <w:rsid w:val="00FD4FBB"/>
    <w:rsid w:val="00FE0743"/>
    <w:rsid w:val="00FE2C94"/>
    <w:rsid w:val="00FE41CE"/>
    <w:rsid w:val="00FE54C0"/>
    <w:rsid w:val="00FE60B4"/>
    <w:rsid w:val="00FE746D"/>
    <w:rsid w:val="00FE75B5"/>
    <w:rsid w:val="00FE7A41"/>
    <w:rsid w:val="00FF293C"/>
    <w:rsid w:val="00FF33D3"/>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72D82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931"/>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character" w:customStyle="1" w:styleId="text-highlight">
    <w:name w:val="text-highlight"/>
    <w:basedOn w:val="DefaultParagraphFont"/>
    <w:rsid w:val="00B5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4028">
      <w:bodyDiv w:val="1"/>
      <w:marLeft w:val="0"/>
      <w:marRight w:val="0"/>
      <w:marTop w:val="0"/>
      <w:marBottom w:val="0"/>
      <w:divBdr>
        <w:top w:val="none" w:sz="0" w:space="0" w:color="auto"/>
        <w:left w:val="none" w:sz="0" w:space="0" w:color="auto"/>
        <w:bottom w:val="none" w:sz="0" w:space="0" w:color="auto"/>
        <w:right w:val="none" w:sz="0" w:space="0" w:color="auto"/>
      </w:divBdr>
      <w:divsChild>
        <w:div w:id="1065108650">
          <w:marLeft w:val="0"/>
          <w:marRight w:val="0"/>
          <w:marTop w:val="0"/>
          <w:marBottom w:val="0"/>
          <w:divBdr>
            <w:top w:val="none" w:sz="0" w:space="0" w:color="auto"/>
            <w:left w:val="none" w:sz="0" w:space="0" w:color="auto"/>
            <w:bottom w:val="none" w:sz="0" w:space="0" w:color="auto"/>
            <w:right w:val="none" w:sz="0" w:space="0" w:color="auto"/>
          </w:divBdr>
        </w:div>
        <w:div w:id="1025138089">
          <w:marLeft w:val="0"/>
          <w:marRight w:val="0"/>
          <w:marTop w:val="0"/>
          <w:marBottom w:val="0"/>
          <w:divBdr>
            <w:top w:val="none" w:sz="0" w:space="0" w:color="auto"/>
            <w:left w:val="none" w:sz="0" w:space="0" w:color="auto"/>
            <w:bottom w:val="none" w:sz="0" w:space="0" w:color="auto"/>
            <w:right w:val="none" w:sz="0" w:space="0" w:color="auto"/>
          </w:divBdr>
        </w:div>
        <w:div w:id="1299528570">
          <w:marLeft w:val="0"/>
          <w:marRight w:val="0"/>
          <w:marTop w:val="0"/>
          <w:marBottom w:val="0"/>
          <w:divBdr>
            <w:top w:val="none" w:sz="0" w:space="0" w:color="auto"/>
            <w:left w:val="none" w:sz="0" w:space="0" w:color="auto"/>
            <w:bottom w:val="none" w:sz="0" w:space="0" w:color="auto"/>
            <w:right w:val="none" w:sz="0" w:space="0" w:color="auto"/>
          </w:divBdr>
        </w:div>
        <w:div w:id="1052466278">
          <w:marLeft w:val="0"/>
          <w:marRight w:val="0"/>
          <w:marTop w:val="0"/>
          <w:marBottom w:val="0"/>
          <w:divBdr>
            <w:top w:val="none" w:sz="0" w:space="0" w:color="auto"/>
            <w:left w:val="none" w:sz="0" w:space="0" w:color="auto"/>
            <w:bottom w:val="none" w:sz="0" w:space="0" w:color="auto"/>
            <w:right w:val="none" w:sz="0" w:space="0" w:color="auto"/>
          </w:divBdr>
        </w:div>
        <w:div w:id="1674795658">
          <w:marLeft w:val="0"/>
          <w:marRight w:val="0"/>
          <w:marTop w:val="0"/>
          <w:marBottom w:val="0"/>
          <w:divBdr>
            <w:top w:val="none" w:sz="0" w:space="0" w:color="auto"/>
            <w:left w:val="none" w:sz="0" w:space="0" w:color="auto"/>
            <w:bottom w:val="none" w:sz="0" w:space="0" w:color="auto"/>
            <w:right w:val="none" w:sz="0" w:space="0" w:color="auto"/>
          </w:divBdr>
        </w:div>
        <w:div w:id="341513011">
          <w:marLeft w:val="0"/>
          <w:marRight w:val="0"/>
          <w:marTop w:val="0"/>
          <w:marBottom w:val="0"/>
          <w:divBdr>
            <w:top w:val="none" w:sz="0" w:space="0" w:color="auto"/>
            <w:left w:val="none" w:sz="0" w:space="0" w:color="auto"/>
            <w:bottom w:val="none" w:sz="0" w:space="0" w:color="auto"/>
            <w:right w:val="none" w:sz="0" w:space="0" w:color="auto"/>
          </w:divBdr>
        </w:div>
        <w:div w:id="666633179">
          <w:marLeft w:val="0"/>
          <w:marRight w:val="0"/>
          <w:marTop w:val="0"/>
          <w:marBottom w:val="0"/>
          <w:divBdr>
            <w:top w:val="none" w:sz="0" w:space="0" w:color="auto"/>
            <w:left w:val="none" w:sz="0" w:space="0" w:color="auto"/>
            <w:bottom w:val="none" w:sz="0" w:space="0" w:color="auto"/>
            <w:right w:val="none" w:sz="0" w:space="0" w:color="auto"/>
          </w:divBdr>
        </w:div>
        <w:div w:id="1680692074">
          <w:marLeft w:val="0"/>
          <w:marRight w:val="0"/>
          <w:marTop w:val="0"/>
          <w:marBottom w:val="0"/>
          <w:divBdr>
            <w:top w:val="none" w:sz="0" w:space="0" w:color="auto"/>
            <w:left w:val="none" w:sz="0" w:space="0" w:color="auto"/>
            <w:bottom w:val="none" w:sz="0" w:space="0" w:color="auto"/>
            <w:right w:val="none" w:sz="0" w:space="0" w:color="auto"/>
          </w:divBdr>
        </w:div>
        <w:div w:id="604848975">
          <w:marLeft w:val="0"/>
          <w:marRight w:val="0"/>
          <w:marTop w:val="0"/>
          <w:marBottom w:val="0"/>
          <w:divBdr>
            <w:top w:val="none" w:sz="0" w:space="0" w:color="auto"/>
            <w:left w:val="none" w:sz="0" w:space="0" w:color="auto"/>
            <w:bottom w:val="none" w:sz="0" w:space="0" w:color="auto"/>
            <w:right w:val="none" w:sz="0" w:space="0" w:color="auto"/>
          </w:divBdr>
        </w:div>
        <w:div w:id="1370760333">
          <w:marLeft w:val="0"/>
          <w:marRight w:val="0"/>
          <w:marTop w:val="0"/>
          <w:marBottom w:val="0"/>
          <w:divBdr>
            <w:top w:val="none" w:sz="0" w:space="0" w:color="auto"/>
            <w:left w:val="none" w:sz="0" w:space="0" w:color="auto"/>
            <w:bottom w:val="none" w:sz="0" w:space="0" w:color="auto"/>
            <w:right w:val="none" w:sz="0" w:space="0" w:color="auto"/>
          </w:divBdr>
        </w:div>
        <w:div w:id="1058437779">
          <w:marLeft w:val="0"/>
          <w:marRight w:val="0"/>
          <w:marTop w:val="0"/>
          <w:marBottom w:val="0"/>
          <w:divBdr>
            <w:top w:val="none" w:sz="0" w:space="0" w:color="auto"/>
            <w:left w:val="none" w:sz="0" w:space="0" w:color="auto"/>
            <w:bottom w:val="none" w:sz="0" w:space="0" w:color="auto"/>
            <w:right w:val="none" w:sz="0" w:space="0" w:color="auto"/>
          </w:divBdr>
        </w:div>
        <w:div w:id="1991520413">
          <w:marLeft w:val="0"/>
          <w:marRight w:val="0"/>
          <w:marTop w:val="0"/>
          <w:marBottom w:val="0"/>
          <w:divBdr>
            <w:top w:val="none" w:sz="0" w:space="0" w:color="auto"/>
            <w:left w:val="none" w:sz="0" w:space="0" w:color="auto"/>
            <w:bottom w:val="none" w:sz="0" w:space="0" w:color="auto"/>
            <w:right w:val="none" w:sz="0" w:space="0" w:color="auto"/>
          </w:divBdr>
        </w:div>
        <w:div w:id="73479816">
          <w:marLeft w:val="0"/>
          <w:marRight w:val="0"/>
          <w:marTop w:val="0"/>
          <w:marBottom w:val="0"/>
          <w:divBdr>
            <w:top w:val="none" w:sz="0" w:space="0" w:color="auto"/>
            <w:left w:val="none" w:sz="0" w:space="0" w:color="auto"/>
            <w:bottom w:val="none" w:sz="0" w:space="0" w:color="auto"/>
            <w:right w:val="none" w:sz="0" w:space="0" w:color="auto"/>
          </w:divBdr>
        </w:div>
        <w:div w:id="295724991">
          <w:marLeft w:val="0"/>
          <w:marRight w:val="0"/>
          <w:marTop w:val="0"/>
          <w:marBottom w:val="0"/>
          <w:divBdr>
            <w:top w:val="none" w:sz="0" w:space="0" w:color="auto"/>
            <w:left w:val="none" w:sz="0" w:space="0" w:color="auto"/>
            <w:bottom w:val="none" w:sz="0" w:space="0" w:color="auto"/>
            <w:right w:val="none" w:sz="0" w:space="0" w:color="auto"/>
          </w:divBdr>
        </w:div>
        <w:div w:id="723261130">
          <w:marLeft w:val="0"/>
          <w:marRight w:val="0"/>
          <w:marTop w:val="0"/>
          <w:marBottom w:val="0"/>
          <w:divBdr>
            <w:top w:val="none" w:sz="0" w:space="0" w:color="auto"/>
            <w:left w:val="none" w:sz="0" w:space="0" w:color="auto"/>
            <w:bottom w:val="none" w:sz="0" w:space="0" w:color="auto"/>
            <w:right w:val="none" w:sz="0" w:space="0" w:color="auto"/>
          </w:divBdr>
        </w:div>
        <w:div w:id="1618102552">
          <w:marLeft w:val="0"/>
          <w:marRight w:val="0"/>
          <w:marTop w:val="0"/>
          <w:marBottom w:val="0"/>
          <w:divBdr>
            <w:top w:val="none" w:sz="0" w:space="0" w:color="auto"/>
            <w:left w:val="none" w:sz="0" w:space="0" w:color="auto"/>
            <w:bottom w:val="none" w:sz="0" w:space="0" w:color="auto"/>
            <w:right w:val="none" w:sz="0" w:space="0" w:color="auto"/>
          </w:divBdr>
        </w:div>
        <w:div w:id="1227493765">
          <w:marLeft w:val="0"/>
          <w:marRight w:val="0"/>
          <w:marTop w:val="0"/>
          <w:marBottom w:val="0"/>
          <w:divBdr>
            <w:top w:val="none" w:sz="0" w:space="0" w:color="auto"/>
            <w:left w:val="none" w:sz="0" w:space="0" w:color="auto"/>
            <w:bottom w:val="none" w:sz="0" w:space="0" w:color="auto"/>
            <w:right w:val="none" w:sz="0" w:space="0" w:color="auto"/>
          </w:divBdr>
        </w:div>
        <w:div w:id="842204655">
          <w:marLeft w:val="0"/>
          <w:marRight w:val="0"/>
          <w:marTop w:val="0"/>
          <w:marBottom w:val="0"/>
          <w:divBdr>
            <w:top w:val="none" w:sz="0" w:space="0" w:color="auto"/>
            <w:left w:val="none" w:sz="0" w:space="0" w:color="auto"/>
            <w:bottom w:val="none" w:sz="0" w:space="0" w:color="auto"/>
            <w:right w:val="none" w:sz="0" w:space="0" w:color="auto"/>
          </w:divBdr>
        </w:div>
        <w:div w:id="843781144">
          <w:marLeft w:val="0"/>
          <w:marRight w:val="0"/>
          <w:marTop w:val="0"/>
          <w:marBottom w:val="0"/>
          <w:divBdr>
            <w:top w:val="none" w:sz="0" w:space="0" w:color="auto"/>
            <w:left w:val="none" w:sz="0" w:space="0" w:color="auto"/>
            <w:bottom w:val="none" w:sz="0" w:space="0" w:color="auto"/>
            <w:right w:val="none" w:sz="0" w:space="0" w:color="auto"/>
          </w:divBdr>
        </w:div>
        <w:div w:id="2030906081">
          <w:marLeft w:val="0"/>
          <w:marRight w:val="0"/>
          <w:marTop w:val="0"/>
          <w:marBottom w:val="0"/>
          <w:divBdr>
            <w:top w:val="none" w:sz="0" w:space="0" w:color="auto"/>
            <w:left w:val="none" w:sz="0" w:space="0" w:color="auto"/>
            <w:bottom w:val="none" w:sz="0" w:space="0" w:color="auto"/>
            <w:right w:val="none" w:sz="0" w:space="0" w:color="auto"/>
          </w:divBdr>
        </w:div>
        <w:div w:id="305015010">
          <w:marLeft w:val="0"/>
          <w:marRight w:val="0"/>
          <w:marTop w:val="0"/>
          <w:marBottom w:val="0"/>
          <w:divBdr>
            <w:top w:val="none" w:sz="0" w:space="0" w:color="auto"/>
            <w:left w:val="none" w:sz="0" w:space="0" w:color="auto"/>
            <w:bottom w:val="none" w:sz="0" w:space="0" w:color="auto"/>
            <w:right w:val="none" w:sz="0" w:space="0" w:color="auto"/>
          </w:divBdr>
        </w:div>
        <w:div w:id="133572345">
          <w:marLeft w:val="0"/>
          <w:marRight w:val="0"/>
          <w:marTop w:val="0"/>
          <w:marBottom w:val="0"/>
          <w:divBdr>
            <w:top w:val="none" w:sz="0" w:space="0" w:color="auto"/>
            <w:left w:val="none" w:sz="0" w:space="0" w:color="auto"/>
            <w:bottom w:val="none" w:sz="0" w:space="0" w:color="auto"/>
            <w:right w:val="none" w:sz="0" w:space="0" w:color="auto"/>
          </w:divBdr>
        </w:div>
        <w:div w:id="548691564">
          <w:marLeft w:val="0"/>
          <w:marRight w:val="0"/>
          <w:marTop w:val="0"/>
          <w:marBottom w:val="0"/>
          <w:divBdr>
            <w:top w:val="none" w:sz="0" w:space="0" w:color="auto"/>
            <w:left w:val="none" w:sz="0" w:space="0" w:color="auto"/>
            <w:bottom w:val="none" w:sz="0" w:space="0" w:color="auto"/>
            <w:right w:val="none" w:sz="0" w:space="0" w:color="auto"/>
          </w:divBdr>
        </w:div>
        <w:div w:id="2073196086">
          <w:marLeft w:val="0"/>
          <w:marRight w:val="0"/>
          <w:marTop w:val="0"/>
          <w:marBottom w:val="0"/>
          <w:divBdr>
            <w:top w:val="none" w:sz="0" w:space="0" w:color="auto"/>
            <w:left w:val="none" w:sz="0" w:space="0" w:color="auto"/>
            <w:bottom w:val="none" w:sz="0" w:space="0" w:color="auto"/>
            <w:right w:val="none" w:sz="0" w:space="0" w:color="auto"/>
          </w:divBdr>
        </w:div>
        <w:div w:id="332804038">
          <w:marLeft w:val="0"/>
          <w:marRight w:val="0"/>
          <w:marTop w:val="0"/>
          <w:marBottom w:val="0"/>
          <w:divBdr>
            <w:top w:val="none" w:sz="0" w:space="0" w:color="auto"/>
            <w:left w:val="none" w:sz="0" w:space="0" w:color="auto"/>
            <w:bottom w:val="none" w:sz="0" w:space="0" w:color="auto"/>
            <w:right w:val="none" w:sz="0" w:space="0" w:color="auto"/>
          </w:divBdr>
        </w:div>
        <w:div w:id="1234202548">
          <w:marLeft w:val="0"/>
          <w:marRight w:val="0"/>
          <w:marTop w:val="0"/>
          <w:marBottom w:val="0"/>
          <w:divBdr>
            <w:top w:val="none" w:sz="0" w:space="0" w:color="auto"/>
            <w:left w:val="none" w:sz="0" w:space="0" w:color="auto"/>
            <w:bottom w:val="none" w:sz="0" w:space="0" w:color="auto"/>
            <w:right w:val="none" w:sz="0" w:space="0" w:color="auto"/>
          </w:divBdr>
        </w:div>
        <w:div w:id="2009824402">
          <w:marLeft w:val="0"/>
          <w:marRight w:val="0"/>
          <w:marTop w:val="0"/>
          <w:marBottom w:val="0"/>
          <w:divBdr>
            <w:top w:val="none" w:sz="0" w:space="0" w:color="auto"/>
            <w:left w:val="none" w:sz="0" w:space="0" w:color="auto"/>
            <w:bottom w:val="none" w:sz="0" w:space="0" w:color="auto"/>
            <w:right w:val="none" w:sz="0" w:space="0" w:color="auto"/>
          </w:divBdr>
        </w:div>
        <w:div w:id="668023033">
          <w:marLeft w:val="0"/>
          <w:marRight w:val="0"/>
          <w:marTop w:val="0"/>
          <w:marBottom w:val="0"/>
          <w:divBdr>
            <w:top w:val="none" w:sz="0" w:space="0" w:color="auto"/>
            <w:left w:val="none" w:sz="0" w:space="0" w:color="auto"/>
            <w:bottom w:val="none" w:sz="0" w:space="0" w:color="auto"/>
            <w:right w:val="none" w:sz="0" w:space="0" w:color="auto"/>
          </w:divBdr>
        </w:div>
        <w:div w:id="1193495005">
          <w:marLeft w:val="0"/>
          <w:marRight w:val="0"/>
          <w:marTop w:val="0"/>
          <w:marBottom w:val="0"/>
          <w:divBdr>
            <w:top w:val="none" w:sz="0" w:space="0" w:color="auto"/>
            <w:left w:val="none" w:sz="0" w:space="0" w:color="auto"/>
            <w:bottom w:val="none" w:sz="0" w:space="0" w:color="auto"/>
            <w:right w:val="none" w:sz="0" w:space="0" w:color="auto"/>
          </w:divBdr>
        </w:div>
        <w:div w:id="1122461670">
          <w:marLeft w:val="0"/>
          <w:marRight w:val="0"/>
          <w:marTop w:val="0"/>
          <w:marBottom w:val="0"/>
          <w:divBdr>
            <w:top w:val="none" w:sz="0" w:space="0" w:color="auto"/>
            <w:left w:val="none" w:sz="0" w:space="0" w:color="auto"/>
            <w:bottom w:val="none" w:sz="0" w:space="0" w:color="auto"/>
            <w:right w:val="none" w:sz="0" w:space="0" w:color="auto"/>
          </w:divBdr>
        </w:div>
        <w:div w:id="2054495386">
          <w:marLeft w:val="0"/>
          <w:marRight w:val="0"/>
          <w:marTop w:val="0"/>
          <w:marBottom w:val="0"/>
          <w:divBdr>
            <w:top w:val="none" w:sz="0" w:space="0" w:color="auto"/>
            <w:left w:val="none" w:sz="0" w:space="0" w:color="auto"/>
            <w:bottom w:val="none" w:sz="0" w:space="0" w:color="auto"/>
            <w:right w:val="none" w:sz="0" w:space="0" w:color="auto"/>
          </w:divBdr>
        </w:div>
        <w:div w:id="1612399519">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sChild>
    </w:div>
    <w:div w:id="368192502">
      <w:bodyDiv w:val="1"/>
      <w:marLeft w:val="0"/>
      <w:marRight w:val="0"/>
      <w:marTop w:val="0"/>
      <w:marBottom w:val="0"/>
      <w:divBdr>
        <w:top w:val="none" w:sz="0" w:space="0" w:color="auto"/>
        <w:left w:val="none" w:sz="0" w:space="0" w:color="auto"/>
        <w:bottom w:val="none" w:sz="0" w:space="0" w:color="auto"/>
        <w:right w:val="none" w:sz="0" w:space="0" w:color="auto"/>
      </w:divBdr>
      <w:divsChild>
        <w:div w:id="2066366953">
          <w:marLeft w:val="0"/>
          <w:marRight w:val="0"/>
          <w:marTop w:val="150"/>
          <w:marBottom w:val="150"/>
          <w:divBdr>
            <w:top w:val="none" w:sz="0" w:space="0" w:color="auto"/>
            <w:left w:val="none" w:sz="0" w:space="0" w:color="auto"/>
            <w:bottom w:val="none" w:sz="0" w:space="0" w:color="auto"/>
            <w:right w:val="none" w:sz="0" w:space="0" w:color="auto"/>
          </w:divBdr>
        </w:div>
      </w:divsChild>
    </w:div>
    <w:div w:id="1118378071">
      <w:bodyDiv w:val="1"/>
      <w:marLeft w:val="0"/>
      <w:marRight w:val="0"/>
      <w:marTop w:val="0"/>
      <w:marBottom w:val="0"/>
      <w:divBdr>
        <w:top w:val="none" w:sz="0" w:space="0" w:color="auto"/>
        <w:left w:val="none" w:sz="0" w:space="0" w:color="auto"/>
        <w:bottom w:val="none" w:sz="0" w:space="0" w:color="auto"/>
        <w:right w:val="none" w:sz="0" w:space="0" w:color="auto"/>
      </w:divBdr>
      <w:divsChild>
        <w:div w:id="91123368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73F7-4B05-4A2D-8AC3-A413704A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20011</Words>
  <Characters>114068</Characters>
  <Application>Microsoft Office Word</Application>
  <DocSecurity>0</DocSecurity>
  <Lines>950</Lines>
  <Paragraphs>267</Paragraphs>
  <ScaleCrop>false</ScaleCrop>
  <Company/>
  <LinksUpToDate>false</LinksUpToDate>
  <CharactersWithSpaces>133812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2022-03-16T14:06:00Z</dcterms:created>
  <dcterms:modified xsi:type="dcterms:W3CDTF">2022-03-16T14:06:00Z</dcterms:modified>
</cp:coreProperties>
</file>