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D9973" w14:textId="77777777" w:rsidR="007F1903" w:rsidRPr="00506A01" w:rsidRDefault="007F1903" w:rsidP="0034569C">
      <w:pPr>
        <w:spacing w:line="276" w:lineRule="auto"/>
        <w:jc w:val="center"/>
        <w:rPr>
          <w:rFonts w:ascii="Calibri" w:hAnsi="Calibri" w:cs="Calibri"/>
          <w:b/>
          <w:sz w:val="22"/>
          <w:szCs w:val="22"/>
        </w:rPr>
      </w:pPr>
      <w:r w:rsidRPr="00506A01">
        <w:rPr>
          <w:rFonts w:ascii="Calibri" w:hAnsi="Calibri" w:cs="Calibri"/>
          <w:b/>
          <w:sz w:val="22"/>
          <w:szCs w:val="22"/>
        </w:rPr>
        <w:t>THE HIGH COURT</w:t>
      </w:r>
    </w:p>
    <w:p w14:paraId="5E24A49F" w14:textId="77777777" w:rsidR="00C33AEF" w:rsidRPr="00506A01" w:rsidRDefault="005A466E" w:rsidP="0034569C">
      <w:pPr>
        <w:spacing w:line="276" w:lineRule="auto"/>
        <w:jc w:val="right"/>
        <w:rPr>
          <w:rFonts w:ascii="Calibri" w:hAnsi="Calibri" w:cs="Calibri"/>
          <w:b/>
          <w:sz w:val="22"/>
          <w:szCs w:val="22"/>
        </w:rPr>
      </w:pPr>
      <w:r w:rsidRPr="00506A01">
        <w:rPr>
          <w:rFonts w:ascii="Calibri" w:hAnsi="Calibri" w:cs="Calibri"/>
          <w:b/>
          <w:sz w:val="22"/>
          <w:szCs w:val="22"/>
        </w:rPr>
        <w:t>[</w:t>
      </w:r>
      <w:r w:rsidR="00C33AEF" w:rsidRPr="00506A01">
        <w:rPr>
          <w:rFonts w:ascii="Calibri" w:hAnsi="Calibri" w:cs="Calibri"/>
          <w:b/>
          <w:sz w:val="22"/>
          <w:szCs w:val="22"/>
        </w:rPr>
        <w:t>Circuit Court Record</w:t>
      </w:r>
      <w:r w:rsidR="00E0318A" w:rsidRPr="00506A01">
        <w:rPr>
          <w:rFonts w:ascii="Calibri" w:hAnsi="Calibri" w:cs="Calibri"/>
          <w:b/>
          <w:sz w:val="22"/>
          <w:szCs w:val="22"/>
        </w:rPr>
        <w:t xml:space="preserve"> No.</w:t>
      </w:r>
      <w:r w:rsidR="006D7B9E" w:rsidRPr="00506A01">
        <w:rPr>
          <w:rFonts w:ascii="Calibri" w:hAnsi="Calibri" w:cs="Calibri"/>
          <w:b/>
          <w:sz w:val="22"/>
          <w:szCs w:val="22"/>
        </w:rPr>
        <w:t xml:space="preserve"> 427/2017</w:t>
      </w:r>
      <w:r w:rsidR="00C33AEF" w:rsidRPr="00506A01">
        <w:rPr>
          <w:rFonts w:ascii="Calibri" w:hAnsi="Calibri" w:cs="Calibri"/>
          <w:b/>
          <w:sz w:val="22"/>
          <w:szCs w:val="22"/>
        </w:rPr>
        <w:t>]</w:t>
      </w:r>
    </w:p>
    <w:p w14:paraId="3ECC4B6B" w14:textId="77777777" w:rsidR="007F1903" w:rsidRPr="00506A01" w:rsidRDefault="006D7B9E" w:rsidP="0034569C">
      <w:pPr>
        <w:spacing w:line="276" w:lineRule="auto"/>
        <w:jc w:val="right"/>
        <w:rPr>
          <w:rFonts w:ascii="Calibri" w:hAnsi="Calibri" w:cs="Calibri"/>
          <w:b/>
          <w:sz w:val="22"/>
          <w:szCs w:val="22"/>
        </w:rPr>
      </w:pPr>
      <w:r w:rsidRPr="00506A01">
        <w:rPr>
          <w:rFonts w:ascii="Calibri" w:hAnsi="Calibri" w:cs="Calibri"/>
          <w:b/>
          <w:sz w:val="22"/>
          <w:szCs w:val="22"/>
        </w:rPr>
        <w:t>[High Court Appeal No. 2021/128</w:t>
      </w:r>
      <w:r w:rsidR="00C33AEF" w:rsidRPr="00506A01">
        <w:rPr>
          <w:rFonts w:ascii="Calibri" w:hAnsi="Calibri" w:cs="Calibri"/>
          <w:b/>
          <w:sz w:val="22"/>
          <w:szCs w:val="22"/>
        </w:rPr>
        <w:t xml:space="preserve"> CA</w:t>
      </w:r>
      <w:r w:rsidR="005A466E" w:rsidRPr="00506A01">
        <w:rPr>
          <w:rFonts w:ascii="Calibri" w:hAnsi="Calibri" w:cs="Calibri"/>
          <w:b/>
          <w:sz w:val="22"/>
          <w:szCs w:val="22"/>
        </w:rPr>
        <w:t>]</w:t>
      </w:r>
    </w:p>
    <w:p w14:paraId="3E7611AD" w14:textId="77777777" w:rsidR="002E41CE" w:rsidRPr="00506A01" w:rsidRDefault="002E41CE" w:rsidP="0034569C">
      <w:pPr>
        <w:spacing w:line="276" w:lineRule="auto"/>
        <w:rPr>
          <w:rFonts w:ascii="Calibri" w:hAnsi="Calibri" w:cs="Calibri"/>
          <w:b/>
          <w:sz w:val="22"/>
          <w:szCs w:val="22"/>
        </w:rPr>
      </w:pPr>
      <w:r w:rsidRPr="00506A01">
        <w:rPr>
          <w:rFonts w:ascii="Calibri" w:hAnsi="Calibri" w:cs="Calibri"/>
          <w:b/>
          <w:sz w:val="22"/>
          <w:szCs w:val="22"/>
        </w:rPr>
        <w:t xml:space="preserve">BETWEEN </w:t>
      </w:r>
    </w:p>
    <w:p w14:paraId="5290F077" w14:textId="77777777" w:rsidR="002E41CE" w:rsidRPr="00506A01" w:rsidRDefault="00C33AEF" w:rsidP="0034569C">
      <w:pPr>
        <w:spacing w:line="276" w:lineRule="auto"/>
        <w:jc w:val="center"/>
        <w:rPr>
          <w:rFonts w:ascii="Calibri" w:hAnsi="Calibri" w:cs="Calibri"/>
          <w:b/>
          <w:sz w:val="22"/>
          <w:szCs w:val="22"/>
        </w:rPr>
      </w:pPr>
      <w:r w:rsidRPr="00506A01">
        <w:rPr>
          <w:rFonts w:ascii="Calibri" w:hAnsi="Calibri" w:cs="Calibri"/>
          <w:b/>
          <w:sz w:val="22"/>
          <w:szCs w:val="22"/>
        </w:rPr>
        <w:t>START MORTGAGES DESIGNATED ACTIVITY COMPANY</w:t>
      </w:r>
    </w:p>
    <w:p w14:paraId="1D65DE2C" w14:textId="77777777" w:rsidR="002E41CE" w:rsidRPr="00506A01" w:rsidRDefault="00536877" w:rsidP="0034569C">
      <w:pPr>
        <w:spacing w:line="276" w:lineRule="auto"/>
        <w:jc w:val="right"/>
        <w:rPr>
          <w:rFonts w:ascii="Calibri" w:hAnsi="Calibri" w:cs="Calibri"/>
          <w:b/>
          <w:sz w:val="22"/>
          <w:szCs w:val="22"/>
        </w:rPr>
      </w:pPr>
      <w:r w:rsidRPr="00506A01">
        <w:rPr>
          <w:rFonts w:ascii="Calibri" w:hAnsi="Calibri" w:cs="Calibri"/>
          <w:b/>
          <w:sz w:val="22"/>
          <w:szCs w:val="22"/>
        </w:rPr>
        <w:t>PLAINTIFF</w:t>
      </w:r>
    </w:p>
    <w:p w14:paraId="3DA20552" w14:textId="27A21D36" w:rsidR="00536877" w:rsidRPr="00506A01" w:rsidRDefault="002E41CE" w:rsidP="000861D8">
      <w:pPr>
        <w:spacing w:line="276" w:lineRule="auto"/>
        <w:rPr>
          <w:rFonts w:ascii="Calibri" w:hAnsi="Calibri" w:cs="Calibri"/>
          <w:b/>
          <w:sz w:val="22"/>
          <w:szCs w:val="22"/>
        </w:rPr>
      </w:pPr>
      <w:r w:rsidRPr="00506A01">
        <w:rPr>
          <w:rFonts w:ascii="Calibri" w:hAnsi="Calibri" w:cs="Calibri"/>
          <w:b/>
          <w:sz w:val="22"/>
          <w:szCs w:val="22"/>
        </w:rPr>
        <w:t xml:space="preserve">AND </w:t>
      </w:r>
    </w:p>
    <w:p w14:paraId="0BB2E486" w14:textId="0D6789CA" w:rsidR="0034569C" w:rsidRPr="00506A01" w:rsidRDefault="006D7B9E" w:rsidP="0034569C">
      <w:pPr>
        <w:spacing w:line="276" w:lineRule="auto"/>
        <w:jc w:val="center"/>
        <w:rPr>
          <w:rFonts w:ascii="Calibri" w:hAnsi="Calibri" w:cs="Calibri"/>
          <w:b/>
          <w:sz w:val="22"/>
          <w:szCs w:val="22"/>
        </w:rPr>
      </w:pPr>
      <w:r w:rsidRPr="00506A01">
        <w:rPr>
          <w:rFonts w:ascii="Calibri" w:hAnsi="Calibri" w:cs="Calibri"/>
          <w:b/>
          <w:sz w:val="22"/>
          <w:szCs w:val="22"/>
        </w:rPr>
        <w:t>GERARD ADAMSON</w:t>
      </w:r>
      <w:bookmarkStart w:id="0" w:name="_GoBack"/>
      <w:bookmarkEnd w:id="0"/>
    </w:p>
    <w:p w14:paraId="68F591F7" w14:textId="1C0F2E15" w:rsidR="0034569C" w:rsidRPr="00506A01" w:rsidRDefault="006D7B9E" w:rsidP="0034569C">
      <w:pPr>
        <w:spacing w:line="276" w:lineRule="auto"/>
        <w:jc w:val="center"/>
        <w:rPr>
          <w:rFonts w:ascii="Calibri" w:hAnsi="Calibri" w:cs="Calibri"/>
          <w:b/>
          <w:sz w:val="22"/>
          <w:szCs w:val="22"/>
        </w:rPr>
      </w:pPr>
      <w:r w:rsidRPr="00506A01">
        <w:rPr>
          <w:rFonts w:ascii="Calibri" w:hAnsi="Calibri" w:cs="Calibri"/>
          <w:b/>
          <w:sz w:val="22"/>
          <w:szCs w:val="22"/>
        </w:rPr>
        <w:t>AND</w:t>
      </w:r>
    </w:p>
    <w:p w14:paraId="2FED8DCB" w14:textId="77777777" w:rsidR="002E41CE" w:rsidRPr="00506A01" w:rsidRDefault="006D7B9E" w:rsidP="0034569C">
      <w:pPr>
        <w:spacing w:line="276" w:lineRule="auto"/>
        <w:jc w:val="center"/>
        <w:rPr>
          <w:rFonts w:ascii="Calibri" w:hAnsi="Calibri" w:cs="Calibri"/>
          <w:b/>
          <w:sz w:val="22"/>
          <w:szCs w:val="22"/>
        </w:rPr>
      </w:pPr>
      <w:r w:rsidRPr="00506A01">
        <w:rPr>
          <w:rFonts w:ascii="Calibri" w:hAnsi="Calibri" w:cs="Calibri"/>
          <w:b/>
          <w:sz w:val="22"/>
          <w:szCs w:val="22"/>
        </w:rPr>
        <w:t>MARTINA BRENNAN</w:t>
      </w:r>
    </w:p>
    <w:p w14:paraId="1965ECCF" w14:textId="5FA71373" w:rsidR="0034569C" w:rsidRPr="00506A01" w:rsidRDefault="00536877" w:rsidP="000861D8">
      <w:pPr>
        <w:spacing w:line="276" w:lineRule="auto"/>
        <w:jc w:val="right"/>
        <w:rPr>
          <w:rFonts w:ascii="Calibri" w:hAnsi="Calibri" w:cs="Calibri"/>
          <w:b/>
          <w:sz w:val="22"/>
          <w:szCs w:val="22"/>
        </w:rPr>
      </w:pPr>
      <w:r w:rsidRPr="00506A01">
        <w:rPr>
          <w:rFonts w:ascii="Calibri" w:hAnsi="Calibri" w:cs="Calibri"/>
          <w:b/>
          <w:sz w:val="22"/>
          <w:szCs w:val="22"/>
        </w:rPr>
        <w:t>DEFENDANTS</w:t>
      </w:r>
    </w:p>
    <w:p w14:paraId="763A792B" w14:textId="77777777" w:rsidR="0034569C" w:rsidRPr="00506A01" w:rsidRDefault="0034569C" w:rsidP="0034569C">
      <w:pPr>
        <w:spacing w:line="276" w:lineRule="auto"/>
        <w:jc w:val="right"/>
        <w:rPr>
          <w:rFonts w:ascii="Calibri" w:hAnsi="Calibri" w:cs="Calibri"/>
          <w:b/>
          <w:sz w:val="22"/>
          <w:szCs w:val="22"/>
        </w:rPr>
      </w:pPr>
    </w:p>
    <w:p w14:paraId="1871B34C" w14:textId="3442573A" w:rsidR="0034569C" w:rsidRPr="00506A01" w:rsidRDefault="002E41CE" w:rsidP="000861D8">
      <w:pPr>
        <w:pStyle w:val="Heading1"/>
      </w:pPr>
      <w:r w:rsidRPr="00506A01">
        <w:t>JUDGMENT of M</w:t>
      </w:r>
      <w:r w:rsidR="007A698B" w:rsidRPr="00506A01">
        <w:t>r</w:t>
      </w:r>
      <w:r w:rsidRPr="00506A01">
        <w:t xml:space="preserve">. </w:t>
      </w:r>
      <w:r w:rsidR="00C33AEF" w:rsidRPr="00506A01">
        <w:t xml:space="preserve">Justice </w:t>
      </w:r>
      <w:r w:rsidR="007A698B" w:rsidRPr="00506A01">
        <w:t>Holland</w:t>
      </w:r>
      <w:r w:rsidRPr="00506A01">
        <w:t xml:space="preserve"> delivered on the</w:t>
      </w:r>
      <w:r w:rsidR="001E2A5E" w:rsidRPr="00506A01">
        <w:t xml:space="preserve"> </w:t>
      </w:r>
      <w:r w:rsidR="0035499D" w:rsidRPr="00506A01">
        <w:t>7</w:t>
      </w:r>
      <w:r w:rsidR="0035499D" w:rsidRPr="00506A01">
        <w:rPr>
          <w:vertAlign w:val="superscript"/>
        </w:rPr>
        <w:t>th</w:t>
      </w:r>
      <w:r w:rsidR="0035499D" w:rsidRPr="00506A01">
        <w:t xml:space="preserve"> </w:t>
      </w:r>
      <w:r w:rsidR="001E2A5E" w:rsidRPr="00506A01">
        <w:t xml:space="preserve">of March </w:t>
      </w:r>
      <w:r w:rsidR="00FA54F7" w:rsidRPr="00506A01">
        <w:t>2022</w:t>
      </w:r>
    </w:p>
    <w:p w14:paraId="5CF836E3" w14:textId="77777777" w:rsidR="0034569C" w:rsidRPr="00506A01" w:rsidRDefault="0034569C" w:rsidP="0034569C">
      <w:pPr>
        <w:spacing w:line="276" w:lineRule="auto"/>
        <w:rPr>
          <w:rFonts w:ascii="Calibri" w:hAnsi="Calibri" w:cs="Calibri"/>
          <w:sz w:val="22"/>
          <w:szCs w:val="22"/>
        </w:rPr>
      </w:pPr>
    </w:p>
    <w:p w14:paraId="395E78DC" w14:textId="79062ACF" w:rsidR="006D7B9E" w:rsidRPr="00506A01" w:rsidRDefault="006D7B9E" w:rsidP="00236C0F">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This is my judgment on the plaintiff’s appeal of the refusal by His Honour Judge Quinn of the Circuit Court</w:t>
      </w:r>
      <w:r w:rsidR="001E2A5E" w:rsidRPr="00506A01">
        <w:rPr>
          <w:rFonts w:ascii="Calibri" w:hAnsi="Calibri" w:cs="Calibri"/>
          <w:sz w:val="22"/>
          <w:szCs w:val="22"/>
        </w:rPr>
        <w:t xml:space="preserve"> on 26 July 2021</w:t>
      </w:r>
      <w:r w:rsidRPr="00506A01">
        <w:rPr>
          <w:rFonts w:ascii="Calibri" w:hAnsi="Calibri" w:cs="Calibri"/>
          <w:sz w:val="22"/>
          <w:szCs w:val="22"/>
        </w:rPr>
        <w:t xml:space="preserve"> </w:t>
      </w:r>
      <w:r w:rsidR="0050058A" w:rsidRPr="00506A01">
        <w:rPr>
          <w:rFonts w:ascii="Calibri" w:hAnsi="Calibri" w:cs="Calibri"/>
          <w:sz w:val="22"/>
          <w:szCs w:val="22"/>
        </w:rPr>
        <w:t xml:space="preserve">to renew the </w:t>
      </w:r>
      <w:r w:rsidR="00641ACB" w:rsidRPr="00506A01">
        <w:rPr>
          <w:rFonts w:ascii="Calibri" w:hAnsi="Calibri" w:cs="Calibri"/>
          <w:sz w:val="22"/>
          <w:szCs w:val="22"/>
        </w:rPr>
        <w:t>C</w:t>
      </w:r>
      <w:r w:rsidR="0050058A" w:rsidRPr="00506A01">
        <w:rPr>
          <w:rFonts w:ascii="Calibri" w:hAnsi="Calibri" w:cs="Calibri"/>
          <w:sz w:val="22"/>
          <w:szCs w:val="22"/>
        </w:rPr>
        <w:t xml:space="preserve">ivil </w:t>
      </w:r>
      <w:r w:rsidR="00641ACB" w:rsidRPr="00506A01">
        <w:rPr>
          <w:rFonts w:ascii="Calibri" w:hAnsi="Calibri" w:cs="Calibri"/>
          <w:sz w:val="22"/>
          <w:szCs w:val="22"/>
        </w:rPr>
        <w:t>B</w:t>
      </w:r>
      <w:r w:rsidR="0050058A" w:rsidRPr="00506A01">
        <w:rPr>
          <w:rFonts w:ascii="Calibri" w:hAnsi="Calibri" w:cs="Calibri"/>
          <w:sz w:val="22"/>
          <w:szCs w:val="22"/>
        </w:rPr>
        <w:t xml:space="preserve">ill </w:t>
      </w:r>
      <w:r w:rsidR="0034569C" w:rsidRPr="00506A01">
        <w:rPr>
          <w:rFonts w:ascii="Calibri" w:hAnsi="Calibri" w:cs="Calibri"/>
          <w:sz w:val="22"/>
          <w:szCs w:val="22"/>
        </w:rPr>
        <w:t xml:space="preserve">for possession in this case </w:t>
      </w:r>
      <w:r w:rsidRPr="00506A01">
        <w:rPr>
          <w:rFonts w:ascii="Calibri" w:hAnsi="Calibri" w:cs="Calibri"/>
          <w:sz w:val="22"/>
          <w:szCs w:val="22"/>
        </w:rPr>
        <w:t xml:space="preserve">for service on the second defendant. Service has been effected on the first defendant. The application is grounded on an </w:t>
      </w:r>
      <w:r w:rsidRPr="00506A01">
        <w:rPr>
          <w:rFonts w:ascii="Calibri" w:hAnsi="Calibri" w:cs="Calibri"/>
          <w:i/>
          <w:sz w:val="22"/>
          <w:szCs w:val="22"/>
        </w:rPr>
        <w:t xml:space="preserve">ex parte </w:t>
      </w:r>
      <w:r w:rsidRPr="00506A01">
        <w:rPr>
          <w:rFonts w:ascii="Calibri" w:hAnsi="Calibri" w:cs="Calibri"/>
          <w:sz w:val="22"/>
          <w:szCs w:val="22"/>
        </w:rPr>
        <w:t>docket dated 15</w:t>
      </w:r>
      <w:r w:rsidRPr="00506A01">
        <w:rPr>
          <w:rFonts w:ascii="Calibri" w:hAnsi="Calibri" w:cs="Calibri"/>
          <w:sz w:val="22"/>
          <w:szCs w:val="22"/>
          <w:vertAlign w:val="superscript"/>
        </w:rPr>
        <w:t>th</w:t>
      </w:r>
      <w:r w:rsidRPr="00506A01">
        <w:rPr>
          <w:rFonts w:ascii="Calibri" w:hAnsi="Calibri" w:cs="Calibri"/>
          <w:sz w:val="22"/>
          <w:szCs w:val="22"/>
        </w:rPr>
        <w:t xml:space="preserve"> April, </w:t>
      </w:r>
      <w:r w:rsidR="000D0DBB" w:rsidRPr="00506A01">
        <w:rPr>
          <w:rFonts w:ascii="Calibri" w:hAnsi="Calibri" w:cs="Calibri"/>
          <w:sz w:val="22"/>
          <w:szCs w:val="22"/>
        </w:rPr>
        <w:t xml:space="preserve">2021, </w:t>
      </w:r>
      <w:r w:rsidR="0034569C" w:rsidRPr="00506A01">
        <w:rPr>
          <w:rFonts w:ascii="Calibri" w:hAnsi="Calibri" w:cs="Calibri"/>
          <w:sz w:val="22"/>
          <w:szCs w:val="22"/>
        </w:rPr>
        <w:t>and</w:t>
      </w:r>
      <w:r w:rsidR="000D0DBB" w:rsidRPr="00506A01">
        <w:rPr>
          <w:rFonts w:ascii="Calibri" w:hAnsi="Calibri" w:cs="Calibri"/>
          <w:sz w:val="22"/>
          <w:szCs w:val="22"/>
        </w:rPr>
        <w:t xml:space="preserve"> </w:t>
      </w:r>
      <w:r w:rsidR="001E2A5E" w:rsidRPr="00506A01">
        <w:rPr>
          <w:rFonts w:ascii="Calibri" w:hAnsi="Calibri" w:cs="Calibri"/>
          <w:sz w:val="22"/>
          <w:szCs w:val="22"/>
        </w:rPr>
        <w:t>o</w:t>
      </w:r>
      <w:r w:rsidR="000D0DBB" w:rsidRPr="00506A01">
        <w:rPr>
          <w:rFonts w:ascii="Calibri" w:hAnsi="Calibri" w:cs="Calibri"/>
          <w:sz w:val="22"/>
          <w:szCs w:val="22"/>
        </w:rPr>
        <w:t xml:space="preserve">n the affidavits of </w:t>
      </w:r>
      <w:r w:rsidR="00236C0F" w:rsidRPr="00506A01">
        <w:rPr>
          <w:rFonts w:ascii="Calibri" w:hAnsi="Calibri" w:cs="Calibri"/>
          <w:sz w:val="22"/>
          <w:szCs w:val="22"/>
        </w:rPr>
        <w:t>K</w:t>
      </w:r>
      <w:r w:rsidR="000D0DBB" w:rsidRPr="00506A01">
        <w:rPr>
          <w:rFonts w:ascii="Calibri" w:hAnsi="Calibri" w:cs="Calibri"/>
          <w:sz w:val="22"/>
          <w:szCs w:val="22"/>
        </w:rPr>
        <w:t>i</w:t>
      </w:r>
      <w:r w:rsidR="00236C0F" w:rsidRPr="00506A01">
        <w:rPr>
          <w:rFonts w:ascii="Calibri" w:hAnsi="Calibri" w:cs="Calibri"/>
          <w:sz w:val="22"/>
          <w:szCs w:val="22"/>
        </w:rPr>
        <w:t>e</w:t>
      </w:r>
      <w:r w:rsidR="000D0DBB" w:rsidRPr="00506A01">
        <w:rPr>
          <w:rFonts w:ascii="Calibri" w:hAnsi="Calibri" w:cs="Calibri"/>
          <w:sz w:val="22"/>
          <w:szCs w:val="22"/>
        </w:rPr>
        <w:t>ran Lucey, sworn 31</w:t>
      </w:r>
      <w:r w:rsidR="000D0DBB" w:rsidRPr="00506A01">
        <w:rPr>
          <w:rFonts w:ascii="Calibri" w:hAnsi="Calibri" w:cs="Calibri"/>
          <w:sz w:val="22"/>
          <w:szCs w:val="22"/>
          <w:vertAlign w:val="superscript"/>
        </w:rPr>
        <w:t>st</w:t>
      </w:r>
      <w:r w:rsidR="000D0DBB" w:rsidRPr="00506A01">
        <w:rPr>
          <w:rFonts w:ascii="Calibri" w:hAnsi="Calibri" w:cs="Calibri"/>
          <w:sz w:val="22"/>
          <w:szCs w:val="22"/>
        </w:rPr>
        <w:t xml:space="preserve"> March, 2021, Colleen Barrett, sworn 30</w:t>
      </w:r>
      <w:r w:rsidR="000D0DBB" w:rsidRPr="00506A01">
        <w:rPr>
          <w:rFonts w:ascii="Calibri" w:hAnsi="Calibri" w:cs="Calibri"/>
          <w:sz w:val="22"/>
          <w:szCs w:val="22"/>
          <w:vertAlign w:val="superscript"/>
        </w:rPr>
        <w:t>th</w:t>
      </w:r>
      <w:r w:rsidR="000D0DBB" w:rsidRPr="00506A01">
        <w:rPr>
          <w:rFonts w:ascii="Calibri" w:hAnsi="Calibri" w:cs="Calibri"/>
          <w:sz w:val="22"/>
          <w:szCs w:val="22"/>
        </w:rPr>
        <w:t xml:space="preserve"> April, 2018 and Tim Ferguson, sworn 8</w:t>
      </w:r>
      <w:r w:rsidR="000D0DBB" w:rsidRPr="00506A01">
        <w:rPr>
          <w:rFonts w:ascii="Calibri" w:hAnsi="Calibri" w:cs="Calibri"/>
          <w:sz w:val="22"/>
          <w:szCs w:val="22"/>
          <w:vertAlign w:val="superscript"/>
        </w:rPr>
        <w:t>th</w:t>
      </w:r>
      <w:r w:rsidR="000D0DBB" w:rsidRPr="00506A01">
        <w:rPr>
          <w:rFonts w:ascii="Calibri" w:hAnsi="Calibri" w:cs="Calibri"/>
          <w:sz w:val="22"/>
          <w:szCs w:val="22"/>
        </w:rPr>
        <w:t xml:space="preserve"> September, 2017. That </w:t>
      </w:r>
      <w:r w:rsidR="000D0DBB" w:rsidRPr="00506A01">
        <w:rPr>
          <w:rFonts w:ascii="Calibri" w:hAnsi="Calibri" w:cs="Calibri"/>
          <w:i/>
          <w:sz w:val="22"/>
          <w:szCs w:val="22"/>
        </w:rPr>
        <w:t>ex parte</w:t>
      </w:r>
      <w:r w:rsidR="000D0DBB" w:rsidRPr="00506A01">
        <w:rPr>
          <w:rFonts w:ascii="Calibri" w:hAnsi="Calibri" w:cs="Calibri"/>
          <w:sz w:val="22"/>
          <w:szCs w:val="22"/>
        </w:rPr>
        <w:t xml:space="preserve"> docket sought renewal of the </w:t>
      </w:r>
      <w:r w:rsidR="00641ACB" w:rsidRPr="00506A01">
        <w:rPr>
          <w:rFonts w:ascii="Calibri" w:hAnsi="Calibri" w:cs="Calibri"/>
          <w:sz w:val="22"/>
          <w:szCs w:val="22"/>
        </w:rPr>
        <w:t>C</w:t>
      </w:r>
      <w:r w:rsidR="000D0DBB" w:rsidRPr="00506A01">
        <w:rPr>
          <w:rFonts w:ascii="Calibri" w:hAnsi="Calibri" w:cs="Calibri"/>
          <w:sz w:val="22"/>
          <w:szCs w:val="22"/>
        </w:rPr>
        <w:t xml:space="preserve">ivil </w:t>
      </w:r>
      <w:r w:rsidR="00641ACB" w:rsidRPr="00506A01">
        <w:rPr>
          <w:rFonts w:ascii="Calibri" w:hAnsi="Calibri" w:cs="Calibri"/>
          <w:sz w:val="22"/>
          <w:szCs w:val="22"/>
        </w:rPr>
        <w:t>B</w:t>
      </w:r>
      <w:r w:rsidR="000D0DBB" w:rsidRPr="00506A01">
        <w:rPr>
          <w:rFonts w:ascii="Calibri" w:hAnsi="Calibri" w:cs="Calibri"/>
          <w:sz w:val="22"/>
          <w:szCs w:val="22"/>
        </w:rPr>
        <w:t xml:space="preserve">ill pursuant to O. 12, r. 3 of the Rules of the Circuit Courts. It also sought an order for substituted service of the </w:t>
      </w:r>
      <w:r w:rsidR="00641ACB" w:rsidRPr="00506A01">
        <w:rPr>
          <w:rFonts w:ascii="Calibri" w:hAnsi="Calibri" w:cs="Calibri"/>
          <w:sz w:val="22"/>
          <w:szCs w:val="22"/>
        </w:rPr>
        <w:t>C</w:t>
      </w:r>
      <w:r w:rsidR="000D0DBB" w:rsidRPr="00506A01">
        <w:rPr>
          <w:rFonts w:ascii="Calibri" w:hAnsi="Calibri" w:cs="Calibri"/>
          <w:sz w:val="22"/>
          <w:szCs w:val="22"/>
        </w:rPr>
        <w:t xml:space="preserve">ivil </w:t>
      </w:r>
      <w:r w:rsidR="00641ACB" w:rsidRPr="00506A01">
        <w:rPr>
          <w:rFonts w:ascii="Calibri" w:hAnsi="Calibri" w:cs="Calibri"/>
          <w:sz w:val="22"/>
          <w:szCs w:val="22"/>
        </w:rPr>
        <w:t>B</w:t>
      </w:r>
      <w:r w:rsidR="000D0DBB" w:rsidRPr="00506A01">
        <w:rPr>
          <w:rFonts w:ascii="Calibri" w:hAnsi="Calibri" w:cs="Calibri"/>
          <w:sz w:val="22"/>
          <w:szCs w:val="22"/>
        </w:rPr>
        <w:t>ill and</w:t>
      </w:r>
      <w:r w:rsidR="001E2A5E" w:rsidRPr="00506A01">
        <w:rPr>
          <w:rFonts w:ascii="Calibri" w:hAnsi="Calibri" w:cs="Calibri"/>
          <w:sz w:val="22"/>
          <w:szCs w:val="22"/>
        </w:rPr>
        <w:t xml:space="preserve"> of</w:t>
      </w:r>
      <w:r w:rsidR="000D0DBB" w:rsidRPr="00506A01">
        <w:rPr>
          <w:rFonts w:ascii="Calibri" w:hAnsi="Calibri" w:cs="Calibri"/>
          <w:sz w:val="22"/>
          <w:szCs w:val="22"/>
        </w:rPr>
        <w:t xml:space="preserve"> the affidavit grounding that </w:t>
      </w:r>
      <w:r w:rsidR="00641ACB" w:rsidRPr="00506A01">
        <w:rPr>
          <w:rFonts w:ascii="Calibri" w:hAnsi="Calibri" w:cs="Calibri"/>
          <w:sz w:val="22"/>
          <w:szCs w:val="22"/>
        </w:rPr>
        <w:t>C</w:t>
      </w:r>
      <w:r w:rsidR="000D0DBB" w:rsidRPr="00506A01">
        <w:rPr>
          <w:rFonts w:ascii="Calibri" w:hAnsi="Calibri" w:cs="Calibri"/>
          <w:sz w:val="22"/>
          <w:szCs w:val="22"/>
        </w:rPr>
        <w:t xml:space="preserve">ivil </w:t>
      </w:r>
      <w:r w:rsidR="007C6CEE">
        <w:rPr>
          <w:rFonts w:ascii="Calibri" w:hAnsi="Calibri" w:cs="Calibri"/>
          <w:sz w:val="22"/>
          <w:szCs w:val="22"/>
        </w:rPr>
        <w:t>B</w:t>
      </w:r>
      <w:r w:rsidR="000D0DBB" w:rsidRPr="00506A01">
        <w:rPr>
          <w:rFonts w:ascii="Calibri" w:hAnsi="Calibri" w:cs="Calibri"/>
          <w:sz w:val="22"/>
          <w:szCs w:val="22"/>
        </w:rPr>
        <w:t xml:space="preserve">ill and </w:t>
      </w:r>
      <w:r w:rsidR="001E2A5E" w:rsidRPr="00506A01">
        <w:rPr>
          <w:rFonts w:ascii="Calibri" w:hAnsi="Calibri" w:cs="Calibri"/>
          <w:sz w:val="22"/>
          <w:szCs w:val="22"/>
        </w:rPr>
        <w:t xml:space="preserve">of </w:t>
      </w:r>
      <w:r w:rsidR="000D0DBB" w:rsidRPr="00506A01">
        <w:rPr>
          <w:rFonts w:ascii="Calibri" w:hAnsi="Calibri" w:cs="Calibri"/>
          <w:sz w:val="22"/>
          <w:szCs w:val="22"/>
        </w:rPr>
        <w:t>all further and subsequent documents on the second defendant</w:t>
      </w:r>
      <w:r w:rsidR="0034569C" w:rsidRPr="00506A01">
        <w:rPr>
          <w:rFonts w:ascii="Calibri" w:hAnsi="Calibri" w:cs="Calibri"/>
          <w:sz w:val="22"/>
          <w:szCs w:val="22"/>
        </w:rPr>
        <w:t>.</w:t>
      </w:r>
      <w:r w:rsidR="000D0DBB" w:rsidRPr="00506A01">
        <w:rPr>
          <w:rFonts w:ascii="Calibri" w:hAnsi="Calibri" w:cs="Calibri"/>
          <w:sz w:val="22"/>
          <w:szCs w:val="22"/>
        </w:rPr>
        <w:t xml:space="preserve"> </w:t>
      </w:r>
      <w:r w:rsidR="0034569C" w:rsidRPr="00506A01">
        <w:rPr>
          <w:rFonts w:ascii="Calibri" w:hAnsi="Calibri" w:cs="Calibri"/>
          <w:sz w:val="22"/>
          <w:szCs w:val="22"/>
        </w:rPr>
        <w:t>B</w:t>
      </w:r>
      <w:r w:rsidR="000D0DBB" w:rsidRPr="00506A01">
        <w:rPr>
          <w:rFonts w:ascii="Calibri" w:hAnsi="Calibri" w:cs="Calibri"/>
          <w:sz w:val="22"/>
          <w:szCs w:val="22"/>
        </w:rPr>
        <w:t>ut</w:t>
      </w:r>
      <w:r w:rsidR="0034569C" w:rsidRPr="00506A01">
        <w:rPr>
          <w:rFonts w:ascii="Calibri" w:hAnsi="Calibri" w:cs="Calibri"/>
          <w:sz w:val="22"/>
          <w:szCs w:val="22"/>
        </w:rPr>
        <w:t xml:space="preserve"> as</w:t>
      </w:r>
      <w:r w:rsidR="000D0DBB" w:rsidRPr="00506A01">
        <w:rPr>
          <w:rFonts w:ascii="Calibri" w:hAnsi="Calibri" w:cs="Calibri"/>
          <w:sz w:val="22"/>
          <w:szCs w:val="22"/>
        </w:rPr>
        <w:t xml:space="preserve"> renewal of the </w:t>
      </w:r>
      <w:r w:rsidR="00641ACB" w:rsidRPr="00506A01">
        <w:rPr>
          <w:rFonts w:ascii="Calibri" w:hAnsi="Calibri" w:cs="Calibri"/>
          <w:sz w:val="22"/>
          <w:szCs w:val="22"/>
        </w:rPr>
        <w:t>C</w:t>
      </w:r>
      <w:r w:rsidR="000D0DBB" w:rsidRPr="00506A01">
        <w:rPr>
          <w:rFonts w:ascii="Calibri" w:hAnsi="Calibri" w:cs="Calibri"/>
          <w:sz w:val="22"/>
          <w:szCs w:val="22"/>
        </w:rPr>
        <w:t xml:space="preserve">ivil </w:t>
      </w:r>
      <w:r w:rsidR="00641ACB" w:rsidRPr="00506A01">
        <w:rPr>
          <w:rFonts w:ascii="Calibri" w:hAnsi="Calibri" w:cs="Calibri"/>
          <w:sz w:val="22"/>
          <w:szCs w:val="22"/>
        </w:rPr>
        <w:t>B</w:t>
      </w:r>
      <w:r w:rsidR="000D0DBB" w:rsidRPr="00506A01">
        <w:rPr>
          <w:rFonts w:ascii="Calibri" w:hAnsi="Calibri" w:cs="Calibri"/>
          <w:sz w:val="22"/>
          <w:szCs w:val="22"/>
        </w:rPr>
        <w:t xml:space="preserve">ill was refused, the application as to substituted service </w:t>
      </w:r>
      <w:r w:rsidR="0034569C" w:rsidRPr="00506A01">
        <w:rPr>
          <w:rFonts w:ascii="Calibri" w:hAnsi="Calibri" w:cs="Calibri"/>
          <w:sz w:val="22"/>
          <w:szCs w:val="22"/>
        </w:rPr>
        <w:t>fell</w:t>
      </w:r>
      <w:r w:rsidR="000D0DBB" w:rsidRPr="00506A01">
        <w:rPr>
          <w:rFonts w:ascii="Calibri" w:hAnsi="Calibri" w:cs="Calibri"/>
          <w:sz w:val="22"/>
          <w:szCs w:val="22"/>
        </w:rPr>
        <w:t xml:space="preserve"> away for Judge Quinn</w:t>
      </w:r>
      <w:r w:rsidR="001E2A5E" w:rsidRPr="00506A01">
        <w:rPr>
          <w:rFonts w:ascii="Calibri" w:hAnsi="Calibri" w:cs="Calibri"/>
          <w:sz w:val="22"/>
          <w:szCs w:val="22"/>
        </w:rPr>
        <w:t>, whose order does not record a determination of that issue</w:t>
      </w:r>
      <w:r w:rsidR="000D0DBB" w:rsidRPr="00506A01">
        <w:rPr>
          <w:rFonts w:ascii="Calibri" w:hAnsi="Calibri" w:cs="Calibri"/>
          <w:sz w:val="22"/>
          <w:szCs w:val="22"/>
        </w:rPr>
        <w:t xml:space="preserve">. </w:t>
      </w:r>
      <w:r w:rsidR="001E2A5E" w:rsidRPr="00506A01">
        <w:rPr>
          <w:rFonts w:ascii="Calibri" w:hAnsi="Calibri" w:cs="Calibri"/>
          <w:sz w:val="22"/>
          <w:szCs w:val="22"/>
        </w:rPr>
        <w:t>The notice of appeal is dated 3</w:t>
      </w:r>
      <w:r w:rsidR="001E2A5E" w:rsidRPr="00506A01">
        <w:rPr>
          <w:rFonts w:ascii="Calibri" w:hAnsi="Calibri" w:cs="Calibri"/>
          <w:sz w:val="22"/>
          <w:szCs w:val="22"/>
          <w:vertAlign w:val="superscript"/>
        </w:rPr>
        <w:t>rd</w:t>
      </w:r>
      <w:r w:rsidR="001E2A5E" w:rsidRPr="00506A01">
        <w:rPr>
          <w:rFonts w:ascii="Calibri" w:hAnsi="Calibri" w:cs="Calibri"/>
          <w:sz w:val="22"/>
          <w:szCs w:val="22"/>
        </w:rPr>
        <w:t xml:space="preserve"> August, 2021. </w:t>
      </w:r>
    </w:p>
    <w:p w14:paraId="784F53F4" w14:textId="77777777" w:rsidR="0034569C" w:rsidRPr="00506A01" w:rsidRDefault="0034569C" w:rsidP="0034569C">
      <w:pPr>
        <w:pStyle w:val="ListParagraph"/>
        <w:spacing w:line="276" w:lineRule="auto"/>
        <w:ind w:left="0"/>
        <w:rPr>
          <w:rFonts w:ascii="Calibri" w:hAnsi="Calibri" w:cs="Calibri"/>
          <w:sz w:val="22"/>
          <w:szCs w:val="22"/>
        </w:rPr>
      </w:pPr>
    </w:p>
    <w:p w14:paraId="1654B526" w14:textId="77777777" w:rsidR="0034569C" w:rsidRPr="00506A01" w:rsidRDefault="0034569C" w:rsidP="0034569C">
      <w:pPr>
        <w:pStyle w:val="ListParagraph"/>
        <w:spacing w:line="276" w:lineRule="auto"/>
        <w:ind w:left="0"/>
        <w:rPr>
          <w:rFonts w:ascii="Calibri" w:hAnsi="Calibri" w:cs="Calibri"/>
          <w:sz w:val="22"/>
          <w:szCs w:val="22"/>
        </w:rPr>
      </w:pPr>
    </w:p>
    <w:p w14:paraId="4AB62FDF" w14:textId="4EE6F4FB" w:rsidR="0034569C" w:rsidRPr="00506A01" w:rsidRDefault="000D0DBB"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In February, 2002, Permanent TSB issued a mortgage loan to the defendants to purchase</w:t>
      </w:r>
      <w:r w:rsidR="001E2A5E" w:rsidRPr="00506A01">
        <w:rPr>
          <w:rFonts w:ascii="Calibri" w:hAnsi="Calibri" w:cs="Calibri"/>
          <w:sz w:val="22"/>
          <w:szCs w:val="22"/>
        </w:rPr>
        <w:t>,</w:t>
      </w:r>
      <w:r w:rsidRPr="00506A01">
        <w:rPr>
          <w:rFonts w:ascii="Calibri" w:hAnsi="Calibri" w:cs="Calibri"/>
          <w:sz w:val="22"/>
          <w:szCs w:val="22"/>
        </w:rPr>
        <w:t xml:space="preserve"> as cohabitants</w:t>
      </w:r>
      <w:r w:rsidR="001E2A5E" w:rsidRPr="00506A01">
        <w:rPr>
          <w:rFonts w:ascii="Calibri" w:hAnsi="Calibri" w:cs="Calibri"/>
          <w:sz w:val="22"/>
          <w:szCs w:val="22"/>
        </w:rPr>
        <w:t>,</w:t>
      </w:r>
      <w:r w:rsidRPr="00506A01">
        <w:rPr>
          <w:rFonts w:ascii="Calibri" w:hAnsi="Calibri" w:cs="Calibri"/>
          <w:sz w:val="22"/>
          <w:szCs w:val="22"/>
        </w:rPr>
        <w:t xml:space="preserve"> a principal private residence subsequently registered as folio 39737</w:t>
      </w:r>
      <w:r w:rsidR="00E0318A" w:rsidRPr="00506A01">
        <w:rPr>
          <w:rFonts w:ascii="Calibri" w:hAnsi="Calibri" w:cs="Calibri"/>
          <w:sz w:val="22"/>
          <w:szCs w:val="22"/>
        </w:rPr>
        <w:t>F</w:t>
      </w:r>
      <w:r w:rsidRPr="00506A01">
        <w:rPr>
          <w:rFonts w:ascii="Calibri" w:hAnsi="Calibri" w:cs="Calibri"/>
          <w:sz w:val="22"/>
          <w:szCs w:val="22"/>
        </w:rPr>
        <w:t xml:space="preserve"> of the </w:t>
      </w:r>
      <w:r w:rsidR="00767701" w:rsidRPr="00506A01">
        <w:rPr>
          <w:rFonts w:ascii="Calibri" w:hAnsi="Calibri" w:cs="Calibri"/>
          <w:sz w:val="22"/>
          <w:szCs w:val="22"/>
        </w:rPr>
        <w:t xml:space="preserve">Register, </w:t>
      </w:r>
      <w:r w:rsidR="00E0318A" w:rsidRPr="00506A01">
        <w:rPr>
          <w:rFonts w:ascii="Calibri" w:hAnsi="Calibri" w:cs="Calibri"/>
          <w:sz w:val="22"/>
          <w:szCs w:val="22"/>
        </w:rPr>
        <w:t>County Meath</w:t>
      </w:r>
      <w:r w:rsidR="0034569C" w:rsidRPr="00506A01">
        <w:rPr>
          <w:rFonts w:ascii="Calibri" w:hAnsi="Calibri" w:cs="Calibri"/>
          <w:sz w:val="22"/>
          <w:szCs w:val="22"/>
        </w:rPr>
        <w:t>. The</w:t>
      </w:r>
      <w:r w:rsidR="00E0318A" w:rsidRPr="00506A01">
        <w:rPr>
          <w:rFonts w:ascii="Calibri" w:hAnsi="Calibri" w:cs="Calibri"/>
          <w:sz w:val="22"/>
          <w:szCs w:val="22"/>
        </w:rPr>
        <w:t xml:space="preserve"> </w:t>
      </w:r>
      <w:r w:rsidR="0034569C" w:rsidRPr="00506A01">
        <w:rPr>
          <w:rFonts w:ascii="Calibri" w:hAnsi="Calibri" w:cs="Calibri"/>
          <w:sz w:val="22"/>
          <w:szCs w:val="22"/>
        </w:rPr>
        <w:t xml:space="preserve">mortgage loan was </w:t>
      </w:r>
      <w:r w:rsidR="00E0318A" w:rsidRPr="00506A01">
        <w:rPr>
          <w:rFonts w:ascii="Calibri" w:hAnsi="Calibri" w:cs="Calibri"/>
          <w:sz w:val="22"/>
          <w:szCs w:val="22"/>
        </w:rPr>
        <w:t xml:space="preserve">on </w:t>
      </w:r>
      <w:r w:rsidRPr="00506A01">
        <w:rPr>
          <w:rFonts w:ascii="Calibri" w:hAnsi="Calibri" w:cs="Calibri"/>
          <w:sz w:val="22"/>
          <w:szCs w:val="22"/>
        </w:rPr>
        <w:t xml:space="preserve">terms that the entire </w:t>
      </w:r>
      <w:r w:rsidR="0034569C" w:rsidRPr="00506A01">
        <w:rPr>
          <w:rFonts w:ascii="Calibri" w:hAnsi="Calibri" w:cs="Calibri"/>
          <w:sz w:val="22"/>
          <w:szCs w:val="22"/>
        </w:rPr>
        <w:t>loan</w:t>
      </w:r>
      <w:r w:rsidRPr="00506A01">
        <w:rPr>
          <w:rFonts w:ascii="Calibri" w:hAnsi="Calibri" w:cs="Calibri"/>
          <w:sz w:val="22"/>
          <w:szCs w:val="22"/>
        </w:rPr>
        <w:t xml:space="preserve"> would become immediately </w:t>
      </w:r>
      <w:r w:rsidR="0034569C" w:rsidRPr="00506A01">
        <w:rPr>
          <w:rFonts w:ascii="Calibri" w:hAnsi="Calibri" w:cs="Calibri"/>
          <w:sz w:val="22"/>
          <w:szCs w:val="22"/>
        </w:rPr>
        <w:t>re</w:t>
      </w:r>
      <w:r w:rsidRPr="00506A01">
        <w:rPr>
          <w:rFonts w:ascii="Calibri" w:hAnsi="Calibri" w:cs="Calibri"/>
          <w:sz w:val="22"/>
          <w:szCs w:val="22"/>
        </w:rPr>
        <w:t xml:space="preserve">payable in the event of two months default of payment of mortgage instalments and on terms that </w:t>
      </w:r>
      <w:r w:rsidR="0034569C" w:rsidRPr="00506A01">
        <w:rPr>
          <w:rFonts w:ascii="Calibri" w:hAnsi="Calibri" w:cs="Calibri"/>
          <w:sz w:val="22"/>
          <w:szCs w:val="22"/>
        </w:rPr>
        <w:t xml:space="preserve">any time after that total became repayable </w:t>
      </w:r>
      <w:r w:rsidRPr="00506A01">
        <w:rPr>
          <w:rFonts w:ascii="Calibri" w:hAnsi="Calibri" w:cs="Calibri"/>
          <w:sz w:val="22"/>
          <w:szCs w:val="22"/>
        </w:rPr>
        <w:t>the mortgagee was entitled to possession and to sell</w:t>
      </w:r>
      <w:r w:rsidR="0034569C" w:rsidRPr="00506A01">
        <w:rPr>
          <w:rFonts w:ascii="Calibri" w:hAnsi="Calibri" w:cs="Calibri"/>
          <w:sz w:val="22"/>
          <w:szCs w:val="22"/>
        </w:rPr>
        <w:t xml:space="preserve"> the property</w:t>
      </w:r>
      <w:r w:rsidRPr="00506A01">
        <w:rPr>
          <w:rFonts w:ascii="Calibri" w:hAnsi="Calibri" w:cs="Calibri"/>
          <w:sz w:val="22"/>
          <w:szCs w:val="22"/>
        </w:rPr>
        <w:t xml:space="preserve">. The mortgage </w:t>
      </w:r>
      <w:r w:rsidR="0034569C" w:rsidRPr="00506A01">
        <w:rPr>
          <w:rFonts w:ascii="Calibri" w:hAnsi="Calibri" w:cs="Calibri"/>
          <w:sz w:val="22"/>
          <w:szCs w:val="22"/>
        </w:rPr>
        <w:t>wa</w:t>
      </w:r>
      <w:r w:rsidRPr="00506A01">
        <w:rPr>
          <w:rFonts w:ascii="Calibri" w:hAnsi="Calibri" w:cs="Calibri"/>
          <w:sz w:val="22"/>
          <w:szCs w:val="22"/>
        </w:rPr>
        <w:t xml:space="preserve">s registered as a charge on the folio. </w:t>
      </w:r>
    </w:p>
    <w:p w14:paraId="4A575946" w14:textId="77777777" w:rsidR="0034569C" w:rsidRPr="00506A01" w:rsidRDefault="0034569C" w:rsidP="0034569C">
      <w:pPr>
        <w:pStyle w:val="ListParagraph"/>
        <w:spacing w:line="276" w:lineRule="auto"/>
        <w:ind w:left="0"/>
        <w:rPr>
          <w:rFonts w:ascii="Calibri" w:hAnsi="Calibri" w:cs="Calibri"/>
          <w:sz w:val="22"/>
          <w:szCs w:val="22"/>
        </w:rPr>
      </w:pPr>
    </w:p>
    <w:p w14:paraId="1408B56A" w14:textId="77777777" w:rsidR="0034569C" w:rsidRPr="00506A01" w:rsidRDefault="0034569C" w:rsidP="0034569C">
      <w:pPr>
        <w:pStyle w:val="ListParagraph"/>
        <w:spacing w:line="276" w:lineRule="auto"/>
        <w:ind w:left="0"/>
        <w:rPr>
          <w:rFonts w:ascii="Calibri" w:hAnsi="Calibri" w:cs="Calibri"/>
          <w:sz w:val="22"/>
          <w:szCs w:val="22"/>
        </w:rPr>
      </w:pPr>
    </w:p>
    <w:p w14:paraId="2D2454F6" w14:textId="7C4CDDED" w:rsidR="0034569C" w:rsidRPr="00506A01" w:rsidRDefault="0034569C"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Permanent TSB </w:t>
      </w:r>
      <w:r w:rsidR="000D0DBB" w:rsidRPr="00506A01">
        <w:rPr>
          <w:rFonts w:ascii="Calibri" w:hAnsi="Calibri" w:cs="Calibri"/>
          <w:sz w:val="22"/>
          <w:szCs w:val="22"/>
        </w:rPr>
        <w:t>alleged that the defendants went into default from February, 2010 and that on 22</w:t>
      </w:r>
      <w:r w:rsidR="000D0DBB" w:rsidRPr="00506A01">
        <w:rPr>
          <w:rFonts w:ascii="Calibri" w:hAnsi="Calibri" w:cs="Calibri"/>
          <w:sz w:val="22"/>
          <w:szCs w:val="22"/>
          <w:vertAlign w:val="superscript"/>
        </w:rPr>
        <w:t>nd</w:t>
      </w:r>
      <w:r w:rsidR="000D0DBB" w:rsidRPr="00506A01">
        <w:rPr>
          <w:rFonts w:ascii="Calibri" w:hAnsi="Calibri" w:cs="Calibri"/>
          <w:sz w:val="22"/>
          <w:szCs w:val="22"/>
        </w:rPr>
        <w:t xml:space="preserve"> May, 2013, they made their last payment prior to the issue of the </w:t>
      </w:r>
      <w:r w:rsidR="00641ACB" w:rsidRPr="00506A01">
        <w:rPr>
          <w:rFonts w:ascii="Calibri" w:hAnsi="Calibri" w:cs="Calibri"/>
          <w:sz w:val="22"/>
          <w:szCs w:val="22"/>
        </w:rPr>
        <w:t>C</w:t>
      </w:r>
      <w:r w:rsidR="000D0DBB" w:rsidRPr="00506A01">
        <w:rPr>
          <w:rFonts w:ascii="Calibri" w:hAnsi="Calibri" w:cs="Calibri"/>
          <w:sz w:val="22"/>
          <w:szCs w:val="22"/>
        </w:rPr>
        <w:t xml:space="preserve">ivil </w:t>
      </w:r>
      <w:r w:rsidR="00641ACB" w:rsidRPr="00506A01">
        <w:rPr>
          <w:rFonts w:ascii="Calibri" w:hAnsi="Calibri" w:cs="Calibri"/>
          <w:sz w:val="22"/>
          <w:szCs w:val="22"/>
        </w:rPr>
        <w:t>B</w:t>
      </w:r>
      <w:r w:rsidR="000D0DBB" w:rsidRPr="00506A01">
        <w:rPr>
          <w:rFonts w:ascii="Calibri" w:hAnsi="Calibri" w:cs="Calibri"/>
          <w:sz w:val="22"/>
          <w:szCs w:val="22"/>
        </w:rPr>
        <w:t xml:space="preserve">ill. It would appear, therefore, that Permanent TSB were entitled to </w:t>
      </w:r>
      <w:r w:rsidR="00603FEB" w:rsidRPr="00506A01">
        <w:rPr>
          <w:rFonts w:ascii="Calibri" w:hAnsi="Calibri" w:cs="Calibri"/>
          <w:sz w:val="22"/>
          <w:szCs w:val="22"/>
        </w:rPr>
        <w:t xml:space="preserve">possession and sale from, on their </w:t>
      </w:r>
      <w:r w:rsidRPr="00506A01">
        <w:rPr>
          <w:rFonts w:ascii="Calibri" w:hAnsi="Calibri" w:cs="Calibri"/>
          <w:sz w:val="22"/>
          <w:szCs w:val="22"/>
        </w:rPr>
        <w:t>view of matters</w:t>
      </w:r>
      <w:r w:rsidR="00603FEB" w:rsidRPr="00506A01">
        <w:rPr>
          <w:rFonts w:ascii="Calibri" w:hAnsi="Calibri" w:cs="Calibri"/>
          <w:sz w:val="22"/>
          <w:szCs w:val="22"/>
        </w:rPr>
        <w:t xml:space="preserve">, in or about late July, 2013 or perhaps some weeks later. </w:t>
      </w:r>
    </w:p>
    <w:p w14:paraId="65DC36B5" w14:textId="77777777" w:rsidR="0034569C" w:rsidRPr="00506A01" w:rsidRDefault="0034569C" w:rsidP="0034569C">
      <w:pPr>
        <w:pStyle w:val="ListParagraph"/>
        <w:spacing w:line="276" w:lineRule="auto"/>
        <w:ind w:left="0"/>
        <w:rPr>
          <w:rFonts w:ascii="Calibri" w:hAnsi="Calibri" w:cs="Calibri"/>
          <w:sz w:val="22"/>
          <w:szCs w:val="22"/>
        </w:rPr>
      </w:pPr>
    </w:p>
    <w:p w14:paraId="4C2BB9AF" w14:textId="77777777" w:rsidR="0034569C" w:rsidRPr="00506A01" w:rsidRDefault="0034569C" w:rsidP="0034569C">
      <w:pPr>
        <w:pStyle w:val="ListParagraph"/>
        <w:spacing w:line="276" w:lineRule="auto"/>
        <w:ind w:left="0"/>
        <w:rPr>
          <w:rFonts w:ascii="Calibri" w:hAnsi="Calibri" w:cs="Calibri"/>
          <w:sz w:val="22"/>
          <w:szCs w:val="22"/>
        </w:rPr>
      </w:pPr>
    </w:p>
    <w:p w14:paraId="447F590C" w14:textId="3A698955" w:rsidR="00603FEB" w:rsidRPr="00506A01" w:rsidRDefault="00603FEB"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No information is before me as to what happened thereafter until a demand for repayment was made in April, 2017 and a demand for possession was made in May, 2017. </w:t>
      </w:r>
      <w:r w:rsidR="0034569C" w:rsidRPr="00506A01">
        <w:rPr>
          <w:rFonts w:ascii="Calibri" w:hAnsi="Calibri" w:cs="Calibri"/>
          <w:sz w:val="22"/>
          <w:szCs w:val="22"/>
        </w:rPr>
        <w:t>The</w:t>
      </w:r>
      <w:r w:rsidRPr="00506A01">
        <w:rPr>
          <w:rFonts w:ascii="Calibri" w:hAnsi="Calibri" w:cs="Calibri"/>
          <w:sz w:val="22"/>
          <w:szCs w:val="22"/>
        </w:rPr>
        <w:t xml:space="preserve"> </w:t>
      </w:r>
      <w:r w:rsidR="00641ACB" w:rsidRPr="00506A01">
        <w:rPr>
          <w:rFonts w:ascii="Calibri" w:hAnsi="Calibri" w:cs="Calibri"/>
          <w:sz w:val="22"/>
          <w:szCs w:val="22"/>
        </w:rPr>
        <w:t>C</w:t>
      </w:r>
      <w:r w:rsidRPr="00506A01">
        <w:rPr>
          <w:rFonts w:ascii="Calibri" w:hAnsi="Calibri" w:cs="Calibri"/>
          <w:sz w:val="22"/>
          <w:szCs w:val="22"/>
        </w:rPr>
        <w:t xml:space="preserve">ivil </w:t>
      </w:r>
      <w:r w:rsidR="00641ACB" w:rsidRPr="00506A01">
        <w:rPr>
          <w:rFonts w:ascii="Calibri" w:hAnsi="Calibri" w:cs="Calibri"/>
          <w:sz w:val="22"/>
          <w:szCs w:val="22"/>
        </w:rPr>
        <w:t>B</w:t>
      </w:r>
      <w:r w:rsidRPr="00506A01">
        <w:rPr>
          <w:rFonts w:ascii="Calibri" w:hAnsi="Calibri" w:cs="Calibri"/>
          <w:sz w:val="22"/>
          <w:szCs w:val="22"/>
        </w:rPr>
        <w:t>ill issued on 5</w:t>
      </w:r>
      <w:r w:rsidRPr="00506A01">
        <w:rPr>
          <w:rFonts w:ascii="Calibri" w:hAnsi="Calibri" w:cs="Calibri"/>
          <w:sz w:val="22"/>
          <w:szCs w:val="22"/>
          <w:vertAlign w:val="superscript"/>
        </w:rPr>
        <w:t>th</w:t>
      </w:r>
      <w:r w:rsidRPr="00506A01">
        <w:rPr>
          <w:rFonts w:ascii="Calibri" w:hAnsi="Calibri" w:cs="Calibri"/>
          <w:sz w:val="22"/>
          <w:szCs w:val="22"/>
        </w:rPr>
        <w:t xml:space="preserve"> July, 2017 claiming possession </w:t>
      </w:r>
      <w:r w:rsidR="0034569C" w:rsidRPr="00506A01">
        <w:rPr>
          <w:rFonts w:ascii="Calibri" w:hAnsi="Calibri" w:cs="Calibri"/>
          <w:sz w:val="22"/>
          <w:szCs w:val="22"/>
        </w:rPr>
        <w:t>(</w:t>
      </w:r>
      <w:r w:rsidRPr="00506A01">
        <w:rPr>
          <w:rFonts w:ascii="Calibri" w:hAnsi="Calibri" w:cs="Calibri"/>
          <w:sz w:val="22"/>
          <w:szCs w:val="22"/>
        </w:rPr>
        <w:t>on foot of s. 62(7) of the Retention of Title Act, 1964)</w:t>
      </w:r>
      <w:r w:rsidR="0034569C" w:rsidRPr="00506A01">
        <w:rPr>
          <w:rFonts w:ascii="Calibri" w:hAnsi="Calibri" w:cs="Calibri"/>
          <w:sz w:val="22"/>
          <w:szCs w:val="22"/>
        </w:rPr>
        <w:t xml:space="preserve"> and</w:t>
      </w:r>
      <w:r w:rsidRPr="00506A01">
        <w:rPr>
          <w:rFonts w:ascii="Calibri" w:hAnsi="Calibri" w:cs="Calibri"/>
          <w:sz w:val="22"/>
          <w:szCs w:val="22"/>
        </w:rPr>
        <w:t xml:space="preserve"> on foot of arrears of €103,659 and a total indebtedness of €263,429.58. The affidavit of Niamh McGee sworn 16</w:t>
      </w:r>
      <w:r w:rsidRPr="00506A01">
        <w:rPr>
          <w:rFonts w:ascii="Calibri" w:hAnsi="Calibri" w:cs="Calibri"/>
          <w:sz w:val="22"/>
          <w:szCs w:val="22"/>
          <w:vertAlign w:val="superscript"/>
        </w:rPr>
        <w:t>th</w:t>
      </w:r>
      <w:r w:rsidRPr="00506A01">
        <w:rPr>
          <w:rFonts w:ascii="Calibri" w:hAnsi="Calibri" w:cs="Calibri"/>
          <w:sz w:val="22"/>
          <w:szCs w:val="22"/>
        </w:rPr>
        <w:t xml:space="preserve"> June, 2017 in verification of the </w:t>
      </w:r>
      <w:r w:rsidR="00641ACB" w:rsidRPr="00506A01">
        <w:rPr>
          <w:rFonts w:ascii="Calibri" w:hAnsi="Calibri" w:cs="Calibri"/>
          <w:sz w:val="22"/>
          <w:szCs w:val="22"/>
        </w:rPr>
        <w:t>C</w:t>
      </w:r>
      <w:r w:rsidRPr="00506A01">
        <w:rPr>
          <w:rFonts w:ascii="Calibri" w:hAnsi="Calibri" w:cs="Calibri"/>
          <w:sz w:val="22"/>
          <w:szCs w:val="22"/>
        </w:rPr>
        <w:t xml:space="preserve">ivil </w:t>
      </w:r>
      <w:r w:rsidR="00641ACB" w:rsidRPr="00506A01">
        <w:rPr>
          <w:rFonts w:ascii="Calibri" w:hAnsi="Calibri" w:cs="Calibri"/>
          <w:sz w:val="22"/>
          <w:szCs w:val="22"/>
        </w:rPr>
        <w:t>B</w:t>
      </w:r>
      <w:r w:rsidRPr="00506A01">
        <w:rPr>
          <w:rFonts w:ascii="Calibri" w:hAnsi="Calibri" w:cs="Calibri"/>
          <w:sz w:val="22"/>
          <w:szCs w:val="22"/>
        </w:rPr>
        <w:t>ill recites that</w:t>
      </w:r>
      <w:r w:rsidR="001E2A5E" w:rsidRPr="00506A01">
        <w:rPr>
          <w:rFonts w:ascii="Calibri" w:hAnsi="Calibri" w:cs="Calibri"/>
          <w:sz w:val="22"/>
          <w:szCs w:val="22"/>
        </w:rPr>
        <w:t>,</w:t>
      </w:r>
      <w:r w:rsidRPr="00506A01">
        <w:rPr>
          <w:rFonts w:ascii="Calibri" w:hAnsi="Calibri" w:cs="Calibri"/>
          <w:sz w:val="22"/>
          <w:szCs w:val="22"/>
        </w:rPr>
        <w:t xml:space="preserve"> </w:t>
      </w:r>
      <w:r w:rsidR="0034569C" w:rsidRPr="00506A01">
        <w:rPr>
          <w:rFonts w:ascii="Calibri" w:hAnsi="Calibri" w:cs="Calibri"/>
          <w:sz w:val="22"/>
          <w:szCs w:val="22"/>
        </w:rPr>
        <w:t>though</w:t>
      </w:r>
      <w:r w:rsidRPr="00506A01">
        <w:rPr>
          <w:rFonts w:ascii="Calibri" w:hAnsi="Calibri" w:cs="Calibri"/>
          <w:sz w:val="22"/>
          <w:szCs w:val="22"/>
        </w:rPr>
        <w:t xml:space="preserve"> the principal private </w:t>
      </w:r>
      <w:r w:rsidRPr="00506A01">
        <w:rPr>
          <w:rFonts w:ascii="Calibri" w:hAnsi="Calibri" w:cs="Calibri"/>
          <w:sz w:val="22"/>
          <w:szCs w:val="22"/>
        </w:rPr>
        <w:lastRenderedPageBreak/>
        <w:t>residence of the defendants</w:t>
      </w:r>
      <w:r w:rsidR="001E2A5E" w:rsidRPr="00506A01">
        <w:rPr>
          <w:rFonts w:ascii="Calibri" w:hAnsi="Calibri" w:cs="Calibri"/>
          <w:sz w:val="22"/>
          <w:szCs w:val="22"/>
        </w:rPr>
        <w:t>,</w:t>
      </w:r>
      <w:r w:rsidRPr="00506A01">
        <w:rPr>
          <w:rFonts w:ascii="Calibri" w:hAnsi="Calibri" w:cs="Calibri"/>
          <w:sz w:val="22"/>
          <w:szCs w:val="22"/>
        </w:rPr>
        <w:t xml:space="preserve"> </w:t>
      </w:r>
      <w:r w:rsidR="0034569C" w:rsidRPr="00506A01">
        <w:rPr>
          <w:rFonts w:ascii="Calibri" w:hAnsi="Calibri" w:cs="Calibri"/>
          <w:sz w:val="22"/>
          <w:szCs w:val="22"/>
        </w:rPr>
        <w:t>the property is</w:t>
      </w:r>
      <w:r w:rsidRPr="00506A01">
        <w:rPr>
          <w:rFonts w:ascii="Calibri" w:hAnsi="Calibri" w:cs="Calibri"/>
          <w:sz w:val="22"/>
          <w:szCs w:val="22"/>
        </w:rPr>
        <w:t xml:space="preserve"> neither a family home for purposes of the Family Home Protection Act nor a shared home for purposes of the Civil Partnership Act. She </w:t>
      </w:r>
      <w:r w:rsidR="0034569C" w:rsidRPr="00506A01">
        <w:rPr>
          <w:rFonts w:ascii="Calibri" w:hAnsi="Calibri" w:cs="Calibri"/>
          <w:sz w:val="22"/>
          <w:szCs w:val="22"/>
        </w:rPr>
        <w:t>assert</w:t>
      </w:r>
      <w:r w:rsidRPr="00506A01">
        <w:rPr>
          <w:rFonts w:ascii="Calibri" w:hAnsi="Calibri" w:cs="Calibri"/>
          <w:sz w:val="22"/>
          <w:szCs w:val="22"/>
        </w:rPr>
        <w:t xml:space="preserve">s compliance by Permanent TSB with the relevant code of conduct </w:t>
      </w:r>
      <w:r w:rsidR="0034569C" w:rsidRPr="00506A01">
        <w:rPr>
          <w:rFonts w:ascii="Calibri" w:hAnsi="Calibri" w:cs="Calibri"/>
          <w:sz w:val="22"/>
          <w:szCs w:val="22"/>
        </w:rPr>
        <w:t xml:space="preserve">- </w:t>
      </w:r>
      <w:r w:rsidRPr="00506A01">
        <w:rPr>
          <w:rFonts w:ascii="Calibri" w:hAnsi="Calibri" w:cs="Calibri"/>
          <w:sz w:val="22"/>
          <w:szCs w:val="22"/>
        </w:rPr>
        <w:t xml:space="preserve">pursuant to which the defendants </w:t>
      </w:r>
      <w:r w:rsidR="007836B1" w:rsidRPr="00506A01">
        <w:rPr>
          <w:rFonts w:ascii="Calibri" w:hAnsi="Calibri" w:cs="Calibri"/>
          <w:sz w:val="22"/>
          <w:szCs w:val="22"/>
        </w:rPr>
        <w:t xml:space="preserve">were deemed to be non-cooperating. The </w:t>
      </w:r>
      <w:r w:rsidR="00641ACB" w:rsidRPr="00506A01">
        <w:rPr>
          <w:rFonts w:ascii="Calibri" w:hAnsi="Calibri" w:cs="Calibri"/>
          <w:sz w:val="22"/>
          <w:szCs w:val="22"/>
        </w:rPr>
        <w:t>C</w:t>
      </w:r>
      <w:r w:rsidR="007836B1" w:rsidRPr="00506A01">
        <w:rPr>
          <w:rFonts w:ascii="Calibri" w:hAnsi="Calibri" w:cs="Calibri"/>
          <w:sz w:val="22"/>
          <w:szCs w:val="22"/>
        </w:rPr>
        <w:t xml:space="preserve">ivil </w:t>
      </w:r>
      <w:r w:rsidR="00641ACB" w:rsidRPr="00506A01">
        <w:rPr>
          <w:rFonts w:ascii="Calibri" w:hAnsi="Calibri" w:cs="Calibri"/>
          <w:sz w:val="22"/>
          <w:szCs w:val="22"/>
        </w:rPr>
        <w:t>B</w:t>
      </w:r>
      <w:r w:rsidR="007836B1" w:rsidRPr="00506A01">
        <w:rPr>
          <w:rFonts w:ascii="Calibri" w:hAnsi="Calibri" w:cs="Calibri"/>
          <w:sz w:val="22"/>
          <w:szCs w:val="22"/>
        </w:rPr>
        <w:t>ill was, on its face, returnable before the Meath County Registrar on 4</w:t>
      </w:r>
      <w:r w:rsidR="007836B1" w:rsidRPr="00506A01">
        <w:rPr>
          <w:rFonts w:ascii="Calibri" w:hAnsi="Calibri" w:cs="Calibri"/>
          <w:sz w:val="22"/>
          <w:szCs w:val="22"/>
          <w:vertAlign w:val="superscript"/>
        </w:rPr>
        <w:t>th</w:t>
      </w:r>
      <w:r w:rsidR="007836B1" w:rsidRPr="00506A01">
        <w:rPr>
          <w:rFonts w:ascii="Calibri" w:hAnsi="Calibri" w:cs="Calibri"/>
          <w:sz w:val="22"/>
          <w:szCs w:val="22"/>
        </w:rPr>
        <w:t xml:space="preserve"> October, 2017.</w:t>
      </w:r>
    </w:p>
    <w:p w14:paraId="6487FF78" w14:textId="77777777" w:rsidR="0034569C" w:rsidRPr="00506A01" w:rsidRDefault="0034569C" w:rsidP="0034569C">
      <w:pPr>
        <w:pStyle w:val="ListParagraph"/>
        <w:spacing w:line="276" w:lineRule="auto"/>
        <w:ind w:left="0"/>
        <w:rPr>
          <w:rFonts w:ascii="Calibri" w:hAnsi="Calibri" w:cs="Calibri"/>
          <w:sz w:val="22"/>
          <w:szCs w:val="22"/>
        </w:rPr>
      </w:pPr>
    </w:p>
    <w:p w14:paraId="50607DD4" w14:textId="77777777" w:rsidR="0034569C" w:rsidRPr="00506A01" w:rsidRDefault="0034569C" w:rsidP="0034569C">
      <w:pPr>
        <w:pStyle w:val="ListParagraph"/>
        <w:spacing w:line="276" w:lineRule="auto"/>
        <w:ind w:left="0"/>
        <w:rPr>
          <w:rFonts w:ascii="Calibri" w:hAnsi="Calibri" w:cs="Calibri"/>
          <w:sz w:val="22"/>
          <w:szCs w:val="22"/>
        </w:rPr>
      </w:pPr>
    </w:p>
    <w:p w14:paraId="68EFDC67" w14:textId="3AEDB3B8" w:rsidR="001E2A5E" w:rsidRPr="00506A01" w:rsidRDefault="007836B1"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The affidavit of Tim Ferguson, sworn 8</w:t>
      </w:r>
      <w:r w:rsidRPr="00506A01">
        <w:rPr>
          <w:rFonts w:ascii="Calibri" w:hAnsi="Calibri" w:cs="Calibri"/>
          <w:sz w:val="22"/>
          <w:szCs w:val="22"/>
          <w:vertAlign w:val="superscript"/>
        </w:rPr>
        <w:t>th</w:t>
      </w:r>
      <w:r w:rsidRPr="00506A01">
        <w:rPr>
          <w:rFonts w:ascii="Calibri" w:hAnsi="Calibri" w:cs="Calibri"/>
          <w:sz w:val="22"/>
          <w:szCs w:val="22"/>
        </w:rPr>
        <w:t xml:space="preserve"> September, 2017, records effective personal service of the </w:t>
      </w:r>
      <w:r w:rsidR="00641ACB" w:rsidRPr="00506A01">
        <w:rPr>
          <w:rFonts w:ascii="Calibri" w:hAnsi="Calibri" w:cs="Calibri"/>
          <w:sz w:val="22"/>
          <w:szCs w:val="22"/>
        </w:rPr>
        <w:t>C</w:t>
      </w:r>
      <w:r w:rsidRPr="00506A01">
        <w:rPr>
          <w:rFonts w:ascii="Calibri" w:hAnsi="Calibri" w:cs="Calibri"/>
          <w:sz w:val="22"/>
          <w:szCs w:val="22"/>
        </w:rPr>
        <w:t xml:space="preserve">ivil </w:t>
      </w:r>
      <w:r w:rsidR="00641ACB" w:rsidRPr="00506A01">
        <w:rPr>
          <w:rFonts w:ascii="Calibri" w:hAnsi="Calibri" w:cs="Calibri"/>
          <w:sz w:val="22"/>
          <w:szCs w:val="22"/>
        </w:rPr>
        <w:t>B</w:t>
      </w:r>
      <w:r w:rsidRPr="00506A01">
        <w:rPr>
          <w:rFonts w:ascii="Calibri" w:hAnsi="Calibri" w:cs="Calibri"/>
          <w:sz w:val="22"/>
          <w:szCs w:val="22"/>
        </w:rPr>
        <w:t xml:space="preserve">ill on the first defendant. It also records failed attempted personal service on the second defendant. In </w:t>
      </w:r>
      <w:r w:rsidR="0034569C" w:rsidRPr="00506A01">
        <w:rPr>
          <w:rFonts w:ascii="Calibri" w:hAnsi="Calibri" w:cs="Calibri"/>
          <w:sz w:val="22"/>
          <w:szCs w:val="22"/>
        </w:rPr>
        <w:t xml:space="preserve">his </w:t>
      </w:r>
      <w:r w:rsidRPr="00506A01">
        <w:rPr>
          <w:rFonts w:ascii="Calibri" w:hAnsi="Calibri" w:cs="Calibri"/>
          <w:sz w:val="22"/>
          <w:szCs w:val="22"/>
        </w:rPr>
        <w:t xml:space="preserve">attempting personal service on the second defendant at the </w:t>
      </w:r>
      <w:r w:rsidR="0034569C" w:rsidRPr="00506A01">
        <w:rPr>
          <w:rFonts w:ascii="Calibri" w:hAnsi="Calibri" w:cs="Calibri"/>
          <w:sz w:val="22"/>
          <w:szCs w:val="22"/>
        </w:rPr>
        <w:t>property,</w:t>
      </w:r>
      <w:r w:rsidRPr="00506A01">
        <w:rPr>
          <w:rFonts w:ascii="Calibri" w:hAnsi="Calibri" w:cs="Calibri"/>
          <w:sz w:val="22"/>
          <w:szCs w:val="22"/>
        </w:rPr>
        <w:t xml:space="preserve"> while successfully serving the first defendant, the first defendant told Mr. Ferguson that the second defendant had left him about </w:t>
      </w:r>
      <w:r w:rsidR="0034569C" w:rsidRPr="00506A01">
        <w:rPr>
          <w:rFonts w:ascii="Calibri" w:hAnsi="Calibri" w:cs="Calibri"/>
          <w:sz w:val="22"/>
          <w:szCs w:val="22"/>
        </w:rPr>
        <w:t>9</w:t>
      </w:r>
      <w:r w:rsidRPr="00506A01">
        <w:rPr>
          <w:rFonts w:ascii="Calibri" w:hAnsi="Calibri" w:cs="Calibri"/>
          <w:sz w:val="22"/>
          <w:szCs w:val="22"/>
        </w:rPr>
        <w:t xml:space="preserve"> years previously and that they had had </w:t>
      </w:r>
      <w:r w:rsidR="0034569C" w:rsidRPr="00506A01">
        <w:rPr>
          <w:rFonts w:ascii="Calibri" w:hAnsi="Calibri" w:cs="Calibri"/>
          <w:sz w:val="22"/>
          <w:szCs w:val="22"/>
        </w:rPr>
        <w:t>no</w:t>
      </w:r>
      <w:r w:rsidRPr="00506A01">
        <w:rPr>
          <w:rFonts w:ascii="Calibri" w:hAnsi="Calibri" w:cs="Calibri"/>
          <w:sz w:val="22"/>
          <w:szCs w:val="22"/>
        </w:rPr>
        <w:t xml:space="preserve"> contact since. Mr. Ferguson deposes that he rang the second</w:t>
      </w:r>
      <w:r w:rsidR="00F40281" w:rsidRPr="00506A01">
        <w:rPr>
          <w:rFonts w:ascii="Calibri" w:hAnsi="Calibri" w:cs="Calibri"/>
          <w:sz w:val="22"/>
          <w:szCs w:val="22"/>
        </w:rPr>
        <w:t xml:space="preserve"> defendant on her mobile phone and she was adamant that she lived at the property but was away for a few days attending her ill mother. Mr. Ferguson said that, thereafter, he </w:t>
      </w:r>
      <w:r w:rsidR="00F40281" w:rsidRPr="00506A01">
        <w:rPr>
          <w:rFonts w:ascii="Calibri" w:hAnsi="Calibri" w:cs="Calibri"/>
          <w:i/>
          <w:sz w:val="22"/>
          <w:szCs w:val="22"/>
        </w:rPr>
        <w:t>“called on a few occasions”</w:t>
      </w:r>
      <w:r w:rsidR="0034569C" w:rsidRPr="00506A01">
        <w:rPr>
          <w:rFonts w:ascii="Calibri" w:hAnsi="Calibri" w:cs="Calibri"/>
          <w:sz w:val="22"/>
          <w:szCs w:val="22"/>
        </w:rPr>
        <w:t xml:space="preserve"> but got no reply. </w:t>
      </w:r>
      <w:r w:rsidR="00F40281" w:rsidRPr="00506A01">
        <w:rPr>
          <w:rFonts w:ascii="Calibri" w:hAnsi="Calibri" w:cs="Calibri"/>
          <w:sz w:val="22"/>
          <w:szCs w:val="22"/>
        </w:rPr>
        <w:t>He d</w:t>
      </w:r>
      <w:r w:rsidR="0034569C" w:rsidRPr="00506A01">
        <w:rPr>
          <w:rFonts w:ascii="Calibri" w:hAnsi="Calibri" w:cs="Calibri"/>
          <w:sz w:val="22"/>
          <w:szCs w:val="22"/>
        </w:rPr>
        <w:t>oes</w:t>
      </w:r>
      <w:r w:rsidR="00F40281" w:rsidRPr="00506A01">
        <w:rPr>
          <w:rFonts w:ascii="Calibri" w:hAnsi="Calibri" w:cs="Calibri"/>
          <w:sz w:val="22"/>
          <w:szCs w:val="22"/>
        </w:rPr>
        <w:t xml:space="preserve"> not say whether</w:t>
      </w:r>
      <w:r w:rsidR="001E2A5E" w:rsidRPr="00506A01">
        <w:rPr>
          <w:rFonts w:ascii="Calibri" w:hAnsi="Calibri" w:cs="Calibri"/>
          <w:sz w:val="22"/>
          <w:szCs w:val="22"/>
        </w:rPr>
        <w:t xml:space="preserve"> by this he means that</w:t>
      </w:r>
      <w:r w:rsidR="00F40281" w:rsidRPr="00506A01">
        <w:rPr>
          <w:rFonts w:ascii="Calibri" w:hAnsi="Calibri" w:cs="Calibri"/>
          <w:sz w:val="22"/>
          <w:szCs w:val="22"/>
        </w:rPr>
        <w:t xml:space="preserve"> he called to the premises or </w:t>
      </w:r>
      <w:r w:rsidR="001E2A5E" w:rsidRPr="00506A01">
        <w:rPr>
          <w:rFonts w:ascii="Calibri" w:hAnsi="Calibri" w:cs="Calibri"/>
          <w:sz w:val="22"/>
          <w:szCs w:val="22"/>
        </w:rPr>
        <w:t>that</w:t>
      </w:r>
      <w:r w:rsidR="007051D4" w:rsidRPr="00506A01">
        <w:rPr>
          <w:rFonts w:ascii="Calibri" w:hAnsi="Calibri" w:cs="Calibri"/>
          <w:sz w:val="22"/>
          <w:szCs w:val="22"/>
        </w:rPr>
        <w:t xml:space="preserve"> he</w:t>
      </w:r>
      <w:r w:rsidR="001E2A5E" w:rsidRPr="00506A01">
        <w:rPr>
          <w:rFonts w:ascii="Calibri" w:hAnsi="Calibri" w:cs="Calibri"/>
          <w:sz w:val="22"/>
          <w:szCs w:val="22"/>
        </w:rPr>
        <w:t xml:space="preserve"> </w:t>
      </w:r>
      <w:r w:rsidR="00F40281" w:rsidRPr="00506A01">
        <w:rPr>
          <w:rFonts w:ascii="Calibri" w:hAnsi="Calibri" w:cs="Calibri"/>
          <w:sz w:val="22"/>
          <w:szCs w:val="22"/>
        </w:rPr>
        <w:t>rang the second defendant’s mobile phone. He said he spoke to a neighbour which suggests he attend</w:t>
      </w:r>
      <w:r w:rsidR="0034569C" w:rsidRPr="00506A01">
        <w:rPr>
          <w:rFonts w:ascii="Calibri" w:hAnsi="Calibri" w:cs="Calibri"/>
          <w:sz w:val="22"/>
          <w:szCs w:val="22"/>
        </w:rPr>
        <w:t>ed</w:t>
      </w:r>
      <w:r w:rsidR="00F40281" w:rsidRPr="00506A01">
        <w:rPr>
          <w:rFonts w:ascii="Calibri" w:hAnsi="Calibri" w:cs="Calibri"/>
          <w:sz w:val="22"/>
          <w:szCs w:val="22"/>
        </w:rPr>
        <w:t xml:space="preserve"> at the premises</w:t>
      </w:r>
      <w:r w:rsidR="0034569C" w:rsidRPr="00506A01">
        <w:rPr>
          <w:rFonts w:ascii="Calibri" w:hAnsi="Calibri" w:cs="Calibri"/>
          <w:sz w:val="22"/>
          <w:szCs w:val="22"/>
        </w:rPr>
        <w:t xml:space="preserve"> at least once</w:t>
      </w:r>
      <w:r w:rsidR="00F40281" w:rsidRPr="00506A01">
        <w:rPr>
          <w:rFonts w:ascii="Calibri" w:hAnsi="Calibri" w:cs="Calibri"/>
          <w:sz w:val="22"/>
          <w:szCs w:val="22"/>
        </w:rPr>
        <w:t xml:space="preserve">. That neighbour said that </w:t>
      </w:r>
      <w:r w:rsidR="0034569C" w:rsidRPr="00506A01">
        <w:rPr>
          <w:rFonts w:ascii="Calibri" w:hAnsi="Calibri" w:cs="Calibri"/>
          <w:sz w:val="22"/>
          <w:szCs w:val="22"/>
        </w:rPr>
        <w:t xml:space="preserve">(s)he </w:t>
      </w:r>
      <w:r w:rsidR="00F40281" w:rsidRPr="00506A01">
        <w:rPr>
          <w:rFonts w:ascii="Calibri" w:hAnsi="Calibri" w:cs="Calibri"/>
          <w:sz w:val="22"/>
          <w:szCs w:val="22"/>
        </w:rPr>
        <w:t xml:space="preserve">knew the first defendant but had never seen a woman coming </w:t>
      </w:r>
      <w:r w:rsidR="0034569C" w:rsidRPr="00506A01">
        <w:rPr>
          <w:rFonts w:ascii="Calibri" w:hAnsi="Calibri" w:cs="Calibri"/>
          <w:sz w:val="22"/>
          <w:szCs w:val="22"/>
        </w:rPr>
        <w:t xml:space="preserve">to </w:t>
      </w:r>
      <w:r w:rsidR="00F40281" w:rsidRPr="00506A01">
        <w:rPr>
          <w:rFonts w:ascii="Calibri" w:hAnsi="Calibri" w:cs="Calibri"/>
          <w:sz w:val="22"/>
          <w:szCs w:val="22"/>
        </w:rPr>
        <w:t xml:space="preserve">or going from the house. On the basis of all that information, Mr. Ferguson expresses the belief that the second defendant does not reside at the premises and her current whereabouts were unknown. </w:t>
      </w:r>
    </w:p>
    <w:p w14:paraId="48E9A8FF" w14:textId="47051B19" w:rsidR="001E2A5E" w:rsidRPr="00506A01" w:rsidRDefault="001E2A5E" w:rsidP="001E2A5E">
      <w:pPr>
        <w:pStyle w:val="ListParagraph"/>
        <w:spacing w:line="276" w:lineRule="auto"/>
        <w:ind w:left="0"/>
        <w:rPr>
          <w:rFonts w:ascii="Calibri" w:hAnsi="Calibri" w:cs="Calibri"/>
          <w:sz w:val="22"/>
          <w:szCs w:val="22"/>
        </w:rPr>
      </w:pPr>
    </w:p>
    <w:p w14:paraId="29ED6D78" w14:textId="77777777" w:rsidR="001E2A5E" w:rsidRPr="00506A01" w:rsidRDefault="001E2A5E" w:rsidP="001E2A5E">
      <w:pPr>
        <w:pStyle w:val="ListParagraph"/>
        <w:spacing w:line="276" w:lineRule="auto"/>
        <w:ind w:left="0"/>
        <w:rPr>
          <w:rFonts w:ascii="Calibri" w:hAnsi="Calibri" w:cs="Calibri"/>
          <w:sz w:val="22"/>
          <w:szCs w:val="22"/>
        </w:rPr>
      </w:pPr>
    </w:p>
    <w:p w14:paraId="20C802B0" w14:textId="54E74FB5" w:rsidR="0034569C" w:rsidRPr="00506A01" w:rsidRDefault="00F40281"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The affidavit of Colleen Barrett, sworn 30</w:t>
      </w:r>
      <w:r w:rsidRPr="00506A01">
        <w:rPr>
          <w:rFonts w:ascii="Calibri" w:hAnsi="Calibri" w:cs="Calibri"/>
          <w:sz w:val="22"/>
          <w:szCs w:val="22"/>
          <w:vertAlign w:val="superscript"/>
        </w:rPr>
        <w:t>th</w:t>
      </w:r>
      <w:r w:rsidRPr="00506A01">
        <w:rPr>
          <w:rFonts w:ascii="Calibri" w:hAnsi="Calibri" w:cs="Calibri"/>
          <w:sz w:val="22"/>
          <w:szCs w:val="22"/>
        </w:rPr>
        <w:t xml:space="preserve"> April, 2018, in her capacity as an employee of the then</w:t>
      </w:r>
      <w:r w:rsidR="0034569C" w:rsidRPr="00506A01">
        <w:rPr>
          <w:rFonts w:ascii="Calibri" w:hAnsi="Calibri" w:cs="Calibri"/>
          <w:sz w:val="22"/>
          <w:szCs w:val="22"/>
        </w:rPr>
        <w:t>-</w:t>
      </w:r>
      <w:r w:rsidRPr="00506A01">
        <w:rPr>
          <w:rFonts w:ascii="Calibri" w:hAnsi="Calibri" w:cs="Calibri"/>
          <w:sz w:val="22"/>
          <w:szCs w:val="22"/>
        </w:rPr>
        <w:t xml:space="preserve">solicitors for the plaintiff, and for the purpose of seeking an order for substituted service in accordance with an </w:t>
      </w:r>
      <w:r w:rsidRPr="00506A01">
        <w:rPr>
          <w:rFonts w:ascii="Calibri" w:hAnsi="Calibri" w:cs="Calibri"/>
          <w:i/>
          <w:sz w:val="22"/>
          <w:szCs w:val="22"/>
        </w:rPr>
        <w:t>ex parte</w:t>
      </w:r>
      <w:r w:rsidRPr="00506A01">
        <w:rPr>
          <w:rFonts w:ascii="Calibri" w:hAnsi="Calibri" w:cs="Calibri"/>
          <w:sz w:val="22"/>
          <w:szCs w:val="22"/>
        </w:rPr>
        <w:t xml:space="preserve"> docket to which she refers, briefly recites the content of Mr. Ferguson’s affidavit and adds that she attempted service on the second defendant under cover of registered letter dated 13</w:t>
      </w:r>
      <w:r w:rsidRPr="00506A01">
        <w:rPr>
          <w:rFonts w:ascii="Calibri" w:hAnsi="Calibri" w:cs="Calibri"/>
          <w:sz w:val="22"/>
          <w:szCs w:val="22"/>
          <w:vertAlign w:val="superscript"/>
        </w:rPr>
        <w:t>th</w:t>
      </w:r>
      <w:r w:rsidRPr="00506A01">
        <w:rPr>
          <w:rFonts w:ascii="Calibri" w:hAnsi="Calibri" w:cs="Calibri"/>
          <w:sz w:val="22"/>
          <w:szCs w:val="22"/>
        </w:rPr>
        <w:t xml:space="preserve"> September, 2017 which was returned marked gone away. She also recites that the plaintiff had not been given a new address by the second defendant. </w:t>
      </w:r>
    </w:p>
    <w:p w14:paraId="341BD728" w14:textId="77777777" w:rsidR="0034569C" w:rsidRPr="00506A01" w:rsidRDefault="0034569C" w:rsidP="0034569C">
      <w:pPr>
        <w:pStyle w:val="ListParagraph"/>
        <w:spacing w:line="276" w:lineRule="auto"/>
        <w:ind w:left="0"/>
        <w:rPr>
          <w:rFonts w:ascii="Calibri" w:hAnsi="Calibri" w:cs="Calibri"/>
          <w:sz w:val="22"/>
          <w:szCs w:val="22"/>
        </w:rPr>
      </w:pPr>
    </w:p>
    <w:p w14:paraId="2B19DC5E" w14:textId="77777777" w:rsidR="0034569C" w:rsidRPr="00506A01" w:rsidRDefault="0034569C" w:rsidP="0034569C">
      <w:pPr>
        <w:pStyle w:val="ListParagraph"/>
        <w:spacing w:line="276" w:lineRule="auto"/>
        <w:ind w:left="0"/>
        <w:rPr>
          <w:rFonts w:ascii="Calibri" w:hAnsi="Calibri" w:cs="Calibri"/>
          <w:sz w:val="22"/>
          <w:szCs w:val="22"/>
        </w:rPr>
      </w:pPr>
    </w:p>
    <w:p w14:paraId="6EACF2D9" w14:textId="203F3ADA" w:rsidR="001E2A5E" w:rsidRPr="00506A01" w:rsidRDefault="00F40281" w:rsidP="001723D5">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The </w:t>
      </w:r>
      <w:r w:rsidRPr="00506A01">
        <w:rPr>
          <w:rFonts w:ascii="Calibri" w:hAnsi="Calibri" w:cs="Calibri"/>
          <w:i/>
          <w:sz w:val="22"/>
          <w:szCs w:val="22"/>
        </w:rPr>
        <w:t>ex parte</w:t>
      </w:r>
      <w:r w:rsidRPr="00506A01">
        <w:rPr>
          <w:rFonts w:ascii="Calibri" w:hAnsi="Calibri" w:cs="Calibri"/>
          <w:sz w:val="22"/>
          <w:szCs w:val="22"/>
        </w:rPr>
        <w:t xml:space="preserve"> docket</w:t>
      </w:r>
      <w:r w:rsidR="001E2A5E" w:rsidRPr="00506A01">
        <w:rPr>
          <w:rFonts w:ascii="Calibri" w:hAnsi="Calibri" w:cs="Calibri"/>
          <w:sz w:val="22"/>
          <w:szCs w:val="22"/>
        </w:rPr>
        <w:t xml:space="preserve"> seeking an order for substituted service</w:t>
      </w:r>
      <w:r w:rsidRPr="00506A01">
        <w:rPr>
          <w:rFonts w:ascii="Calibri" w:hAnsi="Calibri" w:cs="Calibri"/>
          <w:sz w:val="22"/>
          <w:szCs w:val="22"/>
        </w:rPr>
        <w:t xml:space="preserve"> to which </w:t>
      </w:r>
      <w:r w:rsidR="002D23AC" w:rsidRPr="00506A01">
        <w:rPr>
          <w:rFonts w:ascii="Calibri" w:hAnsi="Calibri" w:cs="Calibri"/>
          <w:sz w:val="22"/>
          <w:szCs w:val="22"/>
        </w:rPr>
        <w:t>Ms</w:t>
      </w:r>
      <w:r w:rsidRPr="00506A01">
        <w:rPr>
          <w:rFonts w:ascii="Calibri" w:hAnsi="Calibri" w:cs="Calibri"/>
          <w:sz w:val="22"/>
          <w:szCs w:val="22"/>
        </w:rPr>
        <w:t xml:space="preserve">. Barrett refers </w:t>
      </w:r>
      <w:r w:rsidR="002D23AC" w:rsidRPr="00506A01">
        <w:rPr>
          <w:rFonts w:ascii="Calibri" w:hAnsi="Calibri" w:cs="Calibri"/>
          <w:sz w:val="22"/>
          <w:szCs w:val="22"/>
        </w:rPr>
        <w:t>is dated 30</w:t>
      </w:r>
      <w:r w:rsidR="002D23AC" w:rsidRPr="00506A01">
        <w:rPr>
          <w:rFonts w:ascii="Calibri" w:hAnsi="Calibri" w:cs="Calibri"/>
          <w:sz w:val="22"/>
          <w:szCs w:val="22"/>
          <w:vertAlign w:val="superscript"/>
        </w:rPr>
        <w:t>th</w:t>
      </w:r>
      <w:r w:rsidR="002D23AC" w:rsidRPr="00506A01">
        <w:rPr>
          <w:rFonts w:ascii="Calibri" w:hAnsi="Calibri" w:cs="Calibri"/>
          <w:sz w:val="22"/>
          <w:szCs w:val="22"/>
        </w:rPr>
        <w:t xml:space="preserve"> April, 2018 </w:t>
      </w:r>
      <w:r w:rsidR="001E2A5E" w:rsidRPr="00506A01">
        <w:rPr>
          <w:rFonts w:ascii="Calibri" w:hAnsi="Calibri" w:cs="Calibri"/>
          <w:sz w:val="22"/>
          <w:szCs w:val="22"/>
        </w:rPr>
        <w:t xml:space="preserve">– i.e. before the expiry of the </w:t>
      </w:r>
      <w:r w:rsidR="00641ACB" w:rsidRPr="00506A01">
        <w:rPr>
          <w:rFonts w:ascii="Calibri" w:hAnsi="Calibri" w:cs="Calibri"/>
          <w:sz w:val="22"/>
          <w:szCs w:val="22"/>
        </w:rPr>
        <w:t>C</w:t>
      </w:r>
      <w:r w:rsidR="001E2A5E" w:rsidRPr="00506A01">
        <w:rPr>
          <w:rFonts w:ascii="Calibri" w:hAnsi="Calibri" w:cs="Calibri"/>
          <w:sz w:val="22"/>
          <w:szCs w:val="22"/>
        </w:rPr>
        <w:t xml:space="preserve">ivil </w:t>
      </w:r>
      <w:r w:rsidR="00641ACB" w:rsidRPr="00506A01">
        <w:rPr>
          <w:rFonts w:ascii="Calibri" w:hAnsi="Calibri" w:cs="Calibri"/>
          <w:sz w:val="22"/>
          <w:szCs w:val="22"/>
        </w:rPr>
        <w:t>B</w:t>
      </w:r>
      <w:r w:rsidR="001E2A5E" w:rsidRPr="00506A01">
        <w:rPr>
          <w:rFonts w:ascii="Calibri" w:hAnsi="Calibri" w:cs="Calibri"/>
          <w:sz w:val="22"/>
          <w:szCs w:val="22"/>
        </w:rPr>
        <w:t xml:space="preserve">ill for purposes of service on the second defendant - </w:t>
      </w:r>
      <w:r w:rsidR="002D23AC" w:rsidRPr="00506A01">
        <w:rPr>
          <w:rFonts w:ascii="Calibri" w:hAnsi="Calibri" w:cs="Calibri"/>
          <w:sz w:val="22"/>
          <w:szCs w:val="22"/>
        </w:rPr>
        <w:t>and was returnable for 10</w:t>
      </w:r>
      <w:r w:rsidR="002D23AC" w:rsidRPr="00506A01">
        <w:rPr>
          <w:rFonts w:ascii="Calibri" w:hAnsi="Calibri" w:cs="Calibri"/>
          <w:sz w:val="22"/>
          <w:szCs w:val="22"/>
          <w:vertAlign w:val="superscript"/>
        </w:rPr>
        <w:t>th</w:t>
      </w:r>
      <w:r w:rsidR="002D23AC" w:rsidRPr="00506A01">
        <w:rPr>
          <w:rFonts w:ascii="Calibri" w:hAnsi="Calibri" w:cs="Calibri"/>
          <w:sz w:val="22"/>
          <w:szCs w:val="22"/>
        </w:rPr>
        <w:t xml:space="preserve"> September, 2018 – </w:t>
      </w:r>
      <w:r w:rsidR="0034569C" w:rsidRPr="00506A01">
        <w:rPr>
          <w:rFonts w:ascii="Calibri" w:hAnsi="Calibri" w:cs="Calibri"/>
          <w:sz w:val="22"/>
          <w:szCs w:val="22"/>
        </w:rPr>
        <w:t>i.e.</w:t>
      </w:r>
      <w:r w:rsidR="002D23AC" w:rsidRPr="00506A01">
        <w:rPr>
          <w:rFonts w:ascii="Calibri" w:hAnsi="Calibri" w:cs="Calibri"/>
          <w:sz w:val="22"/>
          <w:szCs w:val="22"/>
        </w:rPr>
        <w:t xml:space="preserve"> after the </w:t>
      </w:r>
      <w:r w:rsidR="00D50EE4" w:rsidRPr="00506A01">
        <w:rPr>
          <w:rFonts w:ascii="Calibri" w:hAnsi="Calibri" w:cs="Calibri"/>
          <w:sz w:val="22"/>
          <w:szCs w:val="22"/>
        </w:rPr>
        <w:t xml:space="preserve">expiry of the </w:t>
      </w:r>
      <w:r w:rsidR="00641ACB" w:rsidRPr="00506A01">
        <w:rPr>
          <w:rFonts w:ascii="Calibri" w:hAnsi="Calibri" w:cs="Calibri"/>
          <w:sz w:val="22"/>
          <w:szCs w:val="22"/>
        </w:rPr>
        <w:t>C</w:t>
      </w:r>
      <w:r w:rsidR="00D50EE4" w:rsidRPr="00506A01">
        <w:rPr>
          <w:rFonts w:ascii="Calibri" w:hAnsi="Calibri" w:cs="Calibri"/>
          <w:sz w:val="22"/>
          <w:szCs w:val="22"/>
        </w:rPr>
        <w:t xml:space="preserve">ivil </w:t>
      </w:r>
      <w:r w:rsidR="00641ACB" w:rsidRPr="00506A01">
        <w:rPr>
          <w:rFonts w:ascii="Calibri" w:hAnsi="Calibri" w:cs="Calibri"/>
          <w:sz w:val="22"/>
          <w:szCs w:val="22"/>
        </w:rPr>
        <w:t>B</w:t>
      </w:r>
      <w:r w:rsidR="00D50EE4" w:rsidRPr="00506A01">
        <w:rPr>
          <w:rFonts w:ascii="Calibri" w:hAnsi="Calibri" w:cs="Calibri"/>
          <w:sz w:val="22"/>
          <w:szCs w:val="22"/>
        </w:rPr>
        <w:t xml:space="preserve">ill for purposes of service on the second defendant. </w:t>
      </w:r>
    </w:p>
    <w:p w14:paraId="5A517F20" w14:textId="0386C7DE" w:rsidR="001E2A5E" w:rsidRPr="00506A01" w:rsidRDefault="001E2A5E" w:rsidP="001E2A5E">
      <w:pPr>
        <w:pStyle w:val="ListParagraph"/>
        <w:spacing w:line="276" w:lineRule="auto"/>
        <w:ind w:left="0"/>
        <w:rPr>
          <w:rFonts w:ascii="Calibri" w:hAnsi="Calibri" w:cs="Calibri"/>
          <w:sz w:val="22"/>
          <w:szCs w:val="22"/>
        </w:rPr>
      </w:pPr>
    </w:p>
    <w:p w14:paraId="64AE4FEF" w14:textId="77777777" w:rsidR="001E2A5E" w:rsidRPr="00506A01" w:rsidRDefault="001E2A5E" w:rsidP="001E2A5E">
      <w:pPr>
        <w:pStyle w:val="ListParagraph"/>
        <w:spacing w:line="276" w:lineRule="auto"/>
        <w:ind w:left="0"/>
        <w:rPr>
          <w:rFonts w:ascii="Calibri" w:hAnsi="Calibri" w:cs="Calibri"/>
          <w:sz w:val="22"/>
          <w:szCs w:val="22"/>
        </w:rPr>
      </w:pPr>
    </w:p>
    <w:p w14:paraId="1A27DCE4" w14:textId="7B9C2823" w:rsidR="0058072C" w:rsidRPr="00506A01" w:rsidRDefault="00D50EE4" w:rsidP="001723D5">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A second</w:t>
      </w:r>
      <w:r w:rsidRPr="00506A01">
        <w:rPr>
          <w:rFonts w:ascii="Calibri" w:hAnsi="Calibri" w:cs="Calibri"/>
          <w:i/>
          <w:sz w:val="22"/>
          <w:szCs w:val="22"/>
        </w:rPr>
        <w:t xml:space="preserve"> ex parte </w:t>
      </w:r>
      <w:r w:rsidRPr="00506A01">
        <w:rPr>
          <w:rFonts w:ascii="Calibri" w:hAnsi="Calibri" w:cs="Calibri"/>
          <w:sz w:val="22"/>
          <w:szCs w:val="22"/>
        </w:rPr>
        <w:t xml:space="preserve">docket </w:t>
      </w:r>
      <w:r w:rsidR="0058072C" w:rsidRPr="00506A01">
        <w:rPr>
          <w:rFonts w:ascii="Calibri" w:hAnsi="Calibri" w:cs="Calibri"/>
          <w:sz w:val="22"/>
          <w:szCs w:val="22"/>
        </w:rPr>
        <w:t>was filed on 20</w:t>
      </w:r>
      <w:r w:rsidR="0058072C" w:rsidRPr="00506A01">
        <w:rPr>
          <w:rFonts w:ascii="Calibri" w:hAnsi="Calibri" w:cs="Calibri"/>
          <w:sz w:val="22"/>
          <w:szCs w:val="22"/>
          <w:vertAlign w:val="superscript"/>
        </w:rPr>
        <w:t>th</w:t>
      </w:r>
      <w:r w:rsidR="0058072C" w:rsidRPr="00506A01">
        <w:rPr>
          <w:rFonts w:ascii="Calibri" w:hAnsi="Calibri" w:cs="Calibri"/>
          <w:sz w:val="22"/>
          <w:szCs w:val="22"/>
        </w:rPr>
        <w:t xml:space="preserve"> June, 2018</w:t>
      </w:r>
      <w:r w:rsidR="001723D5" w:rsidRPr="00506A01">
        <w:rPr>
          <w:rFonts w:ascii="Calibri" w:hAnsi="Calibri" w:cs="Calibri"/>
          <w:sz w:val="22"/>
          <w:szCs w:val="22"/>
        </w:rPr>
        <w:t>, also</w:t>
      </w:r>
      <w:r w:rsidR="0058072C" w:rsidRPr="00506A01">
        <w:rPr>
          <w:rFonts w:ascii="Calibri" w:hAnsi="Calibri" w:cs="Calibri"/>
          <w:sz w:val="22"/>
          <w:szCs w:val="22"/>
        </w:rPr>
        <w:t xml:space="preserve"> </w:t>
      </w:r>
      <w:r w:rsidR="001723D5" w:rsidRPr="00506A01">
        <w:rPr>
          <w:rFonts w:ascii="Calibri" w:hAnsi="Calibri" w:cs="Calibri"/>
          <w:sz w:val="22"/>
          <w:szCs w:val="22"/>
        </w:rPr>
        <w:t>returnable for 10</w:t>
      </w:r>
      <w:r w:rsidR="001723D5" w:rsidRPr="00506A01">
        <w:rPr>
          <w:rFonts w:ascii="Calibri" w:hAnsi="Calibri" w:cs="Calibri"/>
          <w:sz w:val="22"/>
          <w:szCs w:val="22"/>
          <w:vertAlign w:val="superscript"/>
        </w:rPr>
        <w:t>th</w:t>
      </w:r>
      <w:r w:rsidR="001723D5" w:rsidRPr="00506A01">
        <w:rPr>
          <w:rFonts w:ascii="Calibri" w:hAnsi="Calibri" w:cs="Calibri"/>
          <w:sz w:val="22"/>
          <w:szCs w:val="22"/>
        </w:rPr>
        <w:t xml:space="preserve"> September, 2018 </w:t>
      </w:r>
      <w:r w:rsidR="0058072C" w:rsidRPr="00506A01">
        <w:rPr>
          <w:rFonts w:ascii="Calibri" w:hAnsi="Calibri" w:cs="Calibri"/>
          <w:sz w:val="22"/>
          <w:szCs w:val="22"/>
        </w:rPr>
        <w:t xml:space="preserve">– in this case, seeking to renew the </w:t>
      </w:r>
      <w:r w:rsidR="00641ACB" w:rsidRPr="00506A01">
        <w:rPr>
          <w:rFonts w:ascii="Calibri" w:hAnsi="Calibri" w:cs="Calibri"/>
          <w:sz w:val="22"/>
          <w:szCs w:val="22"/>
        </w:rPr>
        <w:t>C</w:t>
      </w:r>
      <w:r w:rsidR="0058072C" w:rsidRPr="00506A01">
        <w:rPr>
          <w:rFonts w:ascii="Calibri" w:hAnsi="Calibri" w:cs="Calibri"/>
          <w:sz w:val="22"/>
          <w:szCs w:val="22"/>
        </w:rPr>
        <w:t xml:space="preserve">ivil </w:t>
      </w:r>
      <w:r w:rsidR="00641ACB" w:rsidRPr="00506A01">
        <w:rPr>
          <w:rFonts w:ascii="Calibri" w:hAnsi="Calibri" w:cs="Calibri"/>
          <w:sz w:val="22"/>
          <w:szCs w:val="22"/>
        </w:rPr>
        <w:t>B</w:t>
      </w:r>
      <w:r w:rsidR="0058072C" w:rsidRPr="00506A01">
        <w:rPr>
          <w:rFonts w:ascii="Calibri" w:hAnsi="Calibri" w:cs="Calibri"/>
          <w:sz w:val="22"/>
          <w:szCs w:val="22"/>
        </w:rPr>
        <w:t>ill which, as stated, was due to expire on 5</w:t>
      </w:r>
      <w:r w:rsidR="0058072C" w:rsidRPr="00506A01">
        <w:rPr>
          <w:rFonts w:ascii="Calibri" w:hAnsi="Calibri" w:cs="Calibri"/>
          <w:sz w:val="22"/>
          <w:szCs w:val="22"/>
          <w:vertAlign w:val="superscript"/>
        </w:rPr>
        <w:t>th</w:t>
      </w:r>
      <w:r w:rsidR="0058072C" w:rsidRPr="00506A01">
        <w:rPr>
          <w:rFonts w:ascii="Calibri" w:hAnsi="Calibri" w:cs="Calibri"/>
          <w:sz w:val="22"/>
          <w:szCs w:val="22"/>
        </w:rPr>
        <w:t xml:space="preserve"> July, 2018. </w:t>
      </w:r>
      <w:r w:rsidR="001723D5" w:rsidRPr="00506A01">
        <w:rPr>
          <w:rFonts w:ascii="Calibri" w:hAnsi="Calibri" w:cs="Calibri"/>
          <w:sz w:val="22"/>
          <w:szCs w:val="22"/>
        </w:rPr>
        <w:t xml:space="preserve"> The </w:t>
      </w:r>
      <w:r w:rsidR="001723D5" w:rsidRPr="00506A01">
        <w:rPr>
          <w:rFonts w:ascii="Calibri" w:hAnsi="Calibri" w:cs="Calibri"/>
          <w:i/>
          <w:sz w:val="22"/>
          <w:szCs w:val="22"/>
        </w:rPr>
        <w:t>ex parte</w:t>
      </w:r>
      <w:r w:rsidR="001723D5" w:rsidRPr="00506A01">
        <w:rPr>
          <w:rFonts w:ascii="Calibri" w:hAnsi="Calibri" w:cs="Calibri"/>
          <w:sz w:val="22"/>
          <w:szCs w:val="22"/>
        </w:rPr>
        <w:t xml:space="preserve"> docket to renew the </w:t>
      </w:r>
      <w:r w:rsidR="00641ACB" w:rsidRPr="00506A01">
        <w:rPr>
          <w:rFonts w:ascii="Calibri" w:hAnsi="Calibri" w:cs="Calibri"/>
          <w:sz w:val="22"/>
          <w:szCs w:val="22"/>
        </w:rPr>
        <w:t>C</w:t>
      </w:r>
      <w:r w:rsidR="001723D5" w:rsidRPr="00506A01">
        <w:rPr>
          <w:rFonts w:ascii="Calibri" w:hAnsi="Calibri" w:cs="Calibri"/>
          <w:sz w:val="22"/>
          <w:szCs w:val="22"/>
        </w:rPr>
        <w:t xml:space="preserve">ivil </w:t>
      </w:r>
      <w:r w:rsidR="00641ACB" w:rsidRPr="00506A01">
        <w:rPr>
          <w:rFonts w:ascii="Calibri" w:hAnsi="Calibri" w:cs="Calibri"/>
          <w:sz w:val="22"/>
          <w:szCs w:val="22"/>
        </w:rPr>
        <w:t>B</w:t>
      </w:r>
      <w:r w:rsidR="001723D5" w:rsidRPr="00506A01">
        <w:rPr>
          <w:rFonts w:ascii="Calibri" w:hAnsi="Calibri" w:cs="Calibri"/>
          <w:sz w:val="22"/>
          <w:szCs w:val="22"/>
        </w:rPr>
        <w:t>ill was grounded on an affidavit sworn by Jack Donoghue on 20</w:t>
      </w:r>
      <w:r w:rsidR="001723D5" w:rsidRPr="00506A01">
        <w:rPr>
          <w:rFonts w:ascii="Calibri" w:hAnsi="Calibri" w:cs="Calibri"/>
          <w:sz w:val="22"/>
          <w:szCs w:val="22"/>
          <w:vertAlign w:val="superscript"/>
        </w:rPr>
        <w:t>th</w:t>
      </w:r>
      <w:r w:rsidR="001723D5" w:rsidRPr="00506A01">
        <w:rPr>
          <w:rFonts w:ascii="Calibri" w:hAnsi="Calibri" w:cs="Calibri"/>
          <w:sz w:val="22"/>
          <w:szCs w:val="22"/>
        </w:rPr>
        <w:t xml:space="preserve"> June, 2018. </w:t>
      </w:r>
      <w:r w:rsidR="00960FBA" w:rsidRPr="00506A01">
        <w:rPr>
          <w:rFonts w:ascii="Calibri" w:hAnsi="Calibri" w:cs="Calibri"/>
          <w:sz w:val="22"/>
          <w:szCs w:val="22"/>
        </w:rPr>
        <w:t>Beyond praying renewal of the Civil Bill, i</w:t>
      </w:r>
      <w:r w:rsidR="001723D5" w:rsidRPr="00506A01">
        <w:rPr>
          <w:rFonts w:ascii="Calibri" w:hAnsi="Calibri" w:cs="Calibri"/>
          <w:sz w:val="22"/>
          <w:szCs w:val="22"/>
        </w:rPr>
        <w:t>t add</w:t>
      </w:r>
      <w:r w:rsidR="00960FBA" w:rsidRPr="00506A01">
        <w:rPr>
          <w:rFonts w:ascii="Calibri" w:hAnsi="Calibri" w:cs="Calibri"/>
          <w:sz w:val="22"/>
          <w:szCs w:val="22"/>
        </w:rPr>
        <w:t>s</w:t>
      </w:r>
      <w:r w:rsidR="001723D5" w:rsidRPr="00506A01">
        <w:rPr>
          <w:rFonts w:ascii="Calibri" w:hAnsi="Calibri" w:cs="Calibri"/>
          <w:sz w:val="22"/>
          <w:szCs w:val="22"/>
        </w:rPr>
        <w:t xml:space="preserve"> nothing to the affidavits of Mr. Ferguson and Ms. Barrett.  </w:t>
      </w:r>
      <w:r w:rsidR="0058072C" w:rsidRPr="00506A01">
        <w:rPr>
          <w:rFonts w:ascii="Calibri" w:hAnsi="Calibri" w:cs="Calibri"/>
          <w:sz w:val="22"/>
          <w:szCs w:val="22"/>
        </w:rPr>
        <w:t xml:space="preserve">As will be seen, it is not apparent that either </w:t>
      </w:r>
      <w:r w:rsidR="0058072C" w:rsidRPr="00506A01">
        <w:rPr>
          <w:rFonts w:ascii="Calibri" w:hAnsi="Calibri" w:cs="Calibri"/>
          <w:i/>
          <w:sz w:val="22"/>
          <w:szCs w:val="22"/>
        </w:rPr>
        <w:t>ex parte</w:t>
      </w:r>
      <w:r w:rsidR="0058072C" w:rsidRPr="00506A01">
        <w:rPr>
          <w:rFonts w:ascii="Calibri" w:hAnsi="Calibri" w:cs="Calibri"/>
          <w:sz w:val="22"/>
          <w:szCs w:val="22"/>
        </w:rPr>
        <w:t xml:space="preserve"> docket was ever moved. </w:t>
      </w:r>
      <w:r w:rsidR="00F4676F" w:rsidRPr="00506A01">
        <w:rPr>
          <w:rFonts w:ascii="Calibri" w:hAnsi="Calibri" w:cs="Calibri"/>
          <w:sz w:val="22"/>
          <w:szCs w:val="22"/>
        </w:rPr>
        <w:t xml:space="preserve">But the </w:t>
      </w:r>
      <w:r w:rsidR="00F4676F" w:rsidRPr="00506A01">
        <w:rPr>
          <w:rFonts w:ascii="Calibri" w:hAnsi="Calibri" w:cs="Calibri"/>
          <w:i/>
          <w:sz w:val="22"/>
          <w:szCs w:val="22"/>
        </w:rPr>
        <w:t>ex parte</w:t>
      </w:r>
      <w:r w:rsidR="00F4676F" w:rsidRPr="00506A01">
        <w:rPr>
          <w:rFonts w:ascii="Calibri" w:hAnsi="Calibri" w:cs="Calibri"/>
          <w:sz w:val="22"/>
          <w:szCs w:val="22"/>
        </w:rPr>
        <w:t xml:space="preserve"> docket to renew</w:t>
      </w:r>
      <w:r w:rsidR="00960FBA" w:rsidRPr="00506A01">
        <w:rPr>
          <w:rFonts w:ascii="Calibri" w:hAnsi="Calibri" w:cs="Calibri"/>
          <w:sz w:val="22"/>
          <w:szCs w:val="22"/>
        </w:rPr>
        <w:t xml:space="preserve"> filed on 20</w:t>
      </w:r>
      <w:r w:rsidR="00960FBA" w:rsidRPr="00506A01">
        <w:rPr>
          <w:rFonts w:ascii="Calibri" w:hAnsi="Calibri" w:cs="Calibri"/>
          <w:sz w:val="22"/>
          <w:szCs w:val="22"/>
          <w:vertAlign w:val="superscript"/>
        </w:rPr>
        <w:t>th</w:t>
      </w:r>
      <w:r w:rsidR="00960FBA" w:rsidRPr="00506A01">
        <w:rPr>
          <w:rFonts w:ascii="Calibri" w:hAnsi="Calibri" w:cs="Calibri"/>
          <w:sz w:val="22"/>
          <w:szCs w:val="22"/>
        </w:rPr>
        <w:t xml:space="preserve"> June, 2018</w:t>
      </w:r>
      <w:r w:rsidR="00F4676F" w:rsidRPr="00506A01">
        <w:rPr>
          <w:rFonts w:ascii="Calibri" w:hAnsi="Calibri" w:cs="Calibri"/>
          <w:sz w:val="22"/>
          <w:szCs w:val="22"/>
        </w:rPr>
        <w:t xml:space="preserve"> is relevant as the Plaintiff’s recognition of the necessity of renewal.</w:t>
      </w:r>
    </w:p>
    <w:p w14:paraId="0651C909" w14:textId="77777777" w:rsidR="001723D5" w:rsidRPr="00506A01" w:rsidRDefault="001723D5" w:rsidP="001723D5">
      <w:pPr>
        <w:pStyle w:val="ListParagraph"/>
        <w:spacing w:line="276" w:lineRule="auto"/>
        <w:ind w:left="0"/>
        <w:rPr>
          <w:rFonts w:ascii="Calibri" w:hAnsi="Calibri" w:cs="Calibri"/>
          <w:sz w:val="22"/>
          <w:szCs w:val="22"/>
        </w:rPr>
      </w:pPr>
    </w:p>
    <w:p w14:paraId="0A9A0636" w14:textId="77777777" w:rsidR="001723D5" w:rsidRPr="00506A01" w:rsidRDefault="001723D5" w:rsidP="001723D5">
      <w:pPr>
        <w:pStyle w:val="ListParagraph"/>
        <w:spacing w:line="276" w:lineRule="auto"/>
        <w:ind w:left="0"/>
        <w:rPr>
          <w:rFonts w:ascii="Calibri" w:hAnsi="Calibri" w:cs="Calibri"/>
          <w:sz w:val="22"/>
          <w:szCs w:val="22"/>
        </w:rPr>
      </w:pPr>
    </w:p>
    <w:p w14:paraId="51ECF1F9" w14:textId="54C91B76" w:rsidR="0058072C" w:rsidRPr="00506A01" w:rsidRDefault="0058072C"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lastRenderedPageBreak/>
        <w:t xml:space="preserve">The next relevant event was, as indicated above, the expiry of the </w:t>
      </w:r>
      <w:r w:rsidR="00641ACB" w:rsidRPr="00506A01">
        <w:rPr>
          <w:rFonts w:ascii="Calibri" w:hAnsi="Calibri" w:cs="Calibri"/>
          <w:sz w:val="22"/>
          <w:szCs w:val="22"/>
        </w:rPr>
        <w:t>C</w:t>
      </w:r>
      <w:r w:rsidRPr="00506A01">
        <w:rPr>
          <w:rFonts w:ascii="Calibri" w:hAnsi="Calibri" w:cs="Calibri"/>
          <w:sz w:val="22"/>
          <w:szCs w:val="22"/>
        </w:rPr>
        <w:t xml:space="preserve">ivil </w:t>
      </w:r>
      <w:r w:rsidR="00641ACB" w:rsidRPr="00506A01">
        <w:rPr>
          <w:rFonts w:ascii="Calibri" w:hAnsi="Calibri" w:cs="Calibri"/>
          <w:sz w:val="22"/>
          <w:szCs w:val="22"/>
        </w:rPr>
        <w:t>B</w:t>
      </w:r>
      <w:r w:rsidRPr="00506A01">
        <w:rPr>
          <w:rFonts w:ascii="Calibri" w:hAnsi="Calibri" w:cs="Calibri"/>
          <w:sz w:val="22"/>
          <w:szCs w:val="22"/>
        </w:rPr>
        <w:t>ill on 5</w:t>
      </w:r>
      <w:r w:rsidRPr="00506A01">
        <w:rPr>
          <w:rFonts w:ascii="Calibri" w:hAnsi="Calibri" w:cs="Calibri"/>
          <w:sz w:val="22"/>
          <w:szCs w:val="22"/>
          <w:vertAlign w:val="superscript"/>
        </w:rPr>
        <w:t>th</w:t>
      </w:r>
      <w:r w:rsidRPr="00506A01">
        <w:rPr>
          <w:rFonts w:ascii="Calibri" w:hAnsi="Calibri" w:cs="Calibri"/>
          <w:sz w:val="22"/>
          <w:szCs w:val="22"/>
        </w:rPr>
        <w:t xml:space="preserve"> July, 2018. </w:t>
      </w:r>
    </w:p>
    <w:p w14:paraId="0A0BCBAE" w14:textId="77777777" w:rsidR="001723D5" w:rsidRPr="00506A01" w:rsidRDefault="001723D5" w:rsidP="001723D5">
      <w:pPr>
        <w:pStyle w:val="ListParagraph"/>
        <w:spacing w:line="276" w:lineRule="auto"/>
        <w:ind w:left="0"/>
        <w:rPr>
          <w:rFonts w:ascii="Calibri" w:hAnsi="Calibri" w:cs="Calibri"/>
          <w:sz w:val="22"/>
          <w:szCs w:val="22"/>
        </w:rPr>
      </w:pPr>
    </w:p>
    <w:p w14:paraId="01918D1C" w14:textId="77777777" w:rsidR="001723D5" w:rsidRPr="00506A01" w:rsidRDefault="001723D5" w:rsidP="001723D5">
      <w:pPr>
        <w:pStyle w:val="ListParagraph"/>
        <w:spacing w:line="276" w:lineRule="auto"/>
        <w:ind w:left="0"/>
        <w:rPr>
          <w:rFonts w:ascii="Calibri" w:hAnsi="Calibri" w:cs="Calibri"/>
          <w:sz w:val="22"/>
          <w:szCs w:val="22"/>
        </w:rPr>
      </w:pPr>
    </w:p>
    <w:p w14:paraId="47DF15CE" w14:textId="6FBAC365" w:rsidR="0058072C" w:rsidRPr="00506A01" w:rsidRDefault="0058072C"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As recorded above, the return date of</w:t>
      </w:r>
      <w:r w:rsidR="001723D5" w:rsidRPr="00506A01">
        <w:rPr>
          <w:rFonts w:ascii="Calibri" w:hAnsi="Calibri" w:cs="Calibri"/>
          <w:sz w:val="22"/>
          <w:szCs w:val="22"/>
        </w:rPr>
        <w:t xml:space="preserve"> the</w:t>
      </w:r>
      <w:r w:rsidRPr="00506A01">
        <w:rPr>
          <w:rFonts w:ascii="Calibri" w:hAnsi="Calibri" w:cs="Calibri"/>
          <w:sz w:val="22"/>
          <w:szCs w:val="22"/>
        </w:rPr>
        <w:t xml:space="preserve"> </w:t>
      </w:r>
      <w:r w:rsidRPr="00506A01">
        <w:rPr>
          <w:rFonts w:ascii="Calibri" w:hAnsi="Calibri" w:cs="Calibri"/>
          <w:i/>
          <w:sz w:val="22"/>
          <w:szCs w:val="22"/>
        </w:rPr>
        <w:t>ex parte</w:t>
      </w:r>
      <w:r w:rsidRPr="00506A01">
        <w:rPr>
          <w:rFonts w:ascii="Calibri" w:hAnsi="Calibri" w:cs="Calibri"/>
          <w:sz w:val="22"/>
          <w:szCs w:val="22"/>
        </w:rPr>
        <w:t xml:space="preserve"> docket</w:t>
      </w:r>
      <w:r w:rsidR="001723D5" w:rsidRPr="00506A01">
        <w:rPr>
          <w:rFonts w:ascii="Calibri" w:hAnsi="Calibri" w:cs="Calibri"/>
          <w:sz w:val="22"/>
          <w:szCs w:val="22"/>
        </w:rPr>
        <w:t>s</w:t>
      </w:r>
      <w:r w:rsidRPr="00506A01">
        <w:rPr>
          <w:rFonts w:ascii="Calibri" w:hAnsi="Calibri" w:cs="Calibri"/>
          <w:sz w:val="22"/>
          <w:szCs w:val="22"/>
        </w:rPr>
        <w:t xml:space="preserve"> for substituted service </w:t>
      </w:r>
      <w:r w:rsidR="001723D5" w:rsidRPr="00506A01">
        <w:rPr>
          <w:rFonts w:ascii="Calibri" w:hAnsi="Calibri" w:cs="Calibri"/>
          <w:sz w:val="22"/>
          <w:szCs w:val="22"/>
        </w:rPr>
        <w:t>and</w:t>
      </w:r>
      <w:r w:rsidRPr="00506A01">
        <w:rPr>
          <w:rFonts w:ascii="Calibri" w:hAnsi="Calibri" w:cs="Calibri"/>
          <w:sz w:val="22"/>
          <w:szCs w:val="22"/>
        </w:rPr>
        <w:t xml:space="preserve"> seeking to renew the </w:t>
      </w:r>
      <w:r w:rsidR="00520BBA" w:rsidRPr="00506A01">
        <w:rPr>
          <w:rFonts w:ascii="Calibri" w:hAnsi="Calibri" w:cs="Calibri"/>
          <w:sz w:val="22"/>
          <w:szCs w:val="22"/>
        </w:rPr>
        <w:t>C</w:t>
      </w:r>
      <w:r w:rsidRPr="00506A01">
        <w:rPr>
          <w:rFonts w:ascii="Calibri" w:hAnsi="Calibri" w:cs="Calibri"/>
          <w:sz w:val="22"/>
          <w:szCs w:val="22"/>
        </w:rPr>
        <w:t xml:space="preserve">ivil </w:t>
      </w:r>
      <w:r w:rsidR="00520BBA" w:rsidRPr="00506A01">
        <w:rPr>
          <w:rFonts w:ascii="Calibri" w:hAnsi="Calibri" w:cs="Calibri"/>
          <w:sz w:val="22"/>
          <w:szCs w:val="22"/>
        </w:rPr>
        <w:t>B</w:t>
      </w:r>
      <w:r w:rsidRPr="00506A01">
        <w:rPr>
          <w:rFonts w:ascii="Calibri" w:hAnsi="Calibri" w:cs="Calibri"/>
          <w:sz w:val="22"/>
          <w:szCs w:val="22"/>
        </w:rPr>
        <w:t>ill was 10</w:t>
      </w:r>
      <w:r w:rsidRPr="00506A01">
        <w:rPr>
          <w:rFonts w:ascii="Calibri" w:hAnsi="Calibri" w:cs="Calibri"/>
          <w:sz w:val="22"/>
          <w:szCs w:val="22"/>
          <w:vertAlign w:val="superscript"/>
        </w:rPr>
        <w:t>th</w:t>
      </w:r>
      <w:r w:rsidRPr="00506A01">
        <w:rPr>
          <w:rFonts w:ascii="Calibri" w:hAnsi="Calibri" w:cs="Calibri"/>
          <w:sz w:val="22"/>
          <w:szCs w:val="22"/>
        </w:rPr>
        <w:t xml:space="preserve"> September, 2018. The case came before the County Registrar on that date. The order perfected on foot of that hearing is puzzling. It open</w:t>
      </w:r>
      <w:r w:rsidR="001723D5" w:rsidRPr="00506A01">
        <w:rPr>
          <w:rFonts w:ascii="Calibri" w:hAnsi="Calibri" w:cs="Calibri"/>
          <w:sz w:val="22"/>
          <w:szCs w:val="22"/>
        </w:rPr>
        <w:t>s</w:t>
      </w:r>
      <w:r w:rsidRPr="00506A01">
        <w:rPr>
          <w:rFonts w:ascii="Calibri" w:hAnsi="Calibri" w:cs="Calibri"/>
          <w:sz w:val="22"/>
          <w:szCs w:val="22"/>
        </w:rPr>
        <w:t xml:space="preserve"> by recording that </w:t>
      </w:r>
      <w:r w:rsidR="007051D4" w:rsidRPr="00506A01">
        <w:rPr>
          <w:rFonts w:ascii="Calibri" w:hAnsi="Calibri" w:cs="Calibri"/>
          <w:sz w:val="22"/>
          <w:szCs w:val="22"/>
        </w:rPr>
        <w:t xml:space="preserve">the </w:t>
      </w:r>
      <w:r w:rsidRPr="00506A01">
        <w:rPr>
          <w:rFonts w:ascii="Calibri" w:hAnsi="Calibri" w:cs="Calibri"/>
          <w:sz w:val="22"/>
          <w:szCs w:val="22"/>
        </w:rPr>
        <w:t xml:space="preserve">defendants had been duly served with the </w:t>
      </w:r>
      <w:r w:rsidR="00641ACB" w:rsidRPr="00506A01">
        <w:rPr>
          <w:rFonts w:ascii="Calibri" w:hAnsi="Calibri" w:cs="Calibri"/>
          <w:sz w:val="22"/>
          <w:szCs w:val="22"/>
        </w:rPr>
        <w:t>C</w:t>
      </w:r>
      <w:r w:rsidRPr="00506A01">
        <w:rPr>
          <w:rFonts w:ascii="Calibri" w:hAnsi="Calibri" w:cs="Calibri"/>
          <w:sz w:val="22"/>
          <w:szCs w:val="22"/>
        </w:rPr>
        <w:t xml:space="preserve">ivil </w:t>
      </w:r>
      <w:r w:rsidR="00641ACB" w:rsidRPr="00506A01">
        <w:rPr>
          <w:rFonts w:ascii="Calibri" w:hAnsi="Calibri" w:cs="Calibri"/>
          <w:sz w:val="22"/>
          <w:szCs w:val="22"/>
        </w:rPr>
        <w:t>B</w:t>
      </w:r>
      <w:r w:rsidRPr="00506A01">
        <w:rPr>
          <w:rFonts w:ascii="Calibri" w:hAnsi="Calibri" w:cs="Calibri"/>
          <w:sz w:val="22"/>
          <w:szCs w:val="22"/>
        </w:rPr>
        <w:t xml:space="preserve">ill. While correct as to the first defendant, that recital is clearly incorrect as to the second. It next records that the </w:t>
      </w:r>
      <w:r w:rsidR="00520BBA" w:rsidRPr="00506A01">
        <w:rPr>
          <w:rFonts w:ascii="Calibri" w:hAnsi="Calibri" w:cs="Calibri"/>
          <w:sz w:val="22"/>
          <w:szCs w:val="22"/>
        </w:rPr>
        <w:t>C</w:t>
      </w:r>
      <w:r w:rsidRPr="00506A01">
        <w:rPr>
          <w:rFonts w:ascii="Calibri" w:hAnsi="Calibri" w:cs="Calibri"/>
          <w:sz w:val="22"/>
          <w:szCs w:val="22"/>
        </w:rPr>
        <w:t xml:space="preserve">ivil </w:t>
      </w:r>
      <w:r w:rsidR="00520BBA" w:rsidRPr="00506A01">
        <w:rPr>
          <w:rFonts w:ascii="Calibri" w:hAnsi="Calibri" w:cs="Calibri"/>
          <w:sz w:val="22"/>
          <w:szCs w:val="22"/>
        </w:rPr>
        <w:t>B</w:t>
      </w:r>
      <w:r w:rsidRPr="00506A01">
        <w:rPr>
          <w:rFonts w:ascii="Calibri" w:hAnsi="Calibri" w:cs="Calibri"/>
          <w:sz w:val="22"/>
          <w:szCs w:val="22"/>
        </w:rPr>
        <w:t xml:space="preserve">ill had come on for hearing. Again, that may be technically correct as to a return date </w:t>
      </w:r>
      <w:r w:rsidR="000B3066" w:rsidRPr="00506A01">
        <w:rPr>
          <w:rFonts w:ascii="Calibri" w:hAnsi="Calibri" w:cs="Calibri"/>
          <w:sz w:val="22"/>
          <w:szCs w:val="22"/>
        </w:rPr>
        <w:t>relating to the first defendant but could not have been correct in any real sense as concern</w:t>
      </w:r>
      <w:r w:rsidR="00960FBA" w:rsidRPr="00506A01">
        <w:rPr>
          <w:rFonts w:ascii="Calibri" w:hAnsi="Calibri" w:cs="Calibri"/>
          <w:sz w:val="22"/>
          <w:szCs w:val="22"/>
        </w:rPr>
        <w:t>ing</w:t>
      </w:r>
      <w:r w:rsidR="000B3066" w:rsidRPr="00506A01">
        <w:rPr>
          <w:rFonts w:ascii="Calibri" w:hAnsi="Calibri" w:cs="Calibri"/>
          <w:sz w:val="22"/>
          <w:szCs w:val="22"/>
        </w:rPr>
        <w:t xml:space="preserve"> the second defendant</w:t>
      </w:r>
      <w:r w:rsidR="001723D5" w:rsidRPr="00506A01">
        <w:rPr>
          <w:rFonts w:ascii="Calibri" w:hAnsi="Calibri" w:cs="Calibri"/>
          <w:sz w:val="22"/>
          <w:szCs w:val="22"/>
        </w:rPr>
        <w:t xml:space="preserve">, who had not been served with the </w:t>
      </w:r>
      <w:r w:rsidR="00520BBA" w:rsidRPr="00506A01">
        <w:rPr>
          <w:rFonts w:ascii="Calibri" w:hAnsi="Calibri" w:cs="Calibri"/>
          <w:sz w:val="22"/>
          <w:szCs w:val="22"/>
        </w:rPr>
        <w:t>C</w:t>
      </w:r>
      <w:r w:rsidR="001723D5" w:rsidRPr="00506A01">
        <w:rPr>
          <w:rFonts w:ascii="Calibri" w:hAnsi="Calibri" w:cs="Calibri"/>
          <w:sz w:val="22"/>
          <w:szCs w:val="22"/>
        </w:rPr>
        <w:t xml:space="preserve">ivil </w:t>
      </w:r>
      <w:r w:rsidR="00520BBA" w:rsidRPr="00506A01">
        <w:rPr>
          <w:rFonts w:ascii="Calibri" w:hAnsi="Calibri" w:cs="Calibri"/>
          <w:sz w:val="22"/>
          <w:szCs w:val="22"/>
        </w:rPr>
        <w:t>B</w:t>
      </w:r>
      <w:r w:rsidR="001723D5" w:rsidRPr="00506A01">
        <w:rPr>
          <w:rFonts w:ascii="Calibri" w:hAnsi="Calibri" w:cs="Calibri"/>
          <w:sz w:val="22"/>
          <w:szCs w:val="22"/>
        </w:rPr>
        <w:t>ill</w:t>
      </w:r>
      <w:r w:rsidR="000B3066" w:rsidRPr="00506A01">
        <w:rPr>
          <w:rFonts w:ascii="Calibri" w:hAnsi="Calibri" w:cs="Calibri"/>
          <w:sz w:val="22"/>
          <w:szCs w:val="22"/>
        </w:rPr>
        <w:t xml:space="preserve">. Notably also, the </w:t>
      </w:r>
      <w:r w:rsidR="000B3066" w:rsidRPr="00506A01">
        <w:rPr>
          <w:rFonts w:ascii="Calibri" w:hAnsi="Calibri" w:cs="Calibri"/>
          <w:i/>
          <w:sz w:val="22"/>
          <w:szCs w:val="22"/>
        </w:rPr>
        <w:t>ex parte</w:t>
      </w:r>
      <w:r w:rsidR="000B3066" w:rsidRPr="00506A01">
        <w:rPr>
          <w:rFonts w:ascii="Calibri" w:hAnsi="Calibri" w:cs="Calibri"/>
          <w:sz w:val="22"/>
          <w:szCs w:val="22"/>
        </w:rPr>
        <w:t xml:space="preserve"> dockets </w:t>
      </w:r>
      <w:r w:rsidR="00960FBA" w:rsidRPr="00506A01">
        <w:rPr>
          <w:rFonts w:ascii="Calibri" w:hAnsi="Calibri" w:cs="Calibri"/>
          <w:sz w:val="22"/>
          <w:szCs w:val="22"/>
        </w:rPr>
        <w:t>returnable 10</w:t>
      </w:r>
      <w:r w:rsidR="00960FBA" w:rsidRPr="00506A01">
        <w:rPr>
          <w:rFonts w:ascii="Calibri" w:hAnsi="Calibri" w:cs="Calibri"/>
          <w:sz w:val="22"/>
          <w:szCs w:val="22"/>
          <w:vertAlign w:val="superscript"/>
        </w:rPr>
        <w:t>th</w:t>
      </w:r>
      <w:r w:rsidR="00960FBA" w:rsidRPr="00506A01">
        <w:rPr>
          <w:rFonts w:ascii="Calibri" w:hAnsi="Calibri" w:cs="Calibri"/>
          <w:sz w:val="22"/>
          <w:szCs w:val="22"/>
        </w:rPr>
        <w:t xml:space="preserve"> September, 2018 </w:t>
      </w:r>
      <w:r w:rsidR="000B3066" w:rsidRPr="00506A01">
        <w:rPr>
          <w:rFonts w:ascii="Calibri" w:hAnsi="Calibri" w:cs="Calibri"/>
          <w:sz w:val="22"/>
          <w:szCs w:val="22"/>
        </w:rPr>
        <w:t>are not mentioned</w:t>
      </w:r>
      <w:r w:rsidR="00960FBA" w:rsidRPr="00506A01">
        <w:rPr>
          <w:rFonts w:ascii="Calibri" w:hAnsi="Calibri" w:cs="Calibri"/>
          <w:sz w:val="22"/>
          <w:szCs w:val="22"/>
        </w:rPr>
        <w:t xml:space="preserve"> in the order of 10</w:t>
      </w:r>
      <w:r w:rsidR="00960FBA" w:rsidRPr="00506A01">
        <w:rPr>
          <w:rFonts w:ascii="Calibri" w:hAnsi="Calibri" w:cs="Calibri"/>
          <w:sz w:val="22"/>
          <w:szCs w:val="22"/>
          <w:vertAlign w:val="superscript"/>
        </w:rPr>
        <w:t>th</w:t>
      </w:r>
      <w:r w:rsidR="00960FBA" w:rsidRPr="00506A01">
        <w:rPr>
          <w:rFonts w:ascii="Calibri" w:hAnsi="Calibri" w:cs="Calibri"/>
          <w:sz w:val="22"/>
          <w:szCs w:val="22"/>
        </w:rPr>
        <w:t xml:space="preserve"> September, 2018</w:t>
      </w:r>
      <w:r w:rsidR="000B3066" w:rsidRPr="00506A01">
        <w:rPr>
          <w:rFonts w:ascii="Calibri" w:hAnsi="Calibri" w:cs="Calibri"/>
          <w:sz w:val="22"/>
          <w:szCs w:val="22"/>
        </w:rPr>
        <w:t xml:space="preserve">. </w:t>
      </w:r>
      <w:r w:rsidR="00960FBA" w:rsidRPr="00506A01">
        <w:rPr>
          <w:rFonts w:ascii="Calibri" w:hAnsi="Calibri" w:cs="Calibri"/>
          <w:sz w:val="22"/>
          <w:szCs w:val="22"/>
        </w:rPr>
        <w:t>Perhaps</w:t>
      </w:r>
      <w:r w:rsidR="000B3066" w:rsidRPr="00506A01">
        <w:rPr>
          <w:rFonts w:ascii="Calibri" w:hAnsi="Calibri" w:cs="Calibri"/>
          <w:sz w:val="22"/>
          <w:szCs w:val="22"/>
        </w:rPr>
        <w:t xml:space="preserve"> this was because</w:t>
      </w:r>
      <w:r w:rsidR="001723D5" w:rsidRPr="00506A01">
        <w:rPr>
          <w:rFonts w:ascii="Calibri" w:hAnsi="Calibri" w:cs="Calibri"/>
          <w:sz w:val="22"/>
          <w:szCs w:val="22"/>
        </w:rPr>
        <w:t xml:space="preserve"> they may not have been moved as</w:t>
      </w:r>
      <w:r w:rsidR="000B3066" w:rsidRPr="00506A01">
        <w:rPr>
          <w:rFonts w:ascii="Calibri" w:hAnsi="Calibri" w:cs="Calibri"/>
          <w:sz w:val="22"/>
          <w:szCs w:val="22"/>
        </w:rPr>
        <w:t xml:space="preserve">, having regard to the expiry of the </w:t>
      </w:r>
      <w:r w:rsidR="00520BBA" w:rsidRPr="00506A01">
        <w:rPr>
          <w:rFonts w:ascii="Calibri" w:hAnsi="Calibri" w:cs="Calibri"/>
          <w:sz w:val="22"/>
          <w:szCs w:val="22"/>
        </w:rPr>
        <w:t>C</w:t>
      </w:r>
      <w:r w:rsidR="000B3066" w:rsidRPr="00506A01">
        <w:rPr>
          <w:rFonts w:ascii="Calibri" w:hAnsi="Calibri" w:cs="Calibri"/>
          <w:sz w:val="22"/>
          <w:szCs w:val="22"/>
        </w:rPr>
        <w:t xml:space="preserve">ivil </w:t>
      </w:r>
      <w:r w:rsidR="00520BBA" w:rsidRPr="00506A01">
        <w:rPr>
          <w:rFonts w:ascii="Calibri" w:hAnsi="Calibri" w:cs="Calibri"/>
          <w:sz w:val="22"/>
          <w:szCs w:val="22"/>
        </w:rPr>
        <w:t>B</w:t>
      </w:r>
      <w:r w:rsidR="000B3066" w:rsidRPr="00506A01">
        <w:rPr>
          <w:rFonts w:ascii="Calibri" w:hAnsi="Calibri" w:cs="Calibri"/>
          <w:sz w:val="22"/>
          <w:szCs w:val="22"/>
        </w:rPr>
        <w:t xml:space="preserve">ill about two months earlier, any application to renew the </w:t>
      </w:r>
      <w:r w:rsidR="00520BBA" w:rsidRPr="00506A01">
        <w:rPr>
          <w:rFonts w:ascii="Calibri" w:hAnsi="Calibri" w:cs="Calibri"/>
          <w:sz w:val="22"/>
          <w:szCs w:val="22"/>
        </w:rPr>
        <w:t>C</w:t>
      </w:r>
      <w:r w:rsidR="000B3066" w:rsidRPr="00506A01">
        <w:rPr>
          <w:rFonts w:ascii="Calibri" w:hAnsi="Calibri" w:cs="Calibri"/>
          <w:sz w:val="22"/>
          <w:szCs w:val="22"/>
        </w:rPr>
        <w:t xml:space="preserve">ivil </w:t>
      </w:r>
      <w:r w:rsidR="00520BBA" w:rsidRPr="00506A01">
        <w:rPr>
          <w:rFonts w:ascii="Calibri" w:hAnsi="Calibri" w:cs="Calibri"/>
          <w:sz w:val="22"/>
          <w:szCs w:val="22"/>
        </w:rPr>
        <w:t>B</w:t>
      </w:r>
      <w:r w:rsidR="000B3066" w:rsidRPr="00506A01">
        <w:rPr>
          <w:rFonts w:ascii="Calibri" w:hAnsi="Calibri" w:cs="Calibri"/>
          <w:sz w:val="22"/>
          <w:szCs w:val="22"/>
        </w:rPr>
        <w:t>ill now had to be made to the</w:t>
      </w:r>
      <w:r w:rsidR="00960FBA" w:rsidRPr="00506A01">
        <w:rPr>
          <w:rFonts w:ascii="Calibri" w:hAnsi="Calibri" w:cs="Calibri"/>
          <w:sz w:val="22"/>
          <w:szCs w:val="22"/>
        </w:rPr>
        <w:t xml:space="preserve"> circuit</w:t>
      </w:r>
      <w:r w:rsidR="000B3066" w:rsidRPr="00506A01">
        <w:rPr>
          <w:rFonts w:ascii="Calibri" w:hAnsi="Calibri" w:cs="Calibri"/>
          <w:sz w:val="22"/>
          <w:szCs w:val="22"/>
        </w:rPr>
        <w:t xml:space="preserve"> judge rather than </w:t>
      </w:r>
      <w:r w:rsidR="00960FBA" w:rsidRPr="00506A01">
        <w:rPr>
          <w:rFonts w:ascii="Calibri" w:hAnsi="Calibri" w:cs="Calibri"/>
          <w:sz w:val="22"/>
          <w:szCs w:val="22"/>
        </w:rPr>
        <w:t xml:space="preserve">to </w:t>
      </w:r>
      <w:r w:rsidR="000B3066" w:rsidRPr="00506A01">
        <w:rPr>
          <w:rFonts w:ascii="Calibri" w:hAnsi="Calibri" w:cs="Calibri"/>
          <w:sz w:val="22"/>
          <w:szCs w:val="22"/>
        </w:rPr>
        <w:t xml:space="preserve">the </w:t>
      </w:r>
      <w:r w:rsidR="00960FBA" w:rsidRPr="00506A01">
        <w:rPr>
          <w:rFonts w:ascii="Calibri" w:hAnsi="Calibri" w:cs="Calibri"/>
          <w:sz w:val="22"/>
          <w:szCs w:val="22"/>
        </w:rPr>
        <w:t>c</w:t>
      </w:r>
      <w:r w:rsidR="000B3066" w:rsidRPr="00506A01">
        <w:rPr>
          <w:rFonts w:ascii="Calibri" w:hAnsi="Calibri" w:cs="Calibri"/>
          <w:sz w:val="22"/>
          <w:szCs w:val="22"/>
        </w:rPr>
        <w:t xml:space="preserve">ounty </w:t>
      </w:r>
      <w:r w:rsidR="00960FBA" w:rsidRPr="00506A01">
        <w:rPr>
          <w:rFonts w:ascii="Calibri" w:hAnsi="Calibri" w:cs="Calibri"/>
          <w:sz w:val="22"/>
          <w:szCs w:val="22"/>
        </w:rPr>
        <w:t>r</w:t>
      </w:r>
      <w:r w:rsidR="000B3066" w:rsidRPr="00506A01">
        <w:rPr>
          <w:rFonts w:ascii="Calibri" w:hAnsi="Calibri" w:cs="Calibri"/>
          <w:sz w:val="22"/>
          <w:szCs w:val="22"/>
        </w:rPr>
        <w:t xml:space="preserve">egistrar and the question of substituted service was likely considered not to arise pending renewal of the </w:t>
      </w:r>
      <w:r w:rsidR="00520BBA" w:rsidRPr="00506A01">
        <w:rPr>
          <w:rFonts w:ascii="Calibri" w:hAnsi="Calibri" w:cs="Calibri"/>
          <w:sz w:val="22"/>
          <w:szCs w:val="22"/>
        </w:rPr>
        <w:t>C</w:t>
      </w:r>
      <w:r w:rsidR="000B3066" w:rsidRPr="00506A01">
        <w:rPr>
          <w:rFonts w:ascii="Calibri" w:hAnsi="Calibri" w:cs="Calibri"/>
          <w:sz w:val="22"/>
          <w:szCs w:val="22"/>
        </w:rPr>
        <w:t xml:space="preserve">ivil </w:t>
      </w:r>
      <w:r w:rsidR="00520BBA" w:rsidRPr="00506A01">
        <w:rPr>
          <w:rFonts w:ascii="Calibri" w:hAnsi="Calibri" w:cs="Calibri"/>
          <w:sz w:val="22"/>
          <w:szCs w:val="22"/>
        </w:rPr>
        <w:t>B</w:t>
      </w:r>
      <w:r w:rsidR="000B3066" w:rsidRPr="00506A01">
        <w:rPr>
          <w:rFonts w:ascii="Calibri" w:hAnsi="Calibri" w:cs="Calibri"/>
          <w:sz w:val="22"/>
          <w:szCs w:val="22"/>
        </w:rPr>
        <w:t xml:space="preserve">ill. </w:t>
      </w:r>
    </w:p>
    <w:p w14:paraId="5454673D" w14:textId="77777777" w:rsidR="001723D5" w:rsidRPr="00506A01" w:rsidRDefault="001723D5" w:rsidP="001723D5">
      <w:pPr>
        <w:pStyle w:val="ListParagraph"/>
        <w:spacing w:line="276" w:lineRule="auto"/>
        <w:ind w:left="0"/>
        <w:rPr>
          <w:rFonts w:ascii="Calibri" w:hAnsi="Calibri" w:cs="Calibri"/>
          <w:sz w:val="22"/>
          <w:szCs w:val="22"/>
        </w:rPr>
      </w:pPr>
    </w:p>
    <w:p w14:paraId="45096793" w14:textId="77777777" w:rsidR="001723D5" w:rsidRPr="00506A01" w:rsidRDefault="001723D5" w:rsidP="001723D5">
      <w:pPr>
        <w:pStyle w:val="ListParagraph"/>
        <w:spacing w:line="276" w:lineRule="auto"/>
        <w:ind w:left="0"/>
        <w:rPr>
          <w:rFonts w:ascii="Calibri" w:hAnsi="Calibri" w:cs="Calibri"/>
          <w:sz w:val="22"/>
          <w:szCs w:val="22"/>
        </w:rPr>
      </w:pPr>
    </w:p>
    <w:p w14:paraId="14D75922" w14:textId="52C4FEB2" w:rsidR="000B3066" w:rsidRPr="00506A01" w:rsidRDefault="000B3066"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The order </w:t>
      </w:r>
      <w:r w:rsidR="00960FBA" w:rsidRPr="00506A01">
        <w:rPr>
          <w:rFonts w:ascii="Calibri" w:hAnsi="Calibri" w:cs="Calibri"/>
          <w:sz w:val="22"/>
          <w:szCs w:val="22"/>
        </w:rPr>
        <w:t>of 10</w:t>
      </w:r>
      <w:r w:rsidR="00960FBA" w:rsidRPr="00506A01">
        <w:rPr>
          <w:rFonts w:ascii="Calibri" w:hAnsi="Calibri" w:cs="Calibri"/>
          <w:sz w:val="22"/>
          <w:szCs w:val="22"/>
          <w:vertAlign w:val="superscript"/>
        </w:rPr>
        <w:t>th</w:t>
      </w:r>
      <w:r w:rsidR="00960FBA" w:rsidRPr="00506A01">
        <w:rPr>
          <w:rFonts w:ascii="Calibri" w:hAnsi="Calibri" w:cs="Calibri"/>
          <w:sz w:val="22"/>
          <w:szCs w:val="22"/>
        </w:rPr>
        <w:t xml:space="preserve"> September, 2018 </w:t>
      </w:r>
      <w:r w:rsidRPr="00506A01">
        <w:rPr>
          <w:rFonts w:ascii="Calibri" w:hAnsi="Calibri" w:cs="Calibri"/>
          <w:sz w:val="22"/>
          <w:szCs w:val="22"/>
        </w:rPr>
        <w:t xml:space="preserve">goes on to recite that evidence had been heard and material offered on behalf of the plaintiff </w:t>
      </w:r>
      <w:r w:rsidRPr="00506A01">
        <w:rPr>
          <w:rFonts w:ascii="Calibri" w:hAnsi="Calibri" w:cs="Calibri"/>
          <w:i/>
          <w:sz w:val="22"/>
          <w:szCs w:val="22"/>
        </w:rPr>
        <w:t>“and on behalf of the defendants”</w:t>
      </w:r>
      <w:r w:rsidRPr="00506A01">
        <w:rPr>
          <w:rFonts w:ascii="Calibri" w:hAnsi="Calibri" w:cs="Calibri"/>
          <w:sz w:val="22"/>
          <w:szCs w:val="22"/>
        </w:rPr>
        <w:t>. Again, while correct as to the first defendant, there is no reason to believe</w:t>
      </w:r>
      <w:r w:rsidR="00960FBA" w:rsidRPr="00506A01">
        <w:rPr>
          <w:rFonts w:ascii="Calibri" w:hAnsi="Calibri" w:cs="Calibri"/>
          <w:sz w:val="22"/>
          <w:szCs w:val="22"/>
        </w:rPr>
        <w:t>,</w:t>
      </w:r>
      <w:r w:rsidR="001723D5" w:rsidRPr="00506A01">
        <w:rPr>
          <w:rFonts w:ascii="Calibri" w:hAnsi="Calibri" w:cs="Calibri"/>
          <w:sz w:val="22"/>
          <w:szCs w:val="22"/>
        </w:rPr>
        <w:t xml:space="preserve"> on the information before me</w:t>
      </w:r>
      <w:r w:rsidR="00960FBA" w:rsidRPr="00506A01">
        <w:rPr>
          <w:rFonts w:ascii="Calibri" w:hAnsi="Calibri" w:cs="Calibri"/>
          <w:sz w:val="22"/>
          <w:szCs w:val="22"/>
        </w:rPr>
        <w:t>,</w:t>
      </w:r>
      <w:r w:rsidRPr="00506A01">
        <w:rPr>
          <w:rFonts w:ascii="Calibri" w:hAnsi="Calibri" w:cs="Calibri"/>
          <w:sz w:val="22"/>
          <w:szCs w:val="22"/>
        </w:rPr>
        <w:t xml:space="preserve"> that </w:t>
      </w:r>
      <w:r w:rsidR="001723D5" w:rsidRPr="00506A01">
        <w:rPr>
          <w:rFonts w:ascii="Calibri" w:hAnsi="Calibri" w:cs="Calibri"/>
          <w:sz w:val="22"/>
          <w:szCs w:val="22"/>
        </w:rPr>
        <w:t>this</w:t>
      </w:r>
      <w:r w:rsidRPr="00506A01">
        <w:rPr>
          <w:rFonts w:ascii="Calibri" w:hAnsi="Calibri" w:cs="Calibri"/>
          <w:sz w:val="22"/>
          <w:szCs w:val="22"/>
        </w:rPr>
        <w:t xml:space="preserve"> was correct as to the second</w:t>
      </w:r>
      <w:r w:rsidR="00960FBA" w:rsidRPr="00506A01">
        <w:rPr>
          <w:rFonts w:ascii="Calibri" w:hAnsi="Calibri" w:cs="Calibri"/>
          <w:sz w:val="22"/>
          <w:szCs w:val="22"/>
        </w:rPr>
        <w:t xml:space="preserve"> defendant</w:t>
      </w:r>
      <w:r w:rsidRPr="00506A01">
        <w:rPr>
          <w:rFonts w:ascii="Calibri" w:hAnsi="Calibri" w:cs="Calibri"/>
          <w:sz w:val="22"/>
          <w:szCs w:val="22"/>
        </w:rPr>
        <w:t>. In any event, the matter was adjourned to 11</w:t>
      </w:r>
      <w:r w:rsidRPr="00506A01">
        <w:rPr>
          <w:rFonts w:ascii="Calibri" w:hAnsi="Calibri" w:cs="Calibri"/>
          <w:sz w:val="22"/>
          <w:szCs w:val="22"/>
          <w:vertAlign w:val="superscript"/>
        </w:rPr>
        <w:t>th</w:t>
      </w:r>
      <w:r w:rsidRPr="00506A01">
        <w:rPr>
          <w:rFonts w:ascii="Calibri" w:hAnsi="Calibri" w:cs="Calibri"/>
          <w:sz w:val="22"/>
          <w:szCs w:val="22"/>
        </w:rPr>
        <w:t xml:space="preserve"> March on the basis that the first defendant would make monthly repayments </w:t>
      </w:r>
      <w:r w:rsidR="00960FBA" w:rsidRPr="00506A01">
        <w:rPr>
          <w:rFonts w:ascii="Calibri" w:hAnsi="Calibri" w:cs="Calibri"/>
          <w:sz w:val="22"/>
          <w:szCs w:val="22"/>
        </w:rPr>
        <w:t xml:space="preserve">of €50 </w:t>
      </w:r>
      <w:r w:rsidRPr="00506A01">
        <w:rPr>
          <w:rFonts w:ascii="Calibri" w:hAnsi="Calibri" w:cs="Calibri"/>
          <w:sz w:val="22"/>
          <w:szCs w:val="22"/>
        </w:rPr>
        <w:t xml:space="preserve">in the interim and </w:t>
      </w:r>
      <w:r w:rsidR="00960FBA" w:rsidRPr="00506A01">
        <w:rPr>
          <w:rFonts w:ascii="Calibri" w:hAnsi="Calibri" w:cs="Calibri"/>
          <w:sz w:val="22"/>
          <w:szCs w:val="22"/>
        </w:rPr>
        <w:t xml:space="preserve">would </w:t>
      </w:r>
      <w:r w:rsidRPr="00506A01">
        <w:rPr>
          <w:rFonts w:ascii="Calibri" w:hAnsi="Calibri" w:cs="Calibri"/>
          <w:sz w:val="22"/>
          <w:szCs w:val="22"/>
        </w:rPr>
        <w:t xml:space="preserve">progress an application pursuant to the Mortgage to Rent Scheme. </w:t>
      </w:r>
    </w:p>
    <w:p w14:paraId="248321F4" w14:textId="77777777" w:rsidR="001723D5" w:rsidRPr="00506A01" w:rsidRDefault="001723D5" w:rsidP="001723D5">
      <w:pPr>
        <w:pStyle w:val="ListParagraph"/>
        <w:spacing w:line="276" w:lineRule="auto"/>
        <w:ind w:left="0"/>
        <w:rPr>
          <w:rFonts w:ascii="Calibri" w:hAnsi="Calibri" w:cs="Calibri"/>
          <w:sz w:val="22"/>
          <w:szCs w:val="22"/>
        </w:rPr>
      </w:pPr>
    </w:p>
    <w:p w14:paraId="7984064F" w14:textId="77777777" w:rsidR="001723D5" w:rsidRPr="00506A01" w:rsidRDefault="001723D5" w:rsidP="001723D5">
      <w:pPr>
        <w:pStyle w:val="ListParagraph"/>
        <w:spacing w:line="276" w:lineRule="auto"/>
        <w:ind w:left="0"/>
        <w:rPr>
          <w:rFonts w:ascii="Calibri" w:hAnsi="Calibri" w:cs="Calibri"/>
          <w:sz w:val="22"/>
          <w:szCs w:val="22"/>
        </w:rPr>
      </w:pPr>
    </w:p>
    <w:p w14:paraId="58F2F4DE" w14:textId="7A5CBE8E" w:rsidR="000B3066" w:rsidRPr="00506A01" w:rsidRDefault="000B3066"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When the matter again came before the court on 11</w:t>
      </w:r>
      <w:r w:rsidRPr="00506A01">
        <w:rPr>
          <w:rFonts w:ascii="Calibri" w:hAnsi="Calibri" w:cs="Calibri"/>
          <w:sz w:val="22"/>
          <w:szCs w:val="22"/>
          <w:vertAlign w:val="superscript"/>
        </w:rPr>
        <w:t>th</w:t>
      </w:r>
      <w:r w:rsidRPr="00506A01">
        <w:rPr>
          <w:rFonts w:ascii="Calibri" w:hAnsi="Calibri" w:cs="Calibri"/>
          <w:sz w:val="22"/>
          <w:szCs w:val="22"/>
        </w:rPr>
        <w:t xml:space="preserve"> March, 2019, it is clear from an affidavit of Darren Doyle, sworn 27</w:t>
      </w:r>
      <w:r w:rsidRPr="00506A01">
        <w:rPr>
          <w:rFonts w:ascii="Calibri" w:hAnsi="Calibri" w:cs="Calibri"/>
          <w:sz w:val="22"/>
          <w:szCs w:val="22"/>
          <w:vertAlign w:val="superscript"/>
        </w:rPr>
        <w:t>th</w:t>
      </w:r>
      <w:r w:rsidRPr="00506A01">
        <w:rPr>
          <w:rFonts w:ascii="Calibri" w:hAnsi="Calibri" w:cs="Calibri"/>
          <w:sz w:val="22"/>
          <w:szCs w:val="22"/>
        </w:rPr>
        <w:t xml:space="preserve"> February, 2019, that Permanent TSB sought a six-month adjournment to allow the first defendant to continue to process his MTR application. That affidavit also asserts that, on 10</w:t>
      </w:r>
      <w:r w:rsidRPr="00506A01">
        <w:rPr>
          <w:rFonts w:ascii="Calibri" w:hAnsi="Calibri" w:cs="Calibri"/>
          <w:sz w:val="22"/>
          <w:szCs w:val="22"/>
          <w:vertAlign w:val="superscript"/>
        </w:rPr>
        <w:t>th</w:t>
      </w:r>
      <w:r w:rsidRPr="00506A01">
        <w:rPr>
          <w:rFonts w:ascii="Calibri" w:hAnsi="Calibri" w:cs="Calibri"/>
          <w:sz w:val="22"/>
          <w:szCs w:val="22"/>
        </w:rPr>
        <w:t xml:space="preserve"> September, 2018, a new return date of 11</w:t>
      </w:r>
      <w:r w:rsidRPr="00506A01">
        <w:rPr>
          <w:rFonts w:ascii="Calibri" w:hAnsi="Calibri" w:cs="Calibri"/>
          <w:sz w:val="22"/>
          <w:szCs w:val="22"/>
          <w:vertAlign w:val="superscript"/>
        </w:rPr>
        <w:t>th</w:t>
      </w:r>
      <w:r w:rsidRPr="00506A01">
        <w:rPr>
          <w:rFonts w:ascii="Calibri" w:hAnsi="Calibri" w:cs="Calibri"/>
          <w:sz w:val="22"/>
          <w:szCs w:val="22"/>
        </w:rPr>
        <w:t xml:space="preserve"> March, 2019 had been granted in respect of the second defendant. The order of 10</w:t>
      </w:r>
      <w:r w:rsidRPr="00506A01">
        <w:rPr>
          <w:rFonts w:ascii="Calibri" w:hAnsi="Calibri" w:cs="Calibri"/>
          <w:sz w:val="22"/>
          <w:szCs w:val="22"/>
          <w:vertAlign w:val="superscript"/>
        </w:rPr>
        <w:t>th</w:t>
      </w:r>
      <w:r w:rsidR="00AF60C7" w:rsidRPr="00506A01">
        <w:rPr>
          <w:rFonts w:ascii="Calibri" w:hAnsi="Calibri" w:cs="Calibri"/>
          <w:sz w:val="22"/>
          <w:szCs w:val="22"/>
        </w:rPr>
        <w:t xml:space="preserve"> September, 2018, as perfected</w:t>
      </w:r>
      <w:r w:rsidR="00960FBA" w:rsidRPr="00506A01">
        <w:rPr>
          <w:rFonts w:ascii="Calibri" w:hAnsi="Calibri" w:cs="Calibri"/>
          <w:sz w:val="22"/>
          <w:szCs w:val="22"/>
        </w:rPr>
        <w:t>,</w:t>
      </w:r>
      <w:r w:rsidR="00AF60C7" w:rsidRPr="00506A01">
        <w:rPr>
          <w:rFonts w:ascii="Calibri" w:hAnsi="Calibri" w:cs="Calibri"/>
          <w:sz w:val="22"/>
          <w:szCs w:val="22"/>
        </w:rPr>
        <w:t xml:space="preserve"> does not so </w:t>
      </w:r>
      <w:r w:rsidR="001723D5" w:rsidRPr="00506A01">
        <w:rPr>
          <w:rFonts w:ascii="Calibri" w:hAnsi="Calibri" w:cs="Calibri"/>
          <w:sz w:val="22"/>
          <w:szCs w:val="22"/>
        </w:rPr>
        <w:t>re</w:t>
      </w:r>
      <w:r w:rsidR="00AF60C7" w:rsidRPr="00506A01">
        <w:rPr>
          <w:rFonts w:ascii="Calibri" w:hAnsi="Calibri" w:cs="Calibri"/>
          <w:sz w:val="22"/>
          <w:szCs w:val="22"/>
        </w:rPr>
        <w:t xml:space="preserve">cord. </w:t>
      </w:r>
    </w:p>
    <w:p w14:paraId="7BA8BF56" w14:textId="77777777" w:rsidR="001723D5" w:rsidRPr="00506A01" w:rsidRDefault="001723D5" w:rsidP="001723D5">
      <w:pPr>
        <w:pStyle w:val="ListParagraph"/>
        <w:spacing w:line="276" w:lineRule="auto"/>
        <w:ind w:left="0"/>
        <w:rPr>
          <w:rFonts w:ascii="Calibri" w:hAnsi="Calibri" w:cs="Calibri"/>
          <w:sz w:val="22"/>
          <w:szCs w:val="22"/>
        </w:rPr>
      </w:pPr>
    </w:p>
    <w:p w14:paraId="13C14C84" w14:textId="77777777" w:rsidR="001723D5" w:rsidRPr="00506A01" w:rsidRDefault="001723D5" w:rsidP="001723D5">
      <w:pPr>
        <w:pStyle w:val="ListParagraph"/>
        <w:spacing w:line="276" w:lineRule="auto"/>
        <w:ind w:left="0"/>
        <w:rPr>
          <w:rFonts w:ascii="Calibri" w:hAnsi="Calibri" w:cs="Calibri"/>
          <w:sz w:val="22"/>
          <w:szCs w:val="22"/>
        </w:rPr>
      </w:pPr>
    </w:p>
    <w:p w14:paraId="79A12A9B" w14:textId="07A50DF8" w:rsidR="001723D5" w:rsidRPr="00506A01" w:rsidRDefault="00AF60C7"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It is unclear what </w:t>
      </w:r>
      <w:r w:rsidR="00960FBA" w:rsidRPr="00506A01">
        <w:rPr>
          <w:rFonts w:ascii="Calibri" w:hAnsi="Calibri" w:cs="Calibri"/>
          <w:sz w:val="22"/>
          <w:szCs w:val="22"/>
        </w:rPr>
        <w:t xml:space="preserve">exactly </w:t>
      </w:r>
      <w:r w:rsidRPr="00506A01">
        <w:rPr>
          <w:rFonts w:ascii="Calibri" w:hAnsi="Calibri" w:cs="Calibri"/>
          <w:sz w:val="22"/>
          <w:szCs w:val="22"/>
        </w:rPr>
        <w:t>happened on 11</w:t>
      </w:r>
      <w:r w:rsidRPr="00506A01">
        <w:rPr>
          <w:rFonts w:ascii="Calibri" w:hAnsi="Calibri" w:cs="Calibri"/>
          <w:sz w:val="22"/>
          <w:szCs w:val="22"/>
          <w:vertAlign w:val="superscript"/>
        </w:rPr>
        <w:t>th</w:t>
      </w:r>
      <w:r w:rsidRPr="00506A01">
        <w:rPr>
          <w:rFonts w:ascii="Calibri" w:hAnsi="Calibri" w:cs="Calibri"/>
          <w:sz w:val="22"/>
          <w:szCs w:val="22"/>
        </w:rPr>
        <w:t xml:space="preserve"> March, 2019, although </w:t>
      </w:r>
      <w:r w:rsidR="00754D34" w:rsidRPr="00506A01">
        <w:rPr>
          <w:rFonts w:ascii="Calibri" w:hAnsi="Calibri" w:cs="Calibri"/>
          <w:sz w:val="22"/>
          <w:szCs w:val="22"/>
        </w:rPr>
        <w:t>it seems reasonable</w:t>
      </w:r>
      <w:r w:rsidR="001723D5" w:rsidRPr="00506A01">
        <w:rPr>
          <w:rFonts w:ascii="Calibri" w:hAnsi="Calibri" w:cs="Calibri"/>
          <w:sz w:val="22"/>
          <w:szCs w:val="22"/>
        </w:rPr>
        <w:t xml:space="preserve"> to assume</w:t>
      </w:r>
      <w:r w:rsidR="00754D34" w:rsidRPr="00506A01">
        <w:rPr>
          <w:rFonts w:ascii="Calibri" w:hAnsi="Calibri" w:cs="Calibri"/>
          <w:sz w:val="22"/>
          <w:szCs w:val="22"/>
        </w:rPr>
        <w:t xml:space="preserve"> that the </w:t>
      </w:r>
      <w:r w:rsidR="001723D5" w:rsidRPr="00506A01">
        <w:rPr>
          <w:rFonts w:ascii="Calibri" w:hAnsi="Calibri" w:cs="Calibri"/>
          <w:sz w:val="22"/>
          <w:szCs w:val="22"/>
        </w:rPr>
        <w:t>6</w:t>
      </w:r>
      <w:r w:rsidR="00754D34" w:rsidRPr="00506A01">
        <w:rPr>
          <w:rFonts w:ascii="Calibri" w:hAnsi="Calibri" w:cs="Calibri"/>
          <w:sz w:val="22"/>
          <w:szCs w:val="22"/>
        </w:rPr>
        <w:t xml:space="preserve">-month adjournment sought by the plaintiff was granted. If so, the matter would not have come back before the County Registrar </w:t>
      </w:r>
      <w:r w:rsidR="001723D5" w:rsidRPr="00506A01">
        <w:rPr>
          <w:rFonts w:ascii="Calibri" w:hAnsi="Calibri" w:cs="Calibri"/>
          <w:sz w:val="22"/>
          <w:szCs w:val="22"/>
        </w:rPr>
        <w:t>until September, or</w:t>
      </w:r>
      <w:r w:rsidR="00754D34" w:rsidRPr="00506A01">
        <w:rPr>
          <w:rFonts w:ascii="Calibri" w:hAnsi="Calibri" w:cs="Calibri"/>
          <w:sz w:val="22"/>
          <w:szCs w:val="22"/>
        </w:rPr>
        <w:t xml:space="preserve"> perhaps October, 2019. </w:t>
      </w:r>
    </w:p>
    <w:p w14:paraId="36EC8787" w14:textId="77777777" w:rsidR="001723D5" w:rsidRPr="00506A01" w:rsidRDefault="001723D5" w:rsidP="001723D5">
      <w:pPr>
        <w:pStyle w:val="ListParagraph"/>
        <w:spacing w:line="276" w:lineRule="auto"/>
        <w:ind w:left="0"/>
        <w:rPr>
          <w:rFonts w:ascii="Calibri" w:hAnsi="Calibri" w:cs="Calibri"/>
          <w:sz w:val="22"/>
          <w:szCs w:val="22"/>
        </w:rPr>
      </w:pPr>
    </w:p>
    <w:p w14:paraId="2B180C67" w14:textId="77777777" w:rsidR="001723D5" w:rsidRPr="00506A01" w:rsidRDefault="001723D5" w:rsidP="001723D5">
      <w:pPr>
        <w:pStyle w:val="ListParagraph"/>
        <w:spacing w:line="276" w:lineRule="auto"/>
        <w:ind w:left="0"/>
        <w:rPr>
          <w:rFonts w:ascii="Calibri" w:hAnsi="Calibri" w:cs="Calibri"/>
          <w:sz w:val="22"/>
          <w:szCs w:val="22"/>
        </w:rPr>
      </w:pPr>
    </w:p>
    <w:p w14:paraId="54A09466" w14:textId="77777777" w:rsidR="00CB2DA6" w:rsidRPr="00506A01" w:rsidRDefault="00754D34" w:rsidP="00CB2DA6">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In the meantime, on 13</w:t>
      </w:r>
      <w:r w:rsidRPr="00506A01">
        <w:rPr>
          <w:rFonts w:ascii="Calibri" w:hAnsi="Calibri" w:cs="Calibri"/>
          <w:sz w:val="22"/>
          <w:szCs w:val="22"/>
          <w:vertAlign w:val="superscript"/>
        </w:rPr>
        <w:t>th</w:t>
      </w:r>
      <w:r w:rsidRPr="00506A01">
        <w:rPr>
          <w:rFonts w:ascii="Calibri" w:hAnsi="Calibri" w:cs="Calibri"/>
          <w:sz w:val="22"/>
          <w:szCs w:val="22"/>
        </w:rPr>
        <w:t xml:space="preserve"> August, 2019, the present solicitors came on record – for Permanent TSB. </w:t>
      </w:r>
      <w:r w:rsidR="00AB3BBE" w:rsidRPr="00506A01">
        <w:rPr>
          <w:rFonts w:ascii="Calibri" w:hAnsi="Calibri" w:cs="Calibri"/>
          <w:sz w:val="22"/>
          <w:szCs w:val="22"/>
        </w:rPr>
        <w:t>On 7</w:t>
      </w:r>
      <w:r w:rsidR="00AB3BBE" w:rsidRPr="00506A01">
        <w:rPr>
          <w:rFonts w:ascii="Calibri" w:hAnsi="Calibri" w:cs="Calibri"/>
          <w:sz w:val="22"/>
          <w:szCs w:val="22"/>
          <w:vertAlign w:val="superscript"/>
        </w:rPr>
        <w:t>th</w:t>
      </w:r>
      <w:r w:rsidR="00AB3BBE" w:rsidRPr="00506A01">
        <w:rPr>
          <w:rFonts w:ascii="Calibri" w:hAnsi="Calibri" w:cs="Calibri"/>
          <w:sz w:val="22"/>
          <w:szCs w:val="22"/>
        </w:rPr>
        <w:t xml:space="preserve"> February, 2020, Permanent TSB assigned the loan and mortgage to Start Mortgages</w:t>
      </w:r>
      <w:r w:rsidR="00CB2DA6" w:rsidRPr="00506A01">
        <w:rPr>
          <w:rFonts w:ascii="Calibri" w:hAnsi="Calibri" w:cs="Calibri"/>
          <w:sz w:val="22"/>
          <w:szCs w:val="22"/>
        </w:rPr>
        <w:t>. One of the exhibits to the affidavit of Eva McCarthy, sworn 5</w:t>
      </w:r>
      <w:r w:rsidR="00CB2DA6" w:rsidRPr="00506A01">
        <w:rPr>
          <w:rFonts w:ascii="Calibri" w:hAnsi="Calibri" w:cs="Calibri"/>
          <w:sz w:val="22"/>
          <w:szCs w:val="22"/>
          <w:vertAlign w:val="superscript"/>
        </w:rPr>
        <w:t>th</w:t>
      </w:r>
      <w:r w:rsidR="00CB2DA6" w:rsidRPr="00506A01">
        <w:rPr>
          <w:rFonts w:ascii="Calibri" w:hAnsi="Calibri" w:cs="Calibri"/>
          <w:sz w:val="22"/>
          <w:szCs w:val="22"/>
        </w:rPr>
        <w:t xml:space="preserve"> June, 2020, is a letter from Permanent TSB addressed to the second defendant at the residence and dated 7</w:t>
      </w:r>
      <w:r w:rsidR="00CB2DA6" w:rsidRPr="00506A01">
        <w:rPr>
          <w:rFonts w:ascii="Calibri" w:hAnsi="Calibri" w:cs="Calibri"/>
          <w:sz w:val="22"/>
          <w:szCs w:val="22"/>
          <w:vertAlign w:val="superscript"/>
        </w:rPr>
        <w:t>th</w:t>
      </w:r>
      <w:r w:rsidR="00CB2DA6" w:rsidRPr="00506A01">
        <w:rPr>
          <w:rFonts w:ascii="Calibri" w:hAnsi="Calibri" w:cs="Calibri"/>
          <w:sz w:val="22"/>
          <w:szCs w:val="22"/>
        </w:rPr>
        <w:t xml:space="preserve"> February, 2020. It advises of the completion on the same date of the transfer of the loan and mortgage to Start Mortgages. However, it also records that PTSB had written to Ms. Brennan on 12</w:t>
      </w:r>
      <w:r w:rsidR="00CB2DA6" w:rsidRPr="00506A01">
        <w:rPr>
          <w:rFonts w:ascii="Calibri" w:hAnsi="Calibri" w:cs="Calibri"/>
          <w:sz w:val="22"/>
          <w:szCs w:val="22"/>
          <w:vertAlign w:val="superscript"/>
        </w:rPr>
        <w:t>th</w:t>
      </w:r>
      <w:r w:rsidR="00CB2DA6" w:rsidRPr="00506A01">
        <w:rPr>
          <w:rFonts w:ascii="Calibri" w:hAnsi="Calibri" w:cs="Calibri"/>
          <w:sz w:val="22"/>
          <w:szCs w:val="22"/>
        </w:rPr>
        <w:t xml:space="preserve"> September, 2019 </w:t>
      </w:r>
      <w:r w:rsidR="00CB2DA6" w:rsidRPr="00506A01">
        <w:rPr>
          <w:rFonts w:ascii="Calibri" w:hAnsi="Calibri" w:cs="Calibri"/>
          <w:sz w:val="22"/>
          <w:szCs w:val="22"/>
        </w:rPr>
        <w:lastRenderedPageBreak/>
        <w:t>to inform her that PTSB had agreed to make that transfer. So it is likely that the change of solicitor roughly coincided with the agreement to sell the loan.</w:t>
      </w:r>
    </w:p>
    <w:p w14:paraId="2F69E3C0" w14:textId="77777777" w:rsidR="00CB2DA6" w:rsidRPr="00506A01" w:rsidRDefault="00CB2DA6" w:rsidP="00CB2DA6">
      <w:pPr>
        <w:pStyle w:val="ListParagraph"/>
        <w:spacing w:line="276" w:lineRule="auto"/>
        <w:ind w:left="0"/>
        <w:rPr>
          <w:rFonts w:ascii="Calibri" w:hAnsi="Calibri" w:cs="Calibri"/>
          <w:sz w:val="22"/>
          <w:szCs w:val="22"/>
        </w:rPr>
      </w:pPr>
    </w:p>
    <w:p w14:paraId="0C52F64C" w14:textId="77777777" w:rsidR="00CB2DA6" w:rsidRPr="00506A01" w:rsidRDefault="00CB2DA6" w:rsidP="00CB2DA6">
      <w:pPr>
        <w:pStyle w:val="ListParagraph"/>
        <w:spacing w:line="276" w:lineRule="auto"/>
        <w:ind w:left="0"/>
        <w:rPr>
          <w:rFonts w:ascii="Calibri" w:hAnsi="Calibri" w:cs="Calibri"/>
          <w:sz w:val="22"/>
          <w:szCs w:val="22"/>
        </w:rPr>
      </w:pPr>
    </w:p>
    <w:p w14:paraId="65BF8844" w14:textId="52D827BF" w:rsidR="00521910" w:rsidRPr="00506A01" w:rsidRDefault="00AB3BBE" w:rsidP="00521910">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 </w:t>
      </w:r>
      <w:r w:rsidR="00CB2DA6" w:rsidRPr="00506A01">
        <w:rPr>
          <w:rFonts w:ascii="Calibri" w:hAnsi="Calibri" w:cs="Calibri"/>
          <w:sz w:val="22"/>
          <w:szCs w:val="22"/>
        </w:rPr>
        <w:t>O</w:t>
      </w:r>
      <w:r w:rsidRPr="00506A01">
        <w:rPr>
          <w:rFonts w:ascii="Calibri" w:hAnsi="Calibri" w:cs="Calibri"/>
          <w:sz w:val="22"/>
          <w:szCs w:val="22"/>
        </w:rPr>
        <w:t>n 5</w:t>
      </w:r>
      <w:r w:rsidRPr="00506A01">
        <w:rPr>
          <w:rFonts w:ascii="Calibri" w:hAnsi="Calibri" w:cs="Calibri"/>
          <w:sz w:val="22"/>
          <w:szCs w:val="22"/>
          <w:vertAlign w:val="superscript"/>
        </w:rPr>
        <w:t>th</w:t>
      </w:r>
      <w:r w:rsidRPr="00506A01">
        <w:rPr>
          <w:rFonts w:ascii="Calibri" w:hAnsi="Calibri" w:cs="Calibri"/>
          <w:sz w:val="22"/>
          <w:szCs w:val="22"/>
        </w:rPr>
        <w:t xml:space="preserve"> June, 2020, </w:t>
      </w:r>
      <w:r w:rsidR="001723D5" w:rsidRPr="00506A01">
        <w:rPr>
          <w:rFonts w:ascii="Calibri" w:hAnsi="Calibri" w:cs="Calibri"/>
          <w:sz w:val="22"/>
          <w:szCs w:val="22"/>
        </w:rPr>
        <w:t xml:space="preserve">Start Mortgages issued </w:t>
      </w:r>
      <w:r w:rsidRPr="00506A01">
        <w:rPr>
          <w:rFonts w:ascii="Calibri" w:hAnsi="Calibri" w:cs="Calibri"/>
          <w:sz w:val="22"/>
          <w:szCs w:val="22"/>
        </w:rPr>
        <w:t xml:space="preserve">a notice of motion seeking its substitution as plaintiff in the action on foot of an affidavit of Eva McCarthy, sworn that day. While reciting </w:t>
      </w:r>
      <w:r w:rsidRPr="00506A01">
        <w:rPr>
          <w:rFonts w:ascii="Calibri" w:hAnsi="Calibri" w:cs="Calibri"/>
          <w:i/>
          <w:sz w:val="22"/>
          <w:szCs w:val="22"/>
        </w:rPr>
        <w:t xml:space="preserve">“hello” </w:t>
      </w:r>
      <w:r w:rsidRPr="00506A01">
        <w:rPr>
          <w:rFonts w:ascii="Calibri" w:hAnsi="Calibri" w:cs="Calibri"/>
          <w:sz w:val="22"/>
          <w:szCs w:val="22"/>
        </w:rPr>
        <w:t xml:space="preserve">and </w:t>
      </w:r>
      <w:r w:rsidRPr="00506A01">
        <w:rPr>
          <w:rFonts w:ascii="Calibri" w:hAnsi="Calibri" w:cs="Calibri"/>
          <w:i/>
          <w:sz w:val="22"/>
          <w:szCs w:val="22"/>
        </w:rPr>
        <w:t>“goodbye”</w:t>
      </w:r>
      <w:r w:rsidRPr="00506A01">
        <w:rPr>
          <w:rFonts w:ascii="Calibri" w:hAnsi="Calibri" w:cs="Calibri"/>
          <w:sz w:val="22"/>
          <w:szCs w:val="22"/>
        </w:rPr>
        <w:t xml:space="preserve"> letters to both defendants and certain correspondence with the first defendant by way of notice of the substitution application, </w:t>
      </w:r>
      <w:r w:rsidR="00960FBA" w:rsidRPr="00506A01">
        <w:rPr>
          <w:rFonts w:ascii="Calibri" w:hAnsi="Calibri" w:cs="Calibri"/>
          <w:sz w:val="22"/>
          <w:szCs w:val="22"/>
        </w:rPr>
        <w:t>Ms McCarthy</w:t>
      </w:r>
      <w:r w:rsidRPr="00506A01">
        <w:rPr>
          <w:rFonts w:ascii="Calibri" w:hAnsi="Calibri" w:cs="Calibri"/>
          <w:sz w:val="22"/>
          <w:szCs w:val="22"/>
        </w:rPr>
        <w:t xml:space="preserve"> does not a</w:t>
      </w:r>
      <w:r w:rsidR="001723D5" w:rsidRPr="00506A01">
        <w:rPr>
          <w:rFonts w:ascii="Calibri" w:hAnsi="Calibri" w:cs="Calibri"/>
          <w:sz w:val="22"/>
          <w:szCs w:val="22"/>
        </w:rPr>
        <w:t>d</w:t>
      </w:r>
      <w:r w:rsidRPr="00506A01">
        <w:rPr>
          <w:rFonts w:ascii="Calibri" w:hAnsi="Calibri" w:cs="Calibri"/>
          <w:sz w:val="22"/>
          <w:szCs w:val="22"/>
        </w:rPr>
        <w:t xml:space="preserve">vert to the fact that service had not been effected on the second defendant or to the expiry of the </w:t>
      </w:r>
      <w:r w:rsidR="00520BBA" w:rsidRPr="00506A01">
        <w:rPr>
          <w:rFonts w:ascii="Calibri" w:hAnsi="Calibri" w:cs="Calibri"/>
          <w:sz w:val="22"/>
          <w:szCs w:val="22"/>
        </w:rPr>
        <w:t>C</w:t>
      </w:r>
      <w:r w:rsidRPr="00506A01">
        <w:rPr>
          <w:rFonts w:ascii="Calibri" w:hAnsi="Calibri" w:cs="Calibri"/>
          <w:sz w:val="22"/>
          <w:szCs w:val="22"/>
        </w:rPr>
        <w:t xml:space="preserve">ivil </w:t>
      </w:r>
      <w:r w:rsidR="00520BBA" w:rsidRPr="00506A01">
        <w:rPr>
          <w:rFonts w:ascii="Calibri" w:hAnsi="Calibri" w:cs="Calibri"/>
          <w:sz w:val="22"/>
          <w:szCs w:val="22"/>
        </w:rPr>
        <w:t>B</w:t>
      </w:r>
      <w:r w:rsidRPr="00506A01">
        <w:rPr>
          <w:rFonts w:ascii="Calibri" w:hAnsi="Calibri" w:cs="Calibri"/>
          <w:sz w:val="22"/>
          <w:szCs w:val="22"/>
        </w:rPr>
        <w:t xml:space="preserve">ill for that purpose. </w:t>
      </w:r>
      <w:r w:rsidR="001723D5" w:rsidRPr="00506A01">
        <w:rPr>
          <w:rFonts w:ascii="Calibri" w:hAnsi="Calibri" w:cs="Calibri"/>
          <w:sz w:val="22"/>
          <w:szCs w:val="22"/>
        </w:rPr>
        <w:t xml:space="preserve">Given the purpose of the affidavit, I do not criticise that but it </w:t>
      </w:r>
      <w:r w:rsidRPr="00506A01">
        <w:rPr>
          <w:rFonts w:ascii="Calibri" w:hAnsi="Calibri" w:cs="Calibri"/>
          <w:sz w:val="22"/>
          <w:szCs w:val="22"/>
        </w:rPr>
        <w:t>may, perhaps, explain why the resultant order of the County Registrar made on 16</w:t>
      </w:r>
      <w:r w:rsidRPr="00506A01">
        <w:rPr>
          <w:rFonts w:ascii="Calibri" w:hAnsi="Calibri" w:cs="Calibri"/>
          <w:sz w:val="22"/>
          <w:szCs w:val="22"/>
          <w:vertAlign w:val="superscript"/>
        </w:rPr>
        <w:t>th</w:t>
      </w:r>
      <w:r w:rsidRPr="00506A01">
        <w:rPr>
          <w:rFonts w:ascii="Calibri" w:hAnsi="Calibri" w:cs="Calibri"/>
          <w:sz w:val="22"/>
          <w:szCs w:val="22"/>
        </w:rPr>
        <w:t xml:space="preserve"> October, 2020 commences with the recital </w:t>
      </w:r>
      <w:r w:rsidRPr="00506A01">
        <w:rPr>
          <w:rFonts w:ascii="Calibri" w:hAnsi="Calibri" w:cs="Calibri"/>
          <w:i/>
          <w:sz w:val="22"/>
          <w:szCs w:val="22"/>
        </w:rPr>
        <w:t>“the defendant having been duly served with the civil bill”</w:t>
      </w:r>
      <w:r w:rsidRPr="00506A01">
        <w:rPr>
          <w:rFonts w:ascii="Calibri" w:hAnsi="Calibri" w:cs="Calibri"/>
          <w:sz w:val="22"/>
          <w:szCs w:val="22"/>
        </w:rPr>
        <w:t>. The word defendant, singular, is used but, in that respect, the order is at least unclear. It does record that there was no appearance by the defendants, plural. The order directs the substitution of Start Mortgages as plaintiff and gives directions as to service of the order on the first defendant. In respect of the second defendant, it is directed that the order b</w:t>
      </w:r>
      <w:r w:rsidR="001723D5" w:rsidRPr="00506A01">
        <w:rPr>
          <w:rFonts w:ascii="Calibri" w:hAnsi="Calibri" w:cs="Calibri"/>
          <w:sz w:val="22"/>
          <w:szCs w:val="22"/>
        </w:rPr>
        <w:t>e</w:t>
      </w:r>
      <w:r w:rsidRPr="00506A01">
        <w:rPr>
          <w:rFonts w:ascii="Calibri" w:hAnsi="Calibri" w:cs="Calibri"/>
          <w:sz w:val="22"/>
          <w:szCs w:val="22"/>
        </w:rPr>
        <w:t xml:space="preserve"> served upon her </w:t>
      </w:r>
      <w:r w:rsidRPr="00506A01">
        <w:rPr>
          <w:rFonts w:ascii="Calibri" w:hAnsi="Calibri" w:cs="Calibri"/>
          <w:i/>
          <w:sz w:val="22"/>
          <w:szCs w:val="22"/>
        </w:rPr>
        <w:t xml:space="preserve">“and </w:t>
      </w:r>
      <w:r w:rsidR="00C7697F" w:rsidRPr="00506A01">
        <w:rPr>
          <w:rFonts w:ascii="Calibri" w:hAnsi="Calibri" w:cs="Calibri"/>
          <w:i/>
          <w:sz w:val="22"/>
          <w:szCs w:val="22"/>
        </w:rPr>
        <w:t>Doheny</w:t>
      </w:r>
      <w:r w:rsidRPr="00506A01">
        <w:rPr>
          <w:rFonts w:ascii="Calibri" w:hAnsi="Calibri" w:cs="Calibri"/>
          <w:i/>
          <w:sz w:val="22"/>
          <w:szCs w:val="22"/>
        </w:rPr>
        <w:t xml:space="preserve"> letter”</w:t>
      </w:r>
      <w:r w:rsidR="001723D5" w:rsidRPr="00506A01">
        <w:rPr>
          <w:rStyle w:val="FootnoteReference"/>
          <w:rFonts w:ascii="Calibri" w:hAnsi="Calibri" w:cs="Calibri"/>
          <w:i/>
          <w:sz w:val="22"/>
          <w:szCs w:val="22"/>
        </w:rPr>
        <w:footnoteReference w:id="1"/>
      </w:r>
      <w:r w:rsidRPr="00506A01">
        <w:rPr>
          <w:rFonts w:ascii="Calibri" w:hAnsi="Calibri" w:cs="Calibri"/>
          <w:sz w:val="22"/>
          <w:szCs w:val="22"/>
        </w:rPr>
        <w:t>. The matter was adjourned to 22</w:t>
      </w:r>
      <w:r w:rsidRPr="00506A01">
        <w:rPr>
          <w:rFonts w:ascii="Calibri" w:hAnsi="Calibri" w:cs="Calibri"/>
          <w:sz w:val="22"/>
          <w:szCs w:val="22"/>
          <w:vertAlign w:val="superscript"/>
        </w:rPr>
        <w:t>nd</w:t>
      </w:r>
      <w:r w:rsidRPr="00506A01">
        <w:rPr>
          <w:rFonts w:ascii="Calibri" w:hAnsi="Calibri" w:cs="Calibri"/>
          <w:sz w:val="22"/>
          <w:szCs w:val="22"/>
        </w:rPr>
        <w:t xml:space="preserve"> March, 2021 against the first defendant and was given as a new return date </w:t>
      </w:r>
      <w:r w:rsidR="00236C0F" w:rsidRPr="00506A01">
        <w:rPr>
          <w:rFonts w:ascii="Calibri" w:hAnsi="Calibri" w:cs="Calibri"/>
          <w:sz w:val="22"/>
          <w:szCs w:val="22"/>
        </w:rPr>
        <w:t xml:space="preserve"> of 22</w:t>
      </w:r>
      <w:r w:rsidR="00236C0F" w:rsidRPr="00506A01">
        <w:rPr>
          <w:rFonts w:ascii="Calibri" w:hAnsi="Calibri" w:cs="Calibri"/>
          <w:sz w:val="22"/>
          <w:szCs w:val="22"/>
          <w:vertAlign w:val="superscript"/>
        </w:rPr>
        <w:t>nd</w:t>
      </w:r>
      <w:r w:rsidR="00236C0F" w:rsidRPr="00506A01">
        <w:rPr>
          <w:rFonts w:ascii="Calibri" w:hAnsi="Calibri" w:cs="Calibri"/>
          <w:sz w:val="22"/>
          <w:szCs w:val="22"/>
        </w:rPr>
        <w:t xml:space="preserve"> March, 2021 </w:t>
      </w:r>
      <w:r w:rsidRPr="00506A01">
        <w:rPr>
          <w:rFonts w:ascii="Calibri" w:hAnsi="Calibri" w:cs="Calibri"/>
          <w:sz w:val="22"/>
          <w:szCs w:val="22"/>
        </w:rPr>
        <w:t>as against the second.</w:t>
      </w:r>
      <w:r w:rsidR="00521910" w:rsidRPr="00506A01">
        <w:rPr>
          <w:rFonts w:ascii="Calibri" w:hAnsi="Calibri" w:cs="Calibri"/>
          <w:sz w:val="22"/>
          <w:szCs w:val="22"/>
        </w:rPr>
        <w:t xml:space="preserve"> The order of 16</w:t>
      </w:r>
      <w:r w:rsidR="00521910" w:rsidRPr="00506A01">
        <w:rPr>
          <w:rFonts w:ascii="Calibri" w:hAnsi="Calibri" w:cs="Calibri"/>
          <w:sz w:val="22"/>
          <w:szCs w:val="22"/>
          <w:vertAlign w:val="superscript"/>
        </w:rPr>
        <w:t>th</w:t>
      </w:r>
      <w:r w:rsidR="00521910" w:rsidRPr="00506A01">
        <w:rPr>
          <w:rFonts w:ascii="Calibri" w:hAnsi="Calibri" w:cs="Calibri"/>
          <w:sz w:val="22"/>
          <w:szCs w:val="22"/>
        </w:rPr>
        <w:t xml:space="preserve"> October, 2020, it is said in submissions, was perfected on 11</w:t>
      </w:r>
      <w:r w:rsidR="00521910" w:rsidRPr="00506A01">
        <w:rPr>
          <w:rFonts w:ascii="Calibri" w:hAnsi="Calibri" w:cs="Calibri"/>
          <w:sz w:val="22"/>
          <w:szCs w:val="22"/>
          <w:vertAlign w:val="superscript"/>
        </w:rPr>
        <w:t>th</w:t>
      </w:r>
      <w:r w:rsidR="00521910" w:rsidRPr="00506A01">
        <w:rPr>
          <w:rFonts w:ascii="Calibri" w:hAnsi="Calibri" w:cs="Calibri"/>
          <w:sz w:val="22"/>
          <w:szCs w:val="22"/>
        </w:rPr>
        <w:t xml:space="preserve"> November, 2020 and served on the first Defendant by registered latter dated 23</w:t>
      </w:r>
      <w:r w:rsidR="00521910" w:rsidRPr="00506A01">
        <w:rPr>
          <w:rFonts w:ascii="Calibri" w:hAnsi="Calibri" w:cs="Calibri"/>
          <w:sz w:val="22"/>
          <w:szCs w:val="22"/>
          <w:vertAlign w:val="superscript"/>
        </w:rPr>
        <w:t>rd</w:t>
      </w:r>
      <w:r w:rsidR="00521910" w:rsidRPr="00506A01">
        <w:rPr>
          <w:rFonts w:ascii="Calibri" w:hAnsi="Calibri" w:cs="Calibri"/>
          <w:sz w:val="22"/>
          <w:szCs w:val="22"/>
        </w:rPr>
        <w:t xml:space="preserve"> November, 2020. In any event, the copy perfected order of 16</w:t>
      </w:r>
      <w:r w:rsidR="00521910" w:rsidRPr="00506A01">
        <w:rPr>
          <w:rFonts w:ascii="Calibri" w:hAnsi="Calibri" w:cs="Calibri"/>
          <w:sz w:val="22"/>
          <w:szCs w:val="22"/>
          <w:vertAlign w:val="superscript"/>
        </w:rPr>
        <w:t>th</w:t>
      </w:r>
      <w:r w:rsidR="00521910" w:rsidRPr="00506A01">
        <w:rPr>
          <w:rFonts w:ascii="Calibri" w:hAnsi="Calibri" w:cs="Calibri"/>
          <w:sz w:val="22"/>
          <w:szCs w:val="22"/>
        </w:rPr>
        <w:t xml:space="preserve"> October, 2020 before</w:t>
      </w:r>
      <w:r w:rsidR="007051D4" w:rsidRPr="00506A01">
        <w:rPr>
          <w:rFonts w:ascii="Calibri" w:hAnsi="Calibri" w:cs="Calibri"/>
          <w:sz w:val="22"/>
          <w:szCs w:val="22"/>
        </w:rPr>
        <w:t xml:space="preserve"> me</w:t>
      </w:r>
      <w:r w:rsidR="00521910" w:rsidRPr="00506A01">
        <w:rPr>
          <w:rFonts w:ascii="Calibri" w:hAnsi="Calibri" w:cs="Calibri"/>
          <w:sz w:val="22"/>
          <w:szCs w:val="22"/>
        </w:rPr>
        <w:t xml:space="preserve"> is certified a true copy on 11</w:t>
      </w:r>
      <w:r w:rsidR="00521910" w:rsidRPr="00506A01">
        <w:rPr>
          <w:rFonts w:ascii="Calibri" w:hAnsi="Calibri" w:cs="Calibri"/>
          <w:sz w:val="22"/>
          <w:szCs w:val="22"/>
          <w:vertAlign w:val="superscript"/>
        </w:rPr>
        <w:t>th</w:t>
      </w:r>
      <w:r w:rsidR="00521910" w:rsidRPr="00506A01">
        <w:rPr>
          <w:rFonts w:ascii="Calibri" w:hAnsi="Calibri" w:cs="Calibri"/>
          <w:sz w:val="22"/>
          <w:szCs w:val="22"/>
        </w:rPr>
        <w:t xml:space="preserve"> November, 2020 but that does not necessarily imply that it was perfected on that date or that the perfected order was bespoken expeditiously. </w:t>
      </w:r>
    </w:p>
    <w:p w14:paraId="7FDB7D8E" w14:textId="77777777" w:rsidR="00236C0F" w:rsidRPr="00506A01" w:rsidRDefault="00236C0F" w:rsidP="00236C0F">
      <w:pPr>
        <w:spacing w:line="276" w:lineRule="auto"/>
        <w:rPr>
          <w:rFonts w:ascii="Calibri" w:hAnsi="Calibri" w:cs="Calibri"/>
          <w:sz w:val="22"/>
          <w:szCs w:val="22"/>
        </w:rPr>
      </w:pPr>
    </w:p>
    <w:p w14:paraId="226C9D29" w14:textId="77777777" w:rsidR="00236C0F" w:rsidRPr="00506A01" w:rsidRDefault="00AB3BBE" w:rsidP="00236C0F">
      <w:pPr>
        <w:pStyle w:val="ListParagraph"/>
        <w:spacing w:line="276" w:lineRule="auto"/>
        <w:ind w:left="0"/>
        <w:rPr>
          <w:rFonts w:ascii="Calibri" w:hAnsi="Calibri" w:cs="Calibri"/>
          <w:sz w:val="22"/>
          <w:szCs w:val="22"/>
        </w:rPr>
      </w:pPr>
      <w:r w:rsidRPr="00506A01">
        <w:rPr>
          <w:rFonts w:ascii="Calibri" w:hAnsi="Calibri" w:cs="Calibri"/>
          <w:sz w:val="22"/>
          <w:szCs w:val="22"/>
        </w:rPr>
        <w:t xml:space="preserve"> </w:t>
      </w:r>
    </w:p>
    <w:p w14:paraId="3BD5E903" w14:textId="77777777" w:rsidR="00236C0F" w:rsidRPr="00506A01" w:rsidRDefault="00236C0F" w:rsidP="00236C0F">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Given an argument by counsel for the applicant, I should record that, even on the basis of that argument, once the order of 16</w:t>
      </w:r>
      <w:r w:rsidRPr="00506A01">
        <w:rPr>
          <w:rFonts w:ascii="Calibri" w:hAnsi="Calibri" w:cs="Calibri"/>
          <w:sz w:val="22"/>
          <w:szCs w:val="22"/>
          <w:vertAlign w:val="superscript"/>
        </w:rPr>
        <w:t>th</w:t>
      </w:r>
      <w:r w:rsidRPr="00506A01">
        <w:rPr>
          <w:rFonts w:ascii="Calibri" w:hAnsi="Calibri" w:cs="Calibri"/>
          <w:sz w:val="22"/>
          <w:szCs w:val="22"/>
        </w:rPr>
        <w:t xml:space="preserve"> October, 2020, substituting Start as the plaintiff had been made, there was no impediment to the expeditious application to renew the summons thereafter – or at least none has been argued. </w:t>
      </w:r>
    </w:p>
    <w:p w14:paraId="1858FDFF" w14:textId="77777777" w:rsidR="00AF60C7" w:rsidRPr="00506A01" w:rsidRDefault="00AF60C7" w:rsidP="00236C0F">
      <w:pPr>
        <w:spacing w:line="276" w:lineRule="auto"/>
        <w:rPr>
          <w:rFonts w:ascii="Calibri" w:hAnsi="Calibri" w:cs="Calibri"/>
          <w:sz w:val="22"/>
          <w:szCs w:val="22"/>
        </w:rPr>
      </w:pPr>
    </w:p>
    <w:p w14:paraId="2914D450" w14:textId="77777777" w:rsidR="00236C0F" w:rsidRPr="00506A01" w:rsidRDefault="00236C0F" w:rsidP="00236C0F">
      <w:pPr>
        <w:spacing w:line="276" w:lineRule="auto"/>
        <w:rPr>
          <w:rFonts w:ascii="Calibri" w:hAnsi="Calibri" w:cs="Calibri"/>
          <w:sz w:val="22"/>
          <w:szCs w:val="22"/>
        </w:rPr>
      </w:pPr>
    </w:p>
    <w:p w14:paraId="1F21CF24" w14:textId="5D94F499" w:rsidR="00236C0F" w:rsidRPr="00506A01" w:rsidRDefault="00AB3BBE" w:rsidP="00236C0F">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Despite the fact that the allocation in the order of 16</w:t>
      </w:r>
      <w:r w:rsidRPr="00506A01">
        <w:rPr>
          <w:rFonts w:ascii="Calibri" w:hAnsi="Calibri" w:cs="Calibri"/>
          <w:sz w:val="22"/>
          <w:szCs w:val="22"/>
          <w:vertAlign w:val="superscript"/>
        </w:rPr>
        <w:t>th</w:t>
      </w:r>
      <w:r w:rsidRPr="00506A01">
        <w:rPr>
          <w:rFonts w:ascii="Calibri" w:hAnsi="Calibri" w:cs="Calibri"/>
          <w:sz w:val="22"/>
          <w:szCs w:val="22"/>
        </w:rPr>
        <w:t xml:space="preserve"> October, 2020 of a new return date of 22</w:t>
      </w:r>
      <w:r w:rsidRPr="00506A01">
        <w:rPr>
          <w:rFonts w:ascii="Calibri" w:hAnsi="Calibri" w:cs="Calibri"/>
          <w:sz w:val="22"/>
          <w:szCs w:val="22"/>
          <w:vertAlign w:val="superscript"/>
        </w:rPr>
        <w:t>nd</w:t>
      </w:r>
      <w:r w:rsidRPr="00506A01">
        <w:rPr>
          <w:rFonts w:ascii="Calibri" w:hAnsi="Calibri" w:cs="Calibri"/>
          <w:sz w:val="22"/>
          <w:szCs w:val="22"/>
        </w:rPr>
        <w:t xml:space="preserve"> March, 2021 against the second defendan</w:t>
      </w:r>
      <w:r w:rsidR="004B2589" w:rsidRPr="00506A01">
        <w:rPr>
          <w:rFonts w:ascii="Calibri" w:hAnsi="Calibri" w:cs="Calibri"/>
          <w:sz w:val="22"/>
          <w:szCs w:val="22"/>
        </w:rPr>
        <w:t>t</w:t>
      </w:r>
      <w:r w:rsidRPr="00506A01">
        <w:rPr>
          <w:rFonts w:ascii="Calibri" w:hAnsi="Calibri" w:cs="Calibri"/>
          <w:sz w:val="22"/>
          <w:szCs w:val="22"/>
        </w:rPr>
        <w:t xml:space="preserve"> recognised that sh</w:t>
      </w:r>
      <w:r w:rsidR="004B2589" w:rsidRPr="00506A01">
        <w:rPr>
          <w:rFonts w:ascii="Calibri" w:hAnsi="Calibri" w:cs="Calibri"/>
          <w:sz w:val="22"/>
          <w:szCs w:val="22"/>
        </w:rPr>
        <w:t xml:space="preserve">e had not been served and the fact that that return date was, at that time, </w:t>
      </w:r>
      <w:r w:rsidR="00236C0F" w:rsidRPr="00506A01">
        <w:rPr>
          <w:rFonts w:ascii="Calibri" w:hAnsi="Calibri" w:cs="Calibri"/>
          <w:sz w:val="22"/>
          <w:szCs w:val="22"/>
        </w:rPr>
        <w:t>5</w:t>
      </w:r>
      <w:r w:rsidR="004B2589" w:rsidRPr="00506A01">
        <w:rPr>
          <w:rFonts w:ascii="Calibri" w:hAnsi="Calibri" w:cs="Calibri"/>
          <w:sz w:val="22"/>
          <w:szCs w:val="22"/>
        </w:rPr>
        <w:t xml:space="preserve"> months hence, it does not appear that any </w:t>
      </w:r>
      <w:r w:rsidR="004B2589" w:rsidRPr="00506A01">
        <w:rPr>
          <w:rFonts w:ascii="Calibri" w:hAnsi="Calibri" w:cs="Calibri"/>
          <w:i/>
          <w:sz w:val="22"/>
          <w:szCs w:val="22"/>
        </w:rPr>
        <w:t>ex parte</w:t>
      </w:r>
      <w:r w:rsidR="004B2589" w:rsidRPr="00506A01">
        <w:rPr>
          <w:rFonts w:ascii="Calibri" w:hAnsi="Calibri" w:cs="Calibri"/>
          <w:sz w:val="22"/>
          <w:szCs w:val="22"/>
        </w:rPr>
        <w:t xml:space="preserve"> docket was issued</w:t>
      </w:r>
      <w:r w:rsidR="00236C0F" w:rsidRPr="00506A01">
        <w:rPr>
          <w:rFonts w:ascii="Calibri" w:hAnsi="Calibri" w:cs="Calibri"/>
          <w:sz w:val="22"/>
          <w:szCs w:val="22"/>
        </w:rPr>
        <w:t xml:space="preserve"> in that interim</w:t>
      </w:r>
      <w:r w:rsidR="004B2589" w:rsidRPr="00506A01">
        <w:rPr>
          <w:rFonts w:ascii="Calibri" w:hAnsi="Calibri" w:cs="Calibri"/>
          <w:sz w:val="22"/>
          <w:szCs w:val="22"/>
        </w:rPr>
        <w:t xml:space="preserve"> seeking to renew the </w:t>
      </w:r>
      <w:r w:rsidR="00520BBA" w:rsidRPr="00506A01">
        <w:rPr>
          <w:rFonts w:ascii="Calibri" w:hAnsi="Calibri" w:cs="Calibri"/>
          <w:sz w:val="22"/>
          <w:szCs w:val="22"/>
        </w:rPr>
        <w:t>C</w:t>
      </w:r>
      <w:r w:rsidR="004B2589" w:rsidRPr="00506A01">
        <w:rPr>
          <w:rFonts w:ascii="Calibri" w:hAnsi="Calibri" w:cs="Calibri"/>
          <w:sz w:val="22"/>
          <w:szCs w:val="22"/>
        </w:rPr>
        <w:t xml:space="preserve">ivil </w:t>
      </w:r>
      <w:r w:rsidR="00520BBA" w:rsidRPr="00506A01">
        <w:rPr>
          <w:rFonts w:ascii="Calibri" w:hAnsi="Calibri" w:cs="Calibri"/>
          <w:sz w:val="22"/>
          <w:szCs w:val="22"/>
        </w:rPr>
        <w:t>B</w:t>
      </w:r>
      <w:r w:rsidR="004B2589" w:rsidRPr="00506A01">
        <w:rPr>
          <w:rFonts w:ascii="Calibri" w:hAnsi="Calibri" w:cs="Calibri"/>
          <w:sz w:val="22"/>
          <w:szCs w:val="22"/>
        </w:rPr>
        <w:t xml:space="preserve">ill with a view to that return date. That is unexplained. </w:t>
      </w:r>
    </w:p>
    <w:p w14:paraId="6F1455E4" w14:textId="77777777" w:rsidR="00236C0F" w:rsidRPr="00506A01" w:rsidRDefault="00236C0F" w:rsidP="00236C0F">
      <w:pPr>
        <w:pStyle w:val="ListParagraph"/>
        <w:spacing w:line="276" w:lineRule="auto"/>
        <w:ind w:left="0"/>
        <w:rPr>
          <w:rFonts w:ascii="Calibri" w:hAnsi="Calibri" w:cs="Calibri"/>
          <w:sz w:val="22"/>
          <w:szCs w:val="22"/>
        </w:rPr>
      </w:pPr>
    </w:p>
    <w:p w14:paraId="7A300668" w14:textId="77777777" w:rsidR="00236C0F" w:rsidRPr="00506A01" w:rsidRDefault="00236C0F" w:rsidP="00236C0F">
      <w:pPr>
        <w:pStyle w:val="ListParagraph"/>
        <w:spacing w:line="276" w:lineRule="auto"/>
        <w:ind w:left="0"/>
        <w:rPr>
          <w:rFonts w:ascii="Calibri" w:hAnsi="Calibri" w:cs="Calibri"/>
          <w:sz w:val="22"/>
          <w:szCs w:val="22"/>
        </w:rPr>
      </w:pPr>
    </w:p>
    <w:p w14:paraId="1F72CA48" w14:textId="3678838D" w:rsidR="00236C0F" w:rsidRPr="00506A01" w:rsidRDefault="00236C0F" w:rsidP="00236C0F">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It is unclear what occurred on 22</w:t>
      </w:r>
      <w:r w:rsidRPr="00506A01">
        <w:rPr>
          <w:rFonts w:ascii="Calibri" w:hAnsi="Calibri" w:cs="Calibri"/>
          <w:sz w:val="22"/>
          <w:szCs w:val="22"/>
          <w:vertAlign w:val="superscript"/>
        </w:rPr>
        <w:t>nd</w:t>
      </w:r>
      <w:r w:rsidRPr="00506A01">
        <w:rPr>
          <w:rFonts w:ascii="Calibri" w:hAnsi="Calibri" w:cs="Calibri"/>
          <w:sz w:val="22"/>
          <w:szCs w:val="22"/>
        </w:rPr>
        <w:t xml:space="preserve"> March, 20</w:t>
      </w:r>
      <w:r w:rsidR="007051D4" w:rsidRPr="00506A01">
        <w:rPr>
          <w:rFonts w:ascii="Calibri" w:hAnsi="Calibri" w:cs="Calibri"/>
          <w:sz w:val="22"/>
          <w:szCs w:val="22"/>
        </w:rPr>
        <w:t>2</w:t>
      </w:r>
      <w:r w:rsidRPr="00506A01">
        <w:rPr>
          <w:rFonts w:ascii="Calibri" w:hAnsi="Calibri" w:cs="Calibri"/>
          <w:sz w:val="22"/>
          <w:szCs w:val="22"/>
        </w:rPr>
        <w:t>1 when, by the order of the 16</w:t>
      </w:r>
      <w:r w:rsidRPr="00506A01">
        <w:rPr>
          <w:rFonts w:ascii="Calibri" w:hAnsi="Calibri" w:cs="Calibri"/>
          <w:sz w:val="22"/>
          <w:szCs w:val="22"/>
          <w:vertAlign w:val="superscript"/>
        </w:rPr>
        <w:t>th</w:t>
      </w:r>
      <w:r w:rsidRPr="00506A01">
        <w:rPr>
          <w:rFonts w:ascii="Calibri" w:hAnsi="Calibri" w:cs="Calibri"/>
          <w:sz w:val="22"/>
          <w:szCs w:val="22"/>
        </w:rPr>
        <w:t xml:space="preserve"> October, 2020, the matter again came before the County Registrar, inter alia as a return date of the Civil Bill as relating to the second defendant. It seems likely, however, that, by that stage, the necessity of the application to renew had been recognised and the matter was, at least as relating to the second defendant, adjourned pending application to the judge in that regard.</w:t>
      </w:r>
    </w:p>
    <w:p w14:paraId="11C6E16F" w14:textId="77777777" w:rsidR="00236C0F" w:rsidRPr="00506A01" w:rsidRDefault="00236C0F" w:rsidP="00236C0F">
      <w:pPr>
        <w:pStyle w:val="ListParagraph"/>
        <w:spacing w:line="276" w:lineRule="auto"/>
        <w:ind w:left="0"/>
        <w:rPr>
          <w:rFonts w:ascii="Calibri" w:hAnsi="Calibri" w:cs="Calibri"/>
          <w:sz w:val="22"/>
          <w:szCs w:val="22"/>
        </w:rPr>
      </w:pPr>
    </w:p>
    <w:p w14:paraId="15C3186C" w14:textId="77777777" w:rsidR="00236C0F" w:rsidRPr="00506A01" w:rsidRDefault="00236C0F" w:rsidP="00236C0F">
      <w:pPr>
        <w:pStyle w:val="ListParagraph"/>
        <w:spacing w:line="276" w:lineRule="auto"/>
        <w:ind w:left="0"/>
        <w:rPr>
          <w:rFonts w:ascii="Calibri" w:hAnsi="Calibri" w:cs="Calibri"/>
          <w:sz w:val="22"/>
          <w:szCs w:val="22"/>
        </w:rPr>
      </w:pPr>
    </w:p>
    <w:p w14:paraId="788CAA71" w14:textId="77D4D176" w:rsidR="00236C0F" w:rsidRPr="00506A01" w:rsidRDefault="004B2589"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As indicated earlier, the </w:t>
      </w:r>
      <w:r w:rsidRPr="00506A01">
        <w:rPr>
          <w:rFonts w:ascii="Calibri" w:hAnsi="Calibri" w:cs="Calibri"/>
          <w:i/>
          <w:sz w:val="22"/>
          <w:szCs w:val="22"/>
        </w:rPr>
        <w:t>ex parte</w:t>
      </w:r>
      <w:r w:rsidRPr="00506A01">
        <w:rPr>
          <w:rFonts w:ascii="Calibri" w:hAnsi="Calibri" w:cs="Calibri"/>
          <w:sz w:val="22"/>
          <w:szCs w:val="22"/>
        </w:rPr>
        <w:t xml:space="preserve"> docket</w:t>
      </w:r>
      <w:r w:rsidR="00236C0F" w:rsidRPr="00506A01">
        <w:rPr>
          <w:rFonts w:ascii="Calibri" w:hAnsi="Calibri" w:cs="Calibri"/>
          <w:sz w:val="22"/>
          <w:szCs w:val="22"/>
        </w:rPr>
        <w:t>, on foot of which the appealed order was made,</w:t>
      </w:r>
      <w:r w:rsidRPr="00506A01">
        <w:rPr>
          <w:rFonts w:ascii="Calibri" w:hAnsi="Calibri" w:cs="Calibri"/>
          <w:sz w:val="22"/>
          <w:szCs w:val="22"/>
        </w:rPr>
        <w:t xml:space="preserve"> to renew the summons and also for substituted service</w:t>
      </w:r>
      <w:r w:rsidR="00236C0F" w:rsidRPr="00506A01">
        <w:rPr>
          <w:rFonts w:ascii="Calibri" w:hAnsi="Calibri" w:cs="Calibri"/>
          <w:sz w:val="22"/>
          <w:szCs w:val="22"/>
        </w:rPr>
        <w:t>,</w:t>
      </w:r>
      <w:r w:rsidRPr="00506A01">
        <w:rPr>
          <w:rFonts w:ascii="Calibri" w:hAnsi="Calibri" w:cs="Calibri"/>
          <w:sz w:val="22"/>
          <w:szCs w:val="22"/>
        </w:rPr>
        <w:t xml:space="preserve"> issued only on 15</w:t>
      </w:r>
      <w:r w:rsidRPr="00506A01">
        <w:rPr>
          <w:rFonts w:ascii="Calibri" w:hAnsi="Calibri" w:cs="Calibri"/>
          <w:sz w:val="22"/>
          <w:szCs w:val="22"/>
          <w:vertAlign w:val="superscript"/>
        </w:rPr>
        <w:t>th</w:t>
      </w:r>
      <w:r w:rsidRPr="00506A01">
        <w:rPr>
          <w:rFonts w:ascii="Calibri" w:hAnsi="Calibri" w:cs="Calibri"/>
          <w:sz w:val="22"/>
          <w:szCs w:val="22"/>
        </w:rPr>
        <w:t xml:space="preserve"> April, 2021, </w:t>
      </w:r>
      <w:r w:rsidR="00236C0F" w:rsidRPr="00506A01">
        <w:rPr>
          <w:rFonts w:ascii="Calibri" w:hAnsi="Calibri" w:cs="Calibri"/>
          <w:sz w:val="22"/>
          <w:szCs w:val="22"/>
        </w:rPr>
        <w:t>2</w:t>
      </w:r>
      <w:r w:rsidRPr="00506A01">
        <w:rPr>
          <w:rFonts w:ascii="Calibri" w:hAnsi="Calibri" w:cs="Calibri"/>
          <w:sz w:val="22"/>
          <w:szCs w:val="22"/>
        </w:rPr>
        <w:t xml:space="preserve"> years and </w:t>
      </w:r>
      <w:r w:rsidR="00236C0F" w:rsidRPr="00506A01">
        <w:rPr>
          <w:rFonts w:ascii="Calibri" w:hAnsi="Calibri" w:cs="Calibri"/>
          <w:sz w:val="22"/>
          <w:szCs w:val="22"/>
        </w:rPr>
        <w:t>9</w:t>
      </w:r>
      <w:r w:rsidRPr="00506A01">
        <w:rPr>
          <w:rFonts w:ascii="Calibri" w:hAnsi="Calibri" w:cs="Calibri"/>
          <w:sz w:val="22"/>
          <w:szCs w:val="22"/>
        </w:rPr>
        <w:t xml:space="preserve"> months after the expiry of the </w:t>
      </w:r>
      <w:r w:rsidR="00E56568" w:rsidRPr="00506A01">
        <w:rPr>
          <w:rFonts w:ascii="Calibri" w:hAnsi="Calibri" w:cs="Calibri"/>
          <w:sz w:val="22"/>
          <w:szCs w:val="22"/>
        </w:rPr>
        <w:t>C</w:t>
      </w:r>
      <w:r w:rsidRPr="00506A01">
        <w:rPr>
          <w:rFonts w:ascii="Calibri" w:hAnsi="Calibri" w:cs="Calibri"/>
          <w:sz w:val="22"/>
          <w:szCs w:val="22"/>
        </w:rPr>
        <w:t xml:space="preserve">ivil </w:t>
      </w:r>
      <w:r w:rsidR="00E56568" w:rsidRPr="00506A01">
        <w:rPr>
          <w:rFonts w:ascii="Calibri" w:hAnsi="Calibri" w:cs="Calibri"/>
          <w:sz w:val="22"/>
          <w:szCs w:val="22"/>
        </w:rPr>
        <w:t>B</w:t>
      </w:r>
      <w:r w:rsidRPr="00506A01">
        <w:rPr>
          <w:rFonts w:ascii="Calibri" w:hAnsi="Calibri" w:cs="Calibri"/>
          <w:sz w:val="22"/>
          <w:szCs w:val="22"/>
        </w:rPr>
        <w:t xml:space="preserve">ill, and </w:t>
      </w:r>
      <w:r w:rsidR="00236C0F" w:rsidRPr="00506A01">
        <w:rPr>
          <w:rFonts w:ascii="Calibri" w:hAnsi="Calibri" w:cs="Calibri"/>
          <w:sz w:val="22"/>
          <w:szCs w:val="22"/>
        </w:rPr>
        <w:t>6</w:t>
      </w:r>
      <w:r w:rsidRPr="00506A01">
        <w:rPr>
          <w:rFonts w:ascii="Calibri" w:hAnsi="Calibri" w:cs="Calibri"/>
          <w:sz w:val="22"/>
          <w:szCs w:val="22"/>
        </w:rPr>
        <w:t xml:space="preserve"> months after the County Registrar had assigned a new return date </w:t>
      </w:r>
      <w:r w:rsidR="00236C0F" w:rsidRPr="00506A01">
        <w:rPr>
          <w:rFonts w:ascii="Calibri" w:hAnsi="Calibri" w:cs="Calibri"/>
          <w:sz w:val="22"/>
          <w:szCs w:val="22"/>
        </w:rPr>
        <w:t>of 22</w:t>
      </w:r>
      <w:r w:rsidR="00236C0F" w:rsidRPr="00506A01">
        <w:rPr>
          <w:rFonts w:ascii="Calibri" w:hAnsi="Calibri" w:cs="Calibri"/>
          <w:sz w:val="22"/>
          <w:szCs w:val="22"/>
          <w:vertAlign w:val="superscript"/>
        </w:rPr>
        <w:t>nd</w:t>
      </w:r>
      <w:r w:rsidR="00236C0F" w:rsidRPr="00506A01">
        <w:rPr>
          <w:rFonts w:ascii="Calibri" w:hAnsi="Calibri" w:cs="Calibri"/>
          <w:sz w:val="22"/>
          <w:szCs w:val="22"/>
        </w:rPr>
        <w:t xml:space="preserve"> March, 2021 </w:t>
      </w:r>
      <w:r w:rsidRPr="00506A01">
        <w:rPr>
          <w:rFonts w:ascii="Calibri" w:hAnsi="Calibri" w:cs="Calibri"/>
          <w:sz w:val="22"/>
          <w:szCs w:val="22"/>
        </w:rPr>
        <w:t>as against the second defendant</w:t>
      </w:r>
      <w:r w:rsidR="00236C0F" w:rsidRPr="00506A01">
        <w:rPr>
          <w:rFonts w:ascii="Calibri" w:hAnsi="Calibri" w:cs="Calibri"/>
          <w:sz w:val="22"/>
          <w:szCs w:val="22"/>
        </w:rPr>
        <w:t xml:space="preserve"> and, indeed, </w:t>
      </w:r>
      <w:r w:rsidR="00F56B63" w:rsidRPr="00506A01">
        <w:rPr>
          <w:rFonts w:ascii="Calibri" w:hAnsi="Calibri" w:cs="Calibri"/>
          <w:sz w:val="22"/>
          <w:szCs w:val="22"/>
        </w:rPr>
        <w:t xml:space="preserve">the </w:t>
      </w:r>
      <w:r w:rsidR="00F56B63" w:rsidRPr="00506A01">
        <w:rPr>
          <w:rFonts w:ascii="Calibri" w:hAnsi="Calibri" w:cs="Calibri"/>
          <w:i/>
          <w:sz w:val="22"/>
          <w:szCs w:val="22"/>
        </w:rPr>
        <w:t>ex parte</w:t>
      </w:r>
      <w:r w:rsidR="00F56B63" w:rsidRPr="00506A01">
        <w:rPr>
          <w:rFonts w:ascii="Calibri" w:hAnsi="Calibri" w:cs="Calibri"/>
          <w:sz w:val="22"/>
          <w:szCs w:val="22"/>
        </w:rPr>
        <w:t xml:space="preserve"> docket, issued only </w:t>
      </w:r>
      <w:r w:rsidR="00236C0F" w:rsidRPr="00506A01">
        <w:rPr>
          <w:rFonts w:ascii="Calibri" w:hAnsi="Calibri" w:cs="Calibri"/>
          <w:sz w:val="22"/>
          <w:szCs w:val="22"/>
        </w:rPr>
        <w:t>after that return date</w:t>
      </w:r>
      <w:r w:rsidRPr="00506A01">
        <w:rPr>
          <w:rFonts w:ascii="Calibri" w:hAnsi="Calibri" w:cs="Calibri"/>
          <w:sz w:val="22"/>
          <w:szCs w:val="22"/>
        </w:rPr>
        <w:t xml:space="preserve">. </w:t>
      </w:r>
    </w:p>
    <w:p w14:paraId="4773AEA1" w14:textId="520D6AE5" w:rsidR="00236C0F" w:rsidRPr="00506A01" w:rsidRDefault="00236C0F" w:rsidP="00236C0F">
      <w:pPr>
        <w:pStyle w:val="ListParagraph"/>
        <w:spacing w:line="276" w:lineRule="auto"/>
        <w:ind w:left="0"/>
        <w:rPr>
          <w:rFonts w:ascii="Calibri" w:hAnsi="Calibri" w:cs="Calibri"/>
          <w:sz w:val="22"/>
          <w:szCs w:val="22"/>
        </w:rPr>
      </w:pPr>
    </w:p>
    <w:p w14:paraId="67CAB99E" w14:textId="77777777" w:rsidR="00F56B63" w:rsidRPr="00506A01" w:rsidRDefault="00F56B63" w:rsidP="00236C0F">
      <w:pPr>
        <w:pStyle w:val="ListParagraph"/>
        <w:spacing w:line="276" w:lineRule="auto"/>
        <w:ind w:left="0"/>
        <w:rPr>
          <w:rFonts w:ascii="Calibri" w:hAnsi="Calibri" w:cs="Calibri"/>
          <w:sz w:val="22"/>
          <w:szCs w:val="22"/>
        </w:rPr>
      </w:pPr>
    </w:p>
    <w:p w14:paraId="59C6B478" w14:textId="69102CFC" w:rsidR="00F56B63" w:rsidRPr="00506A01" w:rsidRDefault="00F56B63" w:rsidP="00F56B63">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In short, from the expiry of the </w:t>
      </w:r>
      <w:r w:rsidR="00E56568" w:rsidRPr="00506A01">
        <w:rPr>
          <w:rFonts w:ascii="Calibri" w:hAnsi="Calibri" w:cs="Calibri"/>
          <w:sz w:val="22"/>
          <w:szCs w:val="22"/>
        </w:rPr>
        <w:t>C</w:t>
      </w:r>
      <w:r w:rsidRPr="00506A01">
        <w:rPr>
          <w:rFonts w:ascii="Calibri" w:hAnsi="Calibri" w:cs="Calibri"/>
          <w:sz w:val="22"/>
          <w:szCs w:val="22"/>
        </w:rPr>
        <w:t xml:space="preserve">ivil </w:t>
      </w:r>
      <w:r w:rsidR="00E56568" w:rsidRPr="00506A01">
        <w:rPr>
          <w:rFonts w:ascii="Calibri" w:hAnsi="Calibri" w:cs="Calibri"/>
          <w:sz w:val="22"/>
          <w:szCs w:val="22"/>
        </w:rPr>
        <w:t>B</w:t>
      </w:r>
      <w:r w:rsidRPr="00506A01">
        <w:rPr>
          <w:rFonts w:ascii="Calibri" w:hAnsi="Calibri" w:cs="Calibri"/>
          <w:sz w:val="22"/>
          <w:szCs w:val="22"/>
        </w:rPr>
        <w:t>ill on 5</w:t>
      </w:r>
      <w:r w:rsidRPr="00506A01">
        <w:rPr>
          <w:rFonts w:ascii="Calibri" w:hAnsi="Calibri" w:cs="Calibri"/>
          <w:sz w:val="22"/>
          <w:szCs w:val="22"/>
          <w:vertAlign w:val="superscript"/>
        </w:rPr>
        <w:t>th</w:t>
      </w:r>
      <w:r w:rsidRPr="00506A01">
        <w:rPr>
          <w:rFonts w:ascii="Calibri" w:hAnsi="Calibri" w:cs="Calibri"/>
          <w:sz w:val="22"/>
          <w:szCs w:val="22"/>
        </w:rPr>
        <w:t xml:space="preserve"> July, 2018, it is not apparent that any attempt was made to renew the </w:t>
      </w:r>
      <w:r w:rsidR="00116814" w:rsidRPr="00506A01">
        <w:rPr>
          <w:rFonts w:ascii="Calibri" w:hAnsi="Calibri" w:cs="Calibri"/>
          <w:sz w:val="22"/>
          <w:szCs w:val="22"/>
        </w:rPr>
        <w:t>C</w:t>
      </w:r>
      <w:r w:rsidRPr="00506A01">
        <w:rPr>
          <w:rFonts w:ascii="Calibri" w:hAnsi="Calibri" w:cs="Calibri"/>
          <w:sz w:val="22"/>
          <w:szCs w:val="22"/>
        </w:rPr>
        <w:t xml:space="preserve">ivil </w:t>
      </w:r>
      <w:r w:rsidR="00116814" w:rsidRPr="00506A01">
        <w:rPr>
          <w:rFonts w:ascii="Calibri" w:hAnsi="Calibri" w:cs="Calibri"/>
          <w:sz w:val="22"/>
          <w:szCs w:val="22"/>
        </w:rPr>
        <w:t>B</w:t>
      </w:r>
      <w:r w:rsidRPr="00506A01">
        <w:rPr>
          <w:rFonts w:ascii="Calibri" w:hAnsi="Calibri" w:cs="Calibri"/>
          <w:sz w:val="22"/>
          <w:szCs w:val="22"/>
        </w:rPr>
        <w:t xml:space="preserve">ill until on foot of an </w:t>
      </w:r>
      <w:r w:rsidRPr="00506A01">
        <w:rPr>
          <w:rFonts w:ascii="Calibri" w:hAnsi="Calibri" w:cs="Calibri"/>
          <w:i/>
          <w:sz w:val="22"/>
          <w:szCs w:val="22"/>
        </w:rPr>
        <w:t>ex parte</w:t>
      </w:r>
      <w:r w:rsidRPr="00506A01">
        <w:rPr>
          <w:rFonts w:ascii="Calibri" w:hAnsi="Calibri" w:cs="Calibri"/>
          <w:sz w:val="22"/>
          <w:szCs w:val="22"/>
        </w:rPr>
        <w:t xml:space="preserve"> docket issued on 15</w:t>
      </w:r>
      <w:r w:rsidRPr="00506A01">
        <w:rPr>
          <w:rFonts w:ascii="Calibri" w:hAnsi="Calibri" w:cs="Calibri"/>
          <w:sz w:val="22"/>
          <w:szCs w:val="22"/>
          <w:vertAlign w:val="superscript"/>
        </w:rPr>
        <w:t>th</w:t>
      </w:r>
      <w:r w:rsidRPr="00506A01">
        <w:rPr>
          <w:rFonts w:ascii="Calibri" w:hAnsi="Calibri" w:cs="Calibri"/>
          <w:sz w:val="22"/>
          <w:szCs w:val="22"/>
        </w:rPr>
        <w:t xml:space="preserve"> April, 2021. The net result appears to be a delay of 2 years and 9 months from the expiry of the </w:t>
      </w:r>
      <w:r w:rsidR="00E56568" w:rsidRPr="00506A01">
        <w:rPr>
          <w:rFonts w:ascii="Calibri" w:hAnsi="Calibri" w:cs="Calibri"/>
          <w:sz w:val="22"/>
          <w:szCs w:val="22"/>
        </w:rPr>
        <w:t>C</w:t>
      </w:r>
      <w:r w:rsidRPr="00506A01">
        <w:rPr>
          <w:rFonts w:ascii="Calibri" w:hAnsi="Calibri" w:cs="Calibri"/>
          <w:sz w:val="22"/>
          <w:szCs w:val="22"/>
        </w:rPr>
        <w:t xml:space="preserve">ivil ill to the issuing of the </w:t>
      </w:r>
      <w:r w:rsidRPr="00506A01">
        <w:rPr>
          <w:rFonts w:ascii="Calibri" w:hAnsi="Calibri" w:cs="Calibri"/>
          <w:i/>
          <w:sz w:val="22"/>
          <w:szCs w:val="22"/>
        </w:rPr>
        <w:t>ex parte</w:t>
      </w:r>
      <w:r w:rsidRPr="00506A01">
        <w:rPr>
          <w:rFonts w:ascii="Calibri" w:hAnsi="Calibri" w:cs="Calibri"/>
          <w:sz w:val="22"/>
          <w:szCs w:val="22"/>
        </w:rPr>
        <w:t xml:space="preserve"> docket seeking its renewal - upon which the application was moved before Judge Quinn resulting in the order under appeal to this court.</w:t>
      </w:r>
    </w:p>
    <w:p w14:paraId="3BFF40D0" w14:textId="26F72039" w:rsidR="00236C0F" w:rsidRPr="00506A01" w:rsidRDefault="00236C0F" w:rsidP="00236C0F">
      <w:pPr>
        <w:pStyle w:val="ListParagraph"/>
        <w:spacing w:line="276" w:lineRule="auto"/>
        <w:ind w:left="0"/>
        <w:rPr>
          <w:rFonts w:ascii="Calibri" w:hAnsi="Calibri" w:cs="Calibri"/>
          <w:sz w:val="22"/>
          <w:szCs w:val="22"/>
        </w:rPr>
      </w:pPr>
    </w:p>
    <w:p w14:paraId="719BEDB1" w14:textId="77777777" w:rsidR="00F56B63" w:rsidRPr="00506A01" w:rsidRDefault="00F56B63" w:rsidP="00236C0F">
      <w:pPr>
        <w:pStyle w:val="ListParagraph"/>
        <w:spacing w:line="276" w:lineRule="auto"/>
        <w:ind w:left="0"/>
        <w:rPr>
          <w:rFonts w:ascii="Calibri" w:hAnsi="Calibri" w:cs="Calibri"/>
          <w:sz w:val="22"/>
          <w:szCs w:val="22"/>
        </w:rPr>
      </w:pPr>
    </w:p>
    <w:p w14:paraId="4A663BBC" w14:textId="42E1324A" w:rsidR="00236C0F" w:rsidRPr="00506A01" w:rsidRDefault="00236C0F"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I have given judgment today in a very similar application by the same plaintiff, represented by the same counsel in </w:t>
      </w:r>
      <w:r w:rsidRPr="00506A01">
        <w:rPr>
          <w:rFonts w:ascii="Calibri" w:hAnsi="Calibri" w:cs="Calibri"/>
          <w:b/>
          <w:sz w:val="22"/>
          <w:szCs w:val="22"/>
        </w:rPr>
        <w:t>Start Mortgages v Brennan and Sinnott</w:t>
      </w:r>
      <w:r w:rsidRPr="00506A01">
        <w:rPr>
          <w:rFonts w:ascii="Calibri" w:hAnsi="Calibri" w:cs="Calibri"/>
          <w:sz w:val="22"/>
          <w:szCs w:val="22"/>
        </w:rPr>
        <w:t xml:space="preserve"> and, in that judgment, I have considered the law on renewal of </w:t>
      </w:r>
      <w:r w:rsidR="00116814" w:rsidRPr="00506A01">
        <w:rPr>
          <w:rFonts w:ascii="Calibri" w:hAnsi="Calibri" w:cs="Calibri"/>
          <w:sz w:val="22"/>
          <w:szCs w:val="22"/>
        </w:rPr>
        <w:t>C</w:t>
      </w:r>
      <w:r w:rsidRPr="00506A01">
        <w:rPr>
          <w:rFonts w:ascii="Calibri" w:hAnsi="Calibri" w:cs="Calibri"/>
          <w:sz w:val="22"/>
          <w:szCs w:val="22"/>
        </w:rPr>
        <w:t xml:space="preserve">ivil </w:t>
      </w:r>
      <w:r w:rsidR="00116814" w:rsidRPr="00506A01">
        <w:rPr>
          <w:rFonts w:ascii="Calibri" w:hAnsi="Calibri" w:cs="Calibri"/>
          <w:sz w:val="22"/>
          <w:szCs w:val="22"/>
        </w:rPr>
        <w:t>B</w:t>
      </w:r>
      <w:r w:rsidRPr="00506A01">
        <w:rPr>
          <w:rFonts w:ascii="Calibri" w:hAnsi="Calibri" w:cs="Calibri"/>
          <w:sz w:val="22"/>
          <w:szCs w:val="22"/>
        </w:rPr>
        <w:t xml:space="preserve">ills. I do not propose to reprise that treatment here. </w:t>
      </w:r>
      <w:r w:rsidR="00F4676F" w:rsidRPr="00506A01">
        <w:rPr>
          <w:rFonts w:ascii="Calibri" w:hAnsi="Calibri" w:cs="Calibri"/>
          <w:sz w:val="22"/>
          <w:szCs w:val="22"/>
        </w:rPr>
        <w:t>Suffice to say that I seek to apply it in what follows.</w:t>
      </w:r>
    </w:p>
    <w:p w14:paraId="4F0E82C6" w14:textId="77777777" w:rsidR="00236C0F" w:rsidRPr="00506A01" w:rsidRDefault="00236C0F" w:rsidP="00236C0F">
      <w:pPr>
        <w:pStyle w:val="ListParagraph"/>
        <w:spacing w:line="276" w:lineRule="auto"/>
        <w:ind w:left="0"/>
        <w:rPr>
          <w:rFonts w:ascii="Calibri" w:hAnsi="Calibri" w:cs="Calibri"/>
          <w:sz w:val="22"/>
          <w:szCs w:val="22"/>
        </w:rPr>
      </w:pPr>
    </w:p>
    <w:p w14:paraId="7ABBB9D9" w14:textId="77777777" w:rsidR="00236C0F" w:rsidRPr="00506A01" w:rsidRDefault="00236C0F" w:rsidP="00236C0F">
      <w:pPr>
        <w:pStyle w:val="ListParagraph"/>
        <w:spacing w:line="276" w:lineRule="auto"/>
        <w:ind w:left="0"/>
        <w:rPr>
          <w:rFonts w:ascii="Calibri" w:hAnsi="Calibri" w:cs="Calibri"/>
          <w:sz w:val="22"/>
          <w:szCs w:val="22"/>
        </w:rPr>
      </w:pPr>
    </w:p>
    <w:p w14:paraId="0ED5A475" w14:textId="1579A2C2" w:rsidR="00603FEB" w:rsidRPr="00506A01" w:rsidRDefault="00240DA9"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Counsel for the plaintiff argues that the plaintiff satisfies </w:t>
      </w:r>
      <w:r w:rsidR="00CB2DA6" w:rsidRPr="00506A01">
        <w:rPr>
          <w:rFonts w:ascii="Calibri" w:hAnsi="Calibri" w:cs="Calibri"/>
          <w:sz w:val="22"/>
          <w:szCs w:val="22"/>
        </w:rPr>
        <w:t>its</w:t>
      </w:r>
      <w:r w:rsidRPr="00506A01">
        <w:rPr>
          <w:rFonts w:ascii="Calibri" w:hAnsi="Calibri" w:cs="Calibri"/>
          <w:sz w:val="22"/>
          <w:szCs w:val="22"/>
        </w:rPr>
        <w:t xml:space="preserve"> </w:t>
      </w:r>
      <w:r w:rsidR="00CB2DA6" w:rsidRPr="00506A01">
        <w:rPr>
          <w:rFonts w:ascii="Calibri" w:hAnsi="Calibri" w:cs="Calibri"/>
          <w:sz w:val="22"/>
          <w:szCs w:val="22"/>
        </w:rPr>
        <w:t>onus of proving</w:t>
      </w:r>
      <w:r w:rsidRPr="00506A01">
        <w:rPr>
          <w:rFonts w:ascii="Calibri" w:hAnsi="Calibri" w:cs="Calibri"/>
          <w:sz w:val="22"/>
          <w:szCs w:val="22"/>
        </w:rPr>
        <w:t xml:space="preserve"> special circumstances </w:t>
      </w:r>
      <w:r w:rsidR="00F4676F" w:rsidRPr="00506A01">
        <w:rPr>
          <w:rFonts w:ascii="Calibri" w:hAnsi="Calibri" w:cs="Calibri"/>
          <w:sz w:val="22"/>
          <w:szCs w:val="22"/>
        </w:rPr>
        <w:t xml:space="preserve">justifying the extension of the validity of the </w:t>
      </w:r>
      <w:r w:rsidR="00116814" w:rsidRPr="00506A01">
        <w:rPr>
          <w:rFonts w:ascii="Calibri" w:hAnsi="Calibri" w:cs="Calibri"/>
          <w:sz w:val="22"/>
          <w:szCs w:val="22"/>
        </w:rPr>
        <w:t>C</w:t>
      </w:r>
      <w:r w:rsidR="00F4676F" w:rsidRPr="00506A01">
        <w:rPr>
          <w:rFonts w:ascii="Calibri" w:hAnsi="Calibri" w:cs="Calibri"/>
          <w:sz w:val="22"/>
          <w:szCs w:val="22"/>
        </w:rPr>
        <w:t xml:space="preserve">ivil </w:t>
      </w:r>
      <w:r w:rsidR="00116814" w:rsidRPr="00506A01">
        <w:rPr>
          <w:rFonts w:ascii="Calibri" w:hAnsi="Calibri" w:cs="Calibri"/>
          <w:sz w:val="22"/>
          <w:szCs w:val="22"/>
        </w:rPr>
        <w:t>B</w:t>
      </w:r>
      <w:r w:rsidR="00F4676F" w:rsidRPr="00506A01">
        <w:rPr>
          <w:rFonts w:ascii="Calibri" w:hAnsi="Calibri" w:cs="Calibri"/>
          <w:sz w:val="22"/>
          <w:szCs w:val="22"/>
        </w:rPr>
        <w:t xml:space="preserve">ill </w:t>
      </w:r>
      <w:r w:rsidRPr="00506A01">
        <w:rPr>
          <w:rFonts w:ascii="Calibri" w:hAnsi="Calibri" w:cs="Calibri"/>
          <w:sz w:val="22"/>
          <w:szCs w:val="22"/>
        </w:rPr>
        <w:t xml:space="preserve">set out in O. 12, r. 1 of the Rules of the Circuit Court. </w:t>
      </w:r>
    </w:p>
    <w:p w14:paraId="3512E243" w14:textId="63399C9C" w:rsidR="00236C0F" w:rsidRPr="00506A01" w:rsidRDefault="00236C0F" w:rsidP="00236C0F">
      <w:pPr>
        <w:pStyle w:val="ListParagraph"/>
        <w:spacing w:line="276" w:lineRule="auto"/>
        <w:ind w:left="0"/>
        <w:rPr>
          <w:rFonts w:ascii="Calibri" w:hAnsi="Calibri" w:cs="Calibri"/>
          <w:sz w:val="22"/>
          <w:szCs w:val="22"/>
        </w:rPr>
      </w:pPr>
    </w:p>
    <w:p w14:paraId="3439FC8A" w14:textId="77777777" w:rsidR="007153A6" w:rsidRPr="00506A01" w:rsidRDefault="007153A6" w:rsidP="00236C0F">
      <w:pPr>
        <w:pStyle w:val="ListParagraph"/>
        <w:spacing w:line="276" w:lineRule="auto"/>
        <w:ind w:left="0"/>
        <w:rPr>
          <w:rFonts w:ascii="Calibri" w:hAnsi="Calibri" w:cs="Calibri"/>
          <w:sz w:val="22"/>
          <w:szCs w:val="22"/>
        </w:rPr>
      </w:pPr>
    </w:p>
    <w:p w14:paraId="4F5A085E" w14:textId="28778875" w:rsidR="00F56B63" w:rsidRPr="00506A01" w:rsidRDefault="007153A6" w:rsidP="00F56B63">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I accept, as I have done in the case of </w:t>
      </w:r>
      <w:r w:rsidRPr="00506A01">
        <w:rPr>
          <w:rFonts w:ascii="Calibri" w:hAnsi="Calibri" w:cs="Calibri"/>
          <w:b/>
          <w:sz w:val="22"/>
          <w:szCs w:val="22"/>
        </w:rPr>
        <w:t>Start Mortgages v Brennan and Sinnott</w:t>
      </w:r>
      <w:r w:rsidRPr="00506A01">
        <w:rPr>
          <w:rFonts w:ascii="Calibri" w:hAnsi="Calibri" w:cs="Calibri"/>
          <w:sz w:val="22"/>
          <w:szCs w:val="22"/>
        </w:rPr>
        <w:t xml:space="preserve"> and as observed by Quinn J. in the case of </w:t>
      </w:r>
      <w:r w:rsidRPr="00506A01">
        <w:rPr>
          <w:rFonts w:ascii="Calibri" w:hAnsi="Calibri" w:cs="Calibri"/>
          <w:b/>
          <w:sz w:val="22"/>
          <w:szCs w:val="22"/>
        </w:rPr>
        <w:t>Bank of Ireland v Sugrue</w:t>
      </w:r>
      <w:r w:rsidRPr="00506A01">
        <w:rPr>
          <w:rStyle w:val="FootnoteReference"/>
          <w:rFonts w:ascii="Calibri" w:hAnsi="Calibri" w:cs="Calibri"/>
          <w:sz w:val="22"/>
          <w:szCs w:val="22"/>
        </w:rPr>
        <w:footnoteReference w:id="2"/>
      </w:r>
      <w:r w:rsidRPr="00506A01">
        <w:rPr>
          <w:rFonts w:ascii="Calibri" w:hAnsi="Calibri" w:cs="Calibri"/>
          <w:sz w:val="22"/>
          <w:szCs w:val="22"/>
        </w:rPr>
        <w:t xml:space="preserve">, that </w:t>
      </w:r>
      <w:r w:rsidRPr="00506A01">
        <w:rPr>
          <w:rFonts w:ascii="Calibri" w:hAnsi="Calibri" w:cs="Calibri"/>
          <w:b/>
          <w:sz w:val="22"/>
          <w:szCs w:val="22"/>
        </w:rPr>
        <w:t>Chambers v Kenefick</w:t>
      </w:r>
      <w:r w:rsidRPr="00506A01">
        <w:rPr>
          <w:rStyle w:val="FootnoteReference"/>
          <w:rFonts w:ascii="Calibri" w:hAnsi="Calibri" w:cs="Calibri"/>
          <w:sz w:val="22"/>
          <w:szCs w:val="22"/>
        </w:rPr>
        <w:footnoteReference w:id="3"/>
      </w:r>
      <w:r w:rsidRPr="00506A01">
        <w:rPr>
          <w:rFonts w:ascii="Calibri" w:hAnsi="Calibri" w:cs="Calibri"/>
          <w:b/>
          <w:sz w:val="22"/>
          <w:szCs w:val="22"/>
        </w:rPr>
        <w:t xml:space="preserve"> </w:t>
      </w:r>
      <w:r w:rsidRPr="00506A01">
        <w:rPr>
          <w:rFonts w:ascii="Calibri" w:hAnsi="Calibri" w:cs="Calibri"/>
          <w:sz w:val="22"/>
          <w:szCs w:val="22"/>
        </w:rPr>
        <w:t xml:space="preserve">is authority that, in matters such as this, regard can be had to the chronology of events. In a suitable case inferences may be drawn from such a chronology as to the cause of failure to serve a </w:t>
      </w:r>
      <w:r w:rsidR="00116814" w:rsidRPr="00506A01">
        <w:rPr>
          <w:rFonts w:ascii="Calibri" w:hAnsi="Calibri" w:cs="Calibri"/>
          <w:sz w:val="22"/>
          <w:szCs w:val="22"/>
        </w:rPr>
        <w:t>C</w:t>
      </w:r>
      <w:r w:rsidRPr="00506A01">
        <w:rPr>
          <w:rFonts w:ascii="Calibri" w:hAnsi="Calibri" w:cs="Calibri"/>
          <w:sz w:val="22"/>
          <w:szCs w:val="22"/>
        </w:rPr>
        <w:t xml:space="preserve">ivil </w:t>
      </w:r>
      <w:r w:rsidR="00116814" w:rsidRPr="00506A01">
        <w:rPr>
          <w:rFonts w:ascii="Calibri" w:hAnsi="Calibri" w:cs="Calibri"/>
          <w:sz w:val="22"/>
          <w:szCs w:val="22"/>
        </w:rPr>
        <w:t>B</w:t>
      </w:r>
      <w:r w:rsidRPr="00506A01">
        <w:rPr>
          <w:rFonts w:ascii="Calibri" w:hAnsi="Calibri" w:cs="Calibri"/>
          <w:sz w:val="22"/>
          <w:szCs w:val="22"/>
        </w:rPr>
        <w:t xml:space="preserve">ill and/or delay in seeking its renewal. However, I am also of the view, expressed in </w:t>
      </w:r>
      <w:r w:rsidRPr="00506A01">
        <w:rPr>
          <w:rFonts w:ascii="Calibri" w:hAnsi="Calibri" w:cs="Calibri"/>
          <w:i/>
          <w:sz w:val="22"/>
          <w:szCs w:val="22"/>
        </w:rPr>
        <w:t>Brennan and Sinnott,</w:t>
      </w:r>
      <w:r w:rsidRPr="00506A01">
        <w:rPr>
          <w:rFonts w:ascii="Calibri" w:hAnsi="Calibri" w:cs="Calibri"/>
          <w:sz w:val="22"/>
          <w:szCs w:val="22"/>
        </w:rPr>
        <w:t xml:space="preserve"> that there is a considerable benefit from a plaintiff’s point of view in such an application as this in not merely reciting the chronological sequence of events but in asserting and explaining explicitly how it is that those events have in fact (as opposed to merely potentially) caused failure to serve a </w:t>
      </w:r>
      <w:r w:rsidR="00116814" w:rsidRPr="00506A01">
        <w:rPr>
          <w:rFonts w:ascii="Calibri" w:hAnsi="Calibri" w:cs="Calibri"/>
          <w:sz w:val="22"/>
          <w:szCs w:val="22"/>
        </w:rPr>
        <w:t>C</w:t>
      </w:r>
      <w:r w:rsidRPr="00506A01">
        <w:rPr>
          <w:rFonts w:ascii="Calibri" w:hAnsi="Calibri" w:cs="Calibri"/>
          <w:sz w:val="22"/>
          <w:szCs w:val="22"/>
        </w:rPr>
        <w:t xml:space="preserve">ivil </w:t>
      </w:r>
      <w:r w:rsidR="00116814" w:rsidRPr="00506A01">
        <w:rPr>
          <w:rFonts w:ascii="Calibri" w:hAnsi="Calibri" w:cs="Calibri"/>
          <w:sz w:val="22"/>
          <w:szCs w:val="22"/>
        </w:rPr>
        <w:t>B</w:t>
      </w:r>
      <w:r w:rsidRPr="00506A01">
        <w:rPr>
          <w:rFonts w:ascii="Calibri" w:hAnsi="Calibri" w:cs="Calibri"/>
          <w:sz w:val="22"/>
          <w:szCs w:val="22"/>
        </w:rPr>
        <w:t xml:space="preserve">ill upon the defendant in question and/or delay in seeking its renewal and how such matters amount </w:t>
      </w:r>
      <w:r w:rsidR="00F56B63" w:rsidRPr="00506A01">
        <w:rPr>
          <w:rFonts w:ascii="Calibri" w:hAnsi="Calibri" w:cs="Calibri"/>
          <w:sz w:val="22"/>
          <w:szCs w:val="22"/>
        </w:rPr>
        <w:t xml:space="preserve">or contribute </w:t>
      </w:r>
      <w:r w:rsidRPr="00506A01">
        <w:rPr>
          <w:rFonts w:ascii="Calibri" w:hAnsi="Calibri" w:cs="Calibri"/>
          <w:sz w:val="22"/>
          <w:szCs w:val="22"/>
        </w:rPr>
        <w:t xml:space="preserve">to special circumstances and affect the balance of justice such that renewal of the </w:t>
      </w:r>
      <w:r w:rsidR="00116814" w:rsidRPr="00506A01">
        <w:rPr>
          <w:rFonts w:ascii="Calibri" w:hAnsi="Calibri" w:cs="Calibri"/>
          <w:sz w:val="22"/>
          <w:szCs w:val="22"/>
        </w:rPr>
        <w:t>C</w:t>
      </w:r>
      <w:r w:rsidRPr="00506A01">
        <w:rPr>
          <w:rFonts w:ascii="Calibri" w:hAnsi="Calibri" w:cs="Calibri"/>
          <w:sz w:val="22"/>
          <w:szCs w:val="22"/>
        </w:rPr>
        <w:t xml:space="preserve">ivil </w:t>
      </w:r>
      <w:r w:rsidR="00116814" w:rsidRPr="00506A01">
        <w:rPr>
          <w:rFonts w:ascii="Calibri" w:hAnsi="Calibri" w:cs="Calibri"/>
          <w:sz w:val="22"/>
          <w:szCs w:val="22"/>
        </w:rPr>
        <w:t>B</w:t>
      </w:r>
      <w:r w:rsidRPr="00506A01">
        <w:rPr>
          <w:rFonts w:ascii="Calibri" w:hAnsi="Calibri" w:cs="Calibri"/>
          <w:sz w:val="22"/>
          <w:szCs w:val="22"/>
        </w:rPr>
        <w:t xml:space="preserve">ill ought to be ordered. </w:t>
      </w:r>
    </w:p>
    <w:p w14:paraId="3278064A" w14:textId="70192CBA" w:rsidR="00F56B63" w:rsidRPr="00506A01" w:rsidRDefault="00F56B63" w:rsidP="00F56B63">
      <w:pPr>
        <w:pStyle w:val="ListParagraph"/>
        <w:spacing w:line="276" w:lineRule="auto"/>
        <w:ind w:left="0"/>
        <w:rPr>
          <w:rFonts w:ascii="Calibri" w:hAnsi="Calibri" w:cs="Calibri"/>
          <w:sz w:val="22"/>
          <w:szCs w:val="22"/>
        </w:rPr>
      </w:pPr>
    </w:p>
    <w:p w14:paraId="10D5C18D" w14:textId="77777777" w:rsidR="0035499D" w:rsidRPr="00506A01" w:rsidRDefault="0035499D" w:rsidP="00F56B63">
      <w:pPr>
        <w:pStyle w:val="ListParagraph"/>
        <w:spacing w:line="276" w:lineRule="auto"/>
        <w:ind w:left="0"/>
        <w:rPr>
          <w:rFonts w:ascii="Calibri" w:hAnsi="Calibri" w:cs="Calibri"/>
          <w:sz w:val="22"/>
          <w:szCs w:val="22"/>
        </w:rPr>
      </w:pPr>
    </w:p>
    <w:p w14:paraId="631CFFFC" w14:textId="707F16DA" w:rsidR="007153A6" w:rsidRPr="00506A01" w:rsidRDefault="007153A6" w:rsidP="00F56B63">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Suffice to say that in the present case, the affidavits sworn by the plaintiff do not shed </w:t>
      </w:r>
      <w:r w:rsidR="00F56B63" w:rsidRPr="00506A01">
        <w:rPr>
          <w:rFonts w:ascii="Calibri" w:hAnsi="Calibri" w:cs="Calibri"/>
          <w:sz w:val="22"/>
          <w:szCs w:val="22"/>
        </w:rPr>
        <w:t xml:space="preserve">any </w:t>
      </w:r>
      <w:r w:rsidRPr="00506A01">
        <w:rPr>
          <w:rFonts w:ascii="Calibri" w:hAnsi="Calibri" w:cs="Calibri"/>
          <w:sz w:val="22"/>
          <w:szCs w:val="22"/>
        </w:rPr>
        <w:t xml:space="preserve">light upon the decisions taken or attitudes adopted by or actual reasons for the Plaintiff’s deferral, to use a neutral word, of its application to renew this </w:t>
      </w:r>
      <w:r w:rsidR="00116814" w:rsidRPr="00506A01">
        <w:rPr>
          <w:rFonts w:ascii="Calibri" w:hAnsi="Calibri" w:cs="Calibri"/>
          <w:sz w:val="22"/>
          <w:szCs w:val="22"/>
        </w:rPr>
        <w:t>C</w:t>
      </w:r>
      <w:r w:rsidRPr="00506A01">
        <w:rPr>
          <w:rFonts w:ascii="Calibri" w:hAnsi="Calibri" w:cs="Calibri"/>
          <w:sz w:val="22"/>
          <w:szCs w:val="22"/>
        </w:rPr>
        <w:t xml:space="preserve">ivil </w:t>
      </w:r>
      <w:r w:rsidR="00116814" w:rsidRPr="00506A01">
        <w:rPr>
          <w:rFonts w:ascii="Calibri" w:hAnsi="Calibri" w:cs="Calibri"/>
          <w:sz w:val="22"/>
          <w:szCs w:val="22"/>
        </w:rPr>
        <w:t>B</w:t>
      </w:r>
      <w:r w:rsidRPr="00506A01">
        <w:rPr>
          <w:rFonts w:ascii="Calibri" w:hAnsi="Calibri" w:cs="Calibri"/>
          <w:sz w:val="22"/>
          <w:szCs w:val="22"/>
        </w:rPr>
        <w:t xml:space="preserve">ill. </w:t>
      </w:r>
    </w:p>
    <w:p w14:paraId="7FE3D987" w14:textId="77777777" w:rsidR="007153A6" w:rsidRPr="00506A01" w:rsidRDefault="007153A6" w:rsidP="00236C0F">
      <w:pPr>
        <w:pStyle w:val="ListParagraph"/>
        <w:spacing w:line="276" w:lineRule="auto"/>
        <w:ind w:left="0"/>
        <w:rPr>
          <w:rFonts w:ascii="Calibri" w:hAnsi="Calibri" w:cs="Calibri"/>
          <w:sz w:val="22"/>
          <w:szCs w:val="22"/>
        </w:rPr>
      </w:pPr>
    </w:p>
    <w:p w14:paraId="307F024D" w14:textId="77777777" w:rsidR="00236C0F" w:rsidRPr="00506A01" w:rsidRDefault="00236C0F" w:rsidP="00236C0F">
      <w:pPr>
        <w:pStyle w:val="ListParagraph"/>
        <w:spacing w:line="276" w:lineRule="auto"/>
        <w:ind w:left="0"/>
        <w:rPr>
          <w:rFonts w:ascii="Calibri" w:hAnsi="Calibri" w:cs="Calibri"/>
          <w:sz w:val="22"/>
          <w:szCs w:val="22"/>
        </w:rPr>
      </w:pPr>
    </w:p>
    <w:p w14:paraId="13881546" w14:textId="238910BD" w:rsidR="00F4676F" w:rsidRPr="00506A01" w:rsidRDefault="006E0CA8"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Counsel asserts that the first element </w:t>
      </w:r>
      <w:r w:rsidR="00F4676F" w:rsidRPr="00506A01">
        <w:rPr>
          <w:rFonts w:ascii="Calibri" w:hAnsi="Calibri" w:cs="Calibri"/>
          <w:sz w:val="22"/>
          <w:szCs w:val="22"/>
        </w:rPr>
        <w:t>of those</w:t>
      </w:r>
      <w:r w:rsidRPr="00506A01">
        <w:rPr>
          <w:rFonts w:ascii="Calibri" w:hAnsi="Calibri" w:cs="Calibri"/>
          <w:sz w:val="22"/>
          <w:szCs w:val="22"/>
        </w:rPr>
        <w:t xml:space="preserve"> special circumstances is that, in this case, </w:t>
      </w:r>
      <w:r w:rsidR="00F4676F" w:rsidRPr="00506A01">
        <w:rPr>
          <w:rFonts w:ascii="Calibri" w:hAnsi="Calibri" w:cs="Calibri"/>
          <w:sz w:val="22"/>
          <w:szCs w:val="22"/>
        </w:rPr>
        <w:t xml:space="preserve">the plaintiff </w:t>
      </w:r>
      <w:r w:rsidRPr="00506A01">
        <w:rPr>
          <w:rFonts w:ascii="Calibri" w:hAnsi="Calibri" w:cs="Calibri"/>
          <w:sz w:val="22"/>
          <w:szCs w:val="22"/>
        </w:rPr>
        <w:t xml:space="preserve">was justified </w:t>
      </w:r>
      <w:r w:rsidR="00F4676F" w:rsidRPr="00506A01">
        <w:rPr>
          <w:rFonts w:ascii="Calibri" w:hAnsi="Calibri" w:cs="Calibri"/>
          <w:sz w:val="22"/>
          <w:szCs w:val="22"/>
        </w:rPr>
        <w:t>in</w:t>
      </w:r>
      <w:r w:rsidRPr="00506A01">
        <w:rPr>
          <w:rFonts w:ascii="Calibri" w:hAnsi="Calibri" w:cs="Calibri"/>
          <w:sz w:val="22"/>
          <w:szCs w:val="22"/>
        </w:rPr>
        <w:t xml:space="preserve"> </w:t>
      </w:r>
      <w:r w:rsidR="00F56B63" w:rsidRPr="00506A01">
        <w:rPr>
          <w:rFonts w:ascii="Calibri" w:hAnsi="Calibri" w:cs="Calibri"/>
          <w:sz w:val="22"/>
          <w:szCs w:val="22"/>
        </w:rPr>
        <w:t>deferring</w:t>
      </w:r>
      <w:r w:rsidRPr="00506A01">
        <w:rPr>
          <w:rFonts w:ascii="Calibri" w:hAnsi="Calibri" w:cs="Calibri"/>
          <w:sz w:val="22"/>
          <w:szCs w:val="22"/>
        </w:rPr>
        <w:t xml:space="preserve"> seeking to renew the </w:t>
      </w:r>
      <w:r w:rsidR="00116814" w:rsidRPr="00506A01">
        <w:rPr>
          <w:rFonts w:ascii="Calibri" w:hAnsi="Calibri" w:cs="Calibri"/>
          <w:sz w:val="22"/>
          <w:szCs w:val="22"/>
        </w:rPr>
        <w:t>C</w:t>
      </w:r>
      <w:r w:rsidRPr="00506A01">
        <w:rPr>
          <w:rFonts w:ascii="Calibri" w:hAnsi="Calibri" w:cs="Calibri"/>
          <w:sz w:val="22"/>
          <w:szCs w:val="22"/>
        </w:rPr>
        <w:t xml:space="preserve">ivil </w:t>
      </w:r>
      <w:r w:rsidR="00116814" w:rsidRPr="00506A01">
        <w:rPr>
          <w:rFonts w:ascii="Calibri" w:hAnsi="Calibri" w:cs="Calibri"/>
          <w:sz w:val="22"/>
          <w:szCs w:val="22"/>
        </w:rPr>
        <w:t>B</w:t>
      </w:r>
      <w:r w:rsidRPr="00506A01">
        <w:rPr>
          <w:rFonts w:ascii="Calibri" w:hAnsi="Calibri" w:cs="Calibri"/>
          <w:sz w:val="22"/>
          <w:szCs w:val="22"/>
        </w:rPr>
        <w:t xml:space="preserve">ill </w:t>
      </w:r>
      <w:r w:rsidR="00F4676F" w:rsidRPr="00506A01">
        <w:rPr>
          <w:rFonts w:ascii="Calibri" w:hAnsi="Calibri" w:cs="Calibri"/>
          <w:sz w:val="22"/>
          <w:szCs w:val="22"/>
        </w:rPr>
        <w:t xml:space="preserve">for service on the second </w:t>
      </w:r>
      <w:r w:rsidR="007051D4" w:rsidRPr="00506A01">
        <w:rPr>
          <w:rFonts w:ascii="Calibri" w:hAnsi="Calibri" w:cs="Calibri"/>
          <w:sz w:val="22"/>
          <w:szCs w:val="22"/>
        </w:rPr>
        <w:t>d</w:t>
      </w:r>
      <w:r w:rsidR="00F4676F" w:rsidRPr="00506A01">
        <w:rPr>
          <w:rFonts w:ascii="Calibri" w:hAnsi="Calibri" w:cs="Calibri"/>
          <w:sz w:val="22"/>
          <w:szCs w:val="22"/>
        </w:rPr>
        <w:t>efendant while</w:t>
      </w:r>
      <w:r w:rsidRPr="00506A01">
        <w:rPr>
          <w:rFonts w:ascii="Calibri" w:hAnsi="Calibri" w:cs="Calibri"/>
          <w:sz w:val="22"/>
          <w:szCs w:val="22"/>
        </w:rPr>
        <w:t xml:space="preserve"> the plaintiff was engaging with the </w:t>
      </w:r>
      <w:bookmarkStart w:id="1" w:name="_Hlk96526180"/>
      <w:r w:rsidRPr="00506A01">
        <w:rPr>
          <w:rFonts w:ascii="Calibri" w:hAnsi="Calibri" w:cs="Calibri"/>
          <w:sz w:val="22"/>
          <w:szCs w:val="22"/>
        </w:rPr>
        <w:t>first</w:t>
      </w:r>
      <w:bookmarkEnd w:id="1"/>
      <w:r w:rsidRPr="00506A01">
        <w:rPr>
          <w:rFonts w:ascii="Calibri" w:hAnsi="Calibri" w:cs="Calibri"/>
          <w:sz w:val="22"/>
          <w:szCs w:val="22"/>
        </w:rPr>
        <w:t xml:space="preserve"> defendant. Th</w:t>
      </w:r>
      <w:r w:rsidR="00F4676F" w:rsidRPr="00506A01">
        <w:rPr>
          <w:rFonts w:ascii="Calibri" w:hAnsi="Calibri" w:cs="Calibri"/>
          <w:sz w:val="22"/>
          <w:szCs w:val="22"/>
        </w:rPr>
        <w:t>e</w:t>
      </w:r>
      <w:r w:rsidRPr="00506A01">
        <w:rPr>
          <w:rFonts w:ascii="Calibri" w:hAnsi="Calibri" w:cs="Calibri"/>
          <w:sz w:val="22"/>
          <w:szCs w:val="22"/>
        </w:rPr>
        <w:t xml:space="preserve"> </w:t>
      </w:r>
      <w:r w:rsidR="00F4676F" w:rsidRPr="00506A01">
        <w:rPr>
          <w:rFonts w:ascii="Calibri" w:hAnsi="Calibri" w:cs="Calibri"/>
          <w:sz w:val="22"/>
          <w:szCs w:val="22"/>
        </w:rPr>
        <w:t xml:space="preserve">second </w:t>
      </w:r>
      <w:r w:rsidRPr="00506A01">
        <w:rPr>
          <w:rFonts w:ascii="Calibri" w:hAnsi="Calibri" w:cs="Calibri"/>
          <w:sz w:val="22"/>
          <w:szCs w:val="22"/>
        </w:rPr>
        <w:t>defendant, it is said, no longer occup</w:t>
      </w:r>
      <w:r w:rsidR="00F4676F" w:rsidRPr="00506A01">
        <w:rPr>
          <w:rFonts w:ascii="Calibri" w:hAnsi="Calibri" w:cs="Calibri"/>
          <w:sz w:val="22"/>
          <w:szCs w:val="22"/>
        </w:rPr>
        <w:t xml:space="preserve">ied </w:t>
      </w:r>
      <w:r w:rsidRPr="00506A01">
        <w:rPr>
          <w:rFonts w:ascii="Calibri" w:hAnsi="Calibri" w:cs="Calibri"/>
          <w:sz w:val="22"/>
          <w:szCs w:val="22"/>
        </w:rPr>
        <w:t>the premises having moved out</w:t>
      </w:r>
      <w:r w:rsidR="00F4676F" w:rsidRPr="00506A01">
        <w:rPr>
          <w:rFonts w:ascii="Calibri" w:hAnsi="Calibri" w:cs="Calibri"/>
          <w:sz w:val="22"/>
          <w:szCs w:val="22"/>
        </w:rPr>
        <w:t xml:space="preserve"> in or</w:t>
      </w:r>
      <w:r w:rsidRPr="00506A01">
        <w:rPr>
          <w:rFonts w:ascii="Calibri" w:hAnsi="Calibri" w:cs="Calibri"/>
          <w:sz w:val="22"/>
          <w:szCs w:val="22"/>
        </w:rPr>
        <w:t xml:space="preserve"> about </w:t>
      </w:r>
      <w:r w:rsidR="00F4676F" w:rsidRPr="00506A01">
        <w:rPr>
          <w:rFonts w:ascii="Calibri" w:hAnsi="Calibri" w:cs="Calibri"/>
          <w:sz w:val="22"/>
          <w:szCs w:val="22"/>
        </w:rPr>
        <w:t>2008</w:t>
      </w:r>
      <w:r w:rsidR="007051D4" w:rsidRPr="00506A01">
        <w:rPr>
          <w:rFonts w:ascii="Calibri" w:hAnsi="Calibri" w:cs="Calibri"/>
          <w:sz w:val="22"/>
          <w:szCs w:val="22"/>
        </w:rPr>
        <w:t>,</w:t>
      </w:r>
      <w:r w:rsidRPr="00506A01">
        <w:rPr>
          <w:rFonts w:ascii="Calibri" w:hAnsi="Calibri" w:cs="Calibri"/>
          <w:sz w:val="22"/>
          <w:szCs w:val="22"/>
        </w:rPr>
        <w:t xml:space="preserve"> </w:t>
      </w:r>
      <w:r w:rsidR="00F4676F" w:rsidRPr="00506A01">
        <w:rPr>
          <w:rFonts w:ascii="Calibri" w:hAnsi="Calibri" w:cs="Calibri"/>
          <w:sz w:val="22"/>
          <w:szCs w:val="22"/>
        </w:rPr>
        <w:t>at least according to the first defendant</w:t>
      </w:r>
      <w:r w:rsidRPr="00506A01">
        <w:rPr>
          <w:rFonts w:ascii="Calibri" w:hAnsi="Calibri" w:cs="Calibri"/>
          <w:sz w:val="22"/>
          <w:szCs w:val="22"/>
        </w:rPr>
        <w:t xml:space="preserve">. However, it is notable that Mr. Lucey’s affidavit does not proffer this as an explanation for delay in seeking to renew the </w:t>
      </w:r>
      <w:r w:rsidR="00116814" w:rsidRPr="00506A01">
        <w:rPr>
          <w:rFonts w:ascii="Calibri" w:hAnsi="Calibri" w:cs="Calibri"/>
          <w:sz w:val="22"/>
          <w:szCs w:val="22"/>
        </w:rPr>
        <w:t>C</w:t>
      </w:r>
      <w:r w:rsidRPr="00506A01">
        <w:rPr>
          <w:rFonts w:ascii="Calibri" w:hAnsi="Calibri" w:cs="Calibri"/>
          <w:sz w:val="22"/>
          <w:szCs w:val="22"/>
        </w:rPr>
        <w:t xml:space="preserve">ivil </w:t>
      </w:r>
      <w:r w:rsidR="00116814" w:rsidRPr="00506A01">
        <w:rPr>
          <w:rFonts w:ascii="Calibri" w:hAnsi="Calibri" w:cs="Calibri"/>
          <w:sz w:val="22"/>
          <w:szCs w:val="22"/>
        </w:rPr>
        <w:t>B</w:t>
      </w:r>
      <w:r w:rsidRPr="00506A01">
        <w:rPr>
          <w:rFonts w:ascii="Calibri" w:hAnsi="Calibri" w:cs="Calibri"/>
          <w:sz w:val="22"/>
          <w:szCs w:val="22"/>
        </w:rPr>
        <w:t xml:space="preserve">ill and, indeed, </w:t>
      </w:r>
      <w:r w:rsidR="00F4676F" w:rsidRPr="00506A01">
        <w:rPr>
          <w:rFonts w:ascii="Calibri" w:hAnsi="Calibri" w:cs="Calibri"/>
          <w:sz w:val="22"/>
          <w:szCs w:val="22"/>
        </w:rPr>
        <w:t>he gives no</w:t>
      </w:r>
      <w:r w:rsidR="00C677E9" w:rsidRPr="00506A01">
        <w:rPr>
          <w:rFonts w:ascii="Calibri" w:hAnsi="Calibri" w:cs="Calibri"/>
          <w:sz w:val="22"/>
          <w:szCs w:val="22"/>
        </w:rPr>
        <w:t xml:space="preserve"> explanation as to why there was no attempt to renew the </w:t>
      </w:r>
      <w:r w:rsidR="00116814" w:rsidRPr="00506A01">
        <w:rPr>
          <w:rFonts w:ascii="Calibri" w:hAnsi="Calibri" w:cs="Calibri"/>
          <w:sz w:val="22"/>
          <w:szCs w:val="22"/>
        </w:rPr>
        <w:t>C</w:t>
      </w:r>
      <w:r w:rsidR="00C677E9" w:rsidRPr="00506A01">
        <w:rPr>
          <w:rFonts w:ascii="Calibri" w:hAnsi="Calibri" w:cs="Calibri"/>
          <w:sz w:val="22"/>
          <w:szCs w:val="22"/>
        </w:rPr>
        <w:t xml:space="preserve">ivil </w:t>
      </w:r>
      <w:r w:rsidR="00116814" w:rsidRPr="00506A01">
        <w:rPr>
          <w:rFonts w:ascii="Calibri" w:hAnsi="Calibri" w:cs="Calibri"/>
          <w:sz w:val="22"/>
          <w:szCs w:val="22"/>
        </w:rPr>
        <w:t>B</w:t>
      </w:r>
      <w:r w:rsidR="00C677E9" w:rsidRPr="00506A01">
        <w:rPr>
          <w:rFonts w:ascii="Calibri" w:hAnsi="Calibri" w:cs="Calibri"/>
          <w:sz w:val="22"/>
          <w:szCs w:val="22"/>
        </w:rPr>
        <w:t>ill prior to April, 2021</w:t>
      </w:r>
      <w:r w:rsidR="00F4676F" w:rsidRPr="00506A01">
        <w:rPr>
          <w:rFonts w:ascii="Calibri" w:hAnsi="Calibri" w:cs="Calibri"/>
          <w:sz w:val="22"/>
          <w:szCs w:val="22"/>
        </w:rPr>
        <w:t>, when an ex part</w:t>
      </w:r>
      <w:r w:rsidR="00BF0AE9" w:rsidRPr="00506A01">
        <w:rPr>
          <w:rFonts w:ascii="Calibri" w:hAnsi="Calibri" w:cs="Calibri"/>
          <w:sz w:val="22"/>
          <w:szCs w:val="22"/>
        </w:rPr>
        <w:t>e</w:t>
      </w:r>
      <w:r w:rsidR="00F4676F" w:rsidRPr="00506A01">
        <w:rPr>
          <w:rFonts w:ascii="Calibri" w:hAnsi="Calibri" w:cs="Calibri"/>
          <w:sz w:val="22"/>
          <w:szCs w:val="22"/>
        </w:rPr>
        <w:t xml:space="preserve"> docket issues to that end</w:t>
      </w:r>
      <w:r w:rsidR="00C677E9" w:rsidRPr="00506A01">
        <w:rPr>
          <w:rFonts w:ascii="Calibri" w:hAnsi="Calibri" w:cs="Calibri"/>
          <w:sz w:val="22"/>
          <w:szCs w:val="22"/>
        </w:rPr>
        <w:t xml:space="preserve">. </w:t>
      </w:r>
    </w:p>
    <w:p w14:paraId="66A4D4FA" w14:textId="77777777" w:rsidR="00F4676F" w:rsidRPr="00506A01" w:rsidRDefault="00F4676F" w:rsidP="00F4676F">
      <w:pPr>
        <w:pStyle w:val="ListParagraph"/>
        <w:spacing w:line="276" w:lineRule="auto"/>
        <w:ind w:left="0"/>
        <w:rPr>
          <w:rFonts w:ascii="Calibri" w:hAnsi="Calibri" w:cs="Calibri"/>
          <w:sz w:val="22"/>
          <w:szCs w:val="22"/>
        </w:rPr>
      </w:pPr>
    </w:p>
    <w:p w14:paraId="5C8B5DA6" w14:textId="77777777" w:rsidR="00F4676F" w:rsidRPr="00506A01" w:rsidRDefault="00F4676F" w:rsidP="00F4676F">
      <w:pPr>
        <w:pStyle w:val="ListParagraph"/>
        <w:spacing w:line="276" w:lineRule="auto"/>
        <w:ind w:left="0"/>
        <w:rPr>
          <w:rFonts w:ascii="Calibri" w:hAnsi="Calibri" w:cs="Calibri"/>
          <w:sz w:val="22"/>
          <w:szCs w:val="22"/>
        </w:rPr>
      </w:pPr>
    </w:p>
    <w:p w14:paraId="6994998C" w14:textId="408E1221" w:rsidR="00CB2DA6" w:rsidRPr="00506A01" w:rsidRDefault="00C677E9"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As to the issue of engagement with the </w:t>
      </w:r>
      <w:r w:rsidR="00F4676F" w:rsidRPr="00506A01">
        <w:rPr>
          <w:rFonts w:ascii="Calibri" w:hAnsi="Calibri" w:cs="Calibri"/>
          <w:sz w:val="22"/>
          <w:szCs w:val="22"/>
        </w:rPr>
        <w:t xml:space="preserve">first </w:t>
      </w:r>
      <w:r w:rsidRPr="00506A01">
        <w:rPr>
          <w:rFonts w:ascii="Calibri" w:hAnsi="Calibri" w:cs="Calibri"/>
          <w:sz w:val="22"/>
          <w:szCs w:val="22"/>
        </w:rPr>
        <w:t xml:space="preserve">defendant, all we know is that, in September, 2018, and again in March, 2019, the </w:t>
      </w:r>
      <w:r w:rsidR="00C061C6" w:rsidRPr="00506A01">
        <w:rPr>
          <w:rFonts w:ascii="Calibri" w:hAnsi="Calibri" w:cs="Calibri"/>
          <w:sz w:val="22"/>
          <w:szCs w:val="22"/>
        </w:rPr>
        <w:t>then-</w:t>
      </w:r>
      <w:r w:rsidRPr="00506A01">
        <w:rPr>
          <w:rFonts w:ascii="Calibri" w:hAnsi="Calibri" w:cs="Calibri"/>
          <w:sz w:val="22"/>
          <w:szCs w:val="22"/>
        </w:rPr>
        <w:t xml:space="preserve">plaintiff had the matter adjourned to permit the first defendant to process his Mortgage to Rent application. There is no suggestion in the papers by the plaintiff that this application was successful or remained current </w:t>
      </w:r>
      <w:r w:rsidR="00F4676F" w:rsidRPr="00506A01">
        <w:rPr>
          <w:rFonts w:ascii="Calibri" w:hAnsi="Calibri" w:cs="Calibri"/>
          <w:sz w:val="22"/>
          <w:szCs w:val="22"/>
        </w:rPr>
        <w:t xml:space="preserve">or live </w:t>
      </w:r>
      <w:r w:rsidR="00F56B63" w:rsidRPr="00506A01">
        <w:rPr>
          <w:rFonts w:ascii="Calibri" w:hAnsi="Calibri" w:cs="Calibri"/>
          <w:sz w:val="22"/>
          <w:szCs w:val="22"/>
        </w:rPr>
        <w:t xml:space="preserve">at any point </w:t>
      </w:r>
      <w:r w:rsidR="00F4676F" w:rsidRPr="00506A01">
        <w:rPr>
          <w:rFonts w:ascii="Calibri" w:hAnsi="Calibri" w:cs="Calibri"/>
          <w:sz w:val="22"/>
          <w:szCs w:val="22"/>
        </w:rPr>
        <w:t xml:space="preserve">thereafter </w:t>
      </w:r>
      <w:r w:rsidRPr="00506A01">
        <w:rPr>
          <w:rFonts w:ascii="Calibri" w:hAnsi="Calibri" w:cs="Calibri"/>
          <w:sz w:val="22"/>
          <w:szCs w:val="22"/>
        </w:rPr>
        <w:t>or is</w:t>
      </w:r>
      <w:r w:rsidR="00CB2DA6" w:rsidRPr="00506A01">
        <w:rPr>
          <w:rFonts w:ascii="Calibri" w:hAnsi="Calibri" w:cs="Calibri"/>
          <w:sz w:val="22"/>
          <w:szCs w:val="22"/>
        </w:rPr>
        <w:t xml:space="preserve"> or was</w:t>
      </w:r>
      <w:r w:rsidRPr="00506A01">
        <w:rPr>
          <w:rFonts w:ascii="Calibri" w:hAnsi="Calibri" w:cs="Calibri"/>
          <w:sz w:val="22"/>
          <w:szCs w:val="22"/>
        </w:rPr>
        <w:t xml:space="preserve"> likely to </w:t>
      </w:r>
      <w:r w:rsidR="00CB2DA6" w:rsidRPr="00506A01">
        <w:rPr>
          <w:rFonts w:ascii="Calibri" w:hAnsi="Calibri" w:cs="Calibri"/>
          <w:sz w:val="22"/>
          <w:szCs w:val="22"/>
        </w:rPr>
        <w:t>resolve</w:t>
      </w:r>
      <w:r w:rsidRPr="00506A01">
        <w:rPr>
          <w:rFonts w:ascii="Calibri" w:hAnsi="Calibri" w:cs="Calibri"/>
          <w:sz w:val="22"/>
          <w:szCs w:val="22"/>
        </w:rPr>
        <w:t xml:space="preserve"> the proceedings without the assistance, involvement or service of </w:t>
      </w:r>
      <w:r w:rsidR="009063A6" w:rsidRPr="00506A01">
        <w:rPr>
          <w:rFonts w:ascii="Calibri" w:hAnsi="Calibri" w:cs="Calibri"/>
          <w:sz w:val="22"/>
          <w:szCs w:val="22"/>
        </w:rPr>
        <w:t>the second defendant. Even if the proposition was generally acceptable, which I doubt, the facts available as to the engagement with the first defendant simply do not provide sufficient detail to explain significant perio</w:t>
      </w:r>
      <w:r w:rsidR="0056161E" w:rsidRPr="00506A01">
        <w:rPr>
          <w:rFonts w:ascii="Calibri" w:hAnsi="Calibri" w:cs="Calibri"/>
          <w:sz w:val="22"/>
          <w:szCs w:val="22"/>
        </w:rPr>
        <w:t xml:space="preserve">ds of the delay in this matter or </w:t>
      </w:r>
      <w:r w:rsidR="00CB2DA6" w:rsidRPr="00506A01">
        <w:rPr>
          <w:rFonts w:ascii="Calibri" w:hAnsi="Calibri" w:cs="Calibri"/>
          <w:sz w:val="22"/>
          <w:szCs w:val="22"/>
        </w:rPr>
        <w:t>even assert</w:t>
      </w:r>
      <w:r w:rsidR="0056161E" w:rsidRPr="00506A01">
        <w:rPr>
          <w:rFonts w:ascii="Calibri" w:hAnsi="Calibri" w:cs="Calibri"/>
          <w:sz w:val="22"/>
          <w:szCs w:val="22"/>
        </w:rPr>
        <w:t xml:space="preserve"> that a decision was made not to serve the second defendant while that engagement with the first defendant was proceeding. For the avoidance of doubt, there is no evidence of any such decision. </w:t>
      </w:r>
    </w:p>
    <w:p w14:paraId="255A4E69" w14:textId="147EE47E" w:rsidR="00C061C6" w:rsidRPr="00506A01" w:rsidRDefault="00C061C6" w:rsidP="00C061C6">
      <w:pPr>
        <w:pStyle w:val="ListParagraph"/>
        <w:spacing w:line="276" w:lineRule="auto"/>
        <w:ind w:left="0"/>
        <w:rPr>
          <w:rFonts w:ascii="Calibri" w:hAnsi="Calibri" w:cs="Calibri"/>
          <w:sz w:val="22"/>
          <w:szCs w:val="22"/>
        </w:rPr>
      </w:pPr>
    </w:p>
    <w:p w14:paraId="63108126" w14:textId="77777777" w:rsidR="00C061C6" w:rsidRPr="00506A01" w:rsidRDefault="00C061C6" w:rsidP="00C061C6">
      <w:pPr>
        <w:pStyle w:val="ListParagraph"/>
        <w:spacing w:line="276" w:lineRule="auto"/>
        <w:ind w:left="0"/>
        <w:rPr>
          <w:rFonts w:ascii="Calibri" w:hAnsi="Calibri" w:cs="Calibri"/>
          <w:sz w:val="22"/>
          <w:szCs w:val="22"/>
        </w:rPr>
      </w:pPr>
    </w:p>
    <w:p w14:paraId="48F02A28" w14:textId="1733CF6D" w:rsidR="00C061C6" w:rsidRPr="00506A01" w:rsidRDefault="00C061C6"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In short, and as to Permanent TSB’s role, there is no explanation for its not motioning the court to renew the Civil Bill from its expiry in early July 2018 to it assignment of the mortgage and </w:t>
      </w:r>
      <w:r w:rsidR="007051D4" w:rsidRPr="00506A01">
        <w:rPr>
          <w:rFonts w:ascii="Calibri" w:hAnsi="Calibri" w:cs="Calibri"/>
          <w:sz w:val="22"/>
          <w:szCs w:val="22"/>
        </w:rPr>
        <w:t>l</w:t>
      </w:r>
      <w:r w:rsidRPr="00506A01">
        <w:rPr>
          <w:rFonts w:ascii="Calibri" w:hAnsi="Calibri" w:cs="Calibri"/>
          <w:sz w:val="22"/>
          <w:szCs w:val="22"/>
        </w:rPr>
        <w:t xml:space="preserve">oan to </w:t>
      </w:r>
      <w:r w:rsidR="007051D4" w:rsidRPr="00506A01">
        <w:rPr>
          <w:rFonts w:ascii="Calibri" w:hAnsi="Calibri" w:cs="Calibri"/>
          <w:sz w:val="22"/>
          <w:szCs w:val="22"/>
        </w:rPr>
        <w:t>S</w:t>
      </w:r>
      <w:r w:rsidRPr="00506A01">
        <w:rPr>
          <w:rFonts w:ascii="Calibri" w:hAnsi="Calibri" w:cs="Calibri"/>
          <w:sz w:val="22"/>
          <w:szCs w:val="22"/>
        </w:rPr>
        <w:t>tart in February 2020. Start, as assignee, is responsible for that delay for present purposes.</w:t>
      </w:r>
    </w:p>
    <w:p w14:paraId="04D36D73" w14:textId="77777777" w:rsidR="00CB2DA6" w:rsidRPr="00506A01" w:rsidRDefault="00CB2DA6" w:rsidP="00CB2DA6">
      <w:pPr>
        <w:pStyle w:val="ListParagraph"/>
        <w:spacing w:line="276" w:lineRule="auto"/>
        <w:ind w:left="0"/>
        <w:rPr>
          <w:rFonts w:ascii="Calibri" w:hAnsi="Calibri" w:cs="Calibri"/>
          <w:sz w:val="22"/>
          <w:szCs w:val="22"/>
        </w:rPr>
      </w:pPr>
    </w:p>
    <w:p w14:paraId="3E1A833C" w14:textId="77777777" w:rsidR="00CB2DA6" w:rsidRPr="00506A01" w:rsidRDefault="00CB2DA6" w:rsidP="00CB2DA6">
      <w:pPr>
        <w:pStyle w:val="ListParagraph"/>
        <w:spacing w:line="276" w:lineRule="auto"/>
        <w:ind w:left="0"/>
        <w:rPr>
          <w:rFonts w:ascii="Calibri" w:hAnsi="Calibri" w:cs="Calibri"/>
          <w:sz w:val="22"/>
          <w:szCs w:val="22"/>
        </w:rPr>
      </w:pPr>
    </w:p>
    <w:p w14:paraId="1A295FF4" w14:textId="3704FA68" w:rsidR="00CB2DA6" w:rsidRPr="00506A01" w:rsidRDefault="0056161E"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In any event, I would have difficulty in regarding such negotiation and engagement as in any way a special circumstance having regard to the requirement that such circumstances be beyond the ordinary or the usual. Such engagement </w:t>
      </w:r>
      <w:r w:rsidR="00CB2DA6" w:rsidRPr="00506A01">
        <w:rPr>
          <w:rFonts w:ascii="Calibri" w:hAnsi="Calibri" w:cs="Calibri"/>
          <w:sz w:val="22"/>
          <w:szCs w:val="22"/>
        </w:rPr>
        <w:t>and</w:t>
      </w:r>
      <w:r w:rsidRPr="00506A01">
        <w:rPr>
          <w:rFonts w:ascii="Calibri" w:hAnsi="Calibri" w:cs="Calibri"/>
          <w:sz w:val="22"/>
          <w:szCs w:val="22"/>
        </w:rPr>
        <w:t xml:space="preserve"> negotiations are an entirely </w:t>
      </w:r>
      <w:r w:rsidR="00CB2DA6" w:rsidRPr="00506A01">
        <w:rPr>
          <w:rFonts w:ascii="Calibri" w:hAnsi="Calibri" w:cs="Calibri"/>
          <w:sz w:val="22"/>
          <w:szCs w:val="22"/>
        </w:rPr>
        <w:t>ordinary</w:t>
      </w:r>
      <w:r w:rsidRPr="00506A01">
        <w:rPr>
          <w:rFonts w:ascii="Calibri" w:hAnsi="Calibri" w:cs="Calibri"/>
          <w:sz w:val="22"/>
          <w:szCs w:val="22"/>
        </w:rPr>
        <w:t xml:space="preserve"> feature of proceedings and disputes on foot of mortgages. Indeed, to a greater</w:t>
      </w:r>
      <w:r w:rsidR="007051D4" w:rsidRPr="00506A01">
        <w:rPr>
          <w:rFonts w:ascii="Calibri" w:hAnsi="Calibri" w:cs="Calibri"/>
          <w:sz w:val="22"/>
          <w:szCs w:val="22"/>
        </w:rPr>
        <w:t xml:space="preserve"> or</w:t>
      </w:r>
      <w:r w:rsidRPr="00506A01">
        <w:rPr>
          <w:rFonts w:ascii="Calibri" w:hAnsi="Calibri" w:cs="Calibri"/>
          <w:sz w:val="22"/>
          <w:szCs w:val="22"/>
        </w:rPr>
        <w:t xml:space="preserve"> less</w:t>
      </w:r>
      <w:r w:rsidR="007051D4" w:rsidRPr="00506A01">
        <w:rPr>
          <w:rFonts w:ascii="Calibri" w:hAnsi="Calibri" w:cs="Calibri"/>
          <w:sz w:val="22"/>
          <w:szCs w:val="22"/>
        </w:rPr>
        <w:t>er</w:t>
      </w:r>
      <w:r w:rsidRPr="00506A01">
        <w:rPr>
          <w:rFonts w:ascii="Calibri" w:hAnsi="Calibri" w:cs="Calibri"/>
          <w:sz w:val="22"/>
          <w:szCs w:val="22"/>
        </w:rPr>
        <w:t xml:space="preserve"> degree, they are a requirement o</w:t>
      </w:r>
      <w:r w:rsidR="00CB2DA6" w:rsidRPr="00506A01">
        <w:rPr>
          <w:rFonts w:ascii="Calibri" w:hAnsi="Calibri" w:cs="Calibri"/>
          <w:sz w:val="22"/>
          <w:szCs w:val="22"/>
        </w:rPr>
        <w:t>f</w:t>
      </w:r>
      <w:r w:rsidRPr="00506A01">
        <w:rPr>
          <w:rFonts w:ascii="Calibri" w:hAnsi="Calibri" w:cs="Calibri"/>
          <w:sz w:val="22"/>
          <w:szCs w:val="22"/>
        </w:rPr>
        <w:t xml:space="preserve"> relevant code</w:t>
      </w:r>
      <w:r w:rsidR="00CB2DA6" w:rsidRPr="00506A01">
        <w:rPr>
          <w:rFonts w:ascii="Calibri" w:hAnsi="Calibri" w:cs="Calibri"/>
          <w:sz w:val="22"/>
          <w:szCs w:val="22"/>
        </w:rPr>
        <w:t>s</w:t>
      </w:r>
      <w:r w:rsidRPr="00506A01">
        <w:rPr>
          <w:rFonts w:ascii="Calibri" w:hAnsi="Calibri" w:cs="Calibri"/>
          <w:sz w:val="22"/>
          <w:szCs w:val="22"/>
        </w:rPr>
        <w:t xml:space="preserve"> of conduct. </w:t>
      </w:r>
    </w:p>
    <w:p w14:paraId="4052CE3C" w14:textId="77777777" w:rsidR="00CB2DA6" w:rsidRPr="00506A01" w:rsidRDefault="00CB2DA6" w:rsidP="00CB2DA6">
      <w:pPr>
        <w:pStyle w:val="ListParagraph"/>
        <w:spacing w:line="276" w:lineRule="auto"/>
        <w:ind w:left="0"/>
        <w:rPr>
          <w:rFonts w:ascii="Calibri" w:hAnsi="Calibri" w:cs="Calibri"/>
          <w:sz w:val="22"/>
          <w:szCs w:val="22"/>
        </w:rPr>
      </w:pPr>
    </w:p>
    <w:p w14:paraId="43BEAF49" w14:textId="77777777" w:rsidR="00CB2DA6" w:rsidRPr="00506A01" w:rsidRDefault="00CB2DA6" w:rsidP="00CB2DA6">
      <w:pPr>
        <w:pStyle w:val="ListParagraph"/>
        <w:spacing w:line="276" w:lineRule="auto"/>
        <w:ind w:left="0"/>
        <w:rPr>
          <w:rFonts w:ascii="Calibri" w:hAnsi="Calibri" w:cs="Calibri"/>
          <w:sz w:val="22"/>
          <w:szCs w:val="22"/>
        </w:rPr>
      </w:pPr>
    </w:p>
    <w:p w14:paraId="0557550C" w14:textId="2B9240AA" w:rsidR="00CB2DA6" w:rsidRPr="00506A01" w:rsidRDefault="0056161E"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A second suggested element of special circumstance is that, as an allegedly unusual feature of the proceedings, the County Registrar </w:t>
      </w:r>
      <w:r w:rsidR="00650EB0" w:rsidRPr="00506A01">
        <w:rPr>
          <w:rFonts w:ascii="Calibri" w:hAnsi="Calibri" w:cs="Calibri"/>
          <w:sz w:val="22"/>
          <w:szCs w:val="22"/>
        </w:rPr>
        <w:t xml:space="preserve">in this case granted adjournments to new return dates. Again, I do not see that any such orders could be termed beyond the ordinary or the usual, much less special circumstances. Indeed, it </w:t>
      </w:r>
      <w:r w:rsidR="001F3E59" w:rsidRPr="00506A01">
        <w:rPr>
          <w:rFonts w:ascii="Calibri" w:hAnsi="Calibri" w:cs="Calibri"/>
          <w:sz w:val="22"/>
          <w:szCs w:val="22"/>
        </w:rPr>
        <w:t xml:space="preserve">could be argued that giving a new return date as against the second defendant reflected precisely the necessity of service upon that defendant and, for that purpose, renewal of the </w:t>
      </w:r>
      <w:r w:rsidR="00116814" w:rsidRPr="00506A01">
        <w:rPr>
          <w:rFonts w:ascii="Calibri" w:hAnsi="Calibri" w:cs="Calibri"/>
          <w:sz w:val="22"/>
          <w:szCs w:val="22"/>
        </w:rPr>
        <w:t>C</w:t>
      </w:r>
      <w:r w:rsidR="001F3E59" w:rsidRPr="00506A01">
        <w:rPr>
          <w:rFonts w:ascii="Calibri" w:hAnsi="Calibri" w:cs="Calibri"/>
          <w:sz w:val="22"/>
          <w:szCs w:val="22"/>
        </w:rPr>
        <w:t xml:space="preserve">ivil </w:t>
      </w:r>
      <w:r w:rsidR="00116814" w:rsidRPr="00506A01">
        <w:rPr>
          <w:rFonts w:ascii="Calibri" w:hAnsi="Calibri" w:cs="Calibri"/>
          <w:sz w:val="22"/>
          <w:szCs w:val="22"/>
        </w:rPr>
        <w:t>B</w:t>
      </w:r>
      <w:r w:rsidR="001F3E59" w:rsidRPr="00506A01">
        <w:rPr>
          <w:rFonts w:ascii="Calibri" w:hAnsi="Calibri" w:cs="Calibri"/>
          <w:sz w:val="22"/>
          <w:szCs w:val="22"/>
        </w:rPr>
        <w:t>ill. Yet that opportunity after the County Registrar’s hearing on 16</w:t>
      </w:r>
      <w:r w:rsidR="001F3E59" w:rsidRPr="00506A01">
        <w:rPr>
          <w:rFonts w:ascii="Calibri" w:hAnsi="Calibri" w:cs="Calibri"/>
          <w:sz w:val="22"/>
          <w:szCs w:val="22"/>
          <w:vertAlign w:val="superscript"/>
        </w:rPr>
        <w:t>th</w:t>
      </w:r>
      <w:r w:rsidR="001F3E59" w:rsidRPr="00506A01">
        <w:rPr>
          <w:rFonts w:ascii="Calibri" w:hAnsi="Calibri" w:cs="Calibri"/>
          <w:sz w:val="22"/>
          <w:szCs w:val="22"/>
        </w:rPr>
        <w:t xml:space="preserve"> October, 2020 was not taken prior to the new return date of 22</w:t>
      </w:r>
      <w:r w:rsidR="001F3E59" w:rsidRPr="00506A01">
        <w:rPr>
          <w:rFonts w:ascii="Calibri" w:hAnsi="Calibri" w:cs="Calibri"/>
          <w:sz w:val="22"/>
          <w:szCs w:val="22"/>
          <w:vertAlign w:val="superscript"/>
        </w:rPr>
        <w:t>nd</w:t>
      </w:r>
      <w:r w:rsidR="001F3E59" w:rsidRPr="00506A01">
        <w:rPr>
          <w:rFonts w:ascii="Calibri" w:hAnsi="Calibri" w:cs="Calibri"/>
          <w:sz w:val="22"/>
          <w:szCs w:val="22"/>
        </w:rPr>
        <w:t xml:space="preserve"> March, 2021. </w:t>
      </w:r>
      <w:r w:rsidR="00CB2DA6" w:rsidRPr="00506A01">
        <w:rPr>
          <w:rFonts w:ascii="Calibri" w:hAnsi="Calibri" w:cs="Calibri"/>
          <w:sz w:val="22"/>
          <w:szCs w:val="22"/>
        </w:rPr>
        <w:t xml:space="preserve">Perhaps that was for good reason – but I am not so informed. </w:t>
      </w:r>
    </w:p>
    <w:p w14:paraId="02665274" w14:textId="77777777" w:rsidR="00CB2DA6" w:rsidRPr="00506A01" w:rsidRDefault="00CB2DA6" w:rsidP="00CB2DA6">
      <w:pPr>
        <w:pStyle w:val="ListParagraph"/>
        <w:spacing w:line="276" w:lineRule="auto"/>
        <w:ind w:left="0"/>
        <w:rPr>
          <w:rFonts w:ascii="Calibri" w:hAnsi="Calibri" w:cs="Calibri"/>
          <w:sz w:val="22"/>
          <w:szCs w:val="22"/>
        </w:rPr>
      </w:pPr>
    </w:p>
    <w:p w14:paraId="2A75DC3F" w14:textId="77777777" w:rsidR="00CB2DA6" w:rsidRPr="00506A01" w:rsidRDefault="00CB2DA6" w:rsidP="00CB2DA6">
      <w:pPr>
        <w:pStyle w:val="ListParagraph"/>
        <w:spacing w:line="276" w:lineRule="auto"/>
        <w:ind w:left="0"/>
        <w:rPr>
          <w:rFonts w:ascii="Calibri" w:hAnsi="Calibri" w:cs="Calibri"/>
          <w:sz w:val="22"/>
          <w:szCs w:val="22"/>
        </w:rPr>
      </w:pPr>
    </w:p>
    <w:p w14:paraId="068F27E5" w14:textId="535A3FEE" w:rsidR="00F40281" w:rsidRPr="00506A01" w:rsidRDefault="001F3E59"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lastRenderedPageBreak/>
        <w:t xml:space="preserve">The plaintiff also argued that, in the event it moves against the first defendant only for possession, the first defendant will rightly argue that there is little point in evicting him from his residence for as long as no relief has been obtained against the second defendant. I do not need at this point to decide </w:t>
      </w:r>
      <w:r w:rsidR="00E0338D" w:rsidRPr="00506A01">
        <w:rPr>
          <w:rFonts w:ascii="Calibri" w:hAnsi="Calibri" w:cs="Calibri"/>
          <w:sz w:val="22"/>
          <w:szCs w:val="22"/>
        </w:rPr>
        <w:t xml:space="preserve">the question whether such an argument would or might succeed in a context in which it may be that the second defendant has not resided in the property for close to a decade and a half. Undoubtedly, that could be a factor in a balance of justice or injustice by way of being a hardship to the plaintiff but, if so, it is a prejudice which proceeds precisely from the plaintiff’s failure over some years to regularise </w:t>
      </w:r>
      <w:r w:rsidR="00CB2DA6" w:rsidRPr="00506A01">
        <w:rPr>
          <w:rFonts w:ascii="Calibri" w:hAnsi="Calibri" w:cs="Calibri"/>
          <w:sz w:val="22"/>
          <w:szCs w:val="22"/>
        </w:rPr>
        <w:t>its</w:t>
      </w:r>
      <w:r w:rsidR="00E0338D" w:rsidRPr="00506A01">
        <w:rPr>
          <w:rFonts w:ascii="Calibri" w:hAnsi="Calibri" w:cs="Calibri"/>
          <w:sz w:val="22"/>
          <w:szCs w:val="22"/>
        </w:rPr>
        <w:t xml:space="preserve"> position as to service upon the second defendant. I do not think that any such prejudice or hardship to the plaintiff weighs heavily in </w:t>
      </w:r>
      <w:r w:rsidR="00767701" w:rsidRPr="00506A01">
        <w:rPr>
          <w:rFonts w:ascii="Calibri" w:hAnsi="Calibri" w:cs="Calibri"/>
          <w:sz w:val="22"/>
          <w:szCs w:val="22"/>
        </w:rPr>
        <w:t xml:space="preserve">the </w:t>
      </w:r>
      <w:r w:rsidR="00E0338D" w:rsidRPr="00506A01">
        <w:rPr>
          <w:rFonts w:ascii="Calibri" w:hAnsi="Calibri" w:cs="Calibri"/>
          <w:sz w:val="22"/>
          <w:szCs w:val="22"/>
        </w:rPr>
        <w:t>balance of justice.</w:t>
      </w:r>
      <w:r w:rsidR="00CB2DA6" w:rsidRPr="00506A01">
        <w:rPr>
          <w:rFonts w:ascii="Calibri" w:hAnsi="Calibri" w:cs="Calibri"/>
          <w:sz w:val="22"/>
          <w:szCs w:val="22"/>
        </w:rPr>
        <w:t xml:space="preserve"> And, as Hyland J said in </w:t>
      </w:r>
      <w:r w:rsidR="00CB2DA6" w:rsidRPr="00506A01">
        <w:rPr>
          <w:rFonts w:ascii="Calibri" w:hAnsi="Calibri" w:cs="Calibri"/>
          <w:b/>
          <w:sz w:val="22"/>
          <w:szCs w:val="22"/>
        </w:rPr>
        <w:t>Brady v Byrne</w:t>
      </w:r>
      <w:r w:rsidR="00CB2DA6" w:rsidRPr="00506A01">
        <w:rPr>
          <w:rStyle w:val="FootnoteReference"/>
          <w:rFonts w:ascii="Calibri" w:hAnsi="Calibri" w:cs="Calibri"/>
          <w:sz w:val="22"/>
          <w:szCs w:val="22"/>
        </w:rPr>
        <w:footnoteReference w:id="4"/>
      </w:r>
      <w:r w:rsidR="00CB2DA6" w:rsidRPr="00506A01">
        <w:rPr>
          <w:rFonts w:ascii="Calibri" w:hAnsi="Calibri" w:cs="Calibri"/>
          <w:sz w:val="22"/>
          <w:szCs w:val="22"/>
        </w:rPr>
        <w:t xml:space="preserve"> “</w:t>
      </w:r>
      <w:r w:rsidR="00CB2DA6" w:rsidRPr="00506A01">
        <w:rPr>
          <w:rFonts w:ascii="Calibri" w:hAnsi="Calibri" w:cs="Calibri"/>
          <w:i/>
          <w:sz w:val="22"/>
          <w:szCs w:val="22"/>
        </w:rPr>
        <w:t>Hardship or prejudice to a plaintiff alone cannot in my view amount to special circumstances.”</w:t>
      </w:r>
    </w:p>
    <w:p w14:paraId="3CFA3FDA" w14:textId="77777777" w:rsidR="00CB2DA6" w:rsidRPr="00506A01" w:rsidRDefault="00CB2DA6" w:rsidP="00CB2DA6">
      <w:pPr>
        <w:pStyle w:val="ListParagraph"/>
        <w:spacing w:line="276" w:lineRule="auto"/>
        <w:ind w:left="0"/>
        <w:rPr>
          <w:rFonts w:ascii="Calibri" w:hAnsi="Calibri" w:cs="Calibri"/>
          <w:sz w:val="22"/>
          <w:szCs w:val="22"/>
        </w:rPr>
      </w:pPr>
    </w:p>
    <w:p w14:paraId="677068DB" w14:textId="77777777" w:rsidR="00CB2DA6" w:rsidRPr="00506A01" w:rsidRDefault="00CB2DA6" w:rsidP="00CB2DA6">
      <w:pPr>
        <w:pStyle w:val="ListParagraph"/>
        <w:spacing w:line="276" w:lineRule="auto"/>
        <w:ind w:left="0"/>
        <w:rPr>
          <w:rFonts w:ascii="Calibri" w:hAnsi="Calibri" w:cs="Calibri"/>
          <w:sz w:val="22"/>
          <w:szCs w:val="22"/>
        </w:rPr>
      </w:pPr>
    </w:p>
    <w:p w14:paraId="5E739184" w14:textId="40C34B55" w:rsidR="00F50433" w:rsidRPr="00506A01" w:rsidRDefault="00F50433" w:rsidP="0034569C">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For the avoidance of doubt, I should say that, in my view, the fact of an assignment of the mortgage and of new solicitors coming on record for the plaintiff either on foot of or in contemplation of that assignment are, as the summary judgment lists amply testify, entirely ordinary events which might allow for a relatively brief hiatus in the progress of the proceedings but which do not, of themselves, amount to </w:t>
      </w:r>
      <w:r w:rsidR="00CB2DA6" w:rsidRPr="00506A01">
        <w:rPr>
          <w:rFonts w:ascii="Calibri" w:hAnsi="Calibri" w:cs="Calibri"/>
          <w:sz w:val="22"/>
          <w:szCs w:val="22"/>
        </w:rPr>
        <w:t xml:space="preserve">special circumstances </w:t>
      </w:r>
      <w:r w:rsidRPr="00506A01">
        <w:rPr>
          <w:rFonts w:ascii="Calibri" w:hAnsi="Calibri" w:cs="Calibri"/>
          <w:sz w:val="22"/>
          <w:szCs w:val="22"/>
        </w:rPr>
        <w:t xml:space="preserve">and, in any event, contribute </w:t>
      </w:r>
      <w:r w:rsidR="00CB2DA6" w:rsidRPr="00506A01">
        <w:rPr>
          <w:rFonts w:ascii="Calibri" w:hAnsi="Calibri" w:cs="Calibri"/>
          <w:sz w:val="22"/>
          <w:szCs w:val="22"/>
        </w:rPr>
        <w:t xml:space="preserve">little weight </w:t>
      </w:r>
      <w:r w:rsidRPr="00506A01">
        <w:rPr>
          <w:rFonts w:ascii="Calibri" w:hAnsi="Calibri" w:cs="Calibri"/>
          <w:sz w:val="22"/>
          <w:szCs w:val="22"/>
        </w:rPr>
        <w:t xml:space="preserve">to </w:t>
      </w:r>
      <w:r w:rsidR="00CB2DA6" w:rsidRPr="00506A01">
        <w:rPr>
          <w:rFonts w:ascii="Calibri" w:hAnsi="Calibri" w:cs="Calibri"/>
          <w:sz w:val="22"/>
          <w:szCs w:val="22"/>
        </w:rPr>
        <w:t>the balance of justice.</w:t>
      </w:r>
    </w:p>
    <w:p w14:paraId="12A26DBE" w14:textId="77777777" w:rsidR="00CB2DA6" w:rsidRPr="00506A01" w:rsidRDefault="00CB2DA6" w:rsidP="00CB2DA6">
      <w:pPr>
        <w:pStyle w:val="ListParagraph"/>
        <w:spacing w:line="276" w:lineRule="auto"/>
        <w:ind w:left="0"/>
        <w:rPr>
          <w:rFonts w:ascii="Calibri" w:hAnsi="Calibri" w:cs="Calibri"/>
          <w:sz w:val="22"/>
          <w:szCs w:val="22"/>
        </w:rPr>
      </w:pPr>
    </w:p>
    <w:p w14:paraId="7C58BE01" w14:textId="77777777" w:rsidR="00CB2DA6" w:rsidRPr="00506A01" w:rsidRDefault="00CB2DA6" w:rsidP="00CB2DA6">
      <w:pPr>
        <w:pStyle w:val="ListParagraph"/>
        <w:spacing w:line="276" w:lineRule="auto"/>
        <w:ind w:left="0"/>
        <w:rPr>
          <w:rFonts w:ascii="Calibri" w:hAnsi="Calibri" w:cs="Calibri"/>
          <w:sz w:val="22"/>
          <w:szCs w:val="22"/>
        </w:rPr>
      </w:pPr>
    </w:p>
    <w:p w14:paraId="737E1E1A" w14:textId="451732DE" w:rsidR="00521910" w:rsidRPr="00506A01" w:rsidRDefault="00F50433" w:rsidP="00E916F5">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Counsel for the </w:t>
      </w:r>
      <w:r w:rsidR="007051D4" w:rsidRPr="00506A01">
        <w:rPr>
          <w:rFonts w:ascii="Calibri" w:hAnsi="Calibri" w:cs="Calibri"/>
          <w:sz w:val="22"/>
          <w:szCs w:val="22"/>
        </w:rPr>
        <w:t>p</w:t>
      </w:r>
      <w:r w:rsidR="00521910" w:rsidRPr="00506A01">
        <w:rPr>
          <w:rFonts w:ascii="Calibri" w:hAnsi="Calibri" w:cs="Calibri"/>
          <w:sz w:val="22"/>
          <w:szCs w:val="22"/>
        </w:rPr>
        <w:t>laintiff</w:t>
      </w:r>
      <w:r w:rsidRPr="00506A01">
        <w:rPr>
          <w:rFonts w:ascii="Calibri" w:hAnsi="Calibri" w:cs="Calibri"/>
          <w:sz w:val="22"/>
          <w:szCs w:val="22"/>
        </w:rPr>
        <w:t xml:space="preserve"> </w:t>
      </w:r>
      <w:r w:rsidR="00521910" w:rsidRPr="00506A01">
        <w:rPr>
          <w:rFonts w:ascii="Calibri" w:hAnsi="Calibri" w:cs="Calibri"/>
          <w:sz w:val="22"/>
          <w:szCs w:val="22"/>
        </w:rPr>
        <w:t>argues</w:t>
      </w:r>
      <w:r w:rsidRPr="00506A01">
        <w:rPr>
          <w:rFonts w:ascii="Calibri" w:hAnsi="Calibri" w:cs="Calibri"/>
          <w:sz w:val="22"/>
          <w:szCs w:val="22"/>
        </w:rPr>
        <w:t xml:space="preserve"> that only on service of </w:t>
      </w:r>
      <w:r w:rsidR="00BF0AE9" w:rsidRPr="00506A01">
        <w:rPr>
          <w:rFonts w:ascii="Calibri" w:hAnsi="Calibri" w:cs="Calibri"/>
          <w:sz w:val="22"/>
          <w:szCs w:val="22"/>
        </w:rPr>
        <w:t xml:space="preserve">the </w:t>
      </w:r>
      <w:r w:rsidR="00B549BD" w:rsidRPr="00506A01">
        <w:rPr>
          <w:rFonts w:ascii="Calibri" w:hAnsi="Calibri" w:cs="Calibri"/>
          <w:sz w:val="22"/>
          <w:szCs w:val="22"/>
        </w:rPr>
        <w:t xml:space="preserve">substitution </w:t>
      </w:r>
      <w:r w:rsidR="00BF0AE9" w:rsidRPr="00506A01">
        <w:rPr>
          <w:rFonts w:ascii="Calibri" w:hAnsi="Calibri" w:cs="Calibri"/>
          <w:sz w:val="22"/>
          <w:szCs w:val="22"/>
        </w:rPr>
        <w:t>order of 16</w:t>
      </w:r>
      <w:r w:rsidR="00BF0AE9" w:rsidRPr="00506A01">
        <w:rPr>
          <w:rFonts w:ascii="Calibri" w:hAnsi="Calibri" w:cs="Calibri"/>
          <w:sz w:val="22"/>
          <w:szCs w:val="22"/>
          <w:vertAlign w:val="superscript"/>
        </w:rPr>
        <w:t>th</w:t>
      </w:r>
      <w:r w:rsidR="00BF0AE9" w:rsidRPr="00506A01">
        <w:rPr>
          <w:rFonts w:ascii="Calibri" w:hAnsi="Calibri" w:cs="Calibri"/>
          <w:sz w:val="22"/>
          <w:szCs w:val="22"/>
        </w:rPr>
        <w:t xml:space="preserve"> October, 2020 </w:t>
      </w:r>
      <w:r w:rsidRPr="00506A01">
        <w:rPr>
          <w:rFonts w:ascii="Calibri" w:hAnsi="Calibri" w:cs="Calibri"/>
          <w:sz w:val="22"/>
          <w:szCs w:val="22"/>
        </w:rPr>
        <w:t xml:space="preserve">on the first defendant and by virtue of </w:t>
      </w:r>
      <w:r w:rsidR="00B549BD" w:rsidRPr="00506A01">
        <w:rPr>
          <w:rFonts w:ascii="Calibri" w:hAnsi="Calibri" w:cs="Calibri"/>
          <w:sz w:val="22"/>
          <w:szCs w:val="22"/>
        </w:rPr>
        <w:t xml:space="preserve">Order 22, rule 5 </w:t>
      </w:r>
      <w:r w:rsidRPr="00506A01">
        <w:rPr>
          <w:rFonts w:ascii="Calibri" w:hAnsi="Calibri" w:cs="Calibri"/>
          <w:sz w:val="22"/>
          <w:szCs w:val="22"/>
        </w:rPr>
        <w:t>of the Circuit Court Rules, was the order of 16</w:t>
      </w:r>
      <w:r w:rsidRPr="00506A01">
        <w:rPr>
          <w:rFonts w:ascii="Calibri" w:hAnsi="Calibri" w:cs="Calibri"/>
          <w:sz w:val="22"/>
          <w:szCs w:val="22"/>
          <w:vertAlign w:val="superscript"/>
        </w:rPr>
        <w:t>th</w:t>
      </w:r>
      <w:r w:rsidRPr="00506A01">
        <w:rPr>
          <w:rFonts w:ascii="Calibri" w:hAnsi="Calibri" w:cs="Calibri"/>
          <w:sz w:val="22"/>
          <w:szCs w:val="22"/>
        </w:rPr>
        <w:t xml:space="preserve"> October, 2020 effective</w:t>
      </w:r>
      <w:r w:rsidR="00B549BD" w:rsidRPr="00506A01">
        <w:rPr>
          <w:rFonts w:ascii="Calibri" w:hAnsi="Calibri" w:cs="Calibri"/>
          <w:sz w:val="22"/>
          <w:szCs w:val="22"/>
        </w:rPr>
        <w:t xml:space="preserve"> such as to allow Start Mortgages to move to renew the Civil Bill</w:t>
      </w:r>
      <w:r w:rsidRPr="00506A01">
        <w:rPr>
          <w:rFonts w:ascii="Calibri" w:hAnsi="Calibri" w:cs="Calibri"/>
          <w:sz w:val="22"/>
          <w:szCs w:val="22"/>
        </w:rPr>
        <w:t>. O</w:t>
      </w:r>
      <w:r w:rsidR="00B549BD" w:rsidRPr="00506A01">
        <w:rPr>
          <w:rFonts w:ascii="Calibri" w:hAnsi="Calibri" w:cs="Calibri"/>
          <w:sz w:val="22"/>
          <w:szCs w:val="22"/>
        </w:rPr>
        <w:t>.</w:t>
      </w:r>
      <w:r w:rsidRPr="00506A01">
        <w:rPr>
          <w:rFonts w:ascii="Calibri" w:hAnsi="Calibri" w:cs="Calibri"/>
          <w:sz w:val="22"/>
          <w:szCs w:val="22"/>
        </w:rPr>
        <w:t xml:space="preserve">22 </w:t>
      </w:r>
      <w:r w:rsidR="00B549BD" w:rsidRPr="00506A01">
        <w:rPr>
          <w:rFonts w:ascii="Calibri" w:hAnsi="Calibri" w:cs="Calibri"/>
          <w:sz w:val="22"/>
          <w:szCs w:val="22"/>
        </w:rPr>
        <w:t>R.</w:t>
      </w:r>
      <w:r w:rsidRPr="00506A01">
        <w:rPr>
          <w:rFonts w:ascii="Calibri" w:hAnsi="Calibri" w:cs="Calibri"/>
          <w:sz w:val="22"/>
          <w:szCs w:val="22"/>
        </w:rPr>
        <w:t xml:space="preserve">5 provides, </w:t>
      </w:r>
      <w:r w:rsidRPr="00506A01">
        <w:rPr>
          <w:rFonts w:ascii="Calibri" w:hAnsi="Calibri" w:cs="Calibri"/>
          <w:i/>
          <w:sz w:val="22"/>
          <w:szCs w:val="22"/>
        </w:rPr>
        <w:t>inter alia</w:t>
      </w:r>
      <w:r w:rsidRPr="00506A01">
        <w:rPr>
          <w:rFonts w:ascii="Calibri" w:hAnsi="Calibri" w:cs="Calibri"/>
          <w:sz w:val="22"/>
          <w:szCs w:val="22"/>
        </w:rPr>
        <w:t xml:space="preserve">, that </w:t>
      </w:r>
      <w:r w:rsidR="00521910" w:rsidRPr="00506A01">
        <w:rPr>
          <w:rFonts w:ascii="Calibri" w:hAnsi="Calibri" w:cs="Calibri"/>
          <w:sz w:val="22"/>
          <w:szCs w:val="22"/>
        </w:rPr>
        <w:t xml:space="preserve">an order substituting a new plaintiff </w:t>
      </w:r>
      <w:r w:rsidR="00B549BD" w:rsidRPr="00506A01">
        <w:rPr>
          <w:rFonts w:ascii="Calibri" w:hAnsi="Calibri" w:cs="Calibri"/>
          <w:sz w:val="22"/>
          <w:szCs w:val="22"/>
        </w:rPr>
        <w:t xml:space="preserve">shall be binding on a party served </w:t>
      </w:r>
      <w:r w:rsidRPr="00506A01">
        <w:rPr>
          <w:rFonts w:ascii="Calibri" w:hAnsi="Calibri" w:cs="Calibri"/>
          <w:sz w:val="22"/>
          <w:szCs w:val="22"/>
        </w:rPr>
        <w:t>from the time of service</w:t>
      </w:r>
      <w:r w:rsidR="00B549BD" w:rsidRPr="00506A01">
        <w:rPr>
          <w:rFonts w:ascii="Calibri" w:hAnsi="Calibri" w:cs="Calibri"/>
          <w:sz w:val="22"/>
          <w:szCs w:val="22"/>
        </w:rPr>
        <w:t xml:space="preserve"> of a copy of the order</w:t>
      </w:r>
      <w:r w:rsidRPr="00506A01">
        <w:rPr>
          <w:rFonts w:ascii="Calibri" w:hAnsi="Calibri" w:cs="Calibri"/>
          <w:sz w:val="22"/>
          <w:szCs w:val="22"/>
        </w:rPr>
        <w:t xml:space="preserve">. However, it says nothing as to the effectiveness of such an order </w:t>
      </w:r>
      <w:r w:rsidR="00142E62" w:rsidRPr="00506A01">
        <w:rPr>
          <w:rFonts w:ascii="Calibri" w:hAnsi="Calibri" w:cs="Calibri"/>
          <w:sz w:val="22"/>
          <w:szCs w:val="22"/>
        </w:rPr>
        <w:t xml:space="preserve">as it relates to a party as yet not served </w:t>
      </w:r>
      <w:r w:rsidR="00521910" w:rsidRPr="00506A01">
        <w:rPr>
          <w:rFonts w:ascii="Calibri" w:hAnsi="Calibri" w:cs="Calibri"/>
          <w:sz w:val="22"/>
          <w:szCs w:val="22"/>
        </w:rPr>
        <w:t>with the proceedings themselves -</w:t>
      </w:r>
      <w:r w:rsidR="00142E62" w:rsidRPr="00506A01">
        <w:rPr>
          <w:rFonts w:ascii="Calibri" w:hAnsi="Calibri" w:cs="Calibri"/>
          <w:sz w:val="22"/>
          <w:szCs w:val="22"/>
        </w:rPr>
        <w:t xml:space="preserve"> much less a party in respect of whom the </w:t>
      </w:r>
      <w:r w:rsidR="00116814" w:rsidRPr="00506A01">
        <w:rPr>
          <w:rFonts w:ascii="Calibri" w:hAnsi="Calibri" w:cs="Calibri"/>
          <w:sz w:val="22"/>
          <w:szCs w:val="22"/>
        </w:rPr>
        <w:t>C</w:t>
      </w:r>
      <w:r w:rsidR="00142E62" w:rsidRPr="00506A01">
        <w:rPr>
          <w:rFonts w:ascii="Calibri" w:hAnsi="Calibri" w:cs="Calibri"/>
          <w:sz w:val="22"/>
          <w:szCs w:val="22"/>
        </w:rPr>
        <w:t xml:space="preserve">ivil </w:t>
      </w:r>
      <w:r w:rsidR="00116814" w:rsidRPr="00506A01">
        <w:rPr>
          <w:rFonts w:ascii="Calibri" w:hAnsi="Calibri" w:cs="Calibri"/>
          <w:sz w:val="22"/>
          <w:szCs w:val="22"/>
        </w:rPr>
        <w:t>B</w:t>
      </w:r>
      <w:r w:rsidR="00142E62" w:rsidRPr="00506A01">
        <w:rPr>
          <w:rFonts w:ascii="Calibri" w:hAnsi="Calibri" w:cs="Calibri"/>
          <w:sz w:val="22"/>
          <w:szCs w:val="22"/>
        </w:rPr>
        <w:t xml:space="preserve">ill has already expired. Accordingly, and to the extent that it might be of any significance, it is not at all clear to me that the plaintiff was disabled from seeking renewal of the </w:t>
      </w:r>
      <w:r w:rsidR="00116814" w:rsidRPr="00506A01">
        <w:rPr>
          <w:rFonts w:ascii="Calibri" w:hAnsi="Calibri" w:cs="Calibri"/>
          <w:sz w:val="22"/>
          <w:szCs w:val="22"/>
        </w:rPr>
        <w:t>C</w:t>
      </w:r>
      <w:r w:rsidR="00142E62" w:rsidRPr="00506A01">
        <w:rPr>
          <w:rFonts w:ascii="Calibri" w:hAnsi="Calibri" w:cs="Calibri"/>
          <w:sz w:val="22"/>
          <w:szCs w:val="22"/>
        </w:rPr>
        <w:t xml:space="preserve">ivil </w:t>
      </w:r>
      <w:r w:rsidR="00116814" w:rsidRPr="00506A01">
        <w:rPr>
          <w:rFonts w:ascii="Calibri" w:hAnsi="Calibri" w:cs="Calibri"/>
          <w:sz w:val="22"/>
          <w:szCs w:val="22"/>
        </w:rPr>
        <w:t>B</w:t>
      </w:r>
      <w:r w:rsidR="00142E62" w:rsidRPr="00506A01">
        <w:rPr>
          <w:rFonts w:ascii="Calibri" w:hAnsi="Calibri" w:cs="Calibri"/>
          <w:sz w:val="22"/>
          <w:szCs w:val="22"/>
        </w:rPr>
        <w:t xml:space="preserve">ill pending service of the order substituting a new plaintiff upon the first defendant. </w:t>
      </w:r>
      <w:r w:rsidR="00BF0AE9" w:rsidRPr="00506A01">
        <w:rPr>
          <w:rFonts w:ascii="Calibri" w:hAnsi="Calibri" w:cs="Calibri"/>
          <w:sz w:val="22"/>
          <w:szCs w:val="22"/>
        </w:rPr>
        <w:t xml:space="preserve">In any event that order was served on the first defendant by letter dated 23 November 2020 and </w:t>
      </w:r>
      <w:r w:rsidR="00B549BD" w:rsidRPr="00506A01">
        <w:rPr>
          <w:rFonts w:ascii="Calibri" w:hAnsi="Calibri" w:cs="Calibri"/>
          <w:sz w:val="22"/>
          <w:szCs w:val="22"/>
        </w:rPr>
        <w:t>yet the ex Parte Docket for renewal did not issue until 15 April 2021</w:t>
      </w:r>
      <w:r w:rsidR="00C061C6" w:rsidRPr="00506A01">
        <w:rPr>
          <w:rFonts w:ascii="Calibri" w:hAnsi="Calibri" w:cs="Calibri"/>
          <w:sz w:val="22"/>
          <w:szCs w:val="22"/>
        </w:rPr>
        <w:t xml:space="preserve"> – a delay unexplained.</w:t>
      </w:r>
    </w:p>
    <w:p w14:paraId="1681B429" w14:textId="12C3C942" w:rsidR="00B549BD" w:rsidRPr="00506A01" w:rsidRDefault="00B549BD" w:rsidP="00B549BD">
      <w:pPr>
        <w:pStyle w:val="ListParagraph"/>
        <w:spacing w:line="276" w:lineRule="auto"/>
        <w:ind w:left="0"/>
        <w:rPr>
          <w:rFonts w:ascii="Calibri" w:hAnsi="Calibri" w:cs="Calibri"/>
          <w:sz w:val="22"/>
          <w:szCs w:val="22"/>
        </w:rPr>
      </w:pPr>
    </w:p>
    <w:p w14:paraId="7C0C94F5" w14:textId="09BB6CC0" w:rsidR="00506A01" w:rsidRPr="00506A01" w:rsidRDefault="00506A01" w:rsidP="00B549BD">
      <w:pPr>
        <w:pStyle w:val="ListParagraph"/>
        <w:spacing w:line="276" w:lineRule="auto"/>
        <w:ind w:left="0"/>
        <w:rPr>
          <w:rFonts w:ascii="Calibri" w:hAnsi="Calibri" w:cs="Calibri"/>
          <w:sz w:val="22"/>
          <w:szCs w:val="22"/>
        </w:rPr>
      </w:pPr>
    </w:p>
    <w:p w14:paraId="7647AB08" w14:textId="77777777" w:rsidR="00506A01" w:rsidRPr="00506A01" w:rsidRDefault="00506A01" w:rsidP="00B549BD">
      <w:pPr>
        <w:pStyle w:val="ListParagraph"/>
        <w:spacing w:line="276" w:lineRule="auto"/>
        <w:ind w:left="0"/>
        <w:rPr>
          <w:rFonts w:ascii="Calibri" w:hAnsi="Calibri" w:cs="Calibri"/>
          <w:sz w:val="22"/>
          <w:szCs w:val="22"/>
        </w:rPr>
      </w:pPr>
    </w:p>
    <w:p w14:paraId="08E9413F" w14:textId="1EFA5A40" w:rsidR="00B549BD" w:rsidRPr="00506A01" w:rsidRDefault="00506A01" w:rsidP="00506A01">
      <w:pPr>
        <w:pStyle w:val="Heading1"/>
      </w:pPr>
      <w:r w:rsidRPr="00506A01">
        <w:t>DECISION</w:t>
      </w:r>
    </w:p>
    <w:p w14:paraId="05651ADA" w14:textId="77777777" w:rsidR="00506A01" w:rsidRPr="00506A01" w:rsidRDefault="00506A01" w:rsidP="00B549BD">
      <w:pPr>
        <w:pStyle w:val="ListParagraph"/>
        <w:spacing w:line="276" w:lineRule="auto"/>
        <w:ind w:left="0"/>
        <w:rPr>
          <w:rFonts w:ascii="Calibri" w:hAnsi="Calibri" w:cs="Calibri"/>
          <w:sz w:val="22"/>
          <w:szCs w:val="22"/>
        </w:rPr>
      </w:pPr>
    </w:p>
    <w:p w14:paraId="5DDC890F" w14:textId="7E8668D4" w:rsidR="00506A01" w:rsidRPr="00506A01" w:rsidRDefault="00B549BD" w:rsidP="00506A01">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 xml:space="preserve">Remembering the onus on the Plaintiff to do so, </w:t>
      </w:r>
      <w:r w:rsidR="007153A6" w:rsidRPr="00506A01">
        <w:rPr>
          <w:rFonts w:ascii="Calibri" w:hAnsi="Calibri" w:cs="Calibri"/>
          <w:sz w:val="22"/>
          <w:szCs w:val="22"/>
        </w:rPr>
        <w:t>i</w:t>
      </w:r>
      <w:r w:rsidR="00375B60" w:rsidRPr="00506A01">
        <w:rPr>
          <w:rFonts w:ascii="Calibri" w:hAnsi="Calibri" w:cs="Calibri"/>
          <w:sz w:val="22"/>
          <w:szCs w:val="22"/>
        </w:rPr>
        <w:t xml:space="preserve">n all the foregoing circumstances, </w:t>
      </w:r>
      <w:r w:rsidR="00C7697F" w:rsidRPr="00506A01">
        <w:rPr>
          <w:rFonts w:ascii="Calibri" w:hAnsi="Calibri" w:cs="Calibri"/>
          <w:sz w:val="22"/>
          <w:szCs w:val="22"/>
        </w:rPr>
        <w:t xml:space="preserve">I do not see that the </w:t>
      </w:r>
      <w:r w:rsidRPr="00506A01">
        <w:rPr>
          <w:rFonts w:ascii="Calibri" w:hAnsi="Calibri" w:cs="Calibri"/>
          <w:sz w:val="22"/>
          <w:szCs w:val="22"/>
        </w:rPr>
        <w:t>P</w:t>
      </w:r>
      <w:r w:rsidR="00C7697F" w:rsidRPr="00506A01">
        <w:rPr>
          <w:rFonts w:ascii="Calibri" w:hAnsi="Calibri" w:cs="Calibri"/>
          <w:sz w:val="22"/>
          <w:szCs w:val="22"/>
        </w:rPr>
        <w:t xml:space="preserve">laintiff has demonstrated special circumstances justifying the renewal of the </w:t>
      </w:r>
      <w:r w:rsidR="00116814" w:rsidRPr="00506A01">
        <w:rPr>
          <w:rFonts w:ascii="Calibri" w:hAnsi="Calibri" w:cs="Calibri"/>
          <w:sz w:val="22"/>
          <w:szCs w:val="22"/>
        </w:rPr>
        <w:t>C</w:t>
      </w:r>
      <w:r w:rsidR="00C7697F" w:rsidRPr="00506A01">
        <w:rPr>
          <w:rFonts w:ascii="Calibri" w:hAnsi="Calibri" w:cs="Calibri"/>
          <w:sz w:val="22"/>
          <w:szCs w:val="22"/>
        </w:rPr>
        <w:t xml:space="preserve">ivil </w:t>
      </w:r>
      <w:r w:rsidR="00116814" w:rsidRPr="00506A01">
        <w:rPr>
          <w:rFonts w:ascii="Calibri" w:hAnsi="Calibri" w:cs="Calibri"/>
          <w:sz w:val="22"/>
          <w:szCs w:val="22"/>
        </w:rPr>
        <w:t>B</w:t>
      </w:r>
      <w:r w:rsidR="00C7697F" w:rsidRPr="00506A01">
        <w:rPr>
          <w:rFonts w:ascii="Calibri" w:hAnsi="Calibri" w:cs="Calibri"/>
          <w:sz w:val="22"/>
          <w:szCs w:val="22"/>
        </w:rPr>
        <w:t>ill in this case or, and not regarding it as a separate criterion but as part of a holistic assessment, that the interests of justice require that I do so.</w:t>
      </w:r>
      <w:r w:rsidR="004A0ED8" w:rsidRPr="00506A01">
        <w:rPr>
          <w:rFonts w:ascii="Calibri" w:hAnsi="Calibri" w:cs="Calibri"/>
          <w:sz w:val="22"/>
          <w:szCs w:val="22"/>
        </w:rPr>
        <w:t xml:space="preserve"> Accordingly, I refuse to renew the </w:t>
      </w:r>
      <w:r w:rsidR="00520BBA" w:rsidRPr="00506A01">
        <w:rPr>
          <w:rFonts w:ascii="Calibri" w:hAnsi="Calibri" w:cs="Calibri"/>
          <w:sz w:val="22"/>
          <w:szCs w:val="22"/>
        </w:rPr>
        <w:t>C</w:t>
      </w:r>
      <w:r w:rsidR="004A0ED8" w:rsidRPr="00506A01">
        <w:rPr>
          <w:rFonts w:ascii="Calibri" w:hAnsi="Calibri" w:cs="Calibri"/>
          <w:sz w:val="22"/>
          <w:szCs w:val="22"/>
        </w:rPr>
        <w:t xml:space="preserve">ivil </w:t>
      </w:r>
      <w:r w:rsidR="00520BBA" w:rsidRPr="00506A01">
        <w:rPr>
          <w:rFonts w:ascii="Calibri" w:hAnsi="Calibri" w:cs="Calibri"/>
          <w:sz w:val="22"/>
          <w:szCs w:val="22"/>
        </w:rPr>
        <w:t>B</w:t>
      </w:r>
      <w:r w:rsidR="004A0ED8" w:rsidRPr="00506A01">
        <w:rPr>
          <w:rFonts w:ascii="Calibri" w:hAnsi="Calibri" w:cs="Calibri"/>
          <w:sz w:val="22"/>
          <w:szCs w:val="22"/>
        </w:rPr>
        <w:t xml:space="preserve">ill for service on the </w:t>
      </w:r>
      <w:r w:rsidR="00420D11" w:rsidRPr="00506A01">
        <w:rPr>
          <w:rFonts w:ascii="Calibri" w:hAnsi="Calibri" w:cs="Calibri"/>
          <w:sz w:val="22"/>
          <w:szCs w:val="22"/>
        </w:rPr>
        <w:t>second defendant.</w:t>
      </w:r>
    </w:p>
    <w:p w14:paraId="66EFD60E" w14:textId="19F3B952" w:rsidR="00506A01" w:rsidRPr="00506A01" w:rsidRDefault="00506A01" w:rsidP="00506A01">
      <w:pPr>
        <w:pStyle w:val="ListParagraph"/>
        <w:spacing w:line="276" w:lineRule="auto"/>
        <w:ind w:left="0"/>
        <w:rPr>
          <w:rFonts w:ascii="Calibri" w:hAnsi="Calibri" w:cs="Calibri"/>
          <w:sz w:val="22"/>
          <w:szCs w:val="22"/>
        </w:rPr>
      </w:pPr>
    </w:p>
    <w:p w14:paraId="36193749" w14:textId="77777777" w:rsidR="00506A01" w:rsidRPr="00506A01" w:rsidRDefault="00506A01" w:rsidP="00506A01">
      <w:pPr>
        <w:pStyle w:val="ListParagraph"/>
        <w:spacing w:line="276" w:lineRule="auto"/>
        <w:ind w:left="0"/>
        <w:rPr>
          <w:rFonts w:ascii="Calibri" w:hAnsi="Calibri" w:cs="Calibri"/>
          <w:sz w:val="22"/>
          <w:szCs w:val="22"/>
        </w:rPr>
      </w:pPr>
    </w:p>
    <w:p w14:paraId="17987822" w14:textId="7082D9F1" w:rsidR="00506A01" w:rsidRPr="00506A01" w:rsidRDefault="00506A01" w:rsidP="00506A01">
      <w:pPr>
        <w:pStyle w:val="ListParagraph"/>
        <w:numPr>
          <w:ilvl w:val="0"/>
          <w:numId w:val="4"/>
        </w:numPr>
        <w:spacing w:line="276" w:lineRule="auto"/>
        <w:rPr>
          <w:rFonts w:ascii="Calibri" w:hAnsi="Calibri" w:cs="Calibri"/>
          <w:sz w:val="22"/>
          <w:szCs w:val="22"/>
        </w:rPr>
      </w:pPr>
      <w:r w:rsidRPr="00506A01">
        <w:rPr>
          <w:rFonts w:ascii="Calibri" w:hAnsi="Calibri" w:cs="Calibri"/>
          <w:sz w:val="22"/>
          <w:szCs w:val="22"/>
        </w:rPr>
        <w:t>This judgment is delivered electronically. As this was an ex parte application which has been refused and I am minded to make no order as to costs. Failing application for a different order, an order will issue accordingly after the expiry of 14 days hereof.</w:t>
      </w:r>
    </w:p>
    <w:p w14:paraId="2D5B0340" w14:textId="77777777" w:rsidR="00506A01" w:rsidRPr="00506A01" w:rsidRDefault="00506A01" w:rsidP="00B6138C">
      <w:pPr>
        <w:spacing w:line="276" w:lineRule="auto"/>
        <w:rPr>
          <w:rFonts w:ascii="Calibri" w:hAnsi="Calibri" w:cs="Calibri"/>
          <w:sz w:val="22"/>
          <w:szCs w:val="22"/>
        </w:rPr>
      </w:pPr>
    </w:p>
    <w:p w14:paraId="4692FEC9" w14:textId="77777777" w:rsidR="00B6138C" w:rsidRPr="00506A01" w:rsidRDefault="00B6138C" w:rsidP="00B6138C">
      <w:pPr>
        <w:spacing w:line="276" w:lineRule="auto"/>
        <w:jc w:val="right"/>
        <w:rPr>
          <w:rFonts w:ascii="Calibri" w:hAnsi="Calibri" w:cs="Calibri"/>
          <w:b/>
          <w:sz w:val="22"/>
          <w:szCs w:val="22"/>
        </w:rPr>
      </w:pPr>
      <w:r w:rsidRPr="00506A01">
        <w:rPr>
          <w:rFonts w:ascii="Calibri" w:hAnsi="Calibri" w:cs="Calibri"/>
          <w:b/>
          <w:sz w:val="22"/>
          <w:szCs w:val="22"/>
        </w:rPr>
        <w:t>David Holland</w:t>
      </w:r>
    </w:p>
    <w:p w14:paraId="4BB74D86" w14:textId="497F4266" w:rsidR="000941B5" w:rsidRPr="00506A01" w:rsidRDefault="0035499D" w:rsidP="0035499D">
      <w:pPr>
        <w:spacing w:line="276" w:lineRule="auto"/>
        <w:jc w:val="right"/>
        <w:rPr>
          <w:rFonts w:ascii="Calibri" w:hAnsi="Calibri" w:cs="Calibri"/>
          <w:sz w:val="22"/>
          <w:szCs w:val="22"/>
        </w:rPr>
      </w:pPr>
      <w:r w:rsidRPr="00506A01">
        <w:rPr>
          <w:rFonts w:ascii="Calibri" w:hAnsi="Calibri" w:cs="Calibri"/>
          <w:sz w:val="22"/>
          <w:szCs w:val="22"/>
        </w:rPr>
        <w:t>7/</w:t>
      </w:r>
      <w:r w:rsidR="000861D8" w:rsidRPr="00506A01">
        <w:rPr>
          <w:rFonts w:ascii="Calibri" w:hAnsi="Calibri" w:cs="Calibri"/>
          <w:sz w:val="22"/>
          <w:szCs w:val="22"/>
        </w:rPr>
        <w:t>3/22</w:t>
      </w:r>
    </w:p>
    <w:sectPr w:rsidR="000941B5" w:rsidRPr="00506A01" w:rsidSect="009E70E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467A8" w14:textId="77777777" w:rsidR="006E495D" w:rsidRDefault="006E495D" w:rsidP="009E70E8">
      <w:r>
        <w:separator/>
      </w:r>
    </w:p>
  </w:endnote>
  <w:endnote w:type="continuationSeparator" w:id="0">
    <w:p w14:paraId="4960F9E8" w14:textId="77777777" w:rsidR="006E495D" w:rsidRDefault="006E495D"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2C785" w14:textId="77777777" w:rsidR="009D50DF" w:rsidRDefault="009D5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566962"/>
      <w:docPartObj>
        <w:docPartGallery w:val="Page Numbers (Bottom of Page)"/>
        <w:docPartUnique/>
      </w:docPartObj>
    </w:sdtPr>
    <w:sdtEndPr>
      <w:rPr>
        <w:noProof/>
      </w:rPr>
    </w:sdtEndPr>
    <w:sdtContent>
      <w:p w14:paraId="0FD9CBA5" w14:textId="77777777" w:rsidR="001723D5" w:rsidRDefault="001723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6629B9" w14:textId="77777777" w:rsidR="001723D5" w:rsidRDefault="001723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629CE" w14:textId="77777777" w:rsidR="009D50DF" w:rsidRDefault="009D50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4C914" w14:textId="77777777" w:rsidR="006E495D" w:rsidRDefault="006E495D" w:rsidP="009E70E8">
      <w:r>
        <w:separator/>
      </w:r>
    </w:p>
  </w:footnote>
  <w:footnote w:type="continuationSeparator" w:id="0">
    <w:p w14:paraId="0EF6D978" w14:textId="77777777" w:rsidR="006E495D" w:rsidRDefault="006E495D" w:rsidP="009E70E8">
      <w:r>
        <w:continuationSeparator/>
      </w:r>
    </w:p>
  </w:footnote>
  <w:footnote w:id="1">
    <w:p w14:paraId="49556A64" w14:textId="77777777" w:rsidR="001723D5" w:rsidRPr="00236C0F" w:rsidRDefault="001723D5">
      <w:pPr>
        <w:pStyle w:val="FootnoteText"/>
        <w:rPr>
          <w:rFonts w:ascii="Calibri Light" w:hAnsi="Calibri Light" w:cs="Calibri Light"/>
          <w:sz w:val="16"/>
          <w:szCs w:val="16"/>
        </w:rPr>
      </w:pPr>
      <w:r w:rsidRPr="00236C0F">
        <w:rPr>
          <w:rStyle w:val="FootnoteReference"/>
          <w:rFonts w:ascii="Calibri Light" w:hAnsi="Calibri Light" w:cs="Calibri Light"/>
          <w:sz w:val="16"/>
          <w:szCs w:val="16"/>
        </w:rPr>
        <w:footnoteRef/>
      </w:r>
      <w:r w:rsidRPr="00236C0F">
        <w:rPr>
          <w:rFonts w:ascii="Calibri Light" w:hAnsi="Calibri Light" w:cs="Calibri Light"/>
          <w:sz w:val="16"/>
          <w:szCs w:val="16"/>
        </w:rPr>
        <w:t xml:space="preserve"> The reference to a </w:t>
      </w:r>
      <w:r w:rsidRPr="00236C0F">
        <w:rPr>
          <w:rFonts w:ascii="Calibri Light" w:hAnsi="Calibri Light" w:cs="Calibri Light"/>
          <w:i/>
          <w:sz w:val="16"/>
          <w:szCs w:val="16"/>
        </w:rPr>
        <w:t>Doheny</w:t>
      </w:r>
      <w:r w:rsidRPr="00236C0F">
        <w:rPr>
          <w:rFonts w:ascii="Calibri Light" w:hAnsi="Calibri Light" w:cs="Calibri Light"/>
          <w:sz w:val="16"/>
          <w:szCs w:val="16"/>
        </w:rPr>
        <w:t xml:space="preserve"> letter is to the type of letter contemplated in the case of </w:t>
      </w:r>
      <w:r w:rsidRPr="00236C0F">
        <w:rPr>
          <w:rFonts w:ascii="Calibri Light" w:hAnsi="Calibri Light" w:cs="Calibri Light"/>
          <w:i/>
          <w:sz w:val="16"/>
          <w:szCs w:val="16"/>
        </w:rPr>
        <w:t>Permanent TSB v. Dohen</w:t>
      </w:r>
      <w:r w:rsidR="00236C0F" w:rsidRPr="00236C0F">
        <w:rPr>
          <w:rFonts w:ascii="Calibri Light" w:hAnsi="Calibri Light" w:cs="Calibri Light"/>
          <w:i/>
          <w:sz w:val="16"/>
          <w:szCs w:val="16"/>
        </w:rPr>
        <w:t>y</w:t>
      </w:r>
      <w:r w:rsidRPr="00236C0F">
        <w:rPr>
          <w:rFonts w:ascii="Calibri Light" w:hAnsi="Calibri Light" w:cs="Calibri Light"/>
          <w:sz w:val="16"/>
          <w:szCs w:val="16"/>
        </w:rPr>
        <w:t xml:space="preserve"> </w:t>
      </w:r>
      <w:r w:rsidR="00236C0F" w:rsidRPr="00236C0F">
        <w:rPr>
          <w:rFonts w:ascii="Calibri Light" w:hAnsi="Calibri Light" w:cs="Calibri Light"/>
          <w:sz w:val="16"/>
          <w:szCs w:val="16"/>
        </w:rPr>
        <w:t xml:space="preserve">[2019] IEHC 414 </w:t>
      </w:r>
      <w:r w:rsidRPr="00236C0F">
        <w:rPr>
          <w:rFonts w:ascii="Calibri Light" w:hAnsi="Calibri Light" w:cs="Calibri Light"/>
          <w:sz w:val="16"/>
          <w:szCs w:val="16"/>
        </w:rPr>
        <w:t xml:space="preserve">as </w:t>
      </w:r>
      <w:r w:rsidR="00236C0F">
        <w:rPr>
          <w:rFonts w:ascii="Calibri Light" w:hAnsi="Calibri Light" w:cs="Calibri Light"/>
          <w:sz w:val="16"/>
          <w:szCs w:val="16"/>
        </w:rPr>
        <w:t>to be</w:t>
      </w:r>
      <w:r w:rsidRPr="00236C0F">
        <w:rPr>
          <w:rFonts w:ascii="Calibri Light" w:hAnsi="Calibri Light" w:cs="Calibri Light"/>
          <w:sz w:val="16"/>
          <w:szCs w:val="16"/>
        </w:rPr>
        <w:t xml:space="preserve"> sent to a defendant </w:t>
      </w:r>
      <w:r w:rsidR="00236C0F">
        <w:rPr>
          <w:rFonts w:ascii="Calibri Light" w:hAnsi="Calibri Light" w:cs="Calibri Light"/>
          <w:sz w:val="16"/>
          <w:szCs w:val="16"/>
        </w:rPr>
        <w:t>advising</w:t>
      </w:r>
      <w:r w:rsidRPr="00236C0F">
        <w:rPr>
          <w:rFonts w:ascii="Calibri Light" w:hAnsi="Calibri Light" w:cs="Calibri Light"/>
          <w:sz w:val="16"/>
          <w:szCs w:val="16"/>
        </w:rPr>
        <w:t xml:space="preserve"> of an order </w:t>
      </w:r>
      <w:r w:rsidRPr="00236C0F">
        <w:rPr>
          <w:rFonts w:ascii="Calibri Light" w:hAnsi="Calibri Light" w:cs="Calibri Light"/>
          <w:i/>
          <w:sz w:val="16"/>
          <w:szCs w:val="16"/>
        </w:rPr>
        <w:t xml:space="preserve">ex parte </w:t>
      </w:r>
      <w:r w:rsidRPr="00236C0F">
        <w:rPr>
          <w:rFonts w:ascii="Calibri Light" w:hAnsi="Calibri Light" w:cs="Calibri Light"/>
          <w:sz w:val="16"/>
          <w:szCs w:val="16"/>
        </w:rPr>
        <w:t>substituting a new plaintiff in an action.</w:t>
      </w:r>
    </w:p>
  </w:footnote>
  <w:footnote w:id="2">
    <w:p w14:paraId="6A954EC5" w14:textId="77777777" w:rsidR="007153A6" w:rsidRPr="00900985" w:rsidRDefault="007153A6" w:rsidP="007153A6">
      <w:pPr>
        <w:pStyle w:val="FootnoteText"/>
        <w:rPr>
          <w:rFonts w:ascii="Calibri Light" w:hAnsi="Calibri Light" w:cs="Calibri Light"/>
          <w:sz w:val="16"/>
          <w:szCs w:val="16"/>
        </w:rPr>
      </w:pPr>
      <w:r w:rsidRPr="00900985">
        <w:rPr>
          <w:rStyle w:val="FootnoteReference"/>
          <w:rFonts w:ascii="Calibri Light" w:hAnsi="Calibri Light" w:cs="Calibri Light"/>
          <w:sz w:val="16"/>
          <w:szCs w:val="16"/>
        </w:rPr>
        <w:footnoteRef/>
      </w:r>
      <w:r w:rsidRPr="00900985">
        <w:rPr>
          <w:rFonts w:ascii="Calibri Light" w:hAnsi="Calibri Light" w:cs="Calibri Light"/>
          <w:sz w:val="16"/>
          <w:szCs w:val="16"/>
        </w:rPr>
        <w:t xml:space="preserve"> The Governor And Company Of The Bank Of Ireland v. Sugrue [2021] IEHC et 1 (High Court (General), Quinn J, 22 February 2021)</w:t>
      </w:r>
    </w:p>
  </w:footnote>
  <w:footnote w:id="3">
    <w:p w14:paraId="7CFBCECD" w14:textId="77777777" w:rsidR="007153A6" w:rsidRPr="00900985" w:rsidRDefault="007153A6" w:rsidP="007153A6">
      <w:pPr>
        <w:pStyle w:val="FootnoteText"/>
        <w:rPr>
          <w:rFonts w:ascii="Calibri Light" w:hAnsi="Calibri Light" w:cs="Calibri Light"/>
          <w:sz w:val="16"/>
          <w:szCs w:val="16"/>
        </w:rPr>
      </w:pPr>
      <w:r w:rsidRPr="00900985">
        <w:rPr>
          <w:rStyle w:val="FootnoteReference"/>
          <w:rFonts w:ascii="Calibri Light" w:hAnsi="Calibri Light" w:cs="Calibri Light"/>
          <w:sz w:val="16"/>
          <w:szCs w:val="16"/>
        </w:rPr>
        <w:footnoteRef/>
      </w:r>
      <w:r w:rsidRPr="00900985">
        <w:rPr>
          <w:rFonts w:ascii="Calibri Light" w:hAnsi="Calibri Light" w:cs="Calibri Light"/>
          <w:sz w:val="16"/>
          <w:szCs w:val="16"/>
        </w:rPr>
        <w:t xml:space="preserve"> [2005] IEHC 402</w:t>
      </w:r>
    </w:p>
  </w:footnote>
  <w:footnote w:id="4">
    <w:p w14:paraId="6CDF55C4" w14:textId="77777777" w:rsidR="00CB2DA6" w:rsidRPr="00900985" w:rsidRDefault="00CB2DA6" w:rsidP="00CB2DA6">
      <w:pPr>
        <w:pStyle w:val="FootnoteText"/>
        <w:rPr>
          <w:rFonts w:ascii="Calibri Light" w:hAnsi="Calibri Light" w:cs="Calibri Light"/>
          <w:sz w:val="16"/>
          <w:szCs w:val="16"/>
        </w:rPr>
      </w:pPr>
      <w:r w:rsidRPr="00900985">
        <w:rPr>
          <w:rStyle w:val="FootnoteReference"/>
          <w:rFonts w:ascii="Calibri Light" w:hAnsi="Calibri Light" w:cs="Calibri Light"/>
          <w:sz w:val="16"/>
          <w:szCs w:val="16"/>
        </w:rPr>
        <w:footnoteRef/>
      </w:r>
      <w:r w:rsidRPr="00900985">
        <w:rPr>
          <w:rFonts w:ascii="Calibri Light" w:hAnsi="Calibri Light" w:cs="Calibri Light"/>
          <w:sz w:val="16"/>
          <w:szCs w:val="16"/>
        </w:rPr>
        <w:t xml:space="preserve"> [2021] IEHC 778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5C249" w14:textId="554A9C11" w:rsidR="009D50DF" w:rsidRDefault="009D50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844AA" w14:textId="2A520AC0" w:rsidR="009E70E8" w:rsidRDefault="009E70E8" w:rsidP="001723D5">
    <w:pPr>
      <w:pStyle w:val="Header"/>
    </w:pPr>
  </w:p>
  <w:p w14:paraId="23BF01AE" w14:textId="77777777" w:rsidR="009E70E8" w:rsidRDefault="009E70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04B92" w14:textId="36B83EB6" w:rsidR="009D50DF" w:rsidRDefault="009D50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DDEEA50"/>
    <w:lvl w:ilvl="0">
      <w:start w:val="1"/>
      <w:numFmt w:val="decimal"/>
      <w:pStyle w:val="ListNumber"/>
      <w:lvlText w:val="%1."/>
      <w:lvlJc w:val="left"/>
      <w:pPr>
        <w:tabs>
          <w:tab w:val="num" w:pos="360"/>
        </w:tabs>
        <w:ind w:left="360" w:hanging="360"/>
      </w:pPr>
    </w:lvl>
  </w:abstractNum>
  <w:abstractNum w:abstractNumId="1" w15:restartNumberingAfterBreak="0">
    <w:nsid w:val="018B60F3"/>
    <w:multiLevelType w:val="hybridMultilevel"/>
    <w:tmpl w:val="C8AE528A"/>
    <w:lvl w:ilvl="0" w:tplc="C492BB5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321B0"/>
    <w:multiLevelType w:val="hybridMultilevel"/>
    <w:tmpl w:val="0DFA762C"/>
    <w:lvl w:ilvl="0" w:tplc="F4DE8AA4">
      <w:start w:val="1"/>
      <w:numFmt w:val="decimal"/>
      <w:lvlText w:val="%1."/>
      <w:lvlJc w:val="left"/>
      <w:pPr>
        <w:ind w:left="360" w:hanging="360"/>
      </w:pPr>
      <w:rPr>
        <w:rFonts w:asciiTheme="minorHAnsi" w:hAnsiTheme="minorHAnsi" w:cstheme="minorHAnsi" w:hint="default"/>
        <w:b w:val="0"/>
        <w:bCs w:val="0"/>
        <w:i w:val="0"/>
        <w:iCs w:val="0"/>
        <w:sz w:val="24"/>
        <w:szCs w:val="24"/>
      </w:rPr>
    </w:lvl>
    <w:lvl w:ilvl="1" w:tplc="E7F2C0C2">
      <w:start w:val="1"/>
      <w:numFmt w:val="lowerLetter"/>
      <w:lvlText w:val="%2."/>
      <w:lvlJc w:val="left"/>
      <w:pPr>
        <w:ind w:left="1440" w:hanging="360"/>
      </w:pPr>
    </w:lvl>
    <w:lvl w:ilvl="2" w:tplc="3F262596">
      <w:start w:val="1"/>
      <w:numFmt w:val="lowerLetter"/>
      <w:lvlText w:val="(%3)"/>
      <w:lvlJc w:val="left"/>
      <w:pPr>
        <w:ind w:left="2850" w:hanging="87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2"/>
  </w:num>
  <w:num w:numId="5">
    <w:abstractNumId w:val="5"/>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5"/>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10E74"/>
    <w:rsid w:val="00016440"/>
    <w:rsid w:val="000861D8"/>
    <w:rsid w:val="00090D50"/>
    <w:rsid w:val="000941B5"/>
    <w:rsid w:val="000B10E1"/>
    <w:rsid w:val="000B3066"/>
    <w:rsid w:val="000D0DBB"/>
    <w:rsid w:val="00116814"/>
    <w:rsid w:val="00142E62"/>
    <w:rsid w:val="00146DF2"/>
    <w:rsid w:val="00167D0A"/>
    <w:rsid w:val="001723D5"/>
    <w:rsid w:val="001A3598"/>
    <w:rsid w:val="001E2A5E"/>
    <w:rsid w:val="001E6B96"/>
    <w:rsid w:val="001F3E59"/>
    <w:rsid w:val="0020124A"/>
    <w:rsid w:val="00201482"/>
    <w:rsid w:val="00204C15"/>
    <w:rsid w:val="00236C0F"/>
    <w:rsid w:val="00240DA9"/>
    <w:rsid w:val="002551CA"/>
    <w:rsid w:val="00274D3A"/>
    <w:rsid w:val="00283012"/>
    <w:rsid w:val="0028380A"/>
    <w:rsid w:val="002C1289"/>
    <w:rsid w:val="002D23AC"/>
    <w:rsid w:val="002E41CE"/>
    <w:rsid w:val="0034569C"/>
    <w:rsid w:val="0035499D"/>
    <w:rsid w:val="00375B60"/>
    <w:rsid w:val="003A3316"/>
    <w:rsid w:val="003C1502"/>
    <w:rsid w:val="003C75EC"/>
    <w:rsid w:val="003D6AFB"/>
    <w:rsid w:val="0041528C"/>
    <w:rsid w:val="00420D11"/>
    <w:rsid w:val="004367AE"/>
    <w:rsid w:val="004402CA"/>
    <w:rsid w:val="00444A9E"/>
    <w:rsid w:val="00460AAD"/>
    <w:rsid w:val="00462DD4"/>
    <w:rsid w:val="00487AFC"/>
    <w:rsid w:val="00493B71"/>
    <w:rsid w:val="004A0ED8"/>
    <w:rsid w:val="004B2589"/>
    <w:rsid w:val="004B4670"/>
    <w:rsid w:val="004D07F2"/>
    <w:rsid w:val="004E4F7B"/>
    <w:rsid w:val="0050058A"/>
    <w:rsid w:val="00506A01"/>
    <w:rsid w:val="0051132C"/>
    <w:rsid w:val="00520BBA"/>
    <w:rsid w:val="00521910"/>
    <w:rsid w:val="00536877"/>
    <w:rsid w:val="0056161E"/>
    <w:rsid w:val="00563AAC"/>
    <w:rsid w:val="00572668"/>
    <w:rsid w:val="00575191"/>
    <w:rsid w:val="0058072C"/>
    <w:rsid w:val="00582849"/>
    <w:rsid w:val="005A466E"/>
    <w:rsid w:val="005C2407"/>
    <w:rsid w:val="005C2495"/>
    <w:rsid w:val="00603FEB"/>
    <w:rsid w:val="006306EC"/>
    <w:rsid w:val="00641ACB"/>
    <w:rsid w:val="00650EB0"/>
    <w:rsid w:val="00693FF8"/>
    <w:rsid w:val="006A7606"/>
    <w:rsid w:val="006B493B"/>
    <w:rsid w:val="006D7B9E"/>
    <w:rsid w:val="006D7C21"/>
    <w:rsid w:val="006E0CA8"/>
    <w:rsid w:val="006E495D"/>
    <w:rsid w:val="006E6CE0"/>
    <w:rsid w:val="007051D4"/>
    <w:rsid w:val="007129A5"/>
    <w:rsid w:val="007153A6"/>
    <w:rsid w:val="00721F9E"/>
    <w:rsid w:val="00732704"/>
    <w:rsid w:val="00743B98"/>
    <w:rsid w:val="00754D34"/>
    <w:rsid w:val="00767701"/>
    <w:rsid w:val="007818CC"/>
    <w:rsid w:val="007836B1"/>
    <w:rsid w:val="00783C6C"/>
    <w:rsid w:val="007A698B"/>
    <w:rsid w:val="007C6CEE"/>
    <w:rsid w:val="007D3852"/>
    <w:rsid w:val="007F1903"/>
    <w:rsid w:val="007F3C7E"/>
    <w:rsid w:val="00811C68"/>
    <w:rsid w:val="00856991"/>
    <w:rsid w:val="0087460C"/>
    <w:rsid w:val="008747BF"/>
    <w:rsid w:val="00894279"/>
    <w:rsid w:val="008D0E5D"/>
    <w:rsid w:val="009063A6"/>
    <w:rsid w:val="0093485C"/>
    <w:rsid w:val="00947755"/>
    <w:rsid w:val="00950B28"/>
    <w:rsid w:val="00960FBA"/>
    <w:rsid w:val="00981E44"/>
    <w:rsid w:val="00991B92"/>
    <w:rsid w:val="009B2771"/>
    <w:rsid w:val="009C6574"/>
    <w:rsid w:val="009D2382"/>
    <w:rsid w:val="009D50DF"/>
    <w:rsid w:val="009E484A"/>
    <w:rsid w:val="009E4A79"/>
    <w:rsid w:val="009E70E8"/>
    <w:rsid w:val="00A2232C"/>
    <w:rsid w:val="00A414BB"/>
    <w:rsid w:val="00A9718B"/>
    <w:rsid w:val="00AA694F"/>
    <w:rsid w:val="00AB3B39"/>
    <w:rsid w:val="00AB3BBE"/>
    <w:rsid w:val="00AF60C7"/>
    <w:rsid w:val="00B25737"/>
    <w:rsid w:val="00B549BD"/>
    <w:rsid w:val="00B6138C"/>
    <w:rsid w:val="00B719D9"/>
    <w:rsid w:val="00BA62A4"/>
    <w:rsid w:val="00BC5E22"/>
    <w:rsid w:val="00BD5216"/>
    <w:rsid w:val="00BE1CE8"/>
    <w:rsid w:val="00BF0AE9"/>
    <w:rsid w:val="00BF32CF"/>
    <w:rsid w:val="00BF6800"/>
    <w:rsid w:val="00C02605"/>
    <w:rsid w:val="00C061C6"/>
    <w:rsid w:val="00C31767"/>
    <w:rsid w:val="00C33AEF"/>
    <w:rsid w:val="00C51638"/>
    <w:rsid w:val="00C677E9"/>
    <w:rsid w:val="00C7697F"/>
    <w:rsid w:val="00CB2DA6"/>
    <w:rsid w:val="00D238EC"/>
    <w:rsid w:val="00D325AF"/>
    <w:rsid w:val="00D36886"/>
    <w:rsid w:val="00D42565"/>
    <w:rsid w:val="00D50EE4"/>
    <w:rsid w:val="00DD7EF4"/>
    <w:rsid w:val="00DE4775"/>
    <w:rsid w:val="00DE6E96"/>
    <w:rsid w:val="00E0318A"/>
    <w:rsid w:val="00E0338D"/>
    <w:rsid w:val="00E14469"/>
    <w:rsid w:val="00E42C26"/>
    <w:rsid w:val="00E56568"/>
    <w:rsid w:val="00E665DD"/>
    <w:rsid w:val="00E672B2"/>
    <w:rsid w:val="00E8199C"/>
    <w:rsid w:val="00E86C0F"/>
    <w:rsid w:val="00E918D2"/>
    <w:rsid w:val="00EA33EB"/>
    <w:rsid w:val="00F353DB"/>
    <w:rsid w:val="00F40281"/>
    <w:rsid w:val="00F4676F"/>
    <w:rsid w:val="00F50433"/>
    <w:rsid w:val="00F56B63"/>
    <w:rsid w:val="00F64796"/>
    <w:rsid w:val="00F7011D"/>
    <w:rsid w:val="00FA54F7"/>
    <w:rsid w:val="00FB37E6"/>
    <w:rsid w:val="00FC6C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176F75"/>
  <w15:chartTrackingRefBased/>
  <w15:docId w15:val="{620DAB35-3A47-4C2F-868F-2FC36B69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5"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236C0F"/>
    <w:pPr>
      <w:spacing w:line="276" w:lineRule="auto"/>
      <w:outlineLvl w:val="0"/>
    </w:pPr>
    <w:rPr>
      <w:rFonts w:ascii="Calibri" w:hAnsi="Calibri" w:cs="Calibri"/>
      <w:b/>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link w:val="ListParagraphChar"/>
    <w:uiPriority w:val="34"/>
    <w:qFormat/>
    <w:rsid w:val="007F1903"/>
    <w:pPr>
      <w:ind w:left="720"/>
      <w:contextualSpacing/>
    </w:pPr>
  </w:style>
  <w:style w:type="paragraph" w:styleId="EndnoteText">
    <w:name w:val="endnote text"/>
    <w:basedOn w:val="Normal"/>
    <w:link w:val="EndnoteTextChar"/>
    <w:uiPriority w:val="99"/>
    <w:semiHidden/>
    <w:unhideWhenUsed/>
    <w:rsid w:val="00C7697F"/>
    <w:rPr>
      <w:sz w:val="20"/>
      <w:szCs w:val="20"/>
    </w:rPr>
  </w:style>
  <w:style w:type="character" w:customStyle="1" w:styleId="EndnoteTextChar">
    <w:name w:val="Endnote Text Char"/>
    <w:basedOn w:val="DefaultParagraphFont"/>
    <w:link w:val="EndnoteText"/>
    <w:uiPriority w:val="99"/>
    <w:semiHidden/>
    <w:rsid w:val="00C7697F"/>
    <w:rPr>
      <w:rFonts w:ascii="Times New Roman" w:eastAsia="Times New Roman" w:hAnsi="Times New Roman" w:cs="Times New Roman"/>
      <w:sz w:val="20"/>
      <w:szCs w:val="20"/>
      <w:lang w:eastAsia="en-IE"/>
    </w:rPr>
  </w:style>
  <w:style w:type="character" w:styleId="EndnoteReference">
    <w:name w:val="endnote reference"/>
    <w:basedOn w:val="DefaultParagraphFont"/>
    <w:uiPriority w:val="99"/>
    <w:semiHidden/>
    <w:unhideWhenUsed/>
    <w:rsid w:val="00C7697F"/>
    <w:rPr>
      <w:vertAlign w:val="superscript"/>
    </w:rPr>
  </w:style>
  <w:style w:type="paragraph" w:styleId="FootnoteText">
    <w:name w:val="footnote text"/>
    <w:basedOn w:val="Normal"/>
    <w:link w:val="FootnoteTextChar"/>
    <w:uiPriority w:val="99"/>
    <w:unhideWhenUsed/>
    <w:rsid w:val="00C7697F"/>
    <w:rPr>
      <w:sz w:val="20"/>
      <w:szCs w:val="20"/>
    </w:rPr>
  </w:style>
  <w:style w:type="character" w:customStyle="1" w:styleId="FootnoteTextChar">
    <w:name w:val="Footnote Text Char"/>
    <w:basedOn w:val="DefaultParagraphFont"/>
    <w:link w:val="FootnoteText"/>
    <w:uiPriority w:val="99"/>
    <w:rsid w:val="00C7697F"/>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C7697F"/>
    <w:rPr>
      <w:vertAlign w:val="superscript"/>
    </w:rPr>
  </w:style>
  <w:style w:type="character" w:styleId="CommentReference">
    <w:name w:val="annotation reference"/>
    <w:basedOn w:val="DefaultParagraphFont"/>
    <w:uiPriority w:val="99"/>
    <w:semiHidden/>
    <w:unhideWhenUsed/>
    <w:rsid w:val="0034569C"/>
    <w:rPr>
      <w:sz w:val="16"/>
      <w:szCs w:val="16"/>
    </w:rPr>
  </w:style>
  <w:style w:type="paragraph" w:styleId="CommentText">
    <w:name w:val="annotation text"/>
    <w:basedOn w:val="Normal"/>
    <w:link w:val="CommentTextChar"/>
    <w:uiPriority w:val="99"/>
    <w:semiHidden/>
    <w:unhideWhenUsed/>
    <w:rsid w:val="0034569C"/>
    <w:rPr>
      <w:sz w:val="20"/>
      <w:szCs w:val="20"/>
    </w:rPr>
  </w:style>
  <w:style w:type="character" w:customStyle="1" w:styleId="CommentTextChar">
    <w:name w:val="Comment Text Char"/>
    <w:basedOn w:val="DefaultParagraphFont"/>
    <w:link w:val="CommentText"/>
    <w:uiPriority w:val="99"/>
    <w:semiHidden/>
    <w:rsid w:val="0034569C"/>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34569C"/>
    <w:rPr>
      <w:b/>
      <w:bCs/>
    </w:rPr>
  </w:style>
  <w:style w:type="character" w:customStyle="1" w:styleId="CommentSubjectChar">
    <w:name w:val="Comment Subject Char"/>
    <w:basedOn w:val="CommentTextChar"/>
    <w:link w:val="CommentSubject"/>
    <w:uiPriority w:val="99"/>
    <w:semiHidden/>
    <w:rsid w:val="0034569C"/>
    <w:rPr>
      <w:rFonts w:ascii="Times New Roman" w:eastAsia="Times New Roman" w:hAnsi="Times New Roman" w:cs="Times New Roman"/>
      <w:b/>
      <w:bCs/>
      <w:sz w:val="20"/>
      <w:szCs w:val="20"/>
      <w:lang w:eastAsia="en-IE"/>
    </w:rPr>
  </w:style>
  <w:style w:type="paragraph" w:styleId="BalloonText">
    <w:name w:val="Balloon Text"/>
    <w:basedOn w:val="Normal"/>
    <w:link w:val="BalloonTextChar"/>
    <w:uiPriority w:val="99"/>
    <w:semiHidden/>
    <w:unhideWhenUsed/>
    <w:rsid w:val="003456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69C"/>
    <w:rPr>
      <w:rFonts w:ascii="Segoe UI" w:eastAsia="Times New Roman" w:hAnsi="Segoe UI" w:cs="Segoe UI"/>
      <w:sz w:val="18"/>
      <w:szCs w:val="18"/>
      <w:lang w:eastAsia="en-IE"/>
    </w:rPr>
  </w:style>
  <w:style w:type="character" w:customStyle="1" w:styleId="Heading1Char">
    <w:name w:val="Heading 1 Char"/>
    <w:basedOn w:val="DefaultParagraphFont"/>
    <w:link w:val="Heading1"/>
    <w:uiPriority w:val="9"/>
    <w:rsid w:val="00236C0F"/>
    <w:rPr>
      <w:rFonts w:ascii="Calibri" w:eastAsia="Times New Roman" w:hAnsi="Calibri" w:cs="Calibri"/>
      <w:b/>
      <w:u w:val="single"/>
      <w:lang w:eastAsia="en-IE"/>
    </w:rPr>
  </w:style>
  <w:style w:type="paragraph" w:styleId="ListNumber2">
    <w:name w:val="List Number 2"/>
    <w:basedOn w:val="ListParagraph"/>
    <w:uiPriority w:val="5"/>
    <w:unhideWhenUsed/>
    <w:qFormat/>
    <w:rsid w:val="00F56B63"/>
    <w:pPr>
      <w:spacing w:line="276" w:lineRule="auto"/>
      <w:ind w:left="1440" w:hanging="360"/>
    </w:pPr>
    <w:rPr>
      <w:rFonts w:ascii="Calibri" w:hAnsi="Calibri" w:cs="Calibri"/>
      <w:sz w:val="22"/>
      <w:szCs w:val="22"/>
      <w:lang w:eastAsia="en-GB"/>
    </w:rPr>
  </w:style>
  <w:style w:type="character" w:customStyle="1" w:styleId="ListParagraphChar">
    <w:name w:val="List Paragraph Char"/>
    <w:basedOn w:val="DefaultParagraphFont"/>
    <w:link w:val="ListParagraph"/>
    <w:uiPriority w:val="34"/>
    <w:locked/>
    <w:rsid w:val="00F56B63"/>
    <w:rPr>
      <w:rFonts w:ascii="Times New Roman" w:eastAsia="Times New Roman" w:hAnsi="Times New Roman" w:cs="Times New Roman"/>
      <w:sz w:val="24"/>
      <w:szCs w:val="24"/>
      <w:lang w:eastAsia="en-IE"/>
    </w:rPr>
  </w:style>
  <w:style w:type="paragraph" w:styleId="ListNumber">
    <w:name w:val="List Number"/>
    <w:basedOn w:val="Normal"/>
    <w:uiPriority w:val="99"/>
    <w:semiHidden/>
    <w:unhideWhenUsed/>
    <w:rsid w:val="00506A01"/>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A250F-0C24-4101-A5AF-FB2230E06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3188</Words>
  <Characters>18176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Kearns</dc:creator>
  <cp:keywords/>
  <dc:description/>
  <cp:lastModifiedBy>David Holland</cp:lastModifiedBy>
  <cp:revision>9</cp:revision>
  <cp:lastPrinted>2022-03-02T16:37:00Z</cp:lastPrinted>
  <dcterms:created xsi:type="dcterms:W3CDTF">2022-03-01T16:30:00Z</dcterms:created>
  <dcterms:modified xsi:type="dcterms:W3CDTF">2022-03-02T16:38:00Z</dcterms:modified>
</cp:coreProperties>
</file>