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F45B" w14:textId="77777777" w:rsidR="00ED2350" w:rsidRPr="00A26BC6" w:rsidRDefault="00ED2350" w:rsidP="00ED2350">
      <w:pPr>
        <w:spacing w:line="480" w:lineRule="auto"/>
        <w:jc w:val="center"/>
        <w:rPr>
          <w:b/>
          <w:sz w:val="32"/>
          <w:szCs w:val="32"/>
        </w:rPr>
      </w:pPr>
      <w:r w:rsidRPr="00A26BC6">
        <w:rPr>
          <w:b/>
          <w:sz w:val="32"/>
          <w:szCs w:val="32"/>
        </w:rPr>
        <w:t>THE HIGH COURT</w:t>
      </w:r>
    </w:p>
    <w:p w14:paraId="3791E966" w14:textId="77777777" w:rsidR="008F4EBC" w:rsidRDefault="008F4EBC" w:rsidP="005026C1">
      <w:pPr>
        <w:jc w:val="right"/>
        <w:rPr>
          <w:b/>
        </w:rPr>
      </w:pPr>
      <w:r>
        <w:rPr>
          <w:b/>
        </w:rPr>
        <w:t>[2022] IEHC 135</w:t>
      </w:r>
    </w:p>
    <w:p w14:paraId="666738DF" w14:textId="5EEFFB8B" w:rsidR="00ED2350" w:rsidRPr="00D52D65" w:rsidRDefault="00ED2350" w:rsidP="005026C1">
      <w:pPr>
        <w:jc w:val="right"/>
        <w:rPr>
          <w:b/>
        </w:rPr>
      </w:pPr>
      <w:r>
        <w:rPr>
          <w:b/>
        </w:rPr>
        <w:t>[Record No. 2017/4816 P]</w:t>
      </w:r>
    </w:p>
    <w:p w14:paraId="20FDBFD8" w14:textId="676E4E73" w:rsidR="00ED2350" w:rsidRDefault="00ED2350" w:rsidP="00ED2350">
      <w:pPr>
        <w:spacing w:line="480" w:lineRule="auto"/>
        <w:rPr>
          <w:b/>
        </w:rPr>
      </w:pPr>
      <w:r w:rsidRPr="00D52D65">
        <w:rPr>
          <w:b/>
        </w:rPr>
        <w:t>BETWEEN</w:t>
      </w:r>
      <w:r w:rsidR="0039693C">
        <w:rPr>
          <w:b/>
        </w:rPr>
        <w:t>:</w:t>
      </w:r>
    </w:p>
    <w:p w14:paraId="41B58C79" w14:textId="77777777" w:rsidR="00ED2350" w:rsidRPr="00D52D65" w:rsidRDefault="00ED2350" w:rsidP="00ED2350">
      <w:pPr>
        <w:spacing w:line="480" w:lineRule="auto"/>
        <w:jc w:val="center"/>
        <w:rPr>
          <w:b/>
        </w:rPr>
      </w:pPr>
      <w:r>
        <w:rPr>
          <w:b/>
        </w:rPr>
        <w:t>GERRY ADAMS</w:t>
      </w:r>
    </w:p>
    <w:p w14:paraId="6CDAD0FA" w14:textId="77777777" w:rsidR="00ED2350" w:rsidRPr="00D52D65" w:rsidRDefault="00ED2350" w:rsidP="00ED2350">
      <w:pPr>
        <w:spacing w:line="480" w:lineRule="auto"/>
        <w:jc w:val="right"/>
        <w:rPr>
          <w:b/>
        </w:rPr>
      </w:pPr>
      <w:r>
        <w:rPr>
          <w:b/>
        </w:rPr>
        <w:t>PLAINTIFF</w:t>
      </w:r>
    </w:p>
    <w:p w14:paraId="218FEA8D" w14:textId="77777777" w:rsidR="00ED2350" w:rsidRDefault="00ED2350" w:rsidP="00ED2350">
      <w:pPr>
        <w:spacing w:line="480" w:lineRule="auto"/>
        <w:jc w:val="center"/>
        <w:rPr>
          <w:b/>
        </w:rPr>
      </w:pPr>
      <w:r>
        <w:rPr>
          <w:b/>
        </w:rPr>
        <w:t>AND</w:t>
      </w:r>
    </w:p>
    <w:p w14:paraId="2925F412" w14:textId="77777777" w:rsidR="00ED2350" w:rsidRDefault="00ED2350" w:rsidP="00ED2350">
      <w:pPr>
        <w:spacing w:line="480" w:lineRule="auto"/>
        <w:jc w:val="right"/>
        <w:rPr>
          <w:b/>
        </w:rPr>
      </w:pPr>
    </w:p>
    <w:p w14:paraId="30113001" w14:textId="77777777" w:rsidR="00ED2350" w:rsidRDefault="00ED2350" w:rsidP="00ED2350">
      <w:pPr>
        <w:spacing w:line="480" w:lineRule="auto"/>
        <w:jc w:val="center"/>
        <w:rPr>
          <w:b/>
        </w:rPr>
      </w:pPr>
      <w:r>
        <w:rPr>
          <w:b/>
        </w:rPr>
        <w:t>BRITISH BROADCASTING CORPORATION</w:t>
      </w:r>
    </w:p>
    <w:p w14:paraId="5CA046DA" w14:textId="5F2542BC" w:rsidR="00ED2350" w:rsidRDefault="00ED2350" w:rsidP="0039693C">
      <w:pPr>
        <w:spacing w:line="480" w:lineRule="auto"/>
        <w:jc w:val="right"/>
        <w:rPr>
          <w:b/>
        </w:rPr>
      </w:pPr>
      <w:r w:rsidRPr="00B10967">
        <w:rPr>
          <w:b/>
        </w:rPr>
        <w:t>DEFENDANT</w:t>
      </w:r>
    </w:p>
    <w:p w14:paraId="6DE8DFE0" w14:textId="4D4EA012" w:rsidR="00940AF4" w:rsidRPr="0039693C" w:rsidRDefault="00ED2350" w:rsidP="0039693C">
      <w:pPr>
        <w:spacing w:line="480" w:lineRule="auto"/>
        <w:rPr>
          <w:b/>
          <w:u w:val="single"/>
        </w:rPr>
      </w:pPr>
      <w:r w:rsidRPr="00171399">
        <w:rPr>
          <w:b/>
          <w:u w:val="single"/>
        </w:rPr>
        <w:t xml:space="preserve">JUDGMENT of </w:t>
      </w:r>
      <w:r>
        <w:rPr>
          <w:b/>
          <w:u w:val="single"/>
        </w:rPr>
        <w:t xml:space="preserve">Ms. Justice Emily Egan </w:t>
      </w:r>
      <w:r w:rsidRPr="00171399">
        <w:rPr>
          <w:b/>
          <w:u w:val="single"/>
        </w:rPr>
        <w:t xml:space="preserve">delivered on the </w:t>
      </w:r>
      <w:r>
        <w:rPr>
          <w:b/>
          <w:u w:val="single"/>
        </w:rPr>
        <w:t>11</w:t>
      </w:r>
      <w:r w:rsidRPr="00B62959">
        <w:rPr>
          <w:b/>
          <w:u w:val="single"/>
          <w:vertAlign w:val="superscript"/>
        </w:rPr>
        <w:t>th</w:t>
      </w:r>
      <w:r>
        <w:rPr>
          <w:b/>
          <w:u w:val="single"/>
        </w:rPr>
        <w:t xml:space="preserve"> </w:t>
      </w:r>
      <w:r w:rsidRPr="00171399">
        <w:rPr>
          <w:b/>
          <w:u w:val="single"/>
        </w:rPr>
        <w:t>day of</w:t>
      </w:r>
      <w:r>
        <w:rPr>
          <w:b/>
          <w:u w:val="single"/>
        </w:rPr>
        <w:t xml:space="preserve"> March 202</w:t>
      </w:r>
      <w:r w:rsidR="0039693C">
        <w:rPr>
          <w:b/>
          <w:u w:val="single"/>
        </w:rPr>
        <w:t>2</w:t>
      </w:r>
    </w:p>
    <w:sdt>
      <w:sdtPr>
        <w:rPr>
          <w:rFonts w:ascii="Times New Roman" w:eastAsia="Times New Roman" w:hAnsi="Times New Roman" w:cs="Times New Roman"/>
          <w:color w:val="auto"/>
          <w:sz w:val="24"/>
          <w:szCs w:val="24"/>
          <w:lang w:val="en-IE" w:eastAsia="en-IE"/>
        </w:rPr>
        <w:id w:val="1684094583"/>
        <w:docPartObj>
          <w:docPartGallery w:val="Table of Contents"/>
          <w:docPartUnique/>
        </w:docPartObj>
      </w:sdtPr>
      <w:sdtEndPr>
        <w:rPr>
          <w:b/>
          <w:bCs/>
          <w:noProof/>
        </w:rPr>
      </w:sdtEndPr>
      <w:sdtContent>
        <w:p w14:paraId="594FF3AA" w14:textId="29C62974" w:rsidR="00ED2350" w:rsidRPr="0039693C" w:rsidRDefault="00ED2350">
          <w:pPr>
            <w:pStyle w:val="TOCHeading"/>
            <w:rPr>
              <w:rFonts w:ascii="Times New Roman" w:hAnsi="Times New Roman" w:cs="Times New Roman"/>
              <w:color w:val="auto"/>
              <w:sz w:val="28"/>
              <w:szCs w:val="28"/>
            </w:rPr>
          </w:pPr>
          <w:r w:rsidRPr="0039693C">
            <w:rPr>
              <w:rFonts w:ascii="Times New Roman" w:hAnsi="Times New Roman" w:cs="Times New Roman"/>
              <w:color w:val="auto"/>
              <w:sz w:val="28"/>
              <w:szCs w:val="28"/>
            </w:rPr>
            <w:t>Contents</w:t>
          </w:r>
        </w:p>
        <w:p w14:paraId="4994A4E4" w14:textId="5F1CB4E6" w:rsidR="00895F9D" w:rsidRDefault="00ED2350">
          <w:pPr>
            <w:pStyle w:val="TOC1"/>
            <w:tabs>
              <w:tab w:val="right" w:leader="dot" w:pos="83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887621" w:history="1">
            <w:r w:rsidR="00895F9D" w:rsidRPr="005403BC">
              <w:rPr>
                <w:rStyle w:val="Hyperlink"/>
                <w:b/>
                <w:bCs/>
                <w:noProof/>
              </w:rPr>
              <w:t>Factual Background</w:t>
            </w:r>
            <w:r w:rsidR="00895F9D">
              <w:rPr>
                <w:noProof/>
                <w:webHidden/>
              </w:rPr>
              <w:tab/>
            </w:r>
            <w:r w:rsidR="00895F9D">
              <w:rPr>
                <w:noProof/>
                <w:webHidden/>
              </w:rPr>
              <w:fldChar w:fldCharType="begin"/>
            </w:r>
            <w:r w:rsidR="00895F9D">
              <w:rPr>
                <w:noProof/>
                <w:webHidden/>
              </w:rPr>
              <w:instrText xml:space="preserve"> PAGEREF _Toc97887621 \h </w:instrText>
            </w:r>
            <w:r w:rsidR="00895F9D">
              <w:rPr>
                <w:noProof/>
                <w:webHidden/>
              </w:rPr>
            </w:r>
            <w:r w:rsidR="00895F9D">
              <w:rPr>
                <w:noProof/>
                <w:webHidden/>
              </w:rPr>
              <w:fldChar w:fldCharType="separate"/>
            </w:r>
            <w:r w:rsidR="009D36F0">
              <w:rPr>
                <w:noProof/>
                <w:webHidden/>
              </w:rPr>
              <w:t>2</w:t>
            </w:r>
            <w:r w:rsidR="00895F9D">
              <w:rPr>
                <w:noProof/>
                <w:webHidden/>
              </w:rPr>
              <w:fldChar w:fldCharType="end"/>
            </w:r>
          </w:hyperlink>
        </w:p>
        <w:p w14:paraId="6686960B" w14:textId="04154B14" w:rsidR="00895F9D" w:rsidRDefault="009D36F0">
          <w:pPr>
            <w:pStyle w:val="TOC1"/>
            <w:tabs>
              <w:tab w:val="right" w:leader="dot" w:pos="8302"/>
            </w:tabs>
            <w:rPr>
              <w:rFonts w:asciiTheme="minorHAnsi" w:eastAsiaTheme="minorEastAsia" w:hAnsiTheme="minorHAnsi" w:cstheme="minorBidi"/>
              <w:noProof/>
              <w:sz w:val="22"/>
              <w:szCs w:val="22"/>
            </w:rPr>
          </w:pPr>
          <w:hyperlink w:anchor="_Toc97887622" w:history="1">
            <w:r w:rsidR="00895F9D" w:rsidRPr="005403BC">
              <w:rPr>
                <w:rStyle w:val="Hyperlink"/>
                <w:b/>
                <w:bCs/>
                <w:noProof/>
              </w:rPr>
              <w:t>Summons and statement of claim</w:t>
            </w:r>
            <w:r w:rsidR="00895F9D">
              <w:rPr>
                <w:noProof/>
                <w:webHidden/>
              </w:rPr>
              <w:tab/>
            </w:r>
            <w:r w:rsidR="00895F9D">
              <w:rPr>
                <w:noProof/>
                <w:webHidden/>
              </w:rPr>
              <w:fldChar w:fldCharType="begin"/>
            </w:r>
            <w:r w:rsidR="00895F9D">
              <w:rPr>
                <w:noProof/>
                <w:webHidden/>
              </w:rPr>
              <w:instrText xml:space="preserve"> PAGEREF _Toc97887622 \h </w:instrText>
            </w:r>
            <w:r w:rsidR="00895F9D">
              <w:rPr>
                <w:noProof/>
                <w:webHidden/>
              </w:rPr>
            </w:r>
            <w:r w:rsidR="00895F9D">
              <w:rPr>
                <w:noProof/>
                <w:webHidden/>
              </w:rPr>
              <w:fldChar w:fldCharType="separate"/>
            </w:r>
            <w:r>
              <w:rPr>
                <w:noProof/>
                <w:webHidden/>
              </w:rPr>
              <w:t>3</w:t>
            </w:r>
            <w:r w:rsidR="00895F9D">
              <w:rPr>
                <w:noProof/>
                <w:webHidden/>
              </w:rPr>
              <w:fldChar w:fldCharType="end"/>
            </w:r>
          </w:hyperlink>
        </w:p>
        <w:p w14:paraId="54370E52" w14:textId="27120FAE" w:rsidR="00895F9D" w:rsidRDefault="009D36F0">
          <w:pPr>
            <w:pStyle w:val="TOC1"/>
            <w:tabs>
              <w:tab w:val="right" w:leader="dot" w:pos="8302"/>
            </w:tabs>
            <w:rPr>
              <w:rFonts w:asciiTheme="minorHAnsi" w:eastAsiaTheme="minorEastAsia" w:hAnsiTheme="minorHAnsi" w:cstheme="minorBidi"/>
              <w:noProof/>
              <w:sz w:val="22"/>
              <w:szCs w:val="22"/>
            </w:rPr>
          </w:pPr>
          <w:hyperlink w:anchor="_Toc97887623" w:history="1">
            <w:r w:rsidR="00895F9D" w:rsidRPr="005403BC">
              <w:rPr>
                <w:rStyle w:val="Hyperlink"/>
                <w:b/>
                <w:bCs/>
                <w:noProof/>
              </w:rPr>
              <w:t>Defence</w:t>
            </w:r>
            <w:r w:rsidR="00895F9D">
              <w:rPr>
                <w:noProof/>
                <w:webHidden/>
              </w:rPr>
              <w:tab/>
            </w:r>
            <w:r w:rsidR="00895F9D">
              <w:rPr>
                <w:noProof/>
                <w:webHidden/>
              </w:rPr>
              <w:fldChar w:fldCharType="begin"/>
            </w:r>
            <w:r w:rsidR="00895F9D">
              <w:rPr>
                <w:noProof/>
                <w:webHidden/>
              </w:rPr>
              <w:instrText xml:space="preserve"> PAGEREF _Toc97887623 \h </w:instrText>
            </w:r>
            <w:r w:rsidR="00895F9D">
              <w:rPr>
                <w:noProof/>
                <w:webHidden/>
              </w:rPr>
            </w:r>
            <w:r w:rsidR="00895F9D">
              <w:rPr>
                <w:noProof/>
                <w:webHidden/>
              </w:rPr>
              <w:fldChar w:fldCharType="separate"/>
            </w:r>
            <w:r>
              <w:rPr>
                <w:noProof/>
                <w:webHidden/>
              </w:rPr>
              <w:t>3</w:t>
            </w:r>
            <w:r w:rsidR="00895F9D">
              <w:rPr>
                <w:noProof/>
                <w:webHidden/>
              </w:rPr>
              <w:fldChar w:fldCharType="end"/>
            </w:r>
          </w:hyperlink>
        </w:p>
        <w:p w14:paraId="5F2D2FF6" w14:textId="6EC4D0E1"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24" w:history="1">
            <w:r w:rsidR="00895F9D" w:rsidRPr="005403BC">
              <w:rPr>
                <w:rStyle w:val="Hyperlink"/>
                <w:i/>
                <w:iCs/>
                <w:noProof/>
              </w:rPr>
              <w:t>Pleas relevant to both application to strike out and to discovery application</w:t>
            </w:r>
            <w:r w:rsidR="00895F9D">
              <w:rPr>
                <w:noProof/>
                <w:webHidden/>
              </w:rPr>
              <w:tab/>
            </w:r>
            <w:r w:rsidR="00895F9D">
              <w:rPr>
                <w:noProof/>
                <w:webHidden/>
              </w:rPr>
              <w:fldChar w:fldCharType="begin"/>
            </w:r>
            <w:r w:rsidR="00895F9D">
              <w:rPr>
                <w:noProof/>
                <w:webHidden/>
              </w:rPr>
              <w:instrText xml:space="preserve"> PAGEREF _Toc97887624 \h </w:instrText>
            </w:r>
            <w:r w:rsidR="00895F9D">
              <w:rPr>
                <w:noProof/>
                <w:webHidden/>
              </w:rPr>
            </w:r>
            <w:r w:rsidR="00895F9D">
              <w:rPr>
                <w:noProof/>
                <w:webHidden/>
              </w:rPr>
              <w:fldChar w:fldCharType="separate"/>
            </w:r>
            <w:r>
              <w:rPr>
                <w:noProof/>
                <w:webHidden/>
              </w:rPr>
              <w:t>4</w:t>
            </w:r>
            <w:r w:rsidR="00895F9D">
              <w:rPr>
                <w:noProof/>
                <w:webHidden/>
              </w:rPr>
              <w:fldChar w:fldCharType="end"/>
            </w:r>
          </w:hyperlink>
        </w:p>
        <w:p w14:paraId="6395D7D7" w14:textId="601A3DEB"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25" w:history="1">
            <w:r w:rsidR="00895F9D" w:rsidRPr="005403BC">
              <w:rPr>
                <w:rStyle w:val="Hyperlink"/>
                <w:i/>
                <w:iCs/>
                <w:noProof/>
              </w:rPr>
              <w:t>Pleas relevant to discovery application</w:t>
            </w:r>
            <w:r w:rsidR="00895F9D">
              <w:rPr>
                <w:noProof/>
                <w:webHidden/>
              </w:rPr>
              <w:tab/>
            </w:r>
            <w:r w:rsidR="00895F9D">
              <w:rPr>
                <w:noProof/>
                <w:webHidden/>
              </w:rPr>
              <w:fldChar w:fldCharType="begin"/>
            </w:r>
            <w:r w:rsidR="00895F9D">
              <w:rPr>
                <w:noProof/>
                <w:webHidden/>
              </w:rPr>
              <w:instrText xml:space="preserve"> PAGEREF _Toc97887625 \h </w:instrText>
            </w:r>
            <w:r w:rsidR="00895F9D">
              <w:rPr>
                <w:noProof/>
                <w:webHidden/>
              </w:rPr>
            </w:r>
            <w:r w:rsidR="00895F9D">
              <w:rPr>
                <w:noProof/>
                <w:webHidden/>
              </w:rPr>
              <w:fldChar w:fldCharType="separate"/>
            </w:r>
            <w:r>
              <w:rPr>
                <w:noProof/>
                <w:webHidden/>
              </w:rPr>
              <w:t>6</w:t>
            </w:r>
            <w:r w:rsidR="00895F9D">
              <w:rPr>
                <w:noProof/>
                <w:webHidden/>
              </w:rPr>
              <w:fldChar w:fldCharType="end"/>
            </w:r>
          </w:hyperlink>
        </w:p>
        <w:p w14:paraId="06864D64" w14:textId="75B98F84" w:rsidR="00895F9D" w:rsidRDefault="009D36F0">
          <w:pPr>
            <w:pStyle w:val="TOC1"/>
            <w:tabs>
              <w:tab w:val="right" w:leader="dot" w:pos="8302"/>
            </w:tabs>
            <w:rPr>
              <w:rFonts w:asciiTheme="minorHAnsi" w:eastAsiaTheme="minorEastAsia" w:hAnsiTheme="minorHAnsi" w:cstheme="minorBidi"/>
              <w:noProof/>
              <w:sz w:val="22"/>
              <w:szCs w:val="22"/>
            </w:rPr>
          </w:pPr>
          <w:hyperlink w:anchor="_Toc97887626" w:history="1">
            <w:r w:rsidR="00895F9D" w:rsidRPr="005403BC">
              <w:rPr>
                <w:rStyle w:val="Hyperlink"/>
                <w:b/>
                <w:bCs/>
                <w:noProof/>
              </w:rPr>
              <w:t>Judgment in respect of previous applications</w:t>
            </w:r>
            <w:r w:rsidR="00895F9D">
              <w:rPr>
                <w:noProof/>
                <w:webHidden/>
              </w:rPr>
              <w:tab/>
            </w:r>
            <w:r w:rsidR="00895F9D">
              <w:rPr>
                <w:noProof/>
                <w:webHidden/>
              </w:rPr>
              <w:fldChar w:fldCharType="begin"/>
            </w:r>
            <w:r w:rsidR="00895F9D">
              <w:rPr>
                <w:noProof/>
                <w:webHidden/>
              </w:rPr>
              <w:instrText xml:space="preserve"> PAGEREF _Toc97887626 \h </w:instrText>
            </w:r>
            <w:r w:rsidR="00895F9D">
              <w:rPr>
                <w:noProof/>
                <w:webHidden/>
              </w:rPr>
            </w:r>
            <w:r w:rsidR="00895F9D">
              <w:rPr>
                <w:noProof/>
                <w:webHidden/>
              </w:rPr>
              <w:fldChar w:fldCharType="separate"/>
            </w:r>
            <w:r>
              <w:rPr>
                <w:noProof/>
                <w:webHidden/>
              </w:rPr>
              <w:t>7</w:t>
            </w:r>
            <w:r w:rsidR="00895F9D">
              <w:rPr>
                <w:noProof/>
                <w:webHidden/>
              </w:rPr>
              <w:fldChar w:fldCharType="end"/>
            </w:r>
          </w:hyperlink>
        </w:p>
        <w:p w14:paraId="6953B996" w14:textId="7329111B" w:rsidR="00895F9D" w:rsidRDefault="009D36F0">
          <w:pPr>
            <w:pStyle w:val="TOC1"/>
            <w:tabs>
              <w:tab w:val="right" w:leader="dot" w:pos="8302"/>
            </w:tabs>
            <w:rPr>
              <w:rFonts w:asciiTheme="minorHAnsi" w:eastAsiaTheme="minorEastAsia" w:hAnsiTheme="minorHAnsi" w:cstheme="minorBidi"/>
              <w:noProof/>
              <w:sz w:val="22"/>
              <w:szCs w:val="22"/>
            </w:rPr>
          </w:pPr>
          <w:hyperlink w:anchor="_Toc97887627" w:history="1">
            <w:r w:rsidR="00895F9D" w:rsidRPr="005403BC">
              <w:rPr>
                <w:rStyle w:val="Hyperlink"/>
                <w:b/>
                <w:bCs/>
                <w:noProof/>
              </w:rPr>
              <w:t>First motion: plaintiff’s motion to strike out parts of the defendant’s defence</w:t>
            </w:r>
            <w:r w:rsidR="00895F9D">
              <w:rPr>
                <w:noProof/>
                <w:webHidden/>
              </w:rPr>
              <w:tab/>
            </w:r>
            <w:r w:rsidR="00895F9D">
              <w:rPr>
                <w:noProof/>
                <w:webHidden/>
              </w:rPr>
              <w:fldChar w:fldCharType="begin"/>
            </w:r>
            <w:r w:rsidR="00895F9D">
              <w:rPr>
                <w:noProof/>
                <w:webHidden/>
              </w:rPr>
              <w:instrText xml:space="preserve"> PAGEREF _Toc97887627 \h </w:instrText>
            </w:r>
            <w:r w:rsidR="00895F9D">
              <w:rPr>
                <w:noProof/>
                <w:webHidden/>
              </w:rPr>
            </w:r>
            <w:r w:rsidR="00895F9D">
              <w:rPr>
                <w:noProof/>
                <w:webHidden/>
              </w:rPr>
              <w:fldChar w:fldCharType="separate"/>
            </w:r>
            <w:r>
              <w:rPr>
                <w:noProof/>
                <w:webHidden/>
              </w:rPr>
              <w:t>8</w:t>
            </w:r>
            <w:r w:rsidR="00895F9D">
              <w:rPr>
                <w:noProof/>
                <w:webHidden/>
              </w:rPr>
              <w:fldChar w:fldCharType="end"/>
            </w:r>
          </w:hyperlink>
        </w:p>
        <w:p w14:paraId="4C039B8A" w14:textId="5FAD49A2"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28" w:history="1">
            <w:r w:rsidR="00895F9D" w:rsidRPr="005403BC">
              <w:rPr>
                <w:rStyle w:val="Hyperlink"/>
                <w:i/>
                <w:iCs/>
                <w:noProof/>
              </w:rPr>
              <w:t>Structure</w:t>
            </w:r>
            <w:r w:rsidR="00895F9D">
              <w:rPr>
                <w:noProof/>
                <w:webHidden/>
              </w:rPr>
              <w:tab/>
            </w:r>
            <w:r w:rsidR="00895F9D">
              <w:rPr>
                <w:noProof/>
                <w:webHidden/>
              </w:rPr>
              <w:fldChar w:fldCharType="begin"/>
            </w:r>
            <w:r w:rsidR="00895F9D">
              <w:rPr>
                <w:noProof/>
                <w:webHidden/>
              </w:rPr>
              <w:instrText xml:space="preserve"> PAGEREF _Toc97887628 \h </w:instrText>
            </w:r>
            <w:r w:rsidR="00895F9D">
              <w:rPr>
                <w:noProof/>
                <w:webHidden/>
              </w:rPr>
            </w:r>
            <w:r w:rsidR="00895F9D">
              <w:rPr>
                <w:noProof/>
                <w:webHidden/>
              </w:rPr>
              <w:fldChar w:fldCharType="separate"/>
            </w:r>
            <w:r>
              <w:rPr>
                <w:noProof/>
                <w:webHidden/>
              </w:rPr>
              <w:t>8</w:t>
            </w:r>
            <w:r w:rsidR="00895F9D">
              <w:rPr>
                <w:noProof/>
                <w:webHidden/>
              </w:rPr>
              <w:fldChar w:fldCharType="end"/>
            </w:r>
          </w:hyperlink>
        </w:p>
        <w:p w14:paraId="4172D420" w14:textId="7F48E99E"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29" w:history="1">
            <w:r w:rsidR="00895F9D" w:rsidRPr="005403BC">
              <w:rPr>
                <w:rStyle w:val="Hyperlink"/>
                <w:i/>
                <w:iCs/>
                <w:noProof/>
              </w:rPr>
              <w:t>Factual basis for the application</w:t>
            </w:r>
            <w:r w:rsidR="00895F9D">
              <w:rPr>
                <w:noProof/>
                <w:webHidden/>
              </w:rPr>
              <w:tab/>
            </w:r>
            <w:r w:rsidR="00895F9D">
              <w:rPr>
                <w:noProof/>
                <w:webHidden/>
              </w:rPr>
              <w:fldChar w:fldCharType="begin"/>
            </w:r>
            <w:r w:rsidR="00895F9D">
              <w:rPr>
                <w:noProof/>
                <w:webHidden/>
              </w:rPr>
              <w:instrText xml:space="preserve"> PAGEREF _Toc97887629 \h </w:instrText>
            </w:r>
            <w:r w:rsidR="00895F9D">
              <w:rPr>
                <w:noProof/>
                <w:webHidden/>
              </w:rPr>
            </w:r>
            <w:r w:rsidR="00895F9D">
              <w:rPr>
                <w:noProof/>
                <w:webHidden/>
              </w:rPr>
              <w:fldChar w:fldCharType="separate"/>
            </w:r>
            <w:r>
              <w:rPr>
                <w:noProof/>
                <w:webHidden/>
              </w:rPr>
              <w:t>8</w:t>
            </w:r>
            <w:r w:rsidR="00895F9D">
              <w:rPr>
                <w:noProof/>
                <w:webHidden/>
              </w:rPr>
              <w:fldChar w:fldCharType="end"/>
            </w:r>
          </w:hyperlink>
        </w:p>
        <w:p w14:paraId="6D40A50A" w14:textId="01AE2F0C"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0" w:history="1">
            <w:r w:rsidR="00895F9D" w:rsidRPr="005403BC">
              <w:rPr>
                <w:rStyle w:val="Hyperlink"/>
                <w:i/>
                <w:iCs/>
                <w:noProof/>
              </w:rPr>
              <w:t>Test to be applied in application to strike out defence</w:t>
            </w:r>
            <w:r w:rsidR="00895F9D">
              <w:rPr>
                <w:noProof/>
                <w:webHidden/>
              </w:rPr>
              <w:tab/>
            </w:r>
            <w:r w:rsidR="00895F9D">
              <w:rPr>
                <w:noProof/>
                <w:webHidden/>
              </w:rPr>
              <w:fldChar w:fldCharType="begin"/>
            </w:r>
            <w:r w:rsidR="00895F9D">
              <w:rPr>
                <w:noProof/>
                <w:webHidden/>
              </w:rPr>
              <w:instrText xml:space="preserve"> PAGEREF _Toc97887630 \h </w:instrText>
            </w:r>
            <w:r w:rsidR="00895F9D">
              <w:rPr>
                <w:noProof/>
                <w:webHidden/>
              </w:rPr>
            </w:r>
            <w:r w:rsidR="00895F9D">
              <w:rPr>
                <w:noProof/>
                <w:webHidden/>
              </w:rPr>
              <w:fldChar w:fldCharType="separate"/>
            </w:r>
            <w:r>
              <w:rPr>
                <w:noProof/>
                <w:webHidden/>
              </w:rPr>
              <w:t>10</w:t>
            </w:r>
            <w:r w:rsidR="00895F9D">
              <w:rPr>
                <w:noProof/>
                <w:webHidden/>
              </w:rPr>
              <w:fldChar w:fldCharType="end"/>
            </w:r>
          </w:hyperlink>
        </w:p>
        <w:p w14:paraId="64087388" w14:textId="12480757"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1" w:history="1">
            <w:r w:rsidR="00895F9D" w:rsidRPr="005403BC">
              <w:rPr>
                <w:rStyle w:val="Hyperlink"/>
                <w:i/>
                <w:noProof/>
              </w:rPr>
              <w:t>Plaintiff’s key line of authority; Loutchansky v. Times Independent Newspapers [2008] QB 783</w:t>
            </w:r>
            <w:r w:rsidR="00895F9D">
              <w:rPr>
                <w:noProof/>
                <w:webHidden/>
              </w:rPr>
              <w:tab/>
            </w:r>
            <w:r w:rsidR="00895F9D">
              <w:rPr>
                <w:noProof/>
                <w:webHidden/>
              </w:rPr>
              <w:fldChar w:fldCharType="begin"/>
            </w:r>
            <w:r w:rsidR="00895F9D">
              <w:rPr>
                <w:noProof/>
                <w:webHidden/>
              </w:rPr>
              <w:instrText xml:space="preserve"> PAGEREF _Toc97887631 \h </w:instrText>
            </w:r>
            <w:r w:rsidR="00895F9D">
              <w:rPr>
                <w:noProof/>
                <w:webHidden/>
              </w:rPr>
            </w:r>
            <w:r w:rsidR="00895F9D">
              <w:rPr>
                <w:noProof/>
                <w:webHidden/>
              </w:rPr>
              <w:fldChar w:fldCharType="separate"/>
            </w:r>
            <w:r>
              <w:rPr>
                <w:noProof/>
                <w:webHidden/>
              </w:rPr>
              <w:t>13</w:t>
            </w:r>
            <w:r w:rsidR="00895F9D">
              <w:rPr>
                <w:noProof/>
                <w:webHidden/>
              </w:rPr>
              <w:fldChar w:fldCharType="end"/>
            </w:r>
          </w:hyperlink>
        </w:p>
        <w:p w14:paraId="33450ED6" w14:textId="09497B9C"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2" w:history="1">
            <w:r w:rsidR="00895F9D" w:rsidRPr="005403BC">
              <w:rPr>
                <w:rStyle w:val="Hyperlink"/>
                <w:i/>
                <w:iCs/>
                <w:noProof/>
              </w:rPr>
              <w:t>The single publication rule</w:t>
            </w:r>
            <w:r w:rsidR="00895F9D">
              <w:rPr>
                <w:noProof/>
                <w:webHidden/>
              </w:rPr>
              <w:tab/>
            </w:r>
            <w:r w:rsidR="00895F9D">
              <w:rPr>
                <w:noProof/>
                <w:webHidden/>
              </w:rPr>
              <w:fldChar w:fldCharType="begin"/>
            </w:r>
            <w:r w:rsidR="00895F9D">
              <w:rPr>
                <w:noProof/>
                <w:webHidden/>
              </w:rPr>
              <w:instrText xml:space="preserve"> PAGEREF _Toc97887632 \h </w:instrText>
            </w:r>
            <w:r w:rsidR="00895F9D">
              <w:rPr>
                <w:noProof/>
                <w:webHidden/>
              </w:rPr>
            </w:r>
            <w:r w:rsidR="00895F9D">
              <w:rPr>
                <w:noProof/>
                <w:webHidden/>
              </w:rPr>
              <w:fldChar w:fldCharType="separate"/>
            </w:r>
            <w:r>
              <w:rPr>
                <w:noProof/>
                <w:webHidden/>
              </w:rPr>
              <w:t>17</w:t>
            </w:r>
            <w:r w:rsidR="00895F9D">
              <w:rPr>
                <w:noProof/>
                <w:webHidden/>
              </w:rPr>
              <w:fldChar w:fldCharType="end"/>
            </w:r>
          </w:hyperlink>
        </w:p>
        <w:p w14:paraId="7B56E6D4" w14:textId="23A043B8"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3" w:history="1">
            <w:r w:rsidR="00895F9D" w:rsidRPr="005403BC">
              <w:rPr>
                <w:rStyle w:val="Hyperlink"/>
                <w:i/>
                <w:iCs/>
                <w:noProof/>
              </w:rPr>
              <w:t>Conclusion on application to strike out</w:t>
            </w:r>
            <w:r w:rsidR="00895F9D">
              <w:rPr>
                <w:noProof/>
                <w:webHidden/>
              </w:rPr>
              <w:tab/>
            </w:r>
            <w:r w:rsidR="00895F9D">
              <w:rPr>
                <w:noProof/>
                <w:webHidden/>
              </w:rPr>
              <w:fldChar w:fldCharType="begin"/>
            </w:r>
            <w:r w:rsidR="00895F9D">
              <w:rPr>
                <w:noProof/>
                <w:webHidden/>
              </w:rPr>
              <w:instrText xml:space="preserve"> PAGEREF _Toc97887633 \h </w:instrText>
            </w:r>
            <w:r w:rsidR="00895F9D">
              <w:rPr>
                <w:noProof/>
                <w:webHidden/>
              </w:rPr>
            </w:r>
            <w:r w:rsidR="00895F9D">
              <w:rPr>
                <w:noProof/>
                <w:webHidden/>
              </w:rPr>
              <w:fldChar w:fldCharType="separate"/>
            </w:r>
            <w:r>
              <w:rPr>
                <w:noProof/>
                <w:webHidden/>
              </w:rPr>
              <w:t>22</w:t>
            </w:r>
            <w:r w:rsidR="00895F9D">
              <w:rPr>
                <w:noProof/>
                <w:webHidden/>
              </w:rPr>
              <w:fldChar w:fldCharType="end"/>
            </w:r>
          </w:hyperlink>
        </w:p>
        <w:p w14:paraId="4FE250F8" w14:textId="3AE2DF08" w:rsidR="00895F9D" w:rsidRDefault="009D36F0">
          <w:pPr>
            <w:pStyle w:val="TOC1"/>
            <w:tabs>
              <w:tab w:val="right" w:leader="dot" w:pos="8302"/>
            </w:tabs>
            <w:rPr>
              <w:rFonts w:asciiTheme="minorHAnsi" w:eastAsiaTheme="minorEastAsia" w:hAnsiTheme="minorHAnsi" w:cstheme="minorBidi"/>
              <w:noProof/>
              <w:sz w:val="22"/>
              <w:szCs w:val="22"/>
            </w:rPr>
          </w:pPr>
          <w:hyperlink w:anchor="_Toc97887634" w:history="1">
            <w:r w:rsidR="00895F9D" w:rsidRPr="005403BC">
              <w:rPr>
                <w:rStyle w:val="Hyperlink"/>
                <w:b/>
                <w:bCs/>
                <w:noProof/>
              </w:rPr>
              <w:t>Second motion: defendant’s application for discovery</w:t>
            </w:r>
            <w:r w:rsidR="00895F9D">
              <w:rPr>
                <w:noProof/>
                <w:webHidden/>
              </w:rPr>
              <w:tab/>
            </w:r>
            <w:r w:rsidR="00895F9D">
              <w:rPr>
                <w:noProof/>
                <w:webHidden/>
              </w:rPr>
              <w:fldChar w:fldCharType="begin"/>
            </w:r>
            <w:r w:rsidR="00895F9D">
              <w:rPr>
                <w:noProof/>
                <w:webHidden/>
              </w:rPr>
              <w:instrText xml:space="preserve"> PAGEREF _Toc97887634 \h </w:instrText>
            </w:r>
            <w:r w:rsidR="00895F9D">
              <w:rPr>
                <w:noProof/>
                <w:webHidden/>
              </w:rPr>
            </w:r>
            <w:r w:rsidR="00895F9D">
              <w:rPr>
                <w:noProof/>
                <w:webHidden/>
              </w:rPr>
              <w:fldChar w:fldCharType="separate"/>
            </w:r>
            <w:r>
              <w:rPr>
                <w:noProof/>
                <w:webHidden/>
              </w:rPr>
              <w:t>24</w:t>
            </w:r>
            <w:r w:rsidR="00895F9D">
              <w:rPr>
                <w:noProof/>
                <w:webHidden/>
              </w:rPr>
              <w:fldChar w:fldCharType="end"/>
            </w:r>
          </w:hyperlink>
        </w:p>
        <w:p w14:paraId="384920F9" w14:textId="1DCD86B8"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5" w:history="1">
            <w:r w:rsidR="00895F9D" w:rsidRPr="005403BC">
              <w:rPr>
                <w:rStyle w:val="Hyperlink"/>
                <w:i/>
                <w:iCs/>
                <w:noProof/>
              </w:rPr>
              <w:t>Relevance</w:t>
            </w:r>
            <w:r w:rsidR="00895F9D">
              <w:rPr>
                <w:noProof/>
                <w:webHidden/>
              </w:rPr>
              <w:tab/>
            </w:r>
            <w:r w:rsidR="00895F9D">
              <w:rPr>
                <w:noProof/>
                <w:webHidden/>
              </w:rPr>
              <w:fldChar w:fldCharType="begin"/>
            </w:r>
            <w:r w:rsidR="00895F9D">
              <w:rPr>
                <w:noProof/>
                <w:webHidden/>
              </w:rPr>
              <w:instrText xml:space="preserve"> PAGEREF _Toc97887635 \h </w:instrText>
            </w:r>
            <w:r w:rsidR="00895F9D">
              <w:rPr>
                <w:noProof/>
                <w:webHidden/>
              </w:rPr>
            </w:r>
            <w:r w:rsidR="00895F9D">
              <w:rPr>
                <w:noProof/>
                <w:webHidden/>
              </w:rPr>
              <w:fldChar w:fldCharType="separate"/>
            </w:r>
            <w:r>
              <w:rPr>
                <w:noProof/>
                <w:webHidden/>
              </w:rPr>
              <w:t>28</w:t>
            </w:r>
            <w:r w:rsidR="00895F9D">
              <w:rPr>
                <w:noProof/>
                <w:webHidden/>
              </w:rPr>
              <w:fldChar w:fldCharType="end"/>
            </w:r>
          </w:hyperlink>
        </w:p>
        <w:p w14:paraId="6882B2FE" w14:textId="13E2CBFE"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6" w:history="1">
            <w:r w:rsidR="00895F9D" w:rsidRPr="005403BC">
              <w:rPr>
                <w:rStyle w:val="Hyperlink"/>
                <w:i/>
                <w:iCs/>
                <w:noProof/>
              </w:rPr>
              <w:t>Necessity</w:t>
            </w:r>
            <w:r w:rsidR="00895F9D">
              <w:rPr>
                <w:noProof/>
                <w:webHidden/>
              </w:rPr>
              <w:tab/>
            </w:r>
            <w:r w:rsidR="00895F9D">
              <w:rPr>
                <w:noProof/>
                <w:webHidden/>
              </w:rPr>
              <w:fldChar w:fldCharType="begin"/>
            </w:r>
            <w:r w:rsidR="00895F9D">
              <w:rPr>
                <w:noProof/>
                <w:webHidden/>
              </w:rPr>
              <w:instrText xml:space="preserve"> PAGEREF _Toc97887636 \h </w:instrText>
            </w:r>
            <w:r w:rsidR="00895F9D">
              <w:rPr>
                <w:noProof/>
                <w:webHidden/>
              </w:rPr>
            </w:r>
            <w:r w:rsidR="00895F9D">
              <w:rPr>
                <w:noProof/>
                <w:webHidden/>
              </w:rPr>
              <w:fldChar w:fldCharType="separate"/>
            </w:r>
            <w:r>
              <w:rPr>
                <w:noProof/>
                <w:webHidden/>
              </w:rPr>
              <w:t>32</w:t>
            </w:r>
            <w:r w:rsidR="00895F9D">
              <w:rPr>
                <w:noProof/>
                <w:webHidden/>
              </w:rPr>
              <w:fldChar w:fldCharType="end"/>
            </w:r>
          </w:hyperlink>
        </w:p>
        <w:p w14:paraId="79199F80" w14:textId="08D5C1E8"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7" w:history="1">
            <w:r w:rsidR="00895F9D" w:rsidRPr="005403BC">
              <w:rPr>
                <w:rStyle w:val="Hyperlink"/>
                <w:i/>
                <w:iCs/>
                <w:noProof/>
              </w:rPr>
              <w:t>Proportionality</w:t>
            </w:r>
            <w:r w:rsidR="00895F9D">
              <w:rPr>
                <w:noProof/>
                <w:webHidden/>
              </w:rPr>
              <w:tab/>
            </w:r>
            <w:r w:rsidR="00895F9D">
              <w:rPr>
                <w:noProof/>
                <w:webHidden/>
              </w:rPr>
              <w:fldChar w:fldCharType="begin"/>
            </w:r>
            <w:r w:rsidR="00895F9D">
              <w:rPr>
                <w:noProof/>
                <w:webHidden/>
              </w:rPr>
              <w:instrText xml:space="preserve"> PAGEREF _Toc97887637 \h </w:instrText>
            </w:r>
            <w:r w:rsidR="00895F9D">
              <w:rPr>
                <w:noProof/>
                <w:webHidden/>
              </w:rPr>
            </w:r>
            <w:r w:rsidR="00895F9D">
              <w:rPr>
                <w:noProof/>
                <w:webHidden/>
              </w:rPr>
              <w:fldChar w:fldCharType="separate"/>
            </w:r>
            <w:r>
              <w:rPr>
                <w:noProof/>
                <w:webHidden/>
              </w:rPr>
              <w:t>33</w:t>
            </w:r>
            <w:r w:rsidR="00895F9D">
              <w:rPr>
                <w:noProof/>
                <w:webHidden/>
              </w:rPr>
              <w:fldChar w:fldCharType="end"/>
            </w:r>
          </w:hyperlink>
        </w:p>
        <w:p w14:paraId="6708DA8C" w14:textId="45F9216C" w:rsidR="00895F9D" w:rsidRDefault="009D36F0">
          <w:pPr>
            <w:pStyle w:val="TOC3"/>
            <w:tabs>
              <w:tab w:val="right" w:leader="dot" w:pos="8302"/>
            </w:tabs>
            <w:rPr>
              <w:rFonts w:asciiTheme="minorHAnsi" w:eastAsiaTheme="minorEastAsia" w:hAnsiTheme="minorHAnsi" w:cstheme="minorBidi"/>
              <w:noProof/>
              <w:sz w:val="22"/>
              <w:szCs w:val="22"/>
            </w:rPr>
          </w:pPr>
          <w:hyperlink w:anchor="_Toc97887638" w:history="1">
            <w:r w:rsidR="00895F9D" w:rsidRPr="005403BC">
              <w:rPr>
                <w:rStyle w:val="Hyperlink"/>
                <w:i/>
                <w:iCs/>
                <w:noProof/>
              </w:rPr>
              <w:t>Conclusion on discovery application</w:t>
            </w:r>
            <w:r w:rsidR="00895F9D">
              <w:rPr>
                <w:noProof/>
                <w:webHidden/>
              </w:rPr>
              <w:tab/>
            </w:r>
            <w:r w:rsidR="00895F9D">
              <w:rPr>
                <w:noProof/>
                <w:webHidden/>
              </w:rPr>
              <w:fldChar w:fldCharType="begin"/>
            </w:r>
            <w:r w:rsidR="00895F9D">
              <w:rPr>
                <w:noProof/>
                <w:webHidden/>
              </w:rPr>
              <w:instrText xml:space="preserve"> PAGEREF _Toc97887638 \h </w:instrText>
            </w:r>
            <w:r w:rsidR="00895F9D">
              <w:rPr>
                <w:noProof/>
                <w:webHidden/>
              </w:rPr>
            </w:r>
            <w:r w:rsidR="00895F9D">
              <w:rPr>
                <w:noProof/>
                <w:webHidden/>
              </w:rPr>
              <w:fldChar w:fldCharType="separate"/>
            </w:r>
            <w:r>
              <w:rPr>
                <w:noProof/>
                <w:webHidden/>
              </w:rPr>
              <w:t>34</w:t>
            </w:r>
            <w:r w:rsidR="00895F9D">
              <w:rPr>
                <w:noProof/>
                <w:webHidden/>
              </w:rPr>
              <w:fldChar w:fldCharType="end"/>
            </w:r>
          </w:hyperlink>
        </w:p>
        <w:p w14:paraId="0AD3CFD8" w14:textId="59B5202C" w:rsidR="0039693C" w:rsidRDefault="00ED2350" w:rsidP="0039693C">
          <w:pPr>
            <w:rPr>
              <w:b/>
              <w:bCs/>
              <w:noProof/>
            </w:rPr>
          </w:pPr>
          <w:r>
            <w:rPr>
              <w:b/>
              <w:bCs/>
              <w:noProof/>
            </w:rPr>
            <w:fldChar w:fldCharType="end"/>
          </w:r>
        </w:p>
      </w:sdtContent>
    </w:sdt>
    <w:p w14:paraId="48FA20E2" w14:textId="77777777" w:rsidR="0039693C" w:rsidRDefault="0039693C" w:rsidP="0039693C">
      <w:pPr>
        <w:rPr>
          <w:b/>
          <w:bCs/>
          <w:u w:val="single"/>
        </w:rPr>
      </w:pPr>
    </w:p>
    <w:p w14:paraId="49AE171D" w14:textId="4BCE6B60" w:rsidR="00ED2350" w:rsidRPr="0039693C" w:rsidRDefault="00ED2350" w:rsidP="0039693C">
      <w:pPr>
        <w:rPr>
          <w:b/>
          <w:bCs/>
          <w:noProof/>
        </w:rPr>
      </w:pPr>
      <w:r w:rsidRPr="001357B0">
        <w:rPr>
          <w:b/>
          <w:bCs/>
          <w:u w:val="single"/>
        </w:rPr>
        <w:lastRenderedPageBreak/>
        <w:t>Introduction</w:t>
      </w:r>
    </w:p>
    <w:p w14:paraId="370B5AFB" w14:textId="77777777" w:rsidR="00ED2350" w:rsidRPr="00A16ADD" w:rsidRDefault="00ED2350" w:rsidP="00B62959"/>
    <w:p w14:paraId="1959A464" w14:textId="37EB8056" w:rsidR="00940AF4" w:rsidRDefault="00502453" w:rsidP="00B62959">
      <w:pPr>
        <w:numPr>
          <w:ilvl w:val="0"/>
          <w:numId w:val="8"/>
        </w:numPr>
        <w:spacing w:line="480" w:lineRule="auto"/>
        <w:jc w:val="both"/>
      </w:pPr>
      <w:r w:rsidRPr="00CD72A5">
        <w:t>In the above defamation proceedings, two motions are brought before the court</w:t>
      </w:r>
      <w:r w:rsidR="00D16FBE" w:rsidRPr="00CD72A5">
        <w:t xml:space="preserve">. </w:t>
      </w:r>
      <w:r w:rsidR="00940AF4">
        <w:t>First, t</w:t>
      </w:r>
      <w:r w:rsidR="00D16FBE" w:rsidRPr="00CD72A5">
        <w:t>he</w:t>
      </w:r>
      <w:r w:rsidRPr="00CD72A5">
        <w:t xml:space="preserve"> plaintiff seek</w:t>
      </w:r>
      <w:r w:rsidR="00D16FBE" w:rsidRPr="00CD72A5">
        <w:t>s</w:t>
      </w:r>
      <w:r w:rsidRPr="00CD72A5">
        <w:t xml:space="preserve"> to strike out part of the defence</w:t>
      </w:r>
      <w:r w:rsidR="00940AF4">
        <w:t>. Second, the defendant</w:t>
      </w:r>
      <w:r w:rsidR="006C5602">
        <w:t xml:space="preserve"> </w:t>
      </w:r>
      <w:r w:rsidRPr="00CD72A5">
        <w:t>seek</w:t>
      </w:r>
      <w:r w:rsidR="00D16FBE" w:rsidRPr="00CD72A5">
        <w:t xml:space="preserve">s </w:t>
      </w:r>
      <w:r w:rsidRPr="00CD72A5">
        <w:t>discovery. I will deal separately with each but, before doing so</w:t>
      </w:r>
      <w:r w:rsidR="00940AF4">
        <w:t>,</w:t>
      </w:r>
      <w:r w:rsidRPr="00CD72A5">
        <w:t xml:space="preserve"> I will consider the </w:t>
      </w:r>
      <w:r w:rsidR="00940AF4">
        <w:t xml:space="preserve">factual </w:t>
      </w:r>
      <w:r w:rsidRPr="00CD72A5">
        <w:t xml:space="preserve">background and </w:t>
      </w:r>
      <w:r w:rsidR="00940AF4">
        <w:t xml:space="preserve">the </w:t>
      </w:r>
      <w:r w:rsidRPr="00CD72A5">
        <w:t>pleadings in this case.</w:t>
      </w:r>
    </w:p>
    <w:p w14:paraId="56EA8C01" w14:textId="1F045018" w:rsidR="00940AF4" w:rsidRDefault="00940AF4" w:rsidP="00940AF4">
      <w:pPr>
        <w:pStyle w:val="Heading1"/>
        <w:rPr>
          <w:rFonts w:ascii="Times New Roman" w:hAnsi="Times New Roman" w:cs="Times New Roman"/>
          <w:b/>
          <w:bCs/>
          <w:color w:val="auto"/>
          <w:sz w:val="24"/>
          <w:szCs w:val="24"/>
          <w:u w:val="single"/>
        </w:rPr>
      </w:pPr>
      <w:bookmarkStart w:id="0" w:name="_Toc97887621"/>
      <w:r w:rsidRPr="00B62959">
        <w:rPr>
          <w:rFonts w:ascii="Times New Roman" w:hAnsi="Times New Roman" w:cs="Times New Roman"/>
          <w:b/>
          <w:bCs/>
          <w:color w:val="auto"/>
          <w:sz w:val="24"/>
          <w:szCs w:val="24"/>
          <w:u w:val="single"/>
        </w:rPr>
        <w:t>Factual Background</w:t>
      </w:r>
      <w:bookmarkEnd w:id="0"/>
    </w:p>
    <w:p w14:paraId="0381724D" w14:textId="77777777" w:rsidR="00940AF4" w:rsidRPr="00A16ADD" w:rsidRDefault="00940AF4" w:rsidP="00B62959"/>
    <w:p w14:paraId="70BB2501" w14:textId="696F37C6" w:rsidR="00414B4D" w:rsidRPr="00414B4D" w:rsidRDefault="00502453" w:rsidP="003005A1">
      <w:pPr>
        <w:numPr>
          <w:ilvl w:val="0"/>
          <w:numId w:val="8"/>
        </w:numPr>
        <w:spacing w:line="480" w:lineRule="auto"/>
        <w:jc w:val="both"/>
      </w:pPr>
      <w:r w:rsidRPr="00CD72A5">
        <w:t xml:space="preserve">In </w:t>
      </w:r>
      <w:proofErr w:type="gramStart"/>
      <w:r w:rsidRPr="00CD72A5">
        <w:t>September,</w:t>
      </w:r>
      <w:proofErr w:type="gramEnd"/>
      <w:r w:rsidRPr="00CD72A5">
        <w:t xml:space="preserve"> 2016, the defendant broadcast an episode of the</w:t>
      </w:r>
      <w:r w:rsidR="001C1965">
        <w:t xml:space="preserve"> </w:t>
      </w:r>
      <w:r w:rsidRPr="00B62959">
        <w:rPr>
          <w:i/>
          <w:iCs/>
        </w:rPr>
        <w:t>“</w:t>
      </w:r>
      <w:r w:rsidRPr="00A16ADD">
        <w:rPr>
          <w:i/>
          <w:iCs/>
        </w:rPr>
        <w:t>Spotlight”</w:t>
      </w:r>
      <w:r w:rsidRPr="00C44185">
        <w:t xml:space="preserve"> </w:t>
      </w:r>
      <w:r w:rsidRPr="00CD72A5">
        <w:t xml:space="preserve">television programme entitled </w:t>
      </w:r>
      <w:r w:rsidRPr="00B62959">
        <w:rPr>
          <w:i/>
          <w:iCs/>
        </w:rPr>
        <w:t>“</w:t>
      </w:r>
      <w:r w:rsidRPr="00A16ADD">
        <w:rPr>
          <w:i/>
          <w:iCs/>
        </w:rPr>
        <w:t>Spy in the IRA</w:t>
      </w:r>
      <w:r w:rsidRPr="00C44185">
        <w:rPr>
          <w:i/>
          <w:iCs/>
        </w:rPr>
        <w:t>”</w:t>
      </w:r>
      <w:r w:rsidR="006C5602" w:rsidRPr="00B62959">
        <w:t xml:space="preserve"> (</w:t>
      </w:r>
      <w:r w:rsidR="006C5602">
        <w:rPr>
          <w:i/>
          <w:iCs/>
        </w:rPr>
        <w:t>“the programme”</w:t>
      </w:r>
      <w:r w:rsidR="006C5602" w:rsidRPr="00B62959">
        <w:t>)</w:t>
      </w:r>
      <w:r w:rsidRPr="00B62959">
        <w:t>.</w:t>
      </w:r>
      <w:r w:rsidRPr="00A16ADD">
        <w:t xml:space="preserve"> </w:t>
      </w:r>
      <w:r w:rsidRPr="00CD72A5">
        <w:t xml:space="preserve">The following day, the defendant published an article on its website </w:t>
      </w:r>
      <w:r w:rsidR="006C5602">
        <w:t>with</w:t>
      </w:r>
      <w:r w:rsidRPr="00CD72A5">
        <w:t xml:space="preserve"> the headline</w:t>
      </w:r>
      <w:r w:rsidR="0027525F">
        <w:t xml:space="preserve"> </w:t>
      </w:r>
      <w:r w:rsidRPr="00CD72A5">
        <w:rPr>
          <w:i/>
          <w:iCs/>
        </w:rPr>
        <w:t xml:space="preserve">“Gerry Adams ‘sanctioned Denis Donaldson killing’” </w:t>
      </w:r>
      <w:r w:rsidRPr="00A16ADD">
        <w:t>(</w:t>
      </w:r>
      <w:r w:rsidR="00C44185" w:rsidRPr="00B62959">
        <w:rPr>
          <w:i/>
          <w:iCs/>
        </w:rPr>
        <w:t>“</w:t>
      </w:r>
      <w:r w:rsidRPr="00B62959">
        <w:rPr>
          <w:i/>
          <w:iCs/>
        </w:rPr>
        <w:t>the article</w:t>
      </w:r>
      <w:r w:rsidR="00C44185" w:rsidRPr="00B62959">
        <w:rPr>
          <w:i/>
          <w:iCs/>
        </w:rPr>
        <w:t>”</w:t>
      </w:r>
      <w:r w:rsidRPr="00A16ADD">
        <w:t>)</w:t>
      </w:r>
      <w:r w:rsidRPr="00B62959">
        <w:rPr>
          <w:i/>
          <w:iCs/>
        </w:rPr>
        <w:t>.</w:t>
      </w:r>
      <w:r w:rsidRPr="00CD72A5">
        <w:t xml:space="preserve"> </w:t>
      </w:r>
      <w:r w:rsidR="00CD2FFF" w:rsidRPr="00CD72A5">
        <w:t xml:space="preserve">The article is not </w:t>
      </w:r>
      <w:proofErr w:type="gramStart"/>
      <w:r w:rsidR="00CD2FFF" w:rsidRPr="00CD72A5">
        <w:t>lengthy</w:t>
      </w:r>
      <w:proofErr w:type="gramEnd"/>
      <w:r w:rsidR="00CD2FFF" w:rsidRPr="00CD72A5">
        <w:t xml:space="preserve"> and it is important to set out its full text</w:t>
      </w:r>
      <w:r w:rsidR="00160998">
        <w:t>:</w:t>
      </w:r>
      <w:r w:rsidR="00CD2FFF" w:rsidRPr="00CD72A5">
        <w:rPr>
          <w:b/>
        </w:rPr>
        <w:t xml:space="preserve"> </w:t>
      </w:r>
    </w:p>
    <w:p w14:paraId="490CA03F" w14:textId="27189AB4" w:rsidR="00CD2FFF" w:rsidRDefault="00346960" w:rsidP="00235CF3">
      <w:pPr>
        <w:ind w:left="720"/>
        <w:jc w:val="both"/>
        <w:rPr>
          <w:b/>
          <w:i/>
          <w:iCs/>
        </w:rPr>
      </w:pPr>
      <w:r>
        <w:rPr>
          <w:bCs/>
          <w:i/>
          <w:iCs/>
        </w:rPr>
        <w:t>“</w:t>
      </w:r>
      <w:r w:rsidRPr="00346960">
        <w:rPr>
          <w:b/>
          <w:i/>
          <w:iCs/>
        </w:rPr>
        <w:t>A man who says he was a former IRA and Sinn Féin member turned British agent has claimed Sinn Féin leader Gerry Adams sanctioned the killing of Denis Donaldson.</w:t>
      </w:r>
    </w:p>
    <w:p w14:paraId="75F3BB43" w14:textId="671B29B2" w:rsidR="00346960" w:rsidRDefault="00346960" w:rsidP="00235CF3">
      <w:pPr>
        <w:ind w:left="720"/>
        <w:jc w:val="both"/>
        <w:rPr>
          <w:bCs/>
          <w:i/>
          <w:iCs/>
        </w:rPr>
      </w:pPr>
      <w:r>
        <w:rPr>
          <w:bCs/>
          <w:i/>
          <w:iCs/>
        </w:rPr>
        <w:t>He made the allegation to the BBC NI’s Spotlight programme on Tuesday.</w:t>
      </w:r>
    </w:p>
    <w:p w14:paraId="181B6F2D" w14:textId="0DC0DA20" w:rsidR="00346960" w:rsidRDefault="00346960" w:rsidP="00235CF3">
      <w:pPr>
        <w:ind w:left="720"/>
        <w:jc w:val="both"/>
        <w:rPr>
          <w:bCs/>
          <w:i/>
          <w:iCs/>
        </w:rPr>
      </w:pPr>
      <w:r>
        <w:rPr>
          <w:bCs/>
          <w:i/>
          <w:iCs/>
        </w:rPr>
        <w:t xml:space="preserve">Mr Donaldson </w:t>
      </w:r>
      <w:r>
        <w:rPr>
          <w:b/>
          <w:i/>
          <w:iCs/>
          <w:u w:val="single"/>
        </w:rPr>
        <w:t>was shot dead</w:t>
      </w:r>
      <w:r w:rsidRPr="00346960">
        <w:rPr>
          <w:b/>
          <w:i/>
          <w:iCs/>
        </w:rPr>
        <w:t xml:space="preserve"> </w:t>
      </w:r>
      <w:r>
        <w:rPr>
          <w:bCs/>
          <w:i/>
          <w:iCs/>
        </w:rPr>
        <w:t>months after admitting in 2005 that he had been an M</w:t>
      </w:r>
      <w:r w:rsidR="002F33AF">
        <w:rPr>
          <w:bCs/>
          <w:i/>
          <w:iCs/>
        </w:rPr>
        <w:t>I</w:t>
      </w:r>
      <w:r>
        <w:rPr>
          <w:bCs/>
          <w:i/>
          <w:iCs/>
        </w:rPr>
        <w:t>5 agent for more than 20 years.</w:t>
      </w:r>
    </w:p>
    <w:p w14:paraId="55B80D2E" w14:textId="0DE9AB32" w:rsidR="00346960" w:rsidRDefault="00346960" w:rsidP="00235CF3">
      <w:pPr>
        <w:ind w:left="720"/>
        <w:jc w:val="both"/>
        <w:rPr>
          <w:bCs/>
          <w:i/>
          <w:iCs/>
        </w:rPr>
      </w:pPr>
      <w:r>
        <w:rPr>
          <w:bCs/>
          <w:i/>
          <w:iCs/>
        </w:rPr>
        <w:t>Three years later, the Real IRA said it was responsible. Mr Adams has denied any involvement in the killing.</w:t>
      </w:r>
    </w:p>
    <w:p w14:paraId="58595A14" w14:textId="77777777" w:rsidR="00C44185" w:rsidRDefault="00C44185" w:rsidP="00235CF3">
      <w:pPr>
        <w:ind w:left="720"/>
        <w:jc w:val="both"/>
        <w:rPr>
          <w:bCs/>
          <w:i/>
          <w:iCs/>
        </w:rPr>
      </w:pPr>
    </w:p>
    <w:p w14:paraId="629282F5" w14:textId="59BE636E" w:rsidR="001D0636" w:rsidRPr="00B62959" w:rsidRDefault="001D0636" w:rsidP="00B62959">
      <w:pPr>
        <w:ind w:firstLine="720"/>
        <w:jc w:val="both"/>
        <w:rPr>
          <w:bCs/>
          <w:i/>
          <w:iCs/>
          <w:u w:val="single"/>
        </w:rPr>
      </w:pPr>
      <w:r w:rsidRPr="00B62959">
        <w:rPr>
          <w:b/>
          <w:i/>
          <w:iCs/>
          <w:u w:val="single"/>
        </w:rPr>
        <w:t>Life and death of secret agent</w:t>
      </w:r>
    </w:p>
    <w:p w14:paraId="77F96633" w14:textId="1ADDD68A" w:rsidR="001D0636" w:rsidRDefault="001D0636" w:rsidP="00235CF3">
      <w:pPr>
        <w:ind w:left="720"/>
        <w:jc w:val="both"/>
        <w:rPr>
          <w:bCs/>
          <w:i/>
          <w:iCs/>
        </w:rPr>
      </w:pPr>
      <w:r>
        <w:rPr>
          <w:bCs/>
          <w:i/>
          <w:iCs/>
        </w:rPr>
        <w:t>“I specifically and categorically refute these unsubstantiated allegations</w:t>
      </w:r>
      <w:r w:rsidR="00160998">
        <w:rPr>
          <w:bCs/>
          <w:i/>
          <w:iCs/>
        </w:rPr>
        <w:t>”</w:t>
      </w:r>
      <w:r>
        <w:rPr>
          <w:bCs/>
          <w:i/>
          <w:iCs/>
        </w:rPr>
        <w:t>, said Mr Adam</w:t>
      </w:r>
      <w:r w:rsidR="007C5C89">
        <w:rPr>
          <w:bCs/>
          <w:i/>
          <w:iCs/>
        </w:rPr>
        <w:t>s.</w:t>
      </w:r>
    </w:p>
    <w:p w14:paraId="13460188" w14:textId="0AF639CC" w:rsidR="007C5C89" w:rsidRDefault="007C5C89" w:rsidP="00235CF3">
      <w:pPr>
        <w:ind w:left="720"/>
        <w:jc w:val="both"/>
        <w:rPr>
          <w:bCs/>
          <w:i/>
          <w:iCs/>
        </w:rPr>
      </w:pPr>
      <w:r>
        <w:rPr>
          <w:bCs/>
          <w:i/>
          <w:iCs/>
        </w:rPr>
        <w:t>The Spotlight allegations were “part of the British security agencies ongoing attempts to smear republicans and cover-up their own actions”, he added.</w:t>
      </w:r>
    </w:p>
    <w:p w14:paraId="2313F5CB" w14:textId="1053E379" w:rsidR="007C5C89" w:rsidRDefault="007C5C89" w:rsidP="00235CF3">
      <w:pPr>
        <w:ind w:left="720"/>
        <w:jc w:val="both"/>
        <w:rPr>
          <w:bCs/>
          <w:i/>
          <w:iCs/>
        </w:rPr>
      </w:pPr>
      <w:r>
        <w:rPr>
          <w:bCs/>
          <w:i/>
          <w:iCs/>
        </w:rPr>
        <w:t>“There is a need for all these agencies to fully co-operate with the Ombudsman’s investigation into the role of the police in the events that led to the killing of Denis Donaldson and for the Gardaí to expedite their investigation to bring those responsible to justice.”</w:t>
      </w:r>
    </w:p>
    <w:p w14:paraId="7D4A5FC3" w14:textId="565C7B27" w:rsidR="007C5C89" w:rsidRDefault="007C5C89" w:rsidP="00235CF3">
      <w:pPr>
        <w:ind w:left="720"/>
        <w:jc w:val="both"/>
        <w:rPr>
          <w:bCs/>
          <w:i/>
          <w:iCs/>
        </w:rPr>
      </w:pPr>
      <w:r>
        <w:rPr>
          <w:bCs/>
          <w:i/>
          <w:iCs/>
        </w:rPr>
        <w:t>The Sinn Féin leader said he would “continue to support the family of Mr Donaldson to achieve truth and justice”.</w:t>
      </w:r>
    </w:p>
    <w:p w14:paraId="34ED5D90" w14:textId="4B7C2BF9" w:rsidR="007C5C89" w:rsidRDefault="007C5C89" w:rsidP="00235CF3">
      <w:pPr>
        <w:ind w:left="720"/>
        <w:jc w:val="both"/>
        <w:rPr>
          <w:bCs/>
          <w:i/>
          <w:iCs/>
        </w:rPr>
      </w:pPr>
      <w:r>
        <w:rPr>
          <w:bCs/>
          <w:i/>
          <w:iCs/>
        </w:rPr>
        <w:t>Ulster Unionist MLA Doug Beattie said Mr Adams should take legal action against the BBC i</w:t>
      </w:r>
      <w:r w:rsidR="00160998">
        <w:rPr>
          <w:bCs/>
          <w:i/>
          <w:iCs/>
        </w:rPr>
        <w:t>f</w:t>
      </w:r>
      <w:r>
        <w:rPr>
          <w:bCs/>
          <w:i/>
          <w:iCs/>
        </w:rPr>
        <w:t xml:space="preserve"> the allegations were untrue.</w:t>
      </w:r>
    </w:p>
    <w:p w14:paraId="30F2C666" w14:textId="4A6E4711" w:rsidR="007C5C89" w:rsidRDefault="007C5C89" w:rsidP="00235CF3">
      <w:pPr>
        <w:ind w:left="720"/>
        <w:jc w:val="both"/>
        <w:rPr>
          <w:bCs/>
          <w:i/>
          <w:iCs/>
        </w:rPr>
      </w:pPr>
      <w:r>
        <w:rPr>
          <w:bCs/>
          <w:i/>
          <w:iCs/>
        </w:rPr>
        <w:t>“If not, he needs to explain why not,” said Mr Beattie. “All we have heard so far is a weak denial.”</w:t>
      </w:r>
    </w:p>
    <w:p w14:paraId="03A93883" w14:textId="77777777" w:rsidR="00C44185" w:rsidRDefault="00C44185" w:rsidP="00235CF3">
      <w:pPr>
        <w:ind w:left="720"/>
        <w:jc w:val="both"/>
        <w:rPr>
          <w:bCs/>
          <w:i/>
          <w:iCs/>
        </w:rPr>
      </w:pPr>
    </w:p>
    <w:p w14:paraId="70EB78CF" w14:textId="6ABB881C" w:rsidR="00C44185" w:rsidRDefault="00C44185" w:rsidP="0039693C">
      <w:pPr>
        <w:jc w:val="both"/>
        <w:rPr>
          <w:b/>
          <w:i/>
          <w:iCs/>
        </w:rPr>
      </w:pPr>
    </w:p>
    <w:p w14:paraId="37618A91" w14:textId="77777777" w:rsidR="001C1965" w:rsidRDefault="001C1965" w:rsidP="0039693C">
      <w:pPr>
        <w:jc w:val="both"/>
        <w:rPr>
          <w:b/>
          <w:i/>
          <w:iCs/>
        </w:rPr>
      </w:pPr>
    </w:p>
    <w:p w14:paraId="68DE692E" w14:textId="05643900" w:rsidR="00FE6AD2" w:rsidRDefault="00FE6AD2" w:rsidP="00235CF3">
      <w:pPr>
        <w:ind w:left="720"/>
        <w:jc w:val="both"/>
        <w:rPr>
          <w:b/>
          <w:i/>
          <w:iCs/>
        </w:rPr>
      </w:pPr>
      <w:r>
        <w:rPr>
          <w:b/>
          <w:i/>
          <w:iCs/>
        </w:rPr>
        <w:lastRenderedPageBreak/>
        <w:t>Murder sanctioned?</w:t>
      </w:r>
    </w:p>
    <w:p w14:paraId="7C29D2DF" w14:textId="33A2D556" w:rsidR="00FE6AD2" w:rsidRDefault="00FE6AD2" w:rsidP="00235CF3">
      <w:pPr>
        <w:ind w:left="720"/>
        <w:jc w:val="both"/>
        <w:rPr>
          <w:bCs/>
          <w:i/>
          <w:iCs/>
        </w:rPr>
      </w:pPr>
      <w:r>
        <w:rPr>
          <w:bCs/>
          <w:i/>
          <w:iCs/>
        </w:rPr>
        <w:t>Mr Donaldson had worked for Sinn Féin as an administrator at Stormont. He was killed at a remote Donegal cottage in 2006.</w:t>
      </w:r>
    </w:p>
    <w:p w14:paraId="08DF25BA" w14:textId="6BEAB6D5" w:rsidR="00FE6AD2" w:rsidRDefault="00FE6AD2" w:rsidP="00235CF3">
      <w:pPr>
        <w:ind w:left="720"/>
        <w:jc w:val="both"/>
        <w:rPr>
          <w:bCs/>
          <w:i/>
          <w:iCs/>
        </w:rPr>
      </w:pPr>
      <w:r>
        <w:rPr>
          <w:bCs/>
          <w:i/>
          <w:iCs/>
        </w:rPr>
        <w:t>A man who says he worked as an informer for the intelligence branch of the police told Spotlight that Mr Adams sanctioned the murder.</w:t>
      </w:r>
    </w:p>
    <w:p w14:paraId="2674F9C6" w14:textId="1F7215F0" w:rsidR="00FE6AD2" w:rsidRDefault="00FE6AD2" w:rsidP="00235CF3">
      <w:pPr>
        <w:ind w:left="720"/>
        <w:jc w:val="both"/>
        <w:rPr>
          <w:bCs/>
          <w:i/>
          <w:iCs/>
        </w:rPr>
      </w:pPr>
      <w:r>
        <w:rPr>
          <w:bCs/>
          <w:i/>
          <w:iCs/>
        </w:rPr>
        <w:t>The former spy was in the IRA and Sinn Féin. He cannot be identified because of fears about his safety.</w:t>
      </w:r>
    </w:p>
    <w:p w14:paraId="76C04D9C" w14:textId="77777777" w:rsidR="00C44185" w:rsidRDefault="00C44185" w:rsidP="00235CF3">
      <w:pPr>
        <w:ind w:left="720"/>
        <w:jc w:val="both"/>
        <w:rPr>
          <w:bCs/>
          <w:i/>
          <w:iCs/>
        </w:rPr>
      </w:pPr>
    </w:p>
    <w:p w14:paraId="05C1C2C0" w14:textId="7FA5AFFE" w:rsidR="00FE6AD2" w:rsidRDefault="00FE6AD2" w:rsidP="00235CF3">
      <w:pPr>
        <w:ind w:left="720"/>
        <w:jc w:val="both"/>
        <w:rPr>
          <w:b/>
          <w:i/>
          <w:iCs/>
        </w:rPr>
      </w:pPr>
      <w:r>
        <w:rPr>
          <w:b/>
          <w:i/>
          <w:iCs/>
        </w:rPr>
        <w:t>What Spotlight was told</w:t>
      </w:r>
    </w:p>
    <w:p w14:paraId="125D99E3" w14:textId="3D25F219" w:rsidR="00FE6AD2" w:rsidRDefault="00FE6AD2" w:rsidP="00235CF3">
      <w:pPr>
        <w:ind w:left="720"/>
        <w:jc w:val="both"/>
        <w:rPr>
          <w:bCs/>
          <w:i/>
          <w:iCs/>
        </w:rPr>
      </w:pPr>
      <w:r>
        <w:rPr>
          <w:bCs/>
          <w:i/>
          <w:iCs/>
        </w:rPr>
        <w:t>Agent: I know from my experience in the IRA that murders have to be approved by the leadership. They have to be given approval by the leadership of the IRA and the military leadership of the IRA.</w:t>
      </w:r>
    </w:p>
    <w:p w14:paraId="73C582D8" w14:textId="6F6F0C96" w:rsidR="00FE6AD2" w:rsidRDefault="00FE6AD2" w:rsidP="00235CF3">
      <w:pPr>
        <w:ind w:left="720"/>
        <w:jc w:val="both"/>
        <w:rPr>
          <w:bCs/>
          <w:i/>
          <w:iCs/>
        </w:rPr>
      </w:pPr>
      <w:r>
        <w:rPr>
          <w:bCs/>
          <w:i/>
          <w:iCs/>
        </w:rPr>
        <w:t>Presenter: Who are you specifically referring to?</w:t>
      </w:r>
    </w:p>
    <w:p w14:paraId="1242DA25" w14:textId="58EDD2BA" w:rsidR="00FE6AD2" w:rsidRDefault="00FE6AD2" w:rsidP="00235CF3">
      <w:pPr>
        <w:ind w:left="720"/>
        <w:jc w:val="both"/>
        <w:rPr>
          <w:bCs/>
          <w:i/>
          <w:iCs/>
        </w:rPr>
      </w:pPr>
      <w:r>
        <w:rPr>
          <w:bCs/>
          <w:i/>
          <w:iCs/>
        </w:rPr>
        <w:t>Agent: Gerry Adams, he gives the final say.</w:t>
      </w:r>
    </w:p>
    <w:p w14:paraId="36BA043C" w14:textId="23C81387" w:rsidR="00FE6AD2" w:rsidRDefault="00FE6AD2" w:rsidP="00235CF3">
      <w:pPr>
        <w:ind w:left="720"/>
        <w:jc w:val="both"/>
        <w:rPr>
          <w:bCs/>
          <w:i/>
          <w:iCs/>
        </w:rPr>
      </w:pPr>
      <w:r>
        <w:rPr>
          <w:bCs/>
          <w:i/>
          <w:iCs/>
        </w:rPr>
        <w:t>The informer told Spotlight that murders had to be approved by the political and military leadership of the IRA.</w:t>
      </w:r>
    </w:p>
    <w:p w14:paraId="4DA1E52E" w14:textId="75AFC001" w:rsidR="00FE6AD2" w:rsidRDefault="00FE6AD2" w:rsidP="00235CF3">
      <w:pPr>
        <w:ind w:left="720"/>
        <w:jc w:val="both"/>
        <w:rPr>
          <w:bCs/>
          <w:i/>
          <w:iCs/>
        </w:rPr>
      </w:pPr>
      <w:r>
        <w:rPr>
          <w:bCs/>
          <w:i/>
          <w:iCs/>
        </w:rPr>
        <w:t>In a statement, Mr Adams’ solicitor said the Sinn Féin leader “has no knowledge of and had no involvement whatsoever in the killing of Denis Donaldson”.</w:t>
      </w:r>
    </w:p>
    <w:p w14:paraId="7D9CEDAA" w14:textId="16899935" w:rsidR="00FE6AD2" w:rsidRDefault="00FE6AD2" w:rsidP="00235CF3">
      <w:pPr>
        <w:ind w:left="720"/>
        <w:jc w:val="both"/>
        <w:rPr>
          <w:bCs/>
          <w:i/>
          <w:iCs/>
        </w:rPr>
      </w:pPr>
      <w:r>
        <w:rPr>
          <w:bCs/>
          <w:i/>
          <w:iCs/>
        </w:rPr>
        <w:t>He added that Mr Adams “categorically denied the unsubstantiated allegation that he was consulted about an alleged IRA army council decision or that he had the final say on what had been sanctioned”.</w:t>
      </w:r>
    </w:p>
    <w:p w14:paraId="37C73B27" w14:textId="4E13F81D" w:rsidR="00FE6AD2" w:rsidRDefault="00FE6AD2" w:rsidP="00235CF3">
      <w:pPr>
        <w:ind w:left="720"/>
        <w:jc w:val="both"/>
        <w:rPr>
          <w:bCs/>
          <w:i/>
          <w:iCs/>
        </w:rPr>
      </w:pPr>
      <w:r>
        <w:rPr>
          <w:bCs/>
          <w:i/>
          <w:iCs/>
        </w:rPr>
        <w:t>Days after the murder, the IRA said it was not involved in Mr Donaldson’s death.</w:t>
      </w:r>
    </w:p>
    <w:p w14:paraId="7BA0DF72" w14:textId="089E7292" w:rsidR="00940AF4" w:rsidRPr="00CD24A3" w:rsidRDefault="00FE6AD2" w:rsidP="00235CF3">
      <w:pPr>
        <w:ind w:left="720"/>
        <w:jc w:val="both"/>
        <w:rPr>
          <w:bCs/>
          <w:i/>
          <w:iCs/>
        </w:rPr>
      </w:pPr>
      <w:r>
        <w:rPr>
          <w:bCs/>
          <w:i/>
          <w:iCs/>
        </w:rPr>
        <w:t>But security sources have told Spotlight that intelligence received following the killing contradicted the IRA’s denial.</w:t>
      </w:r>
      <w:r w:rsidR="00CD24A3">
        <w:rPr>
          <w:bCs/>
          <w:i/>
          <w:iCs/>
        </w:rPr>
        <w:t>”</w:t>
      </w:r>
    </w:p>
    <w:p w14:paraId="2298FAFC" w14:textId="77777777" w:rsidR="00276F6A" w:rsidRDefault="00276F6A" w:rsidP="00B62959">
      <w:pPr>
        <w:ind w:left="720"/>
        <w:jc w:val="both"/>
        <w:rPr>
          <w:b/>
          <w:u w:val="single"/>
        </w:rPr>
      </w:pPr>
    </w:p>
    <w:p w14:paraId="6046F125" w14:textId="65A90090" w:rsidR="00596C2D" w:rsidRDefault="00596C2D" w:rsidP="00940AF4">
      <w:pPr>
        <w:pStyle w:val="Heading1"/>
        <w:rPr>
          <w:rFonts w:ascii="Times New Roman" w:hAnsi="Times New Roman" w:cs="Times New Roman"/>
          <w:b/>
          <w:bCs/>
          <w:color w:val="auto"/>
          <w:sz w:val="24"/>
          <w:szCs w:val="24"/>
          <w:u w:val="single"/>
        </w:rPr>
      </w:pPr>
      <w:bookmarkStart w:id="1" w:name="_Toc97887622"/>
      <w:r w:rsidRPr="00B62959">
        <w:rPr>
          <w:rFonts w:ascii="Times New Roman" w:hAnsi="Times New Roman" w:cs="Times New Roman"/>
          <w:b/>
          <w:bCs/>
          <w:color w:val="auto"/>
          <w:sz w:val="24"/>
          <w:szCs w:val="24"/>
          <w:u w:val="single"/>
        </w:rPr>
        <w:t>Summons and statement of claim</w:t>
      </w:r>
      <w:bookmarkEnd w:id="1"/>
      <w:r w:rsidRPr="00B62959">
        <w:rPr>
          <w:rFonts w:ascii="Times New Roman" w:hAnsi="Times New Roman" w:cs="Times New Roman"/>
          <w:b/>
          <w:bCs/>
          <w:color w:val="auto"/>
          <w:sz w:val="24"/>
          <w:szCs w:val="24"/>
          <w:u w:val="single"/>
        </w:rPr>
        <w:t xml:space="preserve"> </w:t>
      </w:r>
    </w:p>
    <w:p w14:paraId="1F8780BC" w14:textId="77777777" w:rsidR="00940AF4" w:rsidRPr="00A16ADD" w:rsidRDefault="00940AF4" w:rsidP="00B62959"/>
    <w:p w14:paraId="1AD89C74" w14:textId="475346F0" w:rsidR="0039693C" w:rsidRPr="0039693C" w:rsidRDefault="00502453" w:rsidP="00940AF4">
      <w:pPr>
        <w:numPr>
          <w:ilvl w:val="0"/>
          <w:numId w:val="8"/>
        </w:numPr>
        <w:spacing w:line="480" w:lineRule="auto"/>
        <w:jc w:val="both"/>
      </w:pPr>
      <w:r w:rsidRPr="00CD72A5">
        <w:t>The plaintiff commenced proceedings by plenary summons dated 26</w:t>
      </w:r>
      <w:r w:rsidRPr="00CD72A5">
        <w:rPr>
          <w:vertAlign w:val="superscript"/>
        </w:rPr>
        <w:t>th</w:t>
      </w:r>
      <w:r w:rsidRPr="00CD72A5">
        <w:t xml:space="preserve"> </w:t>
      </w:r>
      <w:proofErr w:type="gramStart"/>
      <w:r w:rsidRPr="00CD72A5">
        <w:t>May,</w:t>
      </w:r>
      <w:proofErr w:type="gramEnd"/>
      <w:r w:rsidRPr="00CD72A5">
        <w:t xml:space="preserve"> 2017 claiming that the programme and article were defamatory in that the words contained therein meant, and were understood to mean, in their natural and ordinary meaning and/or by way of innuendo, that </w:t>
      </w:r>
      <w:r w:rsidR="00BB0D8A" w:rsidRPr="00CD72A5">
        <w:t xml:space="preserve">he had </w:t>
      </w:r>
      <w:r w:rsidRPr="00CD72A5">
        <w:t>sanctioned and approved the murder of Denis Donaldson.</w:t>
      </w:r>
    </w:p>
    <w:p w14:paraId="1FF989BC" w14:textId="595B33A1" w:rsidR="00414B4D" w:rsidRDefault="00414B4D" w:rsidP="00940AF4">
      <w:pPr>
        <w:pStyle w:val="Heading1"/>
        <w:rPr>
          <w:rFonts w:ascii="Times New Roman" w:hAnsi="Times New Roman" w:cs="Times New Roman"/>
          <w:b/>
          <w:bCs/>
          <w:color w:val="auto"/>
          <w:sz w:val="24"/>
          <w:szCs w:val="24"/>
          <w:u w:val="single"/>
        </w:rPr>
      </w:pPr>
      <w:bookmarkStart w:id="2" w:name="_Toc97887623"/>
      <w:r w:rsidRPr="00B62959">
        <w:rPr>
          <w:rFonts w:ascii="Times New Roman" w:hAnsi="Times New Roman" w:cs="Times New Roman"/>
          <w:b/>
          <w:bCs/>
          <w:color w:val="auto"/>
          <w:sz w:val="24"/>
          <w:szCs w:val="24"/>
          <w:u w:val="single"/>
        </w:rPr>
        <w:t>Defence</w:t>
      </w:r>
      <w:bookmarkEnd w:id="2"/>
    </w:p>
    <w:p w14:paraId="59CC6961" w14:textId="77777777" w:rsidR="00940AF4" w:rsidRPr="00A16ADD" w:rsidRDefault="00940AF4" w:rsidP="00B62959"/>
    <w:p w14:paraId="35E13962" w14:textId="756EFE79" w:rsidR="009E1EC4" w:rsidRPr="00DD4C2C" w:rsidRDefault="005A5309" w:rsidP="00940AF4">
      <w:pPr>
        <w:numPr>
          <w:ilvl w:val="0"/>
          <w:numId w:val="8"/>
        </w:numPr>
        <w:spacing w:line="480" w:lineRule="auto"/>
        <w:jc w:val="both"/>
        <w:rPr>
          <w:i/>
          <w:iCs/>
        </w:rPr>
      </w:pPr>
      <w:r w:rsidRPr="00CD72A5">
        <w:t>On 15</w:t>
      </w:r>
      <w:r w:rsidRPr="00414B4D">
        <w:rPr>
          <w:vertAlign w:val="superscript"/>
        </w:rPr>
        <w:t>th</w:t>
      </w:r>
      <w:r w:rsidRPr="00CD72A5">
        <w:t xml:space="preserve"> </w:t>
      </w:r>
      <w:proofErr w:type="gramStart"/>
      <w:r w:rsidRPr="00CD72A5">
        <w:t>June,</w:t>
      </w:r>
      <w:proofErr w:type="gramEnd"/>
      <w:r w:rsidRPr="00CD72A5">
        <w:t xml:space="preserve"> 2018, t</w:t>
      </w:r>
      <w:r w:rsidR="00502453" w:rsidRPr="00CD72A5">
        <w:t>he defendant delivered its defence</w:t>
      </w:r>
      <w:r w:rsidR="009E1EC4">
        <w:t xml:space="preserve">. </w:t>
      </w:r>
      <w:r w:rsidR="00940AF4">
        <w:t>Different paragraphs of the defence are of relevance to each of the two applications before the court.</w:t>
      </w:r>
      <w:bookmarkStart w:id="3" w:name="_Toc97806893"/>
      <w:bookmarkStart w:id="4" w:name="_Toc97887624"/>
    </w:p>
    <w:p w14:paraId="3E2564F0" w14:textId="77777777" w:rsidR="00DD4C2C" w:rsidRPr="00DD4C2C" w:rsidRDefault="00DD4C2C" w:rsidP="00DD4C2C">
      <w:pPr>
        <w:spacing w:line="480" w:lineRule="auto"/>
        <w:jc w:val="both"/>
        <w:rPr>
          <w:i/>
          <w:iCs/>
        </w:rPr>
      </w:pPr>
    </w:p>
    <w:p w14:paraId="071A08F1" w14:textId="5B466017" w:rsidR="00596C2D" w:rsidRDefault="00940AF4" w:rsidP="00940AF4">
      <w:pPr>
        <w:pStyle w:val="Heading3"/>
        <w:rPr>
          <w:rFonts w:ascii="Times New Roman" w:hAnsi="Times New Roman"/>
          <w:i/>
          <w:iCs/>
          <w:sz w:val="24"/>
          <w:szCs w:val="24"/>
        </w:rPr>
      </w:pPr>
      <w:r>
        <w:rPr>
          <w:rFonts w:ascii="Times New Roman" w:hAnsi="Times New Roman"/>
          <w:i/>
          <w:iCs/>
          <w:sz w:val="24"/>
          <w:szCs w:val="24"/>
        </w:rPr>
        <w:lastRenderedPageBreak/>
        <w:t xml:space="preserve">Pleas relevant to </w:t>
      </w:r>
      <w:r w:rsidR="00B62959">
        <w:rPr>
          <w:rFonts w:ascii="Times New Roman" w:hAnsi="Times New Roman"/>
          <w:i/>
          <w:iCs/>
          <w:sz w:val="24"/>
          <w:szCs w:val="24"/>
        </w:rPr>
        <w:t xml:space="preserve">both </w:t>
      </w:r>
      <w:proofErr w:type="gramStart"/>
      <w:r>
        <w:rPr>
          <w:rFonts w:ascii="Times New Roman" w:hAnsi="Times New Roman"/>
          <w:i/>
          <w:iCs/>
          <w:sz w:val="24"/>
          <w:szCs w:val="24"/>
        </w:rPr>
        <w:t>a</w:t>
      </w:r>
      <w:r w:rsidR="005A5309" w:rsidRPr="00B62959">
        <w:rPr>
          <w:rFonts w:ascii="Times New Roman" w:hAnsi="Times New Roman"/>
          <w:i/>
          <w:iCs/>
          <w:sz w:val="24"/>
          <w:szCs w:val="24"/>
        </w:rPr>
        <w:t>p</w:t>
      </w:r>
      <w:r w:rsidR="00596C2D" w:rsidRPr="00B62959">
        <w:rPr>
          <w:rFonts w:ascii="Times New Roman" w:hAnsi="Times New Roman"/>
          <w:i/>
          <w:iCs/>
          <w:sz w:val="24"/>
          <w:szCs w:val="24"/>
        </w:rPr>
        <w:t>plication</w:t>
      </w:r>
      <w:proofErr w:type="gramEnd"/>
      <w:r w:rsidR="00596C2D" w:rsidRPr="00B62959">
        <w:rPr>
          <w:rFonts w:ascii="Times New Roman" w:hAnsi="Times New Roman"/>
          <w:i/>
          <w:iCs/>
          <w:sz w:val="24"/>
          <w:szCs w:val="24"/>
        </w:rPr>
        <w:t xml:space="preserve"> to strike out</w:t>
      </w:r>
      <w:r>
        <w:rPr>
          <w:rFonts w:ascii="Times New Roman" w:hAnsi="Times New Roman"/>
          <w:i/>
          <w:iCs/>
          <w:sz w:val="24"/>
          <w:szCs w:val="24"/>
        </w:rPr>
        <w:t xml:space="preserve"> and </w:t>
      </w:r>
      <w:r w:rsidR="00B62959">
        <w:rPr>
          <w:rFonts w:ascii="Times New Roman" w:hAnsi="Times New Roman"/>
          <w:i/>
          <w:iCs/>
          <w:sz w:val="24"/>
          <w:szCs w:val="24"/>
        </w:rPr>
        <w:t xml:space="preserve">to </w:t>
      </w:r>
      <w:r>
        <w:rPr>
          <w:rFonts w:ascii="Times New Roman" w:hAnsi="Times New Roman"/>
          <w:i/>
          <w:iCs/>
          <w:sz w:val="24"/>
          <w:szCs w:val="24"/>
        </w:rPr>
        <w:t>d</w:t>
      </w:r>
      <w:r w:rsidR="00E10666" w:rsidRPr="00B62959">
        <w:rPr>
          <w:rFonts w:ascii="Times New Roman" w:hAnsi="Times New Roman"/>
          <w:i/>
          <w:iCs/>
          <w:sz w:val="24"/>
          <w:szCs w:val="24"/>
        </w:rPr>
        <w:t>iscovery</w:t>
      </w:r>
      <w:r>
        <w:rPr>
          <w:rFonts w:ascii="Times New Roman" w:hAnsi="Times New Roman"/>
          <w:i/>
          <w:iCs/>
          <w:sz w:val="24"/>
          <w:szCs w:val="24"/>
        </w:rPr>
        <w:t xml:space="preserve"> application</w:t>
      </w:r>
      <w:bookmarkEnd w:id="3"/>
      <w:bookmarkEnd w:id="4"/>
    </w:p>
    <w:p w14:paraId="51682307" w14:textId="77777777" w:rsidR="00940AF4" w:rsidRPr="00A16ADD" w:rsidRDefault="00940AF4" w:rsidP="00B62959"/>
    <w:p w14:paraId="38FB3B83" w14:textId="0608A4C4" w:rsidR="006C5602" w:rsidRDefault="00B62959" w:rsidP="003005A1">
      <w:pPr>
        <w:numPr>
          <w:ilvl w:val="0"/>
          <w:numId w:val="8"/>
        </w:numPr>
        <w:spacing w:line="480" w:lineRule="auto"/>
        <w:jc w:val="both"/>
      </w:pPr>
      <w:r>
        <w:t xml:space="preserve">At </w:t>
      </w:r>
      <w:r w:rsidR="00596C2D" w:rsidRPr="00CD72A5">
        <w:t>para</w:t>
      </w:r>
      <w:r w:rsidR="006C5602">
        <w:t xml:space="preserve">graphs </w:t>
      </w:r>
      <w:r w:rsidR="006E3D18" w:rsidRPr="00CD72A5">
        <w:t xml:space="preserve">14 </w:t>
      </w:r>
      <w:r w:rsidR="006C5602">
        <w:t xml:space="preserve">to </w:t>
      </w:r>
      <w:r w:rsidR="003A0D3C">
        <w:t>20</w:t>
      </w:r>
      <w:r>
        <w:t xml:space="preserve"> of the defence, the </w:t>
      </w:r>
      <w:r w:rsidR="00502453" w:rsidRPr="00CD72A5">
        <w:t xml:space="preserve">defendant </w:t>
      </w:r>
      <w:r>
        <w:t xml:space="preserve">invokes </w:t>
      </w:r>
      <w:r w:rsidR="00502453" w:rsidRPr="00CD72A5">
        <w:t>the defence of qualified privilege pursuant to s.</w:t>
      </w:r>
      <w:r w:rsidR="00635F0F">
        <w:t xml:space="preserve"> </w:t>
      </w:r>
      <w:r w:rsidR="00502453" w:rsidRPr="00CD72A5">
        <w:t xml:space="preserve">18 of the Defamation Act 2009 </w:t>
      </w:r>
      <w:r w:rsidR="00E50F11" w:rsidRPr="00CD72A5">
        <w:t xml:space="preserve">(“the 2009 Act”) </w:t>
      </w:r>
      <w:r w:rsidR="00502453" w:rsidRPr="00CD72A5">
        <w:t xml:space="preserve">and </w:t>
      </w:r>
      <w:r w:rsidR="00BB0D8A" w:rsidRPr="00CD72A5">
        <w:t xml:space="preserve">upon </w:t>
      </w:r>
      <w:r w:rsidR="00502453" w:rsidRPr="00CD72A5">
        <w:t>the defence of fair and reasonable publication on a matter of public interest pursuant to s.</w:t>
      </w:r>
      <w:r w:rsidR="00635F0F">
        <w:t xml:space="preserve"> </w:t>
      </w:r>
      <w:r w:rsidR="00502453" w:rsidRPr="00CD72A5">
        <w:t>26 of the 2009 Act</w:t>
      </w:r>
      <w:r w:rsidR="006E3D18" w:rsidRPr="00CD72A5">
        <w:t>. T</w:t>
      </w:r>
      <w:r w:rsidR="00502453" w:rsidRPr="00CD72A5">
        <w:t xml:space="preserve">he basis of each defence is </w:t>
      </w:r>
      <w:r w:rsidR="006E3D18" w:rsidRPr="00CD72A5">
        <w:t xml:space="preserve">then </w:t>
      </w:r>
      <w:r w:rsidR="00502453" w:rsidRPr="00CD72A5">
        <w:t>pleaded and particularised</w:t>
      </w:r>
      <w:r w:rsidR="006C5602">
        <w:t>.</w:t>
      </w:r>
    </w:p>
    <w:p w14:paraId="50C55688" w14:textId="6FB560D9" w:rsidR="00502453" w:rsidRPr="00CD72A5" w:rsidRDefault="006C5602" w:rsidP="003005A1">
      <w:pPr>
        <w:numPr>
          <w:ilvl w:val="0"/>
          <w:numId w:val="8"/>
        </w:numPr>
        <w:spacing w:line="480" w:lineRule="auto"/>
        <w:jc w:val="both"/>
      </w:pPr>
      <w:r>
        <w:t>I</w:t>
      </w:r>
      <w:r w:rsidR="006E3D18" w:rsidRPr="00CD72A5">
        <w:t>t</w:t>
      </w:r>
      <w:r w:rsidR="00502453" w:rsidRPr="00CD72A5">
        <w:t xml:space="preserve"> is pleaded that the programme and the article were published in good faith</w:t>
      </w:r>
      <w:r w:rsidR="006E3D18" w:rsidRPr="00CD72A5">
        <w:t xml:space="preserve"> and </w:t>
      </w:r>
      <w:r w:rsidR="00502453" w:rsidRPr="00CD72A5">
        <w:t>in the course of</w:t>
      </w:r>
      <w:r w:rsidR="008C2C11">
        <w:t>,</w:t>
      </w:r>
      <w:r w:rsidR="00502453" w:rsidRPr="00CD72A5">
        <w:t xml:space="preserve"> and for the purposes of</w:t>
      </w:r>
      <w:r w:rsidR="008C2C11">
        <w:t>,</w:t>
      </w:r>
      <w:r w:rsidR="00502453" w:rsidRPr="00CD72A5">
        <w:t xml:space="preserve"> the discussion of subjects of public interest</w:t>
      </w:r>
      <w:r w:rsidR="006E3D18" w:rsidRPr="00CD72A5">
        <w:t xml:space="preserve">, the discussion of which </w:t>
      </w:r>
      <w:r w:rsidR="00502453" w:rsidRPr="00CD72A5">
        <w:t>was for the public’s benefit</w:t>
      </w:r>
      <w:r w:rsidR="006E3D18" w:rsidRPr="00CD72A5">
        <w:t xml:space="preserve">; </w:t>
      </w:r>
      <w:r w:rsidR="00502453" w:rsidRPr="00CD72A5">
        <w:t xml:space="preserve">that the issues discussed in the programme and article were of vital importance and interest to the people </w:t>
      </w:r>
      <w:r w:rsidR="00B62959">
        <w:t>of</w:t>
      </w:r>
      <w:r w:rsidR="00502453" w:rsidRPr="00CD72A5">
        <w:t xml:space="preserve"> Ireland</w:t>
      </w:r>
      <w:r w:rsidR="006E3D18" w:rsidRPr="00CD72A5">
        <w:t>;</w:t>
      </w:r>
      <w:r w:rsidR="00502453" w:rsidRPr="00CD72A5">
        <w:t xml:space="preserve">  that the manner and extent of publication did not exceed </w:t>
      </w:r>
      <w:r w:rsidR="006E3D18" w:rsidRPr="00CD72A5">
        <w:t xml:space="preserve">that which </w:t>
      </w:r>
      <w:r w:rsidR="00502453" w:rsidRPr="00CD72A5">
        <w:t>was reasonably sufficient</w:t>
      </w:r>
      <w:r>
        <w:t>;</w:t>
      </w:r>
      <w:r w:rsidR="00502453" w:rsidRPr="00CD72A5">
        <w:t xml:space="preserve"> that it was fair and reasonable to publish the programme and article </w:t>
      </w:r>
      <w:r w:rsidR="007A7D84">
        <w:t xml:space="preserve">which </w:t>
      </w:r>
      <w:r w:rsidR="00502453" w:rsidRPr="00CD72A5">
        <w:t xml:space="preserve"> constituted responsible journalism and </w:t>
      </w:r>
      <w:r w:rsidR="007A7D84">
        <w:t>were</w:t>
      </w:r>
      <w:r w:rsidR="00502453" w:rsidRPr="00CD72A5">
        <w:t xml:space="preserve"> the result of careful investigation by the defendant</w:t>
      </w:r>
      <w:r w:rsidR="007A7D84">
        <w:t>;</w:t>
      </w:r>
      <w:r w:rsidR="00766516" w:rsidRPr="00CD72A5">
        <w:t xml:space="preserve"> </w:t>
      </w:r>
      <w:r w:rsidR="00502453" w:rsidRPr="00CD72A5">
        <w:t>that the defendant had a duty to broadcast the programme and publish the article</w:t>
      </w:r>
      <w:r w:rsidR="007A7D84">
        <w:t>;</w:t>
      </w:r>
      <w:r w:rsidR="00502453" w:rsidRPr="00CD72A5">
        <w:t xml:space="preserve"> that viewers of the programme and readers of the article had a corresponding and legitimate interest in them and/or were entitled to know about the information and views therein</w:t>
      </w:r>
      <w:r w:rsidR="007A7D84">
        <w:t xml:space="preserve">; </w:t>
      </w:r>
      <w:r w:rsidR="00502453" w:rsidRPr="00CD72A5">
        <w:t>that the programme and article were the product of responsible journalism</w:t>
      </w:r>
      <w:r w:rsidR="007A7D84">
        <w:t>;</w:t>
      </w:r>
      <w:r w:rsidR="00502453" w:rsidRPr="00CD72A5">
        <w:t xml:space="preserve"> that reasonable steps were taken to a</w:t>
      </w:r>
      <w:r w:rsidR="00766516" w:rsidRPr="00CD72A5">
        <w:t>ssess</w:t>
      </w:r>
      <w:r w:rsidR="00502453" w:rsidRPr="00CD72A5">
        <w:t xml:space="preserve"> the v</w:t>
      </w:r>
      <w:r w:rsidR="00766516" w:rsidRPr="00CD72A5">
        <w:t>e</w:t>
      </w:r>
      <w:r w:rsidR="00502453" w:rsidRPr="00CD72A5">
        <w:t>racity of the opinions of the source</w:t>
      </w:r>
      <w:r w:rsidR="007A7D84">
        <w:t xml:space="preserve"> named </w:t>
      </w:r>
      <w:r w:rsidR="00766516" w:rsidRPr="00B62959">
        <w:rPr>
          <w:i/>
          <w:iCs/>
        </w:rPr>
        <w:t>“</w:t>
      </w:r>
      <w:r w:rsidR="00502453" w:rsidRPr="00CD72A5">
        <w:rPr>
          <w:i/>
          <w:iCs/>
        </w:rPr>
        <w:t>Martin</w:t>
      </w:r>
      <w:r w:rsidR="00766516" w:rsidRPr="00CD72A5">
        <w:rPr>
          <w:i/>
          <w:iCs/>
        </w:rPr>
        <w:t>”</w:t>
      </w:r>
      <w:r w:rsidR="003A0D3C">
        <w:rPr>
          <w:i/>
          <w:iCs/>
        </w:rPr>
        <w:t>;</w:t>
      </w:r>
      <w:r w:rsidR="00766516" w:rsidRPr="00CD72A5">
        <w:t xml:space="preserve"> and</w:t>
      </w:r>
      <w:r w:rsidR="00502453" w:rsidRPr="00CD72A5">
        <w:t xml:space="preserve"> that the language was balanced and fair and drew distinctions between suspicions, allegations and facts. </w:t>
      </w:r>
    </w:p>
    <w:p w14:paraId="2413B4CD" w14:textId="76CA4CFC" w:rsidR="00276F6A" w:rsidRDefault="00E50F11" w:rsidP="00276F6A">
      <w:pPr>
        <w:numPr>
          <w:ilvl w:val="0"/>
          <w:numId w:val="8"/>
        </w:numPr>
        <w:spacing w:line="480" w:lineRule="auto"/>
        <w:jc w:val="both"/>
      </w:pPr>
      <w:r w:rsidRPr="00CD72A5">
        <w:t>Para</w:t>
      </w:r>
      <w:r w:rsidR="008C2C11">
        <w:t>graph</w:t>
      </w:r>
      <w:r w:rsidR="00766516" w:rsidRPr="00CD72A5">
        <w:t xml:space="preserve"> 16 then sets out particulars of the matters which the defendant intends to establish to demonstrate fair and reasonable publication </w:t>
      </w:r>
      <w:r w:rsidR="00276F6A">
        <w:t>including the following:</w:t>
      </w:r>
    </w:p>
    <w:p w14:paraId="5B50C2AF" w14:textId="0B34ECF2" w:rsidR="00276F6A" w:rsidRDefault="00F17245" w:rsidP="00276F6A">
      <w:pPr>
        <w:numPr>
          <w:ilvl w:val="0"/>
          <w:numId w:val="25"/>
        </w:numPr>
        <w:spacing w:line="480" w:lineRule="auto"/>
        <w:jc w:val="both"/>
      </w:pPr>
      <w:r>
        <w:t xml:space="preserve">The programme and article reported </w:t>
      </w:r>
      <w:r w:rsidRPr="00276F6A">
        <w:rPr>
          <w:i/>
          <w:iCs/>
        </w:rPr>
        <w:t>“Martin’s”</w:t>
      </w:r>
      <w:r w:rsidRPr="00F17245">
        <w:t xml:space="preserve"> beliefs, based on his experience in the IRA</w:t>
      </w:r>
      <w:r>
        <w:t xml:space="preserve">, that the murder would have been sanctioned by the person at the top of the republican movement, namely the </w:t>
      </w:r>
      <w:r w:rsidR="001546C5">
        <w:t>P</w:t>
      </w:r>
      <w:r>
        <w:t xml:space="preserve">laintiff. </w:t>
      </w:r>
      <w:r w:rsidR="003A0D3C">
        <w:t>T</w:t>
      </w:r>
      <w:r>
        <w:t xml:space="preserve">he </w:t>
      </w:r>
      <w:r>
        <w:lastRenderedPageBreak/>
        <w:t xml:space="preserve">programme and article also reported the Plaintiff’s statement that he had no knowledge of and no involvement whatsoever in the killing of Denis Donaldson and the Plaintiff’s categorical denial that he was consulted about an alleged IRA army council decision or that he had a final say in what had been sanctioned. It was also broadcast that it was understood that the Garda investigation into the murder </w:t>
      </w:r>
      <w:r w:rsidR="003A0D3C">
        <w:t>was</w:t>
      </w:r>
      <w:r>
        <w:t xml:space="preserve"> focussed on a separate individual with links to dissident republicans</w:t>
      </w:r>
      <w:r w:rsidR="00276F6A">
        <w:t>.</w:t>
      </w:r>
    </w:p>
    <w:p w14:paraId="0A9C4939" w14:textId="3E4D665F" w:rsidR="00276F6A" w:rsidRDefault="00F17245" w:rsidP="00276F6A">
      <w:pPr>
        <w:numPr>
          <w:ilvl w:val="0"/>
          <w:numId w:val="25"/>
        </w:numPr>
        <w:spacing w:line="480" w:lineRule="auto"/>
        <w:jc w:val="both"/>
      </w:pPr>
      <w:r>
        <w:t xml:space="preserve">The allegations surrounding the role of the IRA in the murder of Denis Donaldson and the </w:t>
      </w:r>
      <w:r w:rsidR="003A0D3C">
        <w:t xml:space="preserve">plaintiff’s alleged </w:t>
      </w:r>
      <w:r>
        <w:t xml:space="preserve">sanction of the murder were treated by the programme and </w:t>
      </w:r>
      <w:r w:rsidR="003A0D3C">
        <w:t>presented</w:t>
      </w:r>
      <w:r>
        <w:t xml:space="preserve"> to the viewer as allegations only. The article did likewise. </w:t>
      </w:r>
      <w:r w:rsidR="003A0D3C">
        <w:t xml:space="preserve">It was represented </w:t>
      </w:r>
      <w:r>
        <w:t xml:space="preserve">that the IRA publicly denied being involved in </w:t>
      </w:r>
      <w:r w:rsidR="003A0D3C">
        <w:t>the murder which</w:t>
      </w:r>
      <w:r>
        <w:t xml:space="preserve"> conflicted with </w:t>
      </w:r>
      <w:r w:rsidR="002D173E" w:rsidRPr="00FC5764">
        <w:rPr>
          <w:i/>
          <w:iCs/>
        </w:rPr>
        <w:t>“</w:t>
      </w:r>
      <w:r w:rsidRPr="00FC5764">
        <w:rPr>
          <w:i/>
          <w:iCs/>
        </w:rPr>
        <w:t>Martin’s”</w:t>
      </w:r>
      <w:r w:rsidR="002D173E" w:rsidRPr="00276F6A">
        <w:rPr>
          <w:i/>
          <w:iCs/>
        </w:rPr>
        <w:t xml:space="preserve"> </w:t>
      </w:r>
      <w:r w:rsidR="002D173E">
        <w:t xml:space="preserve">account that he was informed by an active member of the IRA that the IRA </w:t>
      </w:r>
      <w:r w:rsidR="003A0D3C">
        <w:t>had</w:t>
      </w:r>
      <w:r w:rsidR="002D173E">
        <w:t xml:space="preserve"> killed Denis Donaldson.</w:t>
      </w:r>
    </w:p>
    <w:p w14:paraId="780C778B" w14:textId="489A3D1A" w:rsidR="002D173E" w:rsidRDefault="002D173E" w:rsidP="00276F6A">
      <w:pPr>
        <w:numPr>
          <w:ilvl w:val="0"/>
          <w:numId w:val="25"/>
        </w:numPr>
        <w:spacing w:line="480" w:lineRule="auto"/>
        <w:jc w:val="both"/>
      </w:pPr>
      <w:r w:rsidRPr="00276F6A">
        <w:rPr>
          <w:i/>
          <w:iCs/>
        </w:rPr>
        <w:t xml:space="preserve">“Martin” </w:t>
      </w:r>
      <w:r>
        <w:t xml:space="preserve">stated his opinion </w:t>
      </w:r>
      <w:r w:rsidR="003A0D3C">
        <w:t>on</w:t>
      </w:r>
      <w:r>
        <w:t xml:space="preserve"> the Plaintiff’s role in the murder of Denis Donaldson. </w:t>
      </w:r>
      <w:r w:rsidR="00BD628A">
        <w:t>T</w:t>
      </w:r>
      <w:r>
        <w:t xml:space="preserve">he programme and article reported that the Defendant had spoken to other sources </w:t>
      </w:r>
      <w:r w:rsidR="00BD628A">
        <w:t>which</w:t>
      </w:r>
      <w:r>
        <w:t xml:space="preserve"> appeared to support the involvement of the IRA in the murder</w:t>
      </w:r>
      <w:r w:rsidR="00BD628A">
        <w:t>;</w:t>
      </w:r>
      <w:r>
        <w:t xml:space="preserve"> that </w:t>
      </w:r>
      <w:r w:rsidR="00BD628A">
        <w:t xml:space="preserve">responsibility for </w:t>
      </w:r>
      <w:r>
        <w:t>the crime had been claimed by dissident republicans</w:t>
      </w:r>
      <w:r w:rsidR="00BD628A">
        <w:t>;</w:t>
      </w:r>
      <w:r>
        <w:t xml:space="preserve"> and that an individual linked to the dissidents was being treated as a suspect by </w:t>
      </w:r>
      <w:proofErr w:type="gramStart"/>
      <w:r>
        <w:t>An</w:t>
      </w:r>
      <w:proofErr w:type="gramEnd"/>
      <w:r>
        <w:t xml:space="preserve"> Garda Síochána.</w:t>
      </w:r>
    </w:p>
    <w:p w14:paraId="115B1270" w14:textId="3A5D14C4" w:rsidR="002D173E" w:rsidRDefault="002D173E" w:rsidP="00276F6A">
      <w:pPr>
        <w:pStyle w:val="ListParagraph"/>
        <w:numPr>
          <w:ilvl w:val="0"/>
          <w:numId w:val="25"/>
        </w:numPr>
        <w:spacing w:line="480" w:lineRule="auto"/>
        <w:jc w:val="both"/>
      </w:pPr>
      <w:r>
        <w:t xml:space="preserve">As context, and in order to allow viewers to assess the validity of </w:t>
      </w:r>
      <w:r>
        <w:rPr>
          <w:i/>
          <w:iCs/>
        </w:rPr>
        <w:t xml:space="preserve">“Martin’s” </w:t>
      </w:r>
      <w:r>
        <w:t>claim, the programme presented the understanding of the Spotlight team that by 2006</w:t>
      </w:r>
      <w:r w:rsidR="008C2C11">
        <w:t>,</w:t>
      </w:r>
      <w:r>
        <w:t xml:space="preserve"> prior to Denis Donaldson’s murder, the Plaintiff had stepped aside from the IRA army council.</w:t>
      </w:r>
    </w:p>
    <w:p w14:paraId="03A1284E" w14:textId="6026E822" w:rsidR="005242F0" w:rsidRDefault="005242F0" w:rsidP="00276F6A">
      <w:pPr>
        <w:pStyle w:val="ListParagraph"/>
        <w:numPr>
          <w:ilvl w:val="0"/>
          <w:numId w:val="25"/>
        </w:numPr>
        <w:spacing w:line="480" w:lineRule="auto"/>
        <w:jc w:val="both"/>
      </w:pPr>
      <w:r>
        <w:lastRenderedPageBreak/>
        <w:t xml:space="preserve">The content of the programme was informed by the journalists’ pre-existing knowledge of allegations relating to the Plaintiff’s involvement with the IRA and the many credible allegations made against him relating to that role and his responsibility for IRA atrocities. </w:t>
      </w:r>
    </w:p>
    <w:p w14:paraId="330A0A2F" w14:textId="371710E1" w:rsidR="005242F0" w:rsidRPr="00F17245" w:rsidRDefault="005242F0" w:rsidP="00276F6A">
      <w:pPr>
        <w:pStyle w:val="ListParagraph"/>
        <w:numPr>
          <w:ilvl w:val="0"/>
          <w:numId w:val="25"/>
        </w:numPr>
        <w:spacing w:line="480" w:lineRule="auto"/>
        <w:jc w:val="both"/>
      </w:pPr>
      <w:r>
        <w:t>The programme did not draw conclusions but presented the material for consideration by the viewers.</w:t>
      </w:r>
    </w:p>
    <w:p w14:paraId="30F65BDA" w14:textId="34BC8048" w:rsidR="00276F6A" w:rsidRPr="00A16ADD" w:rsidRDefault="006C0529" w:rsidP="00B62959">
      <w:pPr>
        <w:pStyle w:val="ListParagraph"/>
        <w:numPr>
          <w:ilvl w:val="0"/>
          <w:numId w:val="8"/>
        </w:numPr>
        <w:spacing w:line="480" w:lineRule="auto"/>
        <w:jc w:val="both"/>
        <w:rPr>
          <w:b/>
          <w:bCs/>
        </w:rPr>
      </w:pPr>
      <w:r>
        <w:t>Essentially therefore, i</w:t>
      </w:r>
      <w:r w:rsidR="00502453" w:rsidRPr="00CD72A5">
        <w:t>n respect of the s.</w:t>
      </w:r>
      <w:r w:rsidR="001546C5">
        <w:t xml:space="preserve"> </w:t>
      </w:r>
      <w:r w:rsidR="00502453" w:rsidRPr="00CD72A5">
        <w:t xml:space="preserve">26 defence </w:t>
      </w:r>
      <w:r w:rsidR="00BD628A">
        <w:t>the</w:t>
      </w:r>
      <w:r>
        <w:t>se</w:t>
      </w:r>
      <w:r w:rsidR="00BD628A">
        <w:t xml:space="preserve"> particulars </w:t>
      </w:r>
      <w:r w:rsidR="00502453" w:rsidRPr="00CD72A5">
        <w:t>repeat a significant amount of detail contained in the programme and in the article as the basis for the assertion that the defendant had a duty to publish the material and that the public had a corresponding and legitimate interest in viewing or reading the material.</w:t>
      </w:r>
    </w:p>
    <w:p w14:paraId="13743F07" w14:textId="3E92172F" w:rsidR="00596C2D" w:rsidRDefault="008C2C11" w:rsidP="008C2C11">
      <w:pPr>
        <w:pStyle w:val="Heading3"/>
        <w:rPr>
          <w:rFonts w:ascii="Times New Roman" w:hAnsi="Times New Roman"/>
          <w:i/>
          <w:iCs/>
          <w:sz w:val="24"/>
          <w:szCs w:val="24"/>
        </w:rPr>
      </w:pPr>
      <w:bookmarkStart w:id="5" w:name="_Toc97887625"/>
      <w:r w:rsidRPr="00B62959">
        <w:rPr>
          <w:rFonts w:ascii="Times New Roman" w:hAnsi="Times New Roman"/>
          <w:i/>
          <w:iCs/>
          <w:sz w:val="24"/>
          <w:szCs w:val="24"/>
        </w:rPr>
        <w:t>Pleas relevant to d</w:t>
      </w:r>
      <w:r w:rsidR="00596C2D" w:rsidRPr="00B62959">
        <w:rPr>
          <w:rFonts w:ascii="Times New Roman" w:hAnsi="Times New Roman"/>
          <w:i/>
          <w:iCs/>
          <w:sz w:val="24"/>
          <w:szCs w:val="24"/>
        </w:rPr>
        <w:t>iscovery</w:t>
      </w:r>
      <w:r w:rsidRPr="00B62959">
        <w:rPr>
          <w:rFonts w:ascii="Times New Roman" w:hAnsi="Times New Roman"/>
          <w:i/>
          <w:iCs/>
          <w:sz w:val="24"/>
          <w:szCs w:val="24"/>
        </w:rPr>
        <w:t xml:space="preserve"> application</w:t>
      </w:r>
      <w:bookmarkEnd w:id="5"/>
    </w:p>
    <w:p w14:paraId="7D3FC20B" w14:textId="77777777" w:rsidR="008C2C11" w:rsidRPr="00B62959" w:rsidRDefault="008C2C11" w:rsidP="00B62959"/>
    <w:p w14:paraId="1BF6BCF3" w14:textId="77777777" w:rsidR="00424F02" w:rsidRDefault="003B7027" w:rsidP="00B62959">
      <w:pPr>
        <w:pStyle w:val="ListParagraph"/>
        <w:numPr>
          <w:ilvl w:val="0"/>
          <w:numId w:val="8"/>
        </w:numPr>
        <w:spacing w:line="480" w:lineRule="auto"/>
        <w:jc w:val="both"/>
      </w:pPr>
      <w:r>
        <w:t xml:space="preserve">Pursuant </w:t>
      </w:r>
      <w:r w:rsidRPr="00CD72A5">
        <w:t xml:space="preserve">to </w:t>
      </w:r>
      <w:r>
        <w:t>s</w:t>
      </w:r>
      <w:r w:rsidRPr="00CD72A5">
        <w:t>. 31</w:t>
      </w:r>
      <w:r w:rsidR="00FC5764">
        <w:t xml:space="preserve"> </w:t>
      </w:r>
      <w:r w:rsidRPr="00CD72A5">
        <w:t xml:space="preserve">(6)(a) of the 2009 Act a defendant, for the purposes of mitigating damages, </w:t>
      </w:r>
      <w:r>
        <w:t xml:space="preserve">may </w:t>
      </w:r>
      <w:r w:rsidRPr="00CD72A5">
        <w:t>give evidence</w:t>
      </w:r>
      <w:r>
        <w:t>,</w:t>
      </w:r>
      <w:r w:rsidRPr="00CD72A5">
        <w:t xml:space="preserve"> with leave of the court</w:t>
      </w:r>
      <w:r>
        <w:t>,</w:t>
      </w:r>
      <w:r w:rsidRPr="00CD72A5">
        <w:t xml:space="preserve"> on any matter which has a bearing on the </w:t>
      </w:r>
      <w:r>
        <w:t xml:space="preserve">plaintiff’s </w:t>
      </w:r>
      <w:r w:rsidRPr="00CD72A5">
        <w:t xml:space="preserve">reputation provided that it relates to matters connected with </w:t>
      </w:r>
      <w:r w:rsidR="00B62959">
        <w:t>the</w:t>
      </w:r>
      <w:r w:rsidRPr="00CD72A5">
        <w:t xml:space="preserve"> defamatory statement. </w:t>
      </w:r>
      <w:r w:rsidR="00E50F11" w:rsidRPr="00CD72A5">
        <w:t>Para</w:t>
      </w:r>
      <w:r w:rsidR="008C2C11">
        <w:t>graph</w:t>
      </w:r>
      <w:r w:rsidR="00766516" w:rsidRPr="00CD72A5">
        <w:t>s 21 to 26</w:t>
      </w:r>
      <w:r w:rsidR="00BD628A">
        <w:t xml:space="preserve"> of the defence</w:t>
      </w:r>
      <w:r w:rsidR="00766516" w:rsidRPr="00CD72A5">
        <w:t xml:space="preserve"> advance pleas in relation to the plaintiff’s reputation</w:t>
      </w:r>
      <w:r w:rsidR="00BD628A">
        <w:t>, which</w:t>
      </w:r>
      <w:r>
        <w:t>,</w:t>
      </w:r>
      <w:r w:rsidR="005A5309" w:rsidRPr="00CD72A5">
        <w:t xml:space="preserve"> </w:t>
      </w:r>
      <w:r w:rsidR="00DA2F1F">
        <w:t>together with the above pleas in relation to the s. 26 defence</w:t>
      </w:r>
      <w:r w:rsidR="00BD628A">
        <w:t>,</w:t>
      </w:r>
      <w:r w:rsidR="00DA2F1F">
        <w:t xml:space="preserve"> </w:t>
      </w:r>
      <w:r w:rsidR="005A5309" w:rsidRPr="00CD72A5">
        <w:t>gr</w:t>
      </w:r>
      <w:r w:rsidR="00763907" w:rsidRPr="00CD72A5">
        <w:t>ound</w:t>
      </w:r>
      <w:r w:rsidR="005A5309" w:rsidRPr="00CD72A5">
        <w:t xml:space="preserve"> the defendant’s discovery application</w:t>
      </w:r>
      <w:r w:rsidR="00766516" w:rsidRPr="00CD72A5">
        <w:t xml:space="preserve">. </w:t>
      </w:r>
    </w:p>
    <w:p w14:paraId="65FD303A" w14:textId="01184AB5" w:rsidR="003B7027" w:rsidRDefault="00502453" w:rsidP="00B62959">
      <w:pPr>
        <w:pStyle w:val="ListParagraph"/>
        <w:numPr>
          <w:ilvl w:val="0"/>
          <w:numId w:val="8"/>
        </w:numPr>
        <w:spacing w:line="480" w:lineRule="auto"/>
        <w:jc w:val="both"/>
      </w:pPr>
      <w:r w:rsidRPr="00CD72A5">
        <w:t xml:space="preserve">This aspect of the defence is pleaded in two parts. First </w:t>
      </w:r>
      <w:r w:rsidR="00E50F11" w:rsidRPr="00CD72A5">
        <w:t>para</w:t>
      </w:r>
      <w:r w:rsidR="003B7027">
        <w:t>graph</w:t>
      </w:r>
      <w:r w:rsidRPr="00CD72A5">
        <w:t xml:space="preserve"> 22 of the defence pleads that the defendant</w:t>
      </w:r>
      <w:r w:rsidR="00E50F11" w:rsidRPr="00CD72A5">
        <w:t>,</w:t>
      </w:r>
      <w:r w:rsidRPr="00CD72A5">
        <w:t xml:space="preserve"> with leave of the court</w:t>
      </w:r>
      <w:r w:rsidR="00E50F11" w:rsidRPr="00CD72A5">
        <w:t>,</w:t>
      </w:r>
      <w:r w:rsidR="006C0529">
        <w:t xml:space="preserve"> </w:t>
      </w:r>
      <w:r w:rsidR="00BD628A">
        <w:t xml:space="preserve">will </w:t>
      </w:r>
      <w:r w:rsidRPr="00CD72A5">
        <w:t xml:space="preserve">give evidence on the following matters </w:t>
      </w:r>
      <w:r w:rsidR="00BD628A">
        <w:t>which</w:t>
      </w:r>
      <w:r w:rsidRPr="00CD72A5">
        <w:t xml:space="preserve"> have a bearing on the </w:t>
      </w:r>
      <w:r w:rsidR="00BD628A">
        <w:t xml:space="preserve">plaintiff’s </w:t>
      </w:r>
      <w:r w:rsidRPr="00CD72A5">
        <w:t>reputation</w:t>
      </w:r>
      <w:r w:rsidR="0051085B">
        <w:t>:</w:t>
      </w:r>
    </w:p>
    <w:p w14:paraId="17052CA3" w14:textId="1DBECB88" w:rsidR="0062554E" w:rsidRPr="00B62959" w:rsidRDefault="001A1D7A" w:rsidP="00B62959">
      <w:pPr>
        <w:spacing w:line="360" w:lineRule="auto"/>
        <w:jc w:val="both"/>
        <w:rPr>
          <w:i/>
          <w:iCs/>
        </w:rPr>
      </w:pPr>
      <w:r>
        <w:rPr>
          <w:i/>
          <w:iCs/>
        </w:rPr>
        <w:t xml:space="preserve">          </w:t>
      </w:r>
      <w:r w:rsidR="0062554E">
        <w:rPr>
          <w:i/>
          <w:iCs/>
        </w:rPr>
        <w:t>“(</w:t>
      </w:r>
      <w:proofErr w:type="gramStart"/>
      <w:r w:rsidR="0062554E">
        <w:rPr>
          <w:i/>
          <w:iCs/>
        </w:rPr>
        <w:t xml:space="preserve">a) </w:t>
      </w:r>
      <w:r w:rsidR="003B7027" w:rsidRPr="00B62959">
        <w:rPr>
          <w:i/>
          <w:iCs/>
        </w:rPr>
        <w:t xml:space="preserve"> </w:t>
      </w:r>
      <w:r w:rsidR="0051085B" w:rsidRPr="00B62959">
        <w:rPr>
          <w:i/>
          <w:iCs/>
        </w:rPr>
        <w:t>The</w:t>
      </w:r>
      <w:proofErr w:type="gramEnd"/>
      <w:r w:rsidR="0051085B" w:rsidRPr="00B62959">
        <w:rPr>
          <w:i/>
          <w:iCs/>
        </w:rPr>
        <w:t xml:space="preserve"> Plaintiff was for many years on the IRA Army Council;</w:t>
      </w:r>
    </w:p>
    <w:p w14:paraId="2CCD0288" w14:textId="1813F6C8" w:rsidR="0062554E" w:rsidRPr="00B62959" w:rsidRDefault="0062554E" w:rsidP="00B62959">
      <w:pPr>
        <w:spacing w:line="360" w:lineRule="auto"/>
        <w:ind w:firstLine="720"/>
        <w:jc w:val="both"/>
        <w:rPr>
          <w:i/>
          <w:iCs/>
        </w:rPr>
      </w:pPr>
      <w:r>
        <w:rPr>
          <w:i/>
          <w:iCs/>
        </w:rPr>
        <w:t xml:space="preserve">(b) </w:t>
      </w:r>
      <w:r w:rsidR="0051085B" w:rsidRPr="00B62959">
        <w:rPr>
          <w:i/>
          <w:iCs/>
        </w:rPr>
        <w:t xml:space="preserve">The Plaintiff was for many years a leading member of the </w:t>
      </w:r>
      <w:proofErr w:type="gramStart"/>
      <w:r w:rsidR="0051085B" w:rsidRPr="00B62959">
        <w:rPr>
          <w:i/>
          <w:iCs/>
        </w:rPr>
        <w:t>IRA;</w:t>
      </w:r>
      <w:proofErr w:type="gramEnd"/>
    </w:p>
    <w:p w14:paraId="74EBF168" w14:textId="5F339800" w:rsidR="0062554E" w:rsidRPr="00B62959" w:rsidRDefault="0062554E" w:rsidP="0039693C">
      <w:pPr>
        <w:spacing w:line="360" w:lineRule="auto"/>
        <w:ind w:left="720"/>
        <w:jc w:val="both"/>
        <w:rPr>
          <w:i/>
          <w:iCs/>
        </w:rPr>
      </w:pPr>
      <w:r>
        <w:rPr>
          <w:i/>
          <w:iCs/>
        </w:rPr>
        <w:t xml:space="preserve">(c) </w:t>
      </w:r>
      <w:r w:rsidR="0051085B" w:rsidRPr="00B62959">
        <w:rPr>
          <w:i/>
          <w:iCs/>
        </w:rPr>
        <w:t xml:space="preserve">During the Plaintiff’s period of leadership and/or membership the IRA engaged in a campaign of horrific murder and violence, particularly in Northern Ireland and the United Kingdom, and engaged in thousands of acts of </w:t>
      </w:r>
      <w:proofErr w:type="gramStart"/>
      <w:r w:rsidR="0051085B" w:rsidRPr="00B62959">
        <w:rPr>
          <w:i/>
          <w:iCs/>
        </w:rPr>
        <w:t>murder;</w:t>
      </w:r>
      <w:proofErr w:type="gramEnd"/>
    </w:p>
    <w:p w14:paraId="79D75D58" w14:textId="41C7CEF3" w:rsidR="0062554E" w:rsidRPr="00B62959" w:rsidRDefault="0062554E" w:rsidP="00B62959">
      <w:pPr>
        <w:spacing w:line="360" w:lineRule="auto"/>
        <w:ind w:left="720"/>
        <w:jc w:val="both"/>
        <w:rPr>
          <w:i/>
          <w:iCs/>
        </w:rPr>
      </w:pPr>
      <w:r>
        <w:rPr>
          <w:i/>
          <w:iCs/>
        </w:rPr>
        <w:lastRenderedPageBreak/>
        <w:t xml:space="preserve">(d) </w:t>
      </w:r>
      <w:r w:rsidR="0051085B" w:rsidRPr="00B62959">
        <w:rPr>
          <w:i/>
          <w:iCs/>
        </w:rPr>
        <w:t xml:space="preserve">The Plaintiff continued to play a very important and senior role in the IRA up to and including the time of the Denis Donaldson </w:t>
      </w:r>
      <w:proofErr w:type="gramStart"/>
      <w:r w:rsidR="0051085B" w:rsidRPr="00B62959">
        <w:rPr>
          <w:i/>
          <w:iCs/>
        </w:rPr>
        <w:t>murder;</w:t>
      </w:r>
      <w:proofErr w:type="gramEnd"/>
    </w:p>
    <w:p w14:paraId="6925B08B" w14:textId="50EF0AE1" w:rsidR="00090FC2" w:rsidRPr="00B62959" w:rsidRDefault="0062554E" w:rsidP="00B62959">
      <w:pPr>
        <w:spacing w:line="360" w:lineRule="auto"/>
        <w:ind w:firstLine="720"/>
        <w:jc w:val="both"/>
        <w:rPr>
          <w:i/>
          <w:iCs/>
        </w:rPr>
      </w:pPr>
      <w:r>
        <w:rPr>
          <w:i/>
          <w:iCs/>
        </w:rPr>
        <w:t xml:space="preserve">(e) </w:t>
      </w:r>
      <w:r w:rsidR="0051085B" w:rsidRPr="00B62959">
        <w:rPr>
          <w:i/>
          <w:iCs/>
        </w:rPr>
        <w:t xml:space="preserve">The Plaintiff has continuously lied about his membership of the </w:t>
      </w:r>
      <w:proofErr w:type="gramStart"/>
      <w:r w:rsidR="0051085B" w:rsidRPr="00B62959">
        <w:rPr>
          <w:i/>
          <w:iCs/>
        </w:rPr>
        <w:t>IRA;</w:t>
      </w:r>
      <w:proofErr w:type="gramEnd"/>
    </w:p>
    <w:p w14:paraId="5B7F1743" w14:textId="0CB47EC6" w:rsidR="0051085B" w:rsidRPr="00B62959" w:rsidRDefault="00090FC2" w:rsidP="00B62959">
      <w:pPr>
        <w:spacing w:line="360" w:lineRule="auto"/>
        <w:ind w:left="720"/>
        <w:jc w:val="both"/>
        <w:rPr>
          <w:i/>
          <w:iCs/>
        </w:rPr>
      </w:pPr>
      <w:r>
        <w:rPr>
          <w:i/>
          <w:iCs/>
        </w:rPr>
        <w:t xml:space="preserve">(f) </w:t>
      </w:r>
      <w:r w:rsidR="0051085B" w:rsidRPr="00B62959">
        <w:rPr>
          <w:i/>
          <w:iCs/>
        </w:rPr>
        <w:t>The Plaintiff has a history of not condemning the killing of informers by the IRA and many years previously had said that anyone living in West Belfast knows that the consequence for informing is death.</w:t>
      </w:r>
      <w:r>
        <w:rPr>
          <w:i/>
          <w:iCs/>
        </w:rPr>
        <w:t>”</w:t>
      </w:r>
    </w:p>
    <w:p w14:paraId="5AC16FBE" w14:textId="77777777" w:rsidR="00235CF3" w:rsidRPr="00235CF3" w:rsidRDefault="00235CF3" w:rsidP="00235CF3">
      <w:pPr>
        <w:pStyle w:val="ListParagraph"/>
        <w:ind w:left="714"/>
        <w:jc w:val="both"/>
        <w:rPr>
          <w:i/>
          <w:iCs/>
        </w:rPr>
      </w:pPr>
    </w:p>
    <w:p w14:paraId="39CE100E" w14:textId="0BB70F3D" w:rsidR="00E50F11" w:rsidRDefault="006A7F9D" w:rsidP="003005A1">
      <w:pPr>
        <w:numPr>
          <w:ilvl w:val="0"/>
          <w:numId w:val="8"/>
        </w:numPr>
        <w:spacing w:line="480" w:lineRule="auto"/>
        <w:jc w:val="both"/>
      </w:pPr>
      <w:r>
        <w:t>P</w:t>
      </w:r>
      <w:r w:rsidR="00E50F11" w:rsidRPr="00CD72A5">
        <w:t>ara</w:t>
      </w:r>
      <w:r>
        <w:t>graph</w:t>
      </w:r>
      <w:r w:rsidR="00502453" w:rsidRPr="00CD72A5">
        <w:t xml:space="preserve"> 23 of the defence pleads that the plaintiff’s public reputation is that</w:t>
      </w:r>
      <w:r w:rsidR="0051085B">
        <w:t>:</w:t>
      </w:r>
    </w:p>
    <w:p w14:paraId="14DFA6E0" w14:textId="181C3107" w:rsidR="0062554E" w:rsidRPr="00B62959" w:rsidRDefault="001A1D7A" w:rsidP="00B62959">
      <w:pPr>
        <w:spacing w:line="360" w:lineRule="auto"/>
        <w:jc w:val="both"/>
        <w:rPr>
          <w:i/>
          <w:iCs/>
        </w:rPr>
      </w:pPr>
      <w:r>
        <w:rPr>
          <w:i/>
          <w:iCs/>
        </w:rPr>
        <w:t xml:space="preserve">          </w:t>
      </w:r>
      <w:r w:rsidR="0062554E">
        <w:rPr>
          <w:i/>
          <w:iCs/>
        </w:rPr>
        <w:t xml:space="preserve">“(a) </w:t>
      </w:r>
      <w:r w:rsidR="0051085B" w:rsidRPr="00B62959">
        <w:rPr>
          <w:i/>
          <w:iCs/>
        </w:rPr>
        <w:t xml:space="preserve">He was for many years on the IRA Army </w:t>
      </w:r>
      <w:proofErr w:type="gramStart"/>
      <w:r w:rsidR="0051085B" w:rsidRPr="00B62959">
        <w:rPr>
          <w:i/>
          <w:iCs/>
        </w:rPr>
        <w:t>Council;</w:t>
      </w:r>
      <w:proofErr w:type="gramEnd"/>
    </w:p>
    <w:p w14:paraId="618FE126" w14:textId="61AFD5EA" w:rsidR="0062554E" w:rsidRPr="00B62959" w:rsidRDefault="0062554E" w:rsidP="00B62959">
      <w:pPr>
        <w:spacing w:line="360" w:lineRule="auto"/>
        <w:ind w:firstLine="720"/>
        <w:jc w:val="both"/>
        <w:rPr>
          <w:i/>
          <w:iCs/>
        </w:rPr>
      </w:pPr>
      <w:r>
        <w:rPr>
          <w:i/>
          <w:iCs/>
        </w:rPr>
        <w:t xml:space="preserve">(b) </w:t>
      </w:r>
      <w:r w:rsidR="0051085B" w:rsidRPr="00B62959">
        <w:rPr>
          <w:i/>
          <w:iCs/>
        </w:rPr>
        <w:t xml:space="preserve">He was for many years a leading member of the </w:t>
      </w:r>
      <w:proofErr w:type="gramStart"/>
      <w:r w:rsidR="0051085B" w:rsidRPr="00B62959">
        <w:rPr>
          <w:i/>
          <w:iCs/>
        </w:rPr>
        <w:t>IRA;</w:t>
      </w:r>
      <w:proofErr w:type="gramEnd"/>
    </w:p>
    <w:p w14:paraId="1229B18D" w14:textId="46936552" w:rsidR="0062554E" w:rsidRPr="00B62959" w:rsidRDefault="0062554E" w:rsidP="00B62959">
      <w:pPr>
        <w:spacing w:line="360" w:lineRule="auto"/>
        <w:ind w:firstLine="720"/>
        <w:jc w:val="both"/>
        <w:rPr>
          <w:i/>
          <w:iCs/>
        </w:rPr>
      </w:pPr>
      <w:r>
        <w:rPr>
          <w:i/>
          <w:iCs/>
        </w:rPr>
        <w:t xml:space="preserve">(c) </w:t>
      </w:r>
      <w:r w:rsidR="0051085B" w:rsidRPr="00B62959">
        <w:rPr>
          <w:i/>
          <w:iCs/>
        </w:rPr>
        <w:t xml:space="preserve">He has continuously lied about his membership of the </w:t>
      </w:r>
      <w:proofErr w:type="gramStart"/>
      <w:r w:rsidR="0051085B" w:rsidRPr="00B62959">
        <w:rPr>
          <w:i/>
          <w:iCs/>
        </w:rPr>
        <w:t>IRA;</w:t>
      </w:r>
      <w:proofErr w:type="gramEnd"/>
    </w:p>
    <w:p w14:paraId="4DD1AFCC" w14:textId="1FA2E75D" w:rsidR="0062554E" w:rsidRPr="00B62959" w:rsidRDefault="0062554E" w:rsidP="00B62959">
      <w:pPr>
        <w:spacing w:line="360" w:lineRule="auto"/>
        <w:ind w:left="720"/>
        <w:jc w:val="both"/>
        <w:rPr>
          <w:i/>
          <w:iCs/>
        </w:rPr>
      </w:pPr>
      <w:r>
        <w:rPr>
          <w:i/>
          <w:iCs/>
        </w:rPr>
        <w:t xml:space="preserve">(d) </w:t>
      </w:r>
      <w:r w:rsidR="0051085B" w:rsidRPr="00B62959">
        <w:rPr>
          <w:i/>
          <w:iCs/>
        </w:rPr>
        <w:t xml:space="preserve">He continued to be involved in a very important and senior role at the time of the Denis Donaldson </w:t>
      </w:r>
      <w:proofErr w:type="gramStart"/>
      <w:r w:rsidR="0051085B" w:rsidRPr="00B62959">
        <w:rPr>
          <w:i/>
          <w:iCs/>
        </w:rPr>
        <w:t>murder;</w:t>
      </w:r>
      <w:proofErr w:type="gramEnd"/>
    </w:p>
    <w:p w14:paraId="31164100" w14:textId="479295D4" w:rsidR="0062554E" w:rsidRPr="00B62959" w:rsidRDefault="0062554E" w:rsidP="00B62959">
      <w:pPr>
        <w:spacing w:line="360" w:lineRule="auto"/>
        <w:ind w:left="720"/>
        <w:jc w:val="both"/>
        <w:rPr>
          <w:i/>
          <w:iCs/>
        </w:rPr>
      </w:pPr>
      <w:r>
        <w:rPr>
          <w:i/>
          <w:iCs/>
        </w:rPr>
        <w:t xml:space="preserve">(e) </w:t>
      </w:r>
      <w:r w:rsidR="0051085B" w:rsidRPr="00B62959">
        <w:rPr>
          <w:i/>
          <w:iCs/>
        </w:rPr>
        <w:t xml:space="preserve">The Plaintiff had a reputation for not condemning the killing of informers and/or implicitly supporting the </w:t>
      </w:r>
      <w:proofErr w:type="gramStart"/>
      <w:r w:rsidR="0051085B" w:rsidRPr="00B62959">
        <w:rPr>
          <w:i/>
          <w:iCs/>
        </w:rPr>
        <w:t>same;</w:t>
      </w:r>
      <w:proofErr w:type="gramEnd"/>
    </w:p>
    <w:p w14:paraId="4BB8BEA5" w14:textId="08D04B50" w:rsidR="00FC5764" w:rsidRPr="00235CF3" w:rsidRDefault="0062554E" w:rsidP="00B62959">
      <w:pPr>
        <w:spacing w:line="360" w:lineRule="auto"/>
        <w:ind w:left="720"/>
      </w:pPr>
      <w:r>
        <w:rPr>
          <w:i/>
          <w:iCs/>
        </w:rPr>
        <w:t xml:space="preserve">(f) </w:t>
      </w:r>
      <w:r w:rsidR="0051085B" w:rsidRPr="00B62959">
        <w:rPr>
          <w:i/>
          <w:iCs/>
        </w:rPr>
        <w:t>The Plaintiff believed that the consequence of informing on the IRA is death.</w:t>
      </w:r>
      <w:r>
        <w:rPr>
          <w:i/>
          <w:iCs/>
        </w:rPr>
        <w:t>”</w:t>
      </w:r>
    </w:p>
    <w:p w14:paraId="29BD656B" w14:textId="77777777" w:rsidR="0051085B" w:rsidRPr="00CD72A5" w:rsidRDefault="0051085B" w:rsidP="00B62959">
      <w:pPr>
        <w:pStyle w:val="ListParagraph"/>
        <w:ind w:left="714"/>
        <w:jc w:val="both"/>
      </w:pPr>
    </w:p>
    <w:p w14:paraId="41F61AC9" w14:textId="2770D3E1" w:rsidR="00E10666" w:rsidRPr="00CD72A5" w:rsidRDefault="00502453" w:rsidP="00B62959">
      <w:pPr>
        <w:numPr>
          <w:ilvl w:val="0"/>
          <w:numId w:val="8"/>
        </w:numPr>
        <w:spacing w:line="480" w:lineRule="auto"/>
        <w:jc w:val="both"/>
      </w:pPr>
      <w:r w:rsidRPr="00CD72A5">
        <w:t xml:space="preserve">The defence pleads that the publication of the words complained of by the plaintiff were not capable of damaging and did not damage the </w:t>
      </w:r>
      <w:r w:rsidR="006A7F9D">
        <w:t xml:space="preserve">plaintiff’s </w:t>
      </w:r>
      <w:proofErr w:type="gramStart"/>
      <w:r w:rsidRPr="00CD72A5">
        <w:t>reputation  and</w:t>
      </w:r>
      <w:proofErr w:type="gramEnd"/>
      <w:r w:rsidRPr="00CD72A5">
        <w:t xml:space="preserve"> that, if necessary, the defendant will rely upon these matters in mitigation of damages. </w:t>
      </w:r>
      <w:r w:rsidR="00763907" w:rsidRPr="00CD72A5">
        <w:t xml:space="preserve">Discovery of documents </w:t>
      </w:r>
      <w:r w:rsidR="006A7F9D">
        <w:t xml:space="preserve">relating </w:t>
      </w:r>
      <w:r w:rsidR="00763907" w:rsidRPr="00CD72A5">
        <w:t>to these pleas</w:t>
      </w:r>
      <w:r w:rsidR="00360F0D">
        <w:t xml:space="preserve"> is sought</w:t>
      </w:r>
      <w:r w:rsidR="00B62959">
        <w:t xml:space="preserve"> by the defendant</w:t>
      </w:r>
      <w:r w:rsidR="00763907" w:rsidRPr="00CD72A5">
        <w:t>.</w:t>
      </w:r>
    </w:p>
    <w:p w14:paraId="42FA865F" w14:textId="13AA02E4" w:rsidR="00596C2D" w:rsidRDefault="00596C2D" w:rsidP="003B7027">
      <w:pPr>
        <w:pStyle w:val="Heading1"/>
        <w:rPr>
          <w:rFonts w:ascii="Times New Roman" w:hAnsi="Times New Roman" w:cs="Times New Roman"/>
          <w:b/>
          <w:bCs/>
          <w:color w:val="auto"/>
          <w:sz w:val="24"/>
          <w:szCs w:val="24"/>
          <w:u w:val="single"/>
        </w:rPr>
      </w:pPr>
      <w:bookmarkStart w:id="6" w:name="_Toc97887626"/>
      <w:r w:rsidRPr="00B62959">
        <w:rPr>
          <w:rFonts w:ascii="Times New Roman" w:hAnsi="Times New Roman" w:cs="Times New Roman"/>
          <w:b/>
          <w:bCs/>
          <w:color w:val="auto"/>
          <w:sz w:val="24"/>
          <w:szCs w:val="24"/>
          <w:u w:val="single"/>
        </w:rPr>
        <w:t>Judgment in respect of previous applications</w:t>
      </w:r>
      <w:bookmarkEnd w:id="6"/>
      <w:r w:rsidRPr="00B62959">
        <w:rPr>
          <w:rFonts w:ascii="Times New Roman" w:hAnsi="Times New Roman" w:cs="Times New Roman"/>
          <w:b/>
          <w:bCs/>
          <w:color w:val="auto"/>
          <w:sz w:val="24"/>
          <w:szCs w:val="24"/>
          <w:u w:val="single"/>
        </w:rPr>
        <w:t xml:space="preserve"> </w:t>
      </w:r>
    </w:p>
    <w:p w14:paraId="3A0235BA" w14:textId="77777777" w:rsidR="003B7027" w:rsidRPr="00A16ADD" w:rsidRDefault="003B7027" w:rsidP="00B62959"/>
    <w:p w14:paraId="3C87A5C6" w14:textId="3BC13B80" w:rsidR="00E10666" w:rsidRDefault="00502453" w:rsidP="00B62959">
      <w:pPr>
        <w:numPr>
          <w:ilvl w:val="0"/>
          <w:numId w:val="8"/>
        </w:numPr>
        <w:spacing w:line="480" w:lineRule="auto"/>
        <w:jc w:val="both"/>
      </w:pPr>
      <w:r w:rsidRPr="00CD72A5">
        <w:t xml:space="preserve">No reply has been delivered to the defence. This litigation has been the subject of a previous reserved judgment by Meenan J. </w:t>
      </w:r>
      <w:r w:rsidR="00E50F11" w:rsidRPr="00CD72A5">
        <w:t xml:space="preserve">in respect of </w:t>
      </w:r>
      <w:r w:rsidRPr="00CD72A5">
        <w:t>two previous motions brought by the plaintiff seeking discovery and to compel replies to a notice for particulars.</w:t>
      </w:r>
      <w:r w:rsidR="00E50F11" w:rsidRPr="00CD72A5">
        <w:t xml:space="preserve"> </w:t>
      </w:r>
      <w:r w:rsidRPr="00CD72A5">
        <w:t xml:space="preserve">Meenan J. ordered that the defendant make discovery of various categories of documents but refused the plaintiff’s motion </w:t>
      </w:r>
      <w:r w:rsidR="00B62959">
        <w:t xml:space="preserve">to </w:t>
      </w:r>
      <w:r w:rsidR="00495769" w:rsidRPr="00CD72A5">
        <w:t>compel</w:t>
      </w:r>
      <w:r w:rsidRPr="00CD72A5">
        <w:t xml:space="preserve"> replies </w:t>
      </w:r>
      <w:r w:rsidR="00360F0D">
        <w:t xml:space="preserve">to the </w:t>
      </w:r>
      <w:r w:rsidR="003B7027">
        <w:t>notice for</w:t>
      </w:r>
      <w:r w:rsidRPr="00CD72A5">
        <w:t xml:space="preserve"> particulars.</w:t>
      </w:r>
    </w:p>
    <w:p w14:paraId="4B726CD2" w14:textId="5454859B" w:rsidR="00E10666" w:rsidRPr="00CB2392" w:rsidRDefault="00E10666" w:rsidP="00CB2392">
      <w:pPr>
        <w:pStyle w:val="Heading1"/>
        <w:rPr>
          <w:rFonts w:ascii="Times New Roman" w:hAnsi="Times New Roman" w:cs="Times New Roman"/>
          <w:b/>
          <w:bCs/>
          <w:color w:val="auto"/>
          <w:sz w:val="24"/>
          <w:szCs w:val="24"/>
          <w:u w:val="single"/>
        </w:rPr>
      </w:pPr>
      <w:bookmarkStart w:id="7" w:name="_Toc97887627"/>
      <w:r w:rsidRPr="00CB2392">
        <w:rPr>
          <w:rFonts w:ascii="Times New Roman" w:hAnsi="Times New Roman" w:cs="Times New Roman"/>
          <w:b/>
          <w:bCs/>
          <w:color w:val="auto"/>
          <w:sz w:val="24"/>
          <w:szCs w:val="24"/>
          <w:u w:val="single"/>
        </w:rPr>
        <w:lastRenderedPageBreak/>
        <w:t xml:space="preserve">First </w:t>
      </w:r>
      <w:r w:rsidR="0024375B" w:rsidRPr="00CB2392">
        <w:rPr>
          <w:rFonts w:ascii="Times New Roman" w:hAnsi="Times New Roman" w:cs="Times New Roman"/>
          <w:b/>
          <w:bCs/>
          <w:color w:val="auto"/>
          <w:sz w:val="24"/>
          <w:szCs w:val="24"/>
          <w:u w:val="single"/>
        </w:rPr>
        <w:t>m</w:t>
      </w:r>
      <w:r w:rsidRPr="00CB2392">
        <w:rPr>
          <w:rFonts w:ascii="Times New Roman" w:hAnsi="Times New Roman" w:cs="Times New Roman"/>
          <w:b/>
          <w:bCs/>
          <w:color w:val="auto"/>
          <w:sz w:val="24"/>
          <w:szCs w:val="24"/>
          <w:u w:val="single"/>
        </w:rPr>
        <w:t xml:space="preserve">otion: </w:t>
      </w:r>
      <w:r w:rsidR="0024375B" w:rsidRPr="00CB2392">
        <w:rPr>
          <w:rFonts w:ascii="Times New Roman" w:hAnsi="Times New Roman" w:cs="Times New Roman"/>
          <w:b/>
          <w:bCs/>
          <w:color w:val="auto"/>
          <w:sz w:val="24"/>
          <w:szCs w:val="24"/>
          <w:u w:val="single"/>
        </w:rPr>
        <w:t>p</w:t>
      </w:r>
      <w:r w:rsidR="00414B4D" w:rsidRPr="00CB2392">
        <w:rPr>
          <w:rFonts w:ascii="Times New Roman" w:hAnsi="Times New Roman" w:cs="Times New Roman"/>
          <w:b/>
          <w:bCs/>
          <w:color w:val="auto"/>
          <w:sz w:val="24"/>
          <w:szCs w:val="24"/>
          <w:u w:val="single"/>
        </w:rPr>
        <w:t>laintiff’s motion to strike out parts of the defendant’s defence</w:t>
      </w:r>
      <w:bookmarkEnd w:id="7"/>
    </w:p>
    <w:p w14:paraId="1842AB59" w14:textId="43BAE735" w:rsidR="00414B4D" w:rsidRDefault="00414B4D" w:rsidP="003B7027">
      <w:pPr>
        <w:pStyle w:val="Heading3"/>
        <w:rPr>
          <w:rFonts w:ascii="Times New Roman" w:hAnsi="Times New Roman"/>
          <w:i/>
          <w:iCs/>
          <w:sz w:val="24"/>
          <w:szCs w:val="24"/>
        </w:rPr>
      </w:pPr>
      <w:bookmarkStart w:id="8" w:name="_Toc97887628"/>
      <w:r w:rsidRPr="00B62959">
        <w:rPr>
          <w:rFonts w:ascii="Times New Roman" w:hAnsi="Times New Roman"/>
          <w:i/>
          <w:iCs/>
          <w:sz w:val="24"/>
          <w:szCs w:val="24"/>
        </w:rPr>
        <w:t>Structure</w:t>
      </w:r>
      <w:bookmarkEnd w:id="8"/>
    </w:p>
    <w:p w14:paraId="7444AF6C" w14:textId="77777777" w:rsidR="003B7027" w:rsidRPr="00B62959" w:rsidRDefault="003B7027" w:rsidP="00B62959"/>
    <w:p w14:paraId="28E9ECA3" w14:textId="470EF57A" w:rsidR="002F5FC9" w:rsidRDefault="00271A56" w:rsidP="00B62959">
      <w:pPr>
        <w:numPr>
          <w:ilvl w:val="0"/>
          <w:numId w:val="8"/>
        </w:numPr>
        <w:spacing w:line="480" w:lineRule="auto"/>
        <w:jc w:val="both"/>
      </w:pPr>
      <w:r w:rsidRPr="00CD72A5">
        <w:t xml:space="preserve">I </w:t>
      </w:r>
      <w:proofErr w:type="gramStart"/>
      <w:r w:rsidRPr="00CD72A5">
        <w:t>will  explain</w:t>
      </w:r>
      <w:proofErr w:type="gramEnd"/>
      <w:r w:rsidRPr="00CD72A5">
        <w:t xml:space="preserve"> the factual basis for the plaintiff’s application to strike out;  refer to the principles applicable to an application to strike out in defamation proceedings;</w:t>
      </w:r>
      <w:r w:rsidR="00360F0D">
        <w:t xml:space="preserve"> </w:t>
      </w:r>
      <w:r w:rsidRPr="00CD72A5">
        <w:t>consider</w:t>
      </w:r>
      <w:r w:rsidR="00C474BB" w:rsidRPr="00CD72A5">
        <w:t xml:space="preserve"> the key line of authority relied upon by the plaintiff</w:t>
      </w:r>
      <w:r w:rsidRPr="00CD72A5">
        <w:t xml:space="preserve"> </w:t>
      </w:r>
      <w:r w:rsidR="00C474BB" w:rsidRPr="00CD72A5">
        <w:t>in support of his application</w:t>
      </w:r>
      <w:r w:rsidR="00360F0D">
        <w:t>,</w:t>
      </w:r>
      <w:r w:rsidR="00C474BB" w:rsidRPr="00CD72A5">
        <w:t xml:space="preserve"> and </w:t>
      </w:r>
      <w:r w:rsidR="006E0651">
        <w:t>comment upon</w:t>
      </w:r>
      <w:r w:rsidRPr="00CD72A5">
        <w:t xml:space="preserve"> its interaction with the single publication rule in s. 11 of the 2009 Act</w:t>
      </w:r>
      <w:r w:rsidR="001546C5">
        <w:t>.</w:t>
      </w:r>
    </w:p>
    <w:p w14:paraId="10FC8405" w14:textId="78E8BB47" w:rsidR="00414B4D" w:rsidRDefault="00414B4D" w:rsidP="006E0651">
      <w:pPr>
        <w:pStyle w:val="Heading3"/>
        <w:rPr>
          <w:rFonts w:ascii="Times New Roman" w:hAnsi="Times New Roman"/>
          <w:i/>
          <w:iCs/>
          <w:sz w:val="24"/>
          <w:szCs w:val="24"/>
        </w:rPr>
      </w:pPr>
      <w:bookmarkStart w:id="9" w:name="_Toc97887629"/>
      <w:r w:rsidRPr="00B62959">
        <w:rPr>
          <w:rFonts w:ascii="Times New Roman" w:hAnsi="Times New Roman"/>
          <w:i/>
          <w:iCs/>
          <w:sz w:val="24"/>
          <w:szCs w:val="24"/>
        </w:rPr>
        <w:t>Factual basis for the application</w:t>
      </w:r>
      <w:bookmarkEnd w:id="9"/>
      <w:r w:rsidRPr="00B62959">
        <w:rPr>
          <w:rFonts w:ascii="Times New Roman" w:hAnsi="Times New Roman"/>
          <w:i/>
          <w:iCs/>
          <w:sz w:val="24"/>
          <w:szCs w:val="24"/>
        </w:rPr>
        <w:t xml:space="preserve"> </w:t>
      </w:r>
    </w:p>
    <w:p w14:paraId="0BA59F29" w14:textId="77777777" w:rsidR="006E0651" w:rsidRPr="00B62959" w:rsidRDefault="006E0651" w:rsidP="00B62959"/>
    <w:p w14:paraId="1B89CF4C" w14:textId="6C8F7E51" w:rsidR="00414B4D" w:rsidRDefault="00DF4B1F" w:rsidP="00414B4D">
      <w:pPr>
        <w:numPr>
          <w:ilvl w:val="0"/>
          <w:numId w:val="8"/>
        </w:numPr>
        <w:spacing w:line="480" w:lineRule="auto"/>
        <w:jc w:val="both"/>
      </w:pPr>
      <w:r w:rsidRPr="00CD72A5">
        <w:t xml:space="preserve">The plaintiff seeks an order pursuant to O. 19, r. 27 of the Rules </w:t>
      </w:r>
      <w:r w:rsidR="00E50F11" w:rsidRPr="00CD72A5">
        <w:t xml:space="preserve">of the Superior Courts (“the Rules”) </w:t>
      </w:r>
      <w:r w:rsidR="00360F0D">
        <w:t>and/</w:t>
      </w:r>
      <w:r w:rsidRPr="00CD72A5">
        <w:t xml:space="preserve">or pursuant to the inherent jurisdiction of the court </w:t>
      </w:r>
      <w:r w:rsidR="00667106">
        <w:rPr>
          <w:i/>
        </w:rPr>
        <w:t>“</w:t>
      </w:r>
      <w:r w:rsidR="006C0529">
        <w:rPr>
          <w:i/>
        </w:rPr>
        <w:t xml:space="preserve">striking </w:t>
      </w:r>
      <w:r w:rsidRPr="00414B4D">
        <w:rPr>
          <w:i/>
        </w:rPr>
        <w:t>out the defence under section 26 of the Defamation Act and/or qualified privilege pursuant to section 18 of the said Act and/or the common law to the plaintiff’s claim in respect of the article published by the defendant on 21</w:t>
      </w:r>
      <w:r w:rsidRPr="00414B4D">
        <w:rPr>
          <w:i/>
          <w:vertAlign w:val="superscript"/>
        </w:rPr>
        <w:t>st</w:t>
      </w:r>
      <w:r w:rsidRPr="00414B4D">
        <w:rPr>
          <w:i/>
        </w:rPr>
        <w:t xml:space="preserve"> September 2016”</w:t>
      </w:r>
      <w:r w:rsidRPr="00CD72A5">
        <w:t xml:space="preserve">. </w:t>
      </w:r>
    </w:p>
    <w:p w14:paraId="7F3EB2DB" w14:textId="4221CC7F" w:rsidR="006E0651" w:rsidRDefault="007744FC" w:rsidP="00414B4D">
      <w:pPr>
        <w:numPr>
          <w:ilvl w:val="0"/>
          <w:numId w:val="8"/>
        </w:numPr>
        <w:spacing w:line="480" w:lineRule="auto"/>
        <w:jc w:val="both"/>
      </w:pPr>
      <w:r w:rsidRPr="00CD72A5">
        <w:t>Although the notice of motion s</w:t>
      </w:r>
      <w:r w:rsidR="00DF4498" w:rsidRPr="00CD72A5">
        <w:t xml:space="preserve">eeks </w:t>
      </w:r>
      <w:r w:rsidRPr="00CD72A5">
        <w:t xml:space="preserve">to strike out </w:t>
      </w:r>
      <w:r w:rsidR="006E0651">
        <w:t xml:space="preserve">both </w:t>
      </w:r>
      <w:r w:rsidRPr="00CD72A5">
        <w:t>the s. 26 defence and the s.</w:t>
      </w:r>
      <w:r w:rsidR="001546C5">
        <w:t xml:space="preserve"> </w:t>
      </w:r>
      <w:r w:rsidRPr="00CD72A5">
        <w:t>18</w:t>
      </w:r>
      <w:r w:rsidR="001447F1">
        <w:t xml:space="preserve"> </w:t>
      </w:r>
      <w:r w:rsidRPr="00CD72A5">
        <w:t>qualified privilege defence, the application</w:t>
      </w:r>
      <w:r w:rsidR="00667106">
        <w:t>,</w:t>
      </w:r>
      <w:r w:rsidRPr="00CD72A5">
        <w:t xml:space="preserve"> as argue</w:t>
      </w:r>
      <w:r w:rsidR="00DF4498" w:rsidRPr="00CD72A5">
        <w:t>d</w:t>
      </w:r>
      <w:r w:rsidR="00667106">
        <w:t>,</w:t>
      </w:r>
      <w:r w:rsidRPr="00CD72A5">
        <w:t xml:space="preserve"> was essentially confined to the former</w:t>
      </w:r>
      <w:r w:rsidR="00667106">
        <w:t>. T</w:t>
      </w:r>
      <w:r w:rsidRPr="00CD72A5">
        <w:t>his judgment will be similarly focussed.</w:t>
      </w:r>
      <w:r w:rsidR="00DF4498" w:rsidRPr="00CD72A5">
        <w:t xml:space="preserve"> The plaintiff </w:t>
      </w:r>
      <w:r w:rsidR="00667106">
        <w:t xml:space="preserve">does </w:t>
      </w:r>
      <w:r w:rsidR="00DF4498" w:rsidRPr="00CD72A5">
        <w:t xml:space="preserve">not indicate which </w:t>
      </w:r>
      <w:r w:rsidR="00667106">
        <w:t>particular</w:t>
      </w:r>
      <w:r w:rsidR="00DF4498" w:rsidRPr="00CD72A5">
        <w:t xml:space="preserve"> para</w:t>
      </w:r>
      <w:r w:rsidR="00667106">
        <w:t>graph</w:t>
      </w:r>
      <w:r w:rsidR="00DF4498" w:rsidRPr="00CD72A5">
        <w:t>s of the defence should be struck out</w:t>
      </w:r>
      <w:r w:rsidR="00667106">
        <w:t>, nor</w:t>
      </w:r>
      <w:r w:rsidR="00DF4498" w:rsidRPr="00CD72A5">
        <w:t xml:space="preserve"> exhibit a </w:t>
      </w:r>
      <w:r w:rsidR="006C0529">
        <w:t>proposed amended</w:t>
      </w:r>
      <w:r w:rsidR="00DF4498" w:rsidRPr="00CD72A5">
        <w:t xml:space="preserve"> defence with </w:t>
      </w:r>
      <w:r w:rsidR="00667106">
        <w:t>the proposed deletions</w:t>
      </w:r>
      <w:r w:rsidR="00DF4498" w:rsidRPr="00CD72A5">
        <w:t xml:space="preserve">. </w:t>
      </w:r>
    </w:p>
    <w:p w14:paraId="15F0ACDA" w14:textId="0618C4B3" w:rsidR="00414B4D" w:rsidRDefault="00DF4498" w:rsidP="00414B4D">
      <w:pPr>
        <w:numPr>
          <w:ilvl w:val="0"/>
          <w:numId w:val="8"/>
        </w:numPr>
        <w:spacing w:line="480" w:lineRule="auto"/>
        <w:jc w:val="both"/>
      </w:pPr>
      <w:r w:rsidRPr="00CD72A5">
        <w:t xml:space="preserve">The </w:t>
      </w:r>
      <w:r w:rsidR="008A4602" w:rsidRPr="00CD72A5">
        <w:t>application to strike out certain par</w:t>
      </w:r>
      <w:r w:rsidRPr="00CD72A5">
        <w:t>a</w:t>
      </w:r>
      <w:r w:rsidR="00F82DA4">
        <w:t>graph</w:t>
      </w:r>
      <w:r w:rsidRPr="00CD72A5">
        <w:t xml:space="preserve">s </w:t>
      </w:r>
      <w:r w:rsidR="008A4602" w:rsidRPr="00CD72A5">
        <w:t>of the defence is</w:t>
      </w:r>
      <w:r w:rsidR="00662735" w:rsidRPr="00CD72A5">
        <w:t xml:space="preserve"> </w:t>
      </w:r>
      <w:r w:rsidR="00830CB0" w:rsidRPr="00CD72A5">
        <w:t xml:space="preserve">limited </w:t>
      </w:r>
      <w:r w:rsidR="008A4602" w:rsidRPr="00CD72A5">
        <w:t>to the plaintiff’s claim in respect of the article. No similar relief is sought in respect of the programme. Th</w:t>
      </w:r>
      <w:r w:rsidR="00E73842" w:rsidRPr="00CD72A5">
        <w:t>e</w:t>
      </w:r>
      <w:r w:rsidR="0043296E" w:rsidRPr="00CD72A5">
        <w:t>re are t</w:t>
      </w:r>
      <w:r w:rsidR="007744FC" w:rsidRPr="00CD72A5">
        <w:t>hree</w:t>
      </w:r>
      <w:r w:rsidR="0043296E" w:rsidRPr="00CD72A5">
        <w:t xml:space="preserve"> </w:t>
      </w:r>
      <w:r w:rsidR="00F82DA4">
        <w:t>principal</w:t>
      </w:r>
      <w:r w:rsidR="0043296E" w:rsidRPr="00CD72A5">
        <w:t xml:space="preserve"> reasons for this</w:t>
      </w:r>
      <w:r w:rsidR="001546C5">
        <w:t>.</w:t>
      </w:r>
    </w:p>
    <w:p w14:paraId="6C60DF0B" w14:textId="24F9D7A2" w:rsidR="00414B4D" w:rsidRDefault="00F82DA4" w:rsidP="00414B4D">
      <w:pPr>
        <w:numPr>
          <w:ilvl w:val="0"/>
          <w:numId w:val="8"/>
        </w:numPr>
        <w:spacing w:line="480" w:lineRule="auto"/>
        <w:jc w:val="both"/>
      </w:pPr>
      <w:r>
        <w:t>First</w:t>
      </w:r>
      <w:r w:rsidR="0043296E" w:rsidRPr="00CD72A5">
        <w:t>, the plaintiff emphasises that the article is different to the programme in an important material respect</w:t>
      </w:r>
      <w:r>
        <w:t>.</w:t>
      </w:r>
      <w:r w:rsidR="0043296E" w:rsidRPr="00CD72A5">
        <w:t xml:space="preserve"> </w:t>
      </w:r>
      <w:r w:rsidR="000F17D0">
        <w:t>Although b</w:t>
      </w:r>
      <w:r w:rsidR="0043296E" w:rsidRPr="00CD72A5">
        <w:t xml:space="preserve">oth </w:t>
      </w:r>
      <w:r>
        <w:t>represented</w:t>
      </w:r>
      <w:r w:rsidR="0043296E" w:rsidRPr="00CD72A5">
        <w:t xml:space="preserve"> that the IRA denied any involvement in the murder of </w:t>
      </w:r>
      <w:r w:rsidR="000F17D0">
        <w:t xml:space="preserve">Mr. </w:t>
      </w:r>
      <w:r w:rsidR="0043296E" w:rsidRPr="00CD72A5">
        <w:t>Donaldson</w:t>
      </w:r>
      <w:r>
        <w:t>,</w:t>
      </w:r>
      <w:r w:rsidR="0043296E" w:rsidRPr="00CD72A5">
        <w:t xml:space="preserve"> for which the Real IRA claimed responsibility in </w:t>
      </w:r>
      <w:proofErr w:type="gramStart"/>
      <w:r w:rsidR="0043296E" w:rsidRPr="00CD72A5">
        <w:t>2009</w:t>
      </w:r>
      <w:r w:rsidR="000F17D0">
        <w:t>,</w:t>
      </w:r>
      <w:r>
        <w:t xml:space="preserve"> </w:t>
      </w:r>
      <w:r w:rsidR="0043296E" w:rsidRPr="00CD72A5">
        <w:t xml:space="preserve"> </w:t>
      </w:r>
      <w:r>
        <w:t>t</w:t>
      </w:r>
      <w:r w:rsidR="0043296E" w:rsidRPr="00CD72A5">
        <w:t>he</w:t>
      </w:r>
      <w:proofErr w:type="gramEnd"/>
      <w:r w:rsidR="0043296E" w:rsidRPr="00CD72A5">
        <w:t xml:space="preserve"> article </w:t>
      </w:r>
      <w:r w:rsidR="000F17D0">
        <w:t>stated</w:t>
      </w:r>
      <w:r w:rsidR="0043296E" w:rsidRPr="00CD72A5">
        <w:t xml:space="preserve"> that intelligence received following the </w:t>
      </w:r>
      <w:r>
        <w:t>murder</w:t>
      </w:r>
      <w:r w:rsidR="0043296E" w:rsidRPr="00CD72A5">
        <w:t xml:space="preserve"> </w:t>
      </w:r>
      <w:r w:rsidR="0043296E" w:rsidRPr="00CD72A5">
        <w:lastRenderedPageBreak/>
        <w:t>contradicted the IRA’s denial</w:t>
      </w:r>
      <w:r>
        <w:t>. T</w:t>
      </w:r>
      <w:r w:rsidR="0043296E" w:rsidRPr="00CD72A5">
        <w:t>he article d</w:t>
      </w:r>
      <w:r>
        <w:t xml:space="preserve">id </w:t>
      </w:r>
      <w:r w:rsidR="0043296E" w:rsidRPr="00CD72A5">
        <w:t>not inform the reader that an ongoing Garda investigation was focused on a separate individual</w:t>
      </w:r>
      <w:r w:rsidR="000F17D0">
        <w:t>,</w:t>
      </w:r>
      <w:r w:rsidR="0043296E" w:rsidRPr="00CD72A5">
        <w:t xml:space="preserve"> originally from County Donegal</w:t>
      </w:r>
      <w:r w:rsidR="00B62959">
        <w:t>,</w:t>
      </w:r>
      <w:r w:rsidR="0043296E" w:rsidRPr="00CD72A5">
        <w:t xml:space="preserve"> but </w:t>
      </w:r>
      <w:r w:rsidR="000F17D0">
        <w:t>then</w:t>
      </w:r>
      <w:r w:rsidR="0043296E" w:rsidRPr="00CD72A5">
        <w:t xml:space="preserve"> based outside the State</w:t>
      </w:r>
      <w:r w:rsidR="000F17D0">
        <w:t xml:space="preserve">, </w:t>
      </w:r>
      <w:r w:rsidR="0043296E" w:rsidRPr="00CD72A5">
        <w:t xml:space="preserve">described as </w:t>
      </w:r>
      <w:r w:rsidR="0043296E" w:rsidRPr="00414B4D">
        <w:rPr>
          <w:i/>
        </w:rPr>
        <w:t>“sympathetic to dissident republicanism”</w:t>
      </w:r>
      <w:r w:rsidR="0043296E" w:rsidRPr="00CD72A5">
        <w:t xml:space="preserve">. </w:t>
      </w:r>
      <w:r w:rsidR="007744FC" w:rsidRPr="00CD72A5">
        <w:t xml:space="preserve">The </w:t>
      </w:r>
      <w:r w:rsidR="000F17D0">
        <w:t xml:space="preserve">plaintiff alleges that the </w:t>
      </w:r>
      <w:r w:rsidR="007744FC" w:rsidRPr="00CD72A5">
        <w:t xml:space="preserve">failure to include this information </w:t>
      </w:r>
      <w:r w:rsidR="00C474BB" w:rsidRPr="00CD72A5">
        <w:t xml:space="preserve">is indicative of bad faith and </w:t>
      </w:r>
      <w:r w:rsidR="007744FC" w:rsidRPr="00CD72A5">
        <w:t xml:space="preserve">cannot be fair and </w:t>
      </w:r>
      <w:r w:rsidR="001032F5" w:rsidRPr="00CD72A5">
        <w:t>reasonable</w:t>
      </w:r>
      <w:r w:rsidR="007744FC" w:rsidRPr="00CD72A5">
        <w:t xml:space="preserve"> journalism. </w:t>
      </w:r>
    </w:p>
    <w:p w14:paraId="606B1EE0" w14:textId="2258A3B2" w:rsidR="00414B4D" w:rsidRDefault="0043296E" w:rsidP="00414B4D">
      <w:pPr>
        <w:numPr>
          <w:ilvl w:val="0"/>
          <w:numId w:val="8"/>
        </w:numPr>
        <w:spacing w:line="480" w:lineRule="auto"/>
        <w:jc w:val="both"/>
      </w:pPr>
      <w:r w:rsidRPr="00CD72A5">
        <w:t>Second</w:t>
      </w:r>
      <w:r w:rsidR="000F17D0">
        <w:t>ly</w:t>
      </w:r>
      <w:r w:rsidRPr="00CD72A5">
        <w:t xml:space="preserve">, in </w:t>
      </w:r>
      <w:proofErr w:type="gramStart"/>
      <w:r w:rsidRPr="00CD72A5">
        <w:t>July,</w:t>
      </w:r>
      <w:proofErr w:type="gramEnd"/>
      <w:r w:rsidRPr="00CD72A5">
        <w:t xml:space="preserve"> 2019, the defendant published on its website </w:t>
      </w:r>
      <w:r w:rsidR="00C76CDF">
        <w:t>an article about an</w:t>
      </w:r>
      <w:r w:rsidRPr="00CD72A5">
        <w:t xml:space="preserve"> individual</w:t>
      </w:r>
      <w:r w:rsidR="00C76CDF">
        <w:t>,</w:t>
      </w:r>
      <w:r w:rsidRPr="00CD72A5">
        <w:t xml:space="preserve"> to be charged </w:t>
      </w:r>
      <w:r w:rsidR="00C76CDF">
        <w:t xml:space="preserve">with </w:t>
      </w:r>
      <w:r w:rsidRPr="00CD72A5">
        <w:t>the murder of Mr</w:t>
      </w:r>
      <w:r w:rsidR="001447F1">
        <w:t>.</w:t>
      </w:r>
      <w:r w:rsidRPr="00CD72A5">
        <w:t xml:space="preserve"> Donaldson</w:t>
      </w:r>
      <w:r w:rsidR="00C76CDF">
        <w:t>,</w:t>
      </w:r>
      <w:r w:rsidRPr="00CD72A5">
        <w:t xml:space="preserve"> who was identified elsewhere in the media to be one Anton Duffy</w:t>
      </w:r>
      <w:r w:rsidR="00C76CDF">
        <w:t>, a</w:t>
      </w:r>
      <w:r w:rsidR="006C0529">
        <w:t xml:space="preserve"> Donegal man and</w:t>
      </w:r>
      <w:r w:rsidRPr="00CD72A5">
        <w:t xml:space="preserve"> dissident republican </w:t>
      </w:r>
      <w:r w:rsidR="00C76CDF">
        <w:t xml:space="preserve">now </w:t>
      </w:r>
      <w:r w:rsidRPr="00CD72A5">
        <w:t xml:space="preserve">serving a seventeen-year jail sentence in Scotland for plotting to murder </w:t>
      </w:r>
      <w:r w:rsidR="00C76CDF">
        <w:t xml:space="preserve">the </w:t>
      </w:r>
      <w:r w:rsidRPr="00CD72A5">
        <w:t>former UDA leader, Johnny “Mad Dog</w:t>
      </w:r>
      <w:r w:rsidR="00C76CDF">
        <w:t>”</w:t>
      </w:r>
      <w:r w:rsidRPr="00CD72A5">
        <w:t xml:space="preserve"> Adair. The plaintiff </w:t>
      </w:r>
      <w:r w:rsidR="006C0529">
        <w:t>observes</w:t>
      </w:r>
      <w:r w:rsidRPr="00CD72A5">
        <w:t xml:space="preserve"> that, even at this late stage and in the light of the significant breakthrough in the Garda investigation, the defendant failed to remove the defamatory article from its </w:t>
      </w:r>
      <w:proofErr w:type="gramStart"/>
      <w:r w:rsidRPr="00CD72A5">
        <w:t>website</w:t>
      </w:r>
      <w:r w:rsidR="00C76CDF">
        <w:t>,</w:t>
      </w:r>
      <w:r w:rsidRPr="00CD72A5">
        <w:t xml:space="preserve"> or</w:t>
      </w:r>
      <w:proofErr w:type="gramEnd"/>
      <w:r w:rsidRPr="00CD72A5">
        <w:t xml:space="preserve"> qualify </w:t>
      </w:r>
      <w:r w:rsidR="003D0014">
        <w:t xml:space="preserve">or correct </w:t>
      </w:r>
      <w:r w:rsidRPr="00CD72A5">
        <w:t xml:space="preserve">it in any way by means of a </w:t>
      </w:r>
      <w:r w:rsidRPr="00B62959">
        <w:rPr>
          <w:i/>
          <w:iCs/>
        </w:rPr>
        <w:t>“</w:t>
      </w:r>
      <w:r w:rsidRPr="00A16ADD">
        <w:rPr>
          <w:i/>
          <w:iCs/>
        </w:rPr>
        <w:t>Loutchansky notice</w:t>
      </w:r>
      <w:r w:rsidRPr="00B62959">
        <w:rPr>
          <w:i/>
          <w:iCs/>
        </w:rPr>
        <w:t>”</w:t>
      </w:r>
      <w:r w:rsidR="00C76CDF" w:rsidRPr="00B62959">
        <w:rPr>
          <w:i/>
          <w:iCs/>
        </w:rPr>
        <w:t>.</w:t>
      </w:r>
      <w:r w:rsidR="00C76CDF">
        <w:rPr>
          <w:iCs/>
        </w:rPr>
        <w:t xml:space="preserve"> </w:t>
      </w:r>
      <w:r w:rsidR="00B62959">
        <w:rPr>
          <w:iCs/>
        </w:rPr>
        <w:t>(</w:t>
      </w:r>
      <w:r w:rsidRPr="00414B4D">
        <w:rPr>
          <w:i/>
        </w:rPr>
        <w:t>Loutchansky v. Times Independent Newspapers</w:t>
      </w:r>
      <w:r w:rsidRPr="00CD72A5">
        <w:t xml:space="preserve"> [2008] QB 783</w:t>
      </w:r>
      <w:r w:rsidR="00C76CDF">
        <w:t>)</w:t>
      </w:r>
      <w:r w:rsidR="00B62959">
        <w:t xml:space="preserve"> (as to which see below)</w:t>
      </w:r>
      <w:r w:rsidRPr="00CD72A5">
        <w:t>.</w:t>
      </w:r>
    </w:p>
    <w:p w14:paraId="78EED4ED" w14:textId="76651132" w:rsidR="00414B4D" w:rsidRDefault="0043296E" w:rsidP="00414B4D">
      <w:pPr>
        <w:numPr>
          <w:ilvl w:val="0"/>
          <w:numId w:val="8"/>
        </w:numPr>
        <w:spacing w:line="480" w:lineRule="auto"/>
        <w:jc w:val="both"/>
      </w:pPr>
      <w:r w:rsidRPr="00CD72A5">
        <w:t>Third</w:t>
      </w:r>
      <w:r w:rsidR="00C76CDF">
        <w:t>ly</w:t>
      </w:r>
      <w:r w:rsidRPr="00CD72A5">
        <w:t>, f</w:t>
      </w:r>
      <w:r w:rsidR="00DA6038" w:rsidRPr="00CD72A5">
        <w:t xml:space="preserve">ollowing the broadcast of the programme, </w:t>
      </w:r>
      <w:r w:rsidR="00763907" w:rsidRPr="00CD72A5">
        <w:t>the plaintiff</w:t>
      </w:r>
      <w:r w:rsidR="00DA6038" w:rsidRPr="00CD72A5">
        <w:t xml:space="preserve"> requested </w:t>
      </w:r>
      <w:r w:rsidR="0020508D">
        <w:t xml:space="preserve">its </w:t>
      </w:r>
      <w:r w:rsidR="00DA6038" w:rsidRPr="00CD72A5">
        <w:t xml:space="preserve">immediate removal and an undertaking not to republish </w:t>
      </w:r>
      <w:r w:rsidR="0020508D">
        <w:t xml:space="preserve">any of </w:t>
      </w:r>
      <w:r w:rsidR="00DA6038" w:rsidRPr="00CD72A5">
        <w:t>the material.</w:t>
      </w:r>
      <w:r w:rsidR="007744FC" w:rsidRPr="00CD72A5">
        <w:t xml:space="preserve"> </w:t>
      </w:r>
      <w:r w:rsidR="00B62959">
        <w:t>T</w:t>
      </w:r>
      <w:r w:rsidR="007744FC" w:rsidRPr="00CD72A5">
        <w:t>he defendant refused to give such an undertaking but</w:t>
      </w:r>
      <w:r w:rsidR="00F31F57">
        <w:t>, the plaintiff says,</w:t>
      </w:r>
      <w:r w:rsidR="007744FC" w:rsidRPr="00CD72A5">
        <w:t xml:space="preserve"> ultimately removed access to the programme on BBC iPlayer. </w:t>
      </w:r>
      <w:r w:rsidR="00F31F57">
        <w:t>Incidentally</w:t>
      </w:r>
      <w:r w:rsidR="007030C6">
        <w:t xml:space="preserve">, this </w:t>
      </w:r>
      <w:r w:rsidR="007744FC" w:rsidRPr="00CD72A5">
        <w:t xml:space="preserve">is disputed </w:t>
      </w:r>
      <w:r w:rsidR="007030C6">
        <w:t xml:space="preserve">by </w:t>
      </w:r>
      <w:proofErr w:type="gramStart"/>
      <w:r w:rsidR="007030C6">
        <w:t xml:space="preserve">the </w:t>
      </w:r>
      <w:r w:rsidR="007744FC" w:rsidRPr="00CD72A5">
        <w:t xml:space="preserve"> defendant</w:t>
      </w:r>
      <w:proofErr w:type="gramEnd"/>
      <w:r w:rsidR="007744FC" w:rsidRPr="00CD72A5">
        <w:t xml:space="preserve"> </w:t>
      </w:r>
      <w:r w:rsidR="0020508D">
        <w:t>which</w:t>
      </w:r>
      <w:r w:rsidR="007030C6">
        <w:t xml:space="preserve"> </w:t>
      </w:r>
      <w:r w:rsidR="007744FC" w:rsidRPr="00CD72A5">
        <w:t xml:space="preserve">maintains that the programme is </w:t>
      </w:r>
      <w:r w:rsidR="007030C6">
        <w:t xml:space="preserve">still </w:t>
      </w:r>
      <w:r w:rsidR="007744FC" w:rsidRPr="00CD72A5">
        <w:t xml:space="preserve">capable of being viewed </w:t>
      </w:r>
      <w:r w:rsidR="0020508D">
        <w:t xml:space="preserve">as before </w:t>
      </w:r>
      <w:r w:rsidR="007744FC" w:rsidRPr="00CD72A5">
        <w:t>on</w:t>
      </w:r>
      <w:r w:rsidR="0020508D">
        <w:t xml:space="preserve"> its </w:t>
      </w:r>
      <w:r w:rsidR="007744FC" w:rsidRPr="00CD72A5">
        <w:t>iPlayer</w:t>
      </w:r>
      <w:r w:rsidR="0020508D">
        <w:t xml:space="preserve">, </w:t>
      </w:r>
      <w:r w:rsidR="007030C6">
        <w:t xml:space="preserve">albeit not accessible </w:t>
      </w:r>
      <w:r w:rsidR="007744FC" w:rsidRPr="00CD72A5">
        <w:t xml:space="preserve">in Ireland. </w:t>
      </w:r>
      <w:proofErr w:type="gramStart"/>
      <w:r w:rsidR="0020508D">
        <w:t>However</w:t>
      </w:r>
      <w:proofErr w:type="gramEnd"/>
      <w:r w:rsidR="0020508D">
        <w:t xml:space="preserve"> t</w:t>
      </w:r>
      <w:r w:rsidR="007744FC" w:rsidRPr="00CD72A5">
        <w:t xml:space="preserve">he plaintiff’s </w:t>
      </w:r>
      <w:r w:rsidR="006C0529">
        <w:t>key point is</w:t>
      </w:r>
      <w:r w:rsidR="00213B5D">
        <w:t xml:space="preserve"> </w:t>
      </w:r>
      <w:r w:rsidR="007744FC" w:rsidRPr="00CD72A5">
        <w:t xml:space="preserve">that </w:t>
      </w:r>
      <w:r w:rsidR="00755468" w:rsidRPr="00CD72A5">
        <w:t>the article has continued to be published on the defendant’s website and has remained accessible online without qualification or amendment</w:t>
      </w:r>
      <w:r w:rsidR="00213B5D">
        <w:t>;</w:t>
      </w:r>
      <w:r w:rsidR="00755468" w:rsidRPr="00CD72A5">
        <w:t xml:space="preserve"> </w:t>
      </w:r>
      <w:r w:rsidR="00213B5D">
        <w:t xml:space="preserve">and </w:t>
      </w:r>
      <w:r w:rsidR="006E0651">
        <w:t xml:space="preserve">in particular, </w:t>
      </w:r>
      <w:r w:rsidR="00213B5D">
        <w:t xml:space="preserve">that it </w:t>
      </w:r>
      <w:r w:rsidR="00755468" w:rsidRPr="00CD72A5">
        <w:t>does not</w:t>
      </w:r>
      <w:r w:rsidR="00DA6038" w:rsidRPr="00CD72A5">
        <w:t xml:space="preserve"> </w:t>
      </w:r>
      <w:r w:rsidR="00755468" w:rsidRPr="00CD72A5">
        <w:t>alert the reader</w:t>
      </w:r>
      <w:r w:rsidRPr="00CD72A5">
        <w:t xml:space="preserve"> that it is the </w:t>
      </w:r>
      <w:r w:rsidR="00261BB3" w:rsidRPr="00CD72A5">
        <w:t xml:space="preserve">subject </w:t>
      </w:r>
      <w:r w:rsidRPr="00CD72A5">
        <w:t xml:space="preserve">of </w:t>
      </w:r>
      <w:r w:rsidR="00261BB3" w:rsidRPr="00CD72A5">
        <w:t>a legal complaint</w:t>
      </w:r>
      <w:r w:rsidR="00213B5D">
        <w:t>,</w:t>
      </w:r>
      <w:r w:rsidRPr="00CD72A5">
        <w:t xml:space="preserve"> </w:t>
      </w:r>
      <w:r w:rsidR="006E0651">
        <w:t>resulting in</w:t>
      </w:r>
      <w:r w:rsidR="007744FC" w:rsidRPr="00CD72A5">
        <w:t xml:space="preserve"> </w:t>
      </w:r>
      <w:r w:rsidR="00261BB3" w:rsidRPr="00CD72A5">
        <w:t xml:space="preserve">defamation proceedings </w:t>
      </w:r>
      <w:r w:rsidRPr="00CD72A5">
        <w:t xml:space="preserve">in which </w:t>
      </w:r>
      <w:r w:rsidR="00DA6038" w:rsidRPr="00CD72A5">
        <w:t xml:space="preserve">the defendant </w:t>
      </w:r>
      <w:r w:rsidR="00B62959">
        <w:t xml:space="preserve">does not </w:t>
      </w:r>
      <w:r w:rsidR="006E0651">
        <w:t>plead justification</w:t>
      </w:r>
      <w:r w:rsidR="00755468" w:rsidRPr="00CD72A5">
        <w:t xml:space="preserve">. </w:t>
      </w:r>
      <w:r w:rsidRPr="00CD72A5">
        <w:t>C</w:t>
      </w:r>
      <w:r w:rsidR="00763907" w:rsidRPr="00CD72A5">
        <w:t>ritical</w:t>
      </w:r>
      <w:r w:rsidR="006E0651">
        <w:t xml:space="preserve"> therefore</w:t>
      </w:r>
      <w:r w:rsidR="00763907" w:rsidRPr="00CD72A5">
        <w:t xml:space="preserve"> to the plaintiff’s application to strike out is the fact that the defence admits publication and </w:t>
      </w:r>
      <w:r w:rsidR="00763907" w:rsidRPr="00CD72A5">
        <w:lastRenderedPageBreak/>
        <w:t>(although denying that the words were defamatory, denying the meaning asserted by the plaintiff and denying damage to the plaintiff’s reputation) does not stand over the truth of what</w:t>
      </w:r>
      <w:r w:rsidR="006E0651">
        <w:t xml:space="preserve"> the plaintiff contends</w:t>
      </w:r>
      <w:r w:rsidR="00763907" w:rsidRPr="00CD72A5">
        <w:t xml:space="preserve"> </w:t>
      </w:r>
      <w:r w:rsidR="006E0651">
        <w:t xml:space="preserve">is </w:t>
      </w:r>
      <w:r w:rsidR="00213B5D">
        <w:t>its</w:t>
      </w:r>
      <w:r w:rsidR="00763907" w:rsidRPr="00CD72A5">
        <w:t xml:space="preserve"> central allegation</w:t>
      </w:r>
      <w:r w:rsidR="00213B5D">
        <w:t>:</w:t>
      </w:r>
      <w:r w:rsidR="00763907" w:rsidRPr="00CD72A5">
        <w:t xml:space="preserve"> that the plaintiff sanctioned and approved the murder of </w:t>
      </w:r>
      <w:r w:rsidR="00213B5D">
        <w:t>Mr.</w:t>
      </w:r>
      <w:r w:rsidR="00763907" w:rsidRPr="00CD72A5">
        <w:t xml:space="preserve"> Donaldson. The plaintiff contends</w:t>
      </w:r>
      <w:r w:rsidR="00213B5D">
        <w:t xml:space="preserve"> that the foregoing </w:t>
      </w:r>
      <w:r w:rsidR="00763907" w:rsidRPr="00CD72A5">
        <w:t xml:space="preserve">should have </w:t>
      </w:r>
      <w:r w:rsidR="009F72B2" w:rsidRPr="00CD72A5">
        <w:t>led</w:t>
      </w:r>
      <w:r w:rsidR="00763907" w:rsidRPr="00CD72A5">
        <w:t xml:space="preserve"> to</w:t>
      </w:r>
      <w:r w:rsidR="002471E2" w:rsidRPr="00CD72A5">
        <w:t xml:space="preserve"> the</w:t>
      </w:r>
      <w:r w:rsidR="00D824B0">
        <w:t xml:space="preserve"> </w:t>
      </w:r>
      <w:r w:rsidR="00763907" w:rsidRPr="00CD72A5">
        <w:t>removal</w:t>
      </w:r>
      <w:r w:rsidR="003D0014">
        <w:t xml:space="preserve"> </w:t>
      </w:r>
      <w:r w:rsidR="006E0651">
        <w:t xml:space="preserve">of the article </w:t>
      </w:r>
      <w:r w:rsidR="003D0014">
        <w:t>or</w:t>
      </w:r>
      <w:r w:rsidR="00EB0CD6">
        <w:t xml:space="preserve">, at the very least, </w:t>
      </w:r>
      <w:r w:rsidR="003D0014">
        <w:t xml:space="preserve">to </w:t>
      </w:r>
      <w:r w:rsidR="00EB0CD6">
        <w:t xml:space="preserve">a </w:t>
      </w:r>
      <w:r w:rsidR="006E0651">
        <w:t xml:space="preserve">qualifying </w:t>
      </w:r>
      <w:r w:rsidR="00EB0CD6">
        <w:t>notice</w:t>
      </w:r>
      <w:r w:rsidR="006E0651">
        <w:t xml:space="preserve">. Instead, </w:t>
      </w:r>
      <w:r w:rsidR="00EB0CD6">
        <w:t>the article</w:t>
      </w:r>
      <w:r w:rsidR="00763907" w:rsidRPr="00CD72A5">
        <w:t xml:space="preserve"> remains available, essentially in its original form, on the internet. </w:t>
      </w:r>
    </w:p>
    <w:p w14:paraId="3C11EBC8" w14:textId="2471079C" w:rsidR="00E10666" w:rsidRDefault="009714F8" w:rsidP="00B62959">
      <w:pPr>
        <w:numPr>
          <w:ilvl w:val="0"/>
          <w:numId w:val="8"/>
        </w:numPr>
        <w:spacing w:line="480" w:lineRule="auto"/>
        <w:jc w:val="both"/>
      </w:pPr>
      <w:r w:rsidRPr="00CD72A5">
        <w:t xml:space="preserve">The plaintiff’s </w:t>
      </w:r>
      <w:r w:rsidR="00B62959">
        <w:t>argument</w:t>
      </w:r>
      <w:r w:rsidRPr="00CD72A5">
        <w:t xml:space="preserve"> </w:t>
      </w:r>
      <w:r w:rsidR="00431DA4" w:rsidRPr="00CD72A5">
        <w:t xml:space="preserve">is </w:t>
      </w:r>
      <w:r w:rsidR="0043296E" w:rsidRPr="00CD72A5">
        <w:t>t</w:t>
      </w:r>
      <w:r w:rsidRPr="00CD72A5">
        <w:t xml:space="preserve">hat </w:t>
      </w:r>
      <w:r w:rsidR="00797E65">
        <w:t xml:space="preserve">from </w:t>
      </w:r>
      <w:r w:rsidRPr="00CD72A5">
        <w:t>the date of delivery of the defence (at the latest), the continued</w:t>
      </w:r>
      <w:r w:rsidR="00EB0CD6">
        <w:t xml:space="preserve"> unamended</w:t>
      </w:r>
      <w:r w:rsidRPr="00CD72A5">
        <w:t xml:space="preserve"> publication by the defendant </w:t>
      </w:r>
      <w:proofErr w:type="gramStart"/>
      <w:r w:rsidR="002A0038" w:rsidRPr="00CD72A5">
        <w:t xml:space="preserve">of </w:t>
      </w:r>
      <w:r w:rsidR="00797E65">
        <w:t xml:space="preserve"> the</w:t>
      </w:r>
      <w:proofErr w:type="gramEnd"/>
      <w:r w:rsidR="002A0038" w:rsidRPr="00CD72A5">
        <w:t xml:space="preserve"> article on its website was not </w:t>
      </w:r>
      <w:r w:rsidR="002A0038" w:rsidRPr="00414B4D">
        <w:rPr>
          <w:i/>
        </w:rPr>
        <w:t>“</w:t>
      </w:r>
      <w:r w:rsidR="00596C2D" w:rsidRPr="00414B4D">
        <w:rPr>
          <w:i/>
        </w:rPr>
        <w:t>fair and reasonable publication</w:t>
      </w:r>
      <w:r w:rsidR="002A0038" w:rsidRPr="00414B4D">
        <w:rPr>
          <w:i/>
        </w:rPr>
        <w:t>”</w:t>
      </w:r>
      <w:r w:rsidR="00797E65">
        <w:rPr>
          <w:i/>
        </w:rPr>
        <w:t>;</w:t>
      </w:r>
      <w:r w:rsidR="00431DA4" w:rsidRPr="00CD72A5">
        <w:t xml:space="preserve"> and that </w:t>
      </w:r>
      <w:r w:rsidR="002A0038" w:rsidRPr="00CD72A5">
        <w:t>the defence</w:t>
      </w:r>
      <w:r w:rsidR="00797E65">
        <w:t>,</w:t>
      </w:r>
      <w:r w:rsidR="002A0038" w:rsidRPr="00CD72A5">
        <w:t xml:space="preserve"> under s. 26 of the 2009 Act </w:t>
      </w:r>
      <w:r w:rsidR="00B62959">
        <w:t xml:space="preserve"> </w:t>
      </w:r>
      <w:r w:rsidR="002A0038" w:rsidRPr="00CD72A5">
        <w:t>should be struck out as bound to fail.</w:t>
      </w:r>
    </w:p>
    <w:p w14:paraId="44413102" w14:textId="7F905B37" w:rsidR="00414B4D" w:rsidRPr="00737CCF" w:rsidRDefault="00414B4D" w:rsidP="00737CCF">
      <w:pPr>
        <w:pStyle w:val="Heading3"/>
        <w:rPr>
          <w:rFonts w:ascii="Times New Roman" w:hAnsi="Times New Roman"/>
          <w:i/>
          <w:iCs/>
          <w:sz w:val="24"/>
          <w:szCs w:val="24"/>
        </w:rPr>
      </w:pPr>
      <w:bookmarkStart w:id="10" w:name="_Toc97887630"/>
      <w:r w:rsidRPr="00737CCF">
        <w:rPr>
          <w:rFonts w:ascii="Times New Roman" w:hAnsi="Times New Roman"/>
          <w:i/>
          <w:iCs/>
          <w:sz w:val="24"/>
          <w:szCs w:val="24"/>
        </w:rPr>
        <w:t>Test to be applied in application to strike out defence</w:t>
      </w:r>
      <w:bookmarkEnd w:id="10"/>
    </w:p>
    <w:p w14:paraId="06567E9A" w14:textId="77777777" w:rsidR="006E0651" w:rsidRPr="00A16ADD" w:rsidRDefault="006E0651" w:rsidP="00B62959"/>
    <w:p w14:paraId="2EEB756B" w14:textId="0DEBF792" w:rsidR="00414B4D" w:rsidRDefault="004070E7" w:rsidP="00414B4D">
      <w:pPr>
        <w:numPr>
          <w:ilvl w:val="0"/>
          <w:numId w:val="8"/>
        </w:numPr>
        <w:spacing w:line="480" w:lineRule="auto"/>
        <w:jc w:val="both"/>
      </w:pPr>
      <w:r w:rsidRPr="00CD72A5">
        <w:t xml:space="preserve">The plaintiff’s motion invokes both O. 19 r. 27 </w:t>
      </w:r>
      <w:r w:rsidR="00E04254">
        <w:t>of the Rules</w:t>
      </w:r>
      <w:r w:rsidRPr="00CD72A5">
        <w:t xml:space="preserve"> and the inherent jurisdiction of the court. The former permits a court, </w:t>
      </w:r>
      <w:r w:rsidR="00316DF1" w:rsidRPr="00CD72A5">
        <w:t>at any</w:t>
      </w:r>
      <w:r w:rsidRPr="00CD72A5">
        <w:t xml:space="preserve"> stage of proceedings</w:t>
      </w:r>
      <w:r w:rsidR="00B62959">
        <w:t>,</w:t>
      </w:r>
      <w:r w:rsidRPr="00CD72A5">
        <w:t xml:space="preserve"> to strike out any part of the proceedings that may be unnecessary or scandalous or which may tend to prejudice, </w:t>
      </w:r>
      <w:proofErr w:type="gramStart"/>
      <w:r w:rsidRPr="00CD72A5">
        <w:t>embarrass</w:t>
      </w:r>
      <w:proofErr w:type="gramEnd"/>
      <w:r w:rsidRPr="00CD72A5">
        <w:t xml:space="preserve"> or delay the fair trial</w:t>
      </w:r>
      <w:r w:rsidR="00271A56" w:rsidRPr="00CD72A5">
        <w:t>. T</w:t>
      </w:r>
      <w:r w:rsidRPr="00CD72A5">
        <w:t xml:space="preserve">he plaintiff </w:t>
      </w:r>
      <w:r w:rsidR="00271A56" w:rsidRPr="00CD72A5">
        <w:t xml:space="preserve">does not </w:t>
      </w:r>
      <w:r w:rsidR="00316DF1" w:rsidRPr="00CD72A5">
        <w:t>contend that</w:t>
      </w:r>
      <w:r w:rsidRPr="00CD72A5">
        <w:t xml:space="preserve"> any part of the defendant’s defence </w:t>
      </w:r>
      <w:r w:rsidR="00271A56" w:rsidRPr="00CD72A5">
        <w:t>is</w:t>
      </w:r>
      <w:r w:rsidRPr="00CD72A5">
        <w:t xml:space="preserve"> scandalous or embarrassing</w:t>
      </w:r>
      <w:r w:rsidR="000E462D">
        <w:t>,</w:t>
      </w:r>
      <w:r w:rsidR="00271A56" w:rsidRPr="00CD72A5">
        <w:t xml:space="preserve"> but that </w:t>
      </w:r>
      <w:r w:rsidRPr="00CD72A5">
        <w:t xml:space="preserve">the pleas </w:t>
      </w:r>
      <w:r w:rsidR="000E462D">
        <w:t xml:space="preserve">to the effect </w:t>
      </w:r>
      <w:r w:rsidRPr="00CD72A5">
        <w:t>that the article benefit</w:t>
      </w:r>
      <w:r w:rsidR="00B62959">
        <w:t xml:space="preserve"> from the s</w:t>
      </w:r>
      <w:r w:rsidRPr="00CD72A5">
        <w:t xml:space="preserve">. 26 </w:t>
      </w:r>
      <w:r w:rsidR="00271A56" w:rsidRPr="00CD72A5">
        <w:t>defence are</w:t>
      </w:r>
      <w:r w:rsidRPr="00CD72A5">
        <w:t xml:space="preserve">, as a matter of law unsustainable and for that reason should be considered unnecessary and/or prejudicial with the result </w:t>
      </w:r>
      <w:r w:rsidR="00316DF1" w:rsidRPr="00CD72A5">
        <w:t>that</w:t>
      </w:r>
      <w:r w:rsidRPr="00CD72A5">
        <w:t xml:space="preserve"> they should be struck out. Alternatively, the plaintiff place</w:t>
      </w:r>
      <w:r w:rsidR="000E462D">
        <w:t>s</w:t>
      </w:r>
      <w:r w:rsidRPr="00CD72A5">
        <w:t xml:space="preserve"> reliance upon the inherent jurisdiction </w:t>
      </w:r>
      <w:r w:rsidR="000E462D">
        <w:t xml:space="preserve">of the court </w:t>
      </w:r>
      <w:r w:rsidRPr="00CD72A5">
        <w:t>to strike out or stay proceedings</w:t>
      </w:r>
      <w:r w:rsidR="000E462D">
        <w:t>,</w:t>
      </w:r>
      <w:r w:rsidRPr="00CD72A5">
        <w:t xml:space="preserve"> if they are frivolous and vexatious or bound to fail</w:t>
      </w:r>
      <w:r w:rsidR="000E462D">
        <w:t>,</w:t>
      </w:r>
      <w:r w:rsidRPr="00CD72A5">
        <w:t xml:space="preserve"> as articulated by Costello J. in </w:t>
      </w:r>
      <w:r w:rsidRPr="00414B4D">
        <w:rPr>
          <w:i/>
        </w:rPr>
        <w:t>Barry v. Buckley</w:t>
      </w:r>
      <w:r w:rsidRPr="00CD72A5">
        <w:t xml:space="preserve"> [1981] IR 306.</w:t>
      </w:r>
    </w:p>
    <w:p w14:paraId="49A2D0D4" w14:textId="28B2E92E" w:rsidR="00414B4D" w:rsidRDefault="004070E7" w:rsidP="00414B4D">
      <w:pPr>
        <w:numPr>
          <w:ilvl w:val="0"/>
          <w:numId w:val="8"/>
        </w:numPr>
        <w:spacing w:line="480" w:lineRule="auto"/>
        <w:jc w:val="both"/>
      </w:pPr>
      <w:r w:rsidRPr="00CD72A5">
        <w:t>The principles applicable to applications to strike out pursuant to O. 19 r. 27 and/or pursuant to the inherent jurisdiction of the court are well known</w:t>
      </w:r>
      <w:r w:rsidR="000E462D">
        <w:t>.</w:t>
      </w:r>
      <w:r w:rsidRPr="00CD72A5">
        <w:t xml:space="preserve"> However, it is helpful to </w:t>
      </w:r>
      <w:r w:rsidR="007A7F64" w:rsidRPr="00CD72A5">
        <w:t xml:space="preserve">refer to a recent application of those principles in defamation proceedings. </w:t>
      </w:r>
      <w:r w:rsidR="000E462D">
        <w:t xml:space="preserve">In </w:t>
      </w:r>
      <w:r w:rsidRPr="00414B4D">
        <w:rPr>
          <w:i/>
        </w:rPr>
        <w:lastRenderedPageBreak/>
        <w:t>Declan Ganley v. Ra</w:t>
      </w:r>
      <w:r w:rsidR="009C0F42">
        <w:rPr>
          <w:i/>
        </w:rPr>
        <w:t>i</w:t>
      </w:r>
      <w:r w:rsidRPr="00414B4D">
        <w:rPr>
          <w:i/>
        </w:rPr>
        <w:t>di</w:t>
      </w:r>
      <w:r w:rsidR="009C0F42">
        <w:rPr>
          <w:i/>
        </w:rPr>
        <w:t>ó</w:t>
      </w:r>
      <w:r w:rsidRPr="00414B4D">
        <w:rPr>
          <w:i/>
        </w:rPr>
        <w:t xml:space="preserve"> Tel</w:t>
      </w:r>
      <w:r w:rsidR="009C0F42">
        <w:rPr>
          <w:i/>
        </w:rPr>
        <w:t>i</w:t>
      </w:r>
      <w:r w:rsidRPr="00414B4D">
        <w:rPr>
          <w:i/>
        </w:rPr>
        <w:t>f</w:t>
      </w:r>
      <w:r w:rsidR="009C0F42">
        <w:rPr>
          <w:i/>
        </w:rPr>
        <w:t>í</w:t>
      </w:r>
      <w:r w:rsidRPr="00414B4D">
        <w:rPr>
          <w:i/>
        </w:rPr>
        <w:t xml:space="preserve">s </w:t>
      </w:r>
      <w:r w:rsidR="009C0F42">
        <w:rPr>
          <w:i/>
        </w:rPr>
        <w:t>É</w:t>
      </w:r>
      <w:r w:rsidRPr="00414B4D">
        <w:rPr>
          <w:i/>
        </w:rPr>
        <w:t>ireann</w:t>
      </w:r>
      <w:r w:rsidRPr="00CD72A5">
        <w:t xml:space="preserve"> [2019] IECA 18</w:t>
      </w:r>
      <w:r w:rsidRPr="00414B4D">
        <w:rPr>
          <w:i/>
        </w:rPr>
        <w:t xml:space="preserve">, </w:t>
      </w:r>
      <w:r w:rsidRPr="00CD72A5">
        <w:t xml:space="preserve">the plaintiff brought an application to strike out the defence of justification. Irvine J. (as she then was) observed that the rule was designed to ensure that neither party is required to absorb unnecessary expense or unwarranted delay </w:t>
      </w:r>
      <w:r w:rsidR="007A7F64" w:rsidRPr="00CD72A5">
        <w:t xml:space="preserve">in responding </w:t>
      </w:r>
      <w:r w:rsidRPr="00CD72A5">
        <w:t>to a pleading wholly unconnected with the substance of the dispute.</w:t>
      </w:r>
    </w:p>
    <w:p w14:paraId="015A526A" w14:textId="77777777" w:rsidR="00424F02" w:rsidRDefault="004070E7" w:rsidP="00414B4D">
      <w:pPr>
        <w:numPr>
          <w:ilvl w:val="0"/>
          <w:numId w:val="8"/>
        </w:numPr>
        <w:spacing w:line="480" w:lineRule="auto"/>
        <w:jc w:val="both"/>
      </w:pPr>
      <w:r w:rsidRPr="00CD72A5">
        <w:t>The following statements of principle</w:t>
      </w:r>
      <w:r w:rsidR="00A63B59" w:rsidRPr="00CD72A5">
        <w:t xml:space="preserve"> in relation to an application to strike out a </w:t>
      </w:r>
      <w:r w:rsidR="00681099" w:rsidRPr="00B62959">
        <w:rPr>
          <w:i/>
          <w:iCs/>
        </w:rPr>
        <w:t>“</w:t>
      </w:r>
      <w:r w:rsidR="00A63B59" w:rsidRPr="00A16ADD">
        <w:rPr>
          <w:i/>
          <w:iCs/>
        </w:rPr>
        <w:t>meanings</w:t>
      </w:r>
      <w:r w:rsidR="00681099" w:rsidRPr="00A16ADD">
        <w:rPr>
          <w:i/>
          <w:iCs/>
        </w:rPr>
        <w:t xml:space="preserve"> </w:t>
      </w:r>
      <w:r w:rsidR="00A63B59" w:rsidRPr="001447F1">
        <w:rPr>
          <w:i/>
          <w:iCs/>
        </w:rPr>
        <w:t>defence</w:t>
      </w:r>
      <w:r w:rsidR="00681099" w:rsidRPr="00B62959">
        <w:rPr>
          <w:i/>
          <w:iCs/>
        </w:rPr>
        <w:t>”</w:t>
      </w:r>
      <w:r w:rsidRPr="00CD72A5">
        <w:t xml:space="preserve"> emerge from </w:t>
      </w:r>
      <w:r w:rsidR="000E462D">
        <w:t>Irvine</w:t>
      </w:r>
      <w:r w:rsidR="006C0529">
        <w:t xml:space="preserve"> J.’</w:t>
      </w:r>
      <w:r w:rsidR="000E462D">
        <w:t>s</w:t>
      </w:r>
      <w:r w:rsidR="007A7F64" w:rsidRPr="00CD72A5">
        <w:t xml:space="preserve"> judgment:</w:t>
      </w:r>
      <w:r w:rsidRPr="00CD72A5">
        <w:t xml:space="preserve"> </w:t>
      </w:r>
    </w:p>
    <w:p w14:paraId="061D774B" w14:textId="0DE0BA5E" w:rsidR="00414B4D" w:rsidRDefault="007A7F64" w:rsidP="00414B4D">
      <w:pPr>
        <w:numPr>
          <w:ilvl w:val="0"/>
          <w:numId w:val="8"/>
        </w:numPr>
        <w:spacing w:line="480" w:lineRule="auto"/>
        <w:jc w:val="both"/>
      </w:pPr>
      <w:r w:rsidRPr="00CD72A5">
        <w:t>First, t</w:t>
      </w:r>
      <w:r w:rsidR="004070E7" w:rsidRPr="00CD72A5">
        <w:t xml:space="preserve">he bar for </w:t>
      </w:r>
      <w:r w:rsidRPr="00CD72A5">
        <w:t xml:space="preserve">such </w:t>
      </w:r>
      <w:r w:rsidR="004070E7" w:rsidRPr="00CD72A5">
        <w:t>application is set relatively high</w:t>
      </w:r>
      <w:r w:rsidR="000E462D">
        <w:t>. The</w:t>
      </w:r>
      <w:r w:rsidR="004070E7" w:rsidRPr="00CD72A5">
        <w:t xml:space="preserve"> judge should </w:t>
      </w:r>
      <w:r w:rsidRPr="00CD72A5">
        <w:t xml:space="preserve">strike out </w:t>
      </w:r>
      <w:r w:rsidR="004070E7" w:rsidRPr="00CD72A5">
        <w:t>only if satisfied that it would be perverse for the jury to uphold the relevant plea</w:t>
      </w:r>
      <w:r w:rsidRPr="00CD72A5">
        <w:t>.</w:t>
      </w:r>
      <w:r w:rsidR="00A63B59" w:rsidRPr="00CD72A5">
        <w:t xml:space="preserve"> </w:t>
      </w:r>
      <w:r w:rsidRPr="00CD72A5">
        <w:t xml:space="preserve">In the present case, the question is </w:t>
      </w:r>
      <w:r w:rsidR="004070E7" w:rsidRPr="00CD72A5">
        <w:t xml:space="preserve">whether </w:t>
      </w:r>
      <w:r w:rsidRPr="00CD72A5">
        <w:t>the failure to attach a</w:t>
      </w:r>
      <w:r w:rsidR="00EB0CD6">
        <w:t>n appropriate</w:t>
      </w:r>
      <w:r w:rsidRPr="00CD72A5">
        <w:t xml:space="preserve"> </w:t>
      </w:r>
      <w:r w:rsidRPr="00414B4D">
        <w:rPr>
          <w:i/>
        </w:rPr>
        <w:t xml:space="preserve">Loutchansky </w:t>
      </w:r>
      <w:r w:rsidRPr="00B62959">
        <w:rPr>
          <w:iCs/>
        </w:rPr>
        <w:t>notice</w:t>
      </w:r>
      <w:r w:rsidRPr="00A16ADD">
        <w:rPr>
          <w:iCs/>
        </w:rPr>
        <w:t xml:space="preserve"> </w:t>
      </w:r>
      <w:r w:rsidRPr="00CD72A5">
        <w:t xml:space="preserve">means that </w:t>
      </w:r>
      <w:r w:rsidR="004070E7" w:rsidRPr="00CD72A5">
        <w:t xml:space="preserve">it would be perverse for the jury to uphold the potential s. 26 defence. </w:t>
      </w:r>
      <w:r w:rsidR="00A7726F" w:rsidRPr="00CD72A5">
        <w:t xml:space="preserve">It is </w:t>
      </w:r>
      <w:r w:rsidR="00B62959">
        <w:t xml:space="preserve">ultimately </w:t>
      </w:r>
      <w:r w:rsidR="00A7726F" w:rsidRPr="00CD72A5">
        <w:t>for the jury, properly directed</w:t>
      </w:r>
      <w:r w:rsidR="001D60BA">
        <w:t>,</w:t>
      </w:r>
      <w:r w:rsidR="00A7726F" w:rsidRPr="00CD72A5">
        <w:t xml:space="preserve"> to determine whether the failure to attach a </w:t>
      </w:r>
      <w:r w:rsidR="00A7726F" w:rsidRPr="00414B4D">
        <w:rPr>
          <w:i/>
        </w:rPr>
        <w:t xml:space="preserve">Loutchansky </w:t>
      </w:r>
      <w:r w:rsidR="00A7726F" w:rsidRPr="00B62959">
        <w:rPr>
          <w:iCs/>
        </w:rPr>
        <w:t>notice</w:t>
      </w:r>
      <w:r w:rsidR="00A7726F" w:rsidRPr="00CD72A5">
        <w:t xml:space="preserve"> means that it was not fair and reasonable to continue to publish the article. This will depend upon the jury’s assessment of the various factors and considerations set out in s. 26 (2), together with such other matters as the jury, properly directed</w:t>
      </w:r>
      <w:r w:rsidR="001D60BA">
        <w:t>,</w:t>
      </w:r>
      <w:r w:rsidR="00A7726F" w:rsidRPr="00CD72A5">
        <w:t xml:space="preserve"> considers relevant. Whether or not the s. 26 defence is </w:t>
      </w:r>
      <w:r w:rsidR="001D60BA">
        <w:t>successful</w:t>
      </w:r>
      <w:r w:rsidR="00A7726F" w:rsidRPr="00CD72A5">
        <w:t xml:space="preserve"> will depend upon the evidence given in this case, the jury’s assessment of that evidence and </w:t>
      </w:r>
      <w:r w:rsidR="00B94B37">
        <w:t xml:space="preserve">the </w:t>
      </w:r>
      <w:r w:rsidR="00A7726F" w:rsidRPr="00CD72A5">
        <w:t xml:space="preserve">resolution of </w:t>
      </w:r>
      <w:r w:rsidR="001D60BA">
        <w:t xml:space="preserve">certain </w:t>
      </w:r>
      <w:r w:rsidR="00A7726F" w:rsidRPr="00CD72A5">
        <w:t>complex issues of law</w:t>
      </w:r>
      <w:r w:rsidR="00B10FA0">
        <w:t>,</w:t>
      </w:r>
      <w:r w:rsidR="00B94B37">
        <w:t xml:space="preserve"> as mentioned below</w:t>
      </w:r>
      <w:r w:rsidR="00A7726F" w:rsidRPr="00CD72A5">
        <w:t>.</w:t>
      </w:r>
    </w:p>
    <w:p w14:paraId="7ED9A8BD" w14:textId="09540CA0" w:rsidR="00414B4D" w:rsidRDefault="007A7F64" w:rsidP="00414B4D">
      <w:pPr>
        <w:numPr>
          <w:ilvl w:val="0"/>
          <w:numId w:val="8"/>
        </w:numPr>
        <w:spacing w:line="480" w:lineRule="auto"/>
        <w:jc w:val="both"/>
      </w:pPr>
      <w:r w:rsidRPr="00CD72A5">
        <w:t>Second</w:t>
      </w:r>
      <w:r w:rsidR="00B94B37">
        <w:t>ly</w:t>
      </w:r>
      <w:r w:rsidRPr="00CD72A5">
        <w:t xml:space="preserve">, </w:t>
      </w:r>
      <w:r w:rsidR="004A7FB7" w:rsidRPr="00CD72A5">
        <w:t>Irvine J</w:t>
      </w:r>
      <w:r w:rsidR="009A1BB9">
        <w:t>.</w:t>
      </w:r>
      <w:r w:rsidR="004A7FB7" w:rsidRPr="00CD72A5">
        <w:t xml:space="preserve"> observed that a </w:t>
      </w:r>
      <w:r w:rsidR="004070E7" w:rsidRPr="00CD72A5">
        <w:t xml:space="preserve">defendant is entitled to plead </w:t>
      </w:r>
      <w:r w:rsidR="00B94B37">
        <w:t xml:space="preserve">a </w:t>
      </w:r>
      <w:r w:rsidR="00B94B37" w:rsidRPr="00940AF4">
        <w:rPr>
          <w:i/>
          <w:iCs/>
        </w:rPr>
        <w:t>“meanings defence</w:t>
      </w:r>
      <w:r w:rsidR="00B94B37" w:rsidRPr="00B62959">
        <w:rPr>
          <w:i/>
          <w:iCs/>
        </w:rPr>
        <w:t>”</w:t>
      </w:r>
      <w:r w:rsidR="004070E7" w:rsidRPr="00CD72A5">
        <w:t xml:space="preserve"> so as to justify any reasonable meaning of the words published which a jury</w:t>
      </w:r>
      <w:r w:rsidR="00B94B37">
        <w:t>,</w:t>
      </w:r>
      <w:r w:rsidR="004070E7" w:rsidRPr="00CD72A5">
        <w:t xml:space="preserve"> properly directed</w:t>
      </w:r>
      <w:r w:rsidR="00B94B37">
        <w:t>,</w:t>
      </w:r>
      <w:r w:rsidR="004070E7" w:rsidRPr="00CD72A5">
        <w:t xml:space="preserve"> might find to be the real meaning</w:t>
      </w:r>
      <w:r w:rsidR="00E61A7A">
        <w:t>. T</w:t>
      </w:r>
      <w:r w:rsidR="004070E7" w:rsidRPr="00CD72A5">
        <w:t xml:space="preserve">he range of potentially permissible meanings must be </w:t>
      </w:r>
      <w:r w:rsidR="00B10FA0">
        <w:t>allowed to stand</w:t>
      </w:r>
      <w:r w:rsidR="004070E7" w:rsidRPr="00CD72A5">
        <w:t xml:space="preserve"> for the jury’s consideration. </w:t>
      </w:r>
      <w:r w:rsidR="00936678" w:rsidRPr="00CD72A5">
        <w:t xml:space="preserve">A judge </w:t>
      </w:r>
      <w:r w:rsidR="004A7FB7" w:rsidRPr="00CD72A5">
        <w:t>must be careful not to supplant his or her own judgment for that of the jury</w:t>
      </w:r>
      <w:r w:rsidR="00E61A7A">
        <w:t>. A judge</w:t>
      </w:r>
      <w:r w:rsidR="00B10FA0">
        <w:t xml:space="preserve"> </w:t>
      </w:r>
      <w:r w:rsidR="00936678" w:rsidRPr="00CD72A5">
        <w:t xml:space="preserve">should not withhold a matter from the jury unless satisfied that it would be wholly unreasonable for the jury to attribute a libellous meaning to the words complained of. </w:t>
      </w:r>
      <w:r w:rsidR="00936678" w:rsidRPr="00CD72A5">
        <w:lastRenderedPageBreak/>
        <w:t xml:space="preserve">The same logic must apply </w:t>
      </w:r>
      <w:r w:rsidR="002023EF">
        <w:t>in</w:t>
      </w:r>
      <w:r w:rsidR="00936678" w:rsidRPr="00CD72A5">
        <w:t xml:space="preserve"> </w:t>
      </w:r>
      <w:r w:rsidR="002023EF">
        <w:t>this case</w:t>
      </w:r>
      <w:r w:rsidR="00E61A7A">
        <w:t xml:space="preserve">. </w:t>
      </w:r>
      <w:r w:rsidR="00A86130">
        <w:t>T</w:t>
      </w:r>
      <w:r w:rsidR="002023EF">
        <w:t>herefore</w:t>
      </w:r>
      <w:r w:rsidR="00B10FA0">
        <w:t>,</w:t>
      </w:r>
      <w:r w:rsidR="002023EF">
        <w:t xml:space="preserve"> </w:t>
      </w:r>
      <w:r w:rsidR="00936678" w:rsidRPr="00CD72A5">
        <w:t>t</w:t>
      </w:r>
      <w:r w:rsidR="000E6A45" w:rsidRPr="00CD72A5">
        <w:t xml:space="preserve">he </w:t>
      </w:r>
      <w:r w:rsidR="004070E7" w:rsidRPr="00CD72A5">
        <w:t>present inquiry</w:t>
      </w:r>
      <w:r w:rsidR="000E6A45" w:rsidRPr="00CD72A5">
        <w:t xml:space="preserve"> is w</w:t>
      </w:r>
      <w:r w:rsidR="004070E7" w:rsidRPr="00CD72A5">
        <w:t xml:space="preserve">hether </w:t>
      </w:r>
      <w:r w:rsidR="00936678" w:rsidRPr="00CD72A5">
        <w:t>it would be wholly unreasonable for the jury to uphold the s. 26 defence</w:t>
      </w:r>
      <w:r w:rsidR="004070E7" w:rsidRPr="00CD72A5">
        <w:t>.</w:t>
      </w:r>
    </w:p>
    <w:p w14:paraId="5489F259" w14:textId="1F832E1B" w:rsidR="00414B4D" w:rsidRDefault="000E6A45" w:rsidP="00414B4D">
      <w:pPr>
        <w:numPr>
          <w:ilvl w:val="0"/>
          <w:numId w:val="8"/>
        </w:numPr>
        <w:spacing w:line="480" w:lineRule="auto"/>
        <w:jc w:val="both"/>
      </w:pPr>
      <w:r w:rsidRPr="00CD72A5">
        <w:t>Third</w:t>
      </w:r>
      <w:r w:rsidR="002023EF">
        <w:t>ly</w:t>
      </w:r>
      <w:r w:rsidRPr="00CD72A5">
        <w:t>, a</w:t>
      </w:r>
      <w:r w:rsidR="004070E7" w:rsidRPr="00CD72A5">
        <w:t xml:space="preserve"> judge’s jurisdiction to strike out some aspect of a defence propos</w:t>
      </w:r>
      <w:r w:rsidR="00E61A7A">
        <w:t>ing</w:t>
      </w:r>
      <w:r w:rsidR="004070E7" w:rsidRPr="00CD72A5">
        <w:t xml:space="preserve"> an alternative meaning to the words alleged to be defamatory</w:t>
      </w:r>
      <w:r w:rsidR="002023EF">
        <w:t>,</w:t>
      </w:r>
      <w:r w:rsidR="004070E7" w:rsidRPr="00CD72A5">
        <w:t xml:space="preserve"> should be sparingly invoked. </w:t>
      </w:r>
      <w:r w:rsidR="00B62959">
        <w:t>Similarly, t</w:t>
      </w:r>
      <w:r w:rsidR="004070E7" w:rsidRPr="00CD72A5">
        <w:t xml:space="preserve">he </w:t>
      </w:r>
      <w:r w:rsidR="00B62959">
        <w:t xml:space="preserve">s. 26 </w:t>
      </w:r>
      <w:r w:rsidR="004070E7" w:rsidRPr="00CD72A5">
        <w:t>defence should only be struck out, thereby effectively withdrawing it from the jury</w:t>
      </w:r>
      <w:r w:rsidRPr="00CD72A5">
        <w:t>,</w:t>
      </w:r>
      <w:r w:rsidR="004070E7" w:rsidRPr="00CD72A5">
        <w:t xml:space="preserve"> </w:t>
      </w:r>
      <w:r w:rsidR="00B62959">
        <w:t xml:space="preserve">only </w:t>
      </w:r>
      <w:r w:rsidR="004070E7" w:rsidRPr="00CD72A5">
        <w:t>if it is clear that the defence, and the particulars pleaded in relation thereto</w:t>
      </w:r>
      <w:r w:rsidR="00A86130">
        <w:t>,</w:t>
      </w:r>
      <w:r w:rsidR="004070E7" w:rsidRPr="00CD72A5">
        <w:t xml:space="preserve"> cannot reasonably disclose an answer to the plaintiff’s claim. </w:t>
      </w:r>
    </w:p>
    <w:p w14:paraId="451C2408" w14:textId="7331B37D" w:rsidR="00414B4D" w:rsidRDefault="006C0529" w:rsidP="00414B4D">
      <w:pPr>
        <w:numPr>
          <w:ilvl w:val="0"/>
          <w:numId w:val="8"/>
        </w:numPr>
        <w:spacing w:line="480" w:lineRule="auto"/>
        <w:jc w:val="both"/>
      </w:pPr>
      <w:r>
        <w:t>Overall, t</w:t>
      </w:r>
      <w:r w:rsidR="00392D9C" w:rsidRPr="00CD72A5">
        <w:t>he principles applying to an application to strike out a pleading in a defamation action are the same as those applying in other suits</w:t>
      </w:r>
      <w:r w:rsidR="00A86130">
        <w:t>. N</w:t>
      </w:r>
      <w:r w:rsidR="00392D9C" w:rsidRPr="00CD72A5">
        <w:t xml:space="preserve">onetheless the court </w:t>
      </w:r>
      <w:r w:rsidR="00293057">
        <w:t>must</w:t>
      </w:r>
      <w:r w:rsidR="00392D9C" w:rsidRPr="00CD72A5">
        <w:t xml:space="preserve"> be aware that</w:t>
      </w:r>
      <w:r w:rsidR="00293057">
        <w:t>,</w:t>
      </w:r>
      <w:r w:rsidR="00392D9C" w:rsidRPr="00CD72A5">
        <w:t xml:space="preserve"> in </w:t>
      </w:r>
      <w:r w:rsidR="00B62959">
        <w:t>defamation proceedings</w:t>
      </w:r>
      <w:r w:rsidR="00392D9C" w:rsidRPr="00CD72A5">
        <w:t xml:space="preserve">, the ultimate decision maker in respect of the success or otherwise of the relevant pleas is </w:t>
      </w:r>
      <w:r w:rsidR="00293057">
        <w:t xml:space="preserve">the jury </w:t>
      </w:r>
      <w:r w:rsidR="00392D9C" w:rsidRPr="00CD72A5">
        <w:t xml:space="preserve">not the </w:t>
      </w:r>
      <w:r w:rsidR="007030C6">
        <w:t>judge</w:t>
      </w:r>
      <w:r w:rsidR="00293057">
        <w:t>.</w:t>
      </w:r>
      <w:r w:rsidR="00392D9C" w:rsidRPr="00CD72A5">
        <w:t xml:space="preserve"> </w:t>
      </w:r>
      <w:r w:rsidR="00293057">
        <w:t>T</w:t>
      </w:r>
      <w:r w:rsidR="00392D9C" w:rsidRPr="00CD72A5">
        <w:t xml:space="preserve">he extent to which it is appropriate for </w:t>
      </w:r>
      <w:r w:rsidR="00681099" w:rsidRPr="00CD72A5">
        <w:t xml:space="preserve">the court </w:t>
      </w:r>
      <w:r w:rsidR="00392D9C" w:rsidRPr="00CD72A5">
        <w:t xml:space="preserve">to assess the evidence on a motion to dismiss </w:t>
      </w:r>
      <w:r w:rsidR="00681099" w:rsidRPr="00CD72A5">
        <w:t>a</w:t>
      </w:r>
      <w:r w:rsidR="00392D9C" w:rsidRPr="00CD72A5">
        <w:t xml:space="preserve">s bound to fail is </w:t>
      </w:r>
      <w:r w:rsidR="00681099" w:rsidRPr="00CD72A5">
        <w:t xml:space="preserve">always </w:t>
      </w:r>
      <w:r w:rsidR="00392D9C" w:rsidRPr="00CD72A5">
        <w:t>extremely limited</w:t>
      </w:r>
      <w:r w:rsidR="00293057">
        <w:t xml:space="preserve">. </w:t>
      </w:r>
      <w:proofErr w:type="gramStart"/>
      <w:r w:rsidR="00293057">
        <w:t>However</w:t>
      </w:r>
      <w:proofErr w:type="gramEnd"/>
      <w:r w:rsidR="00293057">
        <w:t xml:space="preserve"> the</w:t>
      </w:r>
      <w:r w:rsidR="00392D9C" w:rsidRPr="00CD72A5">
        <w:t xml:space="preserve"> difficulty in </w:t>
      </w:r>
      <w:r w:rsidR="00681099" w:rsidRPr="00CD72A5">
        <w:t>ac</w:t>
      </w:r>
      <w:r w:rsidR="00392D9C" w:rsidRPr="00CD72A5">
        <w:t xml:space="preserve">ceding to such an application in a defamation action is particularly acute. </w:t>
      </w:r>
      <w:r w:rsidR="00392D9C" w:rsidRPr="00B62959">
        <w:t xml:space="preserve">The court must be confident that no matter </w:t>
      </w:r>
      <w:r w:rsidRPr="00B62959">
        <w:t xml:space="preserve">what may arise on discovery or at the trial of the action, the jury could not uphold the </w:t>
      </w:r>
      <w:r w:rsidR="0071686E" w:rsidRPr="00B62959">
        <w:t>defence as</w:t>
      </w:r>
      <w:r w:rsidR="00392D9C" w:rsidRPr="00B62959">
        <w:t xml:space="preserve"> pleaded</w:t>
      </w:r>
      <w:r w:rsidR="0071686E" w:rsidRPr="00B62959">
        <w:t>.</w:t>
      </w:r>
    </w:p>
    <w:p w14:paraId="56CB83DB" w14:textId="2914612D" w:rsidR="00A713CE" w:rsidRPr="00CD72A5" w:rsidRDefault="00B62959" w:rsidP="00424F02">
      <w:pPr>
        <w:numPr>
          <w:ilvl w:val="0"/>
          <w:numId w:val="8"/>
        </w:numPr>
        <w:spacing w:line="480" w:lineRule="auto"/>
        <w:jc w:val="both"/>
      </w:pPr>
      <w:r>
        <w:t>Furthermore, a</w:t>
      </w:r>
      <w:r w:rsidR="008B774B" w:rsidRPr="00CD72A5">
        <w:t>s indicated by Clarke J.</w:t>
      </w:r>
      <w:r w:rsidR="006C0529">
        <w:t xml:space="preserve"> (as he then was)</w:t>
      </w:r>
      <w:r w:rsidR="008B774B" w:rsidRPr="00CD72A5">
        <w:t xml:space="preserve"> in </w:t>
      </w:r>
      <w:r w:rsidR="008B774B" w:rsidRPr="00414B4D">
        <w:rPr>
          <w:i/>
        </w:rPr>
        <w:t>Moylist Construction Ltd v. Doheny</w:t>
      </w:r>
      <w:r w:rsidR="008B774B" w:rsidRPr="00CD72A5">
        <w:t xml:space="preserve"> [2016] 2 IR 283</w:t>
      </w:r>
      <w:r w:rsidR="008B774B">
        <w:t xml:space="preserve">, </w:t>
      </w:r>
      <w:r w:rsidR="00392D9C" w:rsidRPr="00CD72A5">
        <w:t xml:space="preserve">a court ought not entertain a strike out application where the legal issues arising are complex </w:t>
      </w:r>
      <w:r w:rsidR="00C47E02">
        <w:t xml:space="preserve">and </w:t>
      </w:r>
      <w:r w:rsidR="00392D9C" w:rsidRPr="00CD72A5">
        <w:t>require the type of careful analysis which can only be carried out safely at a full trial</w:t>
      </w:r>
      <w:r w:rsidR="004A7FB7" w:rsidRPr="00CD72A5">
        <w:t>, against the backdrop of f</w:t>
      </w:r>
      <w:r w:rsidR="00392D9C" w:rsidRPr="00CD72A5">
        <w:t xml:space="preserve">acts </w:t>
      </w:r>
      <w:r w:rsidR="00C47E02">
        <w:t>when</w:t>
      </w:r>
      <w:r w:rsidR="004A7FB7" w:rsidRPr="00CD72A5">
        <w:t xml:space="preserve"> fully</w:t>
      </w:r>
      <w:r w:rsidR="00392D9C" w:rsidRPr="00CD72A5">
        <w:t xml:space="preserve"> explored and </w:t>
      </w:r>
      <w:r w:rsidR="00C47E02">
        <w:t>established.</w:t>
      </w:r>
      <w:r w:rsidR="00424F02">
        <w:t xml:space="preserve"> </w:t>
      </w:r>
      <w:r>
        <w:t>This</w:t>
      </w:r>
      <w:r w:rsidR="006E121C" w:rsidRPr="00CD72A5">
        <w:t xml:space="preserve"> observation </w:t>
      </w:r>
      <w:r w:rsidR="00C47E02">
        <w:t>is</w:t>
      </w:r>
      <w:r w:rsidR="006E121C" w:rsidRPr="00CD72A5">
        <w:t xml:space="preserve"> of particular relevance in </w:t>
      </w:r>
      <w:r w:rsidR="007030C6">
        <w:t xml:space="preserve">this </w:t>
      </w:r>
      <w:r w:rsidR="006E121C" w:rsidRPr="00CD72A5">
        <w:t xml:space="preserve">application </w:t>
      </w:r>
      <w:r w:rsidR="0002613E" w:rsidRPr="00CD72A5">
        <w:t>because</w:t>
      </w:r>
      <w:r w:rsidR="00B27F43" w:rsidRPr="00CD72A5">
        <w:t>,</w:t>
      </w:r>
      <w:r w:rsidR="0002613E" w:rsidRPr="00CD72A5">
        <w:t xml:space="preserve"> as observed by Collins J. in </w:t>
      </w:r>
      <w:r w:rsidR="0002613E" w:rsidRPr="00424F02">
        <w:rPr>
          <w:i/>
        </w:rPr>
        <w:t xml:space="preserve">Desmond v. </w:t>
      </w:r>
      <w:r w:rsidR="0009264B" w:rsidRPr="00424F02">
        <w:rPr>
          <w:i/>
        </w:rPr>
        <w:t>The Irish Times Ltd</w:t>
      </w:r>
      <w:r w:rsidR="0002613E" w:rsidRPr="00CD72A5">
        <w:t xml:space="preserve"> [2020] IEHC 95</w:t>
      </w:r>
      <w:r w:rsidR="00541056">
        <w:t>,</w:t>
      </w:r>
      <w:r w:rsidR="0002613E" w:rsidRPr="00CD72A5">
        <w:t xml:space="preserve"> </w:t>
      </w:r>
      <w:proofErr w:type="gramStart"/>
      <w:r w:rsidR="00541056">
        <w:t xml:space="preserve">no </w:t>
      </w:r>
      <w:r w:rsidR="0002613E" w:rsidRPr="00CD72A5">
        <w:t xml:space="preserve"> significant</w:t>
      </w:r>
      <w:proofErr w:type="gramEnd"/>
      <w:r w:rsidR="0002613E" w:rsidRPr="00CD72A5">
        <w:t xml:space="preserve"> guidance</w:t>
      </w:r>
      <w:r w:rsidR="00541056">
        <w:t xml:space="preserve"> is </w:t>
      </w:r>
      <w:r w:rsidR="0002613E" w:rsidRPr="00CD72A5">
        <w:t xml:space="preserve">available from the authorities </w:t>
      </w:r>
      <w:r w:rsidR="00541056">
        <w:t>on</w:t>
      </w:r>
      <w:r w:rsidR="0002613E" w:rsidRPr="00CD72A5">
        <w:t xml:space="preserve"> the scope and effect of</w:t>
      </w:r>
      <w:r w:rsidR="00C47E02">
        <w:t xml:space="preserve"> </w:t>
      </w:r>
      <w:r w:rsidR="0002613E" w:rsidRPr="00CD72A5">
        <w:t xml:space="preserve"> the new s. 26 defence. </w:t>
      </w:r>
      <w:r w:rsidR="00261BB3" w:rsidRPr="00CD72A5">
        <w:t>Further, t</w:t>
      </w:r>
      <w:r w:rsidR="001266AD" w:rsidRPr="00CD72A5">
        <w:t>here</w:t>
      </w:r>
      <w:r w:rsidR="00B27F43" w:rsidRPr="00CD72A5">
        <w:t xml:space="preserve"> is </w:t>
      </w:r>
      <w:r w:rsidR="00541056">
        <w:t xml:space="preserve">no </w:t>
      </w:r>
      <w:r w:rsidR="00B27F43" w:rsidRPr="00CD72A5">
        <w:t xml:space="preserve">authority </w:t>
      </w:r>
      <w:r w:rsidR="00261BB3" w:rsidRPr="00CD72A5">
        <w:t xml:space="preserve">on the </w:t>
      </w:r>
      <w:r w:rsidR="00122100">
        <w:t>two specific</w:t>
      </w:r>
      <w:r w:rsidR="00261BB3" w:rsidRPr="00CD72A5">
        <w:t xml:space="preserve"> legal issues arising in the present application; namely whether </w:t>
      </w:r>
      <w:r w:rsidR="0002613E" w:rsidRPr="00CD72A5">
        <w:t xml:space="preserve">a failure to attach a </w:t>
      </w:r>
      <w:r w:rsidR="0002613E" w:rsidRPr="00424F02">
        <w:rPr>
          <w:i/>
        </w:rPr>
        <w:t>Loutchansky</w:t>
      </w:r>
      <w:r w:rsidR="0002613E" w:rsidRPr="00CD72A5">
        <w:t xml:space="preserve"> notice to a </w:t>
      </w:r>
      <w:r w:rsidR="0002613E" w:rsidRPr="00CD72A5">
        <w:lastRenderedPageBreak/>
        <w:t xml:space="preserve">publication </w:t>
      </w:r>
      <w:r w:rsidR="00261BB3" w:rsidRPr="00CD72A5">
        <w:t xml:space="preserve">would </w:t>
      </w:r>
      <w:r w:rsidR="0002613E" w:rsidRPr="00CD72A5">
        <w:t>foreclos</w:t>
      </w:r>
      <w:r w:rsidR="00261BB3" w:rsidRPr="00CD72A5">
        <w:t>e a</w:t>
      </w:r>
      <w:r w:rsidR="0002613E" w:rsidRPr="00CD72A5">
        <w:t xml:space="preserve"> </w:t>
      </w:r>
      <w:r w:rsidR="00261BB3" w:rsidRPr="00CD72A5">
        <w:t>successful s</w:t>
      </w:r>
      <w:r w:rsidR="0002613E" w:rsidRPr="00CD72A5">
        <w:t>. 26 defence</w:t>
      </w:r>
      <w:r w:rsidR="00261BB3" w:rsidRPr="00CD72A5">
        <w:t xml:space="preserve"> and the </w:t>
      </w:r>
      <w:r w:rsidR="00CC2057">
        <w:t xml:space="preserve">impact of </w:t>
      </w:r>
      <w:r w:rsidR="00414B4D" w:rsidRPr="00CD72A5">
        <w:t>the single publication rule</w:t>
      </w:r>
      <w:r w:rsidR="00CC2057">
        <w:t xml:space="preserve"> on the </w:t>
      </w:r>
      <w:r w:rsidR="00261BB3" w:rsidRPr="00424F02">
        <w:rPr>
          <w:i/>
        </w:rPr>
        <w:t>Loutchansky</w:t>
      </w:r>
      <w:r w:rsidR="00261BB3" w:rsidRPr="00CD72A5">
        <w:t xml:space="preserve"> line of authority</w:t>
      </w:r>
      <w:r w:rsidR="0002613E" w:rsidRPr="00CD72A5">
        <w:t>.</w:t>
      </w:r>
    </w:p>
    <w:p w14:paraId="75D1B32D" w14:textId="052BE618" w:rsidR="0002613E" w:rsidRPr="007A78A5" w:rsidRDefault="00A713CE" w:rsidP="007A78A5">
      <w:pPr>
        <w:pStyle w:val="Heading3"/>
        <w:rPr>
          <w:rFonts w:ascii="Times New Roman" w:hAnsi="Times New Roman"/>
          <w:i/>
          <w:sz w:val="24"/>
          <w:szCs w:val="24"/>
        </w:rPr>
      </w:pPr>
      <w:bookmarkStart w:id="11" w:name="_Toc97887631"/>
      <w:r w:rsidRPr="007A78A5">
        <w:rPr>
          <w:rFonts w:ascii="Times New Roman" w:hAnsi="Times New Roman"/>
          <w:i/>
          <w:sz w:val="24"/>
          <w:szCs w:val="24"/>
        </w:rPr>
        <w:t>Plaintiff’s key line of</w:t>
      </w:r>
      <w:r w:rsidR="00C474BB" w:rsidRPr="007A78A5">
        <w:rPr>
          <w:rFonts w:ascii="Times New Roman" w:hAnsi="Times New Roman"/>
          <w:i/>
          <w:sz w:val="24"/>
          <w:szCs w:val="24"/>
        </w:rPr>
        <w:t xml:space="preserve"> au</w:t>
      </w:r>
      <w:r w:rsidRPr="007A78A5">
        <w:rPr>
          <w:rFonts w:ascii="Times New Roman" w:hAnsi="Times New Roman"/>
          <w:i/>
          <w:sz w:val="24"/>
          <w:szCs w:val="24"/>
        </w:rPr>
        <w:t xml:space="preserve">thority; </w:t>
      </w:r>
      <w:r w:rsidR="00C474BB" w:rsidRPr="007A78A5">
        <w:rPr>
          <w:rFonts w:ascii="Times New Roman" w:hAnsi="Times New Roman"/>
          <w:i/>
          <w:sz w:val="24"/>
          <w:szCs w:val="24"/>
        </w:rPr>
        <w:t>Loutchansky v. Times Independent Newspapers [2008] QB 783</w:t>
      </w:r>
      <w:bookmarkEnd w:id="11"/>
      <w:r w:rsidR="00C474BB" w:rsidRPr="007A78A5">
        <w:rPr>
          <w:rFonts w:ascii="Times New Roman" w:hAnsi="Times New Roman"/>
          <w:i/>
          <w:sz w:val="24"/>
          <w:szCs w:val="24"/>
        </w:rPr>
        <w:t xml:space="preserve"> </w:t>
      </w:r>
    </w:p>
    <w:p w14:paraId="58850963" w14:textId="77777777" w:rsidR="00122100" w:rsidRPr="00A16ADD" w:rsidRDefault="00122100" w:rsidP="00B62959"/>
    <w:p w14:paraId="304CB8CE" w14:textId="311453DA" w:rsidR="0011002C" w:rsidRDefault="0002613E" w:rsidP="00B62959">
      <w:pPr>
        <w:pStyle w:val="ListParagraph"/>
        <w:numPr>
          <w:ilvl w:val="0"/>
          <w:numId w:val="8"/>
        </w:numPr>
        <w:spacing w:line="480" w:lineRule="auto"/>
        <w:jc w:val="both"/>
      </w:pPr>
      <w:r w:rsidRPr="00CD72A5">
        <w:t>S</w:t>
      </w:r>
      <w:r w:rsidR="0009264B">
        <w:t>.</w:t>
      </w:r>
      <w:r w:rsidRPr="00CD72A5">
        <w:t xml:space="preserve"> 26 of the 2009 Act provides</w:t>
      </w:r>
      <w:r w:rsidR="00235CF3">
        <w:t xml:space="preserve"> </w:t>
      </w:r>
      <w:r w:rsidR="006C0529">
        <w:t>in material part as follows</w:t>
      </w:r>
      <w:r w:rsidRPr="00CD72A5">
        <w:t xml:space="preserve">: </w:t>
      </w:r>
    </w:p>
    <w:p w14:paraId="789B0B7F" w14:textId="5DD990E5" w:rsidR="0011002C" w:rsidRPr="00235CF3" w:rsidRDefault="0011002C" w:rsidP="00235CF3">
      <w:pPr>
        <w:ind w:left="720"/>
        <w:jc w:val="both"/>
        <w:rPr>
          <w:i/>
          <w:iCs/>
        </w:rPr>
      </w:pPr>
      <w:r w:rsidRPr="00235CF3">
        <w:rPr>
          <w:i/>
          <w:iCs/>
        </w:rPr>
        <w:t xml:space="preserve">“26.— (1) It shall be a defence (to be known, and in this section referred to, as the </w:t>
      </w:r>
      <w:proofErr w:type="gramStart"/>
      <w:r w:rsidRPr="00235CF3">
        <w:rPr>
          <w:i/>
          <w:iCs/>
        </w:rPr>
        <w:t>“ defence</w:t>
      </w:r>
      <w:proofErr w:type="gramEnd"/>
      <w:r w:rsidRPr="00235CF3">
        <w:rPr>
          <w:i/>
          <w:iCs/>
        </w:rPr>
        <w:t xml:space="preserve"> of fair and reasonable publication ”) to a defamation action for the defendant to prove that—</w:t>
      </w:r>
    </w:p>
    <w:p w14:paraId="14B90714" w14:textId="73481C6A" w:rsidR="0011002C" w:rsidRPr="00235CF3" w:rsidRDefault="0011002C" w:rsidP="00235CF3">
      <w:pPr>
        <w:ind w:left="720"/>
        <w:jc w:val="both"/>
        <w:rPr>
          <w:i/>
          <w:iCs/>
        </w:rPr>
      </w:pPr>
      <w:r w:rsidRPr="00235CF3">
        <w:rPr>
          <w:i/>
          <w:iCs/>
        </w:rPr>
        <w:t>(a) the statement in respect of which the action was brought was published—</w:t>
      </w:r>
    </w:p>
    <w:p w14:paraId="5C197AF0" w14:textId="3F3BC6D8" w:rsidR="0011002C" w:rsidRPr="00235CF3" w:rsidRDefault="0011002C" w:rsidP="00235CF3">
      <w:pPr>
        <w:ind w:left="720"/>
        <w:jc w:val="both"/>
        <w:rPr>
          <w:i/>
          <w:iCs/>
        </w:rPr>
      </w:pPr>
      <w:r w:rsidRPr="00235CF3">
        <w:rPr>
          <w:i/>
          <w:iCs/>
        </w:rPr>
        <w:t>(i) in good faith, and</w:t>
      </w:r>
    </w:p>
    <w:p w14:paraId="5FE854F4" w14:textId="30770772" w:rsidR="0011002C" w:rsidRPr="00235CF3" w:rsidRDefault="0011002C" w:rsidP="00235CF3">
      <w:pPr>
        <w:ind w:left="720"/>
        <w:jc w:val="both"/>
        <w:rPr>
          <w:i/>
          <w:iCs/>
        </w:rPr>
      </w:pPr>
      <w:r w:rsidRPr="00235CF3">
        <w:rPr>
          <w:i/>
          <w:iCs/>
        </w:rPr>
        <w:t>(ii) in the course of, or for the purpose of, the discussion of a subject of public interest, the discussion of which was for the public benefit,</w:t>
      </w:r>
    </w:p>
    <w:p w14:paraId="55AF0324" w14:textId="7875188D" w:rsidR="0011002C" w:rsidRPr="00235CF3" w:rsidRDefault="0011002C" w:rsidP="00235CF3">
      <w:pPr>
        <w:ind w:left="720"/>
        <w:jc w:val="both"/>
        <w:rPr>
          <w:i/>
          <w:iCs/>
        </w:rPr>
      </w:pPr>
      <w:r w:rsidRPr="00235CF3">
        <w:rPr>
          <w:i/>
          <w:iCs/>
        </w:rPr>
        <w:t>(b) in all of the circumstances of the case, the manner and extent of publication of the statement did not exceed that which was reasonably sufficient, and</w:t>
      </w:r>
    </w:p>
    <w:p w14:paraId="3618674D" w14:textId="77777777" w:rsidR="0011002C" w:rsidRPr="00235CF3" w:rsidRDefault="0011002C" w:rsidP="00235CF3">
      <w:pPr>
        <w:ind w:left="720"/>
        <w:jc w:val="both"/>
        <w:rPr>
          <w:i/>
          <w:iCs/>
        </w:rPr>
      </w:pPr>
      <w:r w:rsidRPr="00235CF3">
        <w:rPr>
          <w:i/>
          <w:iCs/>
        </w:rPr>
        <w:t>(c) in all of the circumstances of the case, it was fair and reasonable to publish the statement.</w:t>
      </w:r>
    </w:p>
    <w:p w14:paraId="613FCC0A" w14:textId="77777777" w:rsidR="0011002C" w:rsidRPr="00235CF3" w:rsidRDefault="0011002C" w:rsidP="00235CF3">
      <w:pPr>
        <w:ind w:left="720"/>
        <w:jc w:val="both"/>
        <w:rPr>
          <w:i/>
          <w:iCs/>
        </w:rPr>
      </w:pPr>
    </w:p>
    <w:p w14:paraId="39A0303C" w14:textId="78A54C82" w:rsidR="0011002C" w:rsidRPr="00235CF3" w:rsidRDefault="0011002C" w:rsidP="00235CF3">
      <w:pPr>
        <w:ind w:left="720"/>
        <w:jc w:val="both"/>
        <w:rPr>
          <w:i/>
          <w:iCs/>
        </w:rPr>
      </w:pPr>
      <w:r w:rsidRPr="00235CF3">
        <w:rPr>
          <w:i/>
          <w:iCs/>
        </w:rPr>
        <w:t xml:space="preserve">(2) For the purposes of this section, the court shall, in determining whether it was fair and reasonable to publish the statement concerned, </w:t>
      </w:r>
      <w:proofErr w:type="gramStart"/>
      <w:r w:rsidRPr="00235CF3">
        <w:rPr>
          <w:i/>
          <w:iCs/>
        </w:rPr>
        <w:t>take into account</w:t>
      </w:r>
      <w:proofErr w:type="gramEnd"/>
      <w:r w:rsidRPr="00235CF3">
        <w:rPr>
          <w:i/>
          <w:iCs/>
        </w:rPr>
        <w:t xml:space="preserve"> such matters as the court considers relevant including any or all of the following:</w:t>
      </w:r>
    </w:p>
    <w:p w14:paraId="7E62B5DB" w14:textId="4360EE5D" w:rsidR="0011002C" w:rsidRPr="00235CF3" w:rsidRDefault="0011002C" w:rsidP="00235CF3">
      <w:pPr>
        <w:ind w:left="720"/>
        <w:jc w:val="both"/>
        <w:rPr>
          <w:i/>
          <w:iCs/>
        </w:rPr>
      </w:pPr>
      <w:r w:rsidRPr="00235CF3">
        <w:rPr>
          <w:i/>
          <w:iCs/>
        </w:rPr>
        <w:t xml:space="preserve">(a) the extent to which the statement concerned refers to the performance by the person of his or her public </w:t>
      </w:r>
      <w:proofErr w:type="gramStart"/>
      <w:r w:rsidRPr="00235CF3">
        <w:rPr>
          <w:i/>
          <w:iCs/>
        </w:rPr>
        <w:t>functions;</w:t>
      </w:r>
      <w:proofErr w:type="gramEnd"/>
    </w:p>
    <w:p w14:paraId="6B2774EA" w14:textId="42FEC88F" w:rsidR="0011002C" w:rsidRPr="00235CF3" w:rsidRDefault="0011002C" w:rsidP="00235CF3">
      <w:pPr>
        <w:ind w:left="720"/>
        <w:jc w:val="both"/>
        <w:rPr>
          <w:i/>
          <w:iCs/>
        </w:rPr>
      </w:pPr>
      <w:r w:rsidRPr="00235CF3">
        <w:rPr>
          <w:i/>
          <w:iCs/>
        </w:rPr>
        <w:t xml:space="preserve">(b) the seriousness of any allegations made in the </w:t>
      </w:r>
      <w:proofErr w:type="gramStart"/>
      <w:r w:rsidRPr="00235CF3">
        <w:rPr>
          <w:i/>
          <w:iCs/>
        </w:rPr>
        <w:t>statement;</w:t>
      </w:r>
      <w:proofErr w:type="gramEnd"/>
    </w:p>
    <w:p w14:paraId="6CD4889B" w14:textId="6A15021B" w:rsidR="0011002C" w:rsidRPr="00235CF3" w:rsidRDefault="0011002C" w:rsidP="00235CF3">
      <w:pPr>
        <w:ind w:left="720"/>
        <w:jc w:val="both"/>
        <w:rPr>
          <w:i/>
          <w:iCs/>
        </w:rPr>
      </w:pPr>
      <w:r w:rsidRPr="00235CF3">
        <w:rPr>
          <w:i/>
          <w:iCs/>
        </w:rPr>
        <w:t xml:space="preserve">(c) the context and content (including the language used) of the </w:t>
      </w:r>
      <w:proofErr w:type="gramStart"/>
      <w:r w:rsidRPr="00235CF3">
        <w:rPr>
          <w:i/>
          <w:iCs/>
        </w:rPr>
        <w:t>statement;</w:t>
      </w:r>
      <w:proofErr w:type="gramEnd"/>
    </w:p>
    <w:p w14:paraId="28D38871" w14:textId="15A4B088" w:rsidR="0011002C" w:rsidRPr="00235CF3" w:rsidRDefault="0011002C" w:rsidP="00235CF3">
      <w:pPr>
        <w:ind w:left="720"/>
        <w:jc w:val="both"/>
        <w:rPr>
          <w:i/>
          <w:iCs/>
        </w:rPr>
      </w:pPr>
      <w:r w:rsidRPr="00235CF3">
        <w:rPr>
          <w:i/>
          <w:iCs/>
        </w:rPr>
        <w:t xml:space="preserve">(d) the extent to which the statement drew a distinction between suspicions, allegations and </w:t>
      </w:r>
      <w:proofErr w:type="gramStart"/>
      <w:r w:rsidRPr="00235CF3">
        <w:rPr>
          <w:i/>
          <w:iCs/>
        </w:rPr>
        <w:t>facts;</w:t>
      </w:r>
      <w:proofErr w:type="gramEnd"/>
    </w:p>
    <w:p w14:paraId="110C1991" w14:textId="0C2229A7" w:rsidR="0011002C" w:rsidRPr="00235CF3" w:rsidRDefault="0011002C" w:rsidP="00235CF3">
      <w:pPr>
        <w:ind w:left="720"/>
        <w:jc w:val="both"/>
        <w:rPr>
          <w:i/>
          <w:iCs/>
        </w:rPr>
      </w:pPr>
      <w:r w:rsidRPr="00235CF3">
        <w:rPr>
          <w:i/>
          <w:iCs/>
        </w:rPr>
        <w:t xml:space="preserve">(e) the extent to which there were exceptional circumstances that necessitated the publication of the statement on the date of </w:t>
      </w:r>
      <w:proofErr w:type="gramStart"/>
      <w:r w:rsidRPr="00235CF3">
        <w:rPr>
          <w:i/>
          <w:iCs/>
        </w:rPr>
        <w:t>publication;</w:t>
      </w:r>
      <w:proofErr w:type="gramEnd"/>
    </w:p>
    <w:p w14:paraId="09EEAB94" w14:textId="71C42090" w:rsidR="0011002C" w:rsidRPr="00235CF3" w:rsidRDefault="0011002C" w:rsidP="00235CF3">
      <w:pPr>
        <w:ind w:left="720"/>
        <w:jc w:val="both"/>
        <w:rPr>
          <w:i/>
          <w:iCs/>
        </w:rPr>
      </w:pPr>
      <w:r w:rsidRPr="00235CF3">
        <w:rPr>
          <w:i/>
          <w:iCs/>
        </w:rPr>
        <w:t xml:space="preserve">(f) in the case of a statement published in a periodical by a person who, at the time of publication, was a member of the Press Council, the extent to which the person adhered to the code of standards of the Press Council and abided by determinations of the Press Ombudsman and determinations of the Press </w:t>
      </w:r>
      <w:proofErr w:type="gramStart"/>
      <w:r w:rsidRPr="00235CF3">
        <w:rPr>
          <w:i/>
          <w:iCs/>
        </w:rPr>
        <w:t>Council;</w:t>
      </w:r>
      <w:proofErr w:type="gramEnd"/>
    </w:p>
    <w:p w14:paraId="393E4288" w14:textId="3B096067" w:rsidR="0011002C" w:rsidRPr="00235CF3" w:rsidRDefault="0011002C" w:rsidP="00235CF3">
      <w:pPr>
        <w:ind w:left="720"/>
        <w:jc w:val="both"/>
        <w:rPr>
          <w:i/>
          <w:iCs/>
        </w:rPr>
      </w:pPr>
      <w:r w:rsidRPr="00235CF3">
        <w:rPr>
          <w:i/>
          <w:iCs/>
        </w:rPr>
        <w:t>(g) in the case of a statement published in a periodical by a person who, at the time of publication, was not a member of the Press Council, the extent to which the publisher of the periodical adhered to standards equivalent to the standards specified in paragraph (f</w:t>
      </w:r>
      <w:proofErr w:type="gramStart"/>
      <w:r w:rsidRPr="00235CF3">
        <w:rPr>
          <w:i/>
          <w:iCs/>
        </w:rPr>
        <w:t>);</w:t>
      </w:r>
      <w:proofErr w:type="gramEnd"/>
    </w:p>
    <w:p w14:paraId="0CF952E1" w14:textId="78179057" w:rsidR="0011002C" w:rsidRPr="00235CF3" w:rsidRDefault="0011002C" w:rsidP="00235CF3">
      <w:pPr>
        <w:ind w:left="720"/>
        <w:jc w:val="both"/>
        <w:rPr>
          <w:i/>
          <w:iCs/>
        </w:rPr>
      </w:pPr>
      <w:r w:rsidRPr="00235CF3">
        <w:rPr>
          <w:i/>
          <w:iCs/>
        </w:rPr>
        <w:t xml:space="preserve">(h) the extent to which the plaintiff’s version of events was represented in the publication concerned and given the same or similar prominence as was given to the statement </w:t>
      </w:r>
      <w:proofErr w:type="gramStart"/>
      <w:r w:rsidRPr="00235CF3">
        <w:rPr>
          <w:i/>
          <w:iCs/>
        </w:rPr>
        <w:t>concerned;</w:t>
      </w:r>
      <w:proofErr w:type="gramEnd"/>
    </w:p>
    <w:p w14:paraId="4EDFE7FD" w14:textId="69297FC5" w:rsidR="0011002C" w:rsidRPr="00235CF3" w:rsidRDefault="0011002C" w:rsidP="00235CF3">
      <w:pPr>
        <w:ind w:left="720"/>
        <w:jc w:val="both"/>
        <w:rPr>
          <w:i/>
          <w:iCs/>
        </w:rPr>
      </w:pPr>
      <w:r w:rsidRPr="00235CF3">
        <w:rPr>
          <w:i/>
          <w:iCs/>
        </w:rPr>
        <w:t>(i) if the plaintiff’s version of events was not so represented, the extent to which a reasonable attempt was made by the publisher to obtain and publish a response from that person; and</w:t>
      </w:r>
    </w:p>
    <w:p w14:paraId="7ED3A6BA" w14:textId="4482F1CD" w:rsidR="0011002C" w:rsidRPr="00235CF3" w:rsidRDefault="0011002C" w:rsidP="00235CF3">
      <w:pPr>
        <w:ind w:left="720"/>
        <w:jc w:val="both"/>
        <w:rPr>
          <w:i/>
          <w:iCs/>
        </w:rPr>
      </w:pPr>
      <w:r w:rsidRPr="00235CF3">
        <w:rPr>
          <w:i/>
          <w:iCs/>
        </w:rPr>
        <w:lastRenderedPageBreak/>
        <w:t>(j) the attempts made, and the means used, by the defendant to verify the assertions and allegations concerning the plaintiff in the statement.</w:t>
      </w:r>
      <w:r w:rsidR="00B2513A">
        <w:rPr>
          <w:i/>
          <w:iCs/>
        </w:rPr>
        <w:t>”</w:t>
      </w:r>
    </w:p>
    <w:p w14:paraId="18B03B43" w14:textId="77777777" w:rsidR="0011002C" w:rsidRPr="00235CF3" w:rsidRDefault="0011002C" w:rsidP="00235CF3">
      <w:pPr>
        <w:ind w:left="720"/>
        <w:jc w:val="both"/>
        <w:rPr>
          <w:i/>
          <w:iCs/>
        </w:rPr>
      </w:pPr>
    </w:p>
    <w:p w14:paraId="485AC212" w14:textId="4673CB8E" w:rsidR="0002613E" w:rsidRPr="00CD72A5" w:rsidRDefault="00DF4498" w:rsidP="00B62959">
      <w:pPr>
        <w:pStyle w:val="ListParagraph"/>
        <w:numPr>
          <w:ilvl w:val="0"/>
          <w:numId w:val="8"/>
        </w:numPr>
        <w:spacing w:line="480" w:lineRule="auto"/>
        <w:jc w:val="both"/>
      </w:pPr>
      <w:r w:rsidRPr="00CD72A5">
        <w:t>I</w:t>
      </w:r>
      <w:r w:rsidR="0002613E" w:rsidRPr="00CD72A5">
        <w:t xml:space="preserve">t is neither necessary nor appropriate for the court to reach any </w:t>
      </w:r>
      <w:r w:rsidR="007030C6">
        <w:t>definitive</w:t>
      </w:r>
      <w:r w:rsidR="0002613E" w:rsidRPr="00CD72A5">
        <w:t xml:space="preserve"> view as to the precise nature and scope of the </w:t>
      </w:r>
      <w:r w:rsidR="00541056">
        <w:t xml:space="preserve">defence of </w:t>
      </w:r>
      <w:r w:rsidR="0002613E" w:rsidRPr="00CD72A5">
        <w:t>fair and reasonable publication</w:t>
      </w:r>
      <w:r w:rsidR="007030C6">
        <w:t xml:space="preserve"> in order to deal with this application</w:t>
      </w:r>
      <w:r w:rsidR="0002613E" w:rsidRPr="00CD72A5">
        <w:t xml:space="preserve">. </w:t>
      </w:r>
      <w:r w:rsidR="00541056">
        <w:t>However, a</w:t>
      </w:r>
      <w:r w:rsidR="0002613E" w:rsidRPr="00CD72A5">
        <w:t xml:space="preserve">s in </w:t>
      </w:r>
      <w:r w:rsidR="0002613E" w:rsidRPr="00CD72A5">
        <w:rPr>
          <w:i/>
        </w:rPr>
        <w:t>Desmond</w:t>
      </w:r>
      <w:r w:rsidR="0002613E" w:rsidRPr="00CD72A5">
        <w:t>, it is necessary for the court to consider the general contours of the defence given that the parties</w:t>
      </w:r>
      <w:r w:rsidR="00541056">
        <w:t>’</w:t>
      </w:r>
      <w:r w:rsidR="0002613E" w:rsidRPr="00CD72A5">
        <w:t xml:space="preserve"> respective positions </w:t>
      </w:r>
      <w:r w:rsidR="00541056">
        <w:t>on</w:t>
      </w:r>
      <w:r w:rsidR="0002613E" w:rsidRPr="00CD72A5">
        <w:t xml:space="preserve"> the application to strike out the </w:t>
      </w:r>
      <w:proofErr w:type="gramStart"/>
      <w:r w:rsidR="0002613E" w:rsidRPr="00CD72A5">
        <w:t>defence  reflect</w:t>
      </w:r>
      <w:proofErr w:type="gramEnd"/>
      <w:r w:rsidR="0002613E" w:rsidRPr="00CD72A5">
        <w:t xml:space="preserve"> different views o</w:t>
      </w:r>
      <w:r w:rsidR="00B62959">
        <w:t>f</w:t>
      </w:r>
      <w:r w:rsidR="0002613E" w:rsidRPr="00CD72A5">
        <w:t xml:space="preserve"> the scope and effect of s. 26.</w:t>
      </w:r>
    </w:p>
    <w:p w14:paraId="3A16C5D3" w14:textId="0977C6D9" w:rsidR="0024375B" w:rsidRDefault="00E73FF8" w:rsidP="00B62959">
      <w:pPr>
        <w:pStyle w:val="ListParagraph"/>
        <w:numPr>
          <w:ilvl w:val="0"/>
          <w:numId w:val="8"/>
        </w:numPr>
        <w:spacing w:line="480" w:lineRule="auto"/>
        <w:jc w:val="both"/>
      </w:pPr>
      <w:r>
        <w:t xml:space="preserve">The key authority relied upon by the </w:t>
      </w:r>
      <w:r w:rsidR="002C71C9" w:rsidRPr="00CD72A5">
        <w:t>plaintiff</w:t>
      </w:r>
      <w:r w:rsidR="0009264B">
        <w:t xml:space="preserve"> </w:t>
      </w:r>
      <w:r>
        <w:t>is</w:t>
      </w:r>
      <w:r w:rsidR="002C71C9" w:rsidRPr="00CD72A5">
        <w:t xml:space="preserve"> </w:t>
      </w:r>
      <w:r w:rsidR="002C71C9" w:rsidRPr="00CD72A5">
        <w:rPr>
          <w:i/>
        </w:rPr>
        <w:t xml:space="preserve">Loutchansky v. Times Independent Newspapers </w:t>
      </w:r>
      <w:r w:rsidR="002C71C9" w:rsidRPr="00CD72A5">
        <w:t>[2008] QB 783</w:t>
      </w:r>
      <w:r w:rsidR="00CD5D87">
        <w:t>,</w:t>
      </w:r>
      <w:r w:rsidR="00A713CE" w:rsidRPr="00CD72A5">
        <w:t xml:space="preserve"> </w:t>
      </w:r>
      <w:r w:rsidR="00122100">
        <w:t xml:space="preserve">in </w:t>
      </w:r>
      <w:r w:rsidR="004E4533">
        <w:t>which</w:t>
      </w:r>
      <w:r>
        <w:t xml:space="preserve"> the English Court of Appeal</w:t>
      </w:r>
      <w:r w:rsidR="0024375B">
        <w:t xml:space="preserve"> considered the impact of</w:t>
      </w:r>
      <w:r w:rsidR="007A329A">
        <w:t xml:space="preserve"> </w:t>
      </w:r>
      <w:r>
        <w:t xml:space="preserve">certain </w:t>
      </w:r>
      <w:r w:rsidR="0024375B">
        <w:t>post publication</w:t>
      </w:r>
      <w:r>
        <w:t xml:space="preserve"> </w:t>
      </w:r>
      <w:r w:rsidR="0024375B">
        <w:t xml:space="preserve">behaviour </w:t>
      </w:r>
      <w:r>
        <w:t xml:space="preserve">of the defendant </w:t>
      </w:r>
      <w:r w:rsidR="0024375B">
        <w:t xml:space="preserve">on the </w:t>
      </w:r>
      <w:r w:rsidR="0024375B" w:rsidRPr="0024375B">
        <w:rPr>
          <w:i/>
          <w:iCs/>
        </w:rPr>
        <w:t>Reynolds</w:t>
      </w:r>
      <w:r w:rsidR="0024375B">
        <w:t xml:space="preserve"> defence</w:t>
      </w:r>
      <w:r w:rsidR="00122100">
        <w:t xml:space="preserve"> (</w:t>
      </w:r>
      <w:r w:rsidR="00122100" w:rsidRPr="00B62959">
        <w:rPr>
          <w:i/>
          <w:iCs/>
        </w:rPr>
        <w:t>Reynolds v. Times Newspapers Ltd.</w:t>
      </w:r>
      <w:r w:rsidR="00122100">
        <w:t xml:space="preserve"> [1999] 1 All ER 609)</w:t>
      </w:r>
      <w:r>
        <w:t>.</w:t>
      </w:r>
      <w:r w:rsidR="0024375B">
        <w:t xml:space="preserve"> </w:t>
      </w:r>
      <w:r w:rsidR="00CD5D87">
        <w:t>In short</w:t>
      </w:r>
      <w:r w:rsidR="0024375B">
        <w:t xml:space="preserve">, the </w:t>
      </w:r>
      <w:r w:rsidR="0024375B" w:rsidRPr="000C3604">
        <w:rPr>
          <w:i/>
          <w:iCs/>
        </w:rPr>
        <w:t>Reynolds</w:t>
      </w:r>
      <w:r w:rsidR="0024375B">
        <w:t xml:space="preserve"> defence protects a journalist</w:t>
      </w:r>
      <w:r w:rsidR="00CD5D87">
        <w:t>,</w:t>
      </w:r>
      <w:r w:rsidR="0024375B">
        <w:t xml:space="preserve"> who publishes material in the public interest and who has acted in accordance with the standards of </w:t>
      </w:r>
      <w:r w:rsidR="0024375B" w:rsidRPr="00B62959">
        <w:rPr>
          <w:i/>
          <w:iCs/>
        </w:rPr>
        <w:t>“</w:t>
      </w:r>
      <w:r w:rsidR="0024375B" w:rsidRPr="00A16ADD">
        <w:rPr>
          <w:i/>
          <w:iCs/>
        </w:rPr>
        <w:t>responsible journalism</w:t>
      </w:r>
      <w:r w:rsidR="0024375B" w:rsidRPr="00B62959">
        <w:rPr>
          <w:i/>
          <w:iCs/>
        </w:rPr>
        <w:t>”</w:t>
      </w:r>
      <w:r w:rsidR="001447F1">
        <w:t xml:space="preserve">, </w:t>
      </w:r>
      <w:r w:rsidR="0024375B">
        <w:t xml:space="preserve">even though the truth of the published material cannot be established. </w:t>
      </w:r>
      <w:r w:rsidR="0024375B" w:rsidRPr="00CD72A5">
        <w:t xml:space="preserve">As Collins J. </w:t>
      </w:r>
      <w:r>
        <w:t>commented</w:t>
      </w:r>
      <w:r w:rsidR="00C57B24">
        <w:t xml:space="preserve"> </w:t>
      </w:r>
      <w:r w:rsidR="0024375B" w:rsidRPr="00CD72A5">
        <w:t xml:space="preserve">in </w:t>
      </w:r>
      <w:r w:rsidR="0024375B" w:rsidRPr="00CD72A5">
        <w:rPr>
          <w:i/>
          <w:iCs/>
        </w:rPr>
        <w:t>Desmond,</w:t>
      </w:r>
      <w:r w:rsidR="0024375B" w:rsidRPr="00CD72A5">
        <w:t xml:space="preserve"> </w:t>
      </w:r>
      <w:r w:rsidR="0024375B">
        <w:t>th</w:t>
      </w:r>
      <w:r w:rsidR="0024375B" w:rsidRPr="00CD72A5">
        <w:t xml:space="preserve">e s. 26 defence is similar to </w:t>
      </w:r>
      <w:r w:rsidR="0024375B" w:rsidRPr="00CD72A5">
        <w:rPr>
          <w:i/>
        </w:rPr>
        <w:t xml:space="preserve">Reynolds, </w:t>
      </w:r>
      <w:r w:rsidR="0024375B" w:rsidRPr="0024375B">
        <w:rPr>
          <w:iCs/>
        </w:rPr>
        <w:t>although t</w:t>
      </w:r>
      <w:r w:rsidR="0024375B" w:rsidRPr="00CD72A5">
        <w:t>here are undoubtedly material differences between the two</w:t>
      </w:r>
      <w:r w:rsidR="0024375B">
        <w:t>.</w:t>
      </w:r>
      <w:r w:rsidR="00C57B24">
        <w:t xml:space="preserve"> Collins J</w:t>
      </w:r>
      <w:r w:rsidR="004E4533">
        <w:t>.</w:t>
      </w:r>
      <w:r w:rsidR="00C57B24">
        <w:t xml:space="preserve"> further observed that there is significant uncertainty as to whether the </w:t>
      </w:r>
      <w:r w:rsidR="00C57B24" w:rsidRPr="00DF30B9">
        <w:rPr>
          <w:i/>
          <w:iCs/>
        </w:rPr>
        <w:t>Reynolds</w:t>
      </w:r>
      <w:r w:rsidR="00C57B24">
        <w:t xml:space="preserve"> </w:t>
      </w:r>
      <w:r>
        <w:t>defence</w:t>
      </w:r>
      <w:r w:rsidR="00C57B24">
        <w:t xml:space="preserve"> is </w:t>
      </w:r>
      <w:r w:rsidR="004E4533">
        <w:t>p</w:t>
      </w:r>
      <w:r w:rsidR="00C57B24">
        <w:t xml:space="preserve">art of Irish law and, if so, whether it survived the </w:t>
      </w:r>
      <w:r w:rsidR="00CD5D87">
        <w:t>enactment</w:t>
      </w:r>
      <w:r w:rsidR="00C57B24">
        <w:t xml:space="preserve"> of s</w:t>
      </w:r>
      <w:r w:rsidR="004E4533">
        <w:t>.</w:t>
      </w:r>
      <w:r w:rsidR="00C57B24">
        <w:t xml:space="preserve"> 15 of the 2009 Act.</w:t>
      </w:r>
      <w:r>
        <w:t xml:space="preserve"> This uncertainty is not however of immediate relevance to the present application which</w:t>
      </w:r>
      <w:r w:rsidR="00DF30B9">
        <w:t xml:space="preserve"> centres around the decision of the court in </w:t>
      </w:r>
      <w:r w:rsidR="00DF30B9" w:rsidRPr="00CD72A5">
        <w:rPr>
          <w:i/>
        </w:rPr>
        <w:t>Loutchansky</w:t>
      </w:r>
      <w:r>
        <w:t>.</w:t>
      </w:r>
    </w:p>
    <w:p w14:paraId="5CD40A6C" w14:textId="3BC2D36B" w:rsidR="0073615D" w:rsidRPr="00CD72A5" w:rsidRDefault="002C71C9" w:rsidP="00B62959">
      <w:pPr>
        <w:pStyle w:val="ListParagraph"/>
        <w:numPr>
          <w:ilvl w:val="0"/>
          <w:numId w:val="8"/>
        </w:numPr>
        <w:spacing w:line="480" w:lineRule="auto"/>
        <w:jc w:val="both"/>
      </w:pPr>
      <w:r w:rsidRPr="00CD72A5">
        <w:t xml:space="preserve">In </w:t>
      </w:r>
      <w:r w:rsidRPr="00CD72A5">
        <w:rPr>
          <w:i/>
        </w:rPr>
        <w:t xml:space="preserve">Loutchansky, </w:t>
      </w:r>
      <w:r w:rsidRPr="00CD72A5">
        <w:t>the defendants published two articles in a newspaper accusing the claimant of involvement in criminal activities</w:t>
      </w:r>
      <w:r w:rsidR="00B06F77" w:rsidRPr="00CD72A5">
        <w:t xml:space="preserve">. The </w:t>
      </w:r>
      <w:r w:rsidRPr="00CD72A5">
        <w:t>articles were also published on the defendant’s internet website and remained available as part of their internet archive material.</w:t>
      </w:r>
      <w:r w:rsidR="00B06F77" w:rsidRPr="00CD72A5">
        <w:t xml:space="preserve"> </w:t>
      </w:r>
      <w:r w:rsidRPr="00CD72A5">
        <w:t>The defendants claimed qualified privilege on the ground that they had a duty to publish</w:t>
      </w:r>
      <w:r w:rsidR="00B62959">
        <w:t>,</w:t>
      </w:r>
      <w:r w:rsidRPr="00CD72A5">
        <w:t xml:space="preserve"> and the public had a right to know</w:t>
      </w:r>
      <w:r w:rsidR="00B62959">
        <w:t>,</w:t>
      </w:r>
      <w:r w:rsidRPr="00CD72A5">
        <w:t xml:space="preserve"> the allegations in question. The defendant </w:t>
      </w:r>
      <w:r w:rsidRPr="00CD72A5">
        <w:lastRenderedPageBreak/>
        <w:t xml:space="preserve">argued that the defence of </w:t>
      </w:r>
      <w:r w:rsidR="000C3604" w:rsidRPr="000C3604">
        <w:rPr>
          <w:i/>
          <w:iCs/>
        </w:rPr>
        <w:t>Reynolds</w:t>
      </w:r>
      <w:r w:rsidR="000C3604">
        <w:t xml:space="preserve"> </w:t>
      </w:r>
      <w:r w:rsidRPr="00CD72A5">
        <w:t>qualified privilege</w:t>
      </w:r>
      <w:r w:rsidR="000E5FBB">
        <w:rPr>
          <w:rFonts w:ascii="Verdana" w:hAnsi="Verdana"/>
          <w:iCs/>
        </w:rPr>
        <w:t xml:space="preserve"> </w:t>
      </w:r>
      <w:r w:rsidRPr="00CD72A5">
        <w:t>attach</w:t>
      </w:r>
      <w:r w:rsidR="00C474BB" w:rsidRPr="00CD72A5">
        <w:t>ed</w:t>
      </w:r>
      <w:r w:rsidRPr="00CD72A5">
        <w:t xml:space="preserve"> to the ongoing publication of the internet archive material in the same manner that it did to the original newspaper publication.</w:t>
      </w:r>
      <w:r w:rsidR="0024375B">
        <w:t xml:space="preserve"> </w:t>
      </w:r>
      <w:r w:rsidRPr="00CD72A5">
        <w:t>The plaintiff contended that although the internet articles had first been placed on the website more than a year earlier, their continued publication</w:t>
      </w:r>
      <w:r w:rsidR="006C3FEB">
        <w:t>,</w:t>
      </w:r>
      <w:r w:rsidRPr="00CD72A5">
        <w:t xml:space="preserve"> without reference to the fact that the original articles were </w:t>
      </w:r>
      <w:r w:rsidR="006C3FEB">
        <w:t xml:space="preserve">the </w:t>
      </w:r>
      <w:r w:rsidRPr="00CD72A5">
        <w:t xml:space="preserve">subject of defamation proceedings </w:t>
      </w:r>
      <w:r w:rsidR="00FD2266" w:rsidRPr="00CD72A5">
        <w:t>in which a plea of justification was not advanced</w:t>
      </w:r>
      <w:r w:rsidR="006C3FEB">
        <w:t>,</w:t>
      </w:r>
      <w:r w:rsidR="00FD2266" w:rsidRPr="00CD72A5">
        <w:t xml:space="preserve"> </w:t>
      </w:r>
      <w:r w:rsidR="00C474BB" w:rsidRPr="00CD72A5">
        <w:t>dis</w:t>
      </w:r>
      <w:r w:rsidRPr="00CD72A5">
        <w:t xml:space="preserve">entitled the defendant to rely upon the defence. The Court of </w:t>
      </w:r>
      <w:r w:rsidR="001266AD" w:rsidRPr="00CD72A5">
        <w:t>Appeal upheld</w:t>
      </w:r>
      <w:r w:rsidRPr="00CD72A5">
        <w:t xml:space="preserve"> the first instance judge’s decision to strike out the defence of qualified privilege stating: </w:t>
      </w:r>
    </w:p>
    <w:p w14:paraId="4DA0C1ED" w14:textId="49393D69" w:rsidR="002C71C9" w:rsidRDefault="002C71C9" w:rsidP="00235CF3">
      <w:pPr>
        <w:pStyle w:val="ListParagraph"/>
        <w:jc w:val="both"/>
        <w:rPr>
          <w:i/>
          <w:iCs/>
        </w:rPr>
      </w:pPr>
      <w:r w:rsidRPr="00CD72A5">
        <w:rPr>
          <w:i/>
          <w:iCs/>
        </w:rPr>
        <w:t>“</w:t>
      </w:r>
      <w:r w:rsidR="0080194D" w:rsidRPr="00CD72A5">
        <w:rPr>
          <w:i/>
          <w:iCs/>
        </w:rPr>
        <w:t xml:space="preserve">A subsidiary reason given by the judge for striking out the defence was that the defendants had repeatedly republished on the internet defamatory material that was the subject of a defamation action in which they were not seeking to justify the truth of the allegations without publishing any qualification to draw to the reader’s attention the fact that the truth of the articles was hotly contested. The judge considered that the republication of back numbers of “The Times” on the internet was made </w:t>
      </w:r>
      <w:r w:rsidR="004E4533">
        <w:rPr>
          <w:i/>
          <w:iCs/>
        </w:rPr>
        <w:t>in</w:t>
      </w:r>
      <w:r w:rsidR="0080194D" w:rsidRPr="00CD72A5">
        <w:rPr>
          <w:i/>
          <w:iCs/>
        </w:rPr>
        <w:t xml:space="preserve"> materially different circumstances from those obtaining at the time of the publication of the original hard copy versions … we agree. The failure to attach any qualification to the articles published over the period of a year on “The Times” website could not possibly be described as responsible journalism. We do not believe that it can convincingly be argued that the defendants had a </w:t>
      </w:r>
      <w:r w:rsidR="0080194D" w:rsidRPr="00C94423">
        <w:rPr>
          <w:i/>
          <w:iCs/>
        </w:rPr>
        <w:t>Reynolds</w:t>
      </w:r>
      <w:r w:rsidR="0080194D" w:rsidRPr="00CD72A5">
        <w:rPr>
          <w:i/>
          <w:iCs/>
        </w:rPr>
        <w:t xml:space="preserve"> duty to publish those articles in that way without qualification. It follows that we </w:t>
      </w:r>
      <w:r w:rsidR="001266AD" w:rsidRPr="00CD72A5">
        <w:rPr>
          <w:i/>
          <w:iCs/>
        </w:rPr>
        <w:t>consider that</w:t>
      </w:r>
      <w:r w:rsidR="0080194D" w:rsidRPr="00CD72A5">
        <w:rPr>
          <w:i/>
          <w:iCs/>
        </w:rPr>
        <w:t xml:space="preserve"> the judge was right to strike out the qualified privilege defence ...”</w:t>
      </w:r>
    </w:p>
    <w:p w14:paraId="67E99AF3" w14:textId="77777777" w:rsidR="00235CF3" w:rsidRPr="00CD72A5" w:rsidRDefault="00235CF3" w:rsidP="00235CF3">
      <w:pPr>
        <w:pStyle w:val="ListParagraph"/>
        <w:jc w:val="both"/>
        <w:rPr>
          <w:i/>
          <w:iCs/>
        </w:rPr>
      </w:pPr>
    </w:p>
    <w:p w14:paraId="20AFDEA3" w14:textId="2DCF30D3" w:rsidR="007F692E" w:rsidRPr="001E776E" w:rsidRDefault="0080194D" w:rsidP="00B62959">
      <w:pPr>
        <w:pStyle w:val="ListParagraph"/>
        <w:numPr>
          <w:ilvl w:val="0"/>
          <w:numId w:val="8"/>
        </w:numPr>
        <w:spacing w:line="480" w:lineRule="auto"/>
        <w:jc w:val="both"/>
      </w:pPr>
      <w:r w:rsidRPr="001E776E">
        <w:t>The plaintiff argues that</w:t>
      </w:r>
      <w:r w:rsidR="00DF30B9" w:rsidRPr="001E776E">
        <w:t xml:space="preserve"> the </w:t>
      </w:r>
      <w:r w:rsidR="001E776E" w:rsidRPr="001E776E">
        <w:t>present</w:t>
      </w:r>
      <w:r w:rsidR="00DF30B9" w:rsidRPr="001E776E">
        <w:t xml:space="preserve"> case </w:t>
      </w:r>
      <w:r w:rsidR="007030C6">
        <w:t>is</w:t>
      </w:r>
      <w:r w:rsidR="00DF30B9" w:rsidRPr="001E776E">
        <w:t xml:space="preserve"> very similar and that the failure to </w:t>
      </w:r>
      <w:r w:rsidR="001E776E" w:rsidRPr="001E776E">
        <w:t>notify</w:t>
      </w:r>
      <w:r w:rsidR="00DF30B9" w:rsidRPr="001E776E">
        <w:t xml:space="preserve"> the </w:t>
      </w:r>
      <w:r w:rsidR="001E776E" w:rsidRPr="001E776E">
        <w:t>reader</w:t>
      </w:r>
      <w:r w:rsidR="00DF30B9" w:rsidRPr="001E776E">
        <w:t xml:space="preserve"> that the</w:t>
      </w:r>
      <w:r w:rsidRPr="001E776E">
        <w:t xml:space="preserve"> defendant</w:t>
      </w:r>
      <w:r w:rsidR="00DF30B9" w:rsidRPr="001E776E">
        <w:t xml:space="preserve"> d</w:t>
      </w:r>
      <w:r w:rsidR="007030C6">
        <w:t>oes</w:t>
      </w:r>
      <w:r w:rsidR="00DF30B9" w:rsidRPr="001E776E">
        <w:t xml:space="preserve"> not justify the truth of the </w:t>
      </w:r>
      <w:r w:rsidR="001E776E" w:rsidRPr="001E776E">
        <w:t>central</w:t>
      </w:r>
      <w:r w:rsidR="00DF30B9" w:rsidRPr="001E776E">
        <w:t xml:space="preserve"> allegation in the </w:t>
      </w:r>
      <w:r w:rsidR="001E776E" w:rsidRPr="001E776E">
        <w:t>article</w:t>
      </w:r>
      <w:r w:rsidR="00C069F4">
        <w:t>,</w:t>
      </w:r>
      <w:r w:rsidR="00085DA0">
        <w:t xml:space="preserve"> </w:t>
      </w:r>
      <w:r w:rsidR="007030C6">
        <w:t xml:space="preserve">so </w:t>
      </w:r>
      <w:r w:rsidR="00085DA0">
        <w:t xml:space="preserve">undermines </w:t>
      </w:r>
      <w:r w:rsidRPr="001E776E">
        <w:t xml:space="preserve">any potential s. 26 defence </w:t>
      </w:r>
      <w:r w:rsidR="00085DA0">
        <w:t>that it should</w:t>
      </w:r>
      <w:r w:rsidRPr="001E776E">
        <w:t xml:space="preserve"> be struck out as bound to fail</w:t>
      </w:r>
      <w:r w:rsidR="00B62959">
        <w:t xml:space="preserve"> even, it seems, in respect of the initial publication of the article</w:t>
      </w:r>
      <w:proofErr w:type="gramStart"/>
      <w:r w:rsidR="00B62959">
        <w:t xml:space="preserve">. </w:t>
      </w:r>
      <w:r w:rsidRPr="001E776E">
        <w:t>.</w:t>
      </w:r>
      <w:proofErr w:type="gramEnd"/>
    </w:p>
    <w:p w14:paraId="7D31D8FC" w14:textId="6E89C316" w:rsidR="006E5574" w:rsidRPr="001E776E" w:rsidRDefault="003C0D31" w:rsidP="00B62959">
      <w:pPr>
        <w:pStyle w:val="ListParagraph"/>
        <w:numPr>
          <w:ilvl w:val="0"/>
          <w:numId w:val="8"/>
        </w:numPr>
        <w:spacing w:line="480" w:lineRule="auto"/>
        <w:jc w:val="both"/>
      </w:pPr>
      <w:r>
        <w:t>T</w:t>
      </w:r>
      <w:r w:rsidR="0080194D" w:rsidRPr="001E776E">
        <w:t>he defendant</w:t>
      </w:r>
      <w:r w:rsidR="006E5574" w:rsidRPr="001E776E">
        <w:t xml:space="preserve"> </w:t>
      </w:r>
      <w:r w:rsidR="007F692E" w:rsidRPr="001E776E">
        <w:t xml:space="preserve">observes </w:t>
      </w:r>
      <w:r>
        <w:t xml:space="preserve">that </w:t>
      </w:r>
      <w:r w:rsidR="0080194D" w:rsidRPr="001E776E">
        <w:t xml:space="preserve">the factors set out in s. 26 do not </w:t>
      </w:r>
      <w:r w:rsidR="007F692E" w:rsidRPr="001E776E">
        <w:t>expressly incorp</w:t>
      </w:r>
      <w:r w:rsidR="006E5574" w:rsidRPr="001E776E">
        <w:t>ora</w:t>
      </w:r>
      <w:r w:rsidR="007F692E" w:rsidRPr="001E776E">
        <w:t>te post publication</w:t>
      </w:r>
      <w:r w:rsidR="000E4B76">
        <w:t xml:space="preserve"> behaviour</w:t>
      </w:r>
      <w:r w:rsidR="00DF30B9" w:rsidRPr="001E776E">
        <w:t xml:space="preserve"> </w:t>
      </w:r>
      <w:r>
        <w:t>which</w:t>
      </w:r>
      <w:r w:rsidR="00DF30B9" w:rsidRPr="001E776E">
        <w:t xml:space="preserve"> suggests that </w:t>
      </w:r>
      <w:r w:rsidR="0080194D" w:rsidRPr="001E776E">
        <w:t xml:space="preserve">the presence or absence of </w:t>
      </w:r>
      <w:r w:rsidR="000E4B76" w:rsidRPr="00B62959">
        <w:rPr>
          <w:iCs/>
        </w:rPr>
        <w:t>a</w:t>
      </w:r>
      <w:r w:rsidR="000E4B76">
        <w:t xml:space="preserve"> </w:t>
      </w:r>
      <w:r w:rsidR="000E4B76">
        <w:rPr>
          <w:i/>
          <w:iCs/>
        </w:rPr>
        <w:t>Loutchansky</w:t>
      </w:r>
      <w:r w:rsidR="0080194D" w:rsidRPr="001E776E">
        <w:t xml:space="preserve"> </w:t>
      </w:r>
      <w:r w:rsidR="000E4B76">
        <w:t>notice</w:t>
      </w:r>
      <w:r w:rsidR="0080194D" w:rsidRPr="001E776E">
        <w:t xml:space="preserve"> </w:t>
      </w:r>
      <w:r w:rsidR="00DF30B9" w:rsidRPr="001E776E">
        <w:t xml:space="preserve">several years after </w:t>
      </w:r>
      <w:r>
        <w:t xml:space="preserve">publication of </w:t>
      </w:r>
      <w:r w:rsidR="00DF30B9" w:rsidRPr="001E776E">
        <w:t xml:space="preserve">the article </w:t>
      </w:r>
      <w:r w:rsidR="0080194D" w:rsidRPr="001E776E">
        <w:t>cannot</w:t>
      </w:r>
      <w:r w:rsidR="00DF30B9" w:rsidRPr="001E776E">
        <w:t xml:space="preserve"> </w:t>
      </w:r>
      <w:r w:rsidR="0080194D" w:rsidRPr="001E776E">
        <w:t>be determinative of the success of a s. 26 defence.</w:t>
      </w:r>
    </w:p>
    <w:p w14:paraId="10245F10" w14:textId="4D576506" w:rsidR="00CC0782" w:rsidRPr="00CD72A5" w:rsidRDefault="00DF30B9" w:rsidP="00B62959">
      <w:pPr>
        <w:pStyle w:val="ListParagraph"/>
        <w:numPr>
          <w:ilvl w:val="0"/>
          <w:numId w:val="8"/>
        </w:numPr>
        <w:spacing w:line="480" w:lineRule="auto"/>
        <w:jc w:val="both"/>
      </w:pPr>
      <w:r w:rsidRPr="001E776E">
        <w:rPr>
          <w:bCs/>
        </w:rPr>
        <w:t xml:space="preserve">This, </w:t>
      </w:r>
      <w:r w:rsidR="00C069F4">
        <w:rPr>
          <w:bCs/>
        </w:rPr>
        <w:t>o</w:t>
      </w:r>
      <w:r w:rsidRPr="001E776E">
        <w:rPr>
          <w:bCs/>
        </w:rPr>
        <w:t xml:space="preserve">f course, does not mean </w:t>
      </w:r>
      <w:r>
        <w:rPr>
          <w:bCs/>
        </w:rPr>
        <w:t xml:space="preserve">that a </w:t>
      </w:r>
      <w:r w:rsidRPr="00CD72A5">
        <w:rPr>
          <w:i/>
        </w:rPr>
        <w:t>Loutchansky</w:t>
      </w:r>
      <w:r w:rsidR="00C069F4">
        <w:rPr>
          <w:i/>
        </w:rPr>
        <w:t xml:space="preserve"> </w:t>
      </w:r>
      <w:r w:rsidR="00C069F4">
        <w:rPr>
          <w:iCs/>
        </w:rPr>
        <w:t>notice</w:t>
      </w:r>
      <w:r>
        <w:rPr>
          <w:bCs/>
        </w:rPr>
        <w:t xml:space="preserve"> is irrelevant to the prospects of a successful s</w:t>
      </w:r>
      <w:r w:rsidR="00C069F4">
        <w:rPr>
          <w:bCs/>
        </w:rPr>
        <w:t>.</w:t>
      </w:r>
      <w:r>
        <w:rPr>
          <w:bCs/>
        </w:rPr>
        <w:t xml:space="preserve"> 26 defence. </w:t>
      </w:r>
      <w:r w:rsidRPr="00DF30B9">
        <w:rPr>
          <w:bCs/>
        </w:rPr>
        <w:t>In</w:t>
      </w:r>
      <w:r>
        <w:rPr>
          <w:bCs/>
          <w:i/>
          <w:iCs/>
        </w:rPr>
        <w:t xml:space="preserve"> </w:t>
      </w:r>
      <w:r w:rsidR="006E5574" w:rsidRPr="00CD72A5">
        <w:rPr>
          <w:bCs/>
          <w:i/>
          <w:iCs/>
        </w:rPr>
        <w:t>Desmond</w:t>
      </w:r>
      <w:r w:rsidR="006E5574" w:rsidRPr="00CD72A5">
        <w:rPr>
          <w:bCs/>
        </w:rPr>
        <w:t xml:space="preserve">, </w:t>
      </w:r>
      <w:r w:rsidR="007F692E" w:rsidRPr="00CD72A5">
        <w:rPr>
          <w:bCs/>
        </w:rPr>
        <w:t xml:space="preserve">Collins J. </w:t>
      </w:r>
      <w:r w:rsidR="008D4C5C">
        <w:rPr>
          <w:bCs/>
        </w:rPr>
        <w:t>observed that whilst s</w:t>
      </w:r>
      <w:r w:rsidR="00C069F4">
        <w:rPr>
          <w:bCs/>
        </w:rPr>
        <w:t xml:space="preserve">. </w:t>
      </w:r>
      <w:r w:rsidR="008D4C5C">
        <w:rPr>
          <w:bCs/>
        </w:rPr>
        <w:lastRenderedPageBreak/>
        <w:t>26</w:t>
      </w:r>
      <w:r w:rsidR="003B5618">
        <w:rPr>
          <w:bCs/>
        </w:rPr>
        <w:t xml:space="preserve"> </w:t>
      </w:r>
      <w:r w:rsidR="008D4C5C">
        <w:rPr>
          <w:bCs/>
        </w:rPr>
        <w:t xml:space="preserve">(2) </w:t>
      </w:r>
      <w:r w:rsidR="003C0D31">
        <w:rPr>
          <w:bCs/>
        </w:rPr>
        <w:t xml:space="preserve">of the 2009 Act </w:t>
      </w:r>
      <w:r w:rsidR="008D4C5C">
        <w:rPr>
          <w:bCs/>
        </w:rPr>
        <w:t xml:space="preserve">structures how the court (which in a </w:t>
      </w:r>
      <w:r w:rsidR="00E73FF8">
        <w:rPr>
          <w:bCs/>
        </w:rPr>
        <w:t>defamation</w:t>
      </w:r>
      <w:r w:rsidR="008D4C5C">
        <w:rPr>
          <w:bCs/>
        </w:rPr>
        <w:t xml:space="preserve"> </w:t>
      </w:r>
      <w:r w:rsidR="00E73FF8">
        <w:rPr>
          <w:bCs/>
        </w:rPr>
        <w:t>trial</w:t>
      </w:r>
      <w:r w:rsidR="008D4C5C">
        <w:rPr>
          <w:bCs/>
        </w:rPr>
        <w:t xml:space="preserve"> in the High Court </w:t>
      </w:r>
      <w:r w:rsidR="00E73FF8">
        <w:rPr>
          <w:bCs/>
        </w:rPr>
        <w:t>sitting</w:t>
      </w:r>
      <w:r w:rsidR="008D4C5C">
        <w:rPr>
          <w:bCs/>
        </w:rPr>
        <w:t xml:space="preserve"> with a jury,</w:t>
      </w:r>
      <w:r w:rsidR="00C069F4">
        <w:rPr>
          <w:bCs/>
        </w:rPr>
        <w:t xml:space="preserve"> </w:t>
      </w:r>
      <w:r w:rsidR="008D4C5C">
        <w:rPr>
          <w:bCs/>
        </w:rPr>
        <w:t xml:space="preserve">means the jury) should determine </w:t>
      </w:r>
      <w:r w:rsidR="003C0D31">
        <w:rPr>
          <w:bCs/>
        </w:rPr>
        <w:t>if</w:t>
      </w:r>
      <w:r w:rsidR="008D4C5C">
        <w:rPr>
          <w:bCs/>
        </w:rPr>
        <w:t xml:space="preserve"> it was fair and </w:t>
      </w:r>
      <w:r w:rsidR="00E73FF8">
        <w:rPr>
          <w:bCs/>
        </w:rPr>
        <w:t>reasonable</w:t>
      </w:r>
      <w:r w:rsidR="008D4C5C">
        <w:rPr>
          <w:bCs/>
        </w:rPr>
        <w:t xml:space="preserve"> to </w:t>
      </w:r>
      <w:r w:rsidR="00E73FF8">
        <w:rPr>
          <w:bCs/>
        </w:rPr>
        <w:t>publish</w:t>
      </w:r>
      <w:r w:rsidR="008D4C5C">
        <w:rPr>
          <w:bCs/>
        </w:rPr>
        <w:t>, th</w:t>
      </w:r>
      <w:r w:rsidR="003C0D31">
        <w:rPr>
          <w:bCs/>
        </w:rPr>
        <w:t>at</w:t>
      </w:r>
      <w:r w:rsidR="008D4C5C">
        <w:rPr>
          <w:bCs/>
        </w:rPr>
        <w:t xml:space="preserve"> section does not limit the mat</w:t>
      </w:r>
      <w:r w:rsidR="007030C6">
        <w:rPr>
          <w:bCs/>
        </w:rPr>
        <w:t>t</w:t>
      </w:r>
      <w:r w:rsidR="008D4C5C">
        <w:rPr>
          <w:bCs/>
        </w:rPr>
        <w:t xml:space="preserve">ers which the court may </w:t>
      </w:r>
      <w:proofErr w:type="gramStart"/>
      <w:r w:rsidR="008D4C5C">
        <w:rPr>
          <w:bCs/>
        </w:rPr>
        <w:t>take into account</w:t>
      </w:r>
      <w:proofErr w:type="gramEnd"/>
      <w:r w:rsidR="008D4C5C">
        <w:rPr>
          <w:bCs/>
        </w:rPr>
        <w:t xml:space="preserve">. To the </w:t>
      </w:r>
      <w:r w:rsidR="00E73FF8">
        <w:rPr>
          <w:bCs/>
        </w:rPr>
        <w:t>contrary</w:t>
      </w:r>
      <w:r w:rsidR="008D4C5C">
        <w:rPr>
          <w:bCs/>
        </w:rPr>
        <w:t>, s</w:t>
      </w:r>
      <w:r w:rsidR="00C069F4">
        <w:rPr>
          <w:bCs/>
        </w:rPr>
        <w:t>.</w:t>
      </w:r>
      <w:r w:rsidR="008D4C5C">
        <w:rPr>
          <w:bCs/>
        </w:rPr>
        <w:t xml:space="preserve"> 26 (2) very clearly provides that the</w:t>
      </w:r>
      <w:r w:rsidR="007F692E" w:rsidRPr="00CD72A5">
        <w:rPr>
          <w:bCs/>
        </w:rPr>
        <w:t xml:space="preserve"> court </w:t>
      </w:r>
      <w:r w:rsidR="008D4C5C" w:rsidRPr="00B62959">
        <w:rPr>
          <w:bCs/>
          <w:i/>
          <w:iCs/>
        </w:rPr>
        <w:t>“</w:t>
      </w:r>
      <w:r w:rsidR="007F692E" w:rsidRPr="00E73FF8">
        <w:rPr>
          <w:bCs/>
          <w:i/>
          <w:iCs/>
        </w:rPr>
        <w:t>shall</w:t>
      </w:r>
      <w:r w:rsidR="008D4C5C" w:rsidRPr="00E73FF8">
        <w:rPr>
          <w:bCs/>
          <w:i/>
          <w:iCs/>
        </w:rPr>
        <w:t>…</w:t>
      </w:r>
      <w:r w:rsidR="007F692E" w:rsidRPr="00E73FF8">
        <w:rPr>
          <w:bCs/>
          <w:i/>
          <w:iCs/>
        </w:rPr>
        <w:t xml:space="preserve">take </w:t>
      </w:r>
      <w:r w:rsidR="008D4C5C" w:rsidRPr="00E73FF8">
        <w:rPr>
          <w:bCs/>
          <w:i/>
          <w:iCs/>
        </w:rPr>
        <w:t xml:space="preserve">into </w:t>
      </w:r>
      <w:r w:rsidR="007F692E" w:rsidRPr="00E73FF8">
        <w:rPr>
          <w:bCs/>
          <w:i/>
          <w:iCs/>
        </w:rPr>
        <w:t xml:space="preserve">account </w:t>
      </w:r>
      <w:r w:rsidR="008D4C5C" w:rsidRPr="00E73FF8">
        <w:rPr>
          <w:bCs/>
          <w:i/>
          <w:iCs/>
        </w:rPr>
        <w:t>s</w:t>
      </w:r>
      <w:r w:rsidR="007F692E" w:rsidRPr="00E73FF8">
        <w:rPr>
          <w:bCs/>
          <w:i/>
          <w:iCs/>
        </w:rPr>
        <w:t xml:space="preserve">uch matters as </w:t>
      </w:r>
      <w:r w:rsidR="008D4C5C" w:rsidRPr="00E73FF8">
        <w:rPr>
          <w:bCs/>
          <w:i/>
          <w:iCs/>
        </w:rPr>
        <w:t>it consider</w:t>
      </w:r>
      <w:r w:rsidR="00C069F4">
        <w:rPr>
          <w:bCs/>
          <w:i/>
          <w:iCs/>
        </w:rPr>
        <w:t>s</w:t>
      </w:r>
      <w:r w:rsidR="008D4C5C" w:rsidRPr="00E73FF8">
        <w:rPr>
          <w:bCs/>
          <w:i/>
          <w:iCs/>
        </w:rPr>
        <w:t xml:space="preserve"> relevan</w:t>
      </w:r>
      <w:r w:rsidR="008D4C5C" w:rsidRPr="00A16ADD">
        <w:rPr>
          <w:bCs/>
          <w:i/>
          <w:iCs/>
        </w:rPr>
        <w:t>t</w:t>
      </w:r>
      <w:r w:rsidR="008D4C5C" w:rsidRPr="00B62959">
        <w:rPr>
          <w:bCs/>
          <w:i/>
          <w:iCs/>
        </w:rPr>
        <w:t>”.</w:t>
      </w:r>
      <w:r w:rsidR="008D4C5C">
        <w:rPr>
          <w:bCs/>
        </w:rPr>
        <w:t xml:space="preserve"> It follows that a </w:t>
      </w:r>
      <w:r w:rsidR="00E73FF8">
        <w:rPr>
          <w:bCs/>
        </w:rPr>
        <w:t>defendant</w:t>
      </w:r>
      <w:r w:rsidR="008D4C5C">
        <w:rPr>
          <w:bCs/>
        </w:rPr>
        <w:t xml:space="preserve"> cannot circumscribe what it is required by s</w:t>
      </w:r>
      <w:r w:rsidR="00C069F4">
        <w:rPr>
          <w:bCs/>
        </w:rPr>
        <w:t>.</w:t>
      </w:r>
      <w:r w:rsidR="008D4C5C">
        <w:rPr>
          <w:bCs/>
        </w:rPr>
        <w:t xml:space="preserve"> 26 to establish</w:t>
      </w:r>
      <w:r w:rsidR="00B62959">
        <w:rPr>
          <w:bCs/>
        </w:rPr>
        <w:t>, i.e.,</w:t>
      </w:r>
      <w:r w:rsidR="008D4C5C">
        <w:rPr>
          <w:bCs/>
        </w:rPr>
        <w:t xml:space="preserve"> that </w:t>
      </w:r>
      <w:r w:rsidR="008D4C5C" w:rsidRPr="00B62959">
        <w:rPr>
          <w:bCs/>
          <w:i/>
          <w:iCs/>
        </w:rPr>
        <w:t>“</w:t>
      </w:r>
      <w:r w:rsidR="008D4C5C" w:rsidRPr="00DF30B9">
        <w:rPr>
          <w:bCs/>
          <w:i/>
          <w:iCs/>
          <w:u w:val="single"/>
        </w:rPr>
        <w:t xml:space="preserve">in all of </w:t>
      </w:r>
      <w:r w:rsidR="00E73FF8" w:rsidRPr="00DF30B9">
        <w:rPr>
          <w:bCs/>
          <w:i/>
          <w:iCs/>
          <w:u w:val="single"/>
        </w:rPr>
        <w:t>the</w:t>
      </w:r>
      <w:r w:rsidR="008D4C5C" w:rsidRPr="00DF30B9">
        <w:rPr>
          <w:bCs/>
          <w:i/>
          <w:iCs/>
          <w:u w:val="single"/>
        </w:rPr>
        <w:t xml:space="preserve"> circumstances of the case</w:t>
      </w:r>
      <w:r w:rsidR="008D4C5C" w:rsidRPr="00DF30B9">
        <w:rPr>
          <w:bCs/>
          <w:i/>
          <w:iCs/>
        </w:rPr>
        <w:t xml:space="preserve">, it was fair and </w:t>
      </w:r>
      <w:r w:rsidR="00E73FF8" w:rsidRPr="00DF30B9">
        <w:rPr>
          <w:bCs/>
          <w:i/>
          <w:iCs/>
        </w:rPr>
        <w:t>reasonable</w:t>
      </w:r>
      <w:r w:rsidR="008D4C5C" w:rsidRPr="00DF30B9">
        <w:rPr>
          <w:bCs/>
          <w:i/>
          <w:iCs/>
        </w:rPr>
        <w:t xml:space="preserve"> to publish the </w:t>
      </w:r>
      <w:r w:rsidR="00E73FF8" w:rsidRPr="00DF30B9">
        <w:rPr>
          <w:bCs/>
          <w:i/>
          <w:iCs/>
        </w:rPr>
        <w:t>statement</w:t>
      </w:r>
      <w:r w:rsidR="008D4C5C" w:rsidRPr="00DF30B9">
        <w:rPr>
          <w:bCs/>
          <w:i/>
          <w:iCs/>
        </w:rPr>
        <w:t xml:space="preserve"> (</w:t>
      </w:r>
      <w:r w:rsidR="00E73FF8" w:rsidRPr="00DF30B9">
        <w:rPr>
          <w:bCs/>
          <w:i/>
          <w:iCs/>
        </w:rPr>
        <w:t>emphasis</w:t>
      </w:r>
      <w:r w:rsidR="008D4C5C" w:rsidRPr="00DF30B9">
        <w:rPr>
          <w:bCs/>
          <w:i/>
          <w:iCs/>
        </w:rPr>
        <w:t xml:space="preserve"> added)</w:t>
      </w:r>
      <w:r w:rsidR="00C069F4">
        <w:rPr>
          <w:bCs/>
          <w:i/>
          <w:iCs/>
        </w:rPr>
        <w:t>”.</w:t>
      </w:r>
      <w:r w:rsidR="008D4C5C">
        <w:rPr>
          <w:bCs/>
        </w:rPr>
        <w:t xml:space="preserve"> </w:t>
      </w:r>
      <w:r w:rsidR="00DE52E9" w:rsidRPr="00CD72A5">
        <w:t>The omission</w:t>
      </w:r>
      <w:r w:rsidR="000E4B76">
        <w:t>, therefore,</w:t>
      </w:r>
      <w:r w:rsidR="00DE52E9" w:rsidRPr="00CD72A5">
        <w:t xml:space="preserve"> from s. 26 of a</w:t>
      </w:r>
      <w:r w:rsidR="008D4C5C">
        <w:t xml:space="preserve">ny </w:t>
      </w:r>
      <w:r w:rsidR="00E73FF8">
        <w:t>express</w:t>
      </w:r>
      <w:r w:rsidR="008D4C5C">
        <w:t xml:space="preserve"> </w:t>
      </w:r>
      <w:r w:rsidR="00E73FF8">
        <w:t>reference</w:t>
      </w:r>
      <w:r w:rsidR="008D4C5C">
        <w:t xml:space="preserve"> t</w:t>
      </w:r>
      <w:r w:rsidR="00E73FF8">
        <w:t>o</w:t>
      </w:r>
      <w:r w:rsidR="008D4C5C">
        <w:t xml:space="preserve"> post </w:t>
      </w:r>
      <w:r w:rsidR="00E73FF8">
        <w:t>publication</w:t>
      </w:r>
      <w:r w:rsidR="008D4C5C">
        <w:t xml:space="preserve"> </w:t>
      </w:r>
      <w:r w:rsidR="00E73FF8">
        <w:t>behaviour</w:t>
      </w:r>
      <w:r w:rsidR="008D4C5C">
        <w:t xml:space="preserve"> in general, or a </w:t>
      </w:r>
      <w:r w:rsidR="00DE52E9" w:rsidRPr="00CD72A5">
        <w:rPr>
          <w:i/>
        </w:rPr>
        <w:t xml:space="preserve">Loutchansky </w:t>
      </w:r>
      <w:r w:rsidR="00DE52E9" w:rsidRPr="00CD72A5">
        <w:t>notice</w:t>
      </w:r>
      <w:r w:rsidR="008D4C5C">
        <w:t xml:space="preserve"> in </w:t>
      </w:r>
      <w:r w:rsidR="00E73FF8">
        <w:t>particular</w:t>
      </w:r>
      <w:r w:rsidR="008D4C5C">
        <w:t xml:space="preserve">, </w:t>
      </w:r>
      <w:r>
        <w:t>is n</w:t>
      </w:r>
      <w:r w:rsidR="001E776E">
        <w:t>o</w:t>
      </w:r>
      <w:r>
        <w:t xml:space="preserve">t fatal to the plaintiff’s </w:t>
      </w:r>
      <w:r w:rsidR="001E776E">
        <w:t>application</w:t>
      </w:r>
      <w:r>
        <w:t xml:space="preserve"> to stri</w:t>
      </w:r>
      <w:r w:rsidR="001E776E">
        <w:t>ke</w:t>
      </w:r>
      <w:r>
        <w:t xml:space="preserve"> out </w:t>
      </w:r>
      <w:r w:rsidR="001E776E">
        <w:t>the</w:t>
      </w:r>
      <w:r>
        <w:t xml:space="preserve"> </w:t>
      </w:r>
      <w:r w:rsidR="001E776E">
        <w:t>defence</w:t>
      </w:r>
      <w:r>
        <w:t>.</w:t>
      </w:r>
    </w:p>
    <w:p w14:paraId="2B3C8222" w14:textId="2CCB6B07" w:rsidR="00DE52E9" w:rsidRPr="00CD72A5" w:rsidRDefault="00CC0782" w:rsidP="00B62959">
      <w:pPr>
        <w:pStyle w:val="ListParagraph"/>
        <w:numPr>
          <w:ilvl w:val="0"/>
          <w:numId w:val="8"/>
        </w:numPr>
        <w:spacing w:line="480" w:lineRule="auto"/>
        <w:jc w:val="both"/>
      </w:pPr>
      <w:r w:rsidRPr="00CD72A5">
        <w:t>By the same logic</w:t>
      </w:r>
      <w:r w:rsidR="000E4B76">
        <w:t>, however,</w:t>
      </w:r>
      <w:r w:rsidR="00DF4498" w:rsidRPr="00CD72A5">
        <w:t xml:space="preserve"> </w:t>
      </w:r>
      <w:r w:rsidR="00C57B24">
        <w:t>neither can the plaintiff circumscribe the matters which the jury may consider.</w:t>
      </w:r>
      <w:r w:rsidR="00022462">
        <w:t xml:space="preserve"> E</w:t>
      </w:r>
      <w:r w:rsidR="00DF4498" w:rsidRPr="00CD72A5">
        <w:t>v</w:t>
      </w:r>
      <w:r w:rsidR="00DE52E9" w:rsidRPr="00CD72A5">
        <w:t xml:space="preserve">en accepting that a </w:t>
      </w:r>
      <w:r w:rsidR="00DE52E9" w:rsidRPr="00CD72A5">
        <w:rPr>
          <w:i/>
        </w:rPr>
        <w:t xml:space="preserve">Loutchansky </w:t>
      </w:r>
      <w:r w:rsidR="00DE52E9" w:rsidRPr="00CD72A5">
        <w:t xml:space="preserve">notice may be relevant to the assessment of whether the publication was fair and reasonable, it cannot be consistent with scheme of s. 26 to hold that its absence in this case necessarily forecloses this defence. </w:t>
      </w:r>
      <w:r w:rsidR="00022462">
        <w:t>I</w:t>
      </w:r>
      <w:r w:rsidR="00DE52E9" w:rsidRPr="00CD72A5">
        <w:t>t would be very difficult, if not impossible</w:t>
      </w:r>
      <w:r w:rsidR="00022462">
        <w:t>,</w:t>
      </w:r>
      <w:r w:rsidR="00DE52E9" w:rsidRPr="00CD72A5">
        <w:t xml:space="preserve"> for th</w:t>
      </w:r>
      <w:r w:rsidR="007F692E" w:rsidRPr="00CD72A5">
        <w:t>is</w:t>
      </w:r>
      <w:r w:rsidR="00DE52E9" w:rsidRPr="00CD72A5">
        <w:t xml:space="preserve"> court to decide, before evidence is given</w:t>
      </w:r>
      <w:r w:rsidR="00B62959">
        <w:t>,</w:t>
      </w:r>
      <w:r w:rsidR="00DE52E9" w:rsidRPr="00CD72A5">
        <w:t xml:space="preserve"> that it would be perverse of a jury to </w:t>
      </w:r>
      <w:r w:rsidR="00022462">
        <w:t>conclude</w:t>
      </w:r>
      <w:r w:rsidR="00DE52E9" w:rsidRPr="00CD72A5">
        <w:t xml:space="preserve"> that the </w:t>
      </w:r>
      <w:r w:rsidR="007F692E" w:rsidRPr="00CD72A5">
        <w:t xml:space="preserve">article </w:t>
      </w:r>
      <w:r w:rsidR="00DE52E9" w:rsidRPr="00CD72A5">
        <w:t xml:space="preserve">does not meet the s. </w:t>
      </w:r>
      <w:r w:rsidR="001266AD" w:rsidRPr="00CD72A5">
        <w:t>26 test</w:t>
      </w:r>
      <w:r w:rsidR="004D3A4D" w:rsidRPr="00CD72A5">
        <w:t>.</w:t>
      </w:r>
    </w:p>
    <w:p w14:paraId="771B7A50" w14:textId="710D3A9E" w:rsidR="00CC0782" w:rsidRPr="00CD72A5" w:rsidRDefault="00B62959" w:rsidP="00B62959">
      <w:pPr>
        <w:pStyle w:val="ListParagraph"/>
        <w:numPr>
          <w:ilvl w:val="0"/>
          <w:numId w:val="8"/>
        </w:numPr>
        <w:spacing w:line="480" w:lineRule="auto"/>
        <w:jc w:val="both"/>
      </w:pPr>
      <w:r>
        <w:t>In any event, not</w:t>
      </w:r>
      <w:r w:rsidR="001032F5" w:rsidRPr="00CD72A5">
        <w:t>withstanding</w:t>
      </w:r>
      <w:r w:rsidR="003C0A46" w:rsidRPr="00CD72A5">
        <w:t xml:space="preserve"> the decision </w:t>
      </w:r>
      <w:r>
        <w:t xml:space="preserve">on the facts </w:t>
      </w:r>
      <w:r w:rsidR="003C0A46" w:rsidRPr="00CD72A5">
        <w:t xml:space="preserve">by the Court of Appeal in the </w:t>
      </w:r>
      <w:r w:rsidR="003C0A46" w:rsidRPr="00CD72A5">
        <w:rPr>
          <w:i/>
        </w:rPr>
        <w:t>Loutchansky</w:t>
      </w:r>
      <w:r w:rsidR="003C0A46" w:rsidRPr="00CD72A5">
        <w:t xml:space="preserve"> case, t</w:t>
      </w:r>
      <w:r w:rsidR="00EC7A54" w:rsidRPr="00CD72A5">
        <w:t>he plaintiff</w:t>
      </w:r>
      <w:r w:rsidR="008F2A6E" w:rsidRPr="00CD72A5">
        <w:t xml:space="preserve">’s argument that the absence of </w:t>
      </w:r>
      <w:r w:rsidR="003C0A46" w:rsidRPr="00CD72A5">
        <w:t xml:space="preserve">such a </w:t>
      </w:r>
      <w:r w:rsidR="008F2A6E" w:rsidRPr="00CD72A5">
        <w:t xml:space="preserve">notice is </w:t>
      </w:r>
      <w:r w:rsidR="003C0A46" w:rsidRPr="00CD72A5">
        <w:t xml:space="preserve">necessarily </w:t>
      </w:r>
      <w:r w:rsidR="008F2A6E" w:rsidRPr="00CD72A5">
        <w:t>fatal t</w:t>
      </w:r>
      <w:r w:rsidR="00246713" w:rsidRPr="00CD72A5">
        <w:t>o</w:t>
      </w:r>
      <w:r w:rsidR="008F2A6E" w:rsidRPr="00CD72A5">
        <w:t xml:space="preserve"> the defence is inconsistent with the </w:t>
      </w:r>
      <w:r w:rsidR="008B774B">
        <w:t xml:space="preserve">general </w:t>
      </w:r>
      <w:r w:rsidR="008F2A6E" w:rsidRPr="00CD72A5">
        <w:t xml:space="preserve">approach in English law to </w:t>
      </w:r>
      <w:r w:rsidR="00835026" w:rsidRPr="00CD72A5">
        <w:t xml:space="preserve">the </w:t>
      </w:r>
      <w:r w:rsidR="004D3A4D" w:rsidRPr="00CD72A5">
        <w:rPr>
          <w:i/>
          <w:iCs/>
        </w:rPr>
        <w:t>Reynolds</w:t>
      </w:r>
      <w:r w:rsidR="007F692E" w:rsidRPr="00CD72A5">
        <w:t xml:space="preserve"> </w:t>
      </w:r>
      <w:r w:rsidR="008F2A6E" w:rsidRPr="00CD72A5">
        <w:t>defence</w:t>
      </w:r>
      <w:r w:rsidR="001E776E">
        <w:t>. I</w:t>
      </w:r>
      <w:r w:rsidR="0011002C">
        <w:t xml:space="preserve">n </w:t>
      </w:r>
      <w:r w:rsidR="0011002C">
        <w:rPr>
          <w:i/>
          <w:iCs/>
        </w:rPr>
        <w:t>Reynolds</w:t>
      </w:r>
      <w:r w:rsidR="001E776E">
        <w:t>,</w:t>
      </w:r>
      <w:r w:rsidR="004D3A4D" w:rsidRPr="00CD72A5">
        <w:t xml:space="preserve"> Lord Nicho</w:t>
      </w:r>
      <w:r w:rsidR="00225DDB">
        <w:t>l</w:t>
      </w:r>
      <w:r w:rsidR="004D3A4D" w:rsidRPr="00CD72A5">
        <w:t xml:space="preserve">ls gave </w:t>
      </w:r>
      <w:r w:rsidR="000E4B76">
        <w:t>his well-known</w:t>
      </w:r>
      <w:r w:rsidR="004D3A4D" w:rsidRPr="00CD72A5">
        <w:t xml:space="preserve"> non-exhaustive list of ten </w:t>
      </w:r>
      <w:r w:rsidR="006F6A19">
        <w:t>factors</w:t>
      </w:r>
      <w:r w:rsidR="001E776E">
        <w:t xml:space="preserve"> – essentially </w:t>
      </w:r>
      <w:r w:rsidR="00246713" w:rsidRPr="00CD72A5">
        <w:t xml:space="preserve">a charter of </w:t>
      </w:r>
      <w:r w:rsidR="00246713" w:rsidRPr="00B62959">
        <w:rPr>
          <w:i/>
          <w:iCs/>
        </w:rPr>
        <w:t>“</w:t>
      </w:r>
      <w:r w:rsidR="00246713" w:rsidRPr="00A16ADD">
        <w:rPr>
          <w:i/>
          <w:iCs/>
        </w:rPr>
        <w:t>responsible journalism</w:t>
      </w:r>
      <w:r w:rsidR="00246713" w:rsidRPr="00B62959">
        <w:rPr>
          <w:i/>
          <w:iCs/>
        </w:rPr>
        <w:t>”</w:t>
      </w:r>
      <w:r w:rsidR="00EC3785">
        <w:t xml:space="preserve"> – </w:t>
      </w:r>
      <w:r w:rsidR="004D3A4D" w:rsidRPr="00CD72A5">
        <w:t xml:space="preserve">which in </w:t>
      </w:r>
      <w:proofErr w:type="gramStart"/>
      <w:r w:rsidR="007A329A">
        <w:t>appropriate  circumstances</w:t>
      </w:r>
      <w:proofErr w:type="gramEnd"/>
      <w:r w:rsidR="004D3A4D" w:rsidRPr="00CD72A5">
        <w:t xml:space="preserve"> </w:t>
      </w:r>
      <w:r w:rsidR="007A329A">
        <w:t xml:space="preserve">should </w:t>
      </w:r>
      <w:r w:rsidR="004D3A4D" w:rsidRPr="00CD72A5">
        <w:t>be taken into account in determining whether a publisher had fulfilled the appropriate standards of ethical journalistic behaviour</w:t>
      </w:r>
      <w:r w:rsidR="001E776E">
        <w:t xml:space="preserve"> to benefit from the defence</w:t>
      </w:r>
      <w:r w:rsidR="00246713" w:rsidRPr="00CD72A5">
        <w:t>.</w:t>
      </w:r>
      <w:r w:rsidR="004D3A4D" w:rsidRPr="00CD72A5">
        <w:t xml:space="preserve"> </w:t>
      </w:r>
      <w:r w:rsidR="000E4B76">
        <w:t>However,</w:t>
      </w:r>
      <w:r w:rsidR="006B690B">
        <w:t xml:space="preserve"> </w:t>
      </w:r>
      <w:r w:rsidR="002E2ABC" w:rsidRPr="00CD72A5">
        <w:t>Lord Nicho</w:t>
      </w:r>
      <w:r w:rsidR="00DB5245">
        <w:t>l</w:t>
      </w:r>
      <w:r w:rsidR="002E2ABC" w:rsidRPr="00CD72A5">
        <w:t>l</w:t>
      </w:r>
      <w:r w:rsidR="00DB5245">
        <w:t>s</w:t>
      </w:r>
      <w:r w:rsidR="006B690B">
        <w:t xml:space="preserve"> </w:t>
      </w:r>
      <w:r w:rsidR="008B774B">
        <w:t>emphasised</w:t>
      </w:r>
      <w:r w:rsidR="006B690B">
        <w:t xml:space="preserve"> that these factors which</w:t>
      </w:r>
      <w:r w:rsidR="006F6A19">
        <w:t>,</w:t>
      </w:r>
      <w:r w:rsidR="006B690B">
        <w:t xml:space="preserve"> </w:t>
      </w:r>
      <w:r w:rsidR="006B690B">
        <w:lastRenderedPageBreak/>
        <w:t>depending upon the circumstances</w:t>
      </w:r>
      <w:r w:rsidR="006F6A19">
        <w:t>,</w:t>
      </w:r>
      <w:r w:rsidR="006B690B">
        <w:t xml:space="preserve"> </w:t>
      </w:r>
      <w:r w:rsidR="008B774B">
        <w:t>could</w:t>
      </w:r>
      <w:r w:rsidR="006B690B">
        <w:t xml:space="preserve"> be weighty, </w:t>
      </w:r>
      <w:r w:rsidR="006B690B" w:rsidRPr="00B62959">
        <w:rPr>
          <w:i/>
          <w:iCs/>
        </w:rPr>
        <w:t>“</w:t>
      </w:r>
      <w:r w:rsidR="002E2ABC" w:rsidRPr="00A16ADD">
        <w:rPr>
          <w:i/>
          <w:iCs/>
        </w:rPr>
        <w:t>should not be elevated into a rigid rule of law</w:t>
      </w:r>
      <w:r w:rsidR="002E2ABC" w:rsidRPr="00EC3785">
        <w:rPr>
          <w:i/>
          <w:iCs/>
        </w:rPr>
        <w:t>”</w:t>
      </w:r>
      <w:r w:rsidR="00EC3785">
        <w:rPr>
          <w:i/>
          <w:iCs/>
        </w:rPr>
        <w:t>.</w:t>
      </w:r>
      <w:r w:rsidR="002E2ABC" w:rsidRPr="00CD72A5">
        <w:t xml:space="preserve"> </w:t>
      </w:r>
      <w:r w:rsidR="00246713" w:rsidRPr="00CD72A5">
        <w:t>Th</w:t>
      </w:r>
      <w:r w:rsidR="00CC0782" w:rsidRPr="00CD72A5">
        <w:t>e</w:t>
      </w:r>
      <w:r w:rsidR="00246713" w:rsidRPr="00CD72A5">
        <w:t xml:space="preserve"> </w:t>
      </w:r>
      <w:r w:rsidR="002E2ABC" w:rsidRPr="00CD72A5">
        <w:t>ten factors listed are not tests or hurdles which the publication has to pass. Rather, as</w:t>
      </w:r>
      <w:r w:rsidR="00B06375">
        <w:t xml:space="preserve"> observed</w:t>
      </w:r>
      <w:r w:rsidR="002E2ABC" w:rsidRPr="00CD72A5">
        <w:t xml:space="preserve"> by </w:t>
      </w:r>
      <w:r w:rsidR="00CC0782" w:rsidRPr="00CD72A5">
        <w:t xml:space="preserve">Lord Bingham </w:t>
      </w:r>
      <w:r w:rsidR="002E2ABC" w:rsidRPr="00CD72A5">
        <w:t xml:space="preserve">in </w:t>
      </w:r>
      <w:r w:rsidR="002E2ABC" w:rsidRPr="00A16ADD">
        <w:rPr>
          <w:i/>
        </w:rPr>
        <w:t xml:space="preserve">Jameel </w:t>
      </w:r>
      <w:r w:rsidR="006609B7" w:rsidRPr="00A16ADD">
        <w:rPr>
          <w:i/>
        </w:rPr>
        <w:t xml:space="preserve">(Yousef) </w:t>
      </w:r>
      <w:r w:rsidR="006609B7" w:rsidRPr="00EC3785">
        <w:rPr>
          <w:i/>
          <w:iCs/>
        </w:rPr>
        <w:t>v Dow Jones &amp; Co. Inc.</w:t>
      </w:r>
      <w:r w:rsidR="006609B7">
        <w:t xml:space="preserve"> [2005] Q.B. </w:t>
      </w:r>
      <w:proofErr w:type="gramStart"/>
      <w:r w:rsidR="006609B7">
        <w:t>946,</w:t>
      </w:r>
      <w:r w:rsidR="006609B7" w:rsidRPr="00A16ADD">
        <w:rPr>
          <w:i/>
          <w:iCs/>
        </w:rPr>
        <w:t xml:space="preserve">  </w:t>
      </w:r>
      <w:r w:rsidR="002E2ABC" w:rsidRPr="00CD72A5">
        <w:t>the</w:t>
      </w:r>
      <w:proofErr w:type="gramEnd"/>
      <w:r w:rsidR="002E2ABC" w:rsidRPr="00CD72A5">
        <w:t xml:space="preserve"> standard of conduct required of a newspaper must be applied in a practical and flexible manner having regard to practical realities. </w:t>
      </w:r>
    </w:p>
    <w:p w14:paraId="38DBCF61" w14:textId="7FAAABB9" w:rsidR="001D2071" w:rsidRPr="00CD72A5" w:rsidRDefault="007030C6" w:rsidP="00B62959">
      <w:pPr>
        <w:pStyle w:val="ListParagraph"/>
        <w:numPr>
          <w:ilvl w:val="0"/>
          <w:numId w:val="8"/>
        </w:numPr>
        <w:spacing w:line="480" w:lineRule="auto"/>
        <w:jc w:val="both"/>
        <w:rPr>
          <w:iCs/>
        </w:rPr>
      </w:pPr>
      <w:r>
        <w:t>There is strength in</w:t>
      </w:r>
      <w:r w:rsidR="001D2071" w:rsidRPr="00CD72A5">
        <w:t xml:space="preserve"> the defendant’s argument that the plaintiff’s application appears to be an attempt to elevate certain factors</w:t>
      </w:r>
      <w:r w:rsidR="006F6A19">
        <w:t>,</w:t>
      </w:r>
      <w:r w:rsidR="001D2071" w:rsidRPr="00CD72A5">
        <w:t xml:space="preserve"> which may be of relevance to the </w:t>
      </w:r>
      <w:r w:rsidR="001D2071" w:rsidRPr="00CD72A5">
        <w:rPr>
          <w:i/>
          <w:iCs/>
        </w:rPr>
        <w:t>Reynolds</w:t>
      </w:r>
      <w:r w:rsidR="001D2071" w:rsidRPr="00CD72A5">
        <w:t xml:space="preserve"> defence, into a rigid rule of law. </w:t>
      </w:r>
      <w:r w:rsidR="00E77465" w:rsidRPr="00B62959">
        <w:t>Yet, t</w:t>
      </w:r>
      <w:r w:rsidR="001D2071" w:rsidRPr="00B62959">
        <w:t>h</w:t>
      </w:r>
      <w:r w:rsidR="006F6A19" w:rsidRPr="00B62959">
        <w:t>at</w:t>
      </w:r>
      <w:r w:rsidR="001D2071" w:rsidRPr="00B62959">
        <w:t xml:space="preserve"> </w:t>
      </w:r>
      <w:r w:rsidR="006F6A19" w:rsidRPr="00B62959">
        <w:t>is at odds with</w:t>
      </w:r>
      <w:r w:rsidR="006F6A19" w:rsidRPr="00B62959">
        <w:rPr>
          <w:i/>
          <w:iCs/>
        </w:rPr>
        <w:t xml:space="preserve"> </w:t>
      </w:r>
      <w:r w:rsidR="001D2071" w:rsidRPr="00B62959">
        <w:t>the approach of the English courts</w:t>
      </w:r>
      <w:r w:rsidR="006F6A19" w:rsidRPr="00B62959">
        <w:t xml:space="preserve"> generally</w:t>
      </w:r>
      <w:r w:rsidR="00E77465" w:rsidRPr="00B62959">
        <w:t>, even to the ten factors</w:t>
      </w:r>
      <w:r w:rsidR="00B06375">
        <w:t xml:space="preserve"> enumerated in </w:t>
      </w:r>
      <w:r w:rsidR="00B06375" w:rsidRPr="00B62959">
        <w:rPr>
          <w:i/>
          <w:iCs/>
        </w:rPr>
        <w:t>Reynolds</w:t>
      </w:r>
      <w:r w:rsidR="00E77465" w:rsidRPr="00B62959">
        <w:t>.</w:t>
      </w:r>
    </w:p>
    <w:p w14:paraId="6826C481" w14:textId="61411E05" w:rsidR="00CD72A5" w:rsidRPr="00B62959" w:rsidRDefault="00835026" w:rsidP="00B62959">
      <w:pPr>
        <w:pStyle w:val="ListParagraph"/>
        <w:numPr>
          <w:ilvl w:val="0"/>
          <w:numId w:val="8"/>
        </w:numPr>
        <w:spacing w:line="480" w:lineRule="auto"/>
        <w:jc w:val="both"/>
        <w:rPr>
          <w:b/>
          <w:bCs/>
        </w:rPr>
      </w:pPr>
      <w:r w:rsidRPr="00CD72A5">
        <w:t xml:space="preserve">Still less </w:t>
      </w:r>
      <w:r w:rsidR="00DB5245">
        <w:t>can</w:t>
      </w:r>
      <w:r w:rsidRPr="00CD72A5">
        <w:t xml:space="preserve"> </w:t>
      </w:r>
      <w:r w:rsidR="00F31F57">
        <w:t xml:space="preserve">it </w:t>
      </w:r>
      <w:r w:rsidRPr="00CD72A5">
        <w:t xml:space="preserve">be urged that </w:t>
      </w:r>
      <w:r w:rsidR="001D2071" w:rsidRPr="00CD72A5">
        <w:t xml:space="preserve">such rigidity ought </w:t>
      </w:r>
      <w:proofErr w:type="gramStart"/>
      <w:r w:rsidR="001D2071" w:rsidRPr="00CD72A5">
        <w:t>be</w:t>
      </w:r>
      <w:proofErr w:type="gramEnd"/>
      <w:r w:rsidR="001D2071" w:rsidRPr="00CD72A5">
        <w:t xml:space="preserve"> applied to n</w:t>
      </w:r>
      <w:r w:rsidR="0062471E" w:rsidRPr="00CD72A5">
        <w:t>ecessarily</w:t>
      </w:r>
      <w:r w:rsidRPr="00CD72A5">
        <w:t xml:space="preserve"> defeat </w:t>
      </w:r>
      <w:r w:rsidR="00246713" w:rsidRPr="00CD72A5">
        <w:t>a plea</w:t>
      </w:r>
      <w:r w:rsidR="001F67F0">
        <w:t xml:space="preserve"> </w:t>
      </w:r>
      <w:r w:rsidR="00DB5245">
        <w:t xml:space="preserve">of </w:t>
      </w:r>
      <w:r w:rsidR="00246713" w:rsidRPr="00CD72A5">
        <w:t xml:space="preserve">fair and </w:t>
      </w:r>
      <w:r w:rsidR="002E2ABC" w:rsidRPr="00CD72A5">
        <w:t>reasonable publication pursuant to s. 26.</w:t>
      </w:r>
      <w:r w:rsidR="001D2071" w:rsidRPr="00CD72A5">
        <w:t xml:space="preserve"> Demonstrably</w:t>
      </w:r>
      <w:r w:rsidR="00F6036F">
        <w:t xml:space="preserve"> </w:t>
      </w:r>
      <w:r w:rsidR="001D2071" w:rsidRPr="00CD72A5">
        <w:t>th</w:t>
      </w:r>
      <w:r w:rsidR="00F6036F">
        <w:t>at</w:t>
      </w:r>
      <w:r w:rsidR="001D2071" w:rsidRPr="00CD72A5">
        <w:t xml:space="preserve"> is not what the legislative scheme envisages. </w:t>
      </w:r>
      <w:r w:rsidR="006F6A19">
        <w:t>E</w:t>
      </w:r>
      <w:r w:rsidR="00CC0782" w:rsidRPr="00CD72A5">
        <w:t>ven</w:t>
      </w:r>
      <w:r w:rsidR="000E4B76">
        <w:t xml:space="preserve"> therefore,</w:t>
      </w:r>
      <w:r w:rsidR="00CC0782" w:rsidRPr="00CD72A5">
        <w:t xml:space="preserve"> if</w:t>
      </w:r>
      <w:r w:rsidR="002E2ABC" w:rsidRPr="00CD72A5">
        <w:t xml:space="preserve"> </w:t>
      </w:r>
      <w:r w:rsidR="00CD72A5" w:rsidRPr="00CD72A5">
        <w:t xml:space="preserve">the </w:t>
      </w:r>
      <w:r w:rsidR="002E2ABC" w:rsidRPr="00CD72A5">
        <w:rPr>
          <w:i/>
        </w:rPr>
        <w:t xml:space="preserve">Loutchansky </w:t>
      </w:r>
      <w:r w:rsidR="00CD72A5" w:rsidRPr="00CD72A5">
        <w:t xml:space="preserve">line of authority </w:t>
      </w:r>
      <w:r w:rsidR="006F6A19">
        <w:t xml:space="preserve">were to </w:t>
      </w:r>
      <w:r w:rsidR="00CD72A5" w:rsidRPr="00CD72A5">
        <w:t>e</w:t>
      </w:r>
      <w:r w:rsidR="00CC0782" w:rsidRPr="00CD72A5">
        <w:t xml:space="preserve">stablish </w:t>
      </w:r>
      <w:r w:rsidR="002E2ABC" w:rsidRPr="00CD72A5">
        <w:t>that the absence of a</w:t>
      </w:r>
      <w:r w:rsidR="00085DA0">
        <w:t>n appropriate</w:t>
      </w:r>
      <w:r w:rsidR="002E2ABC" w:rsidRPr="00CD72A5">
        <w:t xml:space="preserve"> notice </w:t>
      </w:r>
      <w:r w:rsidR="00CC0782" w:rsidRPr="00CD72A5">
        <w:t xml:space="preserve">would always </w:t>
      </w:r>
      <w:r w:rsidR="00085DA0">
        <w:t>foreclose</w:t>
      </w:r>
      <w:r w:rsidR="002E2ABC" w:rsidRPr="00CD72A5">
        <w:t xml:space="preserve"> a </w:t>
      </w:r>
      <w:r w:rsidR="002E2ABC" w:rsidRPr="00CD72A5">
        <w:rPr>
          <w:i/>
        </w:rPr>
        <w:t xml:space="preserve">Reynolds </w:t>
      </w:r>
      <w:r w:rsidR="002E2ABC" w:rsidRPr="00CD72A5">
        <w:t>defence</w:t>
      </w:r>
      <w:r w:rsidR="006F6A19">
        <w:t xml:space="preserve">, </w:t>
      </w:r>
      <w:r w:rsidR="00CC0782" w:rsidRPr="00CD72A5">
        <w:t xml:space="preserve">which it does not, this </w:t>
      </w:r>
      <w:r w:rsidR="00181FB2">
        <w:t>could</w:t>
      </w:r>
      <w:r w:rsidR="00F6036F">
        <w:t xml:space="preserve"> not </w:t>
      </w:r>
      <w:r w:rsidR="00CC0782" w:rsidRPr="00CD72A5">
        <w:t xml:space="preserve">automatically </w:t>
      </w:r>
      <w:r w:rsidR="002E2ABC" w:rsidRPr="00CD72A5">
        <w:t>entitl</w:t>
      </w:r>
      <w:r w:rsidR="00181FB2">
        <w:t>e</w:t>
      </w:r>
      <w:r w:rsidR="002E2ABC" w:rsidRPr="00CD72A5">
        <w:t xml:space="preserve"> the plaintiff to an order striking out </w:t>
      </w:r>
      <w:r w:rsidR="00CC0782" w:rsidRPr="00CD72A5">
        <w:t xml:space="preserve">a s. 26 </w:t>
      </w:r>
      <w:r w:rsidR="002E2ABC" w:rsidRPr="00CD72A5">
        <w:t>defence.</w:t>
      </w:r>
    </w:p>
    <w:p w14:paraId="777F6F8D" w14:textId="76725E90" w:rsidR="00CC0782" w:rsidRPr="007A78A5" w:rsidRDefault="00CC0782" w:rsidP="007A78A5">
      <w:pPr>
        <w:pStyle w:val="Heading3"/>
        <w:rPr>
          <w:rFonts w:ascii="Times New Roman" w:hAnsi="Times New Roman"/>
          <w:i/>
          <w:iCs/>
          <w:sz w:val="24"/>
          <w:szCs w:val="24"/>
        </w:rPr>
      </w:pPr>
      <w:bookmarkStart w:id="12" w:name="_Toc97887632"/>
      <w:r w:rsidRPr="007A78A5">
        <w:rPr>
          <w:rFonts w:ascii="Times New Roman" w:hAnsi="Times New Roman"/>
          <w:i/>
          <w:iCs/>
          <w:sz w:val="24"/>
          <w:szCs w:val="24"/>
        </w:rPr>
        <w:t xml:space="preserve">The single publication </w:t>
      </w:r>
      <w:proofErr w:type="gramStart"/>
      <w:r w:rsidRPr="007A78A5">
        <w:rPr>
          <w:rFonts w:ascii="Times New Roman" w:hAnsi="Times New Roman"/>
          <w:i/>
          <w:iCs/>
          <w:sz w:val="24"/>
          <w:szCs w:val="24"/>
        </w:rPr>
        <w:t>rule</w:t>
      </w:r>
      <w:bookmarkEnd w:id="12"/>
      <w:proofErr w:type="gramEnd"/>
    </w:p>
    <w:p w14:paraId="0E9A9A5A" w14:textId="77777777" w:rsidR="000E4B76" w:rsidRPr="00B62959" w:rsidRDefault="000E4B76" w:rsidP="00B62959"/>
    <w:p w14:paraId="328BF8D1" w14:textId="518AD410" w:rsidR="001A141C" w:rsidRDefault="002E2ABC" w:rsidP="00B62959">
      <w:pPr>
        <w:pStyle w:val="ListParagraph"/>
        <w:numPr>
          <w:ilvl w:val="0"/>
          <w:numId w:val="8"/>
        </w:numPr>
        <w:spacing w:line="480" w:lineRule="auto"/>
        <w:jc w:val="both"/>
      </w:pPr>
      <w:r w:rsidRPr="00E10666">
        <w:t>There is a further difficulty</w:t>
      </w:r>
      <w:r w:rsidRPr="00CD72A5">
        <w:t xml:space="preserve"> with the plaintiff’s reliance upon the </w:t>
      </w:r>
      <w:r w:rsidRPr="00B26600">
        <w:rPr>
          <w:i/>
        </w:rPr>
        <w:t xml:space="preserve">Loutchansky </w:t>
      </w:r>
      <w:r w:rsidRPr="00CD72A5">
        <w:t xml:space="preserve">line of authority as a basis for a finding that the s. 26 defence is bound to fail. </w:t>
      </w:r>
      <w:r w:rsidR="00F6036F">
        <w:t>T</w:t>
      </w:r>
      <w:r w:rsidRPr="00CD72A5">
        <w:t xml:space="preserve">he </w:t>
      </w:r>
      <w:r w:rsidR="00E63C8C" w:rsidRPr="00B26600">
        <w:rPr>
          <w:i/>
        </w:rPr>
        <w:t xml:space="preserve">Loutchansky </w:t>
      </w:r>
      <w:r w:rsidR="00E63C8C" w:rsidRPr="00CD72A5">
        <w:t xml:space="preserve">line of authority emerged prior to </w:t>
      </w:r>
      <w:r w:rsidR="00922777" w:rsidRPr="00CD72A5">
        <w:t xml:space="preserve">s. 8 of the English Defamation Act, 2013 which </w:t>
      </w:r>
      <w:r w:rsidR="00E63C8C" w:rsidRPr="00CD72A5">
        <w:t>establis</w:t>
      </w:r>
      <w:r w:rsidR="00922777" w:rsidRPr="00CD72A5">
        <w:t>he</w:t>
      </w:r>
      <w:r w:rsidR="00F6036F">
        <w:t>d</w:t>
      </w:r>
      <w:r w:rsidR="00E63C8C" w:rsidRPr="00CD72A5">
        <w:t xml:space="preserve"> a single publication rule for internet and other publications.</w:t>
      </w:r>
      <w:r w:rsidR="00922777" w:rsidRPr="00CD72A5">
        <w:t xml:space="preserve"> </w:t>
      </w:r>
      <w:r w:rsidR="004A3F44">
        <w:t>O</w:t>
      </w:r>
      <w:r w:rsidR="00922777" w:rsidRPr="00CD72A5">
        <w:t>n the other hand</w:t>
      </w:r>
      <w:r w:rsidR="00B26600">
        <w:t xml:space="preserve">, </w:t>
      </w:r>
      <w:r w:rsidR="004A3F44">
        <w:t xml:space="preserve">in Ireland </w:t>
      </w:r>
      <w:r w:rsidR="00E63C8C" w:rsidRPr="00CD72A5">
        <w:t>the 2009 Act</w:t>
      </w:r>
      <w:r w:rsidR="00922777" w:rsidRPr="00CD72A5">
        <w:t xml:space="preserve"> has for some time</w:t>
      </w:r>
      <w:r w:rsidR="00E63C8C" w:rsidRPr="00CD72A5">
        <w:t xml:space="preserve"> provide</w:t>
      </w:r>
      <w:r w:rsidR="00922777" w:rsidRPr="00CD72A5">
        <w:t>d</w:t>
      </w:r>
      <w:r w:rsidR="00E63C8C" w:rsidRPr="00CD72A5">
        <w:t xml:space="preserve"> for a single publication rule</w:t>
      </w:r>
      <w:r w:rsidR="00B26600">
        <w:t>.</w:t>
      </w:r>
    </w:p>
    <w:p w14:paraId="114CA8A9" w14:textId="1F15BA55" w:rsidR="00EA3EF1" w:rsidRDefault="00B26600" w:rsidP="00B62959">
      <w:pPr>
        <w:numPr>
          <w:ilvl w:val="0"/>
          <w:numId w:val="8"/>
        </w:numPr>
        <w:spacing w:after="160" w:line="480" w:lineRule="auto"/>
        <w:contextualSpacing/>
        <w:jc w:val="both"/>
      </w:pPr>
      <w:r>
        <w:t>By way of context, it</w:t>
      </w:r>
      <w:r w:rsidR="00EA3EF1" w:rsidRPr="00CD72A5">
        <w:t xml:space="preserve"> is relevant to note how </w:t>
      </w:r>
      <w:r w:rsidR="00B06375">
        <w:t xml:space="preserve">the arguments </w:t>
      </w:r>
      <w:r w:rsidR="00EA3EF1" w:rsidRPr="00CD72A5">
        <w:t xml:space="preserve">unfolded in </w:t>
      </w:r>
      <w:r w:rsidR="00EA3EF1" w:rsidRPr="00CD72A5">
        <w:rPr>
          <w:i/>
          <w:iCs/>
        </w:rPr>
        <w:t xml:space="preserve">Loutchansky. </w:t>
      </w:r>
      <w:r w:rsidR="00EA3EF1" w:rsidRPr="00CD72A5">
        <w:t>The</w:t>
      </w:r>
      <w:r w:rsidR="00EA3EF1" w:rsidRPr="00CD72A5">
        <w:rPr>
          <w:i/>
          <w:iCs/>
        </w:rPr>
        <w:t xml:space="preserve"> </w:t>
      </w:r>
      <w:r w:rsidR="00EA3EF1" w:rsidRPr="00CD72A5">
        <w:t>claimant</w:t>
      </w:r>
      <w:r w:rsidR="000E4B76">
        <w:t>’s</w:t>
      </w:r>
      <w:r w:rsidR="00EA3EF1" w:rsidRPr="00CD72A5">
        <w:t xml:space="preserve"> argu</w:t>
      </w:r>
      <w:r w:rsidR="000E4B76">
        <w:t>ment</w:t>
      </w:r>
      <w:r w:rsidR="00EA3EF1" w:rsidRPr="00CD72A5">
        <w:t xml:space="preserve"> that the failure </w:t>
      </w:r>
      <w:r w:rsidR="00EA3EF1">
        <w:t xml:space="preserve">to publish any qualification defeated the </w:t>
      </w:r>
      <w:r w:rsidR="00EA3EF1" w:rsidRPr="00762450">
        <w:rPr>
          <w:i/>
          <w:iCs/>
        </w:rPr>
        <w:t>Reynolds</w:t>
      </w:r>
      <w:r w:rsidR="00EA3EF1">
        <w:t xml:space="preserve"> defence</w:t>
      </w:r>
      <w:r w:rsidR="00B06375">
        <w:t xml:space="preserve"> </w:t>
      </w:r>
      <w:r w:rsidR="000E4B76">
        <w:t>was</w:t>
      </w:r>
      <w:r w:rsidR="000E4B76">
        <w:rPr>
          <w:i/>
          <w:iCs/>
        </w:rPr>
        <w:t xml:space="preserve"> </w:t>
      </w:r>
      <w:r w:rsidR="00EA3EF1" w:rsidRPr="00CD72A5">
        <w:t>not in respect of the original publication</w:t>
      </w:r>
      <w:r w:rsidR="00EA3EF1">
        <w:t>s</w:t>
      </w:r>
      <w:r w:rsidR="00EA3EF1" w:rsidRPr="00CD72A5">
        <w:t xml:space="preserve"> but in </w:t>
      </w:r>
      <w:r w:rsidR="00EA3EF1" w:rsidRPr="00CD72A5">
        <w:lastRenderedPageBreak/>
        <w:t>respect of their continued maintenance on the website after a particular time.</w:t>
      </w:r>
      <w:r w:rsidR="00EA3EF1">
        <w:t xml:space="preserve"> </w:t>
      </w:r>
      <w:r w:rsidRPr="00B26600">
        <w:rPr>
          <w:i/>
          <w:iCs/>
        </w:rPr>
        <w:t xml:space="preserve">Times </w:t>
      </w:r>
      <w:r w:rsidRPr="00414B4D">
        <w:rPr>
          <w:i/>
        </w:rPr>
        <w:t>Independent Newspapers</w:t>
      </w:r>
      <w:r w:rsidRPr="00CD72A5">
        <w:t xml:space="preserve"> </w:t>
      </w:r>
      <w:r w:rsidR="00D557D4">
        <w:t xml:space="preserve">sought to amend their pleadings </w:t>
      </w:r>
      <w:r w:rsidR="000E4B76">
        <w:t>to maintain</w:t>
      </w:r>
      <w:r w:rsidR="00D557D4">
        <w:t xml:space="preserve"> that </w:t>
      </w:r>
      <w:r w:rsidR="00EA3EF1" w:rsidRPr="00CD72A5">
        <w:t>the single publication rule applied</w:t>
      </w:r>
      <w:r w:rsidR="00EA3EF1">
        <w:t xml:space="preserve">; </w:t>
      </w:r>
      <w:r w:rsidR="00EA3EF1" w:rsidRPr="00CD72A5">
        <w:t>that</w:t>
      </w:r>
      <w:r>
        <w:t xml:space="preserve"> </w:t>
      </w:r>
      <w:r w:rsidR="005D049F">
        <w:t xml:space="preserve">the date of </w:t>
      </w:r>
      <w:r w:rsidR="00EA3EF1">
        <w:t xml:space="preserve">first </w:t>
      </w:r>
      <w:r w:rsidR="009152FF">
        <w:t xml:space="preserve">publication </w:t>
      </w:r>
      <w:r w:rsidR="00EA3EF1" w:rsidRPr="00BF2D29">
        <w:t>on the internet</w:t>
      </w:r>
      <w:r w:rsidR="00EA3EF1">
        <w:t xml:space="preserve"> was the “single” </w:t>
      </w:r>
      <w:r w:rsidR="00EA3EF1" w:rsidRPr="00BF2D29">
        <w:t>date of publication</w:t>
      </w:r>
      <w:r w:rsidR="009152FF">
        <w:t xml:space="preserve"> and </w:t>
      </w:r>
      <w:r w:rsidR="00B06375">
        <w:t xml:space="preserve">was </w:t>
      </w:r>
      <w:r w:rsidR="00EA3EF1">
        <w:t>the only</w:t>
      </w:r>
      <w:r w:rsidR="00EA3EF1" w:rsidRPr="00CD72A5">
        <w:t xml:space="preserve"> relevant date for the assessment of liability</w:t>
      </w:r>
      <w:r w:rsidR="00EA3EF1">
        <w:t xml:space="preserve">; and that as </w:t>
      </w:r>
      <w:r w:rsidR="009152FF">
        <w:t xml:space="preserve">such publication </w:t>
      </w:r>
      <w:r w:rsidR="00EA3EF1" w:rsidRPr="00CD72A5">
        <w:t xml:space="preserve">predated the </w:t>
      </w:r>
      <w:r w:rsidR="00EA3EF1" w:rsidRPr="00D557D4">
        <w:t>developments</w:t>
      </w:r>
      <w:r w:rsidR="005D049F">
        <w:t>,</w:t>
      </w:r>
      <w:r w:rsidR="00EA3EF1" w:rsidRPr="00D557D4">
        <w:t xml:space="preserve"> which the plaintiff contended led to the requirement to publish any qualification</w:t>
      </w:r>
      <w:r w:rsidR="005D049F">
        <w:t>,</w:t>
      </w:r>
      <w:r w:rsidR="00EA3EF1" w:rsidRPr="00D557D4">
        <w:t xml:space="preserve"> </w:t>
      </w:r>
      <w:r w:rsidR="00B06375">
        <w:t>same</w:t>
      </w:r>
      <w:r w:rsidR="00EA3EF1" w:rsidRPr="00D557D4">
        <w:t xml:space="preserve"> could not </w:t>
      </w:r>
      <w:r w:rsidR="00526D39">
        <w:t>disentitle</w:t>
      </w:r>
      <w:r w:rsidR="00EA3EF1" w:rsidRPr="00D557D4">
        <w:t xml:space="preserve"> the defendant </w:t>
      </w:r>
      <w:r w:rsidR="00526D39">
        <w:t xml:space="preserve">from </w:t>
      </w:r>
      <w:r w:rsidR="00EA3EF1" w:rsidRPr="00D557D4">
        <w:t>rely</w:t>
      </w:r>
      <w:r w:rsidR="005D049F">
        <w:t>ing</w:t>
      </w:r>
      <w:r w:rsidR="00EA3EF1" w:rsidRPr="00D557D4">
        <w:t xml:space="preserve"> upon the defence. Th</w:t>
      </w:r>
      <w:r w:rsidR="00D557D4" w:rsidRPr="00D557D4">
        <w:t>e</w:t>
      </w:r>
      <w:r w:rsidR="00EA3EF1" w:rsidRPr="00D557D4">
        <w:t xml:space="preserve"> </w:t>
      </w:r>
      <w:r w:rsidRPr="00D557D4">
        <w:t>Court of Appeal</w:t>
      </w:r>
      <w:r w:rsidR="00EA3EF1" w:rsidRPr="00D557D4">
        <w:t xml:space="preserve"> </w:t>
      </w:r>
      <w:r w:rsidR="00D557D4" w:rsidRPr="00D557D4">
        <w:t xml:space="preserve">declined the amendment sought and </w:t>
      </w:r>
      <w:r w:rsidR="004947F3">
        <w:t>effectively</w:t>
      </w:r>
      <w:r w:rsidR="00D557D4" w:rsidRPr="00D557D4">
        <w:t xml:space="preserve"> </w:t>
      </w:r>
      <w:r w:rsidR="00EA3EF1" w:rsidRPr="00D557D4">
        <w:t>h</w:t>
      </w:r>
      <w:r w:rsidR="00DB5245">
        <w:t>eld</w:t>
      </w:r>
      <w:r w:rsidR="00EA3EF1" w:rsidRPr="00D557D4">
        <w:t xml:space="preserve"> that the single publication rule did not apply </w:t>
      </w:r>
      <w:r w:rsidR="00526D39">
        <w:t>to</w:t>
      </w:r>
      <w:r w:rsidR="00EA3EF1" w:rsidRPr="00D557D4">
        <w:t xml:space="preserve"> the internet publication</w:t>
      </w:r>
      <w:r w:rsidR="00B06375">
        <w:t>s</w:t>
      </w:r>
      <w:r w:rsidRPr="00D557D4">
        <w:t xml:space="preserve"> and that </w:t>
      </w:r>
      <w:r w:rsidR="00EA3EF1" w:rsidRPr="00D557D4">
        <w:t>it was a well-established</w:t>
      </w:r>
      <w:r w:rsidR="00EA3EF1" w:rsidRPr="00CD72A5">
        <w:t xml:space="preserve"> principle in the English law of defamation that each individual publication of a li</w:t>
      </w:r>
      <w:r w:rsidR="00EA3EF1">
        <w:t>bel</w:t>
      </w:r>
      <w:r w:rsidR="00EA3EF1" w:rsidRPr="00CD72A5">
        <w:t xml:space="preserve"> gave rise to a separate cause of action, subject to its own limitation period.</w:t>
      </w:r>
    </w:p>
    <w:p w14:paraId="44EF237A" w14:textId="2201A26D" w:rsidR="00EA3EF1" w:rsidRPr="00CD72A5" w:rsidRDefault="00EA3EF1" w:rsidP="00B62959">
      <w:pPr>
        <w:numPr>
          <w:ilvl w:val="0"/>
          <w:numId w:val="8"/>
        </w:numPr>
        <w:spacing w:after="160" w:line="480" w:lineRule="auto"/>
        <w:contextualSpacing/>
        <w:jc w:val="both"/>
      </w:pPr>
      <w:r w:rsidRPr="00CD72A5">
        <w:t>The defendant</w:t>
      </w:r>
      <w:r w:rsidR="00B26600">
        <w:t xml:space="preserve"> </w:t>
      </w:r>
      <w:r w:rsidR="00526D39">
        <w:t>in this case</w:t>
      </w:r>
      <w:r w:rsidRPr="00CD72A5">
        <w:t xml:space="preserve"> argues that the position in Ireland is entirely different as a result of ss. 11 and 38 of the 2009 Act. </w:t>
      </w:r>
      <w:r w:rsidR="00DB5245">
        <w:t>S.</w:t>
      </w:r>
      <w:r w:rsidRPr="00CD72A5">
        <w:t xml:space="preserve"> 11 of the 2009 Act provides</w:t>
      </w:r>
      <w:r w:rsidR="00F74DDF">
        <w:t xml:space="preserve"> in material part</w:t>
      </w:r>
      <w:r w:rsidRPr="00CD72A5">
        <w:t>:</w:t>
      </w:r>
    </w:p>
    <w:p w14:paraId="14E1EFE7" w14:textId="127C4024" w:rsidR="00526D39" w:rsidRDefault="001649DB" w:rsidP="00235CF3">
      <w:pPr>
        <w:spacing w:after="160"/>
        <w:ind w:left="720"/>
        <w:jc w:val="both"/>
        <w:rPr>
          <w:i/>
        </w:rPr>
      </w:pPr>
      <w:r w:rsidRPr="00235CF3">
        <w:rPr>
          <w:i/>
        </w:rPr>
        <w:t>“11.— (1) Subject to subsection (2), a person has one cause of action only in respect of a multiple publication.</w:t>
      </w:r>
    </w:p>
    <w:p w14:paraId="6B8447CD" w14:textId="1E18FC83" w:rsidR="00526D39" w:rsidRDefault="001649DB" w:rsidP="00235CF3">
      <w:pPr>
        <w:spacing w:after="160"/>
        <w:ind w:left="720"/>
        <w:jc w:val="both"/>
        <w:rPr>
          <w:i/>
        </w:rPr>
      </w:pPr>
      <w:r w:rsidRPr="00235CF3">
        <w:rPr>
          <w:i/>
        </w:rPr>
        <w:t>(2) A court may grant leave to a person to bring more than one defamation action in respect of a multiple publication where it considers that the interests of justice so require.</w:t>
      </w:r>
    </w:p>
    <w:p w14:paraId="5378852F" w14:textId="0810FD9F" w:rsidR="001649DB" w:rsidRPr="00235CF3" w:rsidRDefault="001649DB" w:rsidP="00235CF3">
      <w:pPr>
        <w:spacing w:after="160"/>
        <w:ind w:left="720"/>
        <w:jc w:val="both"/>
        <w:rPr>
          <w:i/>
        </w:rPr>
      </w:pPr>
      <w:r w:rsidRPr="00235CF3">
        <w:rPr>
          <w:i/>
        </w:rPr>
        <w:t>(3) In this section “multiple publication” means publication by a person of the same defamatory statement to 2 or more persons (other than the person in respect of whom the statement is made) whether contemporaneously or not.”</w:t>
      </w:r>
    </w:p>
    <w:p w14:paraId="13D9F946" w14:textId="77777777" w:rsidR="001649DB" w:rsidRPr="00235CF3" w:rsidRDefault="001649DB" w:rsidP="00235CF3">
      <w:pPr>
        <w:spacing w:after="160"/>
        <w:ind w:left="720"/>
        <w:jc w:val="both"/>
        <w:rPr>
          <w:i/>
        </w:rPr>
      </w:pPr>
    </w:p>
    <w:p w14:paraId="5C869CE5" w14:textId="0339C19E" w:rsidR="00EA3EF1" w:rsidRPr="00C94423" w:rsidRDefault="00EA3EF1" w:rsidP="00235CF3">
      <w:pPr>
        <w:spacing w:after="160"/>
        <w:jc w:val="both"/>
        <w:rPr>
          <w:iCs/>
        </w:rPr>
      </w:pPr>
      <w:r w:rsidRPr="00C94423">
        <w:rPr>
          <w:iCs/>
        </w:rPr>
        <w:t>S</w:t>
      </w:r>
      <w:r w:rsidR="00DB5245" w:rsidRPr="00C94423">
        <w:rPr>
          <w:iCs/>
        </w:rPr>
        <w:t xml:space="preserve">. </w:t>
      </w:r>
      <w:r w:rsidRPr="00C94423">
        <w:rPr>
          <w:iCs/>
        </w:rPr>
        <w:t xml:space="preserve">38 </w:t>
      </w:r>
      <w:r w:rsidR="004947F3">
        <w:rPr>
          <w:iCs/>
        </w:rPr>
        <w:t xml:space="preserve">(1) </w:t>
      </w:r>
      <w:r w:rsidRPr="00C94423">
        <w:rPr>
          <w:iCs/>
        </w:rPr>
        <w:t xml:space="preserve">of the 2009 Act </w:t>
      </w:r>
      <w:proofErr w:type="gramStart"/>
      <w:r w:rsidRPr="00C94423">
        <w:rPr>
          <w:iCs/>
        </w:rPr>
        <w:t>provides:-</w:t>
      </w:r>
      <w:proofErr w:type="gramEnd"/>
    </w:p>
    <w:p w14:paraId="274C57DF" w14:textId="0EDE61C8" w:rsidR="00A62BB8" w:rsidRPr="00235CF3" w:rsidRDefault="00EC3785" w:rsidP="00235CF3">
      <w:pPr>
        <w:spacing w:after="160"/>
        <w:ind w:left="720"/>
        <w:contextualSpacing/>
        <w:jc w:val="both"/>
        <w:rPr>
          <w:i/>
        </w:rPr>
      </w:pPr>
      <w:r>
        <w:rPr>
          <w:i/>
        </w:rPr>
        <w:t>“</w:t>
      </w:r>
      <w:r w:rsidR="00A62BB8" w:rsidRPr="00235CF3">
        <w:rPr>
          <w:i/>
        </w:rPr>
        <w:t>38.</w:t>
      </w:r>
      <w:proofErr w:type="gramStart"/>
      <w:r w:rsidR="00A62BB8" w:rsidRPr="00235CF3">
        <w:rPr>
          <w:i/>
        </w:rPr>
        <w:t>—(</w:t>
      </w:r>
      <w:proofErr w:type="gramEnd"/>
      <w:r w:rsidR="00A62BB8" w:rsidRPr="00235CF3">
        <w:rPr>
          <w:i/>
        </w:rPr>
        <w:t>1) Section 11 of the Act of 1957 is amended—</w:t>
      </w:r>
    </w:p>
    <w:p w14:paraId="47AEC571" w14:textId="0459DECC" w:rsidR="00F74DDF" w:rsidRDefault="00A62BB8" w:rsidP="00F74DDF">
      <w:pPr>
        <w:spacing w:after="160"/>
        <w:ind w:left="720"/>
        <w:contextualSpacing/>
        <w:jc w:val="both"/>
        <w:rPr>
          <w:i/>
        </w:rPr>
      </w:pPr>
      <w:r w:rsidRPr="00235CF3">
        <w:rPr>
          <w:i/>
        </w:rPr>
        <w:t>(a) in subsection (2), by the substitution of the following paragraph for paragraph (c):</w:t>
      </w:r>
    </w:p>
    <w:p w14:paraId="0BBCCB98" w14:textId="77777777" w:rsidR="00F74DDF" w:rsidRPr="00235CF3" w:rsidRDefault="00F74DDF" w:rsidP="00235CF3">
      <w:pPr>
        <w:spacing w:after="160"/>
        <w:ind w:left="720"/>
        <w:contextualSpacing/>
        <w:jc w:val="both"/>
        <w:rPr>
          <w:i/>
        </w:rPr>
      </w:pPr>
    </w:p>
    <w:p w14:paraId="7C60A063" w14:textId="06C4E0E0" w:rsidR="00A62BB8" w:rsidRPr="00235CF3" w:rsidRDefault="00A62BB8">
      <w:pPr>
        <w:spacing w:after="160"/>
        <w:ind w:left="720"/>
        <w:contextualSpacing/>
        <w:jc w:val="both"/>
        <w:rPr>
          <w:i/>
        </w:rPr>
      </w:pPr>
      <w:r w:rsidRPr="00235CF3">
        <w:rPr>
          <w:i/>
        </w:rPr>
        <w:t>(c) A defamation action within the meaning of the Defamation Act 2009 shall not be brought after the expiration of—</w:t>
      </w:r>
    </w:p>
    <w:p w14:paraId="71931C94" w14:textId="512BEABB" w:rsidR="00A62BB8" w:rsidRPr="00235CF3" w:rsidRDefault="00A62BB8" w:rsidP="00235CF3">
      <w:pPr>
        <w:spacing w:after="160"/>
        <w:ind w:left="720"/>
        <w:contextualSpacing/>
        <w:jc w:val="both"/>
        <w:rPr>
          <w:i/>
        </w:rPr>
      </w:pPr>
      <w:r w:rsidRPr="00235CF3">
        <w:rPr>
          <w:i/>
        </w:rPr>
        <w:t>(i) one year, or</w:t>
      </w:r>
    </w:p>
    <w:p w14:paraId="59D787CE" w14:textId="1CD8D8B5" w:rsidR="00A62BB8" w:rsidRPr="00235CF3" w:rsidRDefault="00A62BB8" w:rsidP="00235CF3">
      <w:pPr>
        <w:spacing w:after="160"/>
        <w:ind w:left="720"/>
        <w:contextualSpacing/>
        <w:jc w:val="both"/>
        <w:rPr>
          <w:i/>
        </w:rPr>
      </w:pPr>
      <w:r w:rsidRPr="00235CF3">
        <w:rPr>
          <w:i/>
        </w:rPr>
        <w:t>(ii) such longer period as the court may direct not exceeding 2 years,</w:t>
      </w:r>
    </w:p>
    <w:p w14:paraId="0DDBCFAF" w14:textId="1745A09B" w:rsidR="00A62BB8" w:rsidRDefault="00A62BB8" w:rsidP="00235CF3">
      <w:pPr>
        <w:spacing w:after="160"/>
        <w:ind w:left="720"/>
        <w:contextualSpacing/>
        <w:jc w:val="both"/>
        <w:rPr>
          <w:i/>
        </w:rPr>
      </w:pPr>
      <w:r w:rsidRPr="00235CF3">
        <w:rPr>
          <w:i/>
        </w:rPr>
        <w:t>from the date on which the cause of action accrued.”</w:t>
      </w:r>
    </w:p>
    <w:p w14:paraId="652F19C5" w14:textId="77777777" w:rsidR="00DB5245" w:rsidRPr="00235CF3" w:rsidRDefault="00DB5245" w:rsidP="00235CF3">
      <w:pPr>
        <w:spacing w:after="160"/>
        <w:ind w:left="720"/>
        <w:contextualSpacing/>
        <w:jc w:val="both"/>
        <w:rPr>
          <w:i/>
        </w:rPr>
      </w:pPr>
    </w:p>
    <w:p w14:paraId="635F5F70" w14:textId="5C01A4BB" w:rsidR="00A62BB8" w:rsidRPr="002F5FC9" w:rsidRDefault="00EA3EF1" w:rsidP="00235CF3">
      <w:pPr>
        <w:spacing w:after="160" w:line="480" w:lineRule="auto"/>
        <w:jc w:val="both"/>
      </w:pPr>
      <w:r w:rsidRPr="002F5FC9">
        <w:t>S</w:t>
      </w:r>
      <w:r w:rsidR="00DB5245">
        <w:t>.</w:t>
      </w:r>
      <w:r w:rsidRPr="002F5FC9">
        <w:t xml:space="preserve"> 38</w:t>
      </w:r>
      <w:r w:rsidR="00B2513A">
        <w:t xml:space="preserve"> </w:t>
      </w:r>
      <w:r w:rsidRPr="002F5FC9">
        <w:t xml:space="preserve">(b) of the 2009 Act clarifies the date of first </w:t>
      </w:r>
      <w:proofErr w:type="gramStart"/>
      <w:r w:rsidRPr="002F5FC9">
        <w:t>publication  on</w:t>
      </w:r>
      <w:proofErr w:type="gramEnd"/>
      <w:r w:rsidRPr="002F5FC9">
        <w:t xml:space="preserve"> the internet as follows:-</w:t>
      </w:r>
    </w:p>
    <w:p w14:paraId="2F620AC3" w14:textId="0BC105AD" w:rsidR="00A62BB8" w:rsidRPr="00235CF3" w:rsidRDefault="00235CF3" w:rsidP="00235CF3">
      <w:pPr>
        <w:spacing w:after="160"/>
        <w:ind w:left="720"/>
        <w:jc w:val="both"/>
        <w:rPr>
          <w:i/>
          <w:iCs/>
        </w:rPr>
      </w:pPr>
      <w:r w:rsidRPr="00235CF3">
        <w:rPr>
          <w:i/>
          <w:iCs/>
        </w:rPr>
        <w:t>“</w:t>
      </w:r>
      <w:r w:rsidR="00A62BB8" w:rsidRPr="00235CF3">
        <w:rPr>
          <w:i/>
          <w:iCs/>
        </w:rPr>
        <w:t>(3B) For the purposes of bringing a defamation action within the meaning of the Defamation Act 2009, the date of accrual of the cause of action shall be the date upon which the defamatory statement is first published and, where the statement is published through the medium of the internet, the date on which it is first capable of being viewed or listened to through that medium.</w:t>
      </w:r>
      <w:r>
        <w:rPr>
          <w:i/>
          <w:iCs/>
        </w:rPr>
        <w:t>”</w:t>
      </w:r>
    </w:p>
    <w:p w14:paraId="48661680" w14:textId="49F39DA8" w:rsidR="00EA3EF1" w:rsidRPr="00CC2057" w:rsidRDefault="00EA3EF1" w:rsidP="00B62959">
      <w:pPr>
        <w:numPr>
          <w:ilvl w:val="0"/>
          <w:numId w:val="8"/>
        </w:numPr>
        <w:spacing w:after="160" w:line="480" w:lineRule="auto"/>
        <w:contextualSpacing/>
        <w:jc w:val="both"/>
      </w:pPr>
      <w:r>
        <w:t>I</w:t>
      </w:r>
      <w:r w:rsidRPr="00CD72A5">
        <w:t xml:space="preserve">n </w:t>
      </w:r>
      <w:r w:rsidRPr="00CD72A5">
        <w:rPr>
          <w:i/>
        </w:rPr>
        <w:t>Hynes v. AIB</w:t>
      </w:r>
      <w:r w:rsidRPr="00CD72A5">
        <w:t xml:space="preserve"> [2019] IR 298, Binchy J. found that the </w:t>
      </w:r>
      <w:r w:rsidR="00526D39">
        <w:t xml:space="preserve">combined </w:t>
      </w:r>
      <w:r w:rsidRPr="00CD72A5">
        <w:t>effect of s</w:t>
      </w:r>
      <w:r w:rsidR="00F6045D">
        <w:t>s</w:t>
      </w:r>
      <w:r w:rsidRPr="00CD72A5">
        <w:t>. 11</w:t>
      </w:r>
      <w:r w:rsidR="00F6045D">
        <w:t xml:space="preserve"> </w:t>
      </w:r>
      <w:proofErr w:type="gramStart"/>
      <w:r w:rsidR="00F6045D">
        <w:t xml:space="preserve">and </w:t>
      </w:r>
      <w:r w:rsidRPr="00CD72A5">
        <w:t xml:space="preserve"> 38</w:t>
      </w:r>
      <w:proofErr w:type="gramEnd"/>
      <w:r w:rsidRPr="00CD72A5">
        <w:t xml:space="preserve"> of the 2009 Act is that the cause of action </w:t>
      </w:r>
      <w:r w:rsidR="00B26600">
        <w:t xml:space="preserve">in defamation </w:t>
      </w:r>
      <w:r w:rsidRPr="00CD72A5">
        <w:t xml:space="preserve">accrues on the date of first publication and that </w:t>
      </w:r>
      <w:r w:rsidR="00A43F90">
        <w:t xml:space="preserve">further publication </w:t>
      </w:r>
      <w:r w:rsidRPr="00CD72A5">
        <w:t xml:space="preserve">does </w:t>
      </w:r>
      <w:r w:rsidRPr="00CC2057">
        <w:t xml:space="preserve">not give rise to a separate cause of </w:t>
      </w:r>
      <w:r w:rsidRPr="00B62959">
        <w:t xml:space="preserve">action </w:t>
      </w:r>
      <w:r w:rsidR="004947F3" w:rsidRPr="00B62959">
        <w:t>unless</w:t>
      </w:r>
      <w:r w:rsidR="00A43F90" w:rsidRPr="00B62959">
        <w:t xml:space="preserve"> </w:t>
      </w:r>
      <w:r w:rsidRPr="00B62959">
        <w:t>the court</w:t>
      </w:r>
      <w:r w:rsidR="004947F3" w:rsidRPr="00B62959">
        <w:t xml:space="preserve"> gives leave for the issue of more than one action</w:t>
      </w:r>
      <w:r w:rsidRPr="00B62959">
        <w:t xml:space="preserve"> pursuant to s. 11</w:t>
      </w:r>
      <w:r w:rsidR="004B7A1A">
        <w:t xml:space="preserve"> </w:t>
      </w:r>
      <w:r w:rsidRPr="00B62959">
        <w:t>(2).</w:t>
      </w:r>
    </w:p>
    <w:p w14:paraId="240D28B4" w14:textId="7BC9B064" w:rsidR="00CC2057" w:rsidRPr="00CC2057" w:rsidRDefault="00A43F90" w:rsidP="00B62959">
      <w:pPr>
        <w:numPr>
          <w:ilvl w:val="0"/>
          <w:numId w:val="8"/>
        </w:numPr>
        <w:spacing w:after="160" w:line="480" w:lineRule="auto"/>
        <w:contextualSpacing/>
        <w:jc w:val="both"/>
      </w:pPr>
      <w:r>
        <w:t>In this case t</w:t>
      </w:r>
      <w:r w:rsidR="00EA3EF1" w:rsidRPr="00CC2057">
        <w:t xml:space="preserve">he defendant argues that there was only one relevant publication </w:t>
      </w:r>
      <w:proofErr w:type="gramStart"/>
      <w:r w:rsidR="00EA3EF1" w:rsidRPr="00CC2057">
        <w:t xml:space="preserve">of  </w:t>
      </w:r>
      <w:r w:rsidR="00AC5D5C">
        <w:t>the</w:t>
      </w:r>
      <w:proofErr w:type="gramEnd"/>
      <w:r w:rsidR="00AC5D5C">
        <w:t xml:space="preserve"> article, </w:t>
      </w:r>
      <w:r w:rsidR="00EA3EF1" w:rsidRPr="00CC2057">
        <w:t xml:space="preserve">namely </w:t>
      </w:r>
      <w:r>
        <w:t>on</w:t>
      </w:r>
      <w:r w:rsidR="00EA3EF1" w:rsidRPr="00CC2057">
        <w:t xml:space="preserve"> 21</w:t>
      </w:r>
      <w:r w:rsidR="00EA3EF1" w:rsidRPr="00CC2057">
        <w:rPr>
          <w:vertAlign w:val="superscript"/>
        </w:rPr>
        <w:t>st</w:t>
      </w:r>
      <w:r w:rsidR="00EA3EF1" w:rsidRPr="00CC2057">
        <w:t xml:space="preserve"> September, 2016</w:t>
      </w:r>
      <w:r w:rsidR="00B26600">
        <w:t xml:space="preserve"> and</w:t>
      </w:r>
      <w:r w:rsidR="00EA3EF1" w:rsidRPr="00CC2057">
        <w:t xml:space="preserve"> that it is the </w:t>
      </w:r>
      <w:r>
        <w:t>circumstances</w:t>
      </w:r>
      <w:r w:rsidR="00EA3EF1" w:rsidRPr="00CC2057">
        <w:t xml:space="preserve"> pertain</w:t>
      </w:r>
      <w:r>
        <w:t>ing</w:t>
      </w:r>
      <w:r w:rsidR="00EA3EF1" w:rsidRPr="00CC2057">
        <w:t xml:space="preserve"> on that date which must be considered in relation to the availability of a defence based upon fair and reasonable publication. </w:t>
      </w:r>
      <w:r>
        <w:t>T</w:t>
      </w:r>
      <w:r w:rsidR="00EA3EF1" w:rsidRPr="00CC2057">
        <w:t xml:space="preserve">he failure thereafter to withdraw the publication, or to attach a qualification or clarification, cannot create a separate cause of action and consequently cannot disentitle the defendant </w:t>
      </w:r>
      <w:r>
        <w:t>from</w:t>
      </w:r>
      <w:r w:rsidR="00EA3EF1" w:rsidRPr="00CC2057">
        <w:t xml:space="preserve"> rely</w:t>
      </w:r>
      <w:r>
        <w:t>ing</w:t>
      </w:r>
      <w:r w:rsidR="00EA3EF1" w:rsidRPr="00CC2057">
        <w:t xml:space="preserve"> on the s. 26 defence. </w:t>
      </w:r>
    </w:p>
    <w:p w14:paraId="382511D3" w14:textId="00CE93E3" w:rsidR="00CC2057" w:rsidRDefault="00EA3EF1" w:rsidP="00B62959">
      <w:pPr>
        <w:numPr>
          <w:ilvl w:val="0"/>
          <w:numId w:val="8"/>
        </w:numPr>
        <w:spacing w:after="160" w:line="480" w:lineRule="auto"/>
        <w:contextualSpacing/>
        <w:jc w:val="both"/>
      </w:pPr>
      <w:r w:rsidRPr="00CC2057">
        <w:t>The plaintiff argues that the defendant’s interpretation of the interplay between ss. 11, 38 and 26 is not correct</w:t>
      </w:r>
      <w:r w:rsidR="002C0657">
        <w:t>;</w:t>
      </w:r>
      <w:r w:rsidR="00B26600">
        <w:t xml:space="preserve"> </w:t>
      </w:r>
      <w:r w:rsidRPr="00CC2057">
        <w:t xml:space="preserve">that there is a continuing obligation </w:t>
      </w:r>
      <w:r w:rsidR="00F6045D">
        <w:t>by</w:t>
      </w:r>
      <w:r w:rsidRPr="00CC2057">
        <w:t xml:space="preserve"> the publisher to qualify an article due to a change in circumstances as and when new information comes to light, failing which the s. 26 defence will be unavailable</w:t>
      </w:r>
      <w:r w:rsidR="002C0657">
        <w:t>; that e</w:t>
      </w:r>
      <w:r w:rsidRPr="00CC2057">
        <w:t xml:space="preserve">ven </w:t>
      </w:r>
      <w:r w:rsidR="00B26600">
        <w:t xml:space="preserve">if </w:t>
      </w:r>
      <w:r w:rsidRPr="00CC2057">
        <w:t xml:space="preserve">a change </w:t>
      </w:r>
      <w:r w:rsidR="002C0657">
        <w:t>i</w:t>
      </w:r>
      <w:r w:rsidRPr="00CC2057">
        <w:t xml:space="preserve">n circumstances could not create a new cause of action, </w:t>
      </w:r>
      <w:r w:rsidR="00F6045D">
        <w:t>it</w:t>
      </w:r>
      <w:r w:rsidRPr="00CC2057">
        <w:t xml:space="preserve"> would be highly relevant </w:t>
      </w:r>
      <w:r w:rsidR="002C0657">
        <w:t xml:space="preserve">to </w:t>
      </w:r>
      <w:r w:rsidRPr="00CC2057">
        <w:t>an inquiry as to whether the defendant had behaved responsibly</w:t>
      </w:r>
      <w:r w:rsidR="00AC5D5C">
        <w:t xml:space="preserve"> in its original application</w:t>
      </w:r>
      <w:r w:rsidR="00F6045D">
        <w:t>;</w:t>
      </w:r>
      <w:r w:rsidRPr="00CC2057">
        <w:t xml:space="preserve"> that the factors relevant to the availability of the defence of fair and reasonable publication are not confined to the time and date of the original publication but continue thereafter</w:t>
      </w:r>
      <w:r w:rsidR="00AC5D5C">
        <w:t>. The plaintiff also emphasises</w:t>
      </w:r>
      <w:r w:rsidRPr="00CC2057">
        <w:t xml:space="preserve"> that he seek</w:t>
      </w:r>
      <w:r w:rsidR="00603E48">
        <w:t xml:space="preserve">s not </w:t>
      </w:r>
      <w:r w:rsidRPr="00CC2057">
        <w:t>only damages for defamation</w:t>
      </w:r>
      <w:r w:rsidR="00835CD5">
        <w:t>,</w:t>
      </w:r>
      <w:r w:rsidRPr="00CC2057">
        <w:t xml:space="preserve"> b</w:t>
      </w:r>
      <w:r w:rsidR="00835CD5">
        <w:t>ut</w:t>
      </w:r>
      <w:r w:rsidRPr="00CC2057">
        <w:t xml:space="preserve"> also an injunction to prevent ongoing and future publication of the internet article</w:t>
      </w:r>
      <w:r w:rsidR="00603E48">
        <w:t xml:space="preserve">; </w:t>
      </w:r>
      <w:r w:rsidR="00603E48">
        <w:lastRenderedPageBreak/>
        <w:t>and that t</w:t>
      </w:r>
      <w:r w:rsidR="002C0657">
        <w:t>he plaintiff’s</w:t>
      </w:r>
      <w:r>
        <w:t xml:space="preserve"> right to injunct the </w:t>
      </w:r>
      <w:r w:rsidR="00603E48">
        <w:t>continuing</w:t>
      </w:r>
      <w:r>
        <w:t xml:space="preserve"> and future publication of defamatory material cannot be </w:t>
      </w:r>
      <w:r w:rsidR="00085DA0">
        <w:t xml:space="preserve">withdrawn </w:t>
      </w:r>
      <w:r>
        <w:t xml:space="preserve">by the single publication rule. </w:t>
      </w:r>
    </w:p>
    <w:p w14:paraId="6C1B278B" w14:textId="65CF3B56" w:rsidR="00CC2057" w:rsidRPr="002D173E" w:rsidRDefault="002C0657" w:rsidP="00B62959">
      <w:pPr>
        <w:numPr>
          <w:ilvl w:val="0"/>
          <w:numId w:val="8"/>
        </w:numPr>
        <w:spacing w:after="160" w:line="480" w:lineRule="auto"/>
        <w:contextualSpacing/>
        <w:jc w:val="both"/>
      </w:pPr>
      <w:r>
        <w:t>T</w:t>
      </w:r>
      <w:r w:rsidR="001A141C" w:rsidRPr="00CD72A5">
        <w:t xml:space="preserve">he impact of the single publication rule on the </w:t>
      </w:r>
      <w:r w:rsidR="001A141C" w:rsidRPr="00CC2057">
        <w:rPr>
          <w:i/>
        </w:rPr>
        <w:t xml:space="preserve">Loutchansky </w:t>
      </w:r>
      <w:r w:rsidR="001A141C" w:rsidRPr="00CD72A5">
        <w:t xml:space="preserve">line of authority is </w:t>
      </w:r>
      <w:r>
        <w:t xml:space="preserve">unchartered </w:t>
      </w:r>
      <w:r w:rsidR="001A141C" w:rsidRPr="00CD72A5">
        <w:t xml:space="preserve">legal </w:t>
      </w:r>
      <w:r>
        <w:t>territory even in the United Kingdom</w:t>
      </w:r>
      <w:r w:rsidR="001A141C" w:rsidRPr="00CD72A5">
        <w:t>.</w:t>
      </w:r>
      <w:r w:rsidR="00AC5D5C">
        <w:t xml:space="preserve"> Indeed,</w:t>
      </w:r>
      <w:r w:rsidR="001A141C" w:rsidRPr="00CD72A5">
        <w:t xml:space="preserve"> </w:t>
      </w:r>
      <w:r w:rsidR="00AC5D5C">
        <w:t>t</w:t>
      </w:r>
      <w:r w:rsidR="001E776E">
        <w:t xml:space="preserve">he court was referred to </w:t>
      </w:r>
      <w:r w:rsidR="000C66A5" w:rsidRPr="00CD72A5">
        <w:t xml:space="preserve">following passage from the seminal work, </w:t>
      </w:r>
      <w:r w:rsidR="000C66A5" w:rsidRPr="00CC2057">
        <w:rPr>
          <w:i/>
        </w:rPr>
        <w:t>Gatley on Liable and Slander</w:t>
      </w:r>
      <w:r w:rsidR="000C66A5" w:rsidRPr="00CD72A5">
        <w:t xml:space="preserve"> (12</w:t>
      </w:r>
      <w:r w:rsidR="000C66A5" w:rsidRPr="00CC2057">
        <w:rPr>
          <w:vertAlign w:val="superscript"/>
        </w:rPr>
        <w:t>th</w:t>
      </w:r>
      <w:r w:rsidR="000C66A5" w:rsidRPr="00CD72A5">
        <w:t xml:space="preserve"> Ed.) which </w:t>
      </w:r>
      <w:proofErr w:type="gramStart"/>
      <w:r w:rsidR="000C66A5" w:rsidRPr="00CD72A5">
        <w:t>states:-</w:t>
      </w:r>
      <w:proofErr w:type="gramEnd"/>
      <w:r w:rsidR="000C66A5" w:rsidRPr="00CD72A5">
        <w:t xml:space="preserve"> </w:t>
      </w:r>
      <w:r w:rsidR="00B06375">
        <w:t xml:space="preserve"> </w:t>
      </w:r>
    </w:p>
    <w:p w14:paraId="562DAF31" w14:textId="3A318A90" w:rsidR="003476BE" w:rsidRPr="003476BE" w:rsidRDefault="003476BE" w:rsidP="00235CF3">
      <w:pPr>
        <w:spacing w:after="160"/>
        <w:ind w:left="720"/>
        <w:contextualSpacing/>
        <w:jc w:val="both"/>
        <w:rPr>
          <w:i/>
          <w:iCs/>
        </w:rPr>
      </w:pPr>
      <w:r w:rsidRPr="003476BE">
        <w:rPr>
          <w:i/>
          <w:iCs/>
        </w:rPr>
        <w:t>“</w:t>
      </w:r>
      <w:r w:rsidRPr="00A20247">
        <w:rPr>
          <w:b/>
          <w:bCs/>
          <w:i/>
          <w:iCs/>
        </w:rPr>
        <w:t>Application of the responsible journalism test: post-publication behaviour</w:t>
      </w:r>
      <w:r w:rsidR="00A20247" w:rsidRPr="00A20247">
        <w:rPr>
          <w:b/>
          <w:bCs/>
          <w:i/>
          <w:iCs/>
        </w:rPr>
        <w:t>:</w:t>
      </w:r>
      <w:r w:rsidRPr="00A20247">
        <w:rPr>
          <w:b/>
          <w:bCs/>
          <w:i/>
          <w:iCs/>
        </w:rPr>
        <w:t xml:space="preserve"> </w:t>
      </w:r>
      <w:r w:rsidRPr="003476BE">
        <w:rPr>
          <w:i/>
          <w:iCs/>
        </w:rPr>
        <w:t>When it was first mooted by Lord Lester, the proposal became s.4 of the Defamation Act 2013 included an additional element compared with the provision that reached the statute book. This was the requirement that, if a publisher was to avail itself of the defence, it would</w:t>
      </w:r>
      <w:r w:rsidR="00210BD2">
        <w:rPr>
          <w:i/>
          <w:iCs/>
        </w:rPr>
        <w:t xml:space="preserve"> have</w:t>
      </w:r>
      <w:r w:rsidRPr="003476BE">
        <w:rPr>
          <w:i/>
          <w:iCs/>
        </w:rPr>
        <w:t xml:space="preserve"> to be able to demonstrate that it had not unreasonably refused or applied conditions to the publication of a correction of the statement complained of. That proposal was withdrawn without reference by the Government before the Committee Stage in the House of Lords, and there is no such requirement in the Act. </w:t>
      </w:r>
    </w:p>
    <w:p w14:paraId="2E4DB925" w14:textId="77777777" w:rsidR="0014647A" w:rsidRDefault="003476BE" w:rsidP="00235CF3">
      <w:pPr>
        <w:spacing w:after="160"/>
        <w:ind w:left="720"/>
        <w:contextualSpacing/>
        <w:jc w:val="both"/>
      </w:pPr>
      <w:r w:rsidRPr="003476BE">
        <w:rPr>
          <w:i/>
          <w:iCs/>
        </w:rPr>
        <w:t xml:space="preserve">A similar issue can arise, however, with regard to the availability of previously published material in archives, primarily on the internet but also to some extent in physical form. Where there is </w:t>
      </w:r>
      <w:proofErr w:type="gramStart"/>
      <w:r w:rsidRPr="003476BE">
        <w:rPr>
          <w:i/>
          <w:iCs/>
        </w:rPr>
        <w:t>litigation</w:t>
      </w:r>
      <w:proofErr w:type="gramEnd"/>
      <w:r w:rsidRPr="003476BE">
        <w:rPr>
          <w:i/>
          <w:iCs/>
        </w:rPr>
        <w:t xml:space="preserve"> it is common to attach a qualification to internet material which may have the effect of removing the sting from the material, but it will not necessarily do so. The issue arose in the </w:t>
      </w:r>
      <w:r w:rsidRPr="00B06375">
        <w:rPr>
          <w:b/>
          <w:i/>
          <w:iCs/>
        </w:rPr>
        <w:t xml:space="preserve">Reynolds </w:t>
      </w:r>
      <w:r w:rsidRPr="003476BE">
        <w:rPr>
          <w:i/>
          <w:iCs/>
        </w:rPr>
        <w:t xml:space="preserve">privilege context in </w:t>
      </w:r>
      <w:r w:rsidRPr="00B06375">
        <w:rPr>
          <w:b/>
          <w:i/>
          <w:iCs/>
        </w:rPr>
        <w:t>Flood v Times Newspapers Ltd</w:t>
      </w:r>
      <w:r w:rsidRPr="003476BE">
        <w:rPr>
          <w:i/>
          <w:iCs/>
        </w:rPr>
        <w:t>.  Internet publication was continuing at the time of the hearing. It was significant that, although the claimant had been cleared by the police investigation some two to three years earlier, in 2009 the website version still had a note stating that “this article is subject to legal complaint”. Tugendhat J. held that the qualified website article was not protected by privilege from the time of the release if the report of the police investigation.  The qualification failed to make clear who had made the complaint, the status of the information relied on in relation to the paper publication had changed for the worse, or that the article could no longer be regarded as a fair representation of the claimant’s position. This finding was upheld in large measure by the Court of Appeal.</w:t>
      </w:r>
      <w:r w:rsidRPr="003476BE">
        <w:t xml:space="preserve"> </w:t>
      </w:r>
    </w:p>
    <w:p w14:paraId="1CDC11BD" w14:textId="693EEE6D" w:rsidR="002D173E" w:rsidRDefault="003476BE" w:rsidP="00235CF3">
      <w:pPr>
        <w:spacing w:after="160"/>
        <w:ind w:left="720"/>
        <w:contextualSpacing/>
        <w:jc w:val="both"/>
        <w:rPr>
          <w:i/>
          <w:iCs/>
        </w:rPr>
      </w:pPr>
      <w:r w:rsidRPr="003476BE">
        <w:rPr>
          <w:i/>
          <w:iCs/>
        </w:rPr>
        <w:t xml:space="preserve">It is a moot point how this scenario might be affected by the advent of the “single publication rule” for internet (and other) publication in s.8 of the Defamation Act 2013.  Should a change in circumstances arise outside the effective </w:t>
      </w:r>
      <w:proofErr w:type="gramStart"/>
      <w:r w:rsidRPr="003476BE">
        <w:rPr>
          <w:i/>
          <w:iCs/>
        </w:rPr>
        <w:t>one year</w:t>
      </w:r>
      <w:proofErr w:type="gramEnd"/>
      <w:r w:rsidRPr="003476BE">
        <w:rPr>
          <w:i/>
          <w:iCs/>
        </w:rPr>
        <w:t xml:space="preserve"> limitation period, it must be assumed that no claim would lie and no correction need be made.</w:t>
      </w:r>
      <w:r>
        <w:rPr>
          <w:i/>
          <w:iCs/>
        </w:rPr>
        <w:t>”</w:t>
      </w:r>
      <w:r w:rsidRPr="003476BE">
        <w:rPr>
          <w:i/>
          <w:iCs/>
        </w:rPr>
        <w:t xml:space="preserve"> </w:t>
      </w:r>
    </w:p>
    <w:p w14:paraId="2195139D" w14:textId="77777777" w:rsidR="00235CF3" w:rsidRPr="003476BE" w:rsidRDefault="00235CF3" w:rsidP="00235CF3">
      <w:pPr>
        <w:spacing w:after="160"/>
        <w:ind w:left="720"/>
        <w:contextualSpacing/>
        <w:jc w:val="both"/>
        <w:rPr>
          <w:i/>
          <w:iCs/>
        </w:rPr>
      </w:pPr>
    </w:p>
    <w:p w14:paraId="0615B4DA" w14:textId="5A24373F" w:rsidR="009F72B2" w:rsidRDefault="001E776E" w:rsidP="00B62959">
      <w:pPr>
        <w:pStyle w:val="ListParagraph"/>
        <w:numPr>
          <w:ilvl w:val="0"/>
          <w:numId w:val="8"/>
        </w:numPr>
        <w:spacing w:after="160" w:line="480" w:lineRule="auto"/>
        <w:contextualSpacing/>
        <w:jc w:val="both"/>
      </w:pPr>
      <w:r>
        <w:t xml:space="preserve">This passage is </w:t>
      </w:r>
      <w:r w:rsidR="007030C6">
        <w:t>of significance</w:t>
      </w:r>
      <w:r>
        <w:t xml:space="preserve"> to </w:t>
      </w:r>
      <w:r w:rsidR="009F72B2">
        <w:t xml:space="preserve">the </w:t>
      </w:r>
      <w:r w:rsidR="008A4A6F">
        <w:t>plaintiff’s</w:t>
      </w:r>
      <w:r>
        <w:t xml:space="preserve"> </w:t>
      </w:r>
      <w:r w:rsidR="008B774B">
        <w:t>application</w:t>
      </w:r>
      <w:r>
        <w:t xml:space="preserve"> </w:t>
      </w:r>
      <w:r w:rsidR="008B774B">
        <w:t>for</w:t>
      </w:r>
      <w:r>
        <w:t xml:space="preserve"> t</w:t>
      </w:r>
      <w:r w:rsidR="008B774B">
        <w:t>wo</w:t>
      </w:r>
      <w:r>
        <w:t xml:space="preserve"> reasons. </w:t>
      </w:r>
      <w:r w:rsidR="009F72B2">
        <w:t xml:space="preserve">First, the author </w:t>
      </w:r>
      <w:r w:rsidR="008B774B">
        <w:t xml:space="preserve">acknowledges that </w:t>
      </w:r>
      <w:r w:rsidR="009F72B2">
        <w:t>t</w:t>
      </w:r>
      <w:r w:rsidR="008B774B">
        <w:t xml:space="preserve">here is legal uncertainly </w:t>
      </w:r>
      <w:r w:rsidR="0027525F">
        <w:t>as to</w:t>
      </w:r>
      <w:r w:rsidR="008B774B">
        <w:t xml:space="preserve"> the </w:t>
      </w:r>
      <w:proofErr w:type="gramStart"/>
      <w:r w:rsidR="00D45819">
        <w:t>e</w:t>
      </w:r>
      <w:r w:rsidR="008B774B">
        <w:t xml:space="preserve">ffect  </w:t>
      </w:r>
      <w:r w:rsidR="00F22CD4">
        <w:t>of</w:t>
      </w:r>
      <w:proofErr w:type="gramEnd"/>
      <w:r w:rsidR="00F22CD4">
        <w:t xml:space="preserve"> </w:t>
      </w:r>
      <w:r w:rsidR="008B774B">
        <w:t xml:space="preserve">the single publication rule on the </w:t>
      </w:r>
      <w:r w:rsidR="009F72B2">
        <w:t xml:space="preserve">significance </w:t>
      </w:r>
      <w:r w:rsidR="008B774B">
        <w:t xml:space="preserve">of post </w:t>
      </w:r>
      <w:r w:rsidR="009F72B2">
        <w:t>publication</w:t>
      </w:r>
      <w:r w:rsidR="008B774B">
        <w:t xml:space="preserve"> </w:t>
      </w:r>
      <w:r w:rsidR="009F72B2">
        <w:t>behaviour</w:t>
      </w:r>
      <w:r w:rsidR="008B774B">
        <w:t xml:space="preserve"> </w:t>
      </w:r>
      <w:r w:rsidR="009F72B2">
        <w:t xml:space="preserve">in the </w:t>
      </w:r>
      <w:r w:rsidR="009F72B2">
        <w:lastRenderedPageBreak/>
        <w:t>assessment of</w:t>
      </w:r>
      <w:r w:rsidR="008B774B">
        <w:t xml:space="preserve"> the </w:t>
      </w:r>
      <w:r w:rsidR="009F72B2">
        <w:t>defence</w:t>
      </w:r>
      <w:r w:rsidR="008B774B">
        <w:t xml:space="preserve"> of </w:t>
      </w:r>
      <w:r w:rsidR="009F72B2" w:rsidRPr="00B62959">
        <w:rPr>
          <w:i/>
          <w:iCs/>
        </w:rPr>
        <w:t>“</w:t>
      </w:r>
      <w:r w:rsidR="008B774B" w:rsidRPr="0027525F">
        <w:rPr>
          <w:i/>
          <w:iCs/>
        </w:rPr>
        <w:t>responsible journalism</w:t>
      </w:r>
      <w:r w:rsidR="009F72B2" w:rsidRPr="0027525F">
        <w:rPr>
          <w:i/>
          <w:iCs/>
        </w:rPr>
        <w:t>”</w:t>
      </w:r>
      <w:r w:rsidR="008B774B" w:rsidRPr="0027525F">
        <w:rPr>
          <w:i/>
          <w:iCs/>
        </w:rPr>
        <w:t>.</w:t>
      </w:r>
      <w:r w:rsidR="008B774B">
        <w:t xml:space="preserve"> </w:t>
      </w:r>
      <w:r w:rsidR="008B774B" w:rsidRPr="00CD72A5">
        <w:t>It is beyond doubt that the court ought not grant an application to dismiss a potential defence where its availability</w:t>
      </w:r>
      <w:r w:rsidR="00F22CD4">
        <w:t>,</w:t>
      </w:r>
      <w:r w:rsidR="008B774B" w:rsidRPr="00CD72A5">
        <w:t xml:space="preserve"> or otherwise</w:t>
      </w:r>
      <w:r w:rsidR="00F22CD4">
        <w:t>,</w:t>
      </w:r>
      <w:r w:rsidR="008B774B" w:rsidRPr="00CD72A5">
        <w:t xml:space="preserve"> involves highly complex issues of law</w:t>
      </w:r>
      <w:r w:rsidR="00F22CD4">
        <w:t>, s</w:t>
      </w:r>
      <w:r w:rsidR="008B774B" w:rsidRPr="00CD72A5">
        <w:t xml:space="preserve">uch </w:t>
      </w:r>
      <w:r w:rsidR="00F22CD4">
        <w:t>as in this</w:t>
      </w:r>
      <w:r w:rsidR="008B774B" w:rsidRPr="00CD72A5">
        <w:t xml:space="preserve"> case</w:t>
      </w:r>
      <w:r w:rsidR="00F22CD4">
        <w:t>.</w:t>
      </w:r>
    </w:p>
    <w:p w14:paraId="6FE3333F" w14:textId="2E8F3CBE" w:rsidR="00CC2057" w:rsidRDefault="008B774B" w:rsidP="00B62959">
      <w:pPr>
        <w:pStyle w:val="ListParagraph"/>
        <w:numPr>
          <w:ilvl w:val="0"/>
          <w:numId w:val="8"/>
        </w:numPr>
        <w:spacing w:line="480" w:lineRule="auto"/>
        <w:contextualSpacing/>
        <w:jc w:val="both"/>
      </w:pPr>
      <w:r>
        <w:t>Second</w:t>
      </w:r>
      <w:r w:rsidR="007030C6">
        <w:t>ly</w:t>
      </w:r>
      <w:r>
        <w:t xml:space="preserve">, </w:t>
      </w:r>
      <w:r w:rsidR="009F72B2" w:rsidRPr="009F72B2">
        <w:t>the</w:t>
      </w:r>
      <w:r w:rsidR="001E776E" w:rsidRPr="009F72B2">
        <w:t xml:space="preserve"> </w:t>
      </w:r>
      <w:r w:rsidR="009F72B2" w:rsidRPr="009F72B2">
        <w:t>plaintiff</w:t>
      </w:r>
      <w:r w:rsidR="001E776E" w:rsidRPr="009F72B2">
        <w:t xml:space="preserve"> </w:t>
      </w:r>
      <w:r w:rsidR="00B06375">
        <w:t xml:space="preserve">in the present case </w:t>
      </w:r>
      <w:r w:rsidR="009F72B2" w:rsidRPr="009F72B2">
        <w:t>placed</w:t>
      </w:r>
      <w:r w:rsidR="001E776E" w:rsidRPr="009F72B2">
        <w:t xml:space="preserve"> heavy reliance on </w:t>
      </w:r>
      <w:r w:rsidR="00835CD5" w:rsidRPr="0027525F">
        <w:rPr>
          <w:i/>
          <w:iCs/>
        </w:rPr>
        <w:t>Flood v Times Newspapers Ltd</w:t>
      </w:r>
      <w:r w:rsidR="00835CD5" w:rsidRPr="0027525F" w:rsidDel="00835CD5">
        <w:rPr>
          <w:i/>
          <w:iCs/>
        </w:rPr>
        <w:t xml:space="preserve"> </w:t>
      </w:r>
      <w:r w:rsidR="00417F07">
        <w:t xml:space="preserve">[2011] 1 W.L.R. 153 </w:t>
      </w:r>
      <w:r w:rsidR="009F72B2" w:rsidRPr="009F72B2">
        <w:t xml:space="preserve">in which the Court of Appeal </w:t>
      </w:r>
      <w:r w:rsidR="00B06375">
        <w:t>stressed</w:t>
      </w:r>
      <w:r w:rsidR="009F72B2" w:rsidRPr="009F72B2">
        <w:t xml:space="preserve"> the importance, when circumstances </w:t>
      </w:r>
      <w:r w:rsidR="009F72B2">
        <w:t>changed,</w:t>
      </w:r>
      <w:r w:rsidR="009F72B2" w:rsidRPr="009F72B2">
        <w:t xml:space="preserve"> of</w:t>
      </w:r>
      <w:r w:rsidR="009F72B2" w:rsidRPr="0027525F">
        <w:rPr>
          <w:i/>
          <w:iCs/>
        </w:rPr>
        <w:t xml:space="preserve"> </w:t>
      </w:r>
      <w:r w:rsidR="00F22CD4" w:rsidRPr="00B62959">
        <w:t xml:space="preserve">an appropriate </w:t>
      </w:r>
      <w:r w:rsidR="009F72B2" w:rsidRPr="0027525F">
        <w:rPr>
          <w:i/>
          <w:iCs/>
        </w:rPr>
        <w:t>“speedy withdrawal or modificatio</w:t>
      </w:r>
      <w:r w:rsidR="009F72B2" w:rsidRPr="00A16ADD">
        <w:rPr>
          <w:i/>
          <w:iCs/>
        </w:rPr>
        <w:t>n</w:t>
      </w:r>
      <w:r w:rsidR="00835CD5" w:rsidRPr="00B62959">
        <w:rPr>
          <w:i/>
          <w:iCs/>
        </w:rPr>
        <w:t>”</w:t>
      </w:r>
      <w:r w:rsidR="009F72B2" w:rsidRPr="009F72B2">
        <w:t xml:space="preserve"> of a publication </w:t>
      </w:r>
      <w:r w:rsidR="009F72B2">
        <w:t xml:space="preserve">in order </w:t>
      </w:r>
      <w:r w:rsidR="00F22CD4">
        <w:t>that</w:t>
      </w:r>
      <w:r w:rsidR="009F72B2">
        <w:t xml:space="preserve"> the </w:t>
      </w:r>
      <w:r w:rsidR="009F72B2" w:rsidRPr="009F72B2">
        <w:t xml:space="preserve">defence of responsible journalism </w:t>
      </w:r>
      <w:r w:rsidR="00F22CD4">
        <w:t xml:space="preserve">be </w:t>
      </w:r>
      <w:r w:rsidR="009F72B2" w:rsidRPr="009F72B2">
        <w:t>not forfeited.</w:t>
      </w:r>
      <w:r w:rsidR="00C24CD9">
        <w:t xml:space="preserve"> This is helpful to the plaintiff insofar as it goes. However, th</w:t>
      </w:r>
      <w:r w:rsidR="00284147">
        <w:t>e</w:t>
      </w:r>
      <w:r w:rsidR="00C24CD9">
        <w:t xml:space="preserve"> plaintiff is not assisted by </w:t>
      </w:r>
      <w:r w:rsidR="00495769" w:rsidRPr="00495769">
        <w:rPr>
          <w:i/>
        </w:rPr>
        <w:t>Gatley’s</w:t>
      </w:r>
      <w:r w:rsidR="00284147" w:rsidRPr="00495769">
        <w:rPr>
          <w:i/>
        </w:rPr>
        <w:t xml:space="preserve"> </w:t>
      </w:r>
      <w:r w:rsidR="00C24CD9">
        <w:t xml:space="preserve">assumption that, with the advent of the single </w:t>
      </w:r>
      <w:r w:rsidR="00284147">
        <w:t>publication</w:t>
      </w:r>
      <w:r w:rsidR="00C24CD9">
        <w:t xml:space="preserve"> rule</w:t>
      </w:r>
      <w:r w:rsidR="001E776E">
        <w:t xml:space="preserve">, in a case such as </w:t>
      </w:r>
      <w:r w:rsidR="001E776E" w:rsidRPr="0027525F">
        <w:rPr>
          <w:i/>
          <w:iCs/>
        </w:rPr>
        <w:t>Flood</w:t>
      </w:r>
      <w:r w:rsidR="001E776E">
        <w:t xml:space="preserve">, </w:t>
      </w:r>
      <w:r w:rsidR="00C24CD9">
        <w:t>no</w:t>
      </w:r>
      <w:r w:rsidR="0002265B">
        <w:t xml:space="preserve"> </w:t>
      </w:r>
      <w:r w:rsidR="001E776E">
        <w:t xml:space="preserve">correction </w:t>
      </w:r>
      <w:r w:rsidR="00C24CD9">
        <w:t xml:space="preserve">needs to be made </w:t>
      </w:r>
      <w:r w:rsidR="0002265B">
        <w:t>outside th</w:t>
      </w:r>
      <w:r w:rsidR="002C0657">
        <w:t xml:space="preserve">e initial </w:t>
      </w:r>
      <w:proofErr w:type="gramStart"/>
      <w:r w:rsidR="002C0657">
        <w:t>one year</w:t>
      </w:r>
      <w:proofErr w:type="gramEnd"/>
      <w:r w:rsidR="0002265B">
        <w:t xml:space="preserve"> period</w:t>
      </w:r>
      <w:r w:rsidR="00C24CD9">
        <w:t xml:space="preserve">. </w:t>
      </w:r>
      <w:r w:rsidR="00B06375">
        <w:t>In argument, t</w:t>
      </w:r>
      <w:r w:rsidR="0002265B">
        <w:t xml:space="preserve">he plaintiff accepted that such an analysis might </w:t>
      </w:r>
      <w:r w:rsidR="002C0657">
        <w:t xml:space="preserve">equally </w:t>
      </w:r>
      <w:r w:rsidR="0002265B">
        <w:t xml:space="preserve">apply to </w:t>
      </w:r>
      <w:r w:rsidR="006F7D88" w:rsidRPr="00CD72A5">
        <w:t xml:space="preserve">the </w:t>
      </w:r>
      <w:r w:rsidR="00CC45B2">
        <w:t xml:space="preserve">legislative </w:t>
      </w:r>
      <w:r w:rsidR="006F7D88" w:rsidRPr="00CD72A5">
        <w:t>scheme in s</w:t>
      </w:r>
      <w:r w:rsidR="0002265B">
        <w:t>s</w:t>
      </w:r>
      <w:r w:rsidR="006F7D88" w:rsidRPr="00CD72A5">
        <w:t>. 11</w:t>
      </w:r>
      <w:r w:rsidR="00CC45B2">
        <w:t>,</w:t>
      </w:r>
      <w:r w:rsidR="006F7D88" w:rsidRPr="00CD72A5">
        <w:t xml:space="preserve"> 38 </w:t>
      </w:r>
      <w:r w:rsidR="0002265B">
        <w:t xml:space="preserve">and 26 </w:t>
      </w:r>
      <w:r w:rsidR="006F7D88" w:rsidRPr="00CD72A5">
        <w:t xml:space="preserve">of the 2009 Act. </w:t>
      </w:r>
    </w:p>
    <w:p w14:paraId="4F2AB1F7" w14:textId="7DFD2FAB" w:rsidR="00CC2057" w:rsidRDefault="00C24CD9" w:rsidP="00B62959">
      <w:pPr>
        <w:numPr>
          <w:ilvl w:val="0"/>
          <w:numId w:val="8"/>
        </w:numPr>
        <w:spacing w:line="480" w:lineRule="auto"/>
        <w:contextualSpacing/>
        <w:jc w:val="both"/>
      </w:pPr>
      <w:r>
        <w:t>In the light of this difficulty</w:t>
      </w:r>
      <w:r w:rsidR="00CC45B2">
        <w:t xml:space="preserve"> and</w:t>
      </w:r>
      <w:r>
        <w:t xml:space="preserve"> a</w:t>
      </w:r>
      <w:r w:rsidR="000A4CCB">
        <w:t xml:space="preserve">s a fall back, </w:t>
      </w:r>
      <w:r w:rsidR="00BF2D29" w:rsidRPr="00CD72A5">
        <w:t xml:space="preserve">the plaintiff further argues that, </w:t>
      </w:r>
      <w:r w:rsidR="000C66A5">
        <w:t xml:space="preserve">even accepting </w:t>
      </w:r>
      <w:r w:rsidR="00B06375">
        <w:t xml:space="preserve">the correctness of </w:t>
      </w:r>
      <w:r w:rsidR="000C66A5" w:rsidRPr="00495769">
        <w:rPr>
          <w:i/>
        </w:rPr>
        <w:t>Gatl</w:t>
      </w:r>
      <w:r w:rsidR="001032F5" w:rsidRPr="00495769">
        <w:rPr>
          <w:i/>
        </w:rPr>
        <w:t>e</w:t>
      </w:r>
      <w:r w:rsidR="000C66A5" w:rsidRPr="00495769">
        <w:rPr>
          <w:i/>
        </w:rPr>
        <w:t xml:space="preserve">y’s </w:t>
      </w:r>
      <w:r w:rsidR="001032F5">
        <w:t>analysis of</w:t>
      </w:r>
      <w:r w:rsidR="000C66A5">
        <w:t xml:space="preserve"> the </w:t>
      </w:r>
      <w:r w:rsidR="000C66A5" w:rsidRPr="004B7A1A">
        <w:t>moot point</w:t>
      </w:r>
      <w:r w:rsidR="0043416F" w:rsidRPr="004B7A1A">
        <w:t xml:space="preserve"> </w:t>
      </w:r>
      <w:r w:rsidR="000C66A5" w:rsidRPr="004B7A1A">
        <w:t xml:space="preserve">raised by </w:t>
      </w:r>
      <w:r w:rsidR="00CC45B2" w:rsidRPr="004B7A1A">
        <w:t xml:space="preserve">the </w:t>
      </w:r>
      <w:r w:rsidR="002C0657" w:rsidRPr="004B7A1A">
        <w:t xml:space="preserve">interaction of </w:t>
      </w:r>
      <w:r w:rsidR="000C66A5" w:rsidRPr="004B7A1A">
        <w:t xml:space="preserve">the single </w:t>
      </w:r>
      <w:r w:rsidR="001032F5" w:rsidRPr="004B7A1A">
        <w:t>publication</w:t>
      </w:r>
      <w:r w:rsidR="000C66A5" w:rsidRPr="004B7A1A">
        <w:t xml:space="preserve"> rule</w:t>
      </w:r>
      <w:r w:rsidR="002C0657" w:rsidRPr="004B7A1A">
        <w:t xml:space="preserve"> and </w:t>
      </w:r>
      <w:r w:rsidR="002C0657" w:rsidRPr="00B62959">
        <w:rPr>
          <w:i/>
          <w:iCs/>
        </w:rPr>
        <w:t>Loutchansky</w:t>
      </w:r>
      <w:r w:rsidR="000C66A5" w:rsidRPr="00B62959">
        <w:rPr>
          <w:i/>
          <w:iCs/>
        </w:rPr>
        <w:t>,</w:t>
      </w:r>
      <w:r w:rsidR="000C66A5">
        <w:t xml:space="preserve"> </w:t>
      </w:r>
      <w:r w:rsidR="002C0657">
        <w:t>the defendant</w:t>
      </w:r>
      <w:r>
        <w:t xml:space="preserve"> ought </w:t>
      </w:r>
      <w:r w:rsidR="00B06375">
        <w:t xml:space="preserve">in any event </w:t>
      </w:r>
      <w:r>
        <w:t xml:space="preserve">to have </w:t>
      </w:r>
      <w:r w:rsidR="00BF2D29" w:rsidRPr="00CD72A5">
        <w:t>attach</w:t>
      </w:r>
      <w:r>
        <w:t>ed</w:t>
      </w:r>
      <w:r w:rsidR="00BF2D29" w:rsidRPr="00CD72A5">
        <w:t xml:space="preserve"> a </w:t>
      </w:r>
      <w:r w:rsidR="00BF2D29" w:rsidRPr="00CC2057">
        <w:rPr>
          <w:i/>
        </w:rPr>
        <w:t>Loutchansky</w:t>
      </w:r>
      <w:r w:rsidR="00BF2D29" w:rsidRPr="00CD72A5">
        <w:t xml:space="preserve"> notice</w:t>
      </w:r>
      <w:r w:rsidR="002C0657">
        <w:t xml:space="preserve"> </w:t>
      </w:r>
      <w:r>
        <w:t xml:space="preserve">to the </w:t>
      </w:r>
      <w:r w:rsidR="00284147">
        <w:t>publication</w:t>
      </w:r>
      <w:r>
        <w:t xml:space="preserve"> </w:t>
      </w:r>
      <w:r w:rsidR="00BF2D29" w:rsidRPr="00CD72A5">
        <w:t>during th</w:t>
      </w:r>
      <w:r w:rsidR="00B06375">
        <w:t>is</w:t>
      </w:r>
      <w:r w:rsidR="00BF2D29" w:rsidRPr="00CD72A5">
        <w:t xml:space="preserve"> initial one-year period</w:t>
      </w:r>
      <w:r w:rsidR="00CC45B2">
        <w:t>;</w:t>
      </w:r>
      <w:r w:rsidR="00BF2D29" w:rsidRPr="00CD72A5">
        <w:t xml:space="preserve"> </w:t>
      </w:r>
      <w:r>
        <w:t xml:space="preserve">and that its failure so to </w:t>
      </w:r>
      <w:r w:rsidR="00284147">
        <w:t>d</w:t>
      </w:r>
      <w:r>
        <w:t xml:space="preserve">o </w:t>
      </w:r>
      <w:r w:rsidR="00BF2D29" w:rsidRPr="00CD72A5">
        <w:t xml:space="preserve">is </w:t>
      </w:r>
      <w:r w:rsidR="002C0657">
        <w:t xml:space="preserve">highly </w:t>
      </w:r>
      <w:r w:rsidR="00BF2D29" w:rsidRPr="00CD72A5">
        <w:t>relevant to the assessment of the availability of the s. 26 defence.</w:t>
      </w:r>
    </w:p>
    <w:p w14:paraId="696EE3D7" w14:textId="08A952BF" w:rsidR="00CC2057" w:rsidRDefault="00B06375" w:rsidP="00B62959">
      <w:pPr>
        <w:numPr>
          <w:ilvl w:val="0"/>
          <w:numId w:val="8"/>
        </w:numPr>
        <w:spacing w:after="160" w:line="480" w:lineRule="auto"/>
        <w:contextualSpacing/>
        <w:jc w:val="both"/>
      </w:pPr>
      <w:r>
        <w:t>In this regard,</w:t>
      </w:r>
      <w:r w:rsidR="00C24CD9">
        <w:t xml:space="preserve"> t</w:t>
      </w:r>
      <w:r w:rsidR="00BF2D29" w:rsidRPr="00CD72A5">
        <w:t xml:space="preserve">he plaintiff </w:t>
      </w:r>
      <w:r>
        <w:t xml:space="preserve">points </w:t>
      </w:r>
      <w:proofErr w:type="gramStart"/>
      <w:r>
        <w:t xml:space="preserve">out </w:t>
      </w:r>
      <w:r w:rsidR="00BF2D29" w:rsidRPr="00CD72A5">
        <w:t xml:space="preserve"> that</w:t>
      </w:r>
      <w:proofErr w:type="gramEnd"/>
      <w:r w:rsidR="00BF2D29" w:rsidRPr="00CD72A5">
        <w:t xml:space="preserve"> </w:t>
      </w:r>
      <w:r w:rsidR="00EC4ABB">
        <w:t>his</w:t>
      </w:r>
      <w:r w:rsidR="005C75C1">
        <w:t xml:space="preserve"> </w:t>
      </w:r>
      <w:r w:rsidR="001032F5">
        <w:t>solicitor</w:t>
      </w:r>
      <w:r w:rsidR="00EC4ABB">
        <w:t>’</w:t>
      </w:r>
      <w:r w:rsidR="001032F5">
        <w:t>s</w:t>
      </w:r>
      <w:r w:rsidR="005C75C1">
        <w:t xml:space="preserve"> </w:t>
      </w:r>
      <w:r w:rsidR="00284147" w:rsidRPr="00CD72A5">
        <w:t>corresponde</w:t>
      </w:r>
      <w:r w:rsidR="00284147">
        <w:t>nce</w:t>
      </w:r>
      <w:r w:rsidR="00BF2D29" w:rsidRPr="00CD72A5">
        <w:t xml:space="preserve"> with the defendant and</w:t>
      </w:r>
      <w:r w:rsidR="00EC4ABB">
        <w:t xml:space="preserve"> the i</w:t>
      </w:r>
      <w:r w:rsidR="00BF2D29" w:rsidRPr="00CD72A5">
        <w:t>nstitut</w:t>
      </w:r>
      <w:r w:rsidR="00EC4ABB">
        <w:t>ion of these pr</w:t>
      </w:r>
      <w:r w:rsidR="00BF2D29" w:rsidRPr="00CD72A5">
        <w:t>oceedings</w:t>
      </w:r>
      <w:r w:rsidR="00EC4ABB">
        <w:t xml:space="preserve"> occurred</w:t>
      </w:r>
      <w:r w:rsidR="00BF2D29" w:rsidRPr="00CD72A5">
        <w:t xml:space="preserve"> </w:t>
      </w:r>
      <w:r w:rsidR="005C75C1">
        <w:t xml:space="preserve">well within the </w:t>
      </w:r>
      <w:r>
        <w:t xml:space="preserve">initial </w:t>
      </w:r>
      <w:r w:rsidR="005C75C1">
        <w:t xml:space="preserve">one year period and </w:t>
      </w:r>
      <w:r w:rsidR="00EC4ABB">
        <w:t xml:space="preserve">that </w:t>
      </w:r>
      <w:r w:rsidR="005C75C1">
        <w:t>the</w:t>
      </w:r>
      <w:r w:rsidR="00BF2D29" w:rsidRPr="00CD72A5">
        <w:t xml:space="preserve"> attention of the reader </w:t>
      </w:r>
      <w:r w:rsidR="005C75C1">
        <w:t>should have been</w:t>
      </w:r>
      <w:r w:rsidR="00BF2D29" w:rsidRPr="00CD72A5">
        <w:t xml:space="preserve"> drawn to these matters by an appropriate </w:t>
      </w:r>
      <w:r w:rsidR="00BF2D29" w:rsidRPr="00CC2057">
        <w:rPr>
          <w:i/>
        </w:rPr>
        <w:t>Loutchansky</w:t>
      </w:r>
      <w:r w:rsidR="00BF2D29" w:rsidRPr="00CD72A5">
        <w:t xml:space="preserve"> notice.</w:t>
      </w:r>
    </w:p>
    <w:p w14:paraId="37A8311B" w14:textId="62D80F4C" w:rsidR="00284147" w:rsidRDefault="00284147" w:rsidP="00B62959">
      <w:pPr>
        <w:numPr>
          <w:ilvl w:val="0"/>
          <w:numId w:val="8"/>
        </w:numPr>
        <w:spacing w:after="160" w:line="480" w:lineRule="auto"/>
        <w:contextualSpacing/>
        <w:jc w:val="both"/>
      </w:pPr>
      <w:r>
        <w:t xml:space="preserve">The </w:t>
      </w:r>
      <w:r w:rsidR="005D3E55">
        <w:t>defendant</w:t>
      </w:r>
      <w:r>
        <w:t xml:space="preserve"> does not accept the </w:t>
      </w:r>
      <w:r w:rsidR="005D3E55">
        <w:t>plaintiff’s</w:t>
      </w:r>
      <w:r>
        <w:t xml:space="preserve"> interpretation of </w:t>
      </w:r>
      <w:r w:rsidRPr="00CD72A5">
        <w:t xml:space="preserve">the </w:t>
      </w:r>
      <w:r>
        <w:t xml:space="preserve">legislative </w:t>
      </w:r>
      <w:r w:rsidRPr="00CD72A5">
        <w:t>scheme in s</w:t>
      </w:r>
      <w:r>
        <w:t>s</w:t>
      </w:r>
      <w:r w:rsidRPr="00CD72A5">
        <w:t>. 11</w:t>
      </w:r>
      <w:r w:rsidR="00835CD5">
        <w:t>,</w:t>
      </w:r>
      <w:r w:rsidRPr="00CD72A5">
        <w:t xml:space="preserve"> 38 </w:t>
      </w:r>
      <w:r>
        <w:t xml:space="preserve">and 26 </w:t>
      </w:r>
      <w:r w:rsidRPr="00CD72A5">
        <w:t xml:space="preserve">of the 2009 </w:t>
      </w:r>
      <w:proofErr w:type="gramStart"/>
      <w:r w:rsidRPr="00CD72A5">
        <w:t>Act</w:t>
      </w:r>
      <w:r>
        <w:t xml:space="preserve"> </w:t>
      </w:r>
      <w:r w:rsidR="000010DE">
        <w:t>.</w:t>
      </w:r>
      <w:proofErr w:type="gramEnd"/>
      <w:r w:rsidR="000010DE">
        <w:t xml:space="preserve"> The defendant</w:t>
      </w:r>
      <w:r>
        <w:t xml:space="preserve"> contends that </w:t>
      </w:r>
      <w:r w:rsidR="00835CD5">
        <w:t xml:space="preserve">the </w:t>
      </w:r>
      <w:r>
        <w:t xml:space="preserve">effect of the single </w:t>
      </w:r>
      <w:r w:rsidR="005D3E55">
        <w:t>publication</w:t>
      </w:r>
      <w:r>
        <w:t xml:space="preserve"> rule is more </w:t>
      </w:r>
      <w:proofErr w:type="gramStart"/>
      <w:r>
        <w:t>extreme</w:t>
      </w:r>
      <w:r w:rsidR="000010DE">
        <w:t xml:space="preserve">; </w:t>
      </w:r>
      <w:r>
        <w:t xml:space="preserve"> that</w:t>
      </w:r>
      <w:proofErr w:type="gramEnd"/>
      <w:r>
        <w:t xml:space="preserve"> a </w:t>
      </w:r>
      <w:r w:rsidR="005D3E55">
        <w:t>failure</w:t>
      </w:r>
      <w:r>
        <w:t xml:space="preserve"> to attach a </w:t>
      </w:r>
      <w:r w:rsidRPr="00CC2057">
        <w:rPr>
          <w:i/>
        </w:rPr>
        <w:t>Loutchansky</w:t>
      </w:r>
      <w:r>
        <w:t xml:space="preserve"> notice</w:t>
      </w:r>
      <w:r w:rsidR="000010DE">
        <w:t>,</w:t>
      </w:r>
      <w:r>
        <w:t xml:space="preserve"> </w:t>
      </w:r>
      <w:r w:rsidR="005A0B82" w:rsidRPr="00B62959">
        <w:lastRenderedPageBreak/>
        <w:t>even a matter of days after an internet publication</w:t>
      </w:r>
      <w:r w:rsidR="00B06375">
        <w:t>,</w:t>
      </w:r>
      <w:r w:rsidRPr="00B62959">
        <w:t xml:space="preserve"> </w:t>
      </w:r>
      <w:r w:rsidR="005D3E55" w:rsidRPr="00B62959">
        <w:t>could</w:t>
      </w:r>
      <w:r w:rsidRPr="00B62959">
        <w:t xml:space="preserve"> not create a new </w:t>
      </w:r>
      <w:r w:rsidR="005D3E55" w:rsidRPr="00B62959">
        <w:t>cause</w:t>
      </w:r>
      <w:r w:rsidRPr="00B62959">
        <w:t xml:space="preserve"> of action or negatively impact on the s</w:t>
      </w:r>
      <w:r w:rsidR="00561A1F" w:rsidRPr="00B62959">
        <w:t>.</w:t>
      </w:r>
      <w:r w:rsidRPr="00B62959">
        <w:t xml:space="preserve"> 26 </w:t>
      </w:r>
      <w:r w:rsidR="005D3E55" w:rsidRPr="00B62959">
        <w:t>defence</w:t>
      </w:r>
      <w:r w:rsidR="00026B12">
        <w:t xml:space="preserve"> in respect of the original publication</w:t>
      </w:r>
      <w:r w:rsidR="000010DE" w:rsidRPr="00CF0932">
        <w:t>; and</w:t>
      </w:r>
      <w:r w:rsidR="005D3E55" w:rsidRPr="00CF0932">
        <w:t xml:space="preserve"> that the developments relied upon by the plaintiff</w:t>
      </w:r>
      <w:r w:rsidR="00026B12">
        <w:t xml:space="preserve"> even</w:t>
      </w:r>
      <w:r w:rsidR="005D3E55" w:rsidRPr="00CF0932">
        <w:t xml:space="preserve"> within the initial one year period will not defeat the s</w:t>
      </w:r>
      <w:r w:rsidR="00561A1F" w:rsidRPr="00CF0932">
        <w:t>.</w:t>
      </w:r>
      <w:r w:rsidR="005D3E55" w:rsidRPr="00CF0932">
        <w:t xml:space="preserve"> 26 defence.</w:t>
      </w:r>
    </w:p>
    <w:p w14:paraId="6449F8D8" w14:textId="3BDFC781" w:rsidR="00E10666" w:rsidRPr="00A16ADD" w:rsidRDefault="005D3E55" w:rsidP="00B62959">
      <w:pPr>
        <w:numPr>
          <w:ilvl w:val="0"/>
          <w:numId w:val="8"/>
        </w:numPr>
        <w:spacing w:after="160" w:line="480" w:lineRule="auto"/>
        <w:contextualSpacing/>
        <w:jc w:val="both"/>
        <w:rPr>
          <w:u w:val="single"/>
        </w:rPr>
      </w:pPr>
      <w:r>
        <w:t>I</w:t>
      </w:r>
      <w:r w:rsidR="00284147">
        <w:t>t is not necessary to decide this issue</w:t>
      </w:r>
      <w:r>
        <w:t xml:space="preserve"> in the present application. </w:t>
      </w:r>
      <w:r w:rsidR="00026B12">
        <w:t>In truth, t</w:t>
      </w:r>
      <w:r w:rsidR="00EC4ABB">
        <w:t xml:space="preserve">he </w:t>
      </w:r>
      <w:r w:rsidR="00BF2D29" w:rsidRPr="00CD72A5">
        <w:t>plaintiff’s</w:t>
      </w:r>
      <w:r w:rsidR="00EC4ABB">
        <w:t xml:space="preserve"> </w:t>
      </w:r>
      <w:r w:rsidR="00BF2D29" w:rsidRPr="00CD72A5">
        <w:t xml:space="preserve">argument that the defence was bound to fail </w:t>
      </w:r>
      <w:r w:rsidR="000010DE">
        <w:t xml:space="preserve">is </w:t>
      </w:r>
      <w:r w:rsidR="005C75C1">
        <w:t xml:space="preserve">not </w:t>
      </w:r>
      <w:r w:rsidR="00BF2D29" w:rsidRPr="00CD72A5">
        <w:t xml:space="preserve">premised on </w:t>
      </w:r>
      <w:r w:rsidR="00B06375">
        <w:t>his solicitor’s</w:t>
      </w:r>
      <w:r w:rsidR="005C75C1">
        <w:t xml:space="preserve"> </w:t>
      </w:r>
      <w:r w:rsidR="001032F5">
        <w:t>initiating</w:t>
      </w:r>
      <w:r w:rsidR="005C75C1">
        <w:t xml:space="preserve"> le</w:t>
      </w:r>
      <w:r w:rsidR="001032F5">
        <w:t>t</w:t>
      </w:r>
      <w:r w:rsidR="005C75C1">
        <w:t>ter and</w:t>
      </w:r>
      <w:r w:rsidR="000010DE">
        <w:t>/or</w:t>
      </w:r>
      <w:r w:rsidR="005C75C1">
        <w:t xml:space="preserve"> </w:t>
      </w:r>
      <w:r w:rsidR="00B06375">
        <w:t xml:space="preserve">on the mere </w:t>
      </w:r>
      <w:r w:rsidR="001032F5">
        <w:t>institution</w:t>
      </w:r>
      <w:r w:rsidR="005C75C1">
        <w:t xml:space="preserve"> of </w:t>
      </w:r>
      <w:r w:rsidR="001032F5">
        <w:t>defamation</w:t>
      </w:r>
      <w:r w:rsidR="005C75C1">
        <w:t xml:space="preserve"> proceedings but rather on </w:t>
      </w:r>
      <w:r w:rsidR="005C75C1" w:rsidRPr="00CD72A5">
        <w:t xml:space="preserve">the cumulative </w:t>
      </w:r>
      <w:r w:rsidR="008334EB">
        <w:t>effect</w:t>
      </w:r>
      <w:r w:rsidR="005A0B82">
        <w:t xml:space="preserve"> of the</w:t>
      </w:r>
      <w:r w:rsidR="00026B12">
        <w:t>se</w:t>
      </w:r>
      <w:r w:rsidR="005A0B82">
        <w:t xml:space="preserve"> matters together with</w:t>
      </w:r>
      <w:r w:rsidR="00BF2D29" w:rsidRPr="00CD72A5">
        <w:t xml:space="preserve"> other developments</w:t>
      </w:r>
      <w:r w:rsidR="005C75C1">
        <w:t xml:space="preserve"> </w:t>
      </w:r>
      <w:r w:rsidR="00B06375">
        <w:t xml:space="preserve">well </w:t>
      </w:r>
      <w:r w:rsidR="005A0B82">
        <w:t>outside</w:t>
      </w:r>
      <w:r w:rsidR="00BF2D29" w:rsidRPr="00CD72A5">
        <w:t xml:space="preserve"> </w:t>
      </w:r>
      <w:r w:rsidR="00B06375">
        <w:t xml:space="preserve">initial </w:t>
      </w:r>
      <w:r w:rsidR="00BF2D29" w:rsidRPr="00CD72A5">
        <w:t>the one-year</w:t>
      </w:r>
      <w:r w:rsidR="00EC4ABB">
        <w:t xml:space="preserve"> period</w:t>
      </w:r>
      <w:r w:rsidR="00BF2D29" w:rsidRPr="00CD72A5">
        <w:t xml:space="preserve">, </w:t>
      </w:r>
      <w:r w:rsidR="00C24CD9">
        <w:t xml:space="preserve">by far the </w:t>
      </w:r>
      <w:r w:rsidR="00EC4ABB">
        <w:t xml:space="preserve">most critical of which is </w:t>
      </w:r>
      <w:r w:rsidR="00BF2D29" w:rsidRPr="00CD72A5">
        <w:t xml:space="preserve">the </w:t>
      </w:r>
      <w:r w:rsidR="001032F5">
        <w:t>absence</w:t>
      </w:r>
      <w:r w:rsidR="005C75C1">
        <w:t xml:space="preserve"> of a plea of justification</w:t>
      </w:r>
      <w:r w:rsidR="00EC4ABB">
        <w:t xml:space="preserve"> </w:t>
      </w:r>
      <w:r w:rsidR="008334EB">
        <w:t>in</w:t>
      </w:r>
      <w:r w:rsidR="00EC4ABB">
        <w:t xml:space="preserve"> the defence </w:t>
      </w:r>
      <w:r w:rsidR="008334EB">
        <w:t xml:space="preserve">delivered </w:t>
      </w:r>
      <w:r w:rsidR="00EC4ABB">
        <w:t>over 2</w:t>
      </w:r>
      <w:r w:rsidR="00C24CD9">
        <w:t>0</w:t>
      </w:r>
      <w:r w:rsidR="00EC4ABB">
        <w:t xml:space="preserve"> months after publication</w:t>
      </w:r>
      <w:r w:rsidR="005C75C1">
        <w:t xml:space="preserve">. </w:t>
      </w:r>
      <w:r w:rsidR="00C24CD9">
        <w:t>Eve</w:t>
      </w:r>
      <w:r w:rsidR="005A0B82">
        <w:t xml:space="preserve">n </w:t>
      </w:r>
      <w:r w:rsidR="00C24CD9">
        <w:t xml:space="preserve">if the plaintiff’s interpretation of the single </w:t>
      </w:r>
      <w:r w:rsidR="00284147">
        <w:t>publication</w:t>
      </w:r>
      <w:r w:rsidR="00C24CD9">
        <w:t xml:space="preserve"> rule </w:t>
      </w:r>
      <w:r w:rsidR="008334EB">
        <w:t>were</w:t>
      </w:r>
      <w:r w:rsidR="00C24CD9">
        <w:t xml:space="preserve"> correct, t</w:t>
      </w:r>
      <w:r w:rsidR="00C24CD9" w:rsidRPr="00CD72A5">
        <w:t xml:space="preserve">his </w:t>
      </w:r>
      <w:r w:rsidR="00561A1F">
        <w:t>c</w:t>
      </w:r>
      <w:r w:rsidR="00C24CD9" w:rsidRPr="00CD72A5">
        <w:t xml:space="preserve">ourt could not safely conclude that the defendant’s failure to attach a </w:t>
      </w:r>
      <w:r w:rsidR="00C24CD9" w:rsidRPr="005D3E55">
        <w:rPr>
          <w:i/>
        </w:rPr>
        <w:t>Loutchansky</w:t>
      </w:r>
      <w:r w:rsidR="00C24CD9" w:rsidRPr="00CD72A5">
        <w:t xml:space="preserve"> notice</w:t>
      </w:r>
      <w:r w:rsidR="008334EB">
        <w:t>,</w:t>
      </w:r>
      <w:r w:rsidR="00C24CD9" w:rsidRPr="00CD72A5">
        <w:t xml:space="preserve"> </w:t>
      </w:r>
      <w:r w:rsidR="00C24CD9">
        <w:t xml:space="preserve">solely </w:t>
      </w:r>
      <w:r w:rsidR="00C24CD9" w:rsidRPr="00CD72A5">
        <w:t>by reason of the plaintiff’s solicitor’s correspondence and the defamation proceedings</w:t>
      </w:r>
      <w:r w:rsidR="008334EB">
        <w:t>,</w:t>
      </w:r>
      <w:r w:rsidR="00C24CD9" w:rsidRPr="00CD72A5">
        <w:t xml:space="preserve"> necessarily means that the s. 26 defence is bound to fail</w:t>
      </w:r>
      <w:r w:rsidR="00561A1F">
        <w:t>.</w:t>
      </w:r>
    </w:p>
    <w:p w14:paraId="63A64DD2" w14:textId="1CBE12D1" w:rsidR="00EC4ABB" w:rsidRPr="008E001A" w:rsidRDefault="00EC4ABB" w:rsidP="008E001A">
      <w:pPr>
        <w:pStyle w:val="Heading3"/>
        <w:rPr>
          <w:rFonts w:ascii="Times New Roman" w:hAnsi="Times New Roman"/>
          <w:i/>
          <w:iCs/>
          <w:sz w:val="24"/>
          <w:szCs w:val="24"/>
        </w:rPr>
      </w:pPr>
      <w:bookmarkStart w:id="13" w:name="_Toc97887633"/>
      <w:r w:rsidRPr="008E001A">
        <w:rPr>
          <w:rFonts w:ascii="Times New Roman" w:hAnsi="Times New Roman"/>
          <w:i/>
          <w:iCs/>
          <w:sz w:val="24"/>
          <w:szCs w:val="24"/>
        </w:rPr>
        <w:t>Conclusion on application to strike out</w:t>
      </w:r>
      <w:bookmarkEnd w:id="13"/>
      <w:r w:rsidRPr="008E001A">
        <w:rPr>
          <w:rFonts w:ascii="Times New Roman" w:hAnsi="Times New Roman"/>
          <w:i/>
          <w:iCs/>
          <w:sz w:val="24"/>
          <w:szCs w:val="24"/>
        </w:rPr>
        <w:t xml:space="preserve"> </w:t>
      </w:r>
    </w:p>
    <w:p w14:paraId="2676D102" w14:textId="77777777" w:rsidR="00026B12" w:rsidRPr="00A16ADD" w:rsidRDefault="00026B12" w:rsidP="00B62959"/>
    <w:p w14:paraId="11EF9808" w14:textId="5F15A314" w:rsidR="00DA2F1F" w:rsidRDefault="00EA3EF1" w:rsidP="00B62959">
      <w:pPr>
        <w:numPr>
          <w:ilvl w:val="0"/>
          <w:numId w:val="8"/>
        </w:numPr>
        <w:spacing w:after="160" w:line="480" w:lineRule="auto"/>
        <w:contextualSpacing/>
        <w:jc w:val="both"/>
      </w:pPr>
      <w:r w:rsidRPr="00CD72A5">
        <w:t xml:space="preserve">In </w:t>
      </w:r>
      <w:r w:rsidR="00EC4ABB">
        <w:t>summary</w:t>
      </w:r>
      <w:r w:rsidRPr="00CD72A5">
        <w:t xml:space="preserve">, therefore the question of whether the defendant is entitled to rely upon the s. 26 defence is a mixed question of law and fact. </w:t>
      </w:r>
      <w:r w:rsidR="008A4A6F">
        <w:t>Whether</w:t>
      </w:r>
      <w:r w:rsidR="007030C6">
        <w:t xml:space="preserve"> in all the </w:t>
      </w:r>
      <w:r w:rsidR="008A4A6F">
        <w:t>circumstances</w:t>
      </w:r>
      <w:r w:rsidR="007030C6">
        <w:t xml:space="preserve"> it was fair and </w:t>
      </w:r>
      <w:r w:rsidR="008A4A6F">
        <w:t>reasonable</w:t>
      </w:r>
      <w:r w:rsidR="007030C6">
        <w:t xml:space="preserve"> to </w:t>
      </w:r>
      <w:r w:rsidR="008A4A6F">
        <w:t>publish</w:t>
      </w:r>
      <w:r w:rsidR="007030C6">
        <w:t xml:space="preserve"> is for the jury to decide and the court cannot usurp its </w:t>
      </w:r>
      <w:r w:rsidR="008A4A6F">
        <w:t>function</w:t>
      </w:r>
      <w:r w:rsidR="007030C6">
        <w:t xml:space="preserve">. </w:t>
      </w:r>
      <w:r w:rsidRPr="00CD72A5">
        <w:t xml:space="preserve">The resolution of this issue will depend upon the assessment by the jury of a wide range of factual matters of which the presence or absence of the </w:t>
      </w:r>
      <w:r w:rsidRPr="00CC2057">
        <w:rPr>
          <w:i/>
        </w:rPr>
        <w:t xml:space="preserve">Loutchansky </w:t>
      </w:r>
      <w:r w:rsidRPr="00CD72A5">
        <w:t>notice comprises only one.</w:t>
      </w:r>
    </w:p>
    <w:p w14:paraId="17D5A83D" w14:textId="5D7EBA5C" w:rsidR="00085DA0" w:rsidRDefault="00DA2F1F" w:rsidP="00B62959">
      <w:pPr>
        <w:numPr>
          <w:ilvl w:val="0"/>
          <w:numId w:val="8"/>
        </w:numPr>
        <w:spacing w:after="160" w:line="480" w:lineRule="auto"/>
        <w:contextualSpacing/>
        <w:jc w:val="both"/>
      </w:pPr>
      <w:r>
        <w:t>Further</w:t>
      </w:r>
      <w:r w:rsidR="00BF2D29" w:rsidRPr="00CD72A5">
        <w:t xml:space="preserve"> the advent of the single publication </w:t>
      </w:r>
      <w:r w:rsidR="008334EB">
        <w:t xml:space="preserve">rule </w:t>
      </w:r>
      <w:r w:rsidR="00BF2D29" w:rsidRPr="00CD72A5">
        <w:t xml:space="preserve">must be accepted as impacting upon the </w:t>
      </w:r>
      <w:r w:rsidR="005C75C1">
        <w:t xml:space="preserve">relevance </w:t>
      </w:r>
      <w:r w:rsidR="00C2074A">
        <w:t xml:space="preserve">of </w:t>
      </w:r>
      <w:r w:rsidR="00BF2D29" w:rsidRPr="00CD72A5">
        <w:t xml:space="preserve">a </w:t>
      </w:r>
      <w:r w:rsidR="00BF2D29" w:rsidRPr="00CC2057">
        <w:rPr>
          <w:i/>
        </w:rPr>
        <w:t xml:space="preserve">Loutchansky </w:t>
      </w:r>
      <w:r w:rsidR="00BF2D29" w:rsidRPr="00CD72A5">
        <w:t>notice in th</w:t>
      </w:r>
      <w:r w:rsidR="005C75C1">
        <w:t xml:space="preserve">is case. </w:t>
      </w:r>
      <w:r>
        <w:t>As a result, t</w:t>
      </w:r>
      <w:r w:rsidR="00BF2D29" w:rsidRPr="00CD72A5">
        <w:t xml:space="preserve">here is a significant legal dispute between </w:t>
      </w:r>
      <w:r w:rsidR="00F23211">
        <w:t xml:space="preserve">as to the relevance of </w:t>
      </w:r>
      <w:r w:rsidR="00BF2D29" w:rsidRPr="00CD72A5">
        <w:t xml:space="preserve">the </w:t>
      </w:r>
      <w:r w:rsidR="00F23211">
        <w:t xml:space="preserve">defendant’s </w:t>
      </w:r>
      <w:r w:rsidR="00BF2D29" w:rsidRPr="00CD72A5">
        <w:t>post-publication behaviour</w:t>
      </w:r>
      <w:r w:rsidR="00F23211">
        <w:t xml:space="preserve"> </w:t>
      </w:r>
      <w:r w:rsidR="00BF2D29" w:rsidRPr="00CD72A5">
        <w:t>to the jury’s assessment</w:t>
      </w:r>
      <w:r>
        <w:t xml:space="preserve"> of the s. 26 defence</w:t>
      </w:r>
      <w:r w:rsidR="00026B12">
        <w:t>. This is</w:t>
      </w:r>
      <w:r w:rsidRPr="00CD72A5">
        <w:t xml:space="preserve"> a complex legal issue which should </w:t>
      </w:r>
      <w:r w:rsidRPr="00CD72A5">
        <w:lastRenderedPageBreak/>
        <w:t>be explored at a full trial.</w:t>
      </w:r>
      <w:r>
        <w:t xml:space="preserve"> I</w:t>
      </w:r>
      <w:r w:rsidR="00BF2D29" w:rsidRPr="00CD72A5">
        <w:t>t will</w:t>
      </w:r>
      <w:r w:rsidR="00026B12">
        <w:t xml:space="preserve"> then</w:t>
      </w:r>
      <w:r w:rsidR="00BF2D29" w:rsidRPr="00CD72A5">
        <w:t xml:space="preserve"> be for the jury and not for this </w:t>
      </w:r>
      <w:r w:rsidR="009228DE">
        <w:t>c</w:t>
      </w:r>
      <w:r w:rsidR="00BF2D29" w:rsidRPr="00CD72A5">
        <w:t xml:space="preserve">ourt to weigh the relevance of any </w:t>
      </w:r>
      <w:r w:rsidR="00026B12">
        <w:t>legally relevant</w:t>
      </w:r>
      <w:r w:rsidR="00BF2D29" w:rsidRPr="00CD72A5">
        <w:t xml:space="preserve"> post-publication behaviour on the part of the defendant in</w:t>
      </w:r>
      <w:r w:rsidR="005D3E55">
        <w:t xml:space="preserve"> it</w:t>
      </w:r>
      <w:r w:rsidR="00085DA0">
        <w:t xml:space="preserve">s </w:t>
      </w:r>
      <w:r w:rsidR="00BF2D29" w:rsidRPr="00CD72A5">
        <w:t>assessment of whether the publication</w:t>
      </w:r>
      <w:r w:rsidR="00F23211">
        <w:t xml:space="preserve"> was, and if relevant, remains, </w:t>
      </w:r>
      <w:r w:rsidR="00BF2D29" w:rsidRPr="00CD72A5">
        <w:t>fair and reasonable</w:t>
      </w:r>
      <w:r w:rsidR="00085DA0">
        <w:t>. In summary, a</w:t>
      </w:r>
      <w:r w:rsidR="00BF2D29" w:rsidRPr="00CD72A5">
        <w:t xml:space="preserve">lthough the presence or absence of a </w:t>
      </w:r>
      <w:r w:rsidR="00BF2D29" w:rsidRPr="00CC2057">
        <w:rPr>
          <w:i/>
        </w:rPr>
        <w:t>Loutchansky</w:t>
      </w:r>
      <w:r w:rsidR="00BF2D29" w:rsidRPr="00CD72A5">
        <w:t xml:space="preserve"> notice for some or all of the </w:t>
      </w:r>
      <w:r>
        <w:t>p</w:t>
      </w:r>
      <w:r w:rsidR="00BF2D29" w:rsidRPr="00CD72A5">
        <w:t xml:space="preserve">eriod </w:t>
      </w:r>
      <w:r>
        <w:t xml:space="preserve">post publication </w:t>
      </w:r>
      <w:r w:rsidR="00BF2D29" w:rsidRPr="00CD72A5">
        <w:t>may well be a relevant factor</w:t>
      </w:r>
      <w:r w:rsidR="002B5F9A">
        <w:t xml:space="preserve">, it is </w:t>
      </w:r>
      <w:r w:rsidR="00026B12">
        <w:t xml:space="preserve">evidently </w:t>
      </w:r>
      <w:r w:rsidR="00BF2D29" w:rsidRPr="00CD72A5">
        <w:t>not the only relevant factor</w:t>
      </w:r>
      <w:r>
        <w:t xml:space="preserve"> and </w:t>
      </w:r>
      <w:r w:rsidR="000D2E47" w:rsidRPr="00CD72A5">
        <w:t xml:space="preserve">at this juncture </w:t>
      </w:r>
      <w:r>
        <w:t>t</w:t>
      </w:r>
      <w:r w:rsidR="00BF2D29" w:rsidRPr="00CD72A5">
        <w:t>here is no reason to suppose that the jury w</w:t>
      </w:r>
      <w:r w:rsidR="000D2E47">
        <w:t>ould</w:t>
      </w:r>
      <w:r w:rsidR="00BF2D29" w:rsidRPr="00CD72A5">
        <w:t xml:space="preserve"> consider its impact to be determinative.</w:t>
      </w:r>
    </w:p>
    <w:p w14:paraId="33A1B67A" w14:textId="3E1B7AB3" w:rsidR="00E10666" w:rsidRPr="00CD72A5" w:rsidRDefault="002B5F9A" w:rsidP="00B62959">
      <w:pPr>
        <w:numPr>
          <w:ilvl w:val="0"/>
          <w:numId w:val="8"/>
        </w:numPr>
        <w:spacing w:after="160" w:line="480" w:lineRule="auto"/>
        <w:contextualSpacing/>
        <w:jc w:val="both"/>
      </w:pPr>
      <w:r>
        <w:t xml:space="preserve">I </w:t>
      </w:r>
      <w:r w:rsidRPr="00CD72A5">
        <w:t>accept</w:t>
      </w:r>
      <w:r>
        <w:t xml:space="preserve"> </w:t>
      </w:r>
      <w:r w:rsidRPr="00CD72A5">
        <w:t>that, in order to prevent</w:t>
      </w:r>
      <w:r w:rsidR="003C0963">
        <w:t xml:space="preserve"> </w:t>
      </w:r>
      <w:r w:rsidRPr="00CD72A5">
        <w:t xml:space="preserve">inefficient use of </w:t>
      </w:r>
      <w:r w:rsidR="003C0963">
        <w:t xml:space="preserve">the </w:t>
      </w:r>
      <w:r w:rsidRPr="00CD72A5">
        <w:t>court</w:t>
      </w:r>
      <w:r w:rsidR="003C0963">
        <w:t>’s</w:t>
      </w:r>
      <w:r w:rsidRPr="00CD72A5">
        <w:t xml:space="preserve"> time and wast</w:t>
      </w:r>
      <w:r w:rsidR="003C0963">
        <w:t>e</w:t>
      </w:r>
      <w:r w:rsidRPr="00CD72A5">
        <w:t xml:space="preserve"> of</w:t>
      </w:r>
      <w:r w:rsidR="003C0963">
        <w:t xml:space="preserve"> the </w:t>
      </w:r>
      <w:r w:rsidRPr="00CD72A5">
        <w:t>jury</w:t>
      </w:r>
      <w:r w:rsidR="003C0963">
        <w:t>’s</w:t>
      </w:r>
      <w:r w:rsidRPr="00CD72A5">
        <w:t xml:space="preserve"> time, it is desirable that applications to strike out in defamation proceedings should be brought in advance of trial</w:t>
      </w:r>
      <w:r>
        <w:t xml:space="preserve">. However, </w:t>
      </w:r>
      <w:r w:rsidRPr="00CD72A5">
        <w:t xml:space="preserve">granting </w:t>
      </w:r>
      <w:r>
        <w:t xml:space="preserve">the particular relief sought by the plaintiff </w:t>
      </w:r>
      <w:r w:rsidRPr="00CD72A5">
        <w:t xml:space="preserve">would </w:t>
      </w:r>
      <w:r w:rsidR="003C0963">
        <w:t>not</w:t>
      </w:r>
      <w:r w:rsidRPr="00CD72A5">
        <w:t xml:space="preserve"> </w:t>
      </w:r>
      <w:r w:rsidR="005A0B82">
        <w:t xml:space="preserve">in any event </w:t>
      </w:r>
      <w:r w:rsidRPr="00CD72A5">
        <w:t xml:space="preserve">result in a substantial saving of court time, jury </w:t>
      </w:r>
      <w:proofErr w:type="gramStart"/>
      <w:r w:rsidRPr="00CD72A5">
        <w:t>time</w:t>
      </w:r>
      <w:proofErr w:type="gramEnd"/>
      <w:r w:rsidRPr="00CD72A5">
        <w:t xml:space="preserve"> or costs. The present application to strike out the s. 26 defence is confined to </w:t>
      </w:r>
      <w:proofErr w:type="gramStart"/>
      <w:r w:rsidRPr="00CD72A5">
        <w:t>the  defence</w:t>
      </w:r>
      <w:proofErr w:type="gramEnd"/>
      <w:r w:rsidRPr="00CD72A5">
        <w:t xml:space="preserve"> of the article</w:t>
      </w:r>
      <w:r w:rsidR="00085DA0">
        <w:t xml:space="preserve"> and</w:t>
      </w:r>
      <w:r w:rsidRPr="00CD72A5">
        <w:t xml:space="preserve"> not the programme. If the case</w:t>
      </w:r>
      <w:r w:rsidR="003C0963">
        <w:t>,</w:t>
      </w:r>
      <w:r w:rsidRPr="00CD72A5">
        <w:t xml:space="preserve"> as currently pleaded</w:t>
      </w:r>
      <w:r w:rsidR="003C0963">
        <w:t>,</w:t>
      </w:r>
      <w:r w:rsidRPr="00CD72A5">
        <w:t xml:space="preserve"> were to go to trial, </w:t>
      </w:r>
      <w:r>
        <w:t xml:space="preserve">all of the above legal issues </w:t>
      </w:r>
      <w:r w:rsidR="00085DA0">
        <w:t>would</w:t>
      </w:r>
      <w:r>
        <w:t xml:space="preserve"> fall to be argued and determined </w:t>
      </w:r>
      <w:proofErr w:type="gramStart"/>
      <w:r>
        <w:t xml:space="preserve">and  </w:t>
      </w:r>
      <w:r w:rsidRPr="00CD72A5">
        <w:t>the</w:t>
      </w:r>
      <w:proofErr w:type="gramEnd"/>
      <w:r w:rsidRPr="00CD72A5">
        <w:t xml:space="preserve"> </w:t>
      </w:r>
      <w:r>
        <w:t xml:space="preserve">jury </w:t>
      </w:r>
      <w:r w:rsidRPr="00CD72A5">
        <w:t xml:space="preserve">would be </w:t>
      </w:r>
      <w:r>
        <w:t xml:space="preserve">required to consider </w:t>
      </w:r>
      <w:r w:rsidRPr="00CD72A5">
        <w:t xml:space="preserve">all </w:t>
      </w:r>
      <w:r>
        <w:t xml:space="preserve">evidence </w:t>
      </w:r>
      <w:r w:rsidRPr="00CD72A5">
        <w:t xml:space="preserve">relevant to the s. 26 defence in the context of the defence of the programme. It is difficult to see </w:t>
      </w:r>
      <w:r>
        <w:t>how</w:t>
      </w:r>
      <w:r w:rsidRPr="00CD72A5">
        <w:t xml:space="preserve"> there would be any significant saving of court time and costs merely by confining these arguments to </w:t>
      </w:r>
      <w:proofErr w:type="gramStart"/>
      <w:r w:rsidRPr="00CD72A5">
        <w:t>the  defence</w:t>
      </w:r>
      <w:proofErr w:type="gramEnd"/>
      <w:r w:rsidRPr="00CD72A5">
        <w:t xml:space="preserve"> of the programme</w:t>
      </w:r>
      <w:r w:rsidR="00085DA0">
        <w:t>,</w:t>
      </w:r>
      <w:r w:rsidRPr="00CD72A5">
        <w:t xml:space="preserve"> as opposed to the article. </w:t>
      </w:r>
      <w:r w:rsidR="00026B12">
        <w:t>Of course, i</w:t>
      </w:r>
      <w:r w:rsidRPr="00CD72A5">
        <w:t xml:space="preserve">f the </w:t>
      </w:r>
      <w:r>
        <w:t xml:space="preserve">s. 26 </w:t>
      </w:r>
      <w:r w:rsidRPr="00CD72A5">
        <w:t>defence were struck out in respect of the article, the plaintiff might elect to proceed to trial only in respect of the article and not the programme. In such circumstances</w:t>
      </w:r>
      <w:r w:rsidR="00026B12">
        <w:t xml:space="preserve"> whilst other</w:t>
      </w:r>
      <w:r w:rsidRPr="00CD72A5">
        <w:t xml:space="preserve"> potential defences </w:t>
      </w:r>
      <w:r w:rsidR="003315D6">
        <w:t xml:space="preserve">would remain </w:t>
      </w:r>
      <w:r w:rsidRPr="00CD72A5">
        <w:t>open for consideration, such as the dispute in relation to meaning</w:t>
      </w:r>
      <w:r w:rsidR="00026B12">
        <w:t>,</w:t>
      </w:r>
      <w:r w:rsidR="003315D6">
        <w:t xml:space="preserve"> </w:t>
      </w:r>
      <w:r w:rsidR="001032F5" w:rsidRPr="00CD72A5">
        <w:t>the</w:t>
      </w:r>
      <w:r w:rsidRPr="00CD72A5">
        <w:t xml:space="preserve"> trial would</w:t>
      </w:r>
      <w:r w:rsidR="006A397E">
        <w:t xml:space="preserve"> undoubtedly</w:t>
      </w:r>
      <w:r w:rsidRPr="00CD72A5">
        <w:t xml:space="preserve"> be less lengthy and complex. However, the plaintiff has given no indication that this is a course of action which he is considering or prepared to take. </w:t>
      </w:r>
      <w:proofErr w:type="gramStart"/>
      <w:r w:rsidR="003315D6">
        <w:t>T</w:t>
      </w:r>
      <w:r w:rsidR="00085DA0">
        <w:t>herefore</w:t>
      </w:r>
      <w:proofErr w:type="gramEnd"/>
      <w:r w:rsidR="00085DA0">
        <w:t xml:space="preserve"> </w:t>
      </w:r>
      <w:r w:rsidR="003315D6">
        <w:t xml:space="preserve">it is </w:t>
      </w:r>
      <w:r w:rsidRPr="00CD72A5">
        <w:t xml:space="preserve">difficult to conclude that striking out </w:t>
      </w:r>
      <w:r w:rsidR="00085DA0">
        <w:t>s</w:t>
      </w:r>
      <w:r w:rsidR="005202BE">
        <w:t>.</w:t>
      </w:r>
      <w:r w:rsidR="00085DA0">
        <w:t xml:space="preserve"> 26 </w:t>
      </w:r>
      <w:r w:rsidRPr="00CD72A5">
        <w:t>defence</w:t>
      </w:r>
      <w:r w:rsidR="003315D6">
        <w:t>,</w:t>
      </w:r>
      <w:r w:rsidRPr="00CD72A5">
        <w:t xml:space="preserve"> </w:t>
      </w:r>
      <w:r w:rsidRPr="00CD72A5">
        <w:lastRenderedPageBreak/>
        <w:t>insofar as concerns the article only</w:t>
      </w:r>
      <w:r w:rsidR="003315D6">
        <w:t>,</w:t>
      </w:r>
      <w:r w:rsidRPr="00CD72A5">
        <w:t xml:space="preserve"> would necessarily achieve </w:t>
      </w:r>
      <w:r w:rsidR="003315D6">
        <w:t xml:space="preserve">any </w:t>
      </w:r>
      <w:r w:rsidRPr="00CD72A5">
        <w:t>increased efficiency in the trial.</w:t>
      </w:r>
    </w:p>
    <w:p w14:paraId="62D0451A" w14:textId="20A3FE3D" w:rsidR="00BF2D29" w:rsidRDefault="00E10666" w:rsidP="006A397E">
      <w:pPr>
        <w:pStyle w:val="Heading1"/>
        <w:rPr>
          <w:rFonts w:ascii="Times New Roman" w:hAnsi="Times New Roman" w:cs="Times New Roman"/>
          <w:b/>
          <w:bCs/>
          <w:color w:val="auto"/>
          <w:sz w:val="24"/>
          <w:szCs w:val="24"/>
          <w:u w:val="single"/>
        </w:rPr>
      </w:pPr>
      <w:bookmarkStart w:id="14" w:name="_Toc97887634"/>
      <w:r w:rsidRPr="00B62959">
        <w:rPr>
          <w:rFonts w:ascii="Times New Roman" w:hAnsi="Times New Roman" w:cs="Times New Roman"/>
          <w:b/>
          <w:bCs/>
          <w:color w:val="auto"/>
          <w:sz w:val="24"/>
          <w:szCs w:val="24"/>
          <w:u w:val="single"/>
        </w:rPr>
        <w:t xml:space="preserve">Second </w:t>
      </w:r>
      <w:r w:rsidR="00E73FF8" w:rsidRPr="00B62959">
        <w:rPr>
          <w:rFonts w:ascii="Times New Roman" w:hAnsi="Times New Roman" w:cs="Times New Roman"/>
          <w:b/>
          <w:bCs/>
          <w:color w:val="auto"/>
          <w:sz w:val="24"/>
          <w:szCs w:val="24"/>
          <w:u w:val="single"/>
        </w:rPr>
        <w:t>motion: defendant’s</w:t>
      </w:r>
      <w:r w:rsidR="0024375B" w:rsidRPr="00B62959">
        <w:rPr>
          <w:rFonts w:ascii="Times New Roman" w:hAnsi="Times New Roman" w:cs="Times New Roman"/>
          <w:b/>
          <w:bCs/>
          <w:color w:val="auto"/>
          <w:sz w:val="24"/>
          <w:szCs w:val="24"/>
          <w:u w:val="single"/>
        </w:rPr>
        <w:t xml:space="preserve"> </w:t>
      </w:r>
      <w:r w:rsidRPr="00B62959">
        <w:rPr>
          <w:rFonts w:ascii="Times New Roman" w:hAnsi="Times New Roman" w:cs="Times New Roman"/>
          <w:b/>
          <w:bCs/>
          <w:color w:val="auto"/>
          <w:sz w:val="24"/>
          <w:szCs w:val="24"/>
          <w:u w:val="single"/>
        </w:rPr>
        <w:t>a</w:t>
      </w:r>
      <w:r w:rsidR="004A3740" w:rsidRPr="00B62959">
        <w:rPr>
          <w:rFonts w:ascii="Times New Roman" w:hAnsi="Times New Roman" w:cs="Times New Roman"/>
          <w:b/>
          <w:bCs/>
          <w:color w:val="auto"/>
          <w:sz w:val="24"/>
          <w:szCs w:val="24"/>
          <w:u w:val="single"/>
        </w:rPr>
        <w:t>pplication for discovery</w:t>
      </w:r>
      <w:bookmarkEnd w:id="14"/>
    </w:p>
    <w:p w14:paraId="4FB7EE33" w14:textId="77777777" w:rsidR="006A397E" w:rsidRPr="00A16ADD" w:rsidRDefault="006A397E" w:rsidP="00B62959"/>
    <w:p w14:paraId="1253DB5B" w14:textId="65D21CBC" w:rsidR="00DA2F1F" w:rsidRDefault="008C70F8" w:rsidP="00B62959">
      <w:pPr>
        <w:numPr>
          <w:ilvl w:val="0"/>
          <w:numId w:val="8"/>
        </w:numPr>
        <w:spacing w:after="160" w:line="480" w:lineRule="auto"/>
        <w:contextualSpacing/>
        <w:jc w:val="both"/>
      </w:pPr>
      <w:r>
        <w:t>By letter dated 29</w:t>
      </w:r>
      <w:r w:rsidR="0049380D" w:rsidRPr="00C94423">
        <w:rPr>
          <w:vertAlign w:val="superscript"/>
        </w:rPr>
        <w:t>th</w:t>
      </w:r>
      <w:r>
        <w:t xml:space="preserve"> </w:t>
      </w:r>
      <w:r w:rsidR="00DB0243">
        <w:t>January</w:t>
      </w:r>
      <w:r w:rsidR="0049380D">
        <w:t>,</w:t>
      </w:r>
      <w:r>
        <w:t xml:space="preserve"> 2020, t</w:t>
      </w:r>
      <w:r w:rsidR="004A3740" w:rsidRPr="00CD72A5">
        <w:t xml:space="preserve">he defendant </w:t>
      </w:r>
      <w:r>
        <w:t xml:space="preserve">sought </w:t>
      </w:r>
      <w:r w:rsidR="00DB0243">
        <w:t>voluntary</w:t>
      </w:r>
      <w:r>
        <w:t xml:space="preserve"> </w:t>
      </w:r>
      <w:r w:rsidR="00DB0243">
        <w:t>discovery</w:t>
      </w:r>
      <w:r>
        <w:t xml:space="preserve"> </w:t>
      </w:r>
      <w:proofErr w:type="gramStart"/>
      <w:r>
        <w:t xml:space="preserve">of  </w:t>
      </w:r>
      <w:r w:rsidR="004A3740" w:rsidRPr="00CD72A5">
        <w:t>two</w:t>
      </w:r>
      <w:proofErr w:type="gramEnd"/>
      <w:r w:rsidR="004A3740" w:rsidRPr="00CD72A5">
        <w:t xml:space="preserve"> categories of discovery as follows:</w:t>
      </w:r>
    </w:p>
    <w:p w14:paraId="3A62D588" w14:textId="5E6C1C9D" w:rsidR="00DA2F1F" w:rsidRPr="00DA2F1F" w:rsidRDefault="006A397E" w:rsidP="00DA2F1F">
      <w:pPr>
        <w:pStyle w:val="ListParagraph"/>
        <w:spacing w:after="160" w:line="480" w:lineRule="auto"/>
        <w:contextualSpacing/>
        <w:jc w:val="both"/>
        <w:rPr>
          <w:i/>
          <w:iCs/>
        </w:rPr>
      </w:pPr>
      <w:r>
        <w:rPr>
          <w:i/>
          <w:iCs/>
        </w:rPr>
        <w:t>“</w:t>
      </w:r>
      <w:r w:rsidR="00DA2F1F" w:rsidRPr="00DA2F1F">
        <w:rPr>
          <w:i/>
          <w:iCs/>
        </w:rPr>
        <w:t>Category 1. All documents evidencing</w:t>
      </w:r>
      <w:r w:rsidR="0049380D">
        <w:rPr>
          <w:i/>
          <w:iCs/>
        </w:rPr>
        <w:t>,</w:t>
      </w:r>
      <w:r w:rsidR="00DA2F1F" w:rsidRPr="00DA2F1F">
        <w:rPr>
          <w:i/>
          <w:iCs/>
        </w:rPr>
        <w:t xml:space="preserve"> </w:t>
      </w:r>
      <w:proofErr w:type="gramStart"/>
      <w:r w:rsidR="00DA2F1F" w:rsidRPr="00DA2F1F">
        <w:rPr>
          <w:i/>
          <w:iCs/>
        </w:rPr>
        <w:t>recording</w:t>
      </w:r>
      <w:proofErr w:type="gramEnd"/>
      <w:r w:rsidR="00DA2F1F" w:rsidRPr="00DA2F1F">
        <w:rPr>
          <w:i/>
          <w:iCs/>
        </w:rPr>
        <w:t xml:space="preserve"> or relating to the plaintiff’s relationship and association with the IRA</w:t>
      </w:r>
      <w:r w:rsidR="00472281">
        <w:rPr>
          <w:i/>
          <w:iCs/>
        </w:rPr>
        <w:t>.</w:t>
      </w:r>
    </w:p>
    <w:p w14:paraId="7CA6834A" w14:textId="1C2B2EAF" w:rsidR="00DA2F1F" w:rsidRPr="00DA2F1F" w:rsidRDefault="00DA2F1F" w:rsidP="00B62959">
      <w:pPr>
        <w:pStyle w:val="ListParagraph"/>
        <w:spacing w:line="480" w:lineRule="auto"/>
        <w:contextualSpacing/>
        <w:jc w:val="both"/>
        <w:rPr>
          <w:i/>
          <w:iCs/>
        </w:rPr>
      </w:pPr>
      <w:r w:rsidRPr="00DA2F1F">
        <w:rPr>
          <w:i/>
          <w:iCs/>
        </w:rPr>
        <w:t xml:space="preserve">Category 2. All documents evidencing, </w:t>
      </w:r>
      <w:proofErr w:type="gramStart"/>
      <w:r w:rsidRPr="00DA2F1F">
        <w:rPr>
          <w:i/>
          <w:iCs/>
        </w:rPr>
        <w:t>recording</w:t>
      </w:r>
      <w:proofErr w:type="gramEnd"/>
      <w:r w:rsidRPr="00DA2F1F">
        <w:rPr>
          <w:i/>
          <w:iCs/>
        </w:rPr>
        <w:t xml:space="preserve"> or relating to the plaintiff’s knowledge of the treatment of informers or agents by the IRA and/or relating to the basis for his statement at a press conference in 1987 that “anyone else living in West Belfast knows that the consequence for informing is death. </w:t>
      </w:r>
    </w:p>
    <w:p w14:paraId="1B22C880" w14:textId="04056D02" w:rsidR="00DF394D" w:rsidRPr="00B62959" w:rsidRDefault="0024375B" w:rsidP="00B62959">
      <w:pPr>
        <w:pStyle w:val="ListParagraph"/>
        <w:spacing w:line="480" w:lineRule="auto"/>
        <w:contextualSpacing/>
        <w:jc w:val="both"/>
        <w:rPr>
          <w:i/>
          <w:iCs/>
        </w:rPr>
      </w:pPr>
      <w:r>
        <w:rPr>
          <w:i/>
          <w:iCs/>
        </w:rPr>
        <w:t>T</w:t>
      </w:r>
      <w:r w:rsidR="00DA2F1F" w:rsidRPr="00DA2F1F">
        <w:rPr>
          <w:i/>
          <w:iCs/>
        </w:rPr>
        <w:t xml:space="preserve">imeframe </w:t>
      </w:r>
      <w:r>
        <w:rPr>
          <w:i/>
          <w:iCs/>
        </w:rPr>
        <w:t xml:space="preserve">for </w:t>
      </w:r>
      <w:r w:rsidR="00DA2F1F" w:rsidRPr="00DA2F1F">
        <w:rPr>
          <w:i/>
          <w:iCs/>
        </w:rPr>
        <w:t>categories</w:t>
      </w:r>
      <w:r>
        <w:rPr>
          <w:i/>
          <w:iCs/>
        </w:rPr>
        <w:t xml:space="preserve"> 1 and 2</w:t>
      </w:r>
      <w:r w:rsidR="0039693C">
        <w:rPr>
          <w:i/>
          <w:iCs/>
        </w:rPr>
        <w:t xml:space="preserve"> - </w:t>
      </w:r>
      <w:r>
        <w:rPr>
          <w:i/>
          <w:iCs/>
        </w:rPr>
        <w:t>during the p</w:t>
      </w:r>
      <w:r w:rsidR="00DA2F1F" w:rsidRPr="00DA2F1F">
        <w:rPr>
          <w:i/>
          <w:iCs/>
        </w:rPr>
        <w:t>laintiff’s lifetime.</w:t>
      </w:r>
      <w:r>
        <w:rPr>
          <w:i/>
          <w:iCs/>
        </w:rPr>
        <w:t>”</w:t>
      </w:r>
    </w:p>
    <w:p w14:paraId="5A395979" w14:textId="77777777" w:rsidR="0049380D" w:rsidRPr="00A16ADD" w:rsidRDefault="0049380D" w:rsidP="00B62959">
      <w:pPr>
        <w:pStyle w:val="ListParagraph"/>
      </w:pPr>
    </w:p>
    <w:p w14:paraId="694BD8AE" w14:textId="18F5C02E" w:rsidR="008C70F8" w:rsidRDefault="008C70F8" w:rsidP="00B62959">
      <w:pPr>
        <w:pStyle w:val="ListParagraph"/>
        <w:numPr>
          <w:ilvl w:val="0"/>
          <w:numId w:val="8"/>
        </w:numPr>
        <w:spacing w:line="480" w:lineRule="auto"/>
        <w:contextualSpacing/>
        <w:jc w:val="both"/>
      </w:pPr>
      <w:r w:rsidRPr="00CD72A5">
        <w:t xml:space="preserve">The plaintiff </w:t>
      </w:r>
      <w:r>
        <w:t>declined to agree to</w:t>
      </w:r>
      <w:r w:rsidRPr="00CD72A5">
        <w:t xml:space="preserve"> make </w:t>
      </w:r>
      <w:r w:rsidR="00DB0243">
        <w:t>voluntary</w:t>
      </w:r>
      <w:r>
        <w:t xml:space="preserve"> </w:t>
      </w:r>
      <w:r w:rsidRPr="00CD72A5">
        <w:t>discovery of any of the documents sought</w:t>
      </w:r>
      <w:r>
        <w:t xml:space="preserve"> and resisted any order for discovery</w:t>
      </w:r>
      <w:r w:rsidRPr="00CD72A5">
        <w:t xml:space="preserve">. </w:t>
      </w:r>
    </w:p>
    <w:p w14:paraId="7911BE5E" w14:textId="06F9D51E" w:rsidR="007069F2" w:rsidRDefault="008C70F8" w:rsidP="00B62959">
      <w:pPr>
        <w:pStyle w:val="ListParagraph"/>
        <w:numPr>
          <w:ilvl w:val="0"/>
          <w:numId w:val="8"/>
        </w:numPr>
        <w:spacing w:after="160" w:line="480" w:lineRule="auto"/>
        <w:contextualSpacing/>
        <w:jc w:val="both"/>
      </w:pPr>
      <w:r>
        <w:t>I</w:t>
      </w:r>
      <w:r w:rsidR="007069F2">
        <w:t>t i</w:t>
      </w:r>
      <w:r w:rsidR="00A737B8" w:rsidRPr="00CD72A5">
        <w:t xml:space="preserve">s difficult to adjudicate upon </w:t>
      </w:r>
      <w:r w:rsidR="0024375B">
        <w:t xml:space="preserve">this </w:t>
      </w:r>
      <w:r w:rsidR="00A737B8" w:rsidRPr="00CD72A5">
        <w:t xml:space="preserve">application </w:t>
      </w:r>
      <w:r w:rsidR="0024375B">
        <w:t xml:space="preserve">in the absence of a reply to the defence. </w:t>
      </w:r>
      <w:r w:rsidR="00B2753D">
        <w:t>I accept that it is not</w:t>
      </w:r>
      <w:r w:rsidR="0024375B">
        <w:t xml:space="preserve"> necessary to deliver a reply where its purpose </w:t>
      </w:r>
      <w:r w:rsidR="003315D6">
        <w:t>is to</w:t>
      </w:r>
      <w:r w:rsidR="0024375B">
        <w:t xml:space="preserve"> </w:t>
      </w:r>
      <w:proofErr w:type="gramStart"/>
      <w:r w:rsidR="0024375B">
        <w:t>merely  deny</w:t>
      </w:r>
      <w:proofErr w:type="gramEnd"/>
      <w:r w:rsidR="0024375B">
        <w:t xml:space="preserve"> and put in issue </w:t>
      </w:r>
      <w:r w:rsidR="00F4412D">
        <w:t xml:space="preserve">all material </w:t>
      </w:r>
      <w:r w:rsidR="009B712E">
        <w:t>statements</w:t>
      </w:r>
      <w:r w:rsidR="00F4412D">
        <w:t xml:space="preserve"> of fact in the </w:t>
      </w:r>
      <w:r w:rsidR="00E73FF8">
        <w:t xml:space="preserve">defence. </w:t>
      </w:r>
      <w:r w:rsidR="007069F2">
        <w:t>However, as</w:t>
      </w:r>
      <w:r w:rsidR="00B2753D">
        <w:t xml:space="preserve"> in the </w:t>
      </w:r>
      <w:r w:rsidR="00B2753D" w:rsidRPr="007069F2">
        <w:rPr>
          <w:i/>
          <w:iCs/>
        </w:rPr>
        <w:t xml:space="preserve">Desmond </w:t>
      </w:r>
      <w:r w:rsidR="00B2753D">
        <w:t>case, it is surprising</w:t>
      </w:r>
      <w:r w:rsidR="00F4412D">
        <w:t xml:space="preserve"> </w:t>
      </w:r>
      <w:r w:rsidR="007069F2">
        <w:t>t</w:t>
      </w:r>
      <w:r w:rsidR="00F4412D">
        <w:t>hat no reply has been delivered</w:t>
      </w:r>
      <w:r w:rsidR="003315D6">
        <w:t>,</w:t>
      </w:r>
      <w:r w:rsidR="00F4412D">
        <w:t xml:space="preserve"> at least </w:t>
      </w:r>
      <w:r w:rsidR="00A737B8" w:rsidRPr="00CD72A5">
        <w:t xml:space="preserve">joining issue with the </w:t>
      </w:r>
      <w:r w:rsidR="003315D6">
        <w:t xml:space="preserve">defendant’s </w:t>
      </w:r>
      <w:r w:rsidR="00A737B8" w:rsidRPr="00CD72A5">
        <w:t>pleas on</w:t>
      </w:r>
      <w:r w:rsidR="00F4412D">
        <w:t xml:space="preserve"> the</w:t>
      </w:r>
      <w:r w:rsidR="00A737B8" w:rsidRPr="00CD72A5">
        <w:t xml:space="preserve"> s. 26 </w:t>
      </w:r>
      <w:r w:rsidR="00F4412D">
        <w:t xml:space="preserve">defence and </w:t>
      </w:r>
      <w:r w:rsidR="00A737B8" w:rsidRPr="00CD72A5">
        <w:t>identifying the particular facts and circumstances by which, on the plaintiff’s case</w:t>
      </w:r>
      <w:r w:rsidR="00F4412D">
        <w:t>,</w:t>
      </w:r>
      <w:r w:rsidR="00A737B8" w:rsidRPr="00CD72A5">
        <w:t xml:space="preserve"> </w:t>
      </w:r>
      <w:r w:rsidR="003315D6">
        <w:t>publication</w:t>
      </w:r>
      <w:r w:rsidR="00A737B8" w:rsidRPr="00CD72A5">
        <w:t xml:space="preserve"> was not fair and reasonable</w:t>
      </w:r>
      <w:r w:rsidR="00DF394D">
        <w:t>.</w:t>
      </w:r>
      <w:r w:rsidR="00A737B8" w:rsidRPr="00CD72A5">
        <w:t xml:space="preserve"> </w:t>
      </w:r>
      <w:r w:rsidR="00CE0392">
        <w:t xml:space="preserve">At present </w:t>
      </w:r>
      <w:r w:rsidR="00A737B8" w:rsidRPr="00CD72A5">
        <w:t xml:space="preserve">the court </w:t>
      </w:r>
      <w:r w:rsidR="00CE0392">
        <w:t xml:space="preserve">has not been informed </w:t>
      </w:r>
      <w:r w:rsidR="00A737B8" w:rsidRPr="00CD72A5">
        <w:t>wh</w:t>
      </w:r>
      <w:r w:rsidR="00A737B8">
        <w:t xml:space="preserve">ich </w:t>
      </w:r>
      <w:r w:rsidR="00A737B8" w:rsidRPr="00CD72A5">
        <w:t xml:space="preserve">of the </w:t>
      </w:r>
      <w:r w:rsidR="00DB0243">
        <w:t>particulars</w:t>
      </w:r>
      <w:r w:rsidR="00A737B8" w:rsidRPr="00CD72A5">
        <w:t xml:space="preserve"> pleaded </w:t>
      </w:r>
      <w:r w:rsidR="00F4412D">
        <w:t xml:space="preserve">in the </w:t>
      </w:r>
      <w:r w:rsidR="00B2753D">
        <w:t>defence</w:t>
      </w:r>
      <w:r w:rsidR="00F4412D">
        <w:t xml:space="preserve"> at </w:t>
      </w:r>
      <w:r w:rsidR="00A737B8" w:rsidRPr="00CD72A5">
        <w:t>para</w:t>
      </w:r>
      <w:r w:rsidR="00CE0392">
        <w:t xml:space="preserve">graph </w:t>
      </w:r>
      <w:r w:rsidR="00F4412D">
        <w:t xml:space="preserve">16 (in </w:t>
      </w:r>
      <w:r w:rsidR="00B2753D">
        <w:t>relation</w:t>
      </w:r>
      <w:r w:rsidR="00F4412D">
        <w:t xml:space="preserve"> the s. 26 </w:t>
      </w:r>
      <w:r w:rsidR="00B2753D">
        <w:t>defence</w:t>
      </w:r>
      <w:r w:rsidR="00F4412D">
        <w:t>)</w:t>
      </w:r>
      <w:r w:rsidR="00B2753D">
        <w:t xml:space="preserve"> or</w:t>
      </w:r>
      <w:r w:rsidR="00F4412D">
        <w:t xml:space="preserve"> at para</w:t>
      </w:r>
      <w:r w:rsidR="00CE0392">
        <w:t>graph</w:t>
      </w:r>
      <w:r w:rsidR="00F4412D">
        <w:t>s</w:t>
      </w:r>
      <w:r w:rsidR="00A737B8" w:rsidRPr="00CD72A5">
        <w:t xml:space="preserve"> 22 and 23 </w:t>
      </w:r>
      <w:r w:rsidR="00F4412D">
        <w:t xml:space="preserve">(in relation </w:t>
      </w:r>
      <w:r w:rsidR="00B2753D">
        <w:t>to</w:t>
      </w:r>
      <w:r w:rsidR="00F4412D">
        <w:t xml:space="preserve"> the plaintiff’s </w:t>
      </w:r>
      <w:r w:rsidR="00B2753D">
        <w:t>reputation</w:t>
      </w:r>
      <w:r w:rsidR="00F4412D">
        <w:t xml:space="preserve">) </w:t>
      </w:r>
      <w:r w:rsidR="00A737B8" w:rsidRPr="00CD72A5">
        <w:t xml:space="preserve">will be denied by the plaintiff. </w:t>
      </w:r>
    </w:p>
    <w:p w14:paraId="583494D5" w14:textId="55AE15DB" w:rsidR="00436A9F" w:rsidRDefault="00A737B8" w:rsidP="00B62959">
      <w:pPr>
        <w:pStyle w:val="ListParagraph"/>
        <w:numPr>
          <w:ilvl w:val="0"/>
          <w:numId w:val="8"/>
        </w:numPr>
        <w:spacing w:after="160" w:line="480" w:lineRule="auto"/>
        <w:contextualSpacing/>
        <w:jc w:val="both"/>
      </w:pPr>
      <w:r w:rsidRPr="00CD72A5">
        <w:lastRenderedPageBreak/>
        <w:t xml:space="preserve">This </w:t>
      </w:r>
      <w:r>
        <w:t>makes the court’s ta</w:t>
      </w:r>
      <w:r w:rsidR="00A767BC">
        <w:t>s</w:t>
      </w:r>
      <w:r>
        <w:t xml:space="preserve">k more </w:t>
      </w:r>
      <w:r w:rsidR="008A4A6F">
        <w:t>difficult but</w:t>
      </w:r>
      <w:r w:rsidRPr="00CD72A5">
        <w:t xml:space="preserve"> does not prevent the court from determining th</w:t>
      </w:r>
      <w:r w:rsidR="00F765EC">
        <w:t>is</w:t>
      </w:r>
      <w:r w:rsidRPr="00CD72A5">
        <w:t xml:space="preserve"> application</w:t>
      </w:r>
      <w:r w:rsidR="00436A9F">
        <w:t xml:space="preserve">. The </w:t>
      </w:r>
      <w:r w:rsidR="00DB0243">
        <w:t>plaintiff</w:t>
      </w:r>
      <w:r w:rsidR="00436A9F">
        <w:t xml:space="preserve"> did not argue that the request </w:t>
      </w:r>
      <w:r w:rsidR="00F765EC">
        <w:t xml:space="preserve">for discovery </w:t>
      </w:r>
      <w:r w:rsidR="00436A9F">
        <w:t>was</w:t>
      </w:r>
      <w:r w:rsidR="00DB0243">
        <w:t xml:space="preserve"> premature</w:t>
      </w:r>
      <w:r w:rsidR="00436A9F">
        <w:t xml:space="preserve"> prior to deliver</w:t>
      </w:r>
      <w:r w:rsidR="00F765EC">
        <w:t>ing</w:t>
      </w:r>
      <w:r w:rsidR="00436A9F">
        <w:t xml:space="preserve"> his re</w:t>
      </w:r>
      <w:r w:rsidR="007030C6">
        <w:t>p</w:t>
      </w:r>
      <w:r w:rsidR="00436A9F">
        <w:t xml:space="preserve">ly. Further, as a reply </w:t>
      </w:r>
      <w:r w:rsidR="00F765EC">
        <w:t>is</w:t>
      </w:r>
      <w:r w:rsidR="004971FA">
        <w:t xml:space="preserve"> often not delivered</w:t>
      </w:r>
      <w:r w:rsidR="00436A9F">
        <w:t xml:space="preserve">, its mere absence cannot </w:t>
      </w:r>
      <w:r w:rsidR="00DB0243">
        <w:t>automatically</w:t>
      </w:r>
      <w:r w:rsidR="00436A9F">
        <w:t xml:space="preserve"> preclude an order for discovery in favour of either party.</w:t>
      </w:r>
    </w:p>
    <w:p w14:paraId="05B22BC9" w14:textId="377D2984" w:rsidR="007069F2" w:rsidRDefault="00F765EC" w:rsidP="00B62959">
      <w:pPr>
        <w:pStyle w:val="ListParagraph"/>
        <w:numPr>
          <w:ilvl w:val="0"/>
          <w:numId w:val="8"/>
        </w:numPr>
        <w:spacing w:after="160" w:line="480" w:lineRule="auto"/>
        <w:contextualSpacing/>
        <w:jc w:val="both"/>
      </w:pPr>
      <w:r>
        <w:t>T</w:t>
      </w:r>
      <w:r w:rsidR="00A737B8" w:rsidRPr="00CD72A5">
        <w:t xml:space="preserve">he </w:t>
      </w:r>
      <w:r w:rsidR="007069F2">
        <w:t>Court of Appeal</w:t>
      </w:r>
      <w:r w:rsidR="00A737B8" w:rsidRPr="00CD72A5">
        <w:t xml:space="preserve"> in a relatively similar position in </w:t>
      </w:r>
      <w:r w:rsidR="00A737B8" w:rsidRPr="007069F2">
        <w:rPr>
          <w:i/>
        </w:rPr>
        <w:t>Desmond</w:t>
      </w:r>
      <w:r>
        <w:rPr>
          <w:i/>
        </w:rPr>
        <w:t>,</w:t>
      </w:r>
      <w:r w:rsidR="00A737B8" w:rsidRPr="00CD72A5">
        <w:t xml:space="preserve"> considered whether it might be appropriate to decline to rule on the application for discovery until a reply was delivered. Ultimately, the court concluded that the parameters of the central issues between the parties were sufficiently clear to enable it to determine whether the categories sought were relevant and necessary </w:t>
      </w:r>
      <w:r>
        <w:t>so as</w:t>
      </w:r>
      <w:r w:rsidR="00A737B8" w:rsidRPr="00CD72A5">
        <w:t xml:space="preserve"> to avoid </w:t>
      </w:r>
      <w:r>
        <w:t xml:space="preserve">making </w:t>
      </w:r>
      <w:r w:rsidR="00A737B8" w:rsidRPr="00CD72A5">
        <w:t xml:space="preserve">any order for discovery </w:t>
      </w:r>
      <w:r>
        <w:t>having</w:t>
      </w:r>
      <w:r w:rsidR="00A737B8" w:rsidRPr="00CD72A5">
        <w:t xml:space="preserve"> the flavour of an order for general discovery. </w:t>
      </w:r>
    </w:p>
    <w:p w14:paraId="157AA2CD" w14:textId="12895671" w:rsidR="00B70B22" w:rsidRDefault="00A737B8" w:rsidP="00B62959">
      <w:pPr>
        <w:pStyle w:val="ListParagraph"/>
        <w:numPr>
          <w:ilvl w:val="0"/>
          <w:numId w:val="8"/>
        </w:numPr>
        <w:spacing w:after="160" w:line="480" w:lineRule="auto"/>
        <w:contextualSpacing/>
        <w:jc w:val="both"/>
      </w:pPr>
      <w:r w:rsidRPr="00CD72A5">
        <w:t>The same applies in this case. Although the plaintiff has not delivered a reply, the central issues between the parties</w:t>
      </w:r>
      <w:r w:rsidR="00F765EC">
        <w:t>, particularly</w:t>
      </w:r>
      <w:r w:rsidRPr="00CD72A5">
        <w:t xml:space="preserve"> in </w:t>
      </w:r>
      <w:r w:rsidR="00F765EC">
        <w:t>relation</w:t>
      </w:r>
      <w:r w:rsidRPr="00CD72A5">
        <w:t xml:space="preserve"> </w:t>
      </w:r>
      <w:r w:rsidR="00F765EC">
        <w:t xml:space="preserve">to </w:t>
      </w:r>
      <w:r w:rsidRPr="00CD72A5">
        <w:t xml:space="preserve">the s. 26 defence were very fully </w:t>
      </w:r>
      <w:r w:rsidR="00B2753D" w:rsidRPr="00CD72A5">
        <w:t>argued</w:t>
      </w:r>
      <w:r w:rsidR="007069F2">
        <w:t xml:space="preserve"> before me</w:t>
      </w:r>
      <w:r w:rsidR="00B2753D" w:rsidRPr="00CD72A5">
        <w:t>.</w:t>
      </w:r>
      <w:r w:rsidR="00B2753D">
        <w:t xml:space="preserve"> </w:t>
      </w:r>
      <w:r w:rsidR="00B70B22">
        <w:t xml:space="preserve">Further, insofar as concerns the particulars pleaded </w:t>
      </w:r>
      <w:r w:rsidR="0049380D">
        <w:t xml:space="preserve">at </w:t>
      </w:r>
      <w:r w:rsidRPr="00CD72A5">
        <w:t>para</w:t>
      </w:r>
      <w:r w:rsidR="00F765EC">
        <w:t>graph</w:t>
      </w:r>
      <w:r w:rsidRPr="00CD72A5">
        <w:t>s 22 and 23 in relation to the plaintiff’s reputation</w:t>
      </w:r>
      <w:r w:rsidR="00F765EC">
        <w:t>,</w:t>
      </w:r>
      <w:r w:rsidRPr="00CD72A5">
        <w:t xml:space="preserve"> it is reasonable to assum</w:t>
      </w:r>
      <w:r w:rsidR="00F765EC">
        <w:t xml:space="preserve">e </w:t>
      </w:r>
      <w:r w:rsidRPr="00CD72A5">
        <w:t>that the plaintiff</w:t>
      </w:r>
      <w:r w:rsidR="00235CF3">
        <w:t xml:space="preserve"> will</w:t>
      </w:r>
      <w:r w:rsidRPr="00CD72A5">
        <w:t xml:space="preserve"> </w:t>
      </w:r>
      <w:r w:rsidR="00DB0243">
        <w:t>deny</w:t>
      </w:r>
      <w:r w:rsidR="00F765EC">
        <w:t xml:space="preserve"> </w:t>
      </w:r>
      <w:r w:rsidR="00436A9F">
        <w:t xml:space="preserve">or put in issue many of the </w:t>
      </w:r>
      <w:r w:rsidR="00DB0243">
        <w:t>particulars</w:t>
      </w:r>
      <w:r w:rsidR="00436A9F">
        <w:t xml:space="preserve"> pleaded</w:t>
      </w:r>
      <w:r w:rsidR="00F765EC">
        <w:t>. N</w:t>
      </w:r>
      <w:r w:rsidRPr="00CD72A5">
        <w:t xml:space="preserve">o suggestion </w:t>
      </w:r>
      <w:r w:rsidR="00436A9F">
        <w:t xml:space="preserve">to the contrary </w:t>
      </w:r>
      <w:r w:rsidR="004971FA">
        <w:t xml:space="preserve">was </w:t>
      </w:r>
      <w:r w:rsidRPr="00CD72A5">
        <w:t>made during the hearing.</w:t>
      </w:r>
    </w:p>
    <w:p w14:paraId="76EB46DC" w14:textId="5EF4A3DD" w:rsidR="00A737B8" w:rsidRDefault="00BB4815" w:rsidP="00B62959">
      <w:pPr>
        <w:pStyle w:val="ListParagraph"/>
        <w:numPr>
          <w:ilvl w:val="0"/>
          <w:numId w:val="8"/>
        </w:numPr>
        <w:spacing w:after="160" w:line="480" w:lineRule="auto"/>
        <w:contextualSpacing/>
        <w:jc w:val="both"/>
      </w:pPr>
      <w:r>
        <w:t>As the</w:t>
      </w:r>
      <w:r w:rsidR="00B2753D">
        <w:t xml:space="preserve"> application</w:t>
      </w:r>
      <w:r>
        <w:t xml:space="preserve"> for discovery</w:t>
      </w:r>
      <w:r w:rsidR="00B2753D">
        <w:t xml:space="preserve"> was argued before the court over a full day, like Collins J</w:t>
      </w:r>
      <w:r w:rsidR="0049380D">
        <w:t>.</w:t>
      </w:r>
      <w:r w:rsidR="00B2753D">
        <w:t xml:space="preserve"> in </w:t>
      </w:r>
      <w:r w:rsidR="00B2753D" w:rsidRPr="004971FA">
        <w:rPr>
          <w:i/>
          <w:iCs/>
        </w:rPr>
        <w:t>Desmond</w:t>
      </w:r>
      <w:r w:rsidR="00B2753D">
        <w:t xml:space="preserve">, I </w:t>
      </w:r>
      <w:r w:rsidR="00F23211">
        <w:t xml:space="preserve">do not </w:t>
      </w:r>
      <w:r>
        <w:t>consider</w:t>
      </w:r>
      <w:r w:rsidR="00B2753D">
        <w:t xml:space="preserve"> that the interest</w:t>
      </w:r>
      <w:r w:rsidR="004971FA">
        <w:t>s</w:t>
      </w:r>
      <w:r w:rsidR="00B2753D">
        <w:t xml:space="preserve"> of either party would be served by a failure to adjudicate on this issue.</w:t>
      </w:r>
    </w:p>
    <w:p w14:paraId="64E655C5" w14:textId="5734BD26" w:rsidR="009E7AFC" w:rsidRDefault="009E7AFC" w:rsidP="00B62959">
      <w:pPr>
        <w:pStyle w:val="ListParagraph"/>
        <w:numPr>
          <w:ilvl w:val="0"/>
          <w:numId w:val="8"/>
        </w:numPr>
        <w:spacing w:after="160" w:line="480" w:lineRule="auto"/>
        <w:contextualSpacing/>
        <w:jc w:val="both"/>
      </w:pPr>
      <w:r w:rsidRPr="00CD72A5">
        <w:t>The parties’ arguments for and against discovery were made</w:t>
      </w:r>
      <w:r w:rsidR="00F23211">
        <w:t xml:space="preserve"> globally</w:t>
      </w:r>
      <w:r w:rsidRPr="00CD72A5">
        <w:t xml:space="preserve"> in relation to the two categories of documents s</w:t>
      </w:r>
      <w:r>
        <w:t>ought.</w:t>
      </w:r>
    </w:p>
    <w:p w14:paraId="124602C7" w14:textId="0C71140D" w:rsidR="009E7AFC" w:rsidRDefault="004A3740" w:rsidP="00B62959">
      <w:pPr>
        <w:pStyle w:val="ListParagraph"/>
        <w:numPr>
          <w:ilvl w:val="0"/>
          <w:numId w:val="8"/>
        </w:numPr>
        <w:spacing w:after="160" w:line="480" w:lineRule="auto"/>
        <w:contextualSpacing/>
        <w:jc w:val="both"/>
      </w:pPr>
      <w:r w:rsidRPr="00CD72A5">
        <w:t xml:space="preserve">The </w:t>
      </w:r>
      <w:r w:rsidR="008C70F8">
        <w:t>def</w:t>
      </w:r>
      <w:r w:rsidR="00DB0243">
        <w:t>en</w:t>
      </w:r>
      <w:r w:rsidR="008C70F8">
        <w:t>dant contends that the</w:t>
      </w:r>
      <w:r w:rsidRPr="00CD72A5">
        <w:t xml:space="preserve"> discovery is sought in support of the defence of fair and reasonable publication under s. 26 of the 2009 Act and in support of the defendant’s pleas regarding the plaintiff’s reputation. </w:t>
      </w:r>
    </w:p>
    <w:p w14:paraId="2DB29453" w14:textId="5484A0BB" w:rsidR="00E14A55" w:rsidRDefault="004A3740" w:rsidP="00B62959">
      <w:pPr>
        <w:pStyle w:val="ListParagraph"/>
        <w:numPr>
          <w:ilvl w:val="0"/>
          <w:numId w:val="8"/>
        </w:numPr>
        <w:spacing w:line="480" w:lineRule="auto"/>
        <w:contextualSpacing/>
        <w:jc w:val="both"/>
      </w:pPr>
      <w:r w:rsidRPr="00CD72A5">
        <w:lastRenderedPageBreak/>
        <w:t>In respect of th</w:t>
      </w:r>
      <w:r w:rsidR="00C42A88">
        <w:t>e s</w:t>
      </w:r>
      <w:r w:rsidR="0049380D">
        <w:t>.</w:t>
      </w:r>
      <w:r w:rsidR="00C42A88">
        <w:t xml:space="preserve"> 26 defence</w:t>
      </w:r>
      <w:r w:rsidRPr="00CD72A5">
        <w:t xml:space="preserve">, </w:t>
      </w:r>
      <w:r w:rsidR="00E50F11" w:rsidRPr="00CD72A5">
        <w:t>para</w:t>
      </w:r>
      <w:r w:rsidR="00BF0168">
        <w:t>graph</w:t>
      </w:r>
      <w:r w:rsidRPr="00CD72A5">
        <w:t xml:space="preserve"> 16 of the defence </w:t>
      </w:r>
      <w:r w:rsidR="00BF0168">
        <w:t>particularises</w:t>
      </w:r>
      <w:r w:rsidRPr="00CD72A5">
        <w:t xml:space="preserve"> 20 different matters which the defendant intends to establish with a view to demonstrating that the defence of fair and reasonable publication applies.</w:t>
      </w:r>
      <w:r w:rsidR="00436A9F">
        <w:t xml:space="preserve"> These</w:t>
      </w:r>
      <w:r w:rsidRPr="00CD72A5">
        <w:t xml:space="preserve"> include pleas to the effect that the content of the publication </w:t>
      </w:r>
      <w:r w:rsidR="00DA2F1F">
        <w:t xml:space="preserve">was informed </w:t>
      </w:r>
      <w:r w:rsidRPr="00CD72A5">
        <w:t xml:space="preserve">by the journalist’s pre-existing knowledge of allegations relating to the plaintiff’s </w:t>
      </w:r>
      <w:r w:rsidR="00DA2F1F">
        <w:t xml:space="preserve">connections </w:t>
      </w:r>
      <w:r w:rsidRPr="00CD72A5">
        <w:t xml:space="preserve">with the IRA and </w:t>
      </w:r>
      <w:r w:rsidR="004E05F6" w:rsidRPr="00CD72A5">
        <w:t xml:space="preserve">IRA atrocities. The </w:t>
      </w:r>
      <w:r w:rsidR="00E14A55">
        <w:t>defen</w:t>
      </w:r>
      <w:r w:rsidR="00436A9F">
        <w:t>ce</w:t>
      </w:r>
      <w:r w:rsidR="00E14A55">
        <w:t xml:space="preserve"> </w:t>
      </w:r>
      <w:r w:rsidR="00BF0168">
        <w:t>refers</w:t>
      </w:r>
      <w:r w:rsidR="00436A9F">
        <w:t xml:space="preserve"> to </w:t>
      </w:r>
      <w:r w:rsidR="00436A9F" w:rsidRPr="00B62959">
        <w:rPr>
          <w:i/>
          <w:iCs/>
        </w:rPr>
        <w:t>“</w:t>
      </w:r>
      <w:r w:rsidR="00436A9F" w:rsidRPr="009E7AFC">
        <w:rPr>
          <w:i/>
          <w:iCs/>
        </w:rPr>
        <w:t>Martin’s”</w:t>
      </w:r>
      <w:r w:rsidR="00436A9F">
        <w:t xml:space="preserve"> belief </w:t>
      </w:r>
      <w:r w:rsidR="004E05F6" w:rsidRPr="00CD72A5">
        <w:t xml:space="preserve">that </w:t>
      </w:r>
      <w:r w:rsidR="00436A9F">
        <w:t>Mr</w:t>
      </w:r>
      <w:r w:rsidR="00DF394D">
        <w:t>.</w:t>
      </w:r>
      <w:r w:rsidR="00436A9F">
        <w:t xml:space="preserve"> Donaldson’s </w:t>
      </w:r>
      <w:r w:rsidR="004E05F6" w:rsidRPr="00CD72A5">
        <w:t>murder had been sanctioned by the person at the top of the republican movement, namely the plaintiff</w:t>
      </w:r>
      <w:r w:rsidR="00BF0168">
        <w:t xml:space="preserve"> and </w:t>
      </w:r>
      <w:r w:rsidR="004E05F6" w:rsidRPr="00CD72A5">
        <w:t xml:space="preserve">to the understanding of the </w:t>
      </w:r>
      <w:r w:rsidR="00E14A55" w:rsidRPr="00B62959">
        <w:rPr>
          <w:i/>
          <w:iCs/>
        </w:rPr>
        <w:t>“</w:t>
      </w:r>
      <w:r w:rsidR="004E05F6" w:rsidRPr="009E7AFC">
        <w:rPr>
          <w:i/>
          <w:iCs/>
        </w:rPr>
        <w:t>Spotlight</w:t>
      </w:r>
      <w:r w:rsidR="00E14A55" w:rsidRPr="009E7AFC">
        <w:rPr>
          <w:i/>
          <w:iCs/>
        </w:rPr>
        <w:t>”</w:t>
      </w:r>
      <w:r w:rsidR="004E05F6" w:rsidRPr="00CD72A5">
        <w:t xml:space="preserve"> </w:t>
      </w:r>
      <w:r w:rsidR="00316DF1" w:rsidRPr="00CD72A5">
        <w:t>team</w:t>
      </w:r>
      <w:r w:rsidR="00F23211">
        <w:t xml:space="preserve"> </w:t>
      </w:r>
      <w:r w:rsidR="00316DF1" w:rsidRPr="00CD72A5">
        <w:t>that</w:t>
      </w:r>
      <w:r w:rsidR="004E05F6" w:rsidRPr="00CD72A5">
        <w:t xml:space="preserve"> the plaintiff had stepped aside from the IRA army council by 2006</w:t>
      </w:r>
      <w:r w:rsidR="00436A9F">
        <w:t xml:space="preserve">, </w:t>
      </w:r>
      <w:r w:rsidR="00DB0243">
        <w:t>prior</w:t>
      </w:r>
      <w:r w:rsidR="00436A9F">
        <w:t xml:space="preserve"> to Mr</w:t>
      </w:r>
      <w:r w:rsidR="00DF394D">
        <w:t>.</w:t>
      </w:r>
      <w:r w:rsidR="00436A9F">
        <w:t xml:space="preserve"> Donaldson’s murder</w:t>
      </w:r>
      <w:r w:rsidR="004E05F6" w:rsidRPr="00CD72A5">
        <w:t>.</w:t>
      </w:r>
    </w:p>
    <w:p w14:paraId="472B65E0" w14:textId="3ED2B3F3" w:rsidR="004A3740" w:rsidRPr="00B62959" w:rsidRDefault="008C70F8" w:rsidP="00B62959">
      <w:pPr>
        <w:numPr>
          <w:ilvl w:val="0"/>
          <w:numId w:val="8"/>
        </w:numPr>
        <w:spacing w:line="480" w:lineRule="auto"/>
        <w:contextualSpacing/>
        <w:jc w:val="both"/>
      </w:pPr>
      <w:r w:rsidRPr="00B62959">
        <w:t xml:space="preserve">In respect of the </w:t>
      </w:r>
      <w:r w:rsidR="0049380D" w:rsidRPr="00B62959">
        <w:t>p</w:t>
      </w:r>
      <w:r w:rsidR="00C42A88" w:rsidRPr="00B62959">
        <w:t>laintiff’s reputation</w:t>
      </w:r>
      <w:r w:rsidRPr="00B62959">
        <w:t xml:space="preserve">, express pleas </w:t>
      </w:r>
      <w:r w:rsidR="004971FA" w:rsidRPr="00B62959">
        <w:t xml:space="preserve">in relation to the plaintiff’s </w:t>
      </w:r>
      <w:r w:rsidR="004E05F6" w:rsidRPr="00B62959">
        <w:t>association with the IRA</w:t>
      </w:r>
      <w:r w:rsidR="00F23211">
        <w:t xml:space="preserve"> and</w:t>
      </w:r>
      <w:r w:rsidR="004E05F6" w:rsidRPr="00B62959">
        <w:t xml:space="preserve"> </w:t>
      </w:r>
      <w:r w:rsidR="00BF0168" w:rsidRPr="00B62959">
        <w:t xml:space="preserve">his reputation for not condemning the killing by the IRA </w:t>
      </w:r>
      <w:r w:rsidR="00E14A55" w:rsidRPr="00B62959">
        <w:t xml:space="preserve">of informers </w:t>
      </w:r>
      <w:r w:rsidRPr="00B62959">
        <w:t xml:space="preserve">are </w:t>
      </w:r>
      <w:r w:rsidR="00BF0168" w:rsidRPr="00B62959">
        <w:t>made</w:t>
      </w:r>
      <w:r w:rsidRPr="00B62959">
        <w:t xml:space="preserve"> </w:t>
      </w:r>
      <w:r w:rsidR="004E05F6" w:rsidRPr="00B62959">
        <w:t>in para</w:t>
      </w:r>
      <w:r w:rsidR="00BF0168" w:rsidRPr="00B62959">
        <w:t>graph</w:t>
      </w:r>
      <w:r w:rsidR="004E05F6" w:rsidRPr="00B62959">
        <w:t>s 22 and 23 of the defence</w:t>
      </w:r>
      <w:r w:rsidR="00F23211">
        <w:t>,</w:t>
      </w:r>
      <w:r w:rsidR="006A397E">
        <w:t xml:space="preserve"> as bearing upon and comprising the plaintiff’s reputation</w:t>
      </w:r>
      <w:r w:rsidR="00BF0168" w:rsidRPr="00B62959">
        <w:t>.</w:t>
      </w:r>
    </w:p>
    <w:p w14:paraId="22BC8F92" w14:textId="48197391" w:rsidR="004E05F6" w:rsidRPr="00CD72A5" w:rsidRDefault="004E05F6" w:rsidP="00B62959">
      <w:pPr>
        <w:pStyle w:val="ListParagraph"/>
        <w:numPr>
          <w:ilvl w:val="0"/>
          <w:numId w:val="8"/>
        </w:numPr>
        <w:spacing w:line="480" w:lineRule="auto"/>
        <w:contextualSpacing/>
        <w:jc w:val="both"/>
      </w:pPr>
      <w:r w:rsidRPr="00CD72A5">
        <w:t xml:space="preserve">The defendant argues that the documents sought </w:t>
      </w:r>
      <w:r w:rsidR="00316DF1" w:rsidRPr="00CD72A5">
        <w:t>at categories</w:t>
      </w:r>
      <w:r w:rsidRPr="00CD72A5">
        <w:t xml:space="preserve"> 1 and 2 meet the established tests of relevance and necessity set out by the Supreme </w:t>
      </w:r>
      <w:r w:rsidR="00316DF1" w:rsidRPr="00CD72A5">
        <w:t>Court in</w:t>
      </w:r>
      <w:r w:rsidRPr="00CD72A5">
        <w:t xml:space="preserve"> </w:t>
      </w:r>
      <w:r w:rsidRPr="00E14A55">
        <w:rPr>
          <w:i/>
        </w:rPr>
        <w:t xml:space="preserve">Tobin v. Minister for </w:t>
      </w:r>
      <w:r w:rsidR="000F7BCE" w:rsidRPr="00E14A55">
        <w:rPr>
          <w:i/>
        </w:rPr>
        <w:t xml:space="preserve">Defence, </w:t>
      </w:r>
      <w:proofErr w:type="gramStart"/>
      <w:r w:rsidRPr="00E14A55">
        <w:rPr>
          <w:i/>
        </w:rPr>
        <w:t>Ireland</w:t>
      </w:r>
      <w:proofErr w:type="gramEnd"/>
      <w:r w:rsidRPr="00E14A55">
        <w:rPr>
          <w:i/>
        </w:rPr>
        <w:t xml:space="preserve"> and the Attorney General </w:t>
      </w:r>
      <w:r w:rsidRPr="00CD72A5">
        <w:t xml:space="preserve">[2019] IESC 57 </w:t>
      </w:r>
      <w:r w:rsidR="00871E60">
        <w:t>a</w:t>
      </w:r>
      <w:r w:rsidRPr="00CD72A5">
        <w:t>s</w:t>
      </w:r>
      <w:r w:rsidR="00871E60">
        <w:t xml:space="preserve"> stated by</w:t>
      </w:r>
      <w:r w:rsidRPr="00CD72A5">
        <w:t xml:space="preserve"> Clarke C.J.: </w:t>
      </w:r>
    </w:p>
    <w:p w14:paraId="5A2883CB" w14:textId="35A9F0A8" w:rsidR="00184FF5" w:rsidRDefault="00184FF5" w:rsidP="00C42A88">
      <w:pPr>
        <w:spacing w:after="160"/>
        <w:ind w:left="720"/>
        <w:contextualSpacing/>
        <w:jc w:val="both"/>
        <w:rPr>
          <w:i/>
          <w:iCs/>
        </w:rPr>
      </w:pPr>
      <w:r>
        <w:rPr>
          <w:i/>
          <w:iCs/>
        </w:rPr>
        <w:t xml:space="preserve">“The established definition of the test of relevance is to be found in the principles outlined in the judgment </w:t>
      </w:r>
      <w:r w:rsidR="00E9218E">
        <w:rPr>
          <w:i/>
          <w:iCs/>
        </w:rPr>
        <w:t>o</w:t>
      </w:r>
      <w:r>
        <w:rPr>
          <w:i/>
          <w:iCs/>
        </w:rPr>
        <w:t xml:space="preserve">f Brett LJ in </w:t>
      </w:r>
      <w:r w:rsidRPr="008A5EA5">
        <w:rPr>
          <w:b/>
          <w:bCs/>
          <w:i/>
          <w:iCs/>
        </w:rPr>
        <w:t>Compagnie Financiere et Commerciale due Pacifique v. Peruvican Guano (1882) 11 Q.B.D. 55 (“Peruvian Guano”)</w:t>
      </w:r>
      <w:r>
        <w:rPr>
          <w:i/>
          <w:iCs/>
        </w:rPr>
        <w:t xml:space="preserve">. With regard to necessity, in </w:t>
      </w:r>
      <w:r w:rsidRPr="008A5EA5">
        <w:rPr>
          <w:b/>
          <w:bCs/>
          <w:i/>
          <w:iCs/>
        </w:rPr>
        <w:t>Ryanair plc. v. Aer Rianta c.p.t [2003] IESC 62, [2003]</w:t>
      </w:r>
      <w:r w:rsidR="00AF7273" w:rsidRPr="008A5EA5">
        <w:rPr>
          <w:b/>
          <w:bCs/>
          <w:i/>
          <w:iCs/>
        </w:rPr>
        <w:t xml:space="preserve"> 4 I.R. 264 (“Ryanair”)</w:t>
      </w:r>
      <w:r w:rsidR="00AF7273">
        <w:rPr>
          <w:i/>
          <w:iCs/>
        </w:rPr>
        <w:t xml:space="preserve">, Fennelly J. held that, in order to establish that discovery of particular categories of documents is necessary for disposing fairly of the cause of the matter”, the applicant does not have to prove that they are in any sense “absolutely necessary”. He went on, at p. 277, to hold that the court </w:t>
      </w:r>
      <w:proofErr w:type="gramStart"/>
      <w:r w:rsidR="00AF7273">
        <w:rPr>
          <w:i/>
          <w:iCs/>
        </w:rPr>
        <w:t>should:-</w:t>
      </w:r>
      <w:proofErr w:type="gramEnd"/>
    </w:p>
    <w:p w14:paraId="48AC9454" w14:textId="13735CB7" w:rsidR="000E5FBB" w:rsidRPr="00C3264E" w:rsidRDefault="00AF7273" w:rsidP="00C42A88">
      <w:pPr>
        <w:spacing w:after="160"/>
        <w:ind w:left="720"/>
        <w:contextualSpacing/>
        <w:jc w:val="both"/>
        <w:rPr>
          <w:i/>
          <w:iCs/>
        </w:rPr>
      </w:pPr>
      <w:r>
        <w:rPr>
          <w:i/>
          <w:iCs/>
        </w:rPr>
        <w:tab/>
        <w:t>“…consider the necessity for discovery having regard to all the relevant circumstances, including the burden, scale and cost of the discovery sought. The court should be willing to confine categories of documents sought to what is genuinely necessary for the fairness of the litigation. It may have regard, of course, to alternative means of proof which are open to the applicant.”</w:t>
      </w:r>
      <w:r w:rsidR="00C3264E">
        <w:rPr>
          <w:i/>
          <w:iCs/>
        </w:rPr>
        <w:t>”</w:t>
      </w:r>
    </w:p>
    <w:p w14:paraId="58A7553F" w14:textId="77777777" w:rsidR="00184FF5" w:rsidRDefault="00184FF5" w:rsidP="00B62959">
      <w:pPr>
        <w:spacing w:after="160"/>
        <w:ind w:left="720"/>
        <w:contextualSpacing/>
        <w:jc w:val="both"/>
      </w:pPr>
    </w:p>
    <w:p w14:paraId="48558173" w14:textId="2F4127B3" w:rsidR="000F7BCE" w:rsidRPr="00CD72A5" w:rsidRDefault="000F7BCE" w:rsidP="003005A1">
      <w:pPr>
        <w:spacing w:after="160" w:line="480" w:lineRule="auto"/>
        <w:contextualSpacing/>
        <w:jc w:val="both"/>
      </w:pPr>
      <w:r w:rsidRPr="00CD72A5">
        <w:t>In further considering the “releva</w:t>
      </w:r>
      <w:r w:rsidR="00681B6F">
        <w:t>n</w:t>
      </w:r>
      <w:r w:rsidRPr="00CD72A5">
        <w:t xml:space="preserve">ce” of a document Clarke C.J. stated: </w:t>
      </w:r>
    </w:p>
    <w:p w14:paraId="1353E9C7" w14:textId="755EB2D1" w:rsidR="000F7BCE" w:rsidRPr="00681B6F" w:rsidRDefault="00681B6F" w:rsidP="00C42A88">
      <w:pPr>
        <w:spacing w:after="160"/>
        <w:ind w:left="720"/>
        <w:jc w:val="both"/>
        <w:rPr>
          <w:b/>
          <w:i/>
          <w:iCs/>
        </w:rPr>
      </w:pPr>
      <w:r>
        <w:rPr>
          <w:i/>
          <w:iCs/>
        </w:rPr>
        <w:lastRenderedPageBreak/>
        <w:t>“I should also make one final point of general application. Relevance is, as has been pointed out, determined by reference to the pleadings. Importantly, therefore, the scope of the issues which arise for the trial and which, thus, inform</w:t>
      </w:r>
      <w:r w:rsidR="00CD0928">
        <w:rPr>
          <w:i/>
          <w:iCs/>
        </w:rPr>
        <w:t xml:space="preserve"> the extent of the documentation which may be considered relevant, is determined by the way in which the parties choose to please their case. A plaintiff can hardly be heard to complain that they are required to make overbroad discovery if the reason for the scope of the discovery sought is because of a “kitchen sink” approach to plea</w:t>
      </w:r>
      <w:r w:rsidR="007030C6">
        <w:rPr>
          <w:i/>
          <w:iCs/>
        </w:rPr>
        <w:t>d</w:t>
      </w:r>
      <w:r w:rsidR="00CD0928">
        <w:rPr>
          <w:i/>
          <w:iCs/>
        </w:rPr>
        <w:t xml:space="preserve">ing the case. Likewise, </w:t>
      </w:r>
      <w:r w:rsidR="0049380D">
        <w:rPr>
          <w:i/>
          <w:iCs/>
        </w:rPr>
        <w:t>defendants</w:t>
      </w:r>
      <w:r w:rsidR="00CD0928">
        <w:rPr>
          <w:i/>
          <w:iCs/>
        </w:rPr>
        <w:t xml:space="preserve"> have to accept that, if they deny all elements of the plaintiff’s claim, then, inevitably, the scope of the issues which will arise for trial will be expanded and the potential for documents being relevant to issues which remain alive will be greatly increased.”</w:t>
      </w:r>
    </w:p>
    <w:p w14:paraId="153C3855" w14:textId="4DE6682E" w:rsidR="000F7BCE" w:rsidRDefault="000F7BCE" w:rsidP="003005A1">
      <w:pPr>
        <w:spacing w:after="160" w:line="480" w:lineRule="auto"/>
        <w:contextualSpacing/>
        <w:jc w:val="both"/>
      </w:pPr>
      <w:r w:rsidRPr="00CD72A5">
        <w:t xml:space="preserve">As for necessity, Clarke C.J. stated: </w:t>
      </w:r>
    </w:p>
    <w:p w14:paraId="245B665D" w14:textId="4CFEF47C" w:rsidR="00C3264E" w:rsidRDefault="00C3264E" w:rsidP="00C94423">
      <w:pPr>
        <w:spacing w:after="160"/>
        <w:ind w:left="720"/>
        <w:contextualSpacing/>
        <w:jc w:val="both"/>
        <w:rPr>
          <w:i/>
          <w:iCs/>
        </w:rPr>
      </w:pPr>
      <w:r>
        <w:rPr>
          <w:i/>
          <w:iCs/>
        </w:rPr>
        <w:t>“Considering all of that recent case law, it seems to me that, at the level of the broadest generality, certain fundamental principle</w:t>
      </w:r>
      <w:r w:rsidR="0049380D">
        <w:rPr>
          <w:i/>
          <w:iCs/>
        </w:rPr>
        <w:t>s</w:t>
      </w:r>
      <w:r>
        <w:rPr>
          <w:i/>
          <w:iCs/>
        </w:rPr>
        <w:t xml:space="preserve"> can be discerned. First, the key criteria remain those of relevance and of necessity. However, it also seems clear that there has been much greater scrutiny of the issue of “necessity” in more recent times. The traditional position very much accepted that if documents were relevant, their discovery would almost inevitably be necessary. However, much of the recent case law has indicated a need to move away from that position. Where there are other equally effectual means of establishing the truth and thus providing for a fair trial then discovery may not be “necessary”. This will certainly be so where it can be shown that the cost of making discovery would be significant and would greatly outweigh the costs of pursuing some alternative procedural mechanism to establish the same facts. Similar considerations apply when the likely true relevance of documentation may not become clear until the trial but where the immediate disclosure of the documentation concerned would necessarily involve disclosing highly confidential information. Furthermore, the development of a proportionality test can itself be seen as a further refinement of the concept of “necessity”.</w:t>
      </w:r>
    </w:p>
    <w:p w14:paraId="0EFCC8CB" w14:textId="77777777" w:rsidR="00C3264E" w:rsidRDefault="00C3264E" w:rsidP="00C94423">
      <w:pPr>
        <w:spacing w:after="160" w:line="480" w:lineRule="auto"/>
        <w:ind w:left="720"/>
        <w:contextualSpacing/>
        <w:jc w:val="both"/>
        <w:rPr>
          <w:i/>
          <w:iCs/>
        </w:rPr>
      </w:pPr>
    </w:p>
    <w:p w14:paraId="478DB1AC" w14:textId="0EBCC495" w:rsidR="0049380D" w:rsidRDefault="00C3264E" w:rsidP="00C94423">
      <w:pPr>
        <w:spacing w:after="160"/>
        <w:ind w:left="720"/>
        <w:contextualSpacing/>
        <w:jc w:val="both"/>
        <w:rPr>
          <w:i/>
          <w:iCs/>
        </w:rPr>
      </w:pPr>
      <w:r>
        <w:rPr>
          <w:i/>
          <w:iCs/>
        </w:rPr>
        <w:t xml:space="preserve">“It is of course, the case that “necessity” means that the disclosure of the documents concerned may be necessary for the fair and just resolution of the proceedings and potentially for saving costs. The costly alternative to discovery might, of course, be that a large number of persons would be served with subpoenas requiring them to bring documents with them to the trial, but that would lead to greatly prolonged hearings while documents were being introduced into evidence, as it were, “on the blind”. On the other hand, requiring a party to produce, at great expense, a very large number of documents, which are only likely to be of tangential relevance to the trial, is most unlikely to save costs and equally unlikely to lead to a fairer resolution of the proceedings. In that sense, the discovery of documents in question cannot be said to be necessary.” </w:t>
      </w:r>
    </w:p>
    <w:p w14:paraId="7ACE4F3C" w14:textId="77777777" w:rsidR="0049380D" w:rsidRPr="00C3264E" w:rsidRDefault="0049380D" w:rsidP="00C42A88">
      <w:pPr>
        <w:spacing w:after="160"/>
        <w:contextualSpacing/>
        <w:jc w:val="both"/>
        <w:rPr>
          <w:i/>
          <w:iCs/>
        </w:rPr>
      </w:pPr>
    </w:p>
    <w:p w14:paraId="6390A732" w14:textId="0997FB4E" w:rsidR="00F23211" w:rsidRDefault="000F7BCE" w:rsidP="00F23211">
      <w:pPr>
        <w:pStyle w:val="ListParagraph"/>
        <w:numPr>
          <w:ilvl w:val="0"/>
          <w:numId w:val="8"/>
        </w:numPr>
        <w:spacing w:after="160" w:line="480" w:lineRule="auto"/>
        <w:contextualSpacing/>
        <w:jc w:val="both"/>
      </w:pPr>
      <w:r w:rsidRPr="00CD72A5">
        <w:t xml:space="preserve">The defendant </w:t>
      </w:r>
      <w:r w:rsidR="009E7AFC">
        <w:t>submits</w:t>
      </w:r>
      <w:r w:rsidRPr="00CD72A5">
        <w:t xml:space="preserve"> that the plaintiff uniquely has knowledge of these issues, all of which are explored in the </w:t>
      </w:r>
      <w:r w:rsidR="00107953" w:rsidRPr="00CD72A5">
        <w:t>publications</w:t>
      </w:r>
      <w:r w:rsidRPr="00CD72A5">
        <w:t xml:space="preserve"> of which he complains and that the </w:t>
      </w:r>
      <w:r w:rsidR="008C70F8">
        <w:lastRenderedPageBreak/>
        <w:t xml:space="preserve">discovery of the </w:t>
      </w:r>
      <w:r w:rsidRPr="00CD72A5">
        <w:t xml:space="preserve">documents sought could either strengthen or weaken </w:t>
      </w:r>
      <w:r w:rsidR="00BF0168">
        <w:t>the parties’ respective</w:t>
      </w:r>
      <w:r w:rsidRPr="00CD72A5">
        <w:t xml:space="preserve"> position on the s. 26 defence and the plaintiff’s reputation. </w:t>
      </w:r>
    </w:p>
    <w:p w14:paraId="3AAA4F50" w14:textId="5A70A4FF" w:rsidR="00F23211" w:rsidRDefault="00F23211" w:rsidP="008E001A">
      <w:pPr>
        <w:pStyle w:val="Heading3"/>
        <w:rPr>
          <w:rFonts w:ascii="Times New Roman" w:hAnsi="Times New Roman"/>
          <w:i/>
          <w:iCs/>
          <w:sz w:val="24"/>
          <w:szCs w:val="24"/>
        </w:rPr>
      </w:pPr>
      <w:bookmarkStart w:id="15" w:name="_Toc97887635"/>
      <w:r w:rsidRPr="008E001A">
        <w:rPr>
          <w:rFonts w:ascii="Times New Roman" w:hAnsi="Times New Roman"/>
          <w:i/>
          <w:iCs/>
          <w:sz w:val="24"/>
          <w:szCs w:val="24"/>
        </w:rPr>
        <w:t>Relevance</w:t>
      </w:r>
      <w:bookmarkEnd w:id="15"/>
      <w:r w:rsidRPr="008E001A">
        <w:rPr>
          <w:rFonts w:ascii="Times New Roman" w:hAnsi="Times New Roman"/>
          <w:i/>
          <w:iCs/>
          <w:sz w:val="24"/>
          <w:szCs w:val="24"/>
        </w:rPr>
        <w:t xml:space="preserve"> </w:t>
      </w:r>
    </w:p>
    <w:p w14:paraId="2E76BB8E" w14:textId="77777777" w:rsidR="008E001A" w:rsidRPr="008E001A" w:rsidRDefault="008E001A" w:rsidP="008E001A"/>
    <w:p w14:paraId="74093C72" w14:textId="3FFF5DAD" w:rsidR="00E14A55" w:rsidRDefault="000F7BCE" w:rsidP="00B62959">
      <w:pPr>
        <w:pStyle w:val="ListParagraph"/>
        <w:numPr>
          <w:ilvl w:val="0"/>
          <w:numId w:val="8"/>
        </w:numPr>
        <w:spacing w:after="160" w:line="480" w:lineRule="auto"/>
        <w:contextualSpacing/>
        <w:jc w:val="both"/>
      </w:pPr>
      <w:r w:rsidRPr="00CD72A5">
        <w:t>The plaintiff does not seriously contend that the documents sought are not rele</w:t>
      </w:r>
      <w:r w:rsidR="00107953" w:rsidRPr="00CD72A5">
        <w:t xml:space="preserve">vant to the </w:t>
      </w:r>
      <w:r w:rsidR="00107953" w:rsidRPr="00F23211">
        <w:t>pleaded</w:t>
      </w:r>
      <w:r w:rsidR="0049380D" w:rsidRPr="00F23211">
        <w:t xml:space="preserve"> </w:t>
      </w:r>
      <w:r w:rsidR="00107953" w:rsidRPr="00F23211">
        <w:t>pa</w:t>
      </w:r>
      <w:r w:rsidR="00107953" w:rsidRPr="00E14A55">
        <w:t>rticulars</w:t>
      </w:r>
      <w:r w:rsidR="00107953" w:rsidRPr="00CD72A5">
        <w:t xml:space="preserve"> in respect of either the s. 26 defence or the plaintiff’s reputation. Rather, in respect of the s. 26 defence,</w:t>
      </w:r>
      <w:r w:rsidR="00BF0168">
        <w:t xml:space="preserve"> the plaintiff contends that</w:t>
      </w:r>
      <w:r w:rsidR="00107953" w:rsidRPr="00CD72A5">
        <w:t xml:space="preserve"> there is no conceivable way in which documents in the possession of the plaintiff</w:t>
      </w:r>
      <w:r w:rsidR="00F23211">
        <w:t>,</w:t>
      </w:r>
      <w:r w:rsidR="00107953" w:rsidRPr="00CD72A5">
        <w:t xml:space="preserve"> </w:t>
      </w:r>
      <w:r w:rsidR="00BF0168">
        <w:t>as opposed to the defendant</w:t>
      </w:r>
      <w:r w:rsidR="00F23211">
        <w:t>,</w:t>
      </w:r>
      <w:r w:rsidR="00BF0168">
        <w:t xml:space="preserve"> </w:t>
      </w:r>
      <w:r w:rsidR="00107953" w:rsidRPr="00CD72A5">
        <w:t>can inform th</w:t>
      </w:r>
      <w:r w:rsidR="0089692C">
        <w:t>at defence</w:t>
      </w:r>
      <w:r w:rsidR="00107953" w:rsidRPr="00CD72A5">
        <w:t>. The plaintiff argues that the defendant has the burden of proving that the publication was fair and reasonable and that the assessment of this issue is confined entirely to the state of knowledge and actions of the defendant at the time it broadcast the programme and published the article.</w:t>
      </w:r>
      <w:r w:rsidR="00E14A55">
        <w:t xml:space="preserve"> E</w:t>
      </w:r>
      <w:r w:rsidR="00107953" w:rsidRPr="00CD72A5">
        <w:t xml:space="preserve">ssentially, the plaintiff argues that documents which were not in the defendant’s possession at the time of its decision to broadcast the programme and publish the articles could have </w:t>
      </w:r>
      <w:r w:rsidR="00BF0168">
        <w:t>no</w:t>
      </w:r>
      <w:r w:rsidR="00107953" w:rsidRPr="00CD72A5">
        <w:t xml:space="preserve"> bearing</w:t>
      </w:r>
      <w:r w:rsidR="00BF0168">
        <w:t>,</w:t>
      </w:r>
      <w:r w:rsidR="00107953" w:rsidRPr="00CD72A5">
        <w:t xml:space="preserve"> one way or another</w:t>
      </w:r>
      <w:r w:rsidR="00BF0168">
        <w:t>,</w:t>
      </w:r>
      <w:r w:rsidR="00107953" w:rsidRPr="00CD72A5">
        <w:t xml:space="preserve"> on the decision to publish and are entirely irrelevant to the </w:t>
      </w:r>
      <w:r w:rsidR="00E14A55" w:rsidRPr="00CD72A5">
        <w:t xml:space="preserve">matters the </w:t>
      </w:r>
      <w:r w:rsidR="008C70F8">
        <w:t xml:space="preserve">jury will be </w:t>
      </w:r>
      <w:r w:rsidR="00E14A55" w:rsidRPr="00CD72A5">
        <w:t xml:space="preserve">obliged to </w:t>
      </w:r>
      <w:r w:rsidR="00E14A55">
        <w:t>determine</w:t>
      </w:r>
      <w:r w:rsidR="00E14A55" w:rsidRPr="00CD72A5">
        <w:t xml:space="preserve"> </w:t>
      </w:r>
      <w:r w:rsidR="00E14A55">
        <w:t xml:space="preserve">and specifically </w:t>
      </w:r>
      <w:r w:rsidR="00107953" w:rsidRPr="00CD72A5">
        <w:t>whether it was fair and reasonable to broadcast the programme or publish the article.</w:t>
      </w:r>
    </w:p>
    <w:p w14:paraId="1CC8D570" w14:textId="4BB8A68E" w:rsidR="00B86365" w:rsidRDefault="009E7AFC" w:rsidP="00B62959">
      <w:pPr>
        <w:pStyle w:val="ListParagraph"/>
        <w:numPr>
          <w:ilvl w:val="0"/>
          <w:numId w:val="8"/>
        </w:numPr>
        <w:spacing w:after="160" w:line="480" w:lineRule="auto"/>
        <w:contextualSpacing/>
        <w:jc w:val="both"/>
      </w:pPr>
      <w:r>
        <w:t xml:space="preserve">This </w:t>
      </w:r>
      <w:r w:rsidR="0089692C">
        <w:t xml:space="preserve">argument would </w:t>
      </w:r>
      <w:r>
        <w:t xml:space="preserve">be well made in assessing whether the defendant had acted in accordance with the standards of responsible journalism under </w:t>
      </w:r>
      <w:r w:rsidRPr="009E7AFC">
        <w:rPr>
          <w:i/>
          <w:iCs/>
        </w:rPr>
        <w:t>Reynolds</w:t>
      </w:r>
      <w:r>
        <w:t xml:space="preserve"> in respect of which it is clear that the journalist’s behaviour is gauged by reference to the situation at the time of the publication. As a result, information </w:t>
      </w:r>
      <w:r w:rsidR="00664E19">
        <w:t>which</w:t>
      </w:r>
      <w:r>
        <w:t xml:space="preserve"> comes to light subsequent to the publication su</w:t>
      </w:r>
      <w:r w:rsidR="00664E19">
        <w:t>ggest</w:t>
      </w:r>
      <w:r w:rsidR="00940557">
        <w:t>ing</w:t>
      </w:r>
      <w:r>
        <w:t xml:space="preserve"> that it was justified </w:t>
      </w:r>
      <w:r w:rsidR="00664E19">
        <w:t xml:space="preserve">may not be relied </w:t>
      </w:r>
      <w:r w:rsidR="00B86365">
        <w:t xml:space="preserve">upon </w:t>
      </w:r>
      <w:r w:rsidR="00664E19">
        <w:t xml:space="preserve">by way of </w:t>
      </w:r>
      <w:r w:rsidR="00664E19" w:rsidRPr="00664E19">
        <w:rPr>
          <w:i/>
          <w:iCs/>
        </w:rPr>
        <w:t>Reynolds</w:t>
      </w:r>
      <w:r w:rsidR="00664E19">
        <w:t xml:space="preserve"> </w:t>
      </w:r>
      <w:r w:rsidR="00B86365">
        <w:t>defence.</w:t>
      </w:r>
    </w:p>
    <w:p w14:paraId="462CCCC5" w14:textId="49D3DA3F" w:rsidR="00E14A55" w:rsidRDefault="00940557" w:rsidP="00B62959">
      <w:pPr>
        <w:pStyle w:val="ListParagraph"/>
        <w:numPr>
          <w:ilvl w:val="0"/>
          <w:numId w:val="8"/>
        </w:numPr>
        <w:spacing w:after="160" w:line="480" w:lineRule="auto"/>
        <w:contextualSpacing/>
        <w:jc w:val="both"/>
      </w:pPr>
      <w:r>
        <w:t>In my view that does not</w:t>
      </w:r>
      <w:r w:rsidR="00B86365">
        <w:t xml:space="preserve"> necessarily </w:t>
      </w:r>
      <w:r>
        <w:t xml:space="preserve">apply </w:t>
      </w:r>
      <w:r w:rsidR="00B86365">
        <w:t xml:space="preserve">to the s. 26 </w:t>
      </w:r>
      <w:r w:rsidR="00664E19">
        <w:t>defence</w:t>
      </w:r>
      <w:r>
        <w:t>.</w:t>
      </w:r>
      <w:r w:rsidR="00B86365">
        <w:t xml:space="preserve"> </w:t>
      </w:r>
      <w:r>
        <w:t>In</w:t>
      </w:r>
      <w:r w:rsidR="00107953" w:rsidRPr="00CD72A5">
        <w:t xml:space="preserve"> </w:t>
      </w:r>
      <w:r w:rsidR="00107953" w:rsidRPr="00CD72A5">
        <w:rPr>
          <w:i/>
        </w:rPr>
        <w:t xml:space="preserve">Desmond, </w:t>
      </w:r>
      <w:r w:rsidR="00107953" w:rsidRPr="00CD72A5">
        <w:t xml:space="preserve">Collins J. declined to reach any definite view </w:t>
      </w:r>
      <w:r>
        <w:t>on</w:t>
      </w:r>
      <w:r w:rsidR="00107953" w:rsidRPr="00CD72A5">
        <w:t xml:space="preserve"> the precise scope of the fair and reasonable publication defence but, insofar as he considered</w:t>
      </w:r>
      <w:r>
        <w:t xml:space="preserve"> its</w:t>
      </w:r>
      <w:r w:rsidR="00107953" w:rsidRPr="00CD72A5">
        <w:t xml:space="preserve"> general </w:t>
      </w:r>
      <w:r w:rsidR="00316DF1" w:rsidRPr="00CD72A5">
        <w:t>contours</w:t>
      </w:r>
      <w:r>
        <w:t>,</w:t>
      </w:r>
      <w:r w:rsidR="00107953" w:rsidRPr="00CD72A5">
        <w:t xml:space="preserve"> </w:t>
      </w:r>
      <w:r w:rsidR="00107953" w:rsidRPr="00CD72A5">
        <w:lastRenderedPageBreak/>
        <w:t>emphasised the broad and open textured nature of the factors falling for consideration.</w:t>
      </w:r>
      <w:r w:rsidR="00C42A88">
        <w:t xml:space="preserve"> The facts relevant under s. 26 go beyond the journalist</w:t>
      </w:r>
      <w:r w:rsidR="007030C6">
        <w:t>’s</w:t>
      </w:r>
      <w:r w:rsidR="00C42A88">
        <w:t xml:space="preserve"> state of knowledge at the time of publication.</w:t>
      </w:r>
      <w:r w:rsidR="00107953" w:rsidRPr="00CD72A5">
        <w:t xml:space="preserve"> </w:t>
      </w:r>
      <w:r w:rsidR="00E14A55">
        <w:t xml:space="preserve">It would be </w:t>
      </w:r>
      <w:r w:rsidR="00107953" w:rsidRPr="00CD72A5">
        <w:t>unduly restrictive to conclude that</w:t>
      </w:r>
      <w:r w:rsidR="00F23211">
        <w:t>,</w:t>
      </w:r>
      <w:r w:rsidR="00107953" w:rsidRPr="00CD72A5">
        <w:t xml:space="preserve"> if </w:t>
      </w:r>
      <w:r>
        <w:t xml:space="preserve">for example </w:t>
      </w:r>
      <w:r w:rsidR="00107953" w:rsidRPr="00CD72A5">
        <w:t xml:space="preserve">discovery were made of documents, confirming that the plaintiff was for many years on </w:t>
      </w:r>
      <w:r w:rsidR="008C70F8">
        <w:t xml:space="preserve">the </w:t>
      </w:r>
      <w:r w:rsidR="00107953" w:rsidRPr="00CD72A5">
        <w:t>IRA army council</w:t>
      </w:r>
      <w:r w:rsidR="00F23211">
        <w:t xml:space="preserve">, </w:t>
      </w:r>
      <w:r w:rsidR="00107953" w:rsidRPr="00CD72A5">
        <w:t>this would not inform an assessment of whether publication was in the course</w:t>
      </w:r>
      <w:r>
        <w:t>,</w:t>
      </w:r>
      <w:r w:rsidR="00107953" w:rsidRPr="00CD72A5">
        <w:t xml:space="preserve"> or for the purposes</w:t>
      </w:r>
      <w:r>
        <w:t>,</w:t>
      </w:r>
      <w:r w:rsidR="00107953" w:rsidRPr="00CD72A5">
        <w:t xml:space="preserve"> of a discussion of a subject of public interest</w:t>
      </w:r>
      <w:r w:rsidR="00F23211">
        <w:t xml:space="preserve"> </w:t>
      </w:r>
      <w:r w:rsidR="002854FA">
        <w:t>within the meaning of s</w:t>
      </w:r>
      <w:r w:rsidR="00B10EC7">
        <w:t>.</w:t>
      </w:r>
      <w:r w:rsidR="002854FA">
        <w:t xml:space="preserve"> 26 (1)(a)(ii)</w:t>
      </w:r>
      <w:r w:rsidR="00107953" w:rsidRPr="00CD72A5">
        <w:t xml:space="preserve">. </w:t>
      </w:r>
      <w:r w:rsidR="00F23211">
        <w:t>If</w:t>
      </w:r>
      <w:r w:rsidR="00107953" w:rsidRPr="00CD72A5">
        <w:t xml:space="preserve"> the defendant </w:t>
      </w:r>
      <w:r w:rsidR="006F1CC9" w:rsidRPr="00CD72A5">
        <w:t xml:space="preserve">can establish by credible evidence the truth of </w:t>
      </w:r>
      <w:r w:rsidR="008C70F8">
        <w:t xml:space="preserve">some or all of </w:t>
      </w:r>
      <w:r w:rsidR="006F1CC9" w:rsidRPr="00CD72A5">
        <w:t>the matters</w:t>
      </w:r>
      <w:r>
        <w:t xml:space="preserve"> pleaded</w:t>
      </w:r>
      <w:r w:rsidR="006F1CC9" w:rsidRPr="00CD72A5">
        <w:t xml:space="preserve"> at para</w:t>
      </w:r>
      <w:r>
        <w:t>graphs</w:t>
      </w:r>
      <w:r w:rsidR="006F1CC9" w:rsidRPr="00CD72A5">
        <w:t xml:space="preserve"> 1</w:t>
      </w:r>
      <w:r w:rsidR="008C70F8">
        <w:t>6</w:t>
      </w:r>
      <w:r w:rsidR="006F1CC9" w:rsidRPr="00CD72A5">
        <w:t xml:space="preserve">, 22 and 23, </w:t>
      </w:r>
      <w:r>
        <w:t>that</w:t>
      </w:r>
      <w:r w:rsidR="006F1CC9" w:rsidRPr="00CD72A5">
        <w:t xml:space="preserve"> is likely to be of relevance to the jury’s assessment of whether it was fair and reasonable</w:t>
      </w:r>
      <w:r>
        <w:t>, within the meaning of s. 26 (1)(c)</w:t>
      </w:r>
      <w:r w:rsidR="006F1CC9" w:rsidRPr="00CD72A5">
        <w:t xml:space="preserve"> to </w:t>
      </w:r>
      <w:r w:rsidR="00F23211">
        <w:t>publish</w:t>
      </w:r>
      <w:r>
        <w:t>.</w:t>
      </w:r>
    </w:p>
    <w:p w14:paraId="276970C3" w14:textId="270B749A" w:rsidR="004E05F6" w:rsidRPr="00664E19" w:rsidRDefault="00940557" w:rsidP="00B62959">
      <w:pPr>
        <w:pStyle w:val="ListParagraph"/>
        <w:numPr>
          <w:ilvl w:val="0"/>
          <w:numId w:val="8"/>
        </w:numPr>
        <w:spacing w:after="160" w:line="480" w:lineRule="auto"/>
        <w:contextualSpacing/>
        <w:jc w:val="both"/>
      </w:pPr>
      <w:r>
        <w:t>The</w:t>
      </w:r>
      <w:r w:rsidR="006F1CC9" w:rsidRPr="00CD72A5">
        <w:t xml:space="preserve"> documents</w:t>
      </w:r>
      <w:r>
        <w:t xml:space="preserve"> in category 1</w:t>
      </w:r>
      <w:r w:rsidR="006F1CC9" w:rsidRPr="00CD72A5">
        <w:t xml:space="preserve"> of which discovery is sought, </w:t>
      </w:r>
      <w:r w:rsidR="00316DF1" w:rsidRPr="00CD72A5">
        <w:t>are</w:t>
      </w:r>
      <w:r w:rsidR="006F1CC9" w:rsidRPr="00CD72A5">
        <w:t xml:space="preserve"> </w:t>
      </w:r>
      <w:r w:rsidR="00F23211">
        <w:t xml:space="preserve">therefore </w:t>
      </w:r>
      <w:r w:rsidR="006F1CC9" w:rsidRPr="00CD72A5">
        <w:t>potentially relevant to the s. 26 plea. The relevance</w:t>
      </w:r>
      <w:r>
        <w:t xml:space="preserve"> to the s. 26 plea</w:t>
      </w:r>
      <w:r w:rsidR="006F1CC9" w:rsidRPr="00CD72A5">
        <w:t xml:space="preserve"> of the document</w:t>
      </w:r>
      <w:r w:rsidR="00652013">
        <w:t>s</w:t>
      </w:r>
      <w:r w:rsidR="006F1CC9" w:rsidRPr="00CD72A5">
        <w:t xml:space="preserve"> </w:t>
      </w:r>
      <w:r>
        <w:t>in</w:t>
      </w:r>
      <w:r w:rsidR="006F1CC9" w:rsidRPr="00CD72A5">
        <w:t xml:space="preserve"> category </w:t>
      </w:r>
      <w:r>
        <w:t>2</w:t>
      </w:r>
      <w:r w:rsidR="006F1CC9" w:rsidRPr="00CD72A5">
        <w:t xml:space="preserve"> is less </w:t>
      </w:r>
      <w:r w:rsidR="00664E19">
        <w:t>apparent</w:t>
      </w:r>
      <w:r w:rsidR="006F1CC9" w:rsidRPr="00CD72A5">
        <w:t xml:space="preserve">. </w:t>
      </w:r>
      <w:r>
        <w:t>T</w:t>
      </w:r>
      <w:r w:rsidR="006F1CC9" w:rsidRPr="00CD72A5">
        <w:t xml:space="preserve">he plaintiff </w:t>
      </w:r>
      <w:r w:rsidR="00E147D3">
        <w:t xml:space="preserve">has been </w:t>
      </w:r>
      <w:r w:rsidR="00EB1D78">
        <w:t xml:space="preserve">deeply </w:t>
      </w:r>
      <w:r w:rsidR="006F1CC9" w:rsidRPr="00CD72A5">
        <w:t xml:space="preserve">involved in politics in Northern Ireland </w:t>
      </w:r>
      <w:r w:rsidR="00FF4CCE">
        <w:t xml:space="preserve">for many </w:t>
      </w:r>
      <w:r w:rsidR="00EB1D78">
        <w:t>decades</w:t>
      </w:r>
      <w:r w:rsidR="00FF4CCE">
        <w:t xml:space="preserve"> </w:t>
      </w:r>
      <w:r>
        <w:t>and it</w:t>
      </w:r>
      <w:r w:rsidR="006F1CC9" w:rsidRPr="00CD72A5">
        <w:t xml:space="preserve"> is difficult to see how his knowledge of the treatment of informers by the IRA would necessarily be relevant to the assessment of whether </w:t>
      </w:r>
      <w:r w:rsidR="00B943D4" w:rsidRPr="00CD72A5">
        <w:t xml:space="preserve">the publication was </w:t>
      </w:r>
      <w:r w:rsidR="00EB1D78">
        <w:t>fair and reasonable</w:t>
      </w:r>
      <w:r w:rsidR="00B943D4" w:rsidRPr="00CD72A5">
        <w:t xml:space="preserve">. </w:t>
      </w:r>
      <w:r w:rsidR="00FF4CCE">
        <w:t xml:space="preserve">The </w:t>
      </w:r>
      <w:r w:rsidR="00A767BC">
        <w:t>plaintiff</w:t>
      </w:r>
      <w:r w:rsidR="00FF4CCE">
        <w:t xml:space="preserve"> could have </w:t>
      </w:r>
      <w:r>
        <w:t>acquired</w:t>
      </w:r>
      <w:r w:rsidR="00FF4CCE">
        <w:t xml:space="preserve"> knowle</w:t>
      </w:r>
      <w:r w:rsidR="00CB5416">
        <w:t>dg</w:t>
      </w:r>
      <w:r w:rsidR="00FF4CCE">
        <w:t xml:space="preserve">e of </w:t>
      </w:r>
      <w:r w:rsidR="00C42A88">
        <w:t>such matters</w:t>
      </w:r>
      <w:r w:rsidR="00FF4CCE">
        <w:t xml:space="preserve"> in </w:t>
      </w:r>
      <w:r>
        <w:t xml:space="preserve">a </w:t>
      </w:r>
      <w:r w:rsidR="00CB5416">
        <w:t xml:space="preserve">number </w:t>
      </w:r>
      <w:r w:rsidR="00CB5416" w:rsidRPr="00664E19">
        <w:t>of</w:t>
      </w:r>
      <w:r w:rsidR="00FF4CCE" w:rsidRPr="00664E19">
        <w:t xml:space="preserve"> ways</w:t>
      </w:r>
      <w:r w:rsidR="00EB1D78" w:rsidRPr="00664E19">
        <w:t>. K</w:t>
      </w:r>
      <w:r w:rsidR="00FF4CCE" w:rsidRPr="00664E19">
        <w:t xml:space="preserve">nowledge of </w:t>
      </w:r>
      <w:r w:rsidR="00C42A88">
        <w:t>such matters</w:t>
      </w:r>
      <w:r w:rsidR="00EB1D78" w:rsidRPr="00664E19">
        <w:t xml:space="preserve"> </w:t>
      </w:r>
      <w:r w:rsidR="008C70F8" w:rsidRPr="00664E19">
        <w:t xml:space="preserve">does </w:t>
      </w:r>
      <w:r w:rsidR="00FF4CCE" w:rsidRPr="00664E19">
        <w:t xml:space="preserve">not </w:t>
      </w:r>
      <w:r w:rsidR="00EB1D78" w:rsidRPr="00664E19">
        <w:t>imply that</w:t>
      </w:r>
      <w:r w:rsidR="00FF4CCE" w:rsidRPr="00664E19">
        <w:t xml:space="preserve"> the plaintiff approved of it or acquiesce</w:t>
      </w:r>
      <w:r w:rsidR="008C70F8" w:rsidRPr="00664E19">
        <w:t>d</w:t>
      </w:r>
      <w:r w:rsidR="00FF4CCE" w:rsidRPr="00664E19">
        <w:t xml:space="preserve"> in </w:t>
      </w:r>
      <w:r w:rsidR="00C42A88">
        <w:t>the practice discussed</w:t>
      </w:r>
      <w:r w:rsidR="00FF4CCE" w:rsidRPr="00664E19">
        <w:t xml:space="preserve">. </w:t>
      </w:r>
      <w:r>
        <w:t xml:space="preserve">Such </w:t>
      </w:r>
      <w:r w:rsidR="00C42A88">
        <w:t>documents</w:t>
      </w:r>
      <w:r w:rsidR="00F3166A">
        <w:t xml:space="preserve"> would not, of themselves</w:t>
      </w:r>
      <w:r w:rsidR="00C42A88">
        <w:t>,</w:t>
      </w:r>
      <w:r w:rsidR="00B943D4" w:rsidRPr="00664E19">
        <w:t xml:space="preserve"> </w:t>
      </w:r>
      <w:r w:rsidR="00316DF1" w:rsidRPr="00664E19">
        <w:t>indicate that</w:t>
      </w:r>
      <w:r w:rsidR="00B943D4" w:rsidRPr="00664E19">
        <w:t xml:space="preserve"> the publication</w:t>
      </w:r>
      <w:r w:rsidR="00FF4CCE" w:rsidRPr="00664E19">
        <w:t xml:space="preserve">s </w:t>
      </w:r>
      <w:r w:rsidR="00CB5416" w:rsidRPr="00664E19">
        <w:t>in</w:t>
      </w:r>
      <w:r w:rsidR="00FF4CCE" w:rsidRPr="00664E19">
        <w:t xml:space="preserve"> </w:t>
      </w:r>
      <w:r w:rsidR="00CB5416" w:rsidRPr="00664E19">
        <w:t>issue</w:t>
      </w:r>
      <w:r w:rsidR="00FF4CCE" w:rsidRPr="00664E19">
        <w:t xml:space="preserve"> </w:t>
      </w:r>
      <w:r w:rsidR="00B943D4" w:rsidRPr="00664E19">
        <w:t>w</w:t>
      </w:r>
      <w:r w:rsidR="00C42A88">
        <w:t>ere</w:t>
      </w:r>
      <w:r w:rsidR="002854FA" w:rsidRPr="00664E19">
        <w:t>, for example,</w:t>
      </w:r>
      <w:r w:rsidR="00B943D4" w:rsidRPr="00664E19">
        <w:t xml:space="preserve"> in the course of a discussion on a subject of public interest</w:t>
      </w:r>
      <w:r w:rsidR="00F3166A">
        <w:t>.</w:t>
      </w:r>
    </w:p>
    <w:p w14:paraId="07B2A2DA" w14:textId="5A83BB1A" w:rsidR="00AB0275" w:rsidRPr="00664E19" w:rsidRDefault="00F23211" w:rsidP="00B62959">
      <w:pPr>
        <w:pStyle w:val="ListParagraph"/>
        <w:numPr>
          <w:ilvl w:val="0"/>
          <w:numId w:val="8"/>
        </w:numPr>
        <w:spacing w:after="160" w:line="480" w:lineRule="auto"/>
        <w:contextualSpacing/>
        <w:jc w:val="both"/>
      </w:pPr>
      <w:r>
        <w:t>T</w:t>
      </w:r>
      <w:r w:rsidR="00C42A88">
        <w:t>urning to the pleas on reputation, even</w:t>
      </w:r>
      <w:r w:rsidR="00AB0275" w:rsidRPr="00664E19">
        <w:t xml:space="preserve"> if I am incorrect in the above </w:t>
      </w:r>
      <w:r w:rsidR="00664E19" w:rsidRPr="00664E19">
        <w:t>analysis</w:t>
      </w:r>
      <w:r w:rsidR="00AB0275" w:rsidRPr="00664E19">
        <w:t xml:space="preserve"> </w:t>
      </w:r>
      <w:r w:rsidR="00664E19" w:rsidRPr="00664E19">
        <w:t>of</w:t>
      </w:r>
      <w:r w:rsidR="00AB0275" w:rsidRPr="00664E19">
        <w:t xml:space="preserve"> the relevance of the </w:t>
      </w:r>
      <w:r w:rsidR="00664E19" w:rsidRPr="00664E19">
        <w:t>documents</w:t>
      </w:r>
      <w:r w:rsidR="00AB0275" w:rsidRPr="00664E19">
        <w:t xml:space="preserve"> sought to the s</w:t>
      </w:r>
      <w:r w:rsidR="007D25D0">
        <w:t>.</w:t>
      </w:r>
      <w:r w:rsidR="00AB0275" w:rsidRPr="00664E19">
        <w:t xml:space="preserve"> 26 plea, the</w:t>
      </w:r>
      <w:r w:rsidR="00C42A88">
        <w:t xml:space="preserve"> category 1 documents </w:t>
      </w:r>
      <w:r w:rsidR="00AB0275" w:rsidRPr="00664E19">
        <w:t>are relevant to the pleas</w:t>
      </w:r>
      <w:r w:rsidR="00F3166A">
        <w:t xml:space="preserve"> on reputation</w:t>
      </w:r>
      <w:r w:rsidR="00AB0275" w:rsidRPr="00664E19">
        <w:t xml:space="preserve"> at para</w:t>
      </w:r>
      <w:r w:rsidR="00EE7F1D">
        <w:t>graphs</w:t>
      </w:r>
      <w:r w:rsidR="00AB0275" w:rsidRPr="00664E19">
        <w:t xml:space="preserve"> 22 and 23</w:t>
      </w:r>
      <w:r w:rsidR="007D25D0">
        <w:t>.</w:t>
      </w:r>
      <w:r w:rsidR="00AB0275" w:rsidRPr="00664E19">
        <w:t xml:space="preserve"> </w:t>
      </w:r>
      <w:r w:rsidR="00F3166A">
        <w:t>Discovery</w:t>
      </w:r>
      <w:r w:rsidR="00AB0275" w:rsidRPr="00664E19">
        <w:t xml:space="preserve"> of certain of the documents sought at category 1 </w:t>
      </w:r>
      <w:r>
        <w:t xml:space="preserve">clearly </w:t>
      </w:r>
      <w:r w:rsidR="00AB0275" w:rsidRPr="00664E19">
        <w:t xml:space="preserve">has the potential to strengthen or weaken </w:t>
      </w:r>
      <w:r w:rsidR="008A4A6F">
        <w:t xml:space="preserve">the </w:t>
      </w:r>
      <w:r w:rsidR="008A4A6F" w:rsidRPr="00664E19">
        <w:t>parties’</w:t>
      </w:r>
      <w:r w:rsidR="00AB0275" w:rsidRPr="00664E19">
        <w:t xml:space="preserve"> position. </w:t>
      </w:r>
      <w:proofErr w:type="gramStart"/>
      <w:r w:rsidR="00F3166A">
        <w:t>Again</w:t>
      </w:r>
      <w:proofErr w:type="gramEnd"/>
      <w:r w:rsidR="00F3166A">
        <w:t xml:space="preserve"> for</w:t>
      </w:r>
      <w:r w:rsidR="00AB0275" w:rsidRPr="00664E19">
        <w:t xml:space="preserve"> example</w:t>
      </w:r>
      <w:r w:rsidR="00F3166A">
        <w:t>, if</w:t>
      </w:r>
      <w:r w:rsidR="00AB0275" w:rsidRPr="00664E19">
        <w:t xml:space="preserve"> documents </w:t>
      </w:r>
      <w:r w:rsidR="00F3166A">
        <w:t>were</w:t>
      </w:r>
      <w:r w:rsidR="00AB0275" w:rsidRPr="00664E19">
        <w:t xml:space="preserve"> discovered which </w:t>
      </w:r>
      <w:r w:rsidR="00AB0275" w:rsidRPr="00664E19">
        <w:lastRenderedPageBreak/>
        <w:t>demonstrate</w:t>
      </w:r>
      <w:r w:rsidR="00F3166A">
        <w:t>d</w:t>
      </w:r>
      <w:r w:rsidR="00AB0275" w:rsidRPr="00664E19">
        <w:t xml:space="preserve"> that the plaintiff was a member of the IRA army council, this would likely have a bearing on the jury’s assessment of the damage to his reputation inflicted by the contended meaning of the </w:t>
      </w:r>
      <w:r w:rsidR="00F3166A">
        <w:t>publications</w:t>
      </w:r>
      <w:r w:rsidR="00AB0275" w:rsidRPr="00664E19">
        <w:t>. Therefore, whilst clearly, in the absence of a plea of justification, the defendant cannot lead any evidence to demonstrat</w:t>
      </w:r>
      <w:r w:rsidR="00F3166A">
        <w:t>e</w:t>
      </w:r>
      <w:r w:rsidR="00AB0275" w:rsidRPr="00664E19">
        <w:t xml:space="preserve"> the truth of the contended </w:t>
      </w:r>
      <w:r w:rsidR="00F3166A">
        <w:t xml:space="preserve">meaning of the </w:t>
      </w:r>
      <w:r w:rsidR="00AB0275" w:rsidRPr="00664E19">
        <w:t>centr</w:t>
      </w:r>
      <w:r w:rsidR="007D25D0">
        <w:t>al</w:t>
      </w:r>
      <w:r w:rsidR="00AB0275" w:rsidRPr="00664E19">
        <w:t xml:space="preserve"> allegation; i.e. that </w:t>
      </w:r>
      <w:r w:rsidR="00EE7F1D">
        <w:t xml:space="preserve">the </w:t>
      </w:r>
      <w:r w:rsidR="00AB0275" w:rsidRPr="00664E19">
        <w:t>plaintiff sanctioned the murder of Mr</w:t>
      </w:r>
      <w:r w:rsidR="00EE7F1D">
        <w:t>.</w:t>
      </w:r>
      <w:r w:rsidR="00AB0275" w:rsidRPr="00664E19">
        <w:t xml:space="preserve"> Donaldson</w:t>
      </w:r>
      <w:r>
        <w:t>, t</w:t>
      </w:r>
      <w:r w:rsidR="00AB0275" w:rsidRPr="00664E19">
        <w:t>his does not mean that the defendant cannot seek to establish facts which may incline a jury to find that the contended meaning is not damaging or is less damaging than it might otherwise have been</w:t>
      </w:r>
      <w:r w:rsidR="00F3166A">
        <w:t>,</w:t>
      </w:r>
      <w:r w:rsidR="00AB0275" w:rsidRPr="00664E19">
        <w:t xml:space="preserve"> to the plaintiff’s reputation. In the context of </w:t>
      </w:r>
      <w:r w:rsidR="007D25D0">
        <w:t xml:space="preserve">the </w:t>
      </w:r>
      <w:r w:rsidR="00AB0275" w:rsidRPr="00664E19">
        <w:t>plaintiff’s complaint that the meaning</w:t>
      </w:r>
      <w:r w:rsidR="00F3166A">
        <w:t>,</w:t>
      </w:r>
      <w:r w:rsidR="00AB0275" w:rsidRPr="00664E19">
        <w:t xml:space="preserve"> for which he contends</w:t>
      </w:r>
      <w:r w:rsidR="00F3166A">
        <w:t>,</w:t>
      </w:r>
      <w:r w:rsidR="00AB0275" w:rsidRPr="00664E19">
        <w:t xml:space="preserve"> has damaged his reputation, it must surely be relevant for the defendant to seek to establish that </w:t>
      </w:r>
      <w:r w:rsidR="007D25D0">
        <w:t xml:space="preserve">the </w:t>
      </w:r>
      <w:r w:rsidR="00AB0275" w:rsidRPr="00664E19">
        <w:t xml:space="preserve">plaintiff is connected to an organisation that, on the defendant’s case, </w:t>
      </w:r>
      <w:r w:rsidR="00276F6A">
        <w:t>was invo</w:t>
      </w:r>
      <w:r w:rsidR="00F3166A">
        <w:t>lved</w:t>
      </w:r>
      <w:r w:rsidR="00276F6A">
        <w:t xml:space="preserve"> in</w:t>
      </w:r>
      <w:r w:rsidR="00AB0275" w:rsidRPr="00664E19">
        <w:t xml:space="preserve"> a campaign of</w:t>
      </w:r>
      <w:r w:rsidR="00276F6A">
        <w:t xml:space="preserve"> violence</w:t>
      </w:r>
      <w:r w:rsidR="00AB0275" w:rsidRPr="00664E19">
        <w:t xml:space="preserve"> for a long time. Overall, it is difficult to see how evidence</w:t>
      </w:r>
      <w:r w:rsidR="00F3166A">
        <w:t>,</w:t>
      </w:r>
      <w:r w:rsidR="00AB0275" w:rsidRPr="00664E19">
        <w:t xml:space="preserve"> which might tend to either confirm or deny the majority of the matters pleaded at para</w:t>
      </w:r>
      <w:r w:rsidR="00F3166A">
        <w:t>graphs</w:t>
      </w:r>
      <w:r w:rsidR="00AB0275" w:rsidRPr="00664E19">
        <w:t xml:space="preserve"> 22 and 23 is not relevant. In </w:t>
      </w:r>
      <w:r w:rsidR="006A397E">
        <w:t>argument before the</w:t>
      </w:r>
      <w:r w:rsidR="00AB0275" w:rsidRPr="00664E19">
        <w:t xml:space="preserve"> court, the plaintiff did </w:t>
      </w:r>
      <w:r w:rsidR="008A4A6F">
        <w:t xml:space="preserve">not </w:t>
      </w:r>
      <w:r w:rsidR="00AB0275" w:rsidRPr="00664E19">
        <w:t xml:space="preserve">seriously dispute that this was so. </w:t>
      </w:r>
    </w:p>
    <w:p w14:paraId="4CABA9F7" w14:textId="435D3FB1" w:rsidR="00FF4CCE" w:rsidRDefault="006A397E" w:rsidP="00B62959">
      <w:pPr>
        <w:pStyle w:val="ListParagraph"/>
        <w:numPr>
          <w:ilvl w:val="0"/>
          <w:numId w:val="8"/>
        </w:numPr>
        <w:spacing w:after="160" w:line="480" w:lineRule="auto"/>
        <w:contextualSpacing/>
        <w:jc w:val="both"/>
      </w:pPr>
      <w:r>
        <w:t>Rather, i</w:t>
      </w:r>
      <w:r w:rsidR="00F3166A">
        <w:t>n his</w:t>
      </w:r>
      <w:r w:rsidR="00443311">
        <w:t xml:space="preserve"> replying </w:t>
      </w:r>
      <w:r w:rsidR="00CB5416">
        <w:t>affidavit</w:t>
      </w:r>
      <w:r w:rsidR="00443311">
        <w:t xml:space="preserve"> and written legal submissions</w:t>
      </w:r>
      <w:r w:rsidR="00F23211">
        <w:t>,</w:t>
      </w:r>
      <w:r w:rsidR="00443311">
        <w:t xml:space="preserve"> </w:t>
      </w:r>
      <w:r w:rsidR="00F3166A">
        <w:t xml:space="preserve">the plaintiff </w:t>
      </w:r>
      <w:r w:rsidR="00B943D4" w:rsidRPr="00CD72A5">
        <w:t>argue</w:t>
      </w:r>
      <w:r w:rsidR="00F3166A">
        <w:t>s</w:t>
      </w:r>
      <w:r w:rsidR="00B943D4" w:rsidRPr="00CD72A5">
        <w:t xml:space="preserve"> that documents</w:t>
      </w:r>
      <w:r w:rsidR="00F3166A">
        <w:t>,</w:t>
      </w:r>
      <w:r w:rsidR="00B943D4" w:rsidRPr="00CD72A5">
        <w:t xml:space="preserve"> which </w:t>
      </w:r>
      <w:r w:rsidR="00FF4CCE">
        <w:t xml:space="preserve">relate to </w:t>
      </w:r>
      <w:r w:rsidR="00B943D4" w:rsidRPr="00CD72A5">
        <w:t xml:space="preserve">the matters pleaded at </w:t>
      </w:r>
      <w:r w:rsidR="00E50F11" w:rsidRPr="00CD72A5">
        <w:t>para</w:t>
      </w:r>
      <w:r w:rsidR="00F3166A">
        <w:t>graphs</w:t>
      </w:r>
      <w:r w:rsidR="00B943D4" w:rsidRPr="00CD72A5">
        <w:t xml:space="preserve"> 22 and 23</w:t>
      </w:r>
      <w:r w:rsidR="00F3166A">
        <w:t xml:space="preserve"> and </w:t>
      </w:r>
      <w:r w:rsidR="00B943D4" w:rsidRPr="00CD72A5">
        <w:t xml:space="preserve">which might, for example evidence </w:t>
      </w:r>
      <w:r w:rsidR="00FF4CCE">
        <w:t>his</w:t>
      </w:r>
      <w:r w:rsidR="00B943D4" w:rsidRPr="00CD72A5">
        <w:t xml:space="preserve"> association with the IRA </w:t>
      </w:r>
      <w:r w:rsidR="002854FA">
        <w:t xml:space="preserve">or the basis for </w:t>
      </w:r>
      <w:r w:rsidR="007D25D0">
        <w:t xml:space="preserve">the </w:t>
      </w:r>
      <w:r w:rsidR="002854FA">
        <w:t xml:space="preserve">1987 </w:t>
      </w:r>
      <w:r w:rsidR="00DB0243">
        <w:t>statement</w:t>
      </w:r>
      <w:r w:rsidR="002854FA">
        <w:t xml:space="preserve"> </w:t>
      </w:r>
      <w:r w:rsidR="00F3166A">
        <w:t xml:space="preserve">about </w:t>
      </w:r>
      <w:r w:rsidR="002854FA">
        <w:t xml:space="preserve">the treatment of </w:t>
      </w:r>
      <w:r w:rsidR="00DB0243">
        <w:t>informers</w:t>
      </w:r>
      <w:r w:rsidR="00F3166A">
        <w:t xml:space="preserve">, </w:t>
      </w:r>
      <w:r w:rsidR="00B943D4" w:rsidRPr="00CD72A5">
        <w:t xml:space="preserve">are irrelevant because they constitute </w:t>
      </w:r>
      <w:r w:rsidR="00FF4CCE">
        <w:t xml:space="preserve">only </w:t>
      </w:r>
      <w:r w:rsidR="00B943D4" w:rsidRPr="00CD72A5">
        <w:t xml:space="preserve">evidence </w:t>
      </w:r>
      <w:r w:rsidR="00FF4CCE" w:rsidRPr="00CD72A5">
        <w:t>show</w:t>
      </w:r>
      <w:r w:rsidR="00FF4CCE">
        <w:t>ing his</w:t>
      </w:r>
      <w:r w:rsidR="00FF4CCE" w:rsidRPr="00CD72A5">
        <w:t xml:space="preserve"> character and disposition </w:t>
      </w:r>
      <w:r w:rsidR="00FF4CCE">
        <w:t xml:space="preserve">but not </w:t>
      </w:r>
      <w:r w:rsidR="00CB5416">
        <w:t>evidence</w:t>
      </w:r>
      <w:r w:rsidR="00FF4CCE">
        <w:t xml:space="preserve"> </w:t>
      </w:r>
      <w:r w:rsidR="00B943D4" w:rsidRPr="00CD72A5">
        <w:t>of his reputation</w:t>
      </w:r>
      <w:r w:rsidR="00FF4CCE">
        <w:t xml:space="preserve">. </w:t>
      </w:r>
      <w:r w:rsidR="002854FA">
        <w:t xml:space="preserve">Vis </w:t>
      </w:r>
      <w:r w:rsidR="00CB384E" w:rsidRPr="00CB384E">
        <w:t>à</w:t>
      </w:r>
      <w:r w:rsidR="00CB384E">
        <w:t xml:space="preserve"> </w:t>
      </w:r>
      <w:r w:rsidR="002854FA">
        <w:t>vis category</w:t>
      </w:r>
      <w:r w:rsidR="00EB1D78">
        <w:t xml:space="preserve"> </w:t>
      </w:r>
      <w:r w:rsidR="002854FA">
        <w:t xml:space="preserve">1, the plaintiff submitted that </w:t>
      </w:r>
      <w:r w:rsidR="002854FA" w:rsidRPr="00276F6A">
        <w:rPr>
          <w:i/>
          <w:iCs/>
        </w:rPr>
        <w:t xml:space="preserve">“evidence of a </w:t>
      </w:r>
      <w:r w:rsidR="00DB0243" w:rsidRPr="00276F6A">
        <w:rPr>
          <w:i/>
          <w:iCs/>
        </w:rPr>
        <w:t>person’s</w:t>
      </w:r>
      <w:r w:rsidR="002854FA" w:rsidRPr="00276F6A">
        <w:rPr>
          <w:i/>
          <w:iCs/>
        </w:rPr>
        <w:t xml:space="preserve"> alleged connection </w:t>
      </w:r>
      <w:r w:rsidR="00DB0243" w:rsidRPr="00276F6A">
        <w:rPr>
          <w:i/>
          <w:iCs/>
        </w:rPr>
        <w:t>with</w:t>
      </w:r>
      <w:r w:rsidR="002854FA" w:rsidRPr="00276F6A">
        <w:rPr>
          <w:i/>
          <w:iCs/>
        </w:rPr>
        <w:t xml:space="preserve"> an </w:t>
      </w:r>
      <w:r w:rsidR="00DB0243" w:rsidRPr="00276F6A">
        <w:rPr>
          <w:i/>
          <w:iCs/>
        </w:rPr>
        <w:t>organisation</w:t>
      </w:r>
      <w:r w:rsidR="002854FA" w:rsidRPr="00276F6A">
        <w:rPr>
          <w:i/>
          <w:iCs/>
        </w:rPr>
        <w:t xml:space="preserve"> is </w:t>
      </w:r>
      <w:r w:rsidR="00DB0243" w:rsidRPr="00276F6A">
        <w:rPr>
          <w:i/>
          <w:iCs/>
        </w:rPr>
        <w:t>not</w:t>
      </w:r>
      <w:r w:rsidR="002854FA" w:rsidRPr="00276F6A">
        <w:rPr>
          <w:i/>
          <w:iCs/>
        </w:rPr>
        <w:t xml:space="preserve"> </w:t>
      </w:r>
      <w:r w:rsidR="00DB0243" w:rsidRPr="00276F6A">
        <w:rPr>
          <w:i/>
          <w:iCs/>
        </w:rPr>
        <w:t>evidence</w:t>
      </w:r>
      <w:r w:rsidR="002854FA" w:rsidRPr="00276F6A">
        <w:rPr>
          <w:i/>
          <w:iCs/>
        </w:rPr>
        <w:t xml:space="preserve"> of that </w:t>
      </w:r>
      <w:r w:rsidR="00DB0243" w:rsidRPr="00276F6A">
        <w:rPr>
          <w:i/>
          <w:iCs/>
        </w:rPr>
        <w:t>person’s</w:t>
      </w:r>
      <w:r w:rsidR="002854FA" w:rsidRPr="00276F6A">
        <w:rPr>
          <w:i/>
          <w:iCs/>
        </w:rPr>
        <w:t xml:space="preserve"> </w:t>
      </w:r>
      <w:r w:rsidR="00DB0243" w:rsidRPr="00276F6A">
        <w:rPr>
          <w:i/>
          <w:iCs/>
        </w:rPr>
        <w:t>reputation</w:t>
      </w:r>
      <w:r w:rsidR="002854FA" w:rsidRPr="00276F6A">
        <w:rPr>
          <w:i/>
          <w:iCs/>
        </w:rPr>
        <w:t>”.</w:t>
      </w:r>
      <w:r w:rsidR="002854FA">
        <w:t xml:space="preserve"> </w:t>
      </w:r>
      <w:proofErr w:type="gramStart"/>
      <w:r w:rsidR="00DB0243">
        <w:t>Similarly</w:t>
      </w:r>
      <w:r w:rsidR="002854FA">
        <w:t>,  vis</w:t>
      </w:r>
      <w:proofErr w:type="gramEnd"/>
      <w:r w:rsidR="002854FA">
        <w:t xml:space="preserve"> </w:t>
      </w:r>
      <w:r w:rsidR="00CB384E" w:rsidRPr="00CB384E">
        <w:t>à</w:t>
      </w:r>
      <w:r w:rsidR="002854FA">
        <w:t xml:space="preserve"> vis category 2, the plaintiff submitted that </w:t>
      </w:r>
      <w:r w:rsidR="00EB1D78" w:rsidRPr="00B62959">
        <w:rPr>
          <w:i/>
          <w:iCs/>
        </w:rPr>
        <w:t>“</w:t>
      </w:r>
      <w:r w:rsidR="002854FA" w:rsidRPr="00A16ADD">
        <w:rPr>
          <w:i/>
          <w:iCs/>
        </w:rPr>
        <w:t xml:space="preserve">evidence as to a </w:t>
      </w:r>
      <w:r w:rsidR="00DB0243" w:rsidRPr="00A16ADD">
        <w:rPr>
          <w:i/>
          <w:iCs/>
        </w:rPr>
        <w:t>person’s</w:t>
      </w:r>
      <w:r w:rsidR="002854FA" w:rsidRPr="00A16ADD">
        <w:rPr>
          <w:i/>
          <w:iCs/>
        </w:rPr>
        <w:t xml:space="preserve"> </w:t>
      </w:r>
      <w:r w:rsidR="00DB0243" w:rsidRPr="00A16ADD">
        <w:rPr>
          <w:i/>
          <w:iCs/>
        </w:rPr>
        <w:t>state</w:t>
      </w:r>
      <w:r w:rsidR="002854FA" w:rsidRPr="00A16ADD">
        <w:rPr>
          <w:i/>
          <w:iCs/>
        </w:rPr>
        <w:t xml:space="preserve"> of </w:t>
      </w:r>
      <w:r w:rsidR="00DB0243" w:rsidRPr="00A16ADD">
        <w:rPr>
          <w:i/>
          <w:iCs/>
        </w:rPr>
        <w:t>knowledge</w:t>
      </w:r>
      <w:r w:rsidR="002854FA" w:rsidRPr="00A16ADD">
        <w:rPr>
          <w:i/>
          <w:iCs/>
        </w:rPr>
        <w:t xml:space="preserve"> </w:t>
      </w:r>
      <w:r w:rsidR="00EB1D78" w:rsidRPr="00A16ADD">
        <w:rPr>
          <w:i/>
          <w:iCs/>
        </w:rPr>
        <w:t>is not evidence of that person’s reputation</w:t>
      </w:r>
      <w:r w:rsidR="00EB1D78" w:rsidRPr="00B62959">
        <w:rPr>
          <w:i/>
          <w:iCs/>
        </w:rPr>
        <w:t>”.</w:t>
      </w:r>
      <w:r w:rsidR="00EB1D78" w:rsidRPr="00A16ADD">
        <w:t xml:space="preserve"> </w:t>
      </w:r>
      <w:r w:rsidR="00F3166A">
        <w:t>The plaintiff contends that</w:t>
      </w:r>
      <w:r w:rsidR="00FF4CCE">
        <w:t xml:space="preserve"> any </w:t>
      </w:r>
      <w:r w:rsidR="00FF4CCE">
        <w:lastRenderedPageBreak/>
        <w:t>such documents, or any evidence gleaned f</w:t>
      </w:r>
      <w:r w:rsidR="00276F6A">
        <w:t>ro</w:t>
      </w:r>
      <w:r w:rsidR="00FF4CCE">
        <w:t xml:space="preserve">m a perusal </w:t>
      </w:r>
      <w:r w:rsidR="00443311">
        <w:t>o</w:t>
      </w:r>
      <w:r w:rsidR="00FF4CCE">
        <w:t>f such documents</w:t>
      </w:r>
      <w:r w:rsidR="00F23211">
        <w:t>,</w:t>
      </w:r>
      <w:r w:rsidR="00FF4CCE">
        <w:t xml:space="preserve"> would be inadmissible at any trial</w:t>
      </w:r>
      <w:r w:rsidR="00B943D4" w:rsidRPr="00CD72A5">
        <w:t>.</w:t>
      </w:r>
    </w:p>
    <w:p w14:paraId="0FF08E81" w14:textId="69232F36" w:rsidR="00FF4CCE" w:rsidRDefault="00F3166A" w:rsidP="00B62959">
      <w:pPr>
        <w:pStyle w:val="ListParagraph"/>
        <w:numPr>
          <w:ilvl w:val="0"/>
          <w:numId w:val="8"/>
        </w:numPr>
        <w:spacing w:after="160" w:line="480" w:lineRule="auto"/>
        <w:contextualSpacing/>
        <w:jc w:val="both"/>
      </w:pPr>
      <w:r>
        <w:t xml:space="preserve">The courts </w:t>
      </w:r>
      <w:proofErr w:type="gramStart"/>
      <w:r w:rsidR="00FF4CCE">
        <w:t>accept</w:t>
      </w:r>
      <w:r>
        <w:t>s</w:t>
      </w:r>
      <w:proofErr w:type="gramEnd"/>
      <w:r w:rsidR="00FF4CCE">
        <w:t xml:space="preserve"> the </w:t>
      </w:r>
      <w:r w:rsidR="00B943D4" w:rsidRPr="00CD72A5">
        <w:t>defendant</w:t>
      </w:r>
      <w:r w:rsidR="00FF4CCE">
        <w:t xml:space="preserve">’s </w:t>
      </w:r>
      <w:r w:rsidR="002854FA">
        <w:t xml:space="preserve">submission </w:t>
      </w:r>
      <w:r w:rsidR="00B943D4" w:rsidRPr="00CD72A5">
        <w:t>that th</w:t>
      </w:r>
      <w:r w:rsidR="00443311">
        <w:t xml:space="preserve">is is </w:t>
      </w:r>
      <w:r w:rsidR="00B943D4" w:rsidRPr="00CD72A5">
        <w:t xml:space="preserve">too narrow an interpretation of the material likely to be relevant to mitigation. </w:t>
      </w:r>
      <w:r w:rsidR="00FF4CCE">
        <w:t>P</w:t>
      </w:r>
      <w:r w:rsidR="00B943D4" w:rsidRPr="00CD72A5">
        <w:t xml:space="preserve">rior to the 2009 Act, in accordance with the rule in </w:t>
      </w:r>
      <w:r w:rsidR="00B943D4" w:rsidRPr="00CD72A5">
        <w:rPr>
          <w:i/>
        </w:rPr>
        <w:t>Scott v. Sampson</w:t>
      </w:r>
      <w:r w:rsidR="001649DB">
        <w:rPr>
          <w:i/>
        </w:rPr>
        <w:t xml:space="preserve"> </w:t>
      </w:r>
      <w:r w:rsidR="001649DB">
        <w:t>[1882] 8 Q.B.D. 491</w:t>
      </w:r>
      <w:r w:rsidR="00B943D4" w:rsidRPr="00CD72A5">
        <w:t xml:space="preserve">, evidence of </w:t>
      </w:r>
      <w:r w:rsidR="00F969D2">
        <w:t xml:space="preserve">the plaintiff’s </w:t>
      </w:r>
      <w:r w:rsidR="00B943D4" w:rsidRPr="00CD72A5">
        <w:t>reputation was admissible</w:t>
      </w:r>
      <w:r w:rsidR="00FF4CCE">
        <w:t xml:space="preserve"> but</w:t>
      </w:r>
      <w:r w:rsidR="00B943D4" w:rsidRPr="00CD72A5">
        <w:t xml:space="preserve"> </w:t>
      </w:r>
      <w:r w:rsidR="00F969D2">
        <w:t xml:space="preserve">not </w:t>
      </w:r>
      <w:r w:rsidR="00B943D4" w:rsidRPr="00CD72A5">
        <w:t xml:space="preserve">evidence of particular facts </w:t>
      </w:r>
      <w:r w:rsidR="00CB5416" w:rsidRPr="00CD72A5">
        <w:t>tend</w:t>
      </w:r>
      <w:r w:rsidR="00CB5416">
        <w:t>ing</w:t>
      </w:r>
      <w:r w:rsidR="00B943D4" w:rsidRPr="00CD72A5">
        <w:t xml:space="preserve"> to show the </w:t>
      </w:r>
      <w:r w:rsidR="00652013">
        <w:t xml:space="preserve">plaintiff’s </w:t>
      </w:r>
      <w:r w:rsidR="00B943D4" w:rsidRPr="00CD72A5">
        <w:t xml:space="preserve">character and disposition. </w:t>
      </w:r>
      <w:r w:rsidR="00F969D2">
        <w:t>Now</w:t>
      </w:r>
      <w:r w:rsidR="00B943D4" w:rsidRPr="00CD72A5">
        <w:t xml:space="preserve">, s. 31 (6)(a) of the 2009 Act provides: </w:t>
      </w:r>
    </w:p>
    <w:p w14:paraId="785529E6" w14:textId="13E01ABA" w:rsidR="001649DB" w:rsidRPr="00276F6A" w:rsidRDefault="001649DB" w:rsidP="00276F6A">
      <w:pPr>
        <w:spacing w:after="160"/>
        <w:ind w:left="720"/>
        <w:contextualSpacing/>
        <w:jc w:val="both"/>
        <w:rPr>
          <w:i/>
          <w:iCs/>
        </w:rPr>
      </w:pPr>
      <w:r w:rsidRPr="00276F6A">
        <w:rPr>
          <w:i/>
          <w:iCs/>
        </w:rPr>
        <w:t>“(6) The defendant in a defamation action may, for the purposes of mitigating damages, give evidence—</w:t>
      </w:r>
    </w:p>
    <w:p w14:paraId="0703CFBA" w14:textId="4337C9CE" w:rsidR="001649DB" w:rsidRPr="00C94423" w:rsidRDefault="001649DB" w:rsidP="00C94423">
      <w:pPr>
        <w:pStyle w:val="ListParagraph"/>
        <w:numPr>
          <w:ilvl w:val="0"/>
          <w:numId w:val="26"/>
        </w:numPr>
        <w:spacing w:after="160"/>
        <w:contextualSpacing/>
        <w:jc w:val="both"/>
        <w:rPr>
          <w:i/>
          <w:iCs/>
        </w:rPr>
      </w:pPr>
      <w:r w:rsidRPr="00C94423">
        <w:rPr>
          <w:i/>
          <w:iCs/>
        </w:rPr>
        <w:t>with the leave of the court, of any matter that would have a bearing upon the reputation of the plaintiff, provided that it relates to matters connected with the defamatory statement.”</w:t>
      </w:r>
    </w:p>
    <w:p w14:paraId="70804EAB" w14:textId="77777777" w:rsidR="007D25D0" w:rsidRPr="00C94423" w:rsidRDefault="007D25D0" w:rsidP="00C94423">
      <w:pPr>
        <w:pStyle w:val="ListParagraph"/>
        <w:spacing w:after="160"/>
        <w:ind w:left="1080"/>
        <w:contextualSpacing/>
        <w:jc w:val="both"/>
        <w:rPr>
          <w:i/>
          <w:iCs/>
        </w:rPr>
      </w:pPr>
    </w:p>
    <w:p w14:paraId="2180C829" w14:textId="6B614B88" w:rsidR="002854FA" w:rsidRDefault="00B943D4" w:rsidP="00B62959">
      <w:pPr>
        <w:pStyle w:val="ListParagraph"/>
        <w:numPr>
          <w:ilvl w:val="0"/>
          <w:numId w:val="8"/>
        </w:numPr>
        <w:spacing w:after="160" w:line="480" w:lineRule="auto"/>
        <w:contextualSpacing/>
        <w:jc w:val="both"/>
      </w:pPr>
      <w:r w:rsidRPr="00CD72A5">
        <w:t xml:space="preserve">The 2009 Act </w:t>
      </w:r>
      <w:r w:rsidR="00F969D2">
        <w:t>departs</w:t>
      </w:r>
      <w:r w:rsidRPr="00CD72A5">
        <w:t xml:space="preserve"> </w:t>
      </w:r>
      <w:r w:rsidR="00443311">
        <w:t xml:space="preserve">from </w:t>
      </w:r>
      <w:r w:rsidRPr="00CD72A5">
        <w:t xml:space="preserve">the rule in </w:t>
      </w:r>
      <w:r w:rsidRPr="00FF4CCE">
        <w:rPr>
          <w:i/>
        </w:rPr>
        <w:t xml:space="preserve">Scott v. Sampson </w:t>
      </w:r>
      <w:r w:rsidR="001649DB">
        <w:t>[1882] 8 Q.B.D. 491</w:t>
      </w:r>
      <w:r w:rsidR="00F969D2">
        <w:t xml:space="preserve">. It </w:t>
      </w:r>
      <w:r w:rsidR="006A397E">
        <w:t xml:space="preserve">provides for the possibility of adducing </w:t>
      </w:r>
      <w:r w:rsidRPr="00CD72A5">
        <w:t>evidence</w:t>
      </w:r>
      <w:r w:rsidR="00F969D2">
        <w:t>,</w:t>
      </w:r>
      <w:r w:rsidR="00AC41AF">
        <w:t xml:space="preserve"> not just of </w:t>
      </w:r>
      <w:r w:rsidR="00DB0243">
        <w:t>reputation</w:t>
      </w:r>
      <w:r w:rsidR="00AC41AF">
        <w:t xml:space="preserve"> but</w:t>
      </w:r>
      <w:r w:rsidR="00652013">
        <w:t xml:space="preserve"> also</w:t>
      </w:r>
      <w:r w:rsidR="00AC41AF">
        <w:t xml:space="preserve"> of any matters</w:t>
      </w:r>
      <w:r w:rsidRPr="00CD72A5">
        <w:t xml:space="preserve"> </w:t>
      </w:r>
      <w:r w:rsidR="00F969D2">
        <w:t xml:space="preserve">bearing </w:t>
      </w:r>
      <w:r w:rsidR="00AC41AF">
        <w:t xml:space="preserve">upon </w:t>
      </w:r>
      <w:r w:rsidR="00DB0243">
        <w:t>reputation</w:t>
      </w:r>
      <w:r w:rsidR="00F969D2">
        <w:t>,</w:t>
      </w:r>
      <w:r w:rsidR="00AC41AF">
        <w:t xml:space="preserve"> </w:t>
      </w:r>
      <w:r w:rsidRPr="00CD72A5">
        <w:t>in mitigation of damages provided the leave of the court is obtained</w:t>
      </w:r>
      <w:r w:rsidR="006A397E">
        <w:t xml:space="preserve"> and provided</w:t>
      </w:r>
      <w:r w:rsidR="00F969D2">
        <w:t xml:space="preserve"> </w:t>
      </w:r>
      <w:r w:rsidR="00652013">
        <w:t xml:space="preserve">that </w:t>
      </w:r>
      <w:r w:rsidR="00AC41AF">
        <w:t xml:space="preserve">the </w:t>
      </w:r>
      <w:r w:rsidR="00DB0243">
        <w:t>safeguard</w:t>
      </w:r>
      <w:r w:rsidR="00AC41AF">
        <w:t xml:space="preserve"> in </w:t>
      </w:r>
      <w:r w:rsidR="00EE7F1D">
        <w:t>s</w:t>
      </w:r>
      <w:r w:rsidR="007D25D0">
        <w:t>.</w:t>
      </w:r>
      <w:r w:rsidRPr="00CD72A5">
        <w:t xml:space="preserve"> 31(6)(a) is </w:t>
      </w:r>
      <w:r w:rsidR="00F969D2">
        <w:t>satisfied</w:t>
      </w:r>
      <w:r w:rsidR="00AC41AF">
        <w:t xml:space="preserve"> and</w:t>
      </w:r>
      <w:r w:rsidR="00652013">
        <w:t xml:space="preserve"> </w:t>
      </w:r>
      <w:r w:rsidR="00AC41AF">
        <w:t xml:space="preserve">the </w:t>
      </w:r>
      <w:r w:rsidRPr="00CD72A5">
        <w:t xml:space="preserve">material </w:t>
      </w:r>
      <w:r w:rsidR="00256EDB">
        <w:t>to be</w:t>
      </w:r>
      <w:r w:rsidRPr="00CD72A5">
        <w:t xml:space="preserve"> adduced as evidence </w:t>
      </w:r>
      <w:r w:rsidR="00DD2486" w:rsidRPr="00CD72A5">
        <w:t>relate</w:t>
      </w:r>
      <w:r w:rsidR="00652013">
        <w:t>s</w:t>
      </w:r>
      <w:r w:rsidR="00DD2486" w:rsidRPr="00CD72A5">
        <w:t xml:space="preserve"> ‘</w:t>
      </w:r>
      <w:r w:rsidRPr="00256EDB">
        <w:rPr>
          <w:i/>
          <w:iCs/>
        </w:rPr>
        <w:t>to matters connecte</w:t>
      </w:r>
      <w:r w:rsidR="00DD2486" w:rsidRPr="00256EDB">
        <w:rPr>
          <w:i/>
          <w:iCs/>
        </w:rPr>
        <w:t>d with the defamatory statement’</w:t>
      </w:r>
      <w:r w:rsidR="00DD2486" w:rsidRPr="00CD72A5">
        <w:t xml:space="preserve">. </w:t>
      </w:r>
    </w:p>
    <w:p w14:paraId="2DC01D91" w14:textId="02290C1E" w:rsidR="00AB0275" w:rsidRDefault="00AC41AF" w:rsidP="00B62959">
      <w:pPr>
        <w:pStyle w:val="ListParagraph"/>
        <w:numPr>
          <w:ilvl w:val="0"/>
          <w:numId w:val="8"/>
        </w:numPr>
        <w:spacing w:after="160" w:line="480" w:lineRule="auto"/>
        <w:contextualSpacing/>
        <w:jc w:val="both"/>
      </w:pPr>
      <w:r>
        <w:t xml:space="preserve">Whilst not in any way </w:t>
      </w:r>
      <w:r w:rsidR="00DB0243">
        <w:t>deciding</w:t>
      </w:r>
      <w:r>
        <w:t xml:space="preserve"> this issue, a strong argument can be made </w:t>
      </w:r>
      <w:proofErr w:type="gramStart"/>
      <w:r>
        <w:t xml:space="preserve">that </w:t>
      </w:r>
      <w:r w:rsidR="002854FA">
        <w:t xml:space="preserve"> </w:t>
      </w:r>
      <w:r w:rsidR="00652013">
        <w:t>many</w:t>
      </w:r>
      <w:proofErr w:type="gramEnd"/>
      <w:r w:rsidR="00652013">
        <w:t xml:space="preserve"> </w:t>
      </w:r>
      <w:r w:rsidR="009D0D8C">
        <w:t xml:space="preserve">of </w:t>
      </w:r>
      <w:r>
        <w:t xml:space="preserve">the </w:t>
      </w:r>
      <w:r w:rsidR="00DD2486" w:rsidRPr="00CD72A5">
        <w:t>matters particularised at para</w:t>
      </w:r>
      <w:r w:rsidR="00F969D2">
        <w:t>graphs</w:t>
      </w:r>
      <w:r w:rsidR="00DD2486" w:rsidRPr="00CD72A5">
        <w:t xml:space="preserve"> 22 and 23 </w:t>
      </w:r>
      <w:r>
        <w:t xml:space="preserve">could be said to have a bearing </w:t>
      </w:r>
      <w:r w:rsidR="00896F5A">
        <w:t>o</w:t>
      </w:r>
      <w:r>
        <w:t xml:space="preserve">n the </w:t>
      </w:r>
      <w:r w:rsidR="00DB0243">
        <w:t>plaintiff’s</w:t>
      </w:r>
      <w:r>
        <w:t xml:space="preserve"> </w:t>
      </w:r>
      <w:r w:rsidR="00DB0243">
        <w:t>reputation</w:t>
      </w:r>
      <w:r>
        <w:t xml:space="preserve"> and </w:t>
      </w:r>
      <w:r w:rsidR="00F23211">
        <w:t xml:space="preserve">further </w:t>
      </w:r>
      <w:r w:rsidRPr="00CD72A5">
        <w:t>relate ‘</w:t>
      </w:r>
      <w:r w:rsidRPr="00AC41AF">
        <w:rPr>
          <w:i/>
          <w:iCs/>
        </w:rPr>
        <w:t>to matters connected with the defamatory statement</w:t>
      </w:r>
      <w:r w:rsidR="009D0D8C">
        <w:rPr>
          <w:i/>
          <w:iCs/>
        </w:rPr>
        <w:t>’</w:t>
      </w:r>
      <w:r>
        <w:rPr>
          <w:i/>
          <w:iCs/>
        </w:rPr>
        <w:t xml:space="preserve">. </w:t>
      </w:r>
      <w:r w:rsidR="00F969D2">
        <w:t>Th</w:t>
      </w:r>
      <w:r w:rsidR="00F23211">
        <w:t>erefore,</w:t>
      </w:r>
      <w:r w:rsidR="00F969D2">
        <w:t xml:space="preserve"> e</w:t>
      </w:r>
      <w:r w:rsidRPr="00AC41AF">
        <w:t xml:space="preserve">vidence of </w:t>
      </w:r>
      <w:r w:rsidR="00F969D2">
        <w:t>such</w:t>
      </w:r>
      <w:r w:rsidRPr="00AC41AF">
        <w:t xml:space="preserve"> matters is </w:t>
      </w:r>
      <w:r w:rsidR="00DD2486" w:rsidRPr="00CD72A5">
        <w:t>potentially admissible</w:t>
      </w:r>
      <w:r w:rsidR="00F969D2">
        <w:t>,</w:t>
      </w:r>
      <w:r w:rsidR="00DD2486" w:rsidRPr="00CD72A5">
        <w:t xml:space="preserve"> </w:t>
      </w:r>
      <w:r>
        <w:t xml:space="preserve">with leave of the court </w:t>
      </w:r>
      <w:r w:rsidR="00DD2486" w:rsidRPr="00CD72A5">
        <w:t xml:space="preserve">as having a bearing upon the </w:t>
      </w:r>
      <w:r w:rsidR="00F969D2">
        <w:t xml:space="preserve">plaintiff’s </w:t>
      </w:r>
      <w:r w:rsidR="00DD2486" w:rsidRPr="00CD72A5">
        <w:t xml:space="preserve">reputation or as demonstrating </w:t>
      </w:r>
      <w:r w:rsidR="00F969D2">
        <w:t>his</w:t>
      </w:r>
      <w:r w:rsidR="00DD2486" w:rsidRPr="00CD72A5">
        <w:t xml:space="preserve"> public reputation.</w:t>
      </w:r>
    </w:p>
    <w:p w14:paraId="0C4C25A2" w14:textId="73E23345" w:rsidR="00443311" w:rsidRDefault="00443311" w:rsidP="00B62959">
      <w:pPr>
        <w:pStyle w:val="ListParagraph"/>
        <w:numPr>
          <w:ilvl w:val="0"/>
          <w:numId w:val="8"/>
        </w:numPr>
        <w:spacing w:after="160" w:line="480" w:lineRule="auto"/>
        <w:contextualSpacing/>
        <w:jc w:val="both"/>
      </w:pPr>
      <w:r>
        <w:t>By way of rebuttal</w:t>
      </w:r>
      <w:r w:rsidR="00276F6A">
        <w:t>,</w:t>
      </w:r>
      <w:r>
        <w:t xml:space="preserve"> the plaintiff </w:t>
      </w:r>
      <w:r w:rsidR="00DD2486" w:rsidRPr="00CD72A5">
        <w:t>argue</w:t>
      </w:r>
      <w:r w:rsidR="00F23211">
        <w:t>s</w:t>
      </w:r>
      <w:r w:rsidR="00DD2486" w:rsidRPr="00CD72A5">
        <w:t xml:space="preserve"> that</w:t>
      </w:r>
      <w:r>
        <w:t xml:space="preserve"> </w:t>
      </w:r>
      <w:r w:rsidR="00DD2486" w:rsidRPr="00CD72A5">
        <w:t xml:space="preserve">as evidence </w:t>
      </w:r>
      <w:r>
        <w:t>b</w:t>
      </w:r>
      <w:r w:rsidR="00AC41AF">
        <w:t>e</w:t>
      </w:r>
      <w:r>
        <w:t xml:space="preserve">aring on </w:t>
      </w:r>
      <w:r w:rsidR="00F969D2">
        <w:t xml:space="preserve">his </w:t>
      </w:r>
      <w:r>
        <w:t xml:space="preserve">reputation </w:t>
      </w:r>
      <w:r w:rsidR="00DD2486" w:rsidRPr="00CD72A5">
        <w:t xml:space="preserve">may only be adduced with leave of the court, discovery of </w:t>
      </w:r>
      <w:r w:rsidR="00AC41AF">
        <w:t xml:space="preserve">the </w:t>
      </w:r>
      <w:r w:rsidR="00DD2486" w:rsidRPr="00CD72A5">
        <w:t xml:space="preserve">documents sought </w:t>
      </w:r>
      <w:r>
        <w:t>should o</w:t>
      </w:r>
      <w:r w:rsidR="00DD2486" w:rsidRPr="00CD72A5">
        <w:t xml:space="preserve">nly be granted </w:t>
      </w:r>
      <w:r w:rsidR="00AC41AF">
        <w:t xml:space="preserve">if and when </w:t>
      </w:r>
      <w:r w:rsidR="00DD2486" w:rsidRPr="00CD72A5">
        <w:t xml:space="preserve">such leave is obtained. </w:t>
      </w:r>
    </w:p>
    <w:p w14:paraId="22CAAA92" w14:textId="20838BF9" w:rsidR="00896F5A" w:rsidRDefault="00F969D2" w:rsidP="00B62959">
      <w:pPr>
        <w:pStyle w:val="ListParagraph"/>
        <w:numPr>
          <w:ilvl w:val="0"/>
          <w:numId w:val="8"/>
        </w:numPr>
        <w:spacing w:after="160" w:line="480" w:lineRule="auto"/>
        <w:contextualSpacing/>
        <w:jc w:val="both"/>
      </w:pPr>
      <w:r>
        <w:lastRenderedPageBreak/>
        <w:t>T</w:t>
      </w:r>
      <w:r w:rsidR="00896F5A" w:rsidRPr="00CD72A5">
        <w:t xml:space="preserve">here is no requirement in the </w:t>
      </w:r>
      <w:r w:rsidR="00770D8B">
        <w:t>R</w:t>
      </w:r>
      <w:r w:rsidR="00896F5A" w:rsidRPr="00CD72A5">
        <w:t>ules or in the 2009 Act that discovery must be postponed until after leave of the court is granted</w:t>
      </w:r>
      <w:r w:rsidR="00896F5A">
        <w:t xml:space="preserve">. </w:t>
      </w:r>
      <w:proofErr w:type="gramStart"/>
      <w:r>
        <w:t>Also</w:t>
      </w:r>
      <w:proofErr w:type="gramEnd"/>
      <w:r>
        <w:t xml:space="preserve"> the plaintiff’s submission</w:t>
      </w:r>
      <w:r w:rsidR="00896F5A">
        <w:t xml:space="preserve"> conflates </w:t>
      </w:r>
      <w:r w:rsidR="00DD2486" w:rsidRPr="00CD72A5">
        <w:t xml:space="preserve">the issue of discoverability with that of admissibility. </w:t>
      </w:r>
      <w:r>
        <w:t>Ultimately</w:t>
      </w:r>
      <w:r w:rsidR="00DD2486" w:rsidRPr="00CD72A5">
        <w:t xml:space="preserve">, leave of the court </w:t>
      </w:r>
      <w:r>
        <w:t>may</w:t>
      </w:r>
      <w:r w:rsidR="00DD2486" w:rsidRPr="00CD72A5">
        <w:t xml:space="preserve"> not be granted to the defendant to lead evidence o</w:t>
      </w:r>
      <w:r w:rsidR="00AC41AF">
        <w:t>n</w:t>
      </w:r>
      <w:r w:rsidR="00DD2486" w:rsidRPr="00CD72A5">
        <w:t xml:space="preserve"> </w:t>
      </w:r>
      <w:r w:rsidR="00AC41AF">
        <w:t xml:space="preserve">some of </w:t>
      </w:r>
      <w:r w:rsidR="00DD2486" w:rsidRPr="00CD72A5">
        <w:t xml:space="preserve">the </w:t>
      </w:r>
      <w:r w:rsidR="00AC41AF">
        <w:t xml:space="preserve">matters said to </w:t>
      </w:r>
      <w:r w:rsidR="00DD2486" w:rsidRPr="00CD72A5">
        <w:t xml:space="preserve">bear on reputation set out at </w:t>
      </w:r>
      <w:r w:rsidR="00E50F11" w:rsidRPr="00CD72A5">
        <w:t>para</w:t>
      </w:r>
      <w:r>
        <w:t>graphs</w:t>
      </w:r>
      <w:r w:rsidR="00DD2486" w:rsidRPr="00CD72A5">
        <w:t xml:space="preserve"> 22 </w:t>
      </w:r>
      <w:r w:rsidR="00AC41AF">
        <w:t xml:space="preserve">and 23 </w:t>
      </w:r>
      <w:r w:rsidR="00DD2486" w:rsidRPr="00CD72A5">
        <w:t xml:space="preserve">of the defence. This possibility cannot, </w:t>
      </w:r>
      <w:proofErr w:type="gramStart"/>
      <w:r w:rsidR="00DD2486" w:rsidRPr="00CD72A5">
        <w:t>however</w:t>
      </w:r>
      <w:proofErr w:type="gramEnd"/>
      <w:r w:rsidR="00DD2486" w:rsidRPr="00CD72A5">
        <w:t xml:space="preserve"> prevent discovery of the documents. </w:t>
      </w:r>
      <w:r>
        <w:t>T</w:t>
      </w:r>
      <w:r w:rsidR="00DD2486" w:rsidRPr="00CD72A5">
        <w:t xml:space="preserve">he discoverability </w:t>
      </w:r>
      <w:r w:rsidR="00F23211">
        <w:t xml:space="preserve">of </w:t>
      </w:r>
      <w:r w:rsidR="00DD2486" w:rsidRPr="00CD72A5">
        <w:t>document</w:t>
      </w:r>
      <w:r>
        <w:t>s</w:t>
      </w:r>
      <w:r w:rsidR="00DD2486" w:rsidRPr="00CD72A5">
        <w:t xml:space="preserve"> is not dictated by </w:t>
      </w:r>
      <w:r>
        <w:t>their</w:t>
      </w:r>
      <w:r w:rsidR="00DD2486" w:rsidRPr="00CD72A5">
        <w:t xml:space="preserve"> ultimate admissibility. Even if inadmissible, the documents may </w:t>
      </w:r>
      <w:r>
        <w:t xml:space="preserve">result </w:t>
      </w:r>
      <w:r w:rsidR="00DD2486" w:rsidRPr="00CD72A5">
        <w:t>a fruitful line of inquiry</w:t>
      </w:r>
      <w:r w:rsidR="00E06D75">
        <w:t xml:space="preserve"> by the defendant</w:t>
      </w:r>
      <w:r w:rsidR="00DD2486" w:rsidRPr="00CD72A5">
        <w:t>, for example</w:t>
      </w:r>
      <w:r w:rsidR="00E06D75">
        <w:t xml:space="preserve"> leading</w:t>
      </w:r>
      <w:r w:rsidR="00DD2486" w:rsidRPr="00CD72A5">
        <w:t xml:space="preserve"> to the identification of a particular witness relevant to the issue of </w:t>
      </w:r>
      <w:r w:rsidR="00E06D75">
        <w:t xml:space="preserve">the plaintiff’s </w:t>
      </w:r>
      <w:r w:rsidR="00DD2486" w:rsidRPr="00CD72A5">
        <w:t>reputation.</w:t>
      </w:r>
    </w:p>
    <w:p w14:paraId="2104F74A" w14:textId="5A91A176" w:rsidR="00652013" w:rsidRDefault="00DD2486" w:rsidP="00B62959">
      <w:pPr>
        <w:pStyle w:val="ListParagraph"/>
        <w:numPr>
          <w:ilvl w:val="0"/>
          <w:numId w:val="8"/>
        </w:numPr>
        <w:spacing w:after="160" w:line="480" w:lineRule="auto"/>
        <w:contextualSpacing/>
        <w:jc w:val="both"/>
      </w:pPr>
      <w:r w:rsidRPr="00A737B8">
        <w:rPr>
          <w:bCs/>
        </w:rPr>
        <w:t>I am n</w:t>
      </w:r>
      <w:r w:rsidRPr="00CD72A5">
        <w:t>ot therefore persuaded that either of the plaintiff</w:t>
      </w:r>
      <w:r w:rsidR="00276F6A">
        <w:t>’</w:t>
      </w:r>
      <w:r w:rsidRPr="00CD72A5">
        <w:t>s two primary grounds for resisting discovery</w:t>
      </w:r>
      <w:r w:rsidR="00E06D75">
        <w:t xml:space="preserve"> of the documents in category 1</w:t>
      </w:r>
      <w:r w:rsidRPr="00CD72A5">
        <w:t xml:space="preserve"> are well </w:t>
      </w:r>
      <w:r w:rsidR="00E06D75">
        <w:t>founded.</w:t>
      </w:r>
    </w:p>
    <w:p w14:paraId="58E1CFB6" w14:textId="6444F57E" w:rsidR="00F23211" w:rsidRDefault="00F23211" w:rsidP="00F23211">
      <w:pPr>
        <w:pStyle w:val="ListParagraph"/>
        <w:numPr>
          <w:ilvl w:val="0"/>
          <w:numId w:val="8"/>
        </w:numPr>
        <w:spacing w:after="160" w:line="480" w:lineRule="auto"/>
        <w:contextualSpacing/>
        <w:jc w:val="both"/>
      </w:pPr>
      <w:r>
        <w:t xml:space="preserve">However, </w:t>
      </w:r>
      <w:r w:rsidR="00652013">
        <w:t xml:space="preserve">I am not convinced that the </w:t>
      </w:r>
      <w:r w:rsidR="00C94423">
        <w:t xml:space="preserve">category 2 </w:t>
      </w:r>
      <w:r w:rsidR="00652013">
        <w:t xml:space="preserve">documents are relevant. The plaintiff does not appear to dispute that he made </w:t>
      </w:r>
      <w:r w:rsidR="00664E19">
        <w:t>this</w:t>
      </w:r>
      <w:r w:rsidR="00652013">
        <w:t xml:space="preserve"> statement in 1987 and he clearly must have had some </w:t>
      </w:r>
      <w:r w:rsidR="00664E19">
        <w:t>basis</w:t>
      </w:r>
      <w:r w:rsidR="00652013">
        <w:t xml:space="preserve"> for doing so. </w:t>
      </w:r>
      <w:r w:rsidR="00E06D75">
        <w:t>He does not</w:t>
      </w:r>
      <w:r w:rsidR="00652013">
        <w:t xml:space="preserve"> den</w:t>
      </w:r>
      <w:r w:rsidR="00E06D75">
        <w:t>y</w:t>
      </w:r>
      <w:r w:rsidR="00652013">
        <w:t xml:space="preserve"> knowledge of the </w:t>
      </w:r>
      <w:r w:rsidR="00E06D75">
        <w:t xml:space="preserve">IRA’s </w:t>
      </w:r>
      <w:r w:rsidR="00664E19">
        <w:t>practice</w:t>
      </w:r>
      <w:r w:rsidR="00276F6A">
        <w:t xml:space="preserve"> under discussion</w:t>
      </w:r>
      <w:r w:rsidR="00DB0243" w:rsidRPr="00CB5416">
        <w:t xml:space="preserve">. </w:t>
      </w:r>
      <w:r w:rsidR="00E06D75">
        <w:t>T</w:t>
      </w:r>
      <w:r w:rsidR="00652013">
        <w:t>herefore</w:t>
      </w:r>
      <w:r w:rsidR="00E06D75">
        <w:t>, it is</w:t>
      </w:r>
      <w:r w:rsidR="00652013">
        <w:t xml:space="preserve"> hard to see how d</w:t>
      </w:r>
      <w:r w:rsidR="00DB0243" w:rsidRPr="00CB5416">
        <w:t xml:space="preserve">ocuments evidencing </w:t>
      </w:r>
      <w:r w:rsidR="00E06D75">
        <w:t>such</w:t>
      </w:r>
      <w:r w:rsidR="00DB0243" w:rsidRPr="00CB5416">
        <w:t xml:space="preserve"> knowledge w</w:t>
      </w:r>
      <w:r w:rsidR="00E06D75">
        <w:t>ould</w:t>
      </w:r>
      <w:r w:rsidR="00DB0243" w:rsidRPr="00CB5416">
        <w:t xml:space="preserve"> advance the defendant’s case. Whist </w:t>
      </w:r>
      <w:r w:rsidR="00276F6A" w:rsidRPr="00276F6A">
        <w:rPr>
          <w:i/>
          <w:iCs/>
        </w:rPr>
        <w:t>“</w:t>
      </w:r>
      <w:r w:rsidR="00DB0243" w:rsidRPr="00276F6A">
        <w:rPr>
          <w:i/>
          <w:iCs/>
        </w:rPr>
        <w:t>document</w:t>
      </w:r>
      <w:r w:rsidR="00652013" w:rsidRPr="00276F6A">
        <w:rPr>
          <w:i/>
          <w:iCs/>
        </w:rPr>
        <w:t>s</w:t>
      </w:r>
      <w:r w:rsidR="00DB0243" w:rsidRPr="00276F6A">
        <w:rPr>
          <w:i/>
          <w:iCs/>
        </w:rPr>
        <w:t xml:space="preserve"> evidencing the plaintiff’s attitude towards this practice</w:t>
      </w:r>
      <w:r w:rsidR="00276F6A" w:rsidRPr="00276F6A">
        <w:rPr>
          <w:i/>
          <w:iCs/>
        </w:rPr>
        <w:t>”</w:t>
      </w:r>
      <w:r w:rsidR="00DB0243" w:rsidRPr="00276F6A">
        <w:rPr>
          <w:i/>
          <w:iCs/>
        </w:rPr>
        <w:t xml:space="preserve"> </w:t>
      </w:r>
      <w:r w:rsidR="00DB0243" w:rsidRPr="00CB5416">
        <w:t>might, if a particular attitude were evinced, advance the defendant’s case</w:t>
      </w:r>
      <w:r w:rsidR="004D5CBF">
        <w:t xml:space="preserve">, </w:t>
      </w:r>
      <w:r w:rsidR="00652013">
        <w:t xml:space="preserve">an order for discovery </w:t>
      </w:r>
      <w:r w:rsidR="00E06D75">
        <w:t>of such</w:t>
      </w:r>
      <w:r w:rsidR="004D5CBF">
        <w:t xml:space="preserve"> a category of</w:t>
      </w:r>
      <w:r w:rsidR="00E06D75">
        <w:t xml:space="preserve"> documentation</w:t>
      </w:r>
      <w:r w:rsidR="00652013">
        <w:t xml:space="preserve"> </w:t>
      </w:r>
      <w:r w:rsidR="00664E19">
        <w:t>would</w:t>
      </w:r>
      <w:r w:rsidR="00652013">
        <w:t xml:space="preserve"> be vague and </w:t>
      </w:r>
      <w:r w:rsidR="00DB0243" w:rsidRPr="00CB5416">
        <w:t xml:space="preserve">subjective </w:t>
      </w:r>
      <w:r w:rsidR="00DB0243">
        <w:t>and</w:t>
      </w:r>
      <w:r w:rsidR="00652013">
        <w:t xml:space="preserve"> </w:t>
      </w:r>
      <w:r w:rsidR="00664E19">
        <w:t>almost</w:t>
      </w:r>
      <w:r w:rsidR="00DB0243">
        <w:t xml:space="preserve"> </w:t>
      </w:r>
      <w:r w:rsidR="00DB0243" w:rsidRPr="00CB5416">
        <w:t>certain to lead to further applications to the court.</w:t>
      </w:r>
    </w:p>
    <w:p w14:paraId="5508766B" w14:textId="59184239" w:rsidR="00F23211" w:rsidRDefault="00F23211" w:rsidP="008E001A">
      <w:pPr>
        <w:pStyle w:val="Heading3"/>
        <w:rPr>
          <w:rFonts w:ascii="Times New Roman" w:hAnsi="Times New Roman"/>
          <w:i/>
          <w:iCs/>
          <w:sz w:val="24"/>
          <w:szCs w:val="24"/>
        </w:rPr>
      </w:pPr>
      <w:bookmarkStart w:id="16" w:name="_Toc97887636"/>
      <w:r w:rsidRPr="008E001A">
        <w:rPr>
          <w:rFonts w:ascii="Times New Roman" w:hAnsi="Times New Roman"/>
          <w:i/>
          <w:iCs/>
          <w:sz w:val="24"/>
          <w:szCs w:val="24"/>
        </w:rPr>
        <w:t>Necessity</w:t>
      </w:r>
      <w:bookmarkEnd w:id="16"/>
    </w:p>
    <w:p w14:paraId="12B17088" w14:textId="77777777" w:rsidR="008E001A" w:rsidRPr="008E001A" w:rsidRDefault="008E001A" w:rsidP="008E001A"/>
    <w:p w14:paraId="439DBA80" w14:textId="3B22FDA6" w:rsidR="00C82201" w:rsidRDefault="004D5CBF" w:rsidP="00F23211">
      <w:pPr>
        <w:pStyle w:val="ListParagraph"/>
        <w:numPr>
          <w:ilvl w:val="0"/>
          <w:numId w:val="8"/>
        </w:numPr>
        <w:spacing w:after="160" w:line="480" w:lineRule="auto"/>
        <w:contextualSpacing/>
        <w:jc w:val="both"/>
      </w:pPr>
      <w:r>
        <w:t xml:space="preserve">In terms of necessity, </w:t>
      </w:r>
      <w:r w:rsidR="00BA29CF" w:rsidRPr="00AB0275">
        <w:rPr>
          <w:i/>
          <w:iCs/>
        </w:rPr>
        <w:t>Tobin</w:t>
      </w:r>
      <w:r w:rsidR="00BA29CF">
        <w:t xml:space="preserve"> makes it clear that once </w:t>
      </w:r>
      <w:r w:rsidR="00DB0243">
        <w:t>relevance</w:t>
      </w:r>
      <w:r w:rsidR="00BA29CF">
        <w:t xml:space="preserve"> is established, it </w:t>
      </w:r>
      <w:r w:rsidR="00DB0243">
        <w:t>remains</w:t>
      </w:r>
      <w:r w:rsidR="00BA29CF">
        <w:t xml:space="preserve"> the </w:t>
      </w:r>
      <w:r w:rsidR="00DB0243">
        <w:t>default</w:t>
      </w:r>
      <w:r w:rsidR="00BA29CF">
        <w:t xml:space="preserve"> </w:t>
      </w:r>
      <w:r w:rsidR="00DB0243">
        <w:t>position</w:t>
      </w:r>
      <w:r w:rsidR="00BA29CF">
        <w:t xml:space="preserve"> that discovery of the documents sought </w:t>
      </w:r>
      <w:r w:rsidR="00161B6B">
        <w:t>is</w:t>
      </w:r>
      <w:r w:rsidR="00BA29CF">
        <w:t xml:space="preserve"> regarded as necessary.</w:t>
      </w:r>
      <w:r w:rsidR="00161B6B">
        <w:t xml:space="preserve"> </w:t>
      </w:r>
      <w:r w:rsidR="00513F9E">
        <w:t xml:space="preserve">In any event, </w:t>
      </w:r>
      <w:r w:rsidR="00343DC6">
        <w:t>no</w:t>
      </w:r>
      <w:r w:rsidR="00664E19">
        <w:t xml:space="preserve"> </w:t>
      </w:r>
      <w:r w:rsidR="00DB0243">
        <w:t>argument</w:t>
      </w:r>
      <w:r w:rsidR="009D0D8C">
        <w:t xml:space="preserve"> has</w:t>
      </w:r>
      <w:r w:rsidR="00DB0243">
        <w:t xml:space="preserve"> </w:t>
      </w:r>
      <w:r w:rsidR="00BA29CF">
        <w:t>been advance</w:t>
      </w:r>
      <w:r w:rsidR="00DB0243">
        <w:t>d</w:t>
      </w:r>
      <w:r w:rsidR="00BA29CF">
        <w:t xml:space="preserve"> </w:t>
      </w:r>
      <w:r>
        <w:t xml:space="preserve">by the plaintiff </w:t>
      </w:r>
      <w:r w:rsidR="00DB0243">
        <w:t>that</w:t>
      </w:r>
      <w:r w:rsidR="00343DC6">
        <w:t xml:space="preserve"> </w:t>
      </w:r>
      <w:r w:rsidR="00513F9E">
        <w:t>the</w:t>
      </w:r>
      <w:r w:rsidR="00343DC6">
        <w:t xml:space="preserve"> </w:t>
      </w:r>
      <w:r w:rsidR="00BA29CF">
        <w:lastRenderedPageBreak/>
        <w:t>discovery</w:t>
      </w:r>
      <w:r w:rsidR="00343DC6">
        <w:t xml:space="preserve"> </w:t>
      </w:r>
      <w:r w:rsidR="00513F9E">
        <w:t xml:space="preserve">sought </w:t>
      </w:r>
      <w:r w:rsidR="00BA29CF">
        <w:t>is not necessary</w:t>
      </w:r>
      <w:r w:rsidR="00E56844">
        <w:t xml:space="preserve">, nor </w:t>
      </w:r>
      <w:r w:rsidR="00BA29CF">
        <w:t xml:space="preserve">that the </w:t>
      </w:r>
      <w:r w:rsidR="00DB0243">
        <w:t>defendant</w:t>
      </w:r>
      <w:r w:rsidR="00BA29CF">
        <w:t xml:space="preserve"> has </w:t>
      </w:r>
      <w:r w:rsidR="00E56844">
        <w:t xml:space="preserve">some </w:t>
      </w:r>
      <w:r w:rsidR="00BA29CF">
        <w:t xml:space="preserve">other means </w:t>
      </w:r>
      <w:r w:rsidR="00E56844">
        <w:t>of establishing the truth of the matters pleaded</w:t>
      </w:r>
      <w:r w:rsidR="00B87F89">
        <w:t xml:space="preserve"> at paragraphs 22 and 23 of the defence.</w:t>
      </w:r>
    </w:p>
    <w:p w14:paraId="0426BD8C" w14:textId="3C36D37E" w:rsidR="00F23211" w:rsidRDefault="00C82201" w:rsidP="008E001A">
      <w:pPr>
        <w:pStyle w:val="Heading3"/>
        <w:rPr>
          <w:rFonts w:ascii="Times New Roman" w:hAnsi="Times New Roman"/>
          <w:i/>
          <w:iCs/>
          <w:sz w:val="24"/>
          <w:szCs w:val="24"/>
        </w:rPr>
      </w:pPr>
      <w:bookmarkStart w:id="17" w:name="_Toc97887637"/>
      <w:r w:rsidRPr="008E001A">
        <w:rPr>
          <w:rFonts w:ascii="Times New Roman" w:hAnsi="Times New Roman"/>
          <w:i/>
          <w:iCs/>
          <w:sz w:val="24"/>
          <w:szCs w:val="24"/>
        </w:rPr>
        <w:t>Proportionality</w:t>
      </w:r>
      <w:bookmarkEnd w:id="17"/>
      <w:r w:rsidR="00F23211" w:rsidRPr="008E001A">
        <w:rPr>
          <w:rFonts w:ascii="Times New Roman" w:hAnsi="Times New Roman"/>
          <w:i/>
          <w:iCs/>
          <w:sz w:val="24"/>
          <w:szCs w:val="24"/>
        </w:rPr>
        <w:t xml:space="preserve"> </w:t>
      </w:r>
    </w:p>
    <w:p w14:paraId="1E5C6A8F" w14:textId="77777777" w:rsidR="008E001A" w:rsidRPr="008E001A" w:rsidRDefault="008E001A" w:rsidP="008E001A"/>
    <w:p w14:paraId="6D813DBE" w14:textId="77777777" w:rsidR="00D32F90" w:rsidRDefault="00DD2486" w:rsidP="00873851">
      <w:pPr>
        <w:pStyle w:val="ListParagraph"/>
        <w:numPr>
          <w:ilvl w:val="0"/>
          <w:numId w:val="17"/>
        </w:numPr>
        <w:spacing w:after="160" w:line="480" w:lineRule="auto"/>
        <w:contextualSpacing/>
        <w:jc w:val="both"/>
      </w:pPr>
      <w:r w:rsidRPr="00CD72A5">
        <w:t>The plaintiff argues that the discovery sought</w:t>
      </w:r>
      <w:r w:rsidR="00B87F89">
        <w:t xml:space="preserve"> would be</w:t>
      </w:r>
      <w:r w:rsidRPr="00CD72A5">
        <w:t xml:space="preserve"> excessively burdensome</w:t>
      </w:r>
      <w:r w:rsidR="00EC0545" w:rsidRPr="00CD72A5">
        <w:t xml:space="preserve">. </w:t>
      </w:r>
      <w:r w:rsidR="004D5CBF">
        <w:t>The defendant argues that</w:t>
      </w:r>
      <w:r w:rsidR="00A737B8">
        <w:t xml:space="preserve"> i</w:t>
      </w:r>
      <w:r w:rsidR="00EC0545" w:rsidRPr="00CD72A5">
        <w:t>t is incumbent upon a p</w:t>
      </w:r>
      <w:r w:rsidR="00A737B8">
        <w:t>arty</w:t>
      </w:r>
      <w:r w:rsidR="00EC0545" w:rsidRPr="00CD72A5">
        <w:t xml:space="preserve"> who alleges that discovery sought is </w:t>
      </w:r>
      <w:r w:rsidR="00316DF1" w:rsidRPr="00CD72A5">
        <w:t>excessively burdensome</w:t>
      </w:r>
      <w:r w:rsidR="00EC0545" w:rsidRPr="00CD72A5">
        <w:t xml:space="preserve"> to </w:t>
      </w:r>
      <w:r w:rsidR="00F44E0A">
        <w:t xml:space="preserve">aver as to why this is so having regard to the likely volume of documentation to be </w:t>
      </w:r>
      <w:r w:rsidR="00F31F57">
        <w:t>assembled</w:t>
      </w:r>
      <w:r w:rsidR="00F44E0A">
        <w:t xml:space="preserve"> and examined in order to comply with </w:t>
      </w:r>
      <w:r w:rsidR="002E1006">
        <w:t xml:space="preserve">an order for </w:t>
      </w:r>
      <w:r w:rsidR="00F44E0A">
        <w:t>discovery.</w:t>
      </w:r>
      <w:r w:rsidR="002E1006">
        <w:t xml:space="preserve"> </w:t>
      </w:r>
      <w:r w:rsidR="004D5CBF">
        <w:t xml:space="preserve">This is correct as a statement of general principle. </w:t>
      </w:r>
    </w:p>
    <w:p w14:paraId="739EE8BD" w14:textId="0E10E9C4" w:rsidR="00873851" w:rsidRDefault="00495769" w:rsidP="00BA3D1D">
      <w:pPr>
        <w:pStyle w:val="ListParagraph"/>
        <w:numPr>
          <w:ilvl w:val="0"/>
          <w:numId w:val="17"/>
        </w:numPr>
        <w:spacing w:after="160" w:line="480" w:lineRule="auto"/>
        <w:contextualSpacing/>
        <w:jc w:val="both"/>
      </w:pPr>
      <w:r>
        <w:t>However, bearing in mind t</w:t>
      </w:r>
      <w:r w:rsidRPr="00CD72A5">
        <w:t>he plaintiff</w:t>
      </w:r>
      <w:r>
        <w:t xml:space="preserve">’s </w:t>
      </w:r>
      <w:r w:rsidRPr="00CD72A5">
        <w:t>long involvement in politics in Northern Ireland</w:t>
      </w:r>
      <w:r>
        <w:t xml:space="preserve">, </w:t>
      </w:r>
      <w:r w:rsidR="00D32F90">
        <w:t xml:space="preserve">I think that an inference could </w:t>
      </w:r>
      <w:r>
        <w:t xml:space="preserve">reasonably </w:t>
      </w:r>
      <w:r w:rsidR="00D32F90">
        <w:t xml:space="preserve">be drawn </w:t>
      </w:r>
      <w:r>
        <w:t xml:space="preserve">that discovery of the </w:t>
      </w:r>
      <w:r w:rsidR="00D32F90">
        <w:t>category 2 documents</w:t>
      </w:r>
      <w:r>
        <w:t xml:space="preserve">, which I do not consider to be relevant in any event, </w:t>
      </w:r>
      <w:r w:rsidR="00873851">
        <w:t xml:space="preserve">would </w:t>
      </w:r>
      <w:r>
        <w:t xml:space="preserve">also </w:t>
      </w:r>
      <w:r w:rsidR="00873851">
        <w:t>be unduly burdensome. I</w:t>
      </w:r>
      <w:r w:rsidR="00873851" w:rsidRPr="00CD72A5">
        <w:t xml:space="preserve">t would be an </w:t>
      </w:r>
      <w:r w:rsidR="00873851">
        <w:t xml:space="preserve">enormous task for the </w:t>
      </w:r>
      <w:r w:rsidR="00873851" w:rsidRPr="00CD72A5">
        <w:t xml:space="preserve">plaintiff to </w:t>
      </w:r>
      <w:r w:rsidR="00873851">
        <w:t xml:space="preserve">access and peruse </w:t>
      </w:r>
      <w:r w:rsidR="00873851" w:rsidRPr="00CD72A5">
        <w:t>all documents</w:t>
      </w:r>
      <w:r w:rsidR="00873851">
        <w:t xml:space="preserve">, </w:t>
      </w:r>
      <w:r w:rsidR="00873851" w:rsidRPr="00CD72A5">
        <w:t>in his possession or procurement</w:t>
      </w:r>
      <w:r w:rsidR="00873851">
        <w:t>, covering a 70-year period,</w:t>
      </w:r>
      <w:r w:rsidR="00873851" w:rsidRPr="00CD72A5">
        <w:t xml:space="preserve"> with a view to testing </w:t>
      </w:r>
      <w:r w:rsidR="00873851">
        <w:t>if they</w:t>
      </w:r>
      <w:r w:rsidR="00873851" w:rsidRPr="00CD72A5">
        <w:t xml:space="preserve"> fall within the scope of </w:t>
      </w:r>
      <w:r w:rsidR="00873851">
        <w:t>category 2. The court considers that such an exercise could impose on the plaintiff significant, possibly prohibitive compliance costs.</w:t>
      </w:r>
      <w:r w:rsidR="00D32F90">
        <w:t xml:space="preserve"> </w:t>
      </w:r>
    </w:p>
    <w:p w14:paraId="488C0E85" w14:textId="2E56F596" w:rsidR="00873851" w:rsidRDefault="00873851" w:rsidP="00873851">
      <w:pPr>
        <w:pStyle w:val="ListParagraph"/>
        <w:numPr>
          <w:ilvl w:val="0"/>
          <w:numId w:val="17"/>
        </w:numPr>
        <w:spacing w:after="160" w:line="480" w:lineRule="auto"/>
        <w:contextualSpacing/>
        <w:jc w:val="both"/>
      </w:pPr>
      <w:r>
        <w:t xml:space="preserve">The same cannot be said for discovery of the category 1 documents (particularly as limited in the manner proposed below). The IRA is an illegal and secret organisation. Of its nature, it is unlikely that such an organisation generates significant volumes of documentation. It is doubtful that the IRA produced and circulated to its members agendas, minutes of meetings, correspondence and other documentation </w:t>
      </w:r>
      <w:proofErr w:type="gramStart"/>
      <w:r>
        <w:t>common-place</w:t>
      </w:r>
      <w:proofErr w:type="gramEnd"/>
      <w:r>
        <w:t xml:space="preserve"> in lawful organisations. Even if such documents were generated and circulated, it is surely improbable that they were retained. Therefore, without in any way assuming the truth of the defendant’s contentions, it is unlikely that there is in existence a large volume of documentation falling within the scope of category 1. </w:t>
      </w:r>
    </w:p>
    <w:p w14:paraId="52A2F0F1" w14:textId="4CBFAC79" w:rsidR="00424F02" w:rsidRPr="001146F5" w:rsidRDefault="003F7798" w:rsidP="001146F5">
      <w:pPr>
        <w:pStyle w:val="Heading3"/>
        <w:rPr>
          <w:rFonts w:ascii="Times New Roman" w:hAnsi="Times New Roman"/>
          <w:i/>
          <w:iCs/>
          <w:sz w:val="24"/>
          <w:szCs w:val="24"/>
        </w:rPr>
      </w:pPr>
      <w:bookmarkStart w:id="18" w:name="_Toc97887638"/>
      <w:r>
        <w:rPr>
          <w:rFonts w:ascii="Times New Roman" w:hAnsi="Times New Roman"/>
          <w:i/>
          <w:iCs/>
          <w:sz w:val="24"/>
          <w:szCs w:val="24"/>
        </w:rPr>
        <w:lastRenderedPageBreak/>
        <w:t>Conclusion on discovery application</w:t>
      </w:r>
      <w:bookmarkEnd w:id="18"/>
      <w:r w:rsidR="00424F02" w:rsidRPr="001146F5">
        <w:rPr>
          <w:rFonts w:ascii="Times New Roman" w:hAnsi="Times New Roman"/>
          <w:i/>
          <w:iCs/>
          <w:sz w:val="24"/>
          <w:szCs w:val="24"/>
        </w:rPr>
        <w:t xml:space="preserve"> </w:t>
      </w:r>
    </w:p>
    <w:p w14:paraId="27A07491" w14:textId="77777777" w:rsidR="008E001A" w:rsidRPr="008E001A" w:rsidRDefault="008E001A" w:rsidP="008E001A"/>
    <w:p w14:paraId="0E0AC163" w14:textId="45F7554C" w:rsidR="00B2513A" w:rsidRDefault="00347300" w:rsidP="00B62959">
      <w:pPr>
        <w:pStyle w:val="ListParagraph"/>
        <w:numPr>
          <w:ilvl w:val="0"/>
          <w:numId w:val="8"/>
        </w:numPr>
        <w:spacing w:after="160" w:line="480" w:lineRule="auto"/>
        <w:contextualSpacing/>
        <w:jc w:val="both"/>
      </w:pPr>
      <w:r>
        <w:t>W</w:t>
      </w:r>
      <w:r w:rsidR="009F2C01">
        <w:t>i</w:t>
      </w:r>
      <w:r w:rsidR="00B6488A" w:rsidRPr="00CD72A5">
        <w:t xml:space="preserve">th a view to limiting </w:t>
      </w:r>
      <w:r w:rsidR="00664E19">
        <w:t>proportionate</w:t>
      </w:r>
      <w:r>
        <w:t xml:space="preserve">ly </w:t>
      </w:r>
      <w:r w:rsidR="00B6488A" w:rsidRPr="00CD72A5">
        <w:t>the burden</w:t>
      </w:r>
      <w:r>
        <w:t xml:space="preserve"> of compliance,</w:t>
      </w:r>
      <w:r w:rsidR="00B6488A" w:rsidRPr="00CD72A5">
        <w:t xml:space="preserve"> </w:t>
      </w:r>
      <w:r w:rsidR="00F31F57">
        <w:t xml:space="preserve">which may be </w:t>
      </w:r>
      <w:r w:rsidR="00B6488A" w:rsidRPr="00CD72A5">
        <w:t>placed on the plaintiff</w:t>
      </w:r>
      <w:r w:rsidR="001E6D3B">
        <w:t>,</w:t>
      </w:r>
      <w:r>
        <w:t xml:space="preserve"> </w:t>
      </w:r>
      <w:r w:rsidR="001E6D3B">
        <w:t>t</w:t>
      </w:r>
      <w:r>
        <w:t>he court</w:t>
      </w:r>
      <w:r w:rsidR="00B6488A" w:rsidRPr="00CD72A5">
        <w:t xml:space="preserve"> order</w:t>
      </w:r>
      <w:r>
        <w:t>s</w:t>
      </w:r>
      <w:r w:rsidR="00B6488A" w:rsidRPr="00CD72A5">
        <w:t xml:space="preserve"> discovery of the following documents</w:t>
      </w:r>
      <w:r w:rsidR="00B2513A">
        <w:t>:</w:t>
      </w:r>
    </w:p>
    <w:p w14:paraId="440F94B3" w14:textId="748998DC" w:rsidR="00B6488A" w:rsidRDefault="00B6488A" w:rsidP="00C94423">
      <w:pPr>
        <w:pStyle w:val="ListParagraph"/>
        <w:spacing w:after="160" w:line="480" w:lineRule="auto"/>
        <w:ind w:left="0"/>
        <w:contextualSpacing/>
        <w:jc w:val="both"/>
      </w:pPr>
      <w:r w:rsidRPr="00CD72A5">
        <w:t xml:space="preserve"> </w:t>
      </w:r>
    </w:p>
    <w:p w14:paraId="40CF9529" w14:textId="77777777" w:rsidR="00CB5416" w:rsidRPr="00E10666" w:rsidRDefault="00B6488A" w:rsidP="00CB5416">
      <w:pPr>
        <w:pStyle w:val="ListParagraph"/>
        <w:spacing w:after="160" w:line="480" w:lineRule="auto"/>
        <w:ind w:left="0"/>
        <w:contextualSpacing/>
        <w:jc w:val="both"/>
        <w:rPr>
          <w:b/>
          <w:bCs/>
        </w:rPr>
      </w:pPr>
      <w:r w:rsidRPr="00E10666">
        <w:rPr>
          <w:b/>
          <w:bCs/>
        </w:rPr>
        <w:t xml:space="preserve">Category 1. </w:t>
      </w:r>
    </w:p>
    <w:p w14:paraId="45E52B6D" w14:textId="7FDBB439" w:rsidR="009F2C01" w:rsidRDefault="009F2C01" w:rsidP="00CB5416">
      <w:pPr>
        <w:pStyle w:val="ListParagraph"/>
        <w:numPr>
          <w:ilvl w:val="0"/>
          <w:numId w:val="19"/>
        </w:numPr>
        <w:spacing w:after="160" w:line="480" w:lineRule="auto"/>
        <w:contextualSpacing/>
        <w:jc w:val="both"/>
      </w:pPr>
      <w:r>
        <w:t>The earliest document</w:t>
      </w:r>
      <w:r w:rsidR="00347300">
        <w:t xml:space="preserve"> </w:t>
      </w:r>
      <w:r w:rsidR="00B6488A" w:rsidRPr="00CD72A5">
        <w:t>evidencing the plaintiff’s membership of the IRA</w:t>
      </w:r>
      <w:r w:rsidR="004D5CBF">
        <w:t xml:space="preserve"> and the latest document evidencing the plaintiff’s membership of the IRA</w:t>
      </w:r>
      <w:r w:rsidR="00347300">
        <w:t>.</w:t>
      </w:r>
      <w:r w:rsidRPr="00CD72A5">
        <w:t xml:space="preserve"> </w:t>
      </w:r>
    </w:p>
    <w:p w14:paraId="53251658" w14:textId="2A9DE0D3" w:rsidR="009F2C01" w:rsidRPr="00CD72A5" w:rsidRDefault="009F2C01" w:rsidP="00CB5416">
      <w:pPr>
        <w:pStyle w:val="ListParagraph"/>
        <w:numPr>
          <w:ilvl w:val="0"/>
          <w:numId w:val="19"/>
        </w:numPr>
        <w:spacing w:after="160" w:line="480" w:lineRule="auto"/>
        <w:contextualSpacing/>
        <w:jc w:val="both"/>
      </w:pPr>
      <w:r>
        <w:t xml:space="preserve">The earliest document </w:t>
      </w:r>
      <w:r w:rsidRPr="00CD72A5">
        <w:t>evidencing the plaintiff’s membership of the IRA</w:t>
      </w:r>
      <w:r>
        <w:t xml:space="preserve"> army council</w:t>
      </w:r>
      <w:r w:rsidR="004D5CBF">
        <w:t xml:space="preserve"> and the latest document evidencing the plaintiff’s membership of the IRA</w:t>
      </w:r>
      <w:r w:rsidR="001E6D3B">
        <w:t xml:space="preserve"> army council</w:t>
      </w:r>
      <w:r w:rsidR="00347300">
        <w:t>.</w:t>
      </w:r>
    </w:p>
    <w:p w14:paraId="25EF25F7" w14:textId="61828711" w:rsidR="00664E19" w:rsidRDefault="00664E19" w:rsidP="00664E19">
      <w:pPr>
        <w:spacing w:after="160" w:line="480" w:lineRule="auto"/>
        <w:ind w:left="360"/>
        <w:contextualSpacing/>
        <w:jc w:val="both"/>
        <w:rPr>
          <w:b/>
          <w:bCs/>
        </w:rPr>
      </w:pPr>
      <w:r w:rsidRPr="00664E19">
        <w:rPr>
          <w:b/>
          <w:bCs/>
        </w:rPr>
        <w:t xml:space="preserve">Category </w:t>
      </w:r>
      <w:r>
        <w:rPr>
          <w:b/>
          <w:bCs/>
        </w:rPr>
        <w:t xml:space="preserve">2 </w:t>
      </w:r>
      <w:r w:rsidRPr="00664E19">
        <w:t>is refused</w:t>
      </w:r>
      <w:r>
        <w:rPr>
          <w:b/>
          <w:bCs/>
        </w:rPr>
        <w:t>.</w:t>
      </w:r>
    </w:p>
    <w:p w14:paraId="67847309" w14:textId="5F3E14A2" w:rsidR="00C94423" w:rsidRDefault="00C94423" w:rsidP="00664E19">
      <w:pPr>
        <w:spacing w:after="160" w:line="480" w:lineRule="auto"/>
        <w:ind w:left="360"/>
        <w:contextualSpacing/>
        <w:jc w:val="both"/>
        <w:rPr>
          <w:b/>
          <w:bCs/>
        </w:rPr>
      </w:pPr>
    </w:p>
    <w:p w14:paraId="41010E27" w14:textId="170DF8DD" w:rsidR="004D5CBF" w:rsidRPr="005E4AB0" w:rsidRDefault="004D5CBF" w:rsidP="00B62959">
      <w:pPr>
        <w:pStyle w:val="ListParagraph"/>
        <w:numPr>
          <w:ilvl w:val="0"/>
          <w:numId w:val="8"/>
        </w:numPr>
        <w:spacing w:line="480" w:lineRule="auto"/>
        <w:jc w:val="both"/>
        <w:rPr>
          <w:sz w:val="32"/>
          <w:szCs w:val="32"/>
        </w:rPr>
      </w:pPr>
      <w:r w:rsidRPr="005E4AB0">
        <w:rPr>
          <w:rFonts w:eastAsiaTheme="minorHAnsi"/>
          <w:color w:val="000000"/>
          <w:lang w:eastAsia="en-US"/>
        </w:rPr>
        <w:t xml:space="preserve">I will </w:t>
      </w:r>
      <w:r>
        <w:rPr>
          <w:rFonts w:eastAsiaTheme="minorHAnsi"/>
          <w:color w:val="000000"/>
          <w:lang w:eastAsia="en-US"/>
        </w:rPr>
        <w:t>hear argument from the parties</w:t>
      </w:r>
      <w:r w:rsidRPr="005E4AB0">
        <w:rPr>
          <w:rFonts w:eastAsiaTheme="minorHAnsi"/>
          <w:color w:val="000000"/>
          <w:lang w:eastAsia="en-US"/>
        </w:rPr>
        <w:t xml:space="preserve"> </w:t>
      </w:r>
      <w:r>
        <w:rPr>
          <w:rFonts w:eastAsiaTheme="minorHAnsi"/>
          <w:color w:val="000000"/>
          <w:lang w:eastAsia="en-US"/>
        </w:rPr>
        <w:t xml:space="preserve">in relation to the question of costs and </w:t>
      </w:r>
      <w:r w:rsidR="00495769">
        <w:rPr>
          <w:rFonts w:eastAsiaTheme="minorHAnsi"/>
          <w:color w:val="000000"/>
          <w:lang w:eastAsia="en-US"/>
        </w:rPr>
        <w:t>any other matters arising</w:t>
      </w:r>
      <w:r>
        <w:rPr>
          <w:rFonts w:eastAsiaTheme="minorHAnsi"/>
          <w:color w:val="000000"/>
          <w:lang w:eastAsia="en-US"/>
        </w:rPr>
        <w:t xml:space="preserve"> </w:t>
      </w:r>
      <w:r w:rsidR="00C56419">
        <w:rPr>
          <w:rFonts w:eastAsiaTheme="minorHAnsi"/>
          <w:color w:val="000000"/>
          <w:lang w:eastAsia="en-US"/>
        </w:rPr>
        <w:t xml:space="preserve">on </w:t>
      </w:r>
      <w:r w:rsidR="00495769">
        <w:rPr>
          <w:rFonts w:eastAsiaTheme="minorHAnsi"/>
          <w:color w:val="000000"/>
          <w:lang w:eastAsia="en-US"/>
        </w:rPr>
        <w:t xml:space="preserve">foot of this judgment on </w:t>
      </w:r>
      <w:r w:rsidR="00A01D7C">
        <w:rPr>
          <w:rFonts w:eastAsiaTheme="minorHAnsi"/>
          <w:color w:val="000000"/>
          <w:lang w:eastAsia="en-US"/>
        </w:rPr>
        <w:t>25</w:t>
      </w:r>
      <w:r w:rsidR="00A01D7C" w:rsidRPr="00B62959">
        <w:rPr>
          <w:rFonts w:eastAsiaTheme="minorHAnsi"/>
          <w:color w:val="000000"/>
          <w:vertAlign w:val="superscript"/>
          <w:lang w:eastAsia="en-US"/>
        </w:rPr>
        <w:t>th</w:t>
      </w:r>
      <w:r w:rsidR="00A01D7C">
        <w:rPr>
          <w:rFonts w:eastAsiaTheme="minorHAnsi"/>
          <w:color w:val="000000"/>
          <w:lang w:eastAsia="en-US"/>
        </w:rPr>
        <w:t xml:space="preserve"> </w:t>
      </w:r>
      <w:proofErr w:type="gramStart"/>
      <w:r>
        <w:rPr>
          <w:rFonts w:eastAsiaTheme="minorHAnsi"/>
          <w:color w:val="000000"/>
          <w:lang w:eastAsia="en-US"/>
        </w:rPr>
        <w:t>March,</w:t>
      </w:r>
      <w:proofErr w:type="gramEnd"/>
      <w:r>
        <w:rPr>
          <w:rFonts w:eastAsiaTheme="minorHAnsi"/>
          <w:color w:val="000000"/>
          <w:lang w:eastAsia="en-US"/>
        </w:rPr>
        <w:t xml:space="preserve"> 2022</w:t>
      </w:r>
      <w:r w:rsidR="00C56419">
        <w:rPr>
          <w:rFonts w:eastAsiaTheme="minorHAnsi"/>
          <w:color w:val="000000"/>
          <w:lang w:eastAsia="en-US"/>
        </w:rPr>
        <w:t xml:space="preserve"> at 1</w:t>
      </w:r>
      <w:r w:rsidR="00495769">
        <w:rPr>
          <w:rFonts w:eastAsiaTheme="minorHAnsi"/>
          <w:color w:val="000000"/>
          <w:lang w:eastAsia="en-US"/>
        </w:rPr>
        <w:t>1</w:t>
      </w:r>
      <w:r w:rsidR="00C56419">
        <w:rPr>
          <w:rFonts w:eastAsiaTheme="minorHAnsi"/>
          <w:color w:val="000000"/>
          <w:lang w:eastAsia="en-US"/>
        </w:rPr>
        <w:t xml:space="preserve"> am</w:t>
      </w:r>
      <w:r>
        <w:rPr>
          <w:rFonts w:eastAsiaTheme="minorHAnsi"/>
          <w:color w:val="000000"/>
          <w:lang w:eastAsia="en-US"/>
        </w:rPr>
        <w:t>.</w:t>
      </w:r>
    </w:p>
    <w:p w14:paraId="237A4D2B" w14:textId="77777777" w:rsidR="00664E19" w:rsidRDefault="00664E19" w:rsidP="00B62959"/>
    <w:sectPr w:rsidR="00664E19"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9021" w14:textId="77777777" w:rsidR="004B610A" w:rsidRDefault="004B610A">
      <w:r>
        <w:separator/>
      </w:r>
    </w:p>
  </w:endnote>
  <w:endnote w:type="continuationSeparator" w:id="0">
    <w:p w14:paraId="3069F7DA" w14:textId="77777777" w:rsidR="004B610A" w:rsidRDefault="004B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14B8" w14:textId="77777777" w:rsidR="004B610A" w:rsidRDefault="004B610A">
      <w:r>
        <w:separator/>
      </w:r>
    </w:p>
  </w:footnote>
  <w:footnote w:type="continuationSeparator" w:id="0">
    <w:p w14:paraId="6DA65ADC" w14:textId="77777777" w:rsidR="004B610A" w:rsidRDefault="004B6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84DE" w14:textId="77777777" w:rsidR="00B62959" w:rsidRDefault="00B62959"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FFEA8D" w14:textId="77777777" w:rsidR="00B62959" w:rsidRDefault="00B62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FE94" w14:textId="77777777" w:rsidR="00B62959" w:rsidRDefault="00B62959"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796A5F49" w14:textId="77777777" w:rsidR="00B62959" w:rsidRDefault="00B6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FADC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23D8A"/>
    <w:multiLevelType w:val="hybridMultilevel"/>
    <w:tmpl w:val="3112FA0E"/>
    <w:lvl w:ilvl="0" w:tplc="721649C4">
      <w:start w:val="27"/>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3C7673"/>
    <w:multiLevelType w:val="hybridMultilevel"/>
    <w:tmpl w:val="20C0C39C"/>
    <w:lvl w:ilvl="0" w:tplc="AA8C36A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8EB37A2"/>
    <w:multiLevelType w:val="hybridMultilevel"/>
    <w:tmpl w:val="D48C79A6"/>
    <w:lvl w:ilvl="0" w:tplc="73307E04">
      <w:start w:val="1"/>
      <w:numFmt w:val="decimal"/>
      <w:lvlText w:val="%1."/>
      <w:lvlJc w:val="left"/>
      <w:pPr>
        <w:ind w:left="720" w:hanging="360"/>
      </w:pPr>
      <w:rPr>
        <w:rFonts w:hint="default"/>
        <w:b w:val="0"/>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B0702"/>
    <w:multiLevelType w:val="hybridMultilevel"/>
    <w:tmpl w:val="0AB2C2F4"/>
    <w:lvl w:ilvl="0" w:tplc="09544F30">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9B06C83"/>
    <w:multiLevelType w:val="hybridMultilevel"/>
    <w:tmpl w:val="97DC8046"/>
    <w:lvl w:ilvl="0" w:tplc="1384FDDC">
      <w:start w:val="22"/>
      <w:numFmt w:val="decimal"/>
      <w:lvlText w:val="%1."/>
      <w:lvlJc w:val="left"/>
      <w:pPr>
        <w:ind w:left="0" w:firstLine="0"/>
      </w:pPr>
      <w:rPr>
        <w:rFonts w:hint="default"/>
        <w:b/>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B668D6"/>
    <w:multiLevelType w:val="hybridMultilevel"/>
    <w:tmpl w:val="738C2BD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044611E"/>
    <w:multiLevelType w:val="hybridMultilevel"/>
    <w:tmpl w:val="3112FA0E"/>
    <w:lvl w:ilvl="0" w:tplc="721649C4">
      <w:start w:val="27"/>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E03C5B"/>
    <w:multiLevelType w:val="hybridMultilevel"/>
    <w:tmpl w:val="3732E8EE"/>
    <w:lvl w:ilvl="0" w:tplc="7510756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60C"/>
    <w:multiLevelType w:val="hybridMultilevel"/>
    <w:tmpl w:val="F51A804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9AE574E"/>
    <w:multiLevelType w:val="hybridMultilevel"/>
    <w:tmpl w:val="40683274"/>
    <w:lvl w:ilvl="0" w:tplc="24985A4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F2B07"/>
    <w:multiLevelType w:val="hybridMultilevel"/>
    <w:tmpl w:val="BD5E35D6"/>
    <w:lvl w:ilvl="0" w:tplc="18090001">
      <w:start w:val="1"/>
      <w:numFmt w:val="bullet"/>
      <w:lvlText w:val=""/>
      <w:lvlJc w:val="left"/>
      <w:pPr>
        <w:ind w:left="1080" w:hanging="72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B66EE0"/>
    <w:multiLevelType w:val="hybridMultilevel"/>
    <w:tmpl w:val="656668A8"/>
    <w:lvl w:ilvl="0" w:tplc="750A5D7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6BB1E09"/>
    <w:multiLevelType w:val="hybridMultilevel"/>
    <w:tmpl w:val="029EE02A"/>
    <w:lvl w:ilvl="0" w:tplc="E3E219A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9B945E5"/>
    <w:multiLevelType w:val="hybridMultilevel"/>
    <w:tmpl w:val="58507FF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5BBA2CBB"/>
    <w:multiLevelType w:val="hybridMultilevel"/>
    <w:tmpl w:val="8D50BB62"/>
    <w:lvl w:ilvl="0" w:tplc="5080D43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DE85CA2"/>
    <w:multiLevelType w:val="hybridMultilevel"/>
    <w:tmpl w:val="913AD884"/>
    <w:lvl w:ilvl="0" w:tplc="FF04ED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EE67A07"/>
    <w:multiLevelType w:val="hybridMultilevel"/>
    <w:tmpl w:val="76F295A6"/>
    <w:lvl w:ilvl="0" w:tplc="77E0571E">
      <w:start w:val="1"/>
      <w:numFmt w:val="decimal"/>
      <w:lvlText w:val="%1."/>
      <w:lvlJc w:val="left"/>
      <w:pPr>
        <w:ind w:left="720" w:hanging="360"/>
      </w:pPr>
      <w:rPr>
        <w:rFonts w:hint="default"/>
        <w:b w:val="0"/>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26E6A24"/>
    <w:multiLevelType w:val="hybridMultilevel"/>
    <w:tmpl w:val="2AE88C54"/>
    <w:lvl w:ilvl="0" w:tplc="E2C6879C">
      <w:start w:val="1"/>
      <w:numFmt w:val="decimal"/>
      <w:lvlText w:val="%1."/>
      <w:lvlJc w:val="left"/>
      <w:pPr>
        <w:ind w:left="0" w:firstLine="0"/>
      </w:pPr>
      <w:rPr>
        <w:rFonts w:ascii="Times New Roman" w:eastAsia="Times New Roman" w:hAnsi="Times New Roman" w:cs="Times New Roman"/>
        <w:b/>
        <w:i w:val="0"/>
        <w:iCs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5E42904"/>
    <w:multiLevelType w:val="hybridMultilevel"/>
    <w:tmpl w:val="6388F7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E3CB4"/>
    <w:multiLevelType w:val="hybridMultilevel"/>
    <w:tmpl w:val="0F6CF5B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15:restartNumberingAfterBreak="0">
    <w:nsid w:val="71370CBC"/>
    <w:multiLevelType w:val="hybridMultilevel"/>
    <w:tmpl w:val="22C0A7E8"/>
    <w:lvl w:ilvl="0" w:tplc="EF16B6D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29"/>
  </w:num>
  <w:num w:numId="2">
    <w:abstractNumId w:val="2"/>
  </w:num>
  <w:num w:numId="3">
    <w:abstractNumId w:val="28"/>
  </w:num>
  <w:num w:numId="4">
    <w:abstractNumId w:val="12"/>
  </w:num>
  <w:num w:numId="5">
    <w:abstractNumId w:val="15"/>
  </w:num>
  <w:num w:numId="6">
    <w:abstractNumId w:val="25"/>
  </w:num>
  <w:num w:numId="7">
    <w:abstractNumId w:val="6"/>
  </w:num>
  <w:num w:numId="8">
    <w:abstractNumId w:val="23"/>
  </w:num>
  <w:num w:numId="9">
    <w:abstractNumId w:val="24"/>
  </w:num>
  <w:num w:numId="10">
    <w:abstractNumId w:val="14"/>
  </w:num>
  <w:num w:numId="11">
    <w:abstractNumId w:val="19"/>
  </w:num>
  <w:num w:numId="12">
    <w:abstractNumId w:val="7"/>
  </w:num>
  <w:num w:numId="13">
    <w:abstractNumId w:val="0"/>
  </w:num>
  <w:num w:numId="14">
    <w:abstractNumId w:val="3"/>
  </w:num>
  <w:num w:numId="15">
    <w:abstractNumId w:val="8"/>
  </w:num>
  <w:num w:numId="16">
    <w:abstractNumId w:val="26"/>
  </w:num>
  <w:num w:numId="17">
    <w:abstractNumId w:val="10"/>
  </w:num>
  <w:num w:numId="18">
    <w:abstractNumId w:val="1"/>
  </w:num>
  <w:num w:numId="19">
    <w:abstractNumId w:val="13"/>
  </w:num>
  <w:num w:numId="20">
    <w:abstractNumId w:val="9"/>
  </w:num>
  <w:num w:numId="21">
    <w:abstractNumId w:val="11"/>
  </w:num>
  <w:num w:numId="22">
    <w:abstractNumId w:val="4"/>
  </w:num>
  <w:num w:numId="23">
    <w:abstractNumId w:val="21"/>
  </w:num>
  <w:num w:numId="24">
    <w:abstractNumId w:val="18"/>
  </w:num>
  <w:num w:numId="25">
    <w:abstractNumId w:val="16"/>
  </w:num>
  <w:num w:numId="26">
    <w:abstractNumId w:val="27"/>
  </w:num>
  <w:num w:numId="27">
    <w:abstractNumId w:val="17"/>
  </w:num>
  <w:num w:numId="28">
    <w:abstractNumId w:val="5"/>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A897DD1-7451-49B0-85AB-A5737C8464C0}"/>
    <w:docVar w:name="dgnword-eventsink" w:val="2409203123680"/>
  </w:docVars>
  <w:rsids>
    <w:rsidRoot w:val="001711FF"/>
    <w:rsid w:val="000003CB"/>
    <w:rsid w:val="00000EDB"/>
    <w:rsid w:val="000010DE"/>
    <w:rsid w:val="0000426D"/>
    <w:rsid w:val="0001372A"/>
    <w:rsid w:val="00014A1F"/>
    <w:rsid w:val="00014F19"/>
    <w:rsid w:val="00022462"/>
    <w:rsid w:val="000224DD"/>
    <w:rsid w:val="0002265B"/>
    <w:rsid w:val="00025581"/>
    <w:rsid w:val="0002613E"/>
    <w:rsid w:val="00026B12"/>
    <w:rsid w:val="00027D44"/>
    <w:rsid w:val="0003341B"/>
    <w:rsid w:val="00035A5D"/>
    <w:rsid w:val="0003674A"/>
    <w:rsid w:val="0007277E"/>
    <w:rsid w:val="000753FB"/>
    <w:rsid w:val="00077A57"/>
    <w:rsid w:val="00084C42"/>
    <w:rsid w:val="00085A96"/>
    <w:rsid w:val="00085DA0"/>
    <w:rsid w:val="00087862"/>
    <w:rsid w:val="00090FC2"/>
    <w:rsid w:val="00091117"/>
    <w:rsid w:val="0009264B"/>
    <w:rsid w:val="000A14DC"/>
    <w:rsid w:val="000A24DD"/>
    <w:rsid w:val="000A4CCB"/>
    <w:rsid w:val="000A561B"/>
    <w:rsid w:val="000B0197"/>
    <w:rsid w:val="000B20B9"/>
    <w:rsid w:val="000B512A"/>
    <w:rsid w:val="000B5A60"/>
    <w:rsid w:val="000B5AA9"/>
    <w:rsid w:val="000C3604"/>
    <w:rsid w:val="000C572E"/>
    <w:rsid w:val="000C66A5"/>
    <w:rsid w:val="000D26A2"/>
    <w:rsid w:val="000D2E47"/>
    <w:rsid w:val="000E0EAC"/>
    <w:rsid w:val="000E462D"/>
    <w:rsid w:val="000E4B76"/>
    <w:rsid w:val="000E5FBB"/>
    <w:rsid w:val="000E6A45"/>
    <w:rsid w:val="000E7204"/>
    <w:rsid w:val="000F068B"/>
    <w:rsid w:val="000F17D0"/>
    <w:rsid w:val="000F2659"/>
    <w:rsid w:val="000F619D"/>
    <w:rsid w:val="000F7BCE"/>
    <w:rsid w:val="001032F5"/>
    <w:rsid w:val="00107953"/>
    <w:rsid w:val="0011002C"/>
    <w:rsid w:val="0011185C"/>
    <w:rsid w:val="001131E0"/>
    <w:rsid w:val="001146F5"/>
    <w:rsid w:val="00114CF5"/>
    <w:rsid w:val="00122100"/>
    <w:rsid w:val="00123317"/>
    <w:rsid w:val="00125049"/>
    <w:rsid w:val="001266AD"/>
    <w:rsid w:val="0013141A"/>
    <w:rsid w:val="00143A7F"/>
    <w:rsid w:val="001447F1"/>
    <w:rsid w:val="00144FA2"/>
    <w:rsid w:val="0014614E"/>
    <w:rsid w:val="0014647A"/>
    <w:rsid w:val="001546C5"/>
    <w:rsid w:val="00160357"/>
    <w:rsid w:val="00160998"/>
    <w:rsid w:val="00161B6B"/>
    <w:rsid w:val="0016227C"/>
    <w:rsid w:val="001649DB"/>
    <w:rsid w:val="00167CEF"/>
    <w:rsid w:val="001711FF"/>
    <w:rsid w:val="001746F9"/>
    <w:rsid w:val="00181FB2"/>
    <w:rsid w:val="00182CF2"/>
    <w:rsid w:val="00184FF5"/>
    <w:rsid w:val="001855B7"/>
    <w:rsid w:val="001941D7"/>
    <w:rsid w:val="001949AA"/>
    <w:rsid w:val="001A141C"/>
    <w:rsid w:val="001A1D7A"/>
    <w:rsid w:val="001A2E51"/>
    <w:rsid w:val="001A7AF4"/>
    <w:rsid w:val="001B5ACC"/>
    <w:rsid w:val="001C1965"/>
    <w:rsid w:val="001C23D4"/>
    <w:rsid w:val="001C502C"/>
    <w:rsid w:val="001D0636"/>
    <w:rsid w:val="001D0FAF"/>
    <w:rsid w:val="001D0FB2"/>
    <w:rsid w:val="001D132C"/>
    <w:rsid w:val="001D2071"/>
    <w:rsid w:val="001D4EBE"/>
    <w:rsid w:val="001D60BA"/>
    <w:rsid w:val="001D7118"/>
    <w:rsid w:val="001D715C"/>
    <w:rsid w:val="001E4B1D"/>
    <w:rsid w:val="001E5AA6"/>
    <w:rsid w:val="001E6D3B"/>
    <w:rsid w:val="001E776E"/>
    <w:rsid w:val="001F570C"/>
    <w:rsid w:val="001F67F0"/>
    <w:rsid w:val="002017DD"/>
    <w:rsid w:val="002023EF"/>
    <w:rsid w:val="00204129"/>
    <w:rsid w:val="0020508D"/>
    <w:rsid w:val="00207EB2"/>
    <w:rsid w:val="00210BD2"/>
    <w:rsid w:val="00213AB8"/>
    <w:rsid w:val="00213B5D"/>
    <w:rsid w:val="0022024E"/>
    <w:rsid w:val="00224358"/>
    <w:rsid w:val="002252E0"/>
    <w:rsid w:val="00225DDB"/>
    <w:rsid w:val="0022730A"/>
    <w:rsid w:val="00235BE6"/>
    <w:rsid w:val="00235C66"/>
    <w:rsid w:val="00235CF3"/>
    <w:rsid w:val="00236EEF"/>
    <w:rsid w:val="002379E2"/>
    <w:rsid w:val="00240404"/>
    <w:rsid w:val="00243559"/>
    <w:rsid w:val="0024375B"/>
    <w:rsid w:val="00246713"/>
    <w:rsid w:val="00246C68"/>
    <w:rsid w:val="002471E2"/>
    <w:rsid w:val="0025041B"/>
    <w:rsid w:val="00254C8D"/>
    <w:rsid w:val="00256EDB"/>
    <w:rsid w:val="00261BB3"/>
    <w:rsid w:val="00271A56"/>
    <w:rsid w:val="00274C1A"/>
    <w:rsid w:val="0027525F"/>
    <w:rsid w:val="0027548D"/>
    <w:rsid w:val="00276F6A"/>
    <w:rsid w:val="00277B72"/>
    <w:rsid w:val="00284147"/>
    <w:rsid w:val="002847D7"/>
    <w:rsid w:val="002854FA"/>
    <w:rsid w:val="002900A3"/>
    <w:rsid w:val="00293057"/>
    <w:rsid w:val="00296C3B"/>
    <w:rsid w:val="002A0038"/>
    <w:rsid w:val="002A6940"/>
    <w:rsid w:val="002B5F9A"/>
    <w:rsid w:val="002C0657"/>
    <w:rsid w:val="002C0B2A"/>
    <w:rsid w:val="002C0FFC"/>
    <w:rsid w:val="002C244C"/>
    <w:rsid w:val="002C563C"/>
    <w:rsid w:val="002C71C9"/>
    <w:rsid w:val="002D173E"/>
    <w:rsid w:val="002D1A6A"/>
    <w:rsid w:val="002D3689"/>
    <w:rsid w:val="002D76A6"/>
    <w:rsid w:val="002E1006"/>
    <w:rsid w:val="002E2ABC"/>
    <w:rsid w:val="002F33AF"/>
    <w:rsid w:val="002F5FC9"/>
    <w:rsid w:val="002F6CF7"/>
    <w:rsid w:val="002F736C"/>
    <w:rsid w:val="002F7619"/>
    <w:rsid w:val="002F7C28"/>
    <w:rsid w:val="003005A1"/>
    <w:rsid w:val="00303AF0"/>
    <w:rsid w:val="003044FC"/>
    <w:rsid w:val="003061CC"/>
    <w:rsid w:val="00307E87"/>
    <w:rsid w:val="00316DF1"/>
    <w:rsid w:val="003202E4"/>
    <w:rsid w:val="0032399A"/>
    <w:rsid w:val="00325C77"/>
    <w:rsid w:val="00325FF5"/>
    <w:rsid w:val="003315D6"/>
    <w:rsid w:val="00340C2F"/>
    <w:rsid w:val="003436B1"/>
    <w:rsid w:val="00343DC6"/>
    <w:rsid w:val="00346960"/>
    <w:rsid w:val="00347300"/>
    <w:rsid w:val="003476BE"/>
    <w:rsid w:val="00352330"/>
    <w:rsid w:val="00356770"/>
    <w:rsid w:val="00360DB1"/>
    <w:rsid w:val="00360F0D"/>
    <w:rsid w:val="00363F32"/>
    <w:rsid w:val="0036742D"/>
    <w:rsid w:val="00371639"/>
    <w:rsid w:val="0037284A"/>
    <w:rsid w:val="00392D9C"/>
    <w:rsid w:val="0039693C"/>
    <w:rsid w:val="003A0D3C"/>
    <w:rsid w:val="003A675F"/>
    <w:rsid w:val="003B0987"/>
    <w:rsid w:val="003B2B70"/>
    <w:rsid w:val="003B5618"/>
    <w:rsid w:val="003B7027"/>
    <w:rsid w:val="003B7FDF"/>
    <w:rsid w:val="003C0963"/>
    <w:rsid w:val="003C0A46"/>
    <w:rsid w:val="003C0D31"/>
    <w:rsid w:val="003C5E36"/>
    <w:rsid w:val="003D0014"/>
    <w:rsid w:val="003D0A4C"/>
    <w:rsid w:val="003D5364"/>
    <w:rsid w:val="003E092F"/>
    <w:rsid w:val="003E1E07"/>
    <w:rsid w:val="003F4D99"/>
    <w:rsid w:val="003F69B4"/>
    <w:rsid w:val="003F6B55"/>
    <w:rsid w:val="003F7798"/>
    <w:rsid w:val="00401F1A"/>
    <w:rsid w:val="004070E7"/>
    <w:rsid w:val="00413303"/>
    <w:rsid w:val="00414B4D"/>
    <w:rsid w:val="00415999"/>
    <w:rsid w:val="004161DC"/>
    <w:rsid w:val="00417F07"/>
    <w:rsid w:val="004217A4"/>
    <w:rsid w:val="00424F02"/>
    <w:rsid w:val="004267A2"/>
    <w:rsid w:val="00426F4F"/>
    <w:rsid w:val="00427FCE"/>
    <w:rsid w:val="00431DA4"/>
    <w:rsid w:val="0043296E"/>
    <w:rsid w:val="0043416F"/>
    <w:rsid w:val="00436A9F"/>
    <w:rsid w:val="00443311"/>
    <w:rsid w:val="00455E0C"/>
    <w:rsid w:val="00457EED"/>
    <w:rsid w:val="004613ED"/>
    <w:rsid w:val="00465D76"/>
    <w:rsid w:val="0046663A"/>
    <w:rsid w:val="0046782A"/>
    <w:rsid w:val="00470291"/>
    <w:rsid w:val="00470761"/>
    <w:rsid w:val="00472281"/>
    <w:rsid w:val="004729AD"/>
    <w:rsid w:val="00473346"/>
    <w:rsid w:val="00480BF8"/>
    <w:rsid w:val="00490355"/>
    <w:rsid w:val="00492C64"/>
    <w:rsid w:val="0049380D"/>
    <w:rsid w:val="004947F3"/>
    <w:rsid w:val="00495769"/>
    <w:rsid w:val="00496798"/>
    <w:rsid w:val="004971FA"/>
    <w:rsid w:val="004A159B"/>
    <w:rsid w:val="004A3740"/>
    <w:rsid w:val="004A3F44"/>
    <w:rsid w:val="004A7C73"/>
    <w:rsid w:val="004A7F26"/>
    <w:rsid w:val="004A7FB7"/>
    <w:rsid w:val="004B610A"/>
    <w:rsid w:val="004B6A9E"/>
    <w:rsid w:val="004B7A1A"/>
    <w:rsid w:val="004C10D0"/>
    <w:rsid w:val="004D0F88"/>
    <w:rsid w:val="004D2EB6"/>
    <w:rsid w:val="004D38B7"/>
    <w:rsid w:val="004D3A4D"/>
    <w:rsid w:val="004D5CBF"/>
    <w:rsid w:val="004E05F6"/>
    <w:rsid w:val="004E4533"/>
    <w:rsid w:val="004E4619"/>
    <w:rsid w:val="004E7F98"/>
    <w:rsid w:val="004F1EAB"/>
    <w:rsid w:val="004F38FF"/>
    <w:rsid w:val="00502453"/>
    <w:rsid w:val="005026C1"/>
    <w:rsid w:val="0050760B"/>
    <w:rsid w:val="0051085B"/>
    <w:rsid w:val="00513F9E"/>
    <w:rsid w:val="0051747D"/>
    <w:rsid w:val="005202BE"/>
    <w:rsid w:val="00522D1F"/>
    <w:rsid w:val="00523C33"/>
    <w:rsid w:val="005242F0"/>
    <w:rsid w:val="00526D39"/>
    <w:rsid w:val="005310E4"/>
    <w:rsid w:val="00531ADB"/>
    <w:rsid w:val="00541056"/>
    <w:rsid w:val="00542275"/>
    <w:rsid w:val="0054776A"/>
    <w:rsid w:val="005547B1"/>
    <w:rsid w:val="00555710"/>
    <w:rsid w:val="00555D97"/>
    <w:rsid w:val="0055728F"/>
    <w:rsid w:val="005608E1"/>
    <w:rsid w:val="00561A1F"/>
    <w:rsid w:val="00563990"/>
    <w:rsid w:val="00567B78"/>
    <w:rsid w:val="00573A77"/>
    <w:rsid w:val="00573D3D"/>
    <w:rsid w:val="00576DE7"/>
    <w:rsid w:val="005806F6"/>
    <w:rsid w:val="00582994"/>
    <w:rsid w:val="00583D4A"/>
    <w:rsid w:val="00583EE1"/>
    <w:rsid w:val="00585DB5"/>
    <w:rsid w:val="00590A83"/>
    <w:rsid w:val="005954F8"/>
    <w:rsid w:val="00596C2D"/>
    <w:rsid w:val="005A0B82"/>
    <w:rsid w:val="005A1925"/>
    <w:rsid w:val="005A5309"/>
    <w:rsid w:val="005A6BAC"/>
    <w:rsid w:val="005B5B2B"/>
    <w:rsid w:val="005C1792"/>
    <w:rsid w:val="005C28C4"/>
    <w:rsid w:val="005C75C1"/>
    <w:rsid w:val="005D049F"/>
    <w:rsid w:val="005D3671"/>
    <w:rsid w:val="005D3A6D"/>
    <w:rsid w:val="005D3E55"/>
    <w:rsid w:val="005E438E"/>
    <w:rsid w:val="005E5333"/>
    <w:rsid w:val="005F2343"/>
    <w:rsid w:val="0060185D"/>
    <w:rsid w:val="00603E48"/>
    <w:rsid w:val="006100E8"/>
    <w:rsid w:val="006112FF"/>
    <w:rsid w:val="006161C7"/>
    <w:rsid w:val="0062471E"/>
    <w:rsid w:val="0062554E"/>
    <w:rsid w:val="00625B8B"/>
    <w:rsid w:val="006308B7"/>
    <w:rsid w:val="0063105C"/>
    <w:rsid w:val="00631D94"/>
    <w:rsid w:val="00635F0F"/>
    <w:rsid w:val="006366D1"/>
    <w:rsid w:val="006370F7"/>
    <w:rsid w:val="0064032C"/>
    <w:rsid w:val="00642C76"/>
    <w:rsid w:val="00651B50"/>
    <w:rsid w:val="00652013"/>
    <w:rsid w:val="00652859"/>
    <w:rsid w:val="006535B1"/>
    <w:rsid w:val="00654BA1"/>
    <w:rsid w:val="006565F0"/>
    <w:rsid w:val="006609B7"/>
    <w:rsid w:val="00662735"/>
    <w:rsid w:val="00664E19"/>
    <w:rsid w:val="00667106"/>
    <w:rsid w:val="00681099"/>
    <w:rsid w:val="00681869"/>
    <w:rsid w:val="00681B6F"/>
    <w:rsid w:val="006863B6"/>
    <w:rsid w:val="006918B5"/>
    <w:rsid w:val="00691E02"/>
    <w:rsid w:val="006A31C0"/>
    <w:rsid w:val="006A397E"/>
    <w:rsid w:val="006A3AD0"/>
    <w:rsid w:val="006A4AC0"/>
    <w:rsid w:val="006A7F9D"/>
    <w:rsid w:val="006B6782"/>
    <w:rsid w:val="006B690B"/>
    <w:rsid w:val="006C0529"/>
    <w:rsid w:val="006C364C"/>
    <w:rsid w:val="006C3FEB"/>
    <w:rsid w:val="006C5602"/>
    <w:rsid w:val="006D34F3"/>
    <w:rsid w:val="006D3F29"/>
    <w:rsid w:val="006D575E"/>
    <w:rsid w:val="006D77E5"/>
    <w:rsid w:val="006E0651"/>
    <w:rsid w:val="006E121C"/>
    <w:rsid w:val="006E3D18"/>
    <w:rsid w:val="006E49C8"/>
    <w:rsid w:val="006E4AD2"/>
    <w:rsid w:val="006E5574"/>
    <w:rsid w:val="006F1BEF"/>
    <w:rsid w:val="006F1CC9"/>
    <w:rsid w:val="006F3888"/>
    <w:rsid w:val="006F6A19"/>
    <w:rsid w:val="006F7D88"/>
    <w:rsid w:val="007030C6"/>
    <w:rsid w:val="00705664"/>
    <w:rsid w:val="007069F2"/>
    <w:rsid w:val="00707567"/>
    <w:rsid w:val="0071686E"/>
    <w:rsid w:val="0072019A"/>
    <w:rsid w:val="00722968"/>
    <w:rsid w:val="00734BAE"/>
    <w:rsid w:val="0073615D"/>
    <w:rsid w:val="00736850"/>
    <w:rsid w:val="00737CCF"/>
    <w:rsid w:val="00740143"/>
    <w:rsid w:val="00744EF6"/>
    <w:rsid w:val="00751C22"/>
    <w:rsid w:val="00755468"/>
    <w:rsid w:val="00762450"/>
    <w:rsid w:val="00763907"/>
    <w:rsid w:val="00765747"/>
    <w:rsid w:val="00766516"/>
    <w:rsid w:val="00770A62"/>
    <w:rsid w:val="00770D8B"/>
    <w:rsid w:val="00773DF8"/>
    <w:rsid w:val="007744FC"/>
    <w:rsid w:val="0077468A"/>
    <w:rsid w:val="00775831"/>
    <w:rsid w:val="00791B4B"/>
    <w:rsid w:val="0079413E"/>
    <w:rsid w:val="00797E65"/>
    <w:rsid w:val="007A329A"/>
    <w:rsid w:val="007A3EC7"/>
    <w:rsid w:val="007A4BCD"/>
    <w:rsid w:val="007A6715"/>
    <w:rsid w:val="007A78A5"/>
    <w:rsid w:val="007A7D84"/>
    <w:rsid w:val="007A7F64"/>
    <w:rsid w:val="007C489F"/>
    <w:rsid w:val="007C5C7D"/>
    <w:rsid w:val="007C5C89"/>
    <w:rsid w:val="007D004B"/>
    <w:rsid w:val="007D0446"/>
    <w:rsid w:val="007D05B9"/>
    <w:rsid w:val="007D2114"/>
    <w:rsid w:val="007D2167"/>
    <w:rsid w:val="007D25D0"/>
    <w:rsid w:val="007D45FE"/>
    <w:rsid w:val="007D4834"/>
    <w:rsid w:val="007D5BF3"/>
    <w:rsid w:val="007E49D6"/>
    <w:rsid w:val="007F33DA"/>
    <w:rsid w:val="007F692E"/>
    <w:rsid w:val="0080020C"/>
    <w:rsid w:val="0080194D"/>
    <w:rsid w:val="00810EAD"/>
    <w:rsid w:val="0081656D"/>
    <w:rsid w:val="008203D7"/>
    <w:rsid w:val="00821CA9"/>
    <w:rsid w:val="00823C42"/>
    <w:rsid w:val="00823DE6"/>
    <w:rsid w:val="00830CB0"/>
    <w:rsid w:val="00830FE0"/>
    <w:rsid w:val="008334EB"/>
    <w:rsid w:val="00835026"/>
    <w:rsid w:val="00835CD5"/>
    <w:rsid w:val="00840138"/>
    <w:rsid w:val="00841844"/>
    <w:rsid w:val="00855467"/>
    <w:rsid w:val="00860459"/>
    <w:rsid w:val="008622E3"/>
    <w:rsid w:val="008702A8"/>
    <w:rsid w:val="00871E60"/>
    <w:rsid w:val="00873851"/>
    <w:rsid w:val="008750E2"/>
    <w:rsid w:val="00876ACA"/>
    <w:rsid w:val="00886020"/>
    <w:rsid w:val="00886393"/>
    <w:rsid w:val="00886A40"/>
    <w:rsid w:val="00892CEB"/>
    <w:rsid w:val="008947D7"/>
    <w:rsid w:val="00895F9D"/>
    <w:rsid w:val="0089692C"/>
    <w:rsid w:val="00896F5A"/>
    <w:rsid w:val="008972BC"/>
    <w:rsid w:val="008A25CA"/>
    <w:rsid w:val="008A4602"/>
    <w:rsid w:val="008A4A6F"/>
    <w:rsid w:val="008A5EA5"/>
    <w:rsid w:val="008A62E3"/>
    <w:rsid w:val="008B220D"/>
    <w:rsid w:val="008B774B"/>
    <w:rsid w:val="008C2C11"/>
    <w:rsid w:val="008C356A"/>
    <w:rsid w:val="008C4A98"/>
    <w:rsid w:val="008C70F8"/>
    <w:rsid w:val="008C7D03"/>
    <w:rsid w:val="008D149D"/>
    <w:rsid w:val="008D4C5C"/>
    <w:rsid w:val="008D6206"/>
    <w:rsid w:val="008E001A"/>
    <w:rsid w:val="008E0ABD"/>
    <w:rsid w:val="008E285D"/>
    <w:rsid w:val="008E313A"/>
    <w:rsid w:val="008E4B3D"/>
    <w:rsid w:val="008E5260"/>
    <w:rsid w:val="008E7DA9"/>
    <w:rsid w:val="008F175E"/>
    <w:rsid w:val="008F2A6E"/>
    <w:rsid w:val="008F4EBC"/>
    <w:rsid w:val="00901EF8"/>
    <w:rsid w:val="009020D2"/>
    <w:rsid w:val="009030A2"/>
    <w:rsid w:val="00906A33"/>
    <w:rsid w:val="00907F97"/>
    <w:rsid w:val="009104AF"/>
    <w:rsid w:val="00910D76"/>
    <w:rsid w:val="00911B47"/>
    <w:rsid w:val="009152FF"/>
    <w:rsid w:val="00922777"/>
    <w:rsid w:val="009228DE"/>
    <w:rsid w:val="009318CE"/>
    <w:rsid w:val="00932EB0"/>
    <w:rsid w:val="00936678"/>
    <w:rsid w:val="00940557"/>
    <w:rsid w:val="00940AF4"/>
    <w:rsid w:val="00943955"/>
    <w:rsid w:val="009449FB"/>
    <w:rsid w:val="00954B71"/>
    <w:rsid w:val="00965D3D"/>
    <w:rsid w:val="009702BC"/>
    <w:rsid w:val="009714F8"/>
    <w:rsid w:val="00971C95"/>
    <w:rsid w:val="009729D1"/>
    <w:rsid w:val="00982185"/>
    <w:rsid w:val="009822F2"/>
    <w:rsid w:val="009A1BB9"/>
    <w:rsid w:val="009B0660"/>
    <w:rsid w:val="009B1970"/>
    <w:rsid w:val="009B2885"/>
    <w:rsid w:val="009B4CBD"/>
    <w:rsid w:val="009B553F"/>
    <w:rsid w:val="009B712E"/>
    <w:rsid w:val="009C0A2D"/>
    <w:rsid w:val="009C0F42"/>
    <w:rsid w:val="009C6E7D"/>
    <w:rsid w:val="009D0D8C"/>
    <w:rsid w:val="009D36F0"/>
    <w:rsid w:val="009D3A4E"/>
    <w:rsid w:val="009D60EA"/>
    <w:rsid w:val="009E1EC4"/>
    <w:rsid w:val="009E2A6B"/>
    <w:rsid w:val="009E3973"/>
    <w:rsid w:val="009E6F07"/>
    <w:rsid w:val="009E7AFC"/>
    <w:rsid w:val="009F2C01"/>
    <w:rsid w:val="009F72B2"/>
    <w:rsid w:val="00A01D7C"/>
    <w:rsid w:val="00A03884"/>
    <w:rsid w:val="00A10126"/>
    <w:rsid w:val="00A144F1"/>
    <w:rsid w:val="00A16ADD"/>
    <w:rsid w:val="00A20247"/>
    <w:rsid w:val="00A24695"/>
    <w:rsid w:val="00A24CF4"/>
    <w:rsid w:val="00A26BC6"/>
    <w:rsid w:val="00A26F6B"/>
    <w:rsid w:val="00A3745F"/>
    <w:rsid w:val="00A40B9F"/>
    <w:rsid w:val="00A418D4"/>
    <w:rsid w:val="00A437D7"/>
    <w:rsid w:val="00A43F90"/>
    <w:rsid w:val="00A504E8"/>
    <w:rsid w:val="00A5122F"/>
    <w:rsid w:val="00A51C09"/>
    <w:rsid w:val="00A62BB8"/>
    <w:rsid w:val="00A63B59"/>
    <w:rsid w:val="00A6629D"/>
    <w:rsid w:val="00A713CE"/>
    <w:rsid w:val="00A737B8"/>
    <w:rsid w:val="00A767BC"/>
    <w:rsid w:val="00A7726F"/>
    <w:rsid w:val="00A86130"/>
    <w:rsid w:val="00A878E1"/>
    <w:rsid w:val="00A92FF1"/>
    <w:rsid w:val="00A942A2"/>
    <w:rsid w:val="00A95EC9"/>
    <w:rsid w:val="00A97857"/>
    <w:rsid w:val="00AA0F36"/>
    <w:rsid w:val="00AA16EB"/>
    <w:rsid w:val="00AA281B"/>
    <w:rsid w:val="00AA304B"/>
    <w:rsid w:val="00AB0275"/>
    <w:rsid w:val="00AB2019"/>
    <w:rsid w:val="00AB2465"/>
    <w:rsid w:val="00AB4250"/>
    <w:rsid w:val="00AB5862"/>
    <w:rsid w:val="00AB6AFD"/>
    <w:rsid w:val="00AC41AF"/>
    <w:rsid w:val="00AC5D5C"/>
    <w:rsid w:val="00AC76BA"/>
    <w:rsid w:val="00AD3631"/>
    <w:rsid w:val="00AD5922"/>
    <w:rsid w:val="00AE3B60"/>
    <w:rsid w:val="00AE7359"/>
    <w:rsid w:val="00AF05D2"/>
    <w:rsid w:val="00AF0CA8"/>
    <w:rsid w:val="00AF0FC4"/>
    <w:rsid w:val="00AF4AAC"/>
    <w:rsid w:val="00AF7273"/>
    <w:rsid w:val="00B03B87"/>
    <w:rsid w:val="00B03E95"/>
    <w:rsid w:val="00B05B1D"/>
    <w:rsid w:val="00B06375"/>
    <w:rsid w:val="00B06F77"/>
    <w:rsid w:val="00B10EC7"/>
    <w:rsid w:val="00B10FA0"/>
    <w:rsid w:val="00B1459B"/>
    <w:rsid w:val="00B176CC"/>
    <w:rsid w:val="00B17E03"/>
    <w:rsid w:val="00B24417"/>
    <w:rsid w:val="00B2513A"/>
    <w:rsid w:val="00B26600"/>
    <w:rsid w:val="00B2753D"/>
    <w:rsid w:val="00B27F43"/>
    <w:rsid w:val="00B404A0"/>
    <w:rsid w:val="00B41FD0"/>
    <w:rsid w:val="00B423B8"/>
    <w:rsid w:val="00B479D9"/>
    <w:rsid w:val="00B52888"/>
    <w:rsid w:val="00B56188"/>
    <w:rsid w:val="00B57F86"/>
    <w:rsid w:val="00B62959"/>
    <w:rsid w:val="00B6488A"/>
    <w:rsid w:val="00B67872"/>
    <w:rsid w:val="00B7014B"/>
    <w:rsid w:val="00B70B22"/>
    <w:rsid w:val="00B7299A"/>
    <w:rsid w:val="00B72EF2"/>
    <w:rsid w:val="00B83E9A"/>
    <w:rsid w:val="00B85674"/>
    <w:rsid w:val="00B86365"/>
    <w:rsid w:val="00B87F89"/>
    <w:rsid w:val="00B943D4"/>
    <w:rsid w:val="00B94B37"/>
    <w:rsid w:val="00BA2318"/>
    <w:rsid w:val="00BA29CF"/>
    <w:rsid w:val="00BA5813"/>
    <w:rsid w:val="00BB0D8A"/>
    <w:rsid w:val="00BB4815"/>
    <w:rsid w:val="00BD4F95"/>
    <w:rsid w:val="00BD628A"/>
    <w:rsid w:val="00BD79D9"/>
    <w:rsid w:val="00BE37C6"/>
    <w:rsid w:val="00BE5D17"/>
    <w:rsid w:val="00BF0168"/>
    <w:rsid w:val="00BF2D29"/>
    <w:rsid w:val="00BF2EFB"/>
    <w:rsid w:val="00C03CFC"/>
    <w:rsid w:val="00C069F4"/>
    <w:rsid w:val="00C070DC"/>
    <w:rsid w:val="00C150AA"/>
    <w:rsid w:val="00C175EB"/>
    <w:rsid w:val="00C2074A"/>
    <w:rsid w:val="00C24CD9"/>
    <w:rsid w:val="00C25670"/>
    <w:rsid w:val="00C3264E"/>
    <w:rsid w:val="00C35B30"/>
    <w:rsid w:val="00C36CC6"/>
    <w:rsid w:val="00C37204"/>
    <w:rsid w:val="00C42A88"/>
    <w:rsid w:val="00C44185"/>
    <w:rsid w:val="00C46AFA"/>
    <w:rsid w:val="00C474BB"/>
    <w:rsid w:val="00C47E02"/>
    <w:rsid w:val="00C51772"/>
    <w:rsid w:val="00C5325F"/>
    <w:rsid w:val="00C55B77"/>
    <w:rsid w:val="00C56419"/>
    <w:rsid w:val="00C57B24"/>
    <w:rsid w:val="00C57BED"/>
    <w:rsid w:val="00C6525A"/>
    <w:rsid w:val="00C65C75"/>
    <w:rsid w:val="00C72A22"/>
    <w:rsid w:val="00C73FF5"/>
    <w:rsid w:val="00C74558"/>
    <w:rsid w:val="00C76CDF"/>
    <w:rsid w:val="00C82201"/>
    <w:rsid w:val="00C84128"/>
    <w:rsid w:val="00C86DEA"/>
    <w:rsid w:val="00C87EEC"/>
    <w:rsid w:val="00C94423"/>
    <w:rsid w:val="00CA0314"/>
    <w:rsid w:val="00CA21AC"/>
    <w:rsid w:val="00CB2392"/>
    <w:rsid w:val="00CB384E"/>
    <w:rsid w:val="00CB4557"/>
    <w:rsid w:val="00CB5416"/>
    <w:rsid w:val="00CB7319"/>
    <w:rsid w:val="00CC0782"/>
    <w:rsid w:val="00CC2057"/>
    <w:rsid w:val="00CC2182"/>
    <w:rsid w:val="00CC45B2"/>
    <w:rsid w:val="00CD0464"/>
    <w:rsid w:val="00CD0928"/>
    <w:rsid w:val="00CD1A58"/>
    <w:rsid w:val="00CD24A3"/>
    <w:rsid w:val="00CD2FFF"/>
    <w:rsid w:val="00CD5D87"/>
    <w:rsid w:val="00CD72A5"/>
    <w:rsid w:val="00CE0392"/>
    <w:rsid w:val="00CE3041"/>
    <w:rsid w:val="00CE4EED"/>
    <w:rsid w:val="00CE68E2"/>
    <w:rsid w:val="00CF0932"/>
    <w:rsid w:val="00CF3255"/>
    <w:rsid w:val="00CF3B87"/>
    <w:rsid w:val="00D073D9"/>
    <w:rsid w:val="00D10C15"/>
    <w:rsid w:val="00D14735"/>
    <w:rsid w:val="00D15929"/>
    <w:rsid w:val="00D15A7D"/>
    <w:rsid w:val="00D1673D"/>
    <w:rsid w:val="00D16FBE"/>
    <w:rsid w:val="00D25E22"/>
    <w:rsid w:val="00D2754E"/>
    <w:rsid w:val="00D3046C"/>
    <w:rsid w:val="00D31933"/>
    <w:rsid w:val="00D32F90"/>
    <w:rsid w:val="00D33AA0"/>
    <w:rsid w:val="00D33CA9"/>
    <w:rsid w:val="00D34898"/>
    <w:rsid w:val="00D34EE8"/>
    <w:rsid w:val="00D4291C"/>
    <w:rsid w:val="00D43AF7"/>
    <w:rsid w:val="00D45819"/>
    <w:rsid w:val="00D46013"/>
    <w:rsid w:val="00D51220"/>
    <w:rsid w:val="00D53B04"/>
    <w:rsid w:val="00D557D4"/>
    <w:rsid w:val="00D564C2"/>
    <w:rsid w:val="00D57902"/>
    <w:rsid w:val="00D57AC7"/>
    <w:rsid w:val="00D70805"/>
    <w:rsid w:val="00D7274A"/>
    <w:rsid w:val="00D741D7"/>
    <w:rsid w:val="00D80830"/>
    <w:rsid w:val="00D824B0"/>
    <w:rsid w:val="00D913FA"/>
    <w:rsid w:val="00D938E8"/>
    <w:rsid w:val="00DA2B08"/>
    <w:rsid w:val="00DA2F1F"/>
    <w:rsid w:val="00DA38FD"/>
    <w:rsid w:val="00DA6038"/>
    <w:rsid w:val="00DA6CE6"/>
    <w:rsid w:val="00DB0243"/>
    <w:rsid w:val="00DB37F2"/>
    <w:rsid w:val="00DB5245"/>
    <w:rsid w:val="00DB5C79"/>
    <w:rsid w:val="00DC5F61"/>
    <w:rsid w:val="00DC6462"/>
    <w:rsid w:val="00DD07E1"/>
    <w:rsid w:val="00DD2486"/>
    <w:rsid w:val="00DD4C2C"/>
    <w:rsid w:val="00DE17D6"/>
    <w:rsid w:val="00DE52E9"/>
    <w:rsid w:val="00DF30B9"/>
    <w:rsid w:val="00DF394D"/>
    <w:rsid w:val="00DF4498"/>
    <w:rsid w:val="00DF4B1F"/>
    <w:rsid w:val="00DF4FA1"/>
    <w:rsid w:val="00DF76A1"/>
    <w:rsid w:val="00E00418"/>
    <w:rsid w:val="00E04254"/>
    <w:rsid w:val="00E063C4"/>
    <w:rsid w:val="00E06D75"/>
    <w:rsid w:val="00E10666"/>
    <w:rsid w:val="00E137C5"/>
    <w:rsid w:val="00E142C4"/>
    <w:rsid w:val="00E147D3"/>
    <w:rsid w:val="00E14A55"/>
    <w:rsid w:val="00E161E3"/>
    <w:rsid w:val="00E169FB"/>
    <w:rsid w:val="00E17245"/>
    <w:rsid w:val="00E24963"/>
    <w:rsid w:val="00E268A1"/>
    <w:rsid w:val="00E339CA"/>
    <w:rsid w:val="00E4063A"/>
    <w:rsid w:val="00E43BD0"/>
    <w:rsid w:val="00E44D4C"/>
    <w:rsid w:val="00E45CDF"/>
    <w:rsid w:val="00E467DA"/>
    <w:rsid w:val="00E50F11"/>
    <w:rsid w:val="00E56844"/>
    <w:rsid w:val="00E61A7A"/>
    <w:rsid w:val="00E61E35"/>
    <w:rsid w:val="00E63C8C"/>
    <w:rsid w:val="00E73842"/>
    <w:rsid w:val="00E73FF8"/>
    <w:rsid w:val="00E77465"/>
    <w:rsid w:val="00E8241C"/>
    <w:rsid w:val="00E9192B"/>
    <w:rsid w:val="00E9218E"/>
    <w:rsid w:val="00EA05A0"/>
    <w:rsid w:val="00EA12A6"/>
    <w:rsid w:val="00EA3EF1"/>
    <w:rsid w:val="00EA4EED"/>
    <w:rsid w:val="00EB086E"/>
    <w:rsid w:val="00EB0CD6"/>
    <w:rsid w:val="00EB12C8"/>
    <w:rsid w:val="00EB1D78"/>
    <w:rsid w:val="00EC0545"/>
    <w:rsid w:val="00EC3785"/>
    <w:rsid w:val="00EC48D9"/>
    <w:rsid w:val="00EC4ABB"/>
    <w:rsid w:val="00EC7A54"/>
    <w:rsid w:val="00EC7DB4"/>
    <w:rsid w:val="00ED14BC"/>
    <w:rsid w:val="00ED2350"/>
    <w:rsid w:val="00ED45B8"/>
    <w:rsid w:val="00EE145F"/>
    <w:rsid w:val="00EE1828"/>
    <w:rsid w:val="00EE1E23"/>
    <w:rsid w:val="00EE7F1D"/>
    <w:rsid w:val="00EF16B5"/>
    <w:rsid w:val="00EF23A3"/>
    <w:rsid w:val="00EF3DC8"/>
    <w:rsid w:val="00F0349C"/>
    <w:rsid w:val="00F04BF5"/>
    <w:rsid w:val="00F0700C"/>
    <w:rsid w:val="00F1304B"/>
    <w:rsid w:val="00F14478"/>
    <w:rsid w:val="00F17245"/>
    <w:rsid w:val="00F17987"/>
    <w:rsid w:val="00F20241"/>
    <w:rsid w:val="00F22CD4"/>
    <w:rsid w:val="00F23211"/>
    <w:rsid w:val="00F24411"/>
    <w:rsid w:val="00F3166A"/>
    <w:rsid w:val="00F31F57"/>
    <w:rsid w:val="00F333F8"/>
    <w:rsid w:val="00F37CEC"/>
    <w:rsid w:val="00F41345"/>
    <w:rsid w:val="00F42030"/>
    <w:rsid w:val="00F43223"/>
    <w:rsid w:val="00F435DC"/>
    <w:rsid w:val="00F43B26"/>
    <w:rsid w:val="00F4412D"/>
    <w:rsid w:val="00F44E0A"/>
    <w:rsid w:val="00F503A5"/>
    <w:rsid w:val="00F519B6"/>
    <w:rsid w:val="00F53577"/>
    <w:rsid w:val="00F5393D"/>
    <w:rsid w:val="00F570B9"/>
    <w:rsid w:val="00F6036F"/>
    <w:rsid w:val="00F6045D"/>
    <w:rsid w:val="00F6369C"/>
    <w:rsid w:val="00F65B1B"/>
    <w:rsid w:val="00F72DBB"/>
    <w:rsid w:val="00F74DDF"/>
    <w:rsid w:val="00F765EC"/>
    <w:rsid w:val="00F8260A"/>
    <w:rsid w:val="00F82DA4"/>
    <w:rsid w:val="00F92108"/>
    <w:rsid w:val="00F9632E"/>
    <w:rsid w:val="00F969D2"/>
    <w:rsid w:val="00F97031"/>
    <w:rsid w:val="00FA09C2"/>
    <w:rsid w:val="00FA1B3E"/>
    <w:rsid w:val="00FA68FA"/>
    <w:rsid w:val="00FA7102"/>
    <w:rsid w:val="00FB0CB8"/>
    <w:rsid w:val="00FB1E49"/>
    <w:rsid w:val="00FB1EE2"/>
    <w:rsid w:val="00FB4540"/>
    <w:rsid w:val="00FB7E11"/>
    <w:rsid w:val="00FC5764"/>
    <w:rsid w:val="00FD1AD3"/>
    <w:rsid w:val="00FD2266"/>
    <w:rsid w:val="00FD37CE"/>
    <w:rsid w:val="00FD3B41"/>
    <w:rsid w:val="00FE0D5B"/>
    <w:rsid w:val="00FE543D"/>
    <w:rsid w:val="00FE6AD2"/>
    <w:rsid w:val="00FF4CCE"/>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0A71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940A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ListBullet">
    <w:name w:val="List Bullet"/>
    <w:basedOn w:val="Normal"/>
    <w:rsid w:val="002E2ABC"/>
    <w:pPr>
      <w:numPr>
        <w:numId w:val="13"/>
      </w:numPr>
      <w:contextualSpacing/>
    </w:pPr>
  </w:style>
  <w:style w:type="paragraph" w:styleId="Footer">
    <w:name w:val="footer"/>
    <w:basedOn w:val="Normal"/>
    <w:link w:val="FooterChar"/>
    <w:rsid w:val="00181FB2"/>
    <w:pPr>
      <w:tabs>
        <w:tab w:val="center" w:pos="4513"/>
        <w:tab w:val="right" w:pos="9026"/>
      </w:tabs>
    </w:pPr>
  </w:style>
  <w:style w:type="character" w:customStyle="1" w:styleId="FooterChar">
    <w:name w:val="Footer Char"/>
    <w:basedOn w:val="DefaultParagraphFont"/>
    <w:link w:val="Footer"/>
    <w:rsid w:val="00181FB2"/>
    <w:rPr>
      <w:sz w:val="24"/>
      <w:szCs w:val="24"/>
    </w:rPr>
  </w:style>
  <w:style w:type="character" w:customStyle="1" w:styleId="Heading1Char">
    <w:name w:val="Heading 1 Char"/>
    <w:basedOn w:val="DefaultParagraphFont"/>
    <w:link w:val="Heading1"/>
    <w:rsid w:val="00940A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2350"/>
    <w:pPr>
      <w:spacing w:line="259" w:lineRule="auto"/>
      <w:outlineLvl w:val="9"/>
    </w:pPr>
    <w:rPr>
      <w:lang w:val="en-US" w:eastAsia="en-US"/>
    </w:rPr>
  </w:style>
  <w:style w:type="paragraph" w:styleId="TOC1">
    <w:name w:val="toc 1"/>
    <w:basedOn w:val="Normal"/>
    <w:next w:val="Normal"/>
    <w:autoRedefine/>
    <w:uiPriority w:val="39"/>
    <w:rsid w:val="00ED2350"/>
    <w:pPr>
      <w:spacing w:after="100"/>
    </w:pPr>
  </w:style>
  <w:style w:type="paragraph" w:styleId="TOC3">
    <w:name w:val="toc 3"/>
    <w:basedOn w:val="Normal"/>
    <w:next w:val="Normal"/>
    <w:autoRedefine/>
    <w:uiPriority w:val="39"/>
    <w:rsid w:val="00ED2350"/>
    <w:pPr>
      <w:spacing w:after="100"/>
      <w:ind w:left="480"/>
    </w:pPr>
  </w:style>
  <w:style w:type="character" w:styleId="Hyperlink">
    <w:name w:val="Hyperlink"/>
    <w:basedOn w:val="DefaultParagraphFont"/>
    <w:uiPriority w:val="99"/>
    <w:unhideWhenUsed/>
    <w:rsid w:val="00ED2350"/>
    <w:rPr>
      <w:color w:val="0563C1" w:themeColor="hyperlink"/>
      <w:u w:val="single"/>
    </w:rPr>
  </w:style>
  <w:style w:type="character" w:styleId="PlaceholderText">
    <w:name w:val="Placeholder Text"/>
    <w:basedOn w:val="DefaultParagraphFont"/>
    <w:uiPriority w:val="99"/>
    <w:semiHidden/>
    <w:rsid w:val="00573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6DFE-4621-4CB9-80B5-1664D608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11459</Words>
  <Characters>58356</Characters>
  <Application>Microsoft Office Word</Application>
  <DocSecurity>0</DocSecurity>
  <Lines>486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2022-03-11T14:34:00Z</dcterms:created>
  <dcterms:modified xsi:type="dcterms:W3CDTF">2022-03-11T16:28:00Z</dcterms:modified>
</cp:coreProperties>
</file>