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C687" w14:textId="77777777" w:rsidR="00950184" w:rsidRPr="00950184" w:rsidRDefault="00C90107" w:rsidP="00950184">
      <w:pPr>
        <w:pStyle w:val="Harp"/>
      </w:pPr>
      <w:r w:rsidRPr="00F54B99">
        <w:rPr>
          <w:rFonts w:ascii="Times New Roman" w:hAnsi="Times New Roman"/>
          <w:iCs/>
          <w:sz w:val="24"/>
          <w:szCs w:val="24"/>
        </w:rPr>
        <w:t xml:space="preserve"> </w:t>
      </w:r>
      <w:r w:rsidR="00950184" w:rsidRPr="00950184">
        <w:rPr>
          <w:noProof/>
        </w:rPr>
        <w:drawing>
          <wp:inline distT="0" distB="0" distL="0" distR="0" wp14:anchorId="23E09B4E" wp14:editId="7AB2CAA3">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5EC52280" w14:textId="77777777" w:rsidR="00950184" w:rsidRPr="00950184" w:rsidRDefault="00950184" w:rsidP="00950184">
      <w:pPr>
        <w:spacing w:after="0" w:line="240" w:lineRule="auto"/>
        <w:jc w:val="center"/>
        <w:rPr>
          <w:rFonts w:ascii="Verdana" w:eastAsia="Times New Roman" w:hAnsi="Verdana" w:cs="Times New Roman"/>
          <w:sz w:val="18"/>
          <w:szCs w:val="20"/>
          <w:lang w:eastAsia="en-IE"/>
        </w:rPr>
      </w:pPr>
    </w:p>
    <w:p w14:paraId="4BC97346" w14:textId="77777777" w:rsidR="00950184" w:rsidRPr="00950184" w:rsidRDefault="00950184" w:rsidP="00950184">
      <w:pPr>
        <w:spacing w:after="0" w:line="240" w:lineRule="auto"/>
        <w:jc w:val="center"/>
        <w:rPr>
          <w:rFonts w:ascii="Times New Roman" w:eastAsia="Times New Roman" w:hAnsi="Times New Roman" w:cs="Times New Roman"/>
          <w:b/>
          <w:sz w:val="32"/>
          <w:szCs w:val="32"/>
          <w:lang w:eastAsia="en-IE"/>
        </w:rPr>
      </w:pPr>
      <w:r w:rsidRPr="00950184">
        <w:rPr>
          <w:rFonts w:ascii="Times New Roman" w:eastAsia="Times New Roman" w:hAnsi="Times New Roman" w:cs="Times New Roman"/>
          <w:b/>
          <w:sz w:val="32"/>
          <w:szCs w:val="32"/>
          <w:lang w:eastAsia="en-IE"/>
        </w:rPr>
        <w:t>THE SUPREME COURT</w:t>
      </w:r>
    </w:p>
    <w:p w14:paraId="0A58180E" w14:textId="77777777" w:rsidR="00950184" w:rsidRPr="00950184" w:rsidRDefault="00950184" w:rsidP="00950184">
      <w:pPr>
        <w:spacing w:after="0" w:line="480" w:lineRule="auto"/>
        <w:jc w:val="right"/>
        <w:rPr>
          <w:rFonts w:ascii="Times New Roman" w:eastAsia="Times New Roman" w:hAnsi="Times New Roman" w:cs="Times New Roman"/>
          <w:b/>
          <w:sz w:val="28"/>
          <w:szCs w:val="28"/>
          <w:lang w:eastAsia="en-IE"/>
        </w:rPr>
      </w:pPr>
    </w:p>
    <w:p w14:paraId="709F7978" w14:textId="77777777" w:rsidR="00950184" w:rsidRPr="00950184" w:rsidRDefault="00950184" w:rsidP="00950184">
      <w:pPr>
        <w:spacing w:after="0" w:line="240" w:lineRule="auto"/>
        <w:jc w:val="right"/>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S:AP:IE:2021:000025</w:t>
      </w:r>
    </w:p>
    <w:p w14:paraId="3103ED20" w14:textId="7C83DD7C" w:rsidR="00950184" w:rsidRPr="00950184" w:rsidRDefault="00950184" w:rsidP="00950184">
      <w:pPr>
        <w:spacing w:after="0" w:line="240" w:lineRule="auto"/>
        <w:jc w:val="right"/>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High Court Record No. 2020/3</w:t>
      </w:r>
      <w:r w:rsidR="001D2856">
        <w:rPr>
          <w:rFonts w:ascii="Times New Roman" w:eastAsia="Times New Roman" w:hAnsi="Times New Roman" w:cs="Times New Roman"/>
          <w:b/>
          <w:sz w:val="28"/>
          <w:szCs w:val="28"/>
          <w:lang w:eastAsia="en-IE"/>
        </w:rPr>
        <w:t>53</w:t>
      </w:r>
      <w:r w:rsidRPr="00950184">
        <w:rPr>
          <w:rFonts w:ascii="Times New Roman" w:eastAsia="Times New Roman" w:hAnsi="Times New Roman" w:cs="Times New Roman"/>
          <w:b/>
          <w:sz w:val="28"/>
          <w:szCs w:val="28"/>
          <w:lang w:eastAsia="en-IE"/>
        </w:rPr>
        <w:t xml:space="preserve"> JR</w:t>
      </w:r>
    </w:p>
    <w:p w14:paraId="7EACBA44" w14:textId="77777777" w:rsidR="00950184" w:rsidRPr="00950184" w:rsidRDefault="00950184" w:rsidP="00950184">
      <w:pPr>
        <w:spacing w:after="0" w:line="480" w:lineRule="auto"/>
        <w:rPr>
          <w:rFonts w:ascii="Times New Roman" w:eastAsia="Times New Roman" w:hAnsi="Times New Roman" w:cs="Times New Roman"/>
          <w:b/>
          <w:sz w:val="28"/>
          <w:szCs w:val="28"/>
          <w:lang w:eastAsia="en-IE"/>
        </w:rPr>
      </w:pPr>
    </w:p>
    <w:p w14:paraId="4372B425" w14:textId="75269B99" w:rsidR="00950184" w:rsidRPr="00950184" w:rsidRDefault="00950184" w:rsidP="00950184">
      <w:pPr>
        <w:spacing w:after="0" w:line="276" w:lineRule="auto"/>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 xml:space="preserve">O’Donnell </w:t>
      </w:r>
      <w:r w:rsidR="00243663">
        <w:rPr>
          <w:rFonts w:ascii="Times New Roman" w:eastAsia="Times New Roman" w:hAnsi="Times New Roman" w:cs="Times New Roman"/>
          <w:b/>
          <w:sz w:val="28"/>
          <w:szCs w:val="28"/>
          <w:lang w:eastAsia="en-IE"/>
        </w:rPr>
        <w:t>C.</w:t>
      </w:r>
      <w:r w:rsidRPr="00950184">
        <w:rPr>
          <w:rFonts w:ascii="Times New Roman" w:eastAsia="Times New Roman" w:hAnsi="Times New Roman" w:cs="Times New Roman"/>
          <w:b/>
          <w:sz w:val="28"/>
          <w:szCs w:val="28"/>
          <w:lang w:eastAsia="en-IE"/>
        </w:rPr>
        <w:t>J.</w:t>
      </w:r>
    </w:p>
    <w:p w14:paraId="2275C995" w14:textId="77777777" w:rsidR="00950184" w:rsidRPr="00950184" w:rsidRDefault="00950184" w:rsidP="00950184">
      <w:pPr>
        <w:spacing w:after="0" w:line="276" w:lineRule="auto"/>
        <w:rPr>
          <w:rFonts w:ascii="Times New Roman" w:eastAsia="Times New Roman" w:hAnsi="Times New Roman" w:cs="Times New Roman"/>
          <w:b/>
          <w:sz w:val="28"/>
          <w:szCs w:val="28"/>
          <w:lang w:eastAsia="en-IE"/>
        </w:rPr>
      </w:pPr>
      <w:proofErr w:type="spellStart"/>
      <w:r w:rsidRPr="00950184">
        <w:rPr>
          <w:rFonts w:ascii="Times New Roman" w:eastAsia="Times New Roman" w:hAnsi="Times New Roman" w:cs="Times New Roman"/>
          <w:b/>
          <w:sz w:val="28"/>
          <w:szCs w:val="28"/>
          <w:lang w:eastAsia="en-IE"/>
        </w:rPr>
        <w:t>MacMenamin</w:t>
      </w:r>
      <w:proofErr w:type="spellEnd"/>
      <w:r w:rsidRPr="00950184">
        <w:rPr>
          <w:rFonts w:ascii="Times New Roman" w:eastAsia="Times New Roman" w:hAnsi="Times New Roman" w:cs="Times New Roman"/>
          <w:b/>
          <w:sz w:val="28"/>
          <w:szCs w:val="28"/>
          <w:lang w:eastAsia="en-IE"/>
        </w:rPr>
        <w:t xml:space="preserve"> J.</w:t>
      </w:r>
    </w:p>
    <w:p w14:paraId="1BC32050" w14:textId="77777777" w:rsidR="00950184" w:rsidRPr="00950184" w:rsidRDefault="00950184" w:rsidP="00950184">
      <w:pPr>
        <w:spacing w:after="0" w:line="276" w:lineRule="auto"/>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Dunne J.</w:t>
      </w:r>
    </w:p>
    <w:p w14:paraId="27BB65F8" w14:textId="77777777" w:rsidR="00950184" w:rsidRPr="00950184" w:rsidRDefault="00950184" w:rsidP="00950184">
      <w:pPr>
        <w:spacing w:after="0" w:line="276" w:lineRule="auto"/>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O’Malley J.</w:t>
      </w:r>
    </w:p>
    <w:p w14:paraId="5B43AAD1" w14:textId="77777777" w:rsidR="00950184" w:rsidRPr="00950184" w:rsidRDefault="00950184" w:rsidP="00950184">
      <w:pPr>
        <w:spacing w:after="0" w:line="276" w:lineRule="auto"/>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Baker J.</w:t>
      </w:r>
    </w:p>
    <w:p w14:paraId="4DFCF7F4" w14:textId="77777777" w:rsidR="00950184" w:rsidRPr="00950184" w:rsidRDefault="00950184" w:rsidP="00950184">
      <w:pPr>
        <w:spacing w:after="0" w:line="480" w:lineRule="auto"/>
        <w:jc w:val="center"/>
        <w:rPr>
          <w:rFonts w:ascii="Times New Roman" w:eastAsia="Times New Roman" w:hAnsi="Times New Roman" w:cs="Times New Roman"/>
          <w:b/>
          <w:sz w:val="28"/>
          <w:szCs w:val="28"/>
          <w:lang w:eastAsia="en-IE"/>
        </w:rPr>
      </w:pPr>
    </w:p>
    <w:p w14:paraId="7CC13849" w14:textId="77777777" w:rsidR="00950184" w:rsidRPr="00950184" w:rsidRDefault="00950184" w:rsidP="00950184">
      <w:pPr>
        <w:spacing w:after="0" w:line="480" w:lineRule="auto"/>
        <w:jc w:val="center"/>
        <w:rPr>
          <w:rFonts w:ascii="Times New Roman" w:eastAsia="Times New Roman" w:hAnsi="Times New Roman" w:cs="Times New Roman"/>
          <w:b/>
          <w:sz w:val="28"/>
          <w:szCs w:val="28"/>
          <w:lang w:eastAsia="en-IE"/>
        </w:rPr>
      </w:pPr>
      <w:proofErr w:type="spellStart"/>
      <w:r w:rsidRPr="00950184">
        <w:rPr>
          <w:rFonts w:ascii="Times New Roman" w:eastAsia="Times New Roman" w:hAnsi="Times New Roman" w:cs="Times New Roman"/>
          <w:b/>
          <w:sz w:val="28"/>
          <w:szCs w:val="28"/>
          <w:lang w:eastAsia="en-IE"/>
        </w:rPr>
        <w:t>Shardha</w:t>
      </w:r>
      <w:proofErr w:type="spellEnd"/>
      <w:r w:rsidRPr="00950184">
        <w:rPr>
          <w:rFonts w:ascii="Times New Roman" w:eastAsia="Times New Roman" w:hAnsi="Times New Roman" w:cs="Times New Roman"/>
          <w:b/>
          <w:sz w:val="28"/>
          <w:szCs w:val="28"/>
          <w:lang w:eastAsia="en-IE"/>
        </w:rPr>
        <w:t xml:space="preserve"> </w:t>
      </w:r>
      <w:proofErr w:type="spellStart"/>
      <w:r w:rsidRPr="00950184">
        <w:rPr>
          <w:rFonts w:ascii="Times New Roman" w:eastAsia="Times New Roman" w:hAnsi="Times New Roman" w:cs="Times New Roman"/>
          <w:b/>
          <w:sz w:val="28"/>
          <w:szCs w:val="28"/>
          <w:lang w:eastAsia="en-IE"/>
        </w:rPr>
        <w:t>Sobhy</w:t>
      </w:r>
      <w:proofErr w:type="spellEnd"/>
    </w:p>
    <w:p w14:paraId="1B9930E6" w14:textId="77777777" w:rsidR="00950184" w:rsidRPr="00950184" w:rsidRDefault="00950184" w:rsidP="00950184">
      <w:pPr>
        <w:spacing w:after="0" w:line="480" w:lineRule="auto"/>
        <w:jc w:val="right"/>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Respondent/Applicant</w:t>
      </w:r>
    </w:p>
    <w:p w14:paraId="5EF59C14" w14:textId="77777777" w:rsidR="00950184" w:rsidRPr="00950184" w:rsidRDefault="00950184" w:rsidP="00950184">
      <w:pPr>
        <w:spacing w:after="0" w:line="480" w:lineRule="auto"/>
        <w:jc w:val="center"/>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 AND –</w:t>
      </w:r>
    </w:p>
    <w:p w14:paraId="0F7191C5" w14:textId="77777777" w:rsidR="00950184" w:rsidRPr="00950184" w:rsidRDefault="00950184" w:rsidP="00950184">
      <w:pPr>
        <w:spacing w:after="0" w:line="480" w:lineRule="auto"/>
        <w:jc w:val="center"/>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 xml:space="preserve">The Chief Appeals Officer, </w:t>
      </w:r>
    </w:p>
    <w:p w14:paraId="12F1F8A1" w14:textId="77777777" w:rsidR="00950184" w:rsidRPr="00950184" w:rsidRDefault="00950184" w:rsidP="00950184">
      <w:pPr>
        <w:spacing w:after="0" w:line="480" w:lineRule="auto"/>
        <w:jc w:val="center"/>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Minister for Employment Affairs and Social Protection,</w:t>
      </w:r>
    </w:p>
    <w:p w14:paraId="67DBE598" w14:textId="77777777" w:rsidR="00950184" w:rsidRPr="00950184" w:rsidRDefault="00950184" w:rsidP="00950184">
      <w:pPr>
        <w:spacing w:after="0" w:line="480" w:lineRule="auto"/>
        <w:jc w:val="center"/>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 xml:space="preserve">Ireland and the Attorney General </w:t>
      </w:r>
    </w:p>
    <w:p w14:paraId="7A03DF64" w14:textId="77777777" w:rsidR="00950184" w:rsidRPr="00950184" w:rsidRDefault="00950184" w:rsidP="00950184">
      <w:pPr>
        <w:spacing w:after="0" w:line="480" w:lineRule="auto"/>
        <w:jc w:val="right"/>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Appellants/Respondents</w:t>
      </w:r>
    </w:p>
    <w:p w14:paraId="019E041B" w14:textId="77777777" w:rsidR="00950184" w:rsidRPr="00950184" w:rsidRDefault="00950184" w:rsidP="00950184">
      <w:pPr>
        <w:spacing w:after="0" w:line="480" w:lineRule="auto"/>
        <w:jc w:val="center"/>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-AND-</w:t>
      </w:r>
    </w:p>
    <w:p w14:paraId="26102E31" w14:textId="77777777" w:rsidR="00950184" w:rsidRPr="00950184" w:rsidRDefault="00950184" w:rsidP="00950184">
      <w:pPr>
        <w:spacing w:after="0" w:line="480" w:lineRule="auto"/>
        <w:jc w:val="center"/>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 xml:space="preserve">Irish Human Rights and Equality Commission </w:t>
      </w:r>
    </w:p>
    <w:p w14:paraId="55C8D1FC" w14:textId="77777777" w:rsidR="00950184" w:rsidRPr="00950184" w:rsidRDefault="00950184" w:rsidP="00950184">
      <w:pPr>
        <w:spacing w:after="0" w:line="480" w:lineRule="auto"/>
        <w:jc w:val="right"/>
        <w:rPr>
          <w:rFonts w:ascii="Times New Roman" w:eastAsia="Times New Roman" w:hAnsi="Times New Roman" w:cs="Times New Roman"/>
          <w:b/>
          <w:sz w:val="28"/>
          <w:szCs w:val="28"/>
          <w:lang w:eastAsia="en-IE"/>
        </w:rPr>
      </w:pPr>
      <w:r w:rsidRPr="00950184">
        <w:rPr>
          <w:rFonts w:ascii="Times New Roman" w:eastAsia="Times New Roman" w:hAnsi="Times New Roman" w:cs="Times New Roman"/>
          <w:b/>
          <w:sz w:val="28"/>
          <w:szCs w:val="28"/>
          <w:lang w:eastAsia="en-IE"/>
        </w:rPr>
        <w:t>Notice Party</w:t>
      </w:r>
    </w:p>
    <w:p w14:paraId="257DBE95" w14:textId="77777777" w:rsidR="00E46275" w:rsidRDefault="00E46275" w:rsidP="009A523F">
      <w:pPr>
        <w:spacing w:before="100" w:beforeAutospacing="1" w:after="100" w:afterAutospacing="1" w:line="360" w:lineRule="auto"/>
        <w:jc w:val="both"/>
        <w:rPr>
          <w:rFonts w:ascii="Times New Roman" w:hAnsi="Times New Roman" w:cs="Times New Roman"/>
          <w:b/>
          <w:bCs/>
          <w:iCs/>
          <w:sz w:val="24"/>
          <w:szCs w:val="24"/>
          <w:u w:val="single"/>
        </w:rPr>
      </w:pPr>
    </w:p>
    <w:p w14:paraId="33ADC50A" w14:textId="77777777" w:rsidR="00E46275" w:rsidRDefault="00E46275" w:rsidP="009A523F">
      <w:pPr>
        <w:spacing w:before="100" w:beforeAutospacing="1" w:after="100" w:afterAutospacing="1" w:line="360" w:lineRule="auto"/>
        <w:jc w:val="both"/>
        <w:rPr>
          <w:rFonts w:ascii="Times New Roman" w:hAnsi="Times New Roman" w:cs="Times New Roman"/>
          <w:b/>
          <w:bCs/>
          <w:iCs/>
          <w:sz w:val="24"/>
          <w:szCs w:val="24"/>
          <w:u w:val="single"/>
        </w:rPr>
      </w:pPr>
    </w:p>
    <w:p w14:paraId="142CA121" w14:textId="33215754" w:rsidR="009A523F" w:rsidRPr="00950184" w:rsidRDefault="00243663" w:rsidP="009A523F">
      <w:pPr>
        <w:spacing w:before="100" w:beforeAutospacing="1" w:after="100" w:afterAutospacing="1" w:line="360" w:lineRule="auto"/>
        <w:jc w:val="both"/>
        <w:rPr>
          <w:rFonts w:ascii="Times New Roman" w:hAnsi="Times New Roman" w:cs="Times New Roman"/>
          <w:b/>
          <w:bCs/>
          <w:iCs/>
          <w:sz w:val="24"/>
          <w:szCs w:val="24"/>
          <w:u w:val="single"/>
        </w:rPr>
      </w:pPr>
      <w:r>
        <w:rPr>
          <w:rFonts w:ascii="Times New Roman" w:hAnsi="Times New Roman" w:cs="Times New Roman"/>
          <w:b/>
          <w:bCs/>
          <w:iCs/>
          <w:sz w:val="24"/>
          <w:szCs w:val="24"/>
          <w:u w:val="single"/>
        </w:rPr>
        <w:lastRenderedPageBreak/>
        <w:t>COSTS RULING</w:t>
      </w:r>
      <w:r w:rsidR="009A523F" w:rsidRPr="00950184">
        <w:rPr>
          <w:rFonts w:ascii="Times New Roman" w:hAnsi="Times New Roman" w:cs="Times New Roman"/>
          <w:b/>
          <w:bCs/>
          <w:iCs/>
          <w:sz w:val="24"/>
          <w:szCs w:val="24"/>
          <w:u w:val="single"/>
        </w:rPr>
        <w:t xml:space="preserve"> of the Court delivered on the </w:t>
      </w:r>
      <w:r w:rsidR="00FE16CE">
        <w:rPr>
          <w:rFonts w:ascii="Times New Roman" w:hAnsi="Times New Roman" w:cs="Times New Roman"/>
          <w:b/>
          <w:bCs/>
          <w:iCs/>
          <w:sz w:val="24"/>
          <w:szCs w:val="24"/>
          <w:u w:val="single"/>
        </w:rPr>
        <w:t>4</w:t>
      </w:r>
      <w:r w:rsidR="009A523F" w:rsidRPr="00870E66">
        <w:rPr>
          <w:rFonts w:ascii="Times New Roman" w:hAnsi="Times New Roman" w:cs="Times New Roman"/>
          <w:b/>
          <w:bCs/>
          <w:iCs/>
          <w:sz w:val="24"/>
          <w:szCs w:val="24"/>
          <w:u w:val="single"/>
          <w:vertAlign w:val="superscript"/>
        </w:rPr>
        <w:t>th</w:t>
      </w:r>
      <w:r w:rsidR="009A523F" w:rsidRPr="00950184">
        <w:rPr>
          <w:rFonts w:ascii="Times New Roman" w:hAnsi="Times New Roman" w:cs="Times New Roman"/>
          <w:b/>
          <w:bCs/>
          <w:iCs/>
          <w:sz w:val="24"/>
          <w:szCs w:val="24"/>
          <w:u w:val="single"/>
        </w:rPr>
        <w:t xml:space="preserve"> of </w:t>
      </w:r>
      <w:r w:rsidR="00C91E3B">
        <w:rPr>
          <w:rFonts w:ascii="Times New Roman" w:hAnsi="Times New Roman" w:cs="Times New Roman"/>
          <w:b/>
          <w:bCs/>
          <w:iCs/>
          <w:sz w:val="24"/>
          <w:szCs w:val="24"/>
          <w:u w:val="single"/>
        </w:rPr>
        <w:t>March</w:t>
      </w:r>
      <w:r w:rsidR="009A523F">
        <w:rPr>
          <w:rFonts w:ascii="Times New Roman" w:hAnsi="Times New Roman" w:cs="Times New Roman"/>
          <w:b/>
          <w:bCs/>
          <w:iCs/>
          <w:sz w:val="24"/>
          <w:szCs w:val="24"/>
          <w:u w:val="single"/>
        </w:rPr>
        <w:t>, 2022</w:t>
      </w:r>
    </w:p>
    <w:p w14:paraId="1ADE9205" w14:textId="708FB1A0" w:rsidR="005C4DC7" w:rsidRPr="0061727F" w:rsidRDefault="00E91232" w:rsidP="005C4DC7">
      <w:pPr>
        <w:numPr>
          <w:ilvl w:val="0"/>
          <w:numId w:val="1"/>
        </w:numPr>
        <w:spacing w:after="0" w:line="480" w:lineRule="auto"/>
        <w:ind w:left="0" w:firstLine="0"/>
        <w:jc w:val="both"/>
        <w:rPr>
          <w:rFonts w:ascii="Times New Roman" w:hAnsi="Times New Roman" w:cs="Times New Roman"/>
          <w:iCs/>
          <w:sz w:val="24"/>
          <w:szCs w:val="24"/>
        </w:rPr>
      </w:pPr>
      <w:r w:rsidRPr="0061727F">
        <w:rPr>
          <w:rFonts w:ascii="Times New Roman" w:hAnsi="Times New Roman" w:cs="Times New Roman"/>
          <w:iCs/>
          <w:sz w:val="24"/>
          <w:szCs w:val="24"/>
        </w:rPr>
        <w:t xml:space="preserve">By its </w:t>
      </w:r>
      <w:r w:rsidRPr="0061727F">
        <w:rPr>
          <w:rFonts w:ascii="Times New Roman" w:eastAsia="Times New Roman" w:hAnsi="Times New Roman" w:cs="Times New Roman"/>
          <w:sz w:val="24"/>
          <w:szCs w:val="24"/>
          <w:lang w:eastAsia="en-IE"/>
        </w:rPr>
        <w:t>judgment</w:t>
      </w:r>
      <w:r w:rsidRPr="0061727F">
        <w:rPr>
          <w:rFonts w:ascii="Times New Roman" w:hAnsi="Times New Roman" w:cs="Times New Roman"/>
          <w:iCs/>
          <w:sz w:val="24"/>
          <w:szCs w:val="24"/>
        </w:rPr>
        <w:t xml:space="preserve"> delivered on 16 December 2021 </w:t>
      </w:r>
      <w:r w:rsidR="009A523F" w:rsidRPr="0061727F">
        <w:rPr>
          <w:rFonts w:ascii="Times New Roman" w:hAnsi="Times New Roman" w:cs="Times New Roman"/>
          <w:iCs/>
          <w:sz w:val="24"/>
          <w:szCs w:val="24"/>
        </w:rPr>
        <w:t xml:space="preserve">[2021] IESC 81, </w:t>
      </w:r>
      <w:r w:rsidRPr="0061727F">
        <w:rPr>
          <w:rFonts w:ascii="Times New Roman" w:hAnsi="Times New Roman" w:cs="Times New Roman"/>
          <w:iCs/>
          <w:sz w:val="24"/>
          <w:szCs w:val="24"/>
        </w:rPr>
        <w:t xml:space="preserve">the </w:t>
      </w:r>
      <w:r w:rsidR="00C90107" w:rsidRPr="0061727F">
        <w:rPr>
          <w:rFonts w:ascii="Times New Roman" w:hAnsi="Times New Roman" w:cs="Times New Roman"/>
          <w:iCs/>
          <w:sz w:val="24"/>
          <w:szCs w:val="24"/>
        </w:rPr>
        <w:t>C</w:t>
      </w:r>
      <w:r w:rsidRPr="0061727F">
        <w:rPr>
          <w:rFonts w:ascii="Times New Roman" w:hAnsi="Times New Roman" w:cs="Times New Roman"/>
          <w:iCs/>
          <w:sz w:val="24"/>
          <w:szCs w:val="24"/>
        </w:rPr>
        <w:t xml:space="preserve">ourt allowed the appeal against the judgment and order of the High Court </w:t>
      </w:r>
      <w:r w:rsidR="009A523F" w:rsidRPr="0061727F">
        <w:rPr>
          <w:rFonts w:ascii="Times New Roman" w:hAnsi="Times New Roman" w:cs="Times New Roman"/>
          <w:iCs/>
          <w:sz w:val="24"/>
          <w:szCs w:val="24"/>
        </w:rPr>
        <w:t xml:space="preserve">[2021] IEHC 93, </w:t>
      </w:r>
      <w:r w:rsidRPr="0061727F">
        <w:rPr>
          <w:rFonts w:ascii="Times New Roman" w:hAnsi="Times New Roman" w:cs="Times New Roman"/>
          <w:iCs/>
          <w:sz w:val="24"/>
          <w:szCs w:val="24"/>
        </w:rPr>
        <w:t xml:space="preserve">and concluded that an employment contract entered into by a person </w:t>
      </w:r>
      <w:r w:rsidR="00C90107" w:rsidRPr="0061727F">
        <w:rPr>
          <w:rFonts w:ascii="Times New Roman" w:hAnsi="Times New Roman" w:cs="Times New Roman"/>
          <w:iCs/>
          <w:sz w:val="24"/>
          <w:szCs w:val="24"/>
        </w:rPr>
        <w:t xml:space="preserve">who </w:t>
      </w:r>
      <w:r w:rsidRPr="0061727F">
        <w:rPr>
          <w:rFonts w:ascii="Times New Roman" w:hAnsi="Times New Roman" w:cs="Times New Roman"/>
          <w:iCs/>
          <w:sz w:val="24"/>
          <w:szCs w:val="24"/>
        </w:rPr>
        <w:t xml:space="preserve">did not have a work permit or permission to be in the </w:t>
      </w:r>
      <w:r w:rsidR="00C90107" w:rsidRPr="0061727F">
        <w:rPr>
          <w:rFonts w:ascii="Times New Roman" w:hAnsi="Times New Roman" w:cs="Times New Roman"/>
          <w:iCs/>
          <w:sz w:val="24"/>
          <w:szCs w:val="24"/>
        </w:rPr>
        <w:t>S</w:t>
      </w:r>
      <w:r w:rsidRPr="0061727F">
        <w:rPr>
          <w:rFonts w:ascii="Times New Roman" w:hAnsi="Times New Roman" w:cs="Times New Roman"/>
          <w:iCs/>
          <w:sz w:val="24"/>
          <w:szCs w:val="24"/>
        </w:rPr>
        <w:t xml:space="preserve">tate could </w:t>
      </w:r>
      <w:r w:rsidR="00C90107" w:rsidRPr="0061727F">
        <w:rPr>
          <w:rFonts w:ascii="Times New Roman" w:hAnsi="Times New Roman" w:cs="Times New Roman"/>
          <w:iCs/>
          <w:sz w:val="24"/>
          <w:szCs w:val="24"/>
        </w:rPr>
        <w:t xml:space="preserve">not </w:t>
      </w:r>
      <w:r w:rsidR="00EB3D48" w:rsidRPr="0061727F">
        <w:rPr>
          <w:rFonts w:ascii="Times New Roman" w:hAnsi="Times New Roman" w:cs="Times New Roman"/>
          <w:iCs/>
          <w:sz w:val="24"/>
          <w:szCs w:val="24"/>
        </w:rPr>
        <w:t xml:space="preserve">be regarded as </w:t>
      </w:r>
      <w:r w:rsidR="00243663">
        <w:rPr>
          <w:rFonts w:ascii="Times New Roman" w:hAnsi="Times New Roman" w:cs="Times New Roman"/>
          <w:iCs/>
          <w:sz w:val="24"/>
          <w:szCs w:val="24"/>
        </w:rPr>
        <w:t xml:space="preserve">a </w:t>
      </w:r>
      <w:r w:rsidR="00EB3D48" w:rsidRPr="0061727F">
        <w:rPr>
          <w:rFonts w:ascii="Times New Roman" w:hAnsi="Times New Roman" w:cs="Times New Roman"/>
          <w:iCs/>
          <w:sz w:val="24"/>
          <w:szCs w:val="24"/>
        </w:rPr>
        <w:t>“contract of service” for the purposes of the contribution requirements in the Social Welfare Code.</w:t>
      </w:r>
    </w:p>
    <w:p w14:paraId="67949B43" w14:textId="7A4B7173" w:rsidR="005C4DC7" w:rsidRPr="005C4DC7" w:rsidRDefault="00F50B70" w:rsidP="005C4DC7">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bCs/>
          <w:sz w:val="24"/>
          <w:szCs w:val="24"/>
        </w:rPr>
        <w:t xml:space="preserve">This ruling concerns the costs of that </w:t>
      </w:r>
      <w:r w:rsidR="00C90107" w:rsidRPr="005C4DC7">
        <w:rPr>
          <w:rFonts w:ascii="Times New Roman" w:hAnsi="Times New Roman" w:cs="Times New Roman"/>
          <w:bCs/>
          <w:sz w:val="24"/>
          <w:szCs w:val="24"/>
        </w:rPr>
        <w:t>appeal</w:t>
      </w:r>
      <w:r w:rsidRPr="005C4DC7">
        <w:rPr>
          <w:rFonts w:ascii="Times New Roman" w:hAnsi="Times New Roman" w:cs="Times New Roman"/>
          <w:bCs/>
          <w:sz w:val="24"/>
          <w:szCs w:val="24"/>
        </w:rPr>
        <w:t xml:space="preserve">, and a consideration of whether the award of costs made to the </w:t>
      </w:r>
      <w:r w:rsidR="00243663">
        <w:rPr>
          <w:rFonts w:ascii="Times New Roman" w:hAnsi="Times New Roman" w:cs="Times New Roman"/>
          <w:bCs/>
          <w:sz w:val="24"/>
          <w:szCs w:val="24"/>
        </w:rPr>
        <w:t>r</w:t>
      </w:r>
      <w:r w:rsidRPr="005C4DC7">
        <w:rPr>
          <w:rFonts w:ascii="Times New Roman" w:hAnsi="Times New Roman" w:cs="Times New Roman"/>
          <w:bCs/>
          <w:sz w:val="24"/>
          <w:szCs w:val="24"/>
        </w:rPr>
        <w:t xml:space="preserve">espondent by the </w:t>
      </w:r>
      <w:r w:rsidR="00310C38">
        <w:rPr>
          <w:rFonts w:ascii="Times New Roman" w:hAnsi="Times New Roman" w:cs="Times New Roman"/>
          <w:bCs/>
          <w:sz w:val="24"/>
          <w:szCs w:val="24"/>
        </w:rPr>
        <w:t>o</w:t>
      </w:r>
      <w:r w:rsidR="00C971FA" w:rsidRPr="00C971FA">
        <w:rPr>
          <w:rFonts w:ascii="Times New Roman" w:hAnsi="Times New Roman" w:cs="Times New Roman"/>
          <w:bCs/>
          <w:sz w:val="24"/>
          <w:szCs w:val="24"/>
        </w:rPr>
        <w:t xml:space="preserve">rder of the High Court dated 10 March 2021 </w:t>
      </w:r>
      <w:r w:rsidRPr="005C4DC7">
        <w:rPr>
          <w:rFonts w:ascii="Times New Roman" w:hAnsi="Times New Roman" w:cs="Times New Roman"/>
          <w:bCs/>
          <w:sz w:val="24"/>
          <w:szCs w:val="24"/>
        </w:rPr>
        <w:t>ought to be reversed.</w:t>
      </w:r>
    </w:p>
    <w:p w14:paraId="4B154430" w14:textId="7C2A5B5F" w:rsidR="005C4DC7" w:rsidRPr="005C4DC7" w:rsidRDefault="00826B72" w:rsidP="005C4DC7">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bCs/>
          <w:sz w:val="24"/>
          <w:szCs w:val="24"/>
        </w:rPr>
        <w:t xml:space="preserve">Section 169(1) of the </w:t>
      </w:r>
      <w:r w:rsidR="00C90107" w:rsidRPr="005C4DC7">
        <w:rPr>
          <w:rFonts w:ascii="Times New Roman" w:hAnsi="Times New Roman" w:cs="Times New Roman"/>
          <w:sz w:val="24"/>
          <w:szCs w:val="24"/>
        </w:rPr>
        <w:t>of the Legal Services Act 2015 (“</w:t>
      </w:r>
      <w:r w:rsidR="00C90107" w:rsidRPr="005C4DC7">
        <w:rPr>
          <w:rFonts w:ascii="Times New Roman" w:hAnsi="Times New Roman" w:cs="Times New Roman"/>
          <w:bCs/>
          <w:sz w:val="24"/>
          <w:szCs w:val="24"/>
        </w:rPr>
        <w:t>the 2015 Act</w:t>
      </w:r>
      <w:r w:rsidR="00C90107" w:rsidRPr="005C4DC7">
        <w:rPr>
          <w:rFonts w:ascii="Times New Roman" w:hAnsi="Times New Roman" w:cs="Times New Roman"/>
          <w:sz w:val="24"/>
          <w:szCs w:val="24"/>
        </w:rPr>
        <w:t xml:space="preserve">”), </w:t>
      </w:r>
      <w:r w:rsidRPr="005C4DC7">
        <w:rPr>
          <w:rFonts w:ascii="Times New Roman" w:hAnsi="Times New Roman" w:cs="Times New Roman"/>
          <w:bCs/>
          <w:sz w:val="24"/>
          <w:szCs w:val="24"/>
        </w:rPr>
        <w:t>provides that a party who is entirely successful in civil proceedings is entitled to an award of costs against the unsuccessful party “</w:t>
      </w:r>
      <w:r w:rsidRPr="005C4DC7">
        <w:rPr>
          <w:rFonts w:ascii="Times New Roman" w:hAnsi="Times New Roman" w:cs="Times New Roman"/>
          <w:bCs/>
          <w:i/>
          <w:iCs/>
          <w:sz w:val="24"/>
          <w:szCs w:val="24"/>
        </w:rPr>
        <w:t>unless the court orders otherwise, having regard to the particular nature and circumstances of the case, and the conduct of the proceedings by the parties</w:t>
      </w:r>
      <w:r w:rsidRPr="005C4DC7">
        <w:rPr>
          <w:rFonts w:ascii="Times New Roman" w:hAnsi="Times New Roman" w:cs="Times New Roman"/>
          <w:bCs/>
          <w:sz w:val="24"/>
          <w:szCs w:val="24"/>
        </w:rPr>
        <w:t>…”</w:t>
      </w:r>
    </w:p>
    <w:p w14:paraId="09E5C008" w14:textId="67D76DA4" w:rsidR="005C4DC7" w:rsidRPr="005C4DC7" w:rsidRDefault="00F50B70" w:rsidP="005C4DC7">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bCs/>
          <w:sz w:val="24"/>
          <w:szCs w:val="24"/>
        </w:rPr>
        <w:t xml:space="preserve">The parties </w:t>
      </w:r>
      <w:r w:rsidR="00C90107" w:rsidRPr="005C4DC7">
        <w:rPr>
          <w:rFonts w:ascii="Times New Roman" w:hAnsi="Times New Roman" w:cs="Times New Roman"/>
          <w:bCs/>
          <w:sz w:val="24"/>
          <w:szCs w:val="24"/>
        </w:rPr>
        <w:t xml:space="preserve">are </w:t>
      </w:r>
      <w:r w:rsidRPr="005C4DC7">
        <w:rPr>
          <w:rFonts w:ascii="Times New Roman" w:hAnsi="Times New Roman" w:cs="Times New Roman"/>
          <w:bCs/>
          <w:sz w:val="24"/>
          <w:szCs w:val="24"/>
        </w:rPr>
        <w:t>agreed that no material difference exists between s</w:t>
      </w:r>
      <w:r w:rsidR="00243663">
        <w:rPr>
          <w:rFonts w:ascii="Times New Roman" w:hAnsi="Times New Roman" w:cs="Times New Roman"/>
          <w:bCs/>
          <w:sz w:val="24"/>
          <w:szCs w:val="24"/>
        </w:rPr>
        <w:t>.</w:t>
      </w:r>
      <w:r w:rsidRPr="005C4DC7">
        <w:rPr>
          <w:rFonts w:ascii="Times New Roman" w:hAnsi="Times New Roman" w:cs="Times New Roman"/>
          <w:bCs/>
          <w:sz w:val="24"/>
          <w:szCs w:val="24"/>
        </w:rPr>
        <w:t xml:space="preserve"> 169(1) </w:t>
      </w:r>
      <w:r w:rsidR="00C90107" w:rsidRPr="005C4DC7">
        <w:rPr>
          <w:rFonts w:ascii="Times New Roman" w:hAnsi="Times New Roman" w:cs="Times New Roman"/>
          <w:sz w:val="24"/>
          <w:szCs w:val="24"/>
        </w:rPr>
        <w:t xml:space="preserve">of </w:t>
      </w:r>
      <w:r w:rsidR="00C90107" w:rsidRPr="005C4DC7">
        <w:rPr>
          <w:rFonts w:ascii="Times New Roman" w:hAnsi="Times New Roman" w:cs="Times New Roman"/>
          <w:bCs/>
          <w:sz w:val="24"/>
          <w:szCs w:val="24"/>
        </w:rPr>
        <w:t>the 2015 Act</w:t>
      </w:r>
      <w:r w:rsidR="00C90107" w:rsidRPr="005C4DC7">
        <w:rPr>
          <w:rFonts w:ascii="Times New Roman" w:hAnsi="Times New Roman" w:cs="Times New Roman"/>
          <w:sz w:val="24"/>
          <w:szCs w:val="24"/>
        </w:rPr>
        <w:t xml:space="preserve">, </w:t>
      </w:r>
      <w:r w:rsidRPr="005C4DC7">
        <w:rPr>
          <w:rFonts w:ascii="Times New Roman" w:hAnsi="Times New Roman" w:cs="Times New Roman"/>
          <w:bCs/>
          <w:sz w:val="24"/>
          <w:szCs w:val="24"/>
        </w:rPr>
        <w:t xml:space="preserve">and the provisions of </w:t>
      </w:r>
      <w:r w:rsidR="00826B72" w:rsidRPr="005C4DC7">
        <w:rPr>
          <w:rFonts w:ascii="Times New Roman" w:hAnsi="Times New Roman" w:cs="Times New Roman"/>
          <w:bCs/>
          <w:sz w:val="24"/>
          <w:szCs w:val="24"/>
        </w:rPr>
        <w:t xml:space="preserve">Order 99, Rule 2(1) of the Rules of the Superior Courts </w:t>
      </w:r>
      <w:r w:rsidRPr="005C4DC7">
        <w:rPr>
          <w:rFonts w:ascii="Times New Roman" w:hAnsi="Times New Roman" w:cs="Times New Roman"/>
          <w:bCs/>
          <w:sz w:val="24"/>
          <w:szCs w:val="24"/>
        </w:rPr>
        <w:t xml:space="preserve">which </w:t>
      </w:r>
      <w:r w:rsidR="00826B72" w:rsidRPr="005C4DC7">
        <w:rPr>
          <w:rFonts w:ascii="Times New Roman" w:hAnsi="Times New Roman" w:cs="Times New Roman"/>
          <w:bCs/>
          <w:sz w:val="24"/>
          <w:szCs w:val="24"/>
        </w:rPr>
        <w:t xml:space="preserve">provides that costs are in the discretion of the </w:t>
      </w:r>
      <w:r w:rsidR="00C90107" w:rsidRPr="005C4DC7">
        <w:rPr>
          <w:rFonts w:ascii="Times New Roman" w:hAnsi="Times New Roman" w:cs="Times New Roman"/>
          <w:bCs/>
          <w:sz w:val="24"/>
          <w:szCs w:val="24"/>
        </w:rPr>
        <w:t>Court</w:t>
      </w:r>
      <w:r w:rsidR="00C971FA">
        <w:rPr>
          <w:rFonts w:ascii="Times New Roman" w:hAnsi="Times New Roman" w:cs="Times New Roman"/>
          <w:bCs/>
          <w:sz w:val="24"/>
          <w:szCs w:val="24"/>
        </w:rPr>
        <w:t>,</w:t>
      </w:r>
      <w:r w:rsidR="00826B72" w:rsidRPr="005C4DC7">
        <w:rPr>
          <w:rFonts w:ascii="Times New Roman" w:hAnsi="Times New Roman" w:cs="Times New Roman"/>
          <w:bCs/>
          <w:sz w:val="24"/>
          <w:szCs w:val="24"/>
        </w:rPr>
        <w:t xml:space="preserve"> although the Court must have regard </w:t>
      </w:r>
      <w:r w:rsidR="00C90107" w:rsidRPr="005C4DC7">
        <w:rPr>
          <w:rFonts w:ascii="Times New Roman" w:hAnsi="Times New Roman" w:cs="Times New Roman"/>
          <w:bCs/>
          <w:sz w:val="24"/>
          <w:szCs w:val="24"/>
        </w:rPr>
        <w:t xml:space="preserve">in particular </w:t>
      </w:r>
      <w:r w:rsidR="00826B72" w:rsidRPr="005C4DC7">
        <w:rPr>
          <w:rFonts w:ascii="Times New Roman" w:hAnsi="Times New Roman" w:cs="Times New Roman"/>
          <w:bCs/>
          <w:sz w:val="24"/>
          <w:szCs w:val="24"/>
        </w:rPr>
        <w:t xml:space="preserve">to the matters set out in </w:t>
      </w:r>
      <w:r w:rsidR="00243663">
        <w:rPr>
          <w:rFonts w:ascii="Times New Roman" w:hAnsi="Times New Roman" w:cs="Times New Roman"/>
          <w:bCs/>
          <w:sz w:val="24"/>
          <w:szCs w:val="24"/>
        </w:rPr>
        <w:t>s.</w:t>
      </w:r>
      <w:r w:rsidR="00243663" w:rsidRPr="005C4DC7">
        <w:rPr>
          <w:rFonts w:ascii="Times New Roman" w:hAnsi="Times New Roman" w:cs="Times New Roman"/>
          <w:bCs/>
          <w:sz w:val="24"/>
          <w:szCs w:val="24"/>
        </w:rPr>
        <w:t xml:space="preserve"> </w:t>
      </w:r>
      <w:r w:rsidR="00826B72" w:rsidRPr="005C4DC7">
        <w:rPr>
          <w:rFonts w:ascii="Times New Roman" w:hAnsi="Times New Roman" w:cs="Times New Roman"/>
          <w:bCs/>
          <w:sz w:val="24"/>
          <w:szCs w:val="24"/>
        </w:rPr>
        <w:t xml:space="preserve">169(1) of the 2015 Act, where applicable. </w:t>
      </w:r>
    </w:p>
    <w:p w14:paraId="4E04972C" w14:textId="5C03ABC1" w:rsidR="005C4DC7" w:rsidRPr="005C4DC7" w:rsidRDefault="00A3769B" w:rsidP="005C4DC7">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sz w:val="24"/>
          <w:szCs w:val="24"/>
        </w:rPr>
        <w:t xml:space="preserve">As the </w:t>
      </w:r>
      <w:r w:rsidR="00243663">
        <w:rPr>
          <w:rFonts w:ascii="Times New Roman" w:hAnsi="Times New Roman" w:cs="Times New Roman"/>
          <w:sz w:val="24"/>
          <w:szCs w:val="24"/>
        </w:rPr>
        <w:t>a</w:t>
      </w:r>
      <w:r w:rsidRPr="005C4DC7">
        <w:rPr>
          <w:rFonts w:ascii="Times New Roman" w:hAnsi="Times New Roman" w:cs="Times New Roman"/>
          <w:sz w:val="24"/>
          <w:szCs w:val="24"/>
        </w:rPr>
        <w:t xml:space="preserve">ppellants have been entirely successful in their appeal, they have a presumptive entitlement, pursuant to the provisions of </w:t>
      </w:r>
      <w:r w:rsidR="00243663">
        <w:rPr>
          <w:rFonts w:ascii="Times New Roman" w:hAnsi="Times New Roman" w:cs="Times New Roman"/>
          <w:sz w:val="24"/>
          <w:szCs w:val="24"/>
        </w:rPr>
        <w:t>s.</w:t>
      </w:r>
      <w:r w:rsidR="00243663" w:rsidRPr="005C4DC7">
        <w:rPr>
          <w:rFonts w:ascii="Times New Roman" w:hAnsi="Times New Roman" w:cs="Times New Roman"/>
          <w:sz w:val="24"/>
          <w:szCs w:val="24"/>
        </w:rPr>
        <w:t xml:space="preserve"> </w:t>
      </w:r>
      <w:r w:rsidRPr="005C4DC7">
        <w:rPr>
          <w:rFonts w:ascii="Times New Roman" w:hAnsi="Times New Roman" w:cs="Times New Roman"/>
          <w:sz w:val="24"/>
          <w:szCs w:val="24"/>
        </w:rPr>
        <w:t>169(1)</w:t>
      </w:r>
      <w:r w:rsidR="00C90107" w:rsidRPr="005C4DC7">
        <w:rPr>
          <w:rFonts w:ascii="Times New Roman" w:hAnsi="Times New Roman" w:cs="Times New Roman"/>
          <w:bCs/>
          <w:sz w:val="24"/>
          <w:szCs w:val="24"/>
        </w:rPr>
        <w:t xml:space="preserve"> of the 2015 Act, </w:t>
      </w:r>
      <w:r w:rsidRPr="005C4DC7">
        <w:rPr>
          <w:rFonts w:ascii="Times New Roman" w:hAnsi="Times New Roman" w:cs="Times New Roman"/>
          <w:sz w:val="24"/>
          <w:szCs w:val="24"/>
        </w:rPr>
        <w:t xml:space="preserve"> </w:t>
      </w:r>
      <w:r w:rsidR="00C90107" w:rsidRPr="005C4DC7">
        <w:rPr>
          <w:rFonts w:ascii="Times New Roman" w:hAnsi="Times New Roman" w:cs="Times New Roman"/>
          <w:sz w:val="24"/>
          <w:szCs w:val="24"/>
        </w:rPr>
        <w:t xml:space="preserve">to </w:t>
      </w:r>
      <w:r w:rsidRPr="005C4DC7">
        <w:rPr>
          <w:rFonts w:ascii="Times New Roman" w:hAnsi="Times New Roman" w:cs="Times New Roman"/>
          <w:sz w:val="24"/>
          <w:szCs w:val="24"/>
        </w:rPr>
        <w:t xml:space="preserve">be awarded their costs against the </w:t>
      </w:r>
      <w:r w:rsidR="00243663">
        <w:rPr>
          <w:rFonts w:ascii="Times New Roman" w:hAnsi="Times New Roman" w:cs="Times New Roman"/>
          <w:sz w:val="24"/>
          <w:szCs w:val="24"/>
        </w:rPr>
        <w:t>r</w:t>
      </w:r>
      <w:r w:rsidRPr="005C4DC7">
        <w:rPr>
          <w:rFonts w:ascii="Times New Roman" w:hAnsi="Times New Roman" w:cs="Times New Roman"/>
          <w:sz w:val="24"/>
          <w:szCs w:val="24"/>
        </w:rPr>
        <w:t xml:space="preserve">espondent. It is submitted on behalf of the </w:t>
      </w:r>
      <w:r w:rsidR="00243663">
        <w:rPr>
          <w:rFonts w:ascii="Times New Roman" w:hAnsi="Times New Roman" w:cs="Times New Roman"/>
          <w:sz w:val="24"/>
          <w:szCs w:val="24"/>
        </w:rPr>
        <w:t>a</w:t>
      </w:r>
      <w:r w:rsidRPr="005C4DC7">
        <w:rPr>
          <w:rFonts w:ascii="Times New Roman" w:hAnsi="Times New Roman" w:cs="Times New Roman"/>
          <w:sz w:val="24"/>
          <w:szCs w:val="24"/>
        </w:rPr>
        <w:t xml:space="preserve">ppellants that no circumstances exist to displace that presumption or for this Court to exercise its discretion to depart from the normal rule as to costs, either to make no order as to costs or to award the </w:t>
      </w:r>
      <w:r w:rsidR="00243663">
        <w:rPr>
          <w:rFonts w:ascii="Times New Roman" w:hAnsi="Times New Roman" w:cs="Times New Roman"/>
          <w:sz w:val="24"/>
          <w:szCs w:val="24"/>
        </w:rPr>
        <w:t>r</w:t>
      </w:r>
      <w:r w:rsidRPr="005C4DC7">
        <w:rPr>
          <w:rFonts w:ascii="Times New Roman" w:hAnsi="Times New Roman" w:cs="Times New Roman"/>
          <w:sz w:val="24"/>
          <w:szCs w:val="24"/>
        </w:rPr>
        <w:t>espondent a contribution towards her costs.</w:t>
      </w:r>
    </w:p>
    <w:p w14:paraId="21284987" w14:textId="35603A74" w:rsidR="005C4DC7" w:rsidRPr="005C4DC7" w:rsidRDefault="00A3769B" w:rsidP="005C4DC7">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sz w:val="24"/>
          <w:szCs w:val="24"/>
        </w:rPr>
        <w:lastRenderedPageBreak/>
        <w:t xml:space="preserve">Without prejudice to that </w:t>
      </w:r>
      <w:r w:rsidR="00C90107" w:rsidRPr="005C4DC7">
        <w:rPr>
          <w:rFonts w:ascii="Times New Roman" w:hAnsi="Times New Roman" w:cs="Times New Roman"/>
          <w:sz w:val="24"/>
          <w:szCs w:val="24"/>
        </w:rPr>
        <w:t xml:space="preserve">general </w:t>
      </w:r>
      <w:r w:rsidR="0021455D" w:rsidRPr="005C4DC7">
        <w:rPr>
          <w:rFonts w:ascii="Times New Roman" w:hAnsi="Times New Roman" w:cs="Times New Roman"/>
          <w:sz w:val="24"/>
          <w:szCs w:val="24"/>
        </w:rPr>
        <w:t>proposition</w:t>
      </w:r>
      <w:r w:rsidRPr="005C4DC7">
        <w:rPr>
          <w:rFonts w:ascii="Times New Roman" w:hAnsi="Times New Roman" w:cs="Times New Roman"/>
          <w:sz w:val="24"/>
          <w:szCs w:val="24"/>
        </w:rPr>
        <w:t xml:space="preserve">, the </w:t>
      </w:r>
      <w:r w:rsidR="00243663">
        <w:rPr>
          <w:rFonts w:ascii="Times New Roman" w:hAnsi="Times New Roman" w:cs="Times New Roman"/>
          <w:sz w:val="24"/>
          <w:szCs w:val="24"/>
        </w:rPr>
        <w:t>a</w:t>
      </w:r>
      <w:r w:rsidRPr="005C4DC7">
        <w:rPr>
          <w:rFonts w:ascii="Times New Roman" w:hAnsi="Times New Roman" w:cs="Times New Roman"/>
          <w:sz w:val="24"/>
          <w:szCs w:val="24"/>
        </w:rPr>
        <w:t xml:space="preserve">ppellants are </w:t>
      </w:r>
      <w:r w:rsidR="00C90107" w:rsidRPr="005C4DC7">
        <w:rPr>
          <w:rFonts w:ascii="Times New Roman" w:hAnsi="Times New Roman" w:cs="Times New Roman"/>
          <w:sz w:val="24"/>
          <w:szCs w:val="24"/>
        </w:rPr>
        <w:t xml:space="preserve">in the circumstances </w:t>
      </w:r>
      <w:r w:rsidRPr="005C4DC7">
        <w:rPr>
          <w:rFonts w:ascii="Times New Roman" w:hAnsi="Times New Roman" w:cs="Times New Roman"/>
          <w:sz w:val="24"/>
          <w:szCs w:val="24"/>
        </w:rPr>
        <w:t>not seeking to be awarded the costs of the appeal to this Court</w:t>
      </w:r>
      <w:r w:rsidR="0021455D" w:rsidRPr="005C4DC7">
        <w:rPr>
          <w:rFonts w:ascii="Times New Roman" w:hAnsi="Times New Roman" w:cs="Times New Roman"/>
          <w:sz w:val="24"/>
          <w:szCs w:val="24"/>
        </w:rPr>
        <w:t>,</w:t>
      </w:r>
      <w:r w:rsidRPr="005C4DC7">
        <w:rPr>
          <w:rFonts w:ascii="Times New Roman" w:hAnsi="Times New Roman" w:cs="Times New Roman"/>
          <w:sz w:val="24"/>
          <w:szCs w:val="24"/>
        </w:rPr>
        <w:t xml:space="preserve"> </w:t>
      </w:r>
      <w:r w:rsidR="00C90107" w:rsidRPr="005C4DC7">
        <w:rPr>
          <w:rFonts w:ascii="Times New Roman" w:hAnsi="Times New Roman" w:cs="Times New Roman"/>
          <w:sz w:val="24"/>
          <w:szCs w:val="24"/>
        </w:rPr>
        <w:t>n</w:t>
      </w:r>
      <w:r w:rsidRPr="005C4DC7">
        <w:rPr>
          <w:rFonts w:ascii="Times New Roman" w:hAnsi="Times New Roman" w:cs="Times New Roman"/>
          <w:sz w:val="24"/>
          <w:szCs w:val="24"/>
        </w:rPr>
        <w:t xml:space="preserve">or </w:t>
      </w:r>
      <w:r w:rsidR="00C90107" w:rsidRPr="005C4DC7">
        <w:rPr>
          <w:rFonts w:ascii="Times New Roman" w:hAnsi="Times New Roman" w:cs="Times New Roman"/>
          <w:sz w:val="24"/>
          <w:szCs w:val="24"/>
        </w:rPr>
        <w:t xml:space="preserve">do they seek the </w:t>
      </w:r>
      <w:r w:rsidR="0021455D" w:rsidRPr="005C4DC7">
        <w:rPr>
          <w:rFonts w:ascii="Times New Roman" w:hAnsi="Times New Roman" w:cs="Times New Roman"/>
          <w:sz w:val="24"/>
          <w:szCs w:val="24"/>
        </w:rPr>
        <w:t>costs</w:t>
      </w:r>
      <w:r w:rsidR="00C90107" w:rsidRPr="005C4DC7">
        <w:rPr>
          <w:rFonts w:ascii="Times New Roman" w:hAnsi="Times New Roman" w:cs="Times New Roman"/>
          <w:sz w:val="24"/>
          <w:szCs w:val="24"/>
        </w:rPr>
        <w:t xml:space="preserve"> </w:t>
      </w:r>
      <w:r w:rsidRPr="005C4DC7">
        <w:rPr>
          <w:rFonts w:ascii="Times New Roman" w:hAnsi="Times New Roman" w:cs="Times New Roman"/>
          <w:sz w:val="24"/>
          <w:szCs w:val="24"/>
        </w:rPr>
        <w:t xml:space="preserve">of the High Court against the </w:t>
      </w:r>
      <w:r w:rsidR="00243663">
        <w:rPr>
          <w:rFonts w:ascii="Times New Roman" w:hAnsi="Times New Roman" w:cs="Times New Roman"/>
          <w:sz w:val="24"/>
          <w:szCs w:val="24"/>
        </w:rPr>
        <w:t>r</w:t>
      </w:r>
      <w:r w:rsidRPr="005C4DC7">
        <w:rPr>
          <w:rFonts w:ascii="Times New Roman" w:hAnsi="Times New Roman" w:cs="Times New Roman"/>
          <w:sz w:val="24"/>
          <w:szCs w:val="24"/>
        </w:rPr>
        <w:t>espondent</w:t>
      </w:r>
      <w:r w:rsidR="0021455D" w:rsidRPr="005C4DC7">
        <w:rPr>
          <w:rFonts w:ascii="Times New Roman" w:hAnsi="Times New Roman" w:cs="Times New Roman"/>
          <w:sz w:val="24"/>
          <w:szCs w:val="24"/>
        </w:rPr>
        <w:t xml:space="preserve">, but </w:t>
      </w:r>
      <w:r w:rsidRPr="005C4DC7">
        <w:rPr>
          <w:rFonts w:ascii="Times New Roman" w:hAnsi="Times New Roman" w:cs="Times New Roman"/>
          <w:sz w:val="24"/>
          <w:szCs w:val="24"/>
        </w:rPr>
        <w:t>seek to vary the order of the High Court accordingly.</w:t>
      </w:r>
      <w:r w:rsidR="00F924B2" w:rsidRPr="005C4DC7">
        <w:rPr>
          <w:rFonts w:ascii="Times New Roman" w:hAnsi="Times New Roman" w:cs="Times New Roman"/>
          <w:bCs/>
          <w:sz w:val="24"/>
          <w:szCs w:val="24"/>
        </w:rPr>
        <w:t xml:space="preserve"> </w:t>
      </w:r>
    </w:p>
    <w:p w14:paraId="21999204" w14:textId="77777777" w:rsidR="005C4DC7" w:rsidRPr="005C4DC7" w:rsidRDefault="0021455D" w:rsidP="005C4DC7">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bCs/>
          <w:sz w:val="24"/>
          <w:szCs w:val="24"/>
        </w:rPr>
        <w:t xml:space="preserve">They </w:t>
      </w:r>
      <w:r w:rsidR="00F924B2" w:rsidRPr="005C4DC7">
        <w:rPr>
          <w:rFonts w:ascii="Times New Roman" w:hAnsi="Times New Roman" w:cs="Times New Roman"/>
          <w:bCs/>
          <w:sz w:val="24"/>
          <w:szCs w:val="24"/>
        </w:rPr>
        <w:t xml:space="preserve">submit that the following </w:t>
      </w:r>
      <w:r w:rsidR="007A5857" w:rsidRPr="005C4DC7">
        <w:rPr>
          <w:rFonts w:ascii="Times New Roman" w:hAnsi="Times New Roman" w:cs="Times New Roman"/>
          <w:bCs/>
          <w:sz w:val="24"/>
          <w:szCs w:val="24"/>
        </w:rPr>
        <w:t>o</w:t>
      </w:r>
      <w:r w:rsidR="00F924B2" w:rsidRPr="005C4DC7">
        <w:rPr>
          <w:rFonts w:ascii="Times New Roman" w:hAnsi="Times New Roman" w:cs="Times New Roman"/>
          <w:bCs/>
          <w:sz w:val="24"/>
          <w:szCs w:val="24"/>
        </w:rPr>
        <w:t>rders in respect of costs would meet the justice of the case:</w:t>
      </w:r>
    </w:p>
    <w:p w14:paraId="1B83725B" w14:textId="77777777" w:rsidR="00F924B2" w:rsidRPr="005C4DC7" w:rsidRDefault="00F924B2" w:rsidP="005C4DC7">
      <w:pPr>
        <w:numPr>
          <w:ilvl w:val="1"/>
          <w:numId w:val="1"/>
        </w:numPr>
        <w:spacing w:after="0" w:line="480" w:lineRule="auto"/>
        <w:jc w:val="both"/>
        <w:rPr>
          <w:rFonts w:ascii="Times New Roman" w:hAnsi="Times New Roman" w:cs="Times New Roman"/>
          <w:bCs/>
          <w:sz w:val="24"/>
          <w:szCs w:val="24"/>
        </w:rPr>
      </w:pPr>
      <w:r w:rsidRPr="005C4DC7">
        <w:rPr>
          <w:rFonts w:ascii="Times New Roman" w:hAnsi="Times New Roman" w:cs="Times New Roman"/>
          <w:bCs/>
          <w:sz w:val="24"/>
          <w:szCs w:val="24"/>
        </w:rPr>
        <w:t xml:space="preserve">No </w:t>
      </w:r>
      <w:r w:rsidR="007A5857" w:rsidRPr="005C4DC7">
        <w:rPr>
          <w:rFonts w:ascii="Times New Roman" w:hAnsi="Times New Roman" w:cs="Times New Roman"/>
          <w:bCs/>
          <w:sz w:val="24"/>
          <w:szCs w:val="24"/>
        </w:rPr>
        <w:t>o</w:t>
      </w:r>
      <w:r w:rsidRPr="005C4DC7">
        <w:rPr>
          <w:rFonts w:ascii="Times New Roman" w:hAnsi="Times New Roman" w:cs="Times New Roman"/>
          <w:bCs/>
          <w:sz w:val="24"/>
          <w:szCs w:val="24"/>
        </w:rPr>
        <w:t>rder in respect of the costs of the appeal</w:t>
      </w:r>
    </w:p>
    <w:p w14:paraId="1CC6CACD" w14:textId="47AF37F3" w:rsidR="00F924B2" w:rsidRPr="005C4DC7" w:rsidRDefault="00F924B2" w:rsidP="005C4DC7">
      <w:pPr>
        <w:numPr>
          <w:ilvl w:val="1"/>
          <w:numId w:val="1"/>
        </w:numPr>
        <w:spacing w:after="0" w:line="480" w:lineRule="auto"/>
        <w:jc w:val="both"/>
        <w:rPr>
          <w:rFonts w:ascii="Times New Roman" w:hAnsi="Times New Roman" w:cs="Times New Roman"/>
          <w:bCs/>
          <w:sz w:val="24"/>
          <w:szCs w:val="24"/>
        </w:rPr>
      </w:pPr>
      <w:r w:rsidRPr="005C4DC7">
        <w:rPr>
          <w:rFonts w:ascii="Times New Roman" w:hAnsi="Times New Roman" w:cs="Times New Roman"/>
          <w:bCs/>
          <w:sz w:val="24"/>
          <w:szCs w:val="24"/>
        </w:rPr>
        <w:t xml:space="preserve">An </w:t>
      </w:r>
      <w:r w:rsidR="007A5857" w:rsidRPr="005C4DC7">
        <w:rPr>
          <w:rFonts w:ascii="Times New Roman" w:hAnsi="Times New Roman" w:cs="Times New Roman"/>
          <w:bCs/>
          <w:sz w:val="24"/>
          <w:szCs w:val="24"/>
        </w:rPr>
        <w:t>o</w:t>
      </w:r>
      <w:r w:rsidRPr="005C4DC7">
        <w:rPr>
          <w:rFonts w:ascii="Times New Roman" w:hAnsi="Times New Roman" w:cs="Times New Roman"/>
          <w:bCs/>
          <w:sz w:val="24"/>
          <w:szCs w:val="24"/>
        </w:rPr>
        <w:t xml:space="preserve">rder setting aside the </w:t>
      </w:r>
      <w:r w:rsidR="007A5857" w:rsidRPr="005C4DC7">
        <w:rPr>
          <w:rFonts w:ascii="Times New Roman" w:hAnsi="Times New Roman" w:cs="Times New Roman"/>
          <w:bCs/>
          <w:sz w:val="24"/>
          <w:szCs w:val="24"/>
        </w:rPr>
        <w:t>o</w:t>
      </w:r>
      <w:r w:rsidRPr="005C4DC7">
        <w:rPr>
          <w:rFonts w:ascii="Times New Roman" w:hAnsi="Times New Roman" w:cs="Times New Roman"/>
          <w:bCs/>
          <w:sz w:val="24"/>
          <w:szCs w:val="24"/>
        </w:rPr>
        <w:t xml:space="preserve">rder of the High Court dated 10 March 2021 granting costs to the </w:t>
      </w:r>
      <w:r w:rsidR="00243663">
        <w:rPr>
          <w:rFonts w:ascii="Times New Roman" w:hAnsi="Times New Roman" w:cs="Times New Roman"/>
          <w:bCs/>
          <w:sz w:val="24"/>
          <w:szCs w:val="24"/>
        </w:rPr>
        <w:t>r</w:t>
      </w:r>
      <w:r w:rsidRPr="005C4DC7">
        <w:rPr>
          <w:rFonts w:ascii="Times New Roman" w:hAnsi="Times New Roman" w:cs="Times New Roman"/>
          <w:bCs/>
          <w:sz w:val="24"/>
          <w:szCs w:val="24"/>
        </w:rPr>
        <w:t xml:space="preserve">espondent and ordering that there be no </w:t>
      </w:r>
      <w:r w:rsidR="007A5857" w:rsidRPr="005C4DC7">
        <w:rPr>
          <w:rFonts w:ascii="Times New Roman" w:hAnsi="Times New Roman" w:cs="Times New Roman"/>
          <w:bCs/>
          <w:sz w:val="24"/>
          <w:szCs w:val="24"/>
        </w:rPr>
        <w:t>o</w:t>
      </w:r>
      <w:r w:rsidRPr="005C4DC7">
        <w:rPr>
          <w:rFonts w:ascii="Times New Roman" w:hAnsi="Times New Roman" w:cs="Times New Roman"/>
          <w:bCs/>
          <w:sz w:val="24"/>
          <w:szCs w:val="24"/>
        </w:rPr>
        <w:t xml:space="preserve">rder in </w:t>
      </w:r>
      <w:r w:rsidR="0021455D" w:rsidRPr="005C4DC7">
        <w:rPr>
          <w:rFonts w:ascii="Times New Roman" w:hAnsi="Times New Roman" w:cs="Times New Roman"/>
          <w:bCs/>
          <w:sz w:val="24"/>
          <w:szCs w:val="24"/>
        </w:rPr>
        <w:t>respect</w:t>
      </w:r>
      <w:r w:rsidRPr="005C4DC7">
        <w:rPr>
          <w:rFonts w:ascii="Times New Roman" w:hAnsi="Times New Roman" w:cs="Times New Roman"/>
          <w:bCs/>
          <w:sz w:val="24"/>
          <w:szCs w:val="24"/>
        </w:rPr>
        <w:t xml:space="preserve"> of the costs of the High Court.</w:t>
      </w:r>
    </w:p>
    <w:p w14:paraId="115EE7BA" w14:textId="7B727A17" w:rsidR="005C4DC7" w:rsidRPr="005C4DC7" w:rsidRDefault="0021455D" w:rsidP="005C4DC7">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bCs/>
          <w:sz w:val="24"/>
          <w:szCs w:val="24"/>
        </w:rPr>
        <w:t xml:space="preserve">It is submitted by the </w:t>
      </w:r>
      <w:r w:rsidR="00243663">
        <w:rPr>
          <w:rFonts w:ascii="Times New Roman" w:hAnsi="Times New Roman" w:cs="Times New Roman"/>
          <w:bCs/>
          <w:sz w:val="24"/>
          <w:szCs w:val="24"/>
        </w:rPr>
        <w:t>r</w:t>
      </w:r>
      <w:r w:rsidRPr="005C4DC7">
        <w:rPr>
          <w:rFonts w:ascii="Times New Roman" w:hAnsi="Times New Roman" w:cs="Times New Roman"/>
          <w:bCs/>
          <w:sz w:val="24"/>
          <w:szCs w:val="24"/>
        </w:rPr>
        <w:t xml:space="preserve">espondent that a contribution to her costs is an appropriate means by which the </w:t>
      </w:r>
      <w:r w:rsidR="00310C38">
        <w:rPr>
          <w:rFonts w:ascii="Times New Roman" w:hAnsi="Times New Roman" w:cs="Times New Roman"/>
          <w:bCs/>
          <w:sz w:val="24"/>
          <w:szCs w:val="24"/>
        </w:rPr>
        <w:t>C</w:t>
      </w:r>
      <w:r w:rsidRPr="005C4DC7">
        <w:rPr>
          <w:rFonts w:ascii="Times New Roman" w:hAnsi="Times New Roman" w:cs="Times New Roman"/>
          <w:bCs/>
          <w:sz w:val="24"/>
          <w:szCs w:val="24"/>
        </w:rPr>
        <w:t xml:space="preserve">ourt would </w:t>
      </w:r>
      <w:r w:rsidR="00310C38">
        <w:rPr>
          <w:rFonts w:ascii="Times New Roman" w:hAnsi="Times New Roman" w:cs="Times New Roman"/>
          <w:bCs/>
          <w:sz w:val="24"/>
          <w:szCs w:val="24"/>
        </w:rPr>
        <w:t xml:space="preserve">exercise </w:t>
      </w:r>
      <w:r w:rsidRPr="005C4DC7">
        <w:rPr>
          <w:rFonts w:ascii="Times New Roman" w:hAnsi="Times New Roman" w:cs="Times New Roman"/>
          <w:bCs/>
          <w:sz w:val="24"/>
          <w:szCs w:val="24"/>
        </w:rPr>
        <w:t xml:space="preserve">its discretion </w:t>
      </w:r>
      <w:r w:rsidR="00310C38">
        <w:rPr>
          <w:rFonts w:ascii="Times New Roman" w:hAnsi="Times New Roman" w:cs="Times New Roman"/>
          <w:bCs/>
          <w:sz w:val="24"/>
          <w:szCs w:val="24"/>
        </w:rPr>
        <w:t xml:space="preserve">and draws attention to the </w:t>
      </w:r>
      <w:r w:rsidR="007A5857" w:rsidRPr="005C4DC7">
        <w:rPr>
          <w:rFonts w:ascii="Times New Roman" w:hAnsi="Times New Roman" w:cs="Times New Roman"/>
          <w:bCs/>
          <w:sz w:val="24"/>
          <w:szCs w:val="24"/>
        </w:rPr>
        <w:t xml:space="preserve">following </w:t>
      </w:r>
      <w:r w:rsidRPr="005C4DC7">
        <w:rPr>
          <w:rFonts w:ascii="Times New Roman" w:hAnsi="Times New Roman" w:cs="Times New Roman"/>
          <w:bCs/>
          <w:sz w:val="24"/>
          <w:szCs w:val="24"/>
        </w:rPr>
        <w:t>factors</w:t>
      </w:r>
      <w:r w:rsidR="007A5857" w:rsidRPr="005C4DC7">
        <w:rPr>
          <w:rFonts w:ascii="Times New Roman" w:hAnsi="Times New Roman" w:cs="Times New Roman"/>
          <w:bCs/>
          <w:sz w:val="24"/>
          <w:szCs w:val="24"/>
        </w:rPr>
        <w:t>:</w:t>
      </w:r>
    </w:p>
    <w:p w14:paraId="00EC8877" w14:textId="45C07AE6" w:rsidR="005C4DC7" w:rsidRPr="005C4DC7" w:rsidRDefault="007A5857" w:rsidP="005C4DC7">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bCs/>
          <w:sz w:val="24"/>
          <w:szCs w:val="24"/>
        </w:rPr>
        <w:t>First, t</w:t>
      </w:r>
      <w:r w:rsidR="00EC504B" w:rsidRPr="005C4DC7">
        <w:rPr>
          <w:rFonts w:ascii="Times New Roman" w:hAnsi="Times New Roman" w:cs="Times New Roman"/>
          <w:bCs/>
          <w:sz w:val="24"/>
          <w:szCs w:val="24"/>
        </w:rPr>
        <w:t xml:space="preserve">he </w:t>
      </w:r>
      <w:r w:rsidR="00243663">
        <w:rPr>
          <w:rFonts w:ascii="Times New Roman" w:hAnsi="Times New Roman" w:cs="Times New Roman"/>
          <w:bCs/>
          <w:sz w:val="24"/>
          <w:szCs w:val="24"/>
        </w:rPr>
        <w:t>r</w:t>
      </w:r>
      <w:r w:rsidR="00EC504B" w:rsidRPr="005C4DC7">
        <w:rPr>
          <w:rFonts w:ascii="Times New Roman" w:hAnsi="Times New Roman" w:cs="Times New Roman"/>
          <w:bCs/>
          <w:sz w:val="24"/>
          <w:szCs w:val="24"/>
        </w:rPr>
        <w:t xml:space="preserve">espondent submits </w:t>
      </w:r>
      <w:r w:rsidR="0021455D" w:rsidRPr="005C4DC7">
        <w:rPr>
          <w:rFonts w:ascii="Times New Roman" w:hAnsi="Times New Roman" w:cs="Times New Roman"/>
          <w:bCs/>
          <w:sz w:val="24"/>
          <w:szCs w:val="24"/>
        </w:rPr>
        <w:t>t</w:t>
      </w:r>
      <w:r w:rsidR="00EC504B" w:rsidRPr="005C4DC7">
        <w:rPr>
          <w:rFonts w:ascii="Times New Roman" w:hAnsi="Times New Roman" w:cs="Times New Roman"/>
          <w:bCs/>
          <w:sz w:val="24"/>
          <w:szCs w:val="24"/>
        </w:rPr>
        <w:t xml:space="preserve">hat </w:t>
      </w:r>
      <w:r w:rsidR="0021455D" w:rsidRPr="005C4DC7">
        <w:rPr>
          <w:rFonts w:ascii="Times New Roman" w:hAnsi="Times New Roman" w:cs="Times New Roman"/>
          <w:bCs/>
          <w:sz w:val="24"/>
          <w:szCs w:val="24"/>
        </w:rPr>
        <w:t>in the  course of its substantive judgment</w:t>
      </w:r>
      <w:r w:rsidR="008340EF">
        <w:rPr>
          <w:rFonts w:ascii="Times New Roman" w:hAnsi="Times New Roman" w:cs="Times New Roman"/>
          <w:bCs/>
          <w:sz w:val="24"/>
          <w:szCs w:val="24"/>
        </w:rPr>
        <w:t>,</w:t>
      </w:r>
      <w:r w:rsidR="0021455D" w:rsidRPr="005C4DC7">
        <w:rPr>
          <w:rFonts w:ascii="Times New Roman" w:hAnsi="Times New Roman" w:cs="Times New Roman"/>
          <w:bCs/>
          <w:sz w:val="24"/>
          <w:szCs w:val="24"/>
        </w:rPr>
        <w:t xml:space="preserve"> </w:t>
      </w:r>
      <w:r w:rsidR="00EC504B" w:rsidRPr="005C4DC7">
        <w:rPr>
          <w:rFonts w:ascii="Times New Roman" w:hAnsi="Times New Roman" w:cs="Times New Roman"/>
          <w:bCs/>
          <w:sz w:val="24"/>
          <w:szCs w:val="24"/>
        </w:rPr>
        <w:t>th</w:t>
      </w:r>
      <w:r w:rsidR="0021455D" w:rsidRPr="005C4DC7">
        <w:rPr>
          <w:rFonts w:ascii="Times New Roman" w:hAnsi="Times New Roman" w:cs="Times New Roman"/>
          <w:bCs/>
          <w:sz w:val="24"/>
          <w:szCs w:val="24"/>
        </w:rPr>
        <w:t>e</w:t>
      </w:r>
      <w:r w:rsidR="00EC504B" w:rsidRPr="005C4DC7">
        <w:rPr>
          <w:rFonts w:ascii="Times New Roman" w:hAnsi="Times New Roman" w:cs="Times New Roman"/>
          <w:bCs/>
          <w:sz w:val="24"/>
          <w:szCs w:val="24"/>
        </w:rPr>
        <w:t xml:space="preserve"> Court </w:t>
      </w:r>
      <w:r w:rsidR="00EC504B" w:rsidRPr="005C4DC7">
        <w:rPr>
          <w:rFonts w:ascii="Times New Roman" w:hAnsi="Times New Roman" w:cs="Times New Roman"/>
          <w:bCs/>
          <w:iCs/>
          <w:sz w:val="24"/>
          <w:szCs w:val="24"/>
        </w:rPr>
        <w:t xml:space="preserve">observed that </w:t>
      </w:r>
      <w:r w:rsidR="0021455D" w:rsidRPr="005C4DC7">
        <w:rPr>
          <w:rFonts w:ascii="Times New Roman" w:hAnsi="Times New Roman" w:cs="Times New Roman"/>
          <w:bCs/>
          <w:iCs/>
          <w:sz w:val="24"/>
          <w:szCs w:val="24"/>
        </w:rPr>
        <w:t>“</w:t>
      </w:r>
      <w:r w:rsidR="00EC504B" w:rsidRPr="005C4DC7">
        <w:rPr>
          <w:rFonts w:ascii="Times New Roman" w:hAnsi="Times New Roman" w:cs="Times New Roman"/>
          <w:bCs/>
          <w:iCs/>
          <w:sz w:val="24"/>
          <w:szCs w:val="24"/>
        </w:rPr>
        <w:t>whether the legislature intended the consequence of her having worked without a work permit to render her contributions not reckonable was not obvious</w:t>
      </w:r>
      <w:r w:rsidR="00EC504B" w:rsidRPr="005C4DC7">
        <w:rPr>
          <w:rFonts w:ascii="Times New Roman" w:hAnsi="Times New Roman" w:cs="Times New Roman"/>
          <w:bCs/>
          <w:sz w:val="24"/>
          <w:szCs w:val="24"/>
        </w:rPr>
        <w:t xml:space="preserve">” and extrapolates that </w:t>
      </w:r>
      <w:r w:rsidR="00EC504B" w:rsidRPr="005C4DC7">
        <w:rPr>
          <w:rFonts w:ascii="Times New Roman" w:hAnsi="Times New Roman" w:cs="Times New Roman"/>
          <w:bCs/>
          <w:iCs/>
          <w:sz w:val="24"/>
          <w:szCs w:val="24"/>
        </w:rPr>
        <w:t>th</w:t>
      </w:r>
      <w:r w:rsidR="0021455D" w:rsidRPr="005C4DC7">
        <w:rPr>
          <w:rFonts w:ascii="Times New Roman" w:hAnsi="Times New Roman" w:cs="Times New Roman"/>
          <w:bCs/>
          <w:iCs/>
          <w:sz w:val="24"/>
          <w:szCs w:val="24"/>
        </w:rPr>
        <w:t>e appeal</w:t>
      </w:r>
      <w:r w:rsidR="00EC504B" w:rsidRPr="005C4DC7">
        <w:rPr>
          <w:rFonts w:ascii="Times New Roman" w:hAnsi="Times New Roman" w:cs="Times New Roman"/>
          <w:bCs/>
          <w:iCs/>
          <w:sz w:val="24"/>
          <w:szCs w:val="24"/>
        </w:rPr>
        <w:t xml:space="preserve"> has </w:t>
      </w:r>
      <w:r w:rsidR="008340EF">
        <w:rPr>
          <w:rFonts w:ascii="Times New Roman" w:hAnsi="Times New Roman" w:cs="Times New Roman"/>
          <w:bCs/>
          <w:iCs/>
          <w:sz w:val="24"/>
          <w:szCs w:val="24"/>
        </w:rPr>
        <w:t>“</w:t>
      </w:r>
      <w:r w:rsidR="00EC504B" w:rsidRPr="005C4DC7">
        <w:rPr>
          <w:rFonts w:ascii="Times New Roman" w:hAnsi="Times New Roman" w:cs="Times New Roman"/>
          <w:bCs/>
          <w:iCs/>
          <w:sz w:val="24"/>
          <w:szCs w:val="24"/>
        </w:rPr>
        <w:t>contributed to the clarification of an area of law with general application</w:t>
      </w:r>
      <w:r w:rsidR="00EC504B" w:rsidRPr="005C4DC7">
        <w:rPr>
          <w:rFonts w:ascii="Times New Roman" w:hAnsi="Times New Roman" w:cs="Times New Roman"/>
          <w:bCs/>
          <w:sz w:val="24"/>
          <w:szCs w:val="24"/>
        </w:rPr>
        <w:t>.</w:t>
      </w:r>
      <w:r w:rsidR="0021455D" w:rsidRPr="005C4DC7">
        <w:rPr>
          <w:rFonts w:ascii="Times New Roman" w:hAnsi="Times New Roman" w:cs="Times New Roman"/>
          <w:bCs/>
          <w:sz w:val="24"/>
          <w:szCs w:val="24"/>
        </w:rPr>
        <w:t xml:space="preserve"> It is argued that this is of particular significance in the context of the recent decision by Government for the regularisation of thousands of undocumented persons, many of who can be expected to be in the position of the </w:t>
      </w:r>
      <w:r w:rsidR="00243663">
        <w:rPr>
          <w:rFonts w:ascii="Times New Roman" w:hAnsi="Times New Roman" w:cs="Times New Roman"/>
          <w:bCs/>
          <w:sz w:val="24"/>
          <w:szCs w:val="24"/>
        </w:rPr>
        <w:t>r</w:t>
      </w:r>
      <w:r w:rsidR="0021455D" w:rsidRPr="005C4DC7">
        <w:rPr>
          <w:rFonts w:ascii="Times New Roman" w:hAnsi="Times New Roman" w:cs="Times New Roman"/>
          <w:bCs/>
          <w:sz w:val="24"/>
          <w:szCs w:val="24"/>
        </w:rPr>
        <w:t xml:space="preserve">espondent. It is also argued in that context that the appeal raised matters of systemic legal importance and that this is recognised in the determination granting leave to appeal. </w:t>
      </w:r>
    </w:p>
    <w:p w14:paraId="0D3BF20F" w14:textId="670DF9A5" w:rsidR="005C4DC7" w:rsidRPr="005C4DC7" w:rsidRDefault="007A5857" w:rsidP="005C4DC7">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bCs/>
          <w:sz w:val="24"/>
          <w:szCs w:val="24"/>
        </w:rPr>
        <w:t>Second, whilst it</w:t>
      </w:r>
      <w:r w:rsidR="00D465F2" w:rsidRPr="005C4DC7">
        <w:rPr>
          <w:rFonts w:ascii="Times New Roman" w:hAnsi="Times New Roman" w:cs="Times New Roman"/>
          <w:bCs/>
          <w:sz w:val="24"/>
          <w:szCs w:val="24"/>
        </w:rPr>
        <w:t xml:space="preserve"> is </w:t>
      </w:r>
      <w:r w:rsidR="0021455D" w:rsidRPr="005C4DC7">
        <w:rPr>
          <w:rFonts w:ascii="Times New Roman" w:hAnsi="Times New Roman" w:cs="Times New Roman"/>
          <w:bCs/>
          <w:sz w:val="24"/>
          <w:szCs w:val="24"/>
        </w:rPr>
        <w:t xml:space="preserve">accepted </w:t>
      </w:r>
      <w:r w:rsidR="00D465F2" w:rsidRPr="005C4DC7">
        <w:rPr>
          <w:rFonts w:ascii="Times New Roman" w:hAnsi="Times New Roman" w:cs="Times New Roman"/>
          <w:bCs/>
          <w:sz w:val="24"/>
          <w:szCs w:val="24"/>
        </w:rPr>
        <w:t>that</w:t>
      </w:r>
      <w:r w:rsidR="0021455D" w:rsidRPr="005C4DC7">
        <w:rPr>
          <w:rFonts w:ascii="Times New Roman" w:hAnsi="Times New Roman" w:cs="Times New Roman"/>
          <w:bCs/>
          <w:sz w:val="24"/>
          <w:szCs w:val="24"/>
        </w:rPr>
        <w:t xml:space="preserve"> </w:t>
      </w:r>
      <w:r w:rsidR="00D465F2" w:rsidRPr="005C4DC7">
        <w:rPr>
          <w:rFonts w:ascii="Times New Roman" w:hAnsi="Times New Roman" w:cs="Times New Roman"/>
          <w:bCs/>
          <w:sz w:val="24"/>
          <w:szCs w:val="24"/>
        </w:rPr>
        <w:t xml:space="preserve">the litigation did not </w:t>
      </w:r>
      <w:r w:rsidR="0021455D" w:rsidRPr="005C4DC7">
        <w:rPr>
          <w:rFonts w:ascii="Times New Roman" w:hAnsi="Times New Roman" w:cs="Times New Roman"/>
          <w:bCs/>
          <w:sz w:val="24"/>
          <w:szCs w:val="24"/>
        </w:rPr>
        <w:t xml:space="preserve">concern </w:t>
      </w:r>
      <w:r w:rsidR="00D465F2" w:rsidRPr="005C4DC7">
        <w:rPr>
          <w:rFonts w:ascii="Times New Roman" w:hAnsi="Times New Roman" w:cs="Times New Roman"/>
          <w:bCs/>
          <w:sz w:val="24"/>
          <w:szCs w:val="24"/>
        </w:rPr>
        <w:t>a constitutional issue</w:t>
      </w:r>
      <w:r w:rsidR="0021455D" w:rsidRPr="005C4DC7">
        <w:rPr>
          <w:rFonts w:ascii="Times New Roman" w:hAnsi="Times New Roman" w:cs="Times New Roman"/>
          <w:bCs/>
          <w:sz w:val="24"/>
          <w:szCs w:val="24"/>
        </w:rPr>
        <w:t xml:space="preserve">, </w:t>
      </w:r>
      <w:r w:rsidRPr="005C4DC7">
        <w:rPr>
          <w:rFonts w:ascii="Times New Roman" w:hAnsi="Times New Roman" w:cs="Times New Roman"/>
          <w:bCs/>
          <w:sz w:val="24"/>
          <w:szCs w:val="24"/>
        </w:rPr>
        <w:t xml:space="preserve">it is </w:t>
      </w:r>
      <w:r w:rsidR="0021455D" w:rsidRPr="005C4DC7">
        <w:rPr>
          <w:rFonts w:ascii="Times New Roman" w:hAnsi="Times New Roman" w:cs="Times New Roman"/>
          <w:bCs/>
          <w:sz w:val="24"/>
          <w:szCs w:val="24"/>
        </w:rPr>
        <w:t>argued that it did raise</w:t>
      </w:r>
      <w:r w:rsidR="00D465F2" w:rsidRPr="005C4DC7">
        <w:rPr>
          <w:rFonts w:ascii="Times New Roman" w:hAnsi="Times New Roman" w:cs="Times New Roman"/>
          <w:bCs/>
          <w:sz w:val="24"/>
          <w:szCs w:val="24"/>
        </w:rPr>
        <w:t xml:space="preserve"> an issue touching on “sensitive aspects of the human condition”, and in particular the </w:t>
      </w:r>
      <w:r w:rsidR="0021455D" w:rsidRPr="005C4DC7">
        <w:rPr>
          <w:rFonts w:ascii="Times New Roman" w:hAnsi="Times New Roman" w:cs="Times New Roman"/>
          <w:bCs/>
          <w:sz w:val="24"/>
          <w:szCs w:val="24"/>
        </w:rPr>
        <w:t>S</w:t>
      </w:r>
      <w:r w:rsidR="00D465F2" w:rsidRPr="005C4DC7">
        <w:rPr>
          <w:rFonts w:ascii="Times New Roman" w:hAnsi="Times New Roman" w:cs="Times New Roman"/>
          <w:bCs/>
          <w:sz w:val="24"/>
          <w:szCs w:val="24"/>
        </w:rPr>
        <w:t>tate</w:t>
      </w:r>
      <w:r w:rsidR="0021455D" w:rsidRPr="005C4DC7">
        <w:rPr>
          <w:rFonts w:ascii="Times New Roman" w:hAnsi="Times New Roman" w:cs="Times New Roman"/>
          <w:bCs/>
          <w:sz w:val="24"/>
          <w:szCs w:val="24"/>
        </w:rPr>
        <w:t>’</w:t>
      </w:r>
      <w:r w:rsidR="00D465F2" w:rsidRPr="005C4DC7">
        <w:rPr>
          <w:rFonts w:ascii="Times New Roman" w:hAnsi="Times New Roman" w:cs="Times New Roman"/>
          <w:bCs/>
          <w:sz w:val="24"/>
          <w:szCs w:val="24"/>
        </w:rPr>
        <w:t>s material support for pregnant women and new mothers.</w:t>
      </w:r>
      <w:r w:rsidR="0021455D" w:rsidRPr="005C4DC7">
        <w:rPr>
          <w:rFonts w:ascii="Times New Roman" w:hAnsi="Times New Roman" w:cs="Times New Roman"/>
          <w:bCs/>
          <w:sz w:val="24"/>
          <w:szCs w:val="24"/>
        </w:rPr>
        <w:t xml:space="preserve"> Accordingly, it is said that whilst this is not a public interest test case in the sense meant in the authorities, the benefit was sought by the </w:t>
      </w:r>
      <w:r w:rsidR="00243663">
        <w:rPr>
          <w:rFonts w:ascii="Times New Roman" w:hAnsi="Times New Roman" w:cs="Times New Roman"/>
          <w:bCs/>
          <w:sz w:val="24"/>
          <w:szCs w:val="24"/>
        </w:rPr>
        <w:t>r</w:t>
      </w:r>
      <w:r w:rsidR="0021455D" w:rsidRPr="005C4DC7">
        <w:rPr>
          <w:rFonts w:ascii="Times New Roman" w:hAnsi="Times New Roman" w:cs="Times New Roman"/>
          <w:bCs/>
          <w:sz w:val="24"/>
          <w:szCs w:val="24"/>
        </w:rPr>
        <w:t>espondent to benefit her baby and not herself</w:t>
      </w:r>
      <w:r w:rsidR="00E61961">
        <w:rPr>
          <w:rFonts w:ascii="Times New Roman" w:hAnsi="Times New Roman" w:cs="Times New Roman"/>
          <w:bCs/>
          <w:sz w:val="24"/>
          <w:szCs w:val="24"/>
        </w:rPr>
        <w:t>.</w:t>
      </w:r>
    </w:p>
    <w:p w14:paraId="1431935D" w14:textId="17B198B6" w:rsidR="0023465D" w:rsidRPr="0023465D" w:rsidRDefault="007A5857" w:rsidP="0023465D">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bCs/>
          <w:sz w:val="24"/>
          <w:szCs w:val="24"/>
        </w:rPr>
        <w:lastRenderedPageBreak/>
        <w:t xml:space="preserve">Third, </w:t>
      </w:r>
      <w:r w:rsidR="00165B41" w:rsidRPr="005C4DC7">
        <w:rPr>
          <w:rFonts w:ascii="Times New Roman" w:hAnsi="Times New Roman" w:cs="Times New Roman"/>
          <w:bCs/>
          <w:sz w:val="24"/>
          <w:szCs w:val="24"/>
        </w:rPr>
        <w:t xml:space="preserve">that the </w:t>
      </w:r>
      <w:r w:rsidR="00310C38">
        <w:rPr>
          <w:rFonts w:ascii="Times New Roman" w:hAnsi="Times New Roman" w:cs="Times New Roman"/>
          <w:bCs/>
          <w:sz w:val="24"/>
          <w:szCs w:val="24"/>
        </w:rPr>
        <w:t>C</w:t>
      </w:r>
      <w:r w:rsidR="00165B41" w:rsidRPr="005C4DC7">
        <w:rPr>
          <w:rFonts w:ascii="Times New Roman" w:hAnsi="Times New Roman" w:cs="Times New Roman"/>
          <w:bCs/>
          <w:sz w:val="24"/>
          <w:szCs w:val="24"/>
        </w:rPr>
        <w:t xml:space="preserve">ourt did in the course of </w:t>
      </w:r>
      <w:r w:rsidR="008340EF">
        <w:rPr>
          <w:rFonts w:ascii="Times New Roman" w:hAnsi="Times New Roman" w:cs="Times New Roman"/>
          <w:bCs/>
          <w:sz w:val="24"/>
          <w:szCs w:val="24"/>
        </w:rPr>
        <w:t>its</w:t>
      </w:r>
      <w:r w:rsidR="008340EF" w:rsidRPr="005C4DC7">
        <w:rPr>
          <w:rFonts w:ascii="Times New Roman" w:hAnsi="Times New Roman" w:cs="Times New Roman"/>
          <w:bCs/>
          <w:sz w:val="24"/>
          <w:szCs w:val="24"/>
        </w:rPr>
        <w:t xml:space="preserve"> </w:t>
      </w:r>
      <w:r w:rsidR="00165B41" w:rsidRPr="005C4DC7">
        <w:rPr>
          <w:rFonts w:ascii="Times New Roman" w:hAnsi="Times New Roman" w:cs="Times New Roman"/>
          <w:bCs/>
          <w:sz w:val="24"/>
          <w:szCs w:val="24"/>
        </w:rPr>
        <w:t xml:space="preserve">judgment note certain problematic aspects of </w:t>
      </w:r>
      <w:r w:rsidR="00310C38">
        <w:rPr>
          <w:rFonts w:ascii="Times New Roman" w:hAnsi="Times New Roman" w:cs="Times New Roman"/>
          <w:bCs/>
          <w:sz w:val="24"/>
          <w:szCs w:val="24"/>
        </w:rPr>
        <w:t>S</w:t>
      </w:r>
      <w:r w:rsidR="00165B41" w:rsidRPr="005C4DC7">
        <w:rPr>
          <w:rFonts w:ascii="Times New Roman" w:hAnsi="Times New Roman" w:cs="Times New Roman"/>
          <w:bCs/>
          <w:sz w:val="24"/>
          <w:szCs w:val="24"/>
        </w:rPr>
        <w:t>tate policy with respect to the entitlements of undocumented persons and that it could make employment of irregular migrants more rather than less attractive for unscrupulous employers.</w:t>
      </w:r>
    </w:p>
    <w:p w14:paraId="0BC5B844" w14:textId="4744A65A" w:rsidR="007A5857" w:rsidRPr="005C4DC7" w:rsidRDefault="007A5857" w:rsidP="0061727F">
      <w:pPr>
        <w:spacing w:after="0" w:line="480" w:lineRule="auto"/>
        <w:jc w:val="both"/>
      </w:pPr>
      <w:r w:rsidRPr="0023465D">
        <w:rPr>
          <w:rFonts w:ascii="Times New Roman" w:hAnsi="Times New Roman" w:cs="Times New Roman"/>
          <w:bCs/>
          <w:sz w:val="24"/>
          <w:szCs w:val="24"/>
        </w:rPr>
        <w:t>I</w:t>
      </w:r>
      <w:r w:rsidR="00310C38" w:rsidRPr="0023465D">
        <w:rPr>
          <w:rFonts w:ascii="Times New Roman" w:hAnsi="Times New Roman" w:cs="Times New Roman"/>
          <w:bCs/>
          <w:sz w:val="24"/>
          <w:szCs w:val="24"/>
        </w:rPr>
        <w:t>n reply</w:t>
      </w:r>
      <w:r w:rsidR="0023465D" w:rsidRPr="0023465D">
        <w:rPr>
          <w:rFonts w:ascii="Times New Roman" w:hAnsi="Times New Roman" w:cs="Times New Roman"/>
          <w:bCs/>
          <w:sz w:val="24"/>
          <w:szCs w:val="24"/>
        </w:rPr>
        <w:t>,</w:t>
      </w:r>
      <w:r w:rsidR="00310C38" w:rsidRPr="0023465D">
        <w:rPr>
          <w:rFonts w:ascii="Times New Roman" w:hAnsi="Times New Roman" w:cs="Times New Roman"/>
          <w:bCs/>
          <w:sz w:val="24"/>
          <w:szCs w:val="24"/>
        </w:rPr>
        <w:t xml:space="preserve"> i</w:t>
      </w:r>
      <w:r w:rsidRPr="0023465D">
        <w:rPr>
          <w:rFonts w:ascii="Times New Roman" w:hAnsi="Times New Roman" w:cs="Times New Roman"/>
          <w:bCs/>
          <w:sz w:val="24"/>
          <w:szCs w:val="24"/>
        </w:rPr>
        <w:t xml:space="preserve">t is submitted on behalf of the </w:t>
      </w:r>
      <w:r w:rsidR="00243663">
        <w:rPr>
          <w:rFonts w:ascii="Times New Roman" w:hAnsi="Times New Roman" w:cs="Times New Roman"/>
          <w:bCs/>
          <w:sz w:val="24"/>
          <w:szCs w:val="24"/>
        </w:rPr>
        <w:t>a</w:t>
      </w:r>
      <w:r w:rsidRPr="0023465D">
        <w:rPr>
          <w:rFonts w:ascii="Times New Roman" w:hAnsi="Times New Roman" w:cs="Times New Roman"/>
          <w:bCs/>
          <w:sz w:val="24"/>
          <w:szCs w:val="24"/>
        </w:rPr>
        <w:t>ppellants that the question of whether a person working unlawfully in the State is entitled to rely on that employment for the purpose of claiming a contributory social welfare benefit from the State does not raise fundamental issues which touch on sensitive aspects of the human condition</w:t>
      </w:r>
      <w:r w:rsidR="0023465D">
        <w:rPr>
          <w:rFonts w:ascii="Times New Roman" w:hAnsi="Times New Roman" w:cs="Times New Roman"/>
          <w:bCs/>
          <w:sz w:val="24"/>
          <w:szCs w:val="24"/>
        </w:rPr>
        <w:t xml:space="preserve"> </w:t>
      </w:r>
      <w:r w:rsidRPr="0023465D">
        <w:rPr>
          <w:rFonts w:ascii="Times New Roman" w:hAnsi="Times New Roman" w:cs="Times New Roman"/>
          <w:bCs/>
          <w:sz w:val="24"/>
          <w:szCs w:val="24"/>
        </w:rPr>
        <w:t xml:space="preserve">of the type identified in </w:t>
      </w:r>
      <w:r w:rsidR="003429B5" w:rsidRPr="0023465D">
        <w:rPr>
          <w:rFonts w:ascii="Times New Roman" w:hAnsi="Times New Roman" w:cs="Times New Roman"/>
          <w:bCs/>
          <w:i/>
          <w:sz w:val="24"/>
          <w:szCs w:val="24"/>
        </w:rPr>
        <w:t xml:space="preserve">Collins v. Minister for Finance </w:t>
      </w:r>
      <w:r w:rsidR="003429B5" w:rsidRPr="0023465D">
        <w:rPr>
          <w:rFonts w:ascii="Times New Roman" w:hAnsi="Times New Roman" w:cs="Times New Roman"/>
          <w:bCs/>
          <w:iCs/>
          <w:sz w:val="24"/>
          <w:szCs w:val="24"/>
        </w:rPr>
        <w:t>[2014] IEHC 79</w:t>
      </w:r>
      <w:r w:rsidR="0023465D">
        <w:rPr>
          <w:rFonts w:ascii="Times New Roman" w:hAnsi="Times New Roman" w:cs="Times New Roman"/>
          <w:bCs/>
          <w:iCs/>
          <w:sz w:val="24"/>
          <w:szCs w:val="24"/>
        </w:rPr>
        <w:t>,</w:t>
      </w:r>
      <w:r w:rsidR="0023465D" w:rsidRPr="00C82298">
        <w:rPr>
          <w:rFonts w:ascii="Times New Roman" w:hAnsi="Times New Roman" w:cs="Times New Roman"/>
          <w:bCs/>
          <w:sz w:val="24"/>
          <w:szCs w:val="24"/>
        </w:rPr>
        <w:t xml:space="preserve"> such as sexuality or assisted suicide,</w:t>
      </w:r>
      <w:r w:rsidR="0023465D">
        <w:rPr>
          <w:rFonts w:ascii="Times New Roman" w:hAnsi="Times New Roman" w:cs="Times New Roman"/>
          <w:bCs/>
          <w:sz w:val="24"/>
          <w:szCs w:val="24"/>
        </w:rPr>
        <w:t xml:space="preserve"> </w:t>
      </w:r>
      <w:r w:rsidRPr="0023465D">
        <w:rPr>
          <w:rFonts w:ascii="Times New Roman" w:hAnsi="Times New Roman" w:cs="Times New Roman"/>
          <w:bCs/>
          <w:sz w:val="24"/>
          <w:szCs w:val="24"/>
        </w:rPr>
        <w:t xml:space="preserve">and that the litigation did have the purpose of seeking a personal benefit for the </w:t>
      </w:r>
      <w:r w:rsidR="00243663">
        <w:rPr>
          <w:rFonts w:ascii="Times New Roman" w:hAnsi="Times New Roman" w:cs="Times New Roman"/>
          <w:bCs/>
          <w:sz w:val="24"/>
          <w:szCs w:val="24"/>
        </w:rPr>
        <w:t>r</w:t>
      </w:r>
      <w:r w:rsidRPr="0023465D">
        <w:rPr>
          <w:rFonts w:ascii="Times New Roman" w:hAnsi="Times New Roman" w:cs="Times New Roman"/>
          <w:bCs/>
          <w:sz w:val="24"/>
          <w:szCs w:val="24"/>
        </w:rPr>
        <w:t xml:space="preserve">espondent. It is also submitted on behalf of the </w:t>
      </w:r>
      <w:r w:rsidR="00243663">
        <w:rPr>
          <w:rFonts w:ascii="Times New Roman" w:hAnsi="Times New Roman" w:cs="Times New Roman"/>
          <w:bCs/>
          <w:sz w:val="24"/>
          <w:szCs w:val="24"/>
        </w:rPr>
        <w:t>a</w:t>
      </w:r>
      <w:r w:rsidRPr="0023465D">
        <w:rPr>
          <w:rFonts w:ascii="Times New Roman" w:hAnsi="Times New Roman" w:cs="Times New Roman"/>
          <w:bCs/>
          <w:sz w:val="24"/>
          <w:szCs w:val="24"/>
        </w:rPr>
        <w:t xml:space="preserve">ppellants that the proceedings concerned the payment of a social welfare benefit to the </w:t>
      </w:r>
      <w:r w:rsidR="00243663">
        <w:rPr>
          <w:rFonts w:ascii="Times New Roman" w:hAnsi="Times New Roman" w:cs="Times New Roman"/>
          <w:bCs/>
          <w:sz w:val="24"/>
          <w:szCs w:val="24"/>
        </w:rPr>
        <w:t>r</w:t>
      </w:r>
      <w:r w:rsidRPr="0023465D">
        <w:rPr>
          <w:rFonts w:ascii="Times New Roman" w:hAnsi="Times New Roman" w:cs="Times New Roman"/>
          <w:bCs/>
          <w:sz w:val="24"/>
          <w:szCs w:val="24"/>
        </w:rPr>
        <w:t xml:space="preserve">espondent and were entirely for her personal advantage. The fact that her child might indirectly benefit from a payment to the </w:t>
      </w:r>
      <w:r w:rsidR="00243663">
        <w:rPr>
          <w:rFonts w:ascii="Times New Roman" w:hAnsi="Times New Roman" w:cs="Times New Roman"/>
          <w:bCs/>
          <w:sz w:val="24"/>
          <w:szCs w:val="24"/>
        </w:rPr>
        <w:t>r</w:t>
      </w:r>
      <w:r w:rsidRPr="0023465D">
        <w:rPr>
          <w:rFonts w:ascii="Times New Roman" w:hAnsi="Times New Roman" w:cs="Times New Roman"/>
          <w:bCs/>
          <w:sz w:val="24"/>
          <w:szCs w:val="24"/>
        </w:rPr>
        <w:t xml:space="preserve">espondent does not elevate the case to one of a public rather than private nature. </w:t>
      </w:r>
    </w:p>
    <w:p w14:paraId="56D667F1" w14:textId="2FAEAB34" w:rsidR="007A5857" w:rsidRPr="005C4DC7" w:rsidRDefault="007A5857" w:rsidP="0061727F">
      <w:pPr>
        <w:spacing w:line="360" w:lineRule="auto"/>
        <w:jc w:val="both"/>
      </w:pPr>
      <w:r w:rsidRPr="005C4DC7">
        <w:rPr>
          <w:rFonts w:ascii="Times New Roman" w:hAnsi="Times New Roman" w:cs="Times New Roman"/>
          <w:b/>
          <w:sz w:val="24"/>
          <w:szCs w:val="24"/>
          <w:u w:val="single"/>
        </w:rPr>
        <w:t>Decision</w:t>
      </w:r>
    </w:p>
    <w:p w14:paraId="7A5E79B0" w14:textId="4DA6A176" w:rsidR="005C4DC7" w:rsidRDefault="007A5857" w:rsidP="005C4DC7">
      <w:pPr>
        <w:numPr>
          <w:ilvl w:val="0"/>
          <w:numId w:val="1"/>
        </w:numPr>
        <w:spacing w:after="0" w:line="480" w:lineRule="auto"/>
        <w:ind w:left="0" w:firstLine="0"/>
        <w:jc w:val="both"/>
        <w:rPr>
          <w:rFonts w:ascii="Times New Roman" w:hAnsi="Times New Roman" w:cs="Times New Roman"/>
          <w:sz w:val="24"/>
          <w:szCs w:val="24"/>
        </w:rPr>
      </w:pPr>
      <w:r w:rsidRPr="005C4DC7">
        <w:rPr>
          <w:rFonts w:ascii="Times New Roman" w:hAnsi="Times New Roman" w:cs="Times New Roman"/>
          <w:bCs/>
          <w:sz w:val="24"/>
          <w:szCs w:val="24"/>
        </w:rPr>
        <w:t>T</w:t>
      </w:r>
      <w:r w:rsidR="00F872F5" w:rsidRPr="005C4DC7">
        <w:rPr>
          <w:rFonts w:ascii="Times New Roman" w:hAnsi="Times New Roman" w:cs="Times New Roman"/>
          <w:bCs/>
          <w:sz w:val="24"/>
          <w:szCs w:val="24"/>
        </w:rPr>
        <w:t xml:space="preserve">his Court recently held in </w:t>
      </w:r>
      <w:r w:rsidRPr="005C4DC7">
        <w:rPr>
          <w:rFonts w:ascii="Times New Roman" w:hAnsi="Times New Roman" w:cs="Times New Roman"/>
          <w:bCs/>
          <w:sz w:val="24"/>
          <w:szCs w:val="24"/>
        </w:rPr>
        <w:t xml:space="preserve">its costs ruling in </w:t>
      </w:r>
      <w:r w:rsidR="00243663">
        <w:rPr>
          <w:rFonts w:ascii="Times New Roman" w:hAnsi="Times New Roman" w:cs="Times New Roman"/>
          <w:bCs/>
          <w:i/>
          <w:iCs/>
          <w:sz w:val="24"/>
          <w:szCs w:val="24"/>
        </w:rPr>
        <w:t xml:space="preserve">Minister for Communications, Energy and Natural Resources &amp; </w:t>
      </w:r>
      <w:proofErr w:type="spellStart"/>
      <w:r w:rsidR="00243663">
        <w:rPr>
          <w:rFonts w:ascii="Times New Roman" w:hAnsi="Times New Roman" w:cs="Times New Roman"/>
          <w:bCs/>
          <w:i/>
          <w:iCs/>
          <w:sz w:val="24"/>
          <w:szCs w:val="24"/>
        </w:rPr>
        <w:t>anor</w:t>
      </w:r>
      <w:proofErr w:type="spellEnd"/>
      <w:r w:rsidR="00243663">
        <w:rPr>
          <w:rFonts w:ascii="Times New Roman" w:hAnsi="Times New Roman" w:cs="Times New Roman"/>
          <w:bCs/>
          <w:i/>
          <w:iCs/>
          <w:sz w:val="24"/>
          <w:szCs w:val="24"/>
        </w:rPr>
        <w:t xml:space="preserve">. v. </w:t>
      </w:r>
      <w:proofErr w:type="spellStart"/>
      <w:r w:rsidR="00243663">
        <w:rPr>
          <w:rFonts w:ascii="Times New Roman" w:hAnsi="Times New Roman" w:cs="Times New Roman"/>
          <w:bCs/>
          <w:i/>
          <w:iCs/>
          <w:sz w:val="24"/>
          <w:szCs w:val="24"/>
        </w:rPr>
        <w:t>Wymes</w:t>
      </w:r>
      <w:proofErr w:type="spellEnd"/>
      <w:r w:rsidR="00F872F5" w:rsidRPr="005C4DC7">
        <w:rPr>
          <w:rFonts w:ascii="Times New Roman" w:hAnsi="Times New Roman" w:cs="Times New Roman"/>
          <w:bCs/>
          <w:i/>
          <w:iCs/>
          <w:sz w:val="24"/>
          <w:szCs w:val="24"/>
        </w:rPr>
        <w:t xml:space="preserve"> </w:t>
      </w:r>
      <w:r w:rsidR="00243663" w:rsidRPr="0061727F">
        <w:rPr>
          <w:rFonts w:ascii="Times New Roman" w:hAnsi="Times New Roman" w:cs="Times New Roman"/>
          <w:bCs/>
          <w:sz w:val="24"/>
          <w:szCs w:val="24"/>
        </w:rPr>
        <w:t>[2021] IESC 63</w:t>
      </w:r>
      <w:r w:rsidR="00236C7F">
        <w:rPr>
          <w:rFonts w:ascii="Times New Roman" w:hAnsi="Times New Roman" w:cs="Times New Roman"/>
          <w:bCs/>
          <w:sz w:val="24"/>
          <w:szCs w:val="24"/>
        </w:rPr>
        <w:t xml:space="preserve"> at para. 7</w:t>
      </w:r>
      <w:r w:rsidR="00243663" w:rsidRPr="00243663">
        <w:rPr>
          <w:rFonts w:ascii="Times New Roman" w:hAnsi="Times New Roman" w:cs="Times New Roman"/>
          <w:bCs/>
          <w:i/>
          <w:iCs/>
          <w:sz w:val="24"/>
          <w:szCs w:val="24"/>
        </w:rPr>
        <w:t xml:space="preserve"> </w:t>
      </w:r>
      <w:r w:rsidR="00F872F5" w:rsidRPr="005C4DC7">
        <w:rPr>
          <w:rFonts w:ascii="Times New Roman" w:hAnsi="Times New Roman" w:cs="Times New Roman"/>
          <w:bCs/>
          <w:sz w:val="24"/>
          <w:szCs w:val="24"/>
        </w:rPr>
        <w:t>that:</w:t>
      </w:r>
    </w:p>
    <w:p w14:paraId="156F5FC8" w14:textId="0C8D0662" w:rsidR="00F872F5" w:rsidRPr="005C4DC7" w:rsidRDefault="00F872F5" w:rsidP="0061727F">
      <w:pPr>
        <w:spacing w:after="0" w:line="480" w:lineRule="auto"/>
        <w:ind w:left="1080"/>
        <w:jc w:val="both"/>
        <w:rPr>
          <w:rFonts w:ascii="Times New Roman" w:hAnsi="Times New Roman" w:cs="Times New Roman"/>
          <w:sz w:val="24"/>
          <w:szCs w:val="24"/>
        </w:rPr>
      </w:pPr>
      <w:r w:rsidRPr="005C4DC7">
        <w:rPr>
          <w:rFonts w:ascii="Times New Roman" w:hAnsi="Times New Roman" w:cs="Times New Roman"/>
          <w:i/>
          <w:sz w:val="24"/>
          <w:szCs w:val="24"/>
        </w:rPr>
        <w:t>“</w:t>
      </w:r>
      <w:r w:rsidRPr="005C4DC7">
        <w:rPr>
          <w:rFonts w:ascii="Times New Roman" w:hAnsi="Times New Roman" w:cs="Times New Roman"/>
          <w:i/>
          <w:iCs/>
          <w:sz w:val="24"/>
          <w:szCs w:val="24"/>
        </w:rPr>
        <w:t xml:space="preserve">It is undoubtedly the case that the question considered in the appeal was a matter of general public importance, but that factor alone cannot be a basis on which a determination on liability for costs could be made, as most, if not all, appeals to this Court </w:t>
      </w:r>
      <w:r w:rsidRPr="005C4DC7">
        <w:rPr>
          <w:rFonts w:ascii="Times New Roman" w:hAnsi="Times New Roman" w:cs="Times New Roman"/>
          <w:i/>
          <w:iCs/>
          <w:sz w:val="24"/>
          <w:szCs w:val="24"/>
          <w:lang w:eastAsia="en-GB"/>
        </w:rPr>
        <w:t>could</w:t>
      </w:r>
      <w:r w:rsidRPr="005C4DC7">
        <w:rPr>
          <w:rFonts w:ascii="Times New Roman" w:hAnsi="Times New Roman" w:cs="Times New Roman"/>
          <w:i/>
          <w:iCs/>
          <w:sz w:val="24"/>
          <w:szCs w:val="24"/>
        </w:rPr>
        <w:t xml:space="preserve"> be said to fall into that category by reason of the constitutional threshold for the grant of leave to appeal.”</w:t>
      </w:r>
    </w:p>
    <w:p w14:paraId="6CBA4575" w14:textId="77777777" w:rsidR="005C4DC7" w:rsidRPr="005C4DC7" w:rsidRDefault="00F872F5" w:rsidP="005C4DC7">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bCs/>
          <w:sz w:val="24"/>
          <w:szCs w:val="24"/>
        </w:rPr>
        <w:t xml:space="preserve">This Court held in this regard in </w:t>
      </w:r>
      <w:proofErr w:type="spellStart"/>
      <w:r w:rsidRPr="005C4DC7">
        <w:rPr>
          <w:rFonts w:ascii="Times New Roman" w:hAnsi="Times New Roman" w:cs="Times New Roman"/>
          <w:bCs/>
          <w:i/>
          <w:iCs/>
          <w:sz w:val="24"/>
          <w:szCs w:val="24"/>
        </w:rPr>
        <w:t>Wymes</w:t>
      </w:r>
      <w:proofErr w:type="spellEnd"/>
      <w:r w:rsidRPr="005C4DC7">
        <w:rPr>
          <w:rFonts w:ascii="Times New Roman" w:hAnsi="Times New Roman" w:cs="Times New Roman"/>
          <w:bCs/>
          <w:sz w:val="24"/>
          <w:szCs w:val="24"/>
        </w:rPr>
        <w:t>:</w:t>
      </w:r>
    </w:p>
    <w:p w14:paraId="4107967C" w14:textId="77777777" w:rsidR="00F872F5" w:rsidRPr="005C4DC7" w:rsidRDefault="00F872F5" w:rsidP="005C4DC7">
      <w:pPr>
        <w:spacing w:after="0" w:line="480" w:lineRule="auto"/>
        <w:ind w:left="1080"/>
        <w:jc w:val="both"/>
        <w:rPr>
          <w:rFonts w:ascii="Times New Roman" w:hAnsi="Times New Roman" w:cs="Times New Roman"/>
          <w:bCs/>
          <w:sz w:val="24"/>
          <w:szCs w:val="24"/>
        </w:rPr>
      </w:pPr>
      <w:r w:rsidRPr="005C4DC7">
        <w:rPr>
          <w:rFonts w:ascii="Times New Roman" w:hAnsi="Times New Roman" w:cs="Times New Roman"/>
          <w:i/>
          <w:iCs/>
          <w:sz w:val="24"/>
          <w:szCs w:val="24"/>
          <w:lang w:eastAsia="en-GB"/>
        </w:rPr>
        <w:t xml:space="preserve">“Furthermore, the applicant by the appeal sought to overturn his own adjudication, and therefore he cannot argue that he was not seeking a private personal advantage. Accordingly, the appeal does not meet the test identified in cases such </w:t>
      </w:r>
      <w:r w:rsidRPr="005C4DC7">
        <w:rPr>
          <w:rFonts w:ascii="Times New Roman" w:hAnsi="Times New Roman" w:cs="Times New Roman"/>
          <w:i/>
          <w:iCs/>
          <w:sz w:val="24"/>
          <w:szCs w:val="24"/>
          <w:lang w:eastAsia="en-GB"/>
        </w:rPr>
        <w:lastRenderedPageBreak/>
        <w:t>as Dunne v. the Minister for the Environment (No. 2) [2008] 2 IR 775, and is not therefore one which meets the test of the public interest litigation.”</w:t>
      </w:r>
    </w:p>
    <w:p w14:paraId="5B24EBFC" w14:textId="79496200" w:rsidR="005C4DC7" w:rsidRPr="005C4DC7" w:rsidRDefault="007A5857" w:rsidP="005C4DC7">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bCs/>
          <w:sz w:val="24"/>
          <w:szCs w:val="24"/>
        </w:rPr>
        <w:t>T</w:t>
      </w:r>
      <w:r w:rsidR="00F872F5" w:rsidRPr="005C4DC7">
        <w:rPr>
          <w:rFonts w:ascii="Times New Roman" w:hAnsi="Times New Roman" w:cs="Times New Roman"/>
          <w:bCs/>
          <w:sz w:val="24"/>
          <w:szCs w:val="24"/>
        </w:rPr>
        <w:t xml:space="preserve">he </w:t>
      </w:r>
      <w:r w:rsidRPr="005C4DC7">
        <w:rPr>
          <w:rFonts w:ascii="Times New Roman" w:hAnsi="Times New Roman" w:cs="Times New Roman"/>
          <w:bCs/>
          <w:sz w:val="24"/>
          <w:szCs w:val="24"/>
        </w:rPr>
        <w:t xml:space="preserve">present appeal undoubtedly had as its </w:t>
      </w:r>
      <w:r w:rsidR="00224DA2" w:rsidRPr="005C4DC7">
        <w:rPr>
          <w:rFonts w:ascii="Times New Roman" w:hAnsi="Times New Roman" w:cs="Times New Roman"/>
          <w:bCs/>
          <w:sz w:val="24"/>
          <w:szCs w:val="24"/>
        </w:rPr>
        <w:t xml:space="preserve">ultimate aim the overturning of the decision that the </w:t>
      </w:r>
      <w:r w:rsidR="00243663">
        <w:rPr>
          <w:rFonts w:ascii="Times New Roman" w:hAnsi="Times New Roman" w:cs="Times New Roman"/>
          <w:bCs/>
          <w:sz w:val="24"/>
          <w:szCs w:val="24"/>
        </w:rPr>
        <w:t>r</w:t>
      </w:r>
      <w:r w:rsidR="00224DA2" w:rsidRPr="005C4DC7">
        <w:rPr>
          <w:rFonts w:ascii="Times New Roman" w:hAnsi="Times New Roman" w:cs="Times New Roman"/>
          <w:bCs/>
          <w:sz w:val="24"/>
          <w:szCs w:val="24"/>
        </w:rPr>
        <w:t xml:space="preserve">espondent did not have an entitlement to maternity benefits, and any benefit sought in respect of her child would inevitably </w:t>
      </w:r>
      <w:proofErr w:type="spellStart"/>
      <w:r w:rsidR="00310C38">
        <w:rPr>
          <w:rFonts w:ascii="Times New Roman" w:hAnsi="Times New Roman" w:cs="Times New Roman"/>
          <w:bCs/>
          <w:sz w:val="24"/>
          <w:szCs w:val="24"/>
        </w:rPr>
        <w:t>enure</w:t>
      </w:r>
      <w:proofErr w:type="spellEnd"/>
      <w:r w:rsidR="00310C38">
        <w:rPr>
          <w:rFonts w:ascii="Times New Roman" w:hAnsi="Times New Roman" w:cs="Times New Roman"/>
          <w:bCs/>
          <w:sz w:val="24"/>
          <w:szCs w:val="24"/>
        </w:rPr>
        <w:t xml:space="preserve"> </w:t>
      </w:r>
      <w:r w:rsidR="00224DA2" w:rsidRPr="005C4DC7">
        <w:rPr>
          <w:rFonts w:ascii="Times New Roman" w:hAnsi="Times New Roman" w:cs="Times New Roman"/>
          <w:bCs/>
          <w:sz w:val="24"/>
          <w:szCs w:val="24"/>
        </w:rPr>
        <w:t xml:space="preserve">for her benefit directly and indirectly. The appeal </w:t>
      </w:r>
      <w:r w:rsidR="00310C38">
        <w:rPr>
          <w:rFonts w:ascii="Times New Roman" w:hAnsi="Times New Roman" w:cs="Times New Roman"/>
          <w:bCs/>
          <w:sz w:val="24"/>
          <w:szCs w:val="24"/>
        </w:rPr>
        <w:t>and</w:t>
      </w:r>
      <w:r w:rsidR="00224DA2" w:rsidRPr="005C4DC7">
        <w:rPr>
          <w:rFonts w:ascii="Times New Roman" w:hAnsi="Times New Roman" w:cs="Times New Roman"/>
          <w:bCs/>
          <w:sz w:val="24"/>
          <w:szCs w:val="24"/>
        </w:rPr>
        <w:t xml:space="preserve"> the litigation does not in any sense fall within the categories recognised in </w:t>
      </w:r>
      <w:r w:rsidR="00224DA2" w:rsidRPr="0061727F">
        <w:rPr>
          <w:rFonts w:ascii="Times New Roman" w:hAnsi="Times New Roman" w:cs="Times New Roman"/>
          <w:bCs/>
          <w:i/>
          <w:iCs/>
          <w:sz w:val="24"/>
          <w:szCs w:val="24"/>
        </w:rPr>
        <w:t>Collins</w:t>
      </w:r>
      <w:r w:rsidR="00224DA2" w:rsidRPr="005C4DC7">
        <w:rPr>
          <w:rFonts w:ascii="Times New Roman" w:hAnsi="Times New Roman" w:cs="Times New Roman"/>
          <w:bCs/>
          <w:sz w:val="24"/>
          <w:szCs w:val="24"/>
        </w:rPr>
        <w:t>.</w:t>
      </w:r>
    </w:p>
    <w:p w14:paraId="191CFC3A" w14:textId="0F4191F7" w:rsidR="002C0F19" w:rsidRDefault="002C0F19" w:rsidP="002C0F19">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bCs/>
          <w:sz w:val="24"/>
          <w:szCs w:val="24"/>
        </w:rPr>
        <w:t xml:space="preserve">While it was noted in the course of the substantive judgment that the employment of undocumented migrants may be advantageous to unscrupulous employers, the employer and employee in this case made all social welfare contributions. No exploitative consequence is apparent in those circumstances. The reference by the </w:t>
      </w:r>
      <w:r w:rsidR="00236C7F">
        <w:rPr>
          <w:rFonts w:ascii="Times New Roman" w:hAnsi="Times New Roman" w:cs="Times New Roman"/>
          <w:bCs/>
          <w:sz w:val="24"/>
          <w:szCs w:val="24"/>
        </w:rPr>
        <w:t>C</w:t>
      </w:r>
      <w:r w:rsidRPr="005C4DC7">
        <w:rPr>
          <w:rFonts w:ascii="Times New Roman" w:hAnsi="Times New Roman" w:cs="Times New Roman"/>
          <w:bCs/>
          <w:sz w:val="24"/>
          <w:szCs w:val="24"/>
        </w:rPr>
        <w:t>ourt was to the general problem concerning undocumented persons working in the State entirely outside its contribution structure.</w:t>
      </w:r>
    </w:p>
    <w:p w14:paraId="0804FBCA" w14:textId="6F45D233" w:rsidR="002C0F19" w:rsidRPr="005C4DC7" w:rsidRDefault="002C0F19" w:rsidP="002C0F19">
      <w:pPr>
        <w:numPr>
          <w:ilvl w:val="0"/>
          <w:numId w:val="1"/>
        </w:numPr>
        <w:spacing w:after="0" w:line="480" w:lineRule="auto"/>
        <w:ind w:left="0" w:firstLine="0"/>
        <w:jc w:val="both"/>
        <w:rPr>
          <w:rFonts w:ascii="Times New Roman" w:hAnsi="Times New Roman" w:cs="Times New Roman"/>
          <w:bCs/>
          <w:sz w:val="24"/>
          <w:szCs w:val="24"/>
        </w:rPr>
      </w:pPr>
      <w:r>
        <w:rPr>
          <w:rFonts w:ascii="Times New Roman" w:hAnsi="Times New Roman" w:cs="Times New Roman"/>
          <w:bCs/>
          <w:sz w:val="24"/>
          <w:szCs w:val="24"/>
        </w:rPr>
        <w:t>T</w:t>
      </w:r>
      <w:r w:rsidRPr="005C4DC7">
        <w:rPr>
          <w:rFonts w:ascii="Times New Roman" w:hAnsi="Times New Roman" w:cs="Times New Roman"/>
          <w:bCs/>
          <w:sz w:val="24"/>
          <w:szCs w:val="24"/>
        </w:rPr>
        <w:t>he appeal clarified a matter of systemic importance and</w:t>
      </w:r>
      <w:r w:rsidR="0061727F">
        <w:rPr>
          <w:rFonts w:ascii="Times New Roman" w:hAnsi="Times New Roman" w:cs="Times New Roman"/>
          <w:bCs/>
          <w:sz w:val="24"/>
          <w:szCs w:val="24"/>
        </w:rPr>
        <w:t>, notwithstanding that the respondent lost the appeal,</w:t>
      </w:r>
      <w:r w:rsidRPr="005C4DC7">
        <w:rPr>
          <w:rFonts w:ascii="Times New Roman" w:hAnsi="Times New Roman" w:cs="Times New Roman"/>
          <w:bCs/>
          <w:sz w:val="24"/>
          <w:szCs w:val="24"/>
        </w:rPr>
        <w:t xml:space="preserve"> </w:t>
      </w:r>
      <w:r w:rsidR="0061727F">
        <w:rPr>
          <w:rFonts w:ascii="Times New Roman" w:hAnsi="Times New Roman" w:cs="Times New Roman"/>
          <w:bCs/>
          <w:sz w:val="24"/>
          <w:szCs w:val="24"/>
        </w:rPr>
        <w:t xml:space="preserve">and that the litigation was not public interest litigation as explained in the authorities, this is </w:t>
      </w:r>
      <w:r w:rsidRPr="005C4DC7">
        <w:rPr>
          <w:rFonts w:ascii="Times New Roman" w:hAnsi="Times New Roman" w:cs="Times New Roman"/>
          <w:bCs/>
          <w:sz w:val="24"/>
          <w:szCs w:val="24"/>
        </w:rPr>
        <w:t xml:space="preserve">a reason to justify not awarding the costs of the appeal against the respondent. </w:t>
      </w:r>
      <w:r w:rsidR="0061727F">
        <w:rPr>
          <w:rFonts w:ascii="Times New Roman" w:hAnsi="Times New Roman" w:cs="Times New Roman"/>
          <w:bCs/>
          <w:sz w:val="24"/>
          <w:szCs w:val="24"/>
        </w:rPr>
        <w:t xml:space="preserve"> </w:t>
      </w:r>
      <w:r w:rsidRPr="005C4DC7">
        <w:rPr>
          <w:rFonts w:ascii="Times New Roman" w:hAnsi="Times New Roman" w:cs="Times New Roman"/>
          <w:bCs/>
          <w:sz w:val="24"/>
          <w:szCs w:val="24"/>
        </w:rPr>
        <w:t xml:space="preserve">The justice of the case is </w:t>
      </w:r>
      <w:r w:rsidR="0061727F">
        <w:rPr>
          <w:rFonts w:ascii="Times New Roman" w:hAnsi="Times New Roman" w:cs="Times New Roman"/>
          <w:bCs/>
          <w:sz w:val="24"/>
          <w:szCs w:val="24"/>
        </w:rPr>
        <w:t xml:space="preserve">in those circumstances </w:t>
      </w:r>
      <w:r w:rsidRPr="005C4DC7">
        <w:rPr>
          <w:rFonts w:ascii="Times New Roman" w:hAnsi="Times New Roman" w:cs="Times New Roman"/>
          <w:bCs/>
          <w:sz w:val="24"/>
          <w:szCs w:val="24"/>
        </w:rPr>
        <w:t xml:space="preserve">adequately met by an order that there be no order as to the costs of the appeal or of the High Court. This result has the effect that the respondent does gain </w:t>
      </w:r>
      <w:r>
        <w:rPr>
          <w:rFonts w:ascii="Times New Roman" w:hAnsi="Times New Roman" w:cs="Times New Roman"/>
          <w:bCs/>
          <w:sz w:val="24"/>
          <w:szCs w:val="24"/>
        </w:rPr>
        <w:t>some</w:t>
      </w:r>
      <w:r w:rsidRPr="005C4DC7">
        <w:rPr>
          <w:rFonts w:ascii="Times New Roman" w:hAnsi="Times New Roman" w:cs="Times New Roman"/>
          <w:bCs/>
          <w:sz w:val="24"/>
          <w:szCs w:val="24"/>
        </w:rPr>
        <w:t xml:space="preserve"> benefit </w:t>
      </w:r>
      <w:r>
        <w:rPr>
          <w:rFonts w:ascii="Times New Roman" w:hAnsi="Times New Roman" w:cs="Times New Roman"/>
          <w:bCs/>
          <w:sz w:val="24"/>
          <w:szCs w:val="24"/>
        </w:rPr>
        <w:t xml:space="preserve">albeit she </w:t>
      </w:r>
      <w:r w:rsidRPr="005C4DC7">
        <w:rPr>
          <w:rFonts w:ascii="Times New Roman" w:hAnsi="Times New Roman" w:cs="Times New Roman"/>
          <w:bCs/>
          <w:sz w:val="24"/>
          <w:szCs w:val="24"/>
        </w:rPr>
        <w:t>unsuccessfully pursued litigation which, while the result was likely to have a direct consequence for her, was of systemic importance</w:t>
      </w:r>
      <w:r>
        <w:rPr>
          <w:rFonts w:ascii="Times New Roman" w:hAnsi="Times New Roman" w:cs="Times New Roman"/>
          <w:bCs/>
          <w:sz w:val="24"/>
          <w:szCs w:val="24"/>
        </w:rPr>
        <w:t xml:space="preserve"> in regard to legislation which has, or is likely to have, an impact on large number of persons</w:t>
      </w:r>
      <w:r w:rsidRPr="005C4DC7">
        <w:rPr>
          <w:rFonts w:ascii="Times New Roman" w:hAnsi="Times New Roman" w:cs="Times New Roman"/>
          <w:bCs/>
          <w:sz w:val="24"/>
          <w:szCs w:val="24"/>
        </w:rPr>
        <w:t>.</w:t>
      </w:r>
    </w:p>
    <w:p w14:paraId="327C719A" w14:textId="687F214D" w:rsidR="00F54B99" w:rsidRPr="005C4DC7" w:rsidRDefault="00224DA2" w:rsidP="00F54B99">
      <w:pPr>
        <w:numPr>
          <w:ilvl w:val="0"/>
          <w:numId w:val="1"/>
        </w:numPr>
        <w:spacing w:after="0" w:line="480" w:lineRule="auto"/>
        <w:ind w:left="0" w:firstLine="0"/>
        <w:jc w:val="both"/>
        <w:rPr>
          <w:rFonts w:ascii="Times New Roman" w:hAnsi="Times New Roman" w:cs="Times New Roman"/>
          <w:bCs/>
          <w:sz w:val="24"/>
          <w:szCs w:val="24"/>
        </w:rPr>
      </w:pPr>
      <w:r w:rsidRPr="005C4DC7">
        <w:rPr>
          <w:rFonts w:ascii="Times New Roman" w:hAnsi="Times New Roman" w:cs="Times New Roman"/>
          <w:bCs/>
          <w:sz w:val="24"/>
          <w:szCs w:val="24"/>
        </w:rPr>
        <w:t>In the circumstances the appropriate order is</w:t>
      </w:r>
      <w:r w:rsidR="00236C7F">
        <w:rPr>
          <w:rFonts w:ascii="Times New Roman" w:hAnsi="Times New Roman" w:cs="Times New Roman"/>
          <w:bCs/>
          <w:sz w:val="24"/>
          <w:szCs w:val="24"/>
        </w:rPr>
        <w:t>:</w:t>
      </w:r>
      <w:r w:rsidRPr="005C4DC7">
        <w:rPr>
          <w:rFonts w:ascii="Times New Roman" w:hAnsi="Times New Roman" w:cs="Times New Roman"/>
          <w:bCs/>
          <w:sz w:val="24"/>
          <w:szCs w:val="24"/>
        </w:rPr>
        <w:t xml:space="preserve"> </w:t>
      </w:r>
    </w:p>
    <w:p w14:paraId="6B1EF097" w14:textId="77777777" w:rsidR="00F54B99" w:rsidRPr="005C4DC7" w:rsidRDefault="00224DA2" w:rsidP="005C4DC7">
      <w:pPr>
        <w:numPr>
          <w:ilvl w:val="1"/>
          <w:numId w:val="1"/>
        </w:numPr>
        <w:spacing w:after="0" w:line="480" w:lineRule="auto"/>
        <w:jc w:val="both"/>
        <w:rPr>
          <w:rFonts w:ascii="Times New Roman" w:hAnsi="Times New Roman" w:cs="Times New Roman"/>
          <w:bCs/>
          <w:sz w:val="24"/>
          <w:szCs w:val="24"/>
        </w:rPr>
      </w:pPr>
      <w:r w:rsidRPr="005C4DC7">
        <w:rPr>
          <w:rFonts w:ascii="Times New Roman" w:hAnsi="Times New Roman" w:cs="Times New Roman"/>
          <w:bCs/>
          <w:sz w:val="24"/>
          <w:szCs w:val="24"/>
        </w:rPr>
        <w:t xml:space="preserve">no order as to the costs of the appeal </w:t>
      </w:r>
    </w:p>
    <w:p w14:paraId="1D00D448" w14:textId="702D7EDB" w:rsidR="00F54B99" w:rsidRPr="005C4DC7" w:rsidRDefault="00224DA2" w:rsidP="005C4DC7">
      <w:pPr>
        <w:numPr>
          <w:ilvl w:val="1"/>
          <w:numId w:val="1"/>
        </w:numPr>
        <w:spacing w:after="0" w:line="480" w:lineRule="auto"/>
        <w:jc w:val="both"/>
        <w:rPr>
          <w:rFonts w:ascii="Times New Roman" w:hAnsi="Times New Roman" w:cs="Times New Roman"/>
          <w:bCs/>
          <w:sz w:val="24"/>
          <w:szCs w:val="24"/>
        </w:rPr>
      </w:pPr>
      <w:r w:rsidRPr="005C4DC7">
        <w:rPr>
          <w:rFonts w:ascii="Times New Roman" w:hAnsi="Times New Roman" w:cs="Times New Roman"/>
          <w:bCs/>
          <w:sz w:val="24"/>
          <w:szCs w:val="24"/>
        </w:rPr>
        <w:t xml:space="preserve">set aside the order of the High Court regarding costs </w:t>
      </w:r>
    </w:p>
    <w:p w14:paraId="43DC98B6" w14:textId="77777777" w:rsidR="00EC504B" w:rsidRPr="005C4DC7" w:rsidRDefault="00224DA2" w:rsidP="005C4DC7">
      <w:pPr>
        <w:numPr>
          <w:ilvl w:val="1"/>
          <w:numId w:val="1"/>
        </w:numPr>
        <w:spacing w:after="0" w:line="480" w:lineRule="auto"/>
        <w:jc w:val="both"/>
        <w:rPr>
          <w:rFonts w:ascii="Times New Roman" w:hAnsi="Times New Roman" w:cs="Times New Roman"/>
          <w:bCs/>
          <w:sz w:val="24"/>
          <w:szCs w:val="24"/>
        </w:rPr>
      </w:pPr>
      <w:r w:rsidRPr="005C4DC7">
        <w:rPr>
          <w:rFonts w:ascii="Times New Roman" w:hAnsi="Times New Roman" w:cs="Times New Roman"/>
          <w:bCs/>
          <w:sz w:val="24"/>
          <w:szCs w:val="24"/>
        </w:rPr>
        <w:t>no order as to the costs of the High Court</w:t>
      </w:r>
    </w:p>
    <w:p w14:paraId="00DB4DB2" w14:textId="77777777" w:rsidR="00C56AD1" w:rsidRPr="00F54B99" w:rsidRDefault="00C56AD1" w:rsidP="00F54B99">
      <w:pPr>
        <w:jc w:val="both"/>
        <w:rPr>
          <w:rFonts w:ascii="Times New Roman" w:hAnsi="Times New Roman" w:cs="Times New Roman"/>
          <w:sz w:val="24"/>
          <w:szCs w:val="24"/>
        </w:rPr>
      </w:pPr>
    </w:p>
    <w:sectPr w:rsidR="00C56AD1" w:rsidRPr="00F54B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36153" w14:textId="77777777" w:rsidR="005B3142" w:rsidRDefault="005B3142" w:rsidP="00F872F5">
      <w:pPr>
        <w:spacing w:after="0" w:line="240" w:lineRule="auto"/>
      </w:pPr>
      <w:r>
        <w:separator/>
      </w:r>
    </w:p>
  </w:endnote>
  <w:endnote w:type="continuationSeparator" w:id="0">
    <w:p w14:paraId="546EC7ED" w14:textId="77777777" w:rsidR="005B3142" w:rsidRDefault="005B3142" w:rsidP="00F8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CDAF6" w14:textId="77777777" w:rsidR="005B3142" w:rsidRDefault="005B3142" w:rsidP="00F872F5">
      <w:pPr>
        <w:spacing w:after="0" w:line="240" w:lineRule="auto"/>
      </w:pPr>
      <w:r>
        <w:separator/>
      </w:r>
    </w:p>
  </w:footnote>
  <w:footnote w:type="continuationSeparator" w:id="0">
    <w:p w14:paraId="1C4D5795" w14:textId="77777777" w:rsidR="005B3142" w:rsidRDefault="005B3142" w:rsidP="00F87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4EF3"/>
    <w:multiLevelType w:val="hybridMultilevel"/>
    <w:tmpl w:val="9F52B3BC"/>
    <w:lvl w:ilvl="0" w:tplc="15C6C080">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15:restartNumberingAfterBreak="0">
    <w:nsid w:val="3DCC724F"/>
    <w:multiLevelType w:val="hybridMultilevel"/>
    <w:tmpl w:val="8BB28FBE"/>
    <w:lvl w:ilvl="0" w:tplc="417EEC8E">
      <w:start w:val="1"/>
      <w:numFmt w:val="lowerRoman"/>
      <w:lvlText w:val="(%1)"/>
      <w:lvlJc w:val="left"/>
      <w:pPr>
        <w:ind w:left="1580" w:hanging="720"/>
      </w:pPr>
      <w:rPr>
        <w:rFonts w:hint="default"/>
      </w:rPr>
    </w:lvl>
    <w:lvl w:ilvl="1" w:tplc="08090019" w:tentative="1">
      <w:start w:val="1"/>
      <w:numFmt w:val="lowerLetter"/>
      <w:lvlText w:val="%2."/>
      <w:lvlJc w:val="left"/>
      <w:pPr>
        <w:ind w:left="1940" w:hanging="360"/>
      </w:pPr>
    </w:lvl>
    <w:lvl w:ilvl="2" w:tplc="0809001B" w:tentative="1">
      <w:start w:val="1"/>
      <w:numFmt w:val="lowerRoman"/>
      <w:lvlText w:val="%3."/>
      <w:lvlJc w:val="right"/>
      <w:pPr>
        <w:ind w:left="2660" w:hanging="180"/>
      </w:pPr>
    </w:lvl>
    <w:lvl w:ilvl="3" w:tplc="0809000F" w:tentative="1">
      <w:start w:val="1"/>
      <w:numFmt w:val="decimal"/>
      <w:lvlText w:val="%4."/>
      <w:lvlJc w:val="left"/>
      <w:pPr>
        <w:ind w:left="3380" w:hanging="360"/>
      </w:pPr>
    </w:lvl>
    <w:lvl w:ilvl="4" w:tplc="08090019" w:tentative="1">
      <w:start w:val="1"/>
      <w:numFmt w:val="lowerLetter"/>
      <w:lvlText w:val="%5."/>
      <w:lvlJc w:val="left"/>
      <w:pPr>
        <w:ind w:left="4100" w:hanging="360"/>
      </w:pPr>
    </w:lvl>
    <w:lvl w:ilvl="5" w:tplc="0809001B" w:tentative="1">
      <w:start w:val="1"/>
      <w:numFmt w:val="lowerRoman"/>
      <w:lvlText w:val="%6."/>
      <w:lvlJc w:val="right"/>
      <w:pPr>
        <w:ind w:left="4820" w:hanging="180"/>
      </w:pPr>
    </w:lvl>
    <w:lvl w:ilvl="6" w:tplc="0809000F" w:tentative="1">
      <w:start w:val="1"/>
      <w:numFmt w:val="decimal"/>
      <w:lvlText w:val="%7."/>
      <w:lvlJc w:val="left"/>
      <w:pPr>
        <w:ind w:left="5540" w:hanging="360"/>
      </w:pPr>
    </w:lvl>
    <w:lvl w:ilvl="7" w:tplc="08090019" w:tentative="1">
      <w:start w:val="1"/>
      <w:numFmt w:val="lowerLetter"/>
      <w:lvlText w:val="%8."/>
      <w:lvlJc w:val="left"/>
      <w:pPr>
        <w:ind w:left="6260" w:hanging="360"/>
      </w:pPr>
    </w:lvl>
    <w:lvl w:ilvl="8" w:tplc="0809001B" w:tentative="1">
      <w:start w:val="1"/>
      <w:numFmt w:val="lowerRoman"/>
      <w:lvlText w:val="%9."/>
      <w:lvlJc w:val="right"/>
      <w:pPr>
        <w:ind w:left="6980" w:hanging="180"/>
      </w:pPr>
    </w:lvl>
  </w:abstractNum>
  <w:abstractNum w:abstractNumId="2" w15:restartNumberingAfterBreak="0">
    <w:nsid w:val="4C077A63"/>
    <w:multiLevelType w:val="hybridMultilevel"/>
    <w:tmpl w:val="5458346E"/>
    <w:lvl w:ilvl="0" w:tplc="D548C464">
      <w:start w:val="1"/>
      <w:numFmt w:val="decimal"/>
      <w:lvlText w:val="%1."/>
      <w:lvlJc w:val="left"/>
      <w:pPr>
        <w:ind w:left="860" w:hanging="500"/>
      </w:pPr>
      <w:rPr>
        <w:rFonts w:hint="default"/>
        <w:b/>
        <w:bCs w:val="0"/>
      </w:rPr>
    </w:lvl>
    <w:lvl w:ilvl="1" w:tplc="80FCE62E">
      <w:start w:val="1"/>
      <w:numFmt w:val="lowerRoman"/>
      <w:lvlText w:val="(%2)"/>
      <w:lvlJc w:val="righ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9B"/>
    <w:rsid w:val="000A5102"/>
    <w:rsid w:val="0011186D"/>
    <w:rsid w:val="00115A02"/>
    <w:rsid w:val="00165B41"/>
    <w:rsid w:val="001D2856"/>
    <w:rsid w:val="0021455D"/>
    <w:rsid w:val="00224DA2"/>
    <w:rsid w:val="0023465D"/>
    <w:rsid w:val="00236C7F"/>
    <w:rsid w:val="00243663"/>
    <w:rsid w:val="002A1AB0"/>
    <w:rsid w:val="002C0F19"/>
    <w:rsid w:val="00310C38"/>
    <w:rsid w:val="003429B5"/>
    <w:rsid w:val="005B3142"/>
    <w:rsid w:val="005C4DC7"/>
    <w:rsid w:val="0061727F"/>
    <w:rsid w:val="007A5857"/>
    <w:rsid w:val="00826B72"/>
    <w:rsid w:val="008340EF"/>
    <w:rsid w:val="00870E66"/>
    <w:rsid w:val="00950184"/>
    <w:rsid w:val="009A523F"/>
    <w:rsid w:val="00A3769B"/>
    <w:rsid w:val="00AC010E"/>
    <w:rsid w:val="00B425D8"/>
    <w:rsid w:val="00C56AD1"/>
    <w:rsid w:val="00C90107"/>
    <w:rsid w:val="00C91E3B"/>
    <w:rsid w:val="00C971FA"/>
    <w:rsid w:val="00CE4395"/>
    <w:rsid w:val="00D465F2"/>
    <w:rsid w:val="00D91E86"/>
    <w:rsid w:val="00E46275"/>
    <w:rsid w:val="00E61961"/>
    <w:rsid w:val="00E91232"/>
    <w:rsid w:val="00EB3C2C"/>
    <w:rsid w:val="00EB3D48"/>
    <w:rsid w:val="00EC504B"/>
    <w:rsid w:val="00F50B70"/>
    <w:rsid w:val="00F54B99"/>
    <w:rsid w:val="00F872F5"/>
    <w:rsid w:val="00F924B2"/>
    <w:rsid w:val="00FE16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FA88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69B"/>
    <w:pPr>
      <w:spacing w:after="0" w:line="240" w:lineRule="auto"/>
      <w:ind w:left="720"/>
      <w:contextualSpacing/>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rsid w:val="00F872F5"/>
    <w:pPr>
      <w:spacing w:after="0" w:line="240" w:lineRule="auto"/>
    </w:pPr>
    <w:rPr>
      <w:rFonts w:ascii="Times New Roman" w:eastAsia="Times New Roman" w:hAnsi="Times New Roman" w:cs="Times New Roman"/>
      <w:sz w:val="20"/>
      <w:szCs w:val="20"/>
      <w:lang w:eastAsia="en-GB"/>
    </w:rPr>
  </w:style>
  <w:style w:type="character" w:customStyle="1" w:styleId="FootnoteTextChar">
    <w:name w:val="Footnote Text Char"/>
    <w:basedOn w:val="DefaultParagraphFont"/>
    <w:link w:val="FootnoteText"/>
    <w:uiPriority w:val="99"/>
    <w:rsid w:val="00F872F5"/>
    <w:rPr>
      <w:rFonts w:ascii="Times New Roman" w:eastAsia="Times New Roman" w:hAnsi="Times New Roman" w:cs="Times New Roman"/>
      <w:sz w:val="20"/>
      <w:szCs w:val="20"/>
      <w:lang w:eastAsia="en-GB"/>
    </w:rPr>
  </w:style>
  <w:style w:type="character" w:styleId="FootnoteReference">
    <w:name w:val="footnote reference"/>
    <w:rsid w:val="00F872F5"/>
    <w:rPr>
      <w:vertAlign w:val="superscript"/>
    </w:rPr>
  </w:style>
  <w:style w:type="paragraph" w:styleId="NormalWeb">
    <w:name w:val="Normal (Web)"/>
    <w:basedOn w:val="Normal"/>
    <w:uiPriority w:val="99"/>
    <w:unhideWhenUsed/>
    <w:rsid w:val="00F872F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9501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184"/>
    <w:rPr>
      <w:rFonts w:ascii="Segoe UI" w:hAnsi="Segoe UI" w:cs="Segoe UI"/>
      <w:sz w:val="18"/>
      <w:szCs w:val="18"/>
    </w:rPr>
  </w:style>
  <w:style w:type="paragraph" w:customStyle="1" w:styleId="Harp">
    <w:name w:val="Harp"/>
    <w:rsid w:val="00950184"/>
    <w:pPr>
      <w:spacing w:after="0" w:line="240" w:lineRule="auto"/>
      <w:jc w:val="center"/>
    </w:pPr>
    <w:rPr>
      <w:rFonts w:ascii="Verdana" w:eastAsia="Times New Roman" w:hAnsi="Verdana" w:cs="Times New Roman"/>
      <w:sz w:val="18"/>
      <w:szCs w:val="20"/>
      <w:lang w:eastAsia="en-IE"/>
    </w:rPr>
  </w:style>
  <w:style w:type="character" w:styleId="CommentReference">
    <w:name w:val="annotation reference"/>
    <w:basedOn w:val="DefaultParagraphFont"/>
    <w:uiPriority w:val="99"/>
    <w:semiHidden/>
    <w:unhideWhenUsed/>
    <w:rsid w:val="00115A02"/>
    <w:rPr>
      <w:sz w:val="16"/>
      <w:szCs w:val="16"/>
    </w:rPr>
  </w:style>
  <w:style w:type="paragraph" w:styleId="CommentText">
    <w:name w:val="annotation text"/>
    <w:basedOn w:val="Normal"/>
    <w:link w:val="CommentTextChar"/>
    <w:uiPriority w:val="99"/>
    <w:semiHidden/>
    <w:unhideWhenUsed/>
    <w:rsid w:val="00115A02"/>
    <w:pPr>
      <w:spacing w:line="240" w:lineRule="auto"/>
    </w:pPr>
    <w:rPr>
      <w:sz w:val="20"/>
      <w:szCs w:val="20"/>
    </w:rPr>
  </w:style>
  <w:style w:type="character" w:customStyle="1" w:styleId="CommentTextChar">
    <w:name w:val="Comment Text Char"/>
    <w:basedOn w:val="DefaultParagraphFont"/>
    <w:link w:val="CommentText"/>
    <w:uiPriority w:val="99"/>
    <w:semiHidden/>
    <w:rsid w:val="00115A02"/>
    <w:rPr>
      <w:sz w:val="20"/>
      <w:szCs w:val="20"/>
    </w:rPr>
  </w:style>
  <w:style w:type="paragraph" w:styleId="CommentSubject">
    <w:name w:val="annotation subject"/>
    <w:basedOn w:val="CommentText"/>
    <w:next w:val="CommentText"/>
    <w:link w:val="CommentSubjectChar"/>
    <w:uiPriority w:val="99"/>
    <w:semiHidden/>
    <w:unhideWhenUsed/>
    <w:rsid w:val="00115A02"/>
    <w:rPr>
      <w:b/>
      <w:bCs/>
    </w:rPr>
  </w:style>
  <w:style w:type="character" w:customStyle="1" w:styleId="CommentSubjectChar">
    <w:name w:val="Comment Subject Char"/>
    <w:basedOn w:val="CommentTextChar"/>
    <w:link w:val="CommentSubject"/>
    <w:uiPriority w:val="99"/>
    <w:semiHidden/>
    <w:rsid w:val="00115A02"/>
    <w:rPr>
      <w:b/>
      <w:bCs/>
      <w:sz w:val="20"/>
      <w:szCs w:val="20"/>
    </w:rPr>
  </w:style>
  <w:style w:type="paragraph" w:styleId="Header">
    <w:name w:val="header"/>
    <w:basedOn w:val="Normal"/>
    <w:link w:val="HeaderChar"/>
    <w:uiPriority w:val="99"/>
    <w:unhideWhenUsed/>
    <w:rsid w:val="000A5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102"/>
  </w:style>
  <w:style w:type="paragraph" w:styleId="Footer">
    <w:name w:val="footer"/>
    <w:basedOn w:val="Normal"/>
    <w:link w:val="FooterChar"/>
    <w:uiPriority w:val="99"/>
    <w:unhideWhenUsed/>
    <w:rsid w:val="000A5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1222</Words>
  <Characters>6972</Characters>
  <Application>Microsoft Office Word</Application>
  <DocSecurity>0</DocSecurity>
  <Lines>58</Lines>
  <Paragraphs>16</Paragraphs>
  <ScaleCrop>false</ScaleCrop>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2022-04-04T10:59:00Z</dcterms:created>
  <dcterms:modified xsi:type="dcterms:W3CDTF">2022-04-04T10:59:00Z</dcterms:modified>
</cp:coreProperties>
</file>