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9c7f133f245d927e1b3646571574fe7e395eec"/>
    <w:p>
      <w:pPr>
        <w:pStyle w:val="Heading1"/>
      </w:pPr>
      <w:r>
        <w:t xml:space="preserve">📜 นโยบายการคุ้มครองข้อมูลส่วนบุคคล (PDPA) ของระบบ icmongolang</w:t>
      </w:r>
    </w:p>
    <w:p>
      <w:pPr>
        <w:pStyle w:val="BlockText"/>
      </w:pPr>
      <w:r>
        <w:t xml:space="preserve">เอกสารนี้อธิบายนโยบายและแนวปฏิบัติของระบบ icmongolang ในการดำเนินการกับข้อมูลส่วนบุคคล (Personal Data) และข้อมูลส่วนบุคคลที่มีความอ่อนไหว (Sensitive Data) ตามพระราชบัญญัติคุ้มครองข้อมูลส่วนบุคคล พ.ศ. 2562 (PDPA) ซึ่งครอบคลุมขอบเขตตั้งแต่การเก็บรวบรวม การใช้ การประมวลผล การเปิดเผย การจัดเก็บ และการลบข้อมูล เพื่อให้เป็นไปตามหลักการคุ้มครองข้อมูลส่วนบุคคล และตอบสนองสิทธิของเจ้าของข้อมูล (Data Subject) อย่างครบถ้วน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52c0a03a35b62bffd0c1eec12b9082852b54f5c">
        <w:r>
          <w:rPr>
            <w:rStyle w:val="Hyperlink"/>
          </w:rPr>
          <w:t xml:space="preserve">1. บทนำและขอบเขตการใช้งาน</w:t>
        </w:r>
      </w:hyperlink>
    </w:p>
    <w:p>
      <w:pPr>
        <w:pStyle w:val="Compact"/>
        <w:numPr>
          <w:ilvl w:val="0"/>
          <w:numId w:val="1001"/>
        </w:numPr>
      </w:pPr>
      <w:hyperlink w:anchor="Xab6bbcc6a615ceba5fdb07024d8155e870157ab">
        <w:r>
          <w:rPr>
            <w:rStyle w:val="Hyperlink"/>
          </w:rPr>
          <w:t xml:space="preserve">2. คำนิยาม</w:t>
        </w:r>
      </w:hyperlink>
    </w:p>
    <w:p>
      <w:pPr>
        <w:pStyle w:val="Compact"/>
        <w:numPr>
          <w:ilvl w:val="0"/>
          <w:numId w:val="1001"/>
        </w:numPr>
      </w:pPr>
      <w:hyperlink w:anchor="X395fcbe3575c2f6f19fd0ec90f751bedadeaa3d">
        <w:r>
          <w:rPr>
            <w:rStyle w:val="Hyperlink"/>
          </w:rPr>
          <w:t xml:space="preserve">3. หลักการคุ้มครองข้อมูลส่วนบุคคล</w:t>
        </w:r>
      </w:hyperlink>
    </w:p>
    <w:p>
      <w:pPr>
        <w:pStyle w:val="Compact"/>
        <w:numPr>
          <w:ilvl w:val="0"/>
          <w:numId w:val="1001"/>
        </w:numPr>
      </w:pPr>
      <w:hyperlink w:anchor="Xbc367c1a925627f9b8048c0efd7a091b94b446c">
        <w:r>
          <w:rPr>
            <w:rStyle w:val="Hyperlink"/>
          </w:rPr>
          <w:t xml:space="preserve">4. ฐานทางกฎหมายในการประมวลผลข้อมูล</w:t>
        </w:r>
      </w:hyperlink>
    </w:p>
    <w:p>
      <w:pPr>
        <w:pStyle w:val="Compact"/>
        <w:numPr>
          <w:ilvl w:val="0"/>
          <w:numId w:val="1001"/>
        </w:numPr>
      </w:pPr>
      <w:hyperlink w:anchor="X7daf470b8360ddf2422852dda35f3d6f1fa0518">
        <w:r>
          <w:rPr>
            <w:rStyle w:val="Hyperlink"/>
          </w:rPr>
          <w:t xml:space="preserve">5. บัญชีข้อมูลส่วนบุคคลในระบบ</w:t>
        </w:r>
      </w:hyperlink>
    </w:p>
    <w:p>
      <w:pPr>
        <w:pStyle w:val="Compact"/>
        <w:numPr>
          <w:ilvl w:val="0"/>
          <w:numId w:val="1001"/>
        </w:numPr>
      </w:pPr>
      <w:hyperlink w:anchor="Xb0cf85e25f0e7dccdc8209df5cd1921fab77799">
        <w:r>
          <w:rPr>
            <w:rStyle w:val="Hyperlink"/>
          </w:rPr>
          <w:t xml:space="preserve">6. ข้อมูลส่วนบุคคลที่มีความอ่อนไหว</w:t>
        </w:r>
      </w:hyperlink>
    </w:p>
    <w:p>
      <w:pPr>
        <w:pStyle w:val="Compact"/>
        <w:numPr>
          <w:ilvl w:val="0"/>
          <w:numId w:val="1001"/>
        </w:numPr>
      </w:pPr>
      <w:hyperlink w:anchor="Xdfe4df063f6a9947757b5b88c1b63ffc1a5ff0b">
        <w:r>
          <w:rPr>
            <w:rStyle w:val="Hyperlink"/>
          </w:rPr>
          <w:t xml:space="preserve">7. การเก็บรวบรวมและการประมวลผลข้อมูล</w:t>
        </w:r>
      </w:hyperlink>
    </w:p>
    <w:p>
      <w:pPr>
        <w:pStyle w:val="Compact"/>
        <w:numPr>
          <w:ilvl w:val="0"/>
          <w:numId w:val="1001"/>
        </w:numPr>
      </w:pPr>
      <w:hyperlink w:anchor="X9546fee0681b5565e9a1fabe17ed4a79a2d024a">
        <w:r>
          <w:rPr>
            <w:rStyle w:val="Hyperlink"/>
          </w:rPr>
          <w:t xml:space="preserve">8. สิทธิของเจ้าของข้อมูล (Data Subject Rights)</w:t>
        </w:r>
      </w:hyperlink>
    </w:p>
    <w:p>
      <w:pPr>
        <w:pStyle w:val="Compact"/>
        <w:numPr>
          <w:ilvl w:val="0"/>
          <w:numId w:val="1001"/>
        </w:numPr>
      </w:pPr>
      <w:hyperlink w:anchor="X7fd2c39434c8a0002db532a45461b602c6135a5">
        <w:r>
          <w:rPr>
            <w:rStyle w:val="Hyperlink"/>
          </w:rPr>
          <w:t xml:space="preserve">9. มาตรการรักษาความมั่นคงปลอดภัย</w:t>
        </w:r>
      </w:hyperlink>
    </w:p>
    <w:p>
      <w:pPr>
        <w:pStyle w:val="Compact"/>
        <w:numPr>
          <w:ilvl w:val="0"/>
          <w:numId w:val="1001"/>
        </w:numPr>
      </w:pPr>
      <w:hyperlink w:anchor="Xcdc347ae25bc6d765ee0d5c2f81971faca79a52">
        <w:r>
          <w:rPr>
            <w:rStyle w:val="Hyperlink"/>
          </w:rPr>
          <w:t xml:space="preserve">10. การเก็บรักษาและระยะเวลา</w:t>
        </w:r>
      </w:hyperlink>
    </w:p>
    <w:p>
      <w:pPr>
        <w:pStyle w:val="Compact"/>
        <w:numPr>
          <w:ilvl w:val="0"/>
          <w:numId w:val="1001"/>
        </w:numPr>
      </w:pPr>
      <w:hyperlink w:anchor="Xa75f0434e9a24a7183a32de606ca23c659fd96b">
        <w:r>
          <w:rPr>
            <w:rStyle w:val="Hyperlink"/>
          </w:rPr>
          <w:t xml:space="preserve">11. การแจ้งเหตุละเมิดข้อมูลส่วนบุคคล</w:t>
        </w:r>
      </w:hyperlink>
    </w:p>
    <w:p>
      <w:pPr>
        <w:pStyle w:val="Compact"/>
        <w:numPr>
          <w:ilvl w:val="0"/>
          <w:numId w:val="1001"/>
        </w:numPr>
      </w:pPr>
      <w:hyperlink w:anchor="Xf4dd534838b8d8d3fc3315b5dd0b5b16c91a1d4">
        <w:r>
          <w:rPr>
            <w:rStyle w:val="Hyperlink"/>
          </w:rPr>
          <w:t xml:space="preserve">12. การเปิดเผยและผู้ประมวลผลข้อมูลภายนอก</w:t>
        </w:r>
      </w:hyperlink>
    </w:p>
    <w:p>
      <w:pPr>
        <w:pStyle w:val="Compact"/>
        <w:numPr>
          <w:ilvl w:val="0"/>
          <w:numId w:val="1001"/>
        </w:numPr>
      </w:pPr>
      <w:hyperlink w:anchor="X4714fd6afb9457eda7f36afa56525147224b4be">
        <w:r>
          <w:rPr>
            <w:rStyle w:val="Hyperlink"/>
          </w:rPr>
          <w:t xml:space="preserve">13. บทบาทและความรับผิดชอบ</w:t>
        </w:r>
      </w:hyperlink>
    </w:p>
    <w:p>
      <w:pPr>
        <w:pStyle w:val="Compact"/>
        <w:numPr>
          <w:ilvl w:val="0"/>
          <w:numId w:val="1001"/>
        </w:numPr>
      </w:pPr>
      <w:hyperlink w:anchor="X4326f21453824928bbb28782bfdb43aecf29830">
        <w:r>
          <w:rPr>
            <w:rStyle w:val="Hyperlink"/>
          </w:rPr>
          <w:t xml:space="preserve">14. การทบทวนและปรับปรุงนโยบาย</w:t>
        </w:r>
      </w:hyperlink>
    </w:p>
    <w:p>
      <w:pPr>
        <w:pStyle w:val="Compact"/>
        <w:numPr>
          <w:ilvl w:val="0"/>
          <w:numId w:val="1001"/>
        </w:numPr>
      </w:pPr>
      <w:hyperlink w:anchor="X5fa6a8b9b16d87faac7f52b9586244481d43976">
        <w:r>
          <w:rPr>
            <w:rStyle w:val="Hyperlink"/>
          </w:rPr>
          <w:t xml:space="preserve">15. Data Flow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บทนำและขอบเขตการใชงาน"/>
    <w:p>
      <w:pPr>
        <w:pStyle w:val="Heading2"/>
      </w:pPr>
      <w:r>
        <w:t xml:space="preserve">1. บทนำและขอบเขตการใช้งาน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วัตถุประสงค์</w:t>
      </w:r>
      <w:r>
        <w:t xml:space="preserve"> </w:t>
      </w:r>
      <w:r>
        <w:t xml:space="preserve">— เพื่อกำหนดแนวปฏิบัติในการคุ้มครองข้อมูลส่วนบุคคลของระบบ icmongolang ให้สอดคล้องกับพระราชบัญญัติคุ้มครองข้อมูลส่วนบุคคล พ.ศ. 2562 (PDPA) และกฎหมายที่เกี่ยวข้อง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ขอบเขต</w:t>
      </w:r>
      <w:r>
        <w:t xml:space="preserve"> </w:t>
      </w:r>
      <w:r>
        <w:t xml:space="preserve">— ครอบคลุมทุกระบบย่อยของ icmongolang ได้แก่ ระบบจัดการผู้ใช้และสิทธิ์การเข้าถึง (Auth, User, Access Management) ระบบจัดการลูกค้า (Customer Management) ระบบชุดโมดูลยูทิลิตี้และบริการ (Utility and Service Modules) และระบบ IoT Flow Management ซึ่งรับข้อมูลจากอุปกรณ์ผ่าน MQTT/HTTP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ผู้มีส่วนเกี่ยวข้อง</w:t>
      </w:r>
      <w:r>
        <w:t xml:space="preserve"> </w:t>
      </w:r>
      <w:r>
        <w:t xml:space="preserve">— เจ้าของข้อมูล (Data Subject) ได้แก่ ผู้ใช้ระบบ ลูกค้า ผู้ดูแลระบบ และผู้ที่ให้ข้อมูลผ่านบริการหรืออุปกรณ์ IoT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ข้อมูลที่ครอบคลุม</w:t>
      </w:r>
      <w:r>
        <w:t xml:space="preserve"> </w:t>
      </w:r>
      <w:r>
        <w:t xml:space="preserve">— ครอบคลุมทั้งข้อมูลส่วนบุคคลทั่วไป (Personal Data) และข้อมูลส่วนบุคคลที่มีความอ่อนไหว (Sensitive Data) ที่ระบบเก็บรวบรวม ประมวลผล เก็บรักษา หรือเปิดเผย</w:t>
      </w:r>
    </w:p>
    <w:bookmarkEnd w:id="10"/>
    <w:bookmarkStart w:id="11" w:name="คำนยาม"/>
    <w:p>
      <w:pPr>
        <w:pStyle w:val="Heading2"/>
      </w:pPr>
      <w:r>
        <w:t xml:space="preserve">2. คำนิยาม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ข้อมูลส่วนบุคคล (Personal Data)</w:t>
      </w:r>
      <w:r>
        <w:t xml:space="preserve"> </w:t>
      </w:r>
      <w:r>
        <w:t xml:space="preserve">— ข้อมูลเกี่ยวกับบุคคลธรรมดาซึ่งทำให้สามารถระบุตัวบุคคลนั้นได้ไม่ว่าทางตรงหรือทางอ้อม เช่น ชื่อ อีเมล ชื่อผู้ใช้ หมายเลขโทรศัพท์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ข้อมูลส่วนบุคคลที่มีความอ่อนไหว (Sensitive Data)</w:t>
      </w:r>
      <w:r>
        <w:t xml:space="preserve"> </w:t>
      </w:r>
      <w:r>
        <w:t xml:space="preserve">— ข้อมูลตามมาตรา 26 แห่ง พ.ร.บ. คุ้มครองข้อมูลส่วนบุคคล พ.ศ. 2562 เช่น เชื้อชาติ ชาติพันธุ์ ความเชื่อทางศาสนา ข้อมูลสุขภาพ ข้อมูลชีวภาพ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เจ้าของข้อมูล (Data Subject)</w:t>
      </w:r>
      <w:r>
        <w:t xml:space="preserve"> </w:t>
      </w:r>
      <w:r>
        <w:t xml:space="preserve">— บุคคลธรรมดาที่เป็นเจ้าของข้อมูลส่วนบุคคล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ผู้ควบคุมข้อมูลส่วนบุคคล (Data Controller)</w:t>
      </w:r>
      <w:r>
        <w:t xml:space="preserve"> </w:t>
      </w:r>
      <w:r>
        <w:t xml:space="preserve">— ผู้มีอำนาจตัดสินใจเกี่ยวกับการเก็บรวบรวม ใช้ หรือเปิดเผยข้อมูลส่วนบุคคล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ผู้ประมวลผลข้อมูลส่วนบุคคล (Data Processor)</w:t>
      </w:r>
      <w:r>
        <w:t xml:space="preserve"> </w:t>
      </w:r>
      <w:r>
        <w:t xml:space="preserve">— ผู้ดำเนินการเกี่ยวกับการเก็บรวบรวม ใช้ หรือเปิดเผยข้อมูลส่วนบุคคลตามคำสั่งหรือในนามของผู้ควบคุมข้อมูลส่วนบุคคล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การประมวลผลข้อมูล (Processing)</w:t>
      </w:r>
      <w:r>
        <w:t xml:space="preserve"> </w:t>
      </w:r>
      <w:r>
        <w:t xml:space="preserve">— การดำเนินการใด ๆ กับข้อมูลส่วนบุคคล เช่น การเก็บรวบรวม การใช้ การบันทึก การจัดเก็บ การแก้ไข การทำสำเนา การเปิดเผย การลบ หรือการทำลาย</w:t>
      </w:r>
    </w:p>
    <w:bookmarkEnd w:id="11"/>
    <w:bookmarkStart w:id="12" w:name="หลกการคมครองขอมลสวนบคคล"/>
    <w:p>
      <w:pPr>
        <w:pStyle w:val="Heading2"/>
      </w:pPr>
      <w:r>
        <w:t xml:space="preserve">3. หลักการคุ้มครองข้อมูลส่วนบุคคล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หลักการ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การปฏิบัติในระบบ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ความชอบด้วยกฎหมาย (Lawfulness)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ประมวลผลข้อมูลอย่างชอบด้วยกฎหมายและเป็นธรรม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กำหนดฐานทางกฎหมายสำหรับทุกการประมวลผล (ดูข้อ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ความจำกัดวัตถุประสงค์ (Purpose Limitation)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เก็บรวบรวมเท่าที่จำเป็นตามวัตถุประสงค์ที่แจ้งไว้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แยกโมดูลตามวัตถุประสงค์ชัดเจน เช่น Auth/User, Customer,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➖ การลดปริมาณข้อมูล (Data Minimisation)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เก็บข้อมูลเท่าที่จำเป็นเท่านั้น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ฟิลด์ PII จัดเก็บเท่าที่ใช้จริง เช่น email, username, password (hashed)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ความถูกต้อง (Accuracy)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ข้อมูลต้องถูกต้องและเป็นปัจจุบัน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ให้สิทธิเจ้าของข้อมูลขอแก้ไขข้อมูลได้ (Right to Rectification)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⏳ การจำกัดการเก็บรักษา (Storage Limitation)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เก็บข้อมูลเท่าที่จำเป็นตามระยะเวลาที่กำหนด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Logging Management มีการลบข้อมูลเก่าอัตโนมัติ (Auto Cleanup)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 ความมั่นคงปลอดภัย (Integrity and Confidentiality)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ป้องกันการเข้าถึงโดยมิชอบ การสูญหาย หรือการรั่วไหล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ใช้การเข้ารหัส, RBAC, JWT, Cookie HttpOnly (ดูข้อ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 ความรับผิดชอบ (Accountability)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สามารถแสดงการปฏิบัติตามหลักการได้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จัดทำเอกสารนโยบายฉบับนี้และกำหนดบทบาทผู้รับผิดชอบ</w:t>
            </w:r>
          </w:p>
        </w:tc>
      </w:tr>
    </w:tbl>
    <w:bookmarkEnd w:id="12"/>
    <w:bookmarkStart w:id="14" w:name="ฐานทางกฎหมายในการประมวลผลขอมล"/>
    <w:p>
      <w:pPr>
        <w:pStyle w:val="Heading2"/>
      </w:pPr>
      <w:r>
        <w:t xml:space="preserve">4. ฐานทางกฎหมายในการประมวลผลข้อมูล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มาตรา 24 (ความยินยอม Consent)</w:t>
      </w:r>
      <w:r>
        <w:t xml:space="preserve"> </w:t>
      </w:r>
      <w:r>
        <w:t xml:space="preserve">— ใช้ในการเก็บรวบรวมข้อมูลส่วนบุคคลที่เกินความจำเป็นตามวัตถุประสงค์ หรือกรณีที่กฎหมายกำหนดให้ต้องขอความยินยอม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มาตรา 24(1) วัตถุประสงค์ตามกฎหมาย</w:t>
      </w:r>
      <w:r>
        <w:t xml:space="preserve"> </w:t>
      </w:r>
      <w:r>
        <w:t xml:space="preserve">— การประมวลผลเพื่อให้เป็นไปตามกฎหมายที่เกี่ยวข้องกับการดำเนินงานของระบบ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มาตรา 24(2) สัญญา (Contract)</w:t>
      </w:r>
      <w:r>
        <w:t xml:space="preserve"> </w:t>
      </w:r>
      <w:r>
        <w:t xml:space="preserve">— การประมวลผลข้อมูลผู้ใช้และลูกค้าเพื่อดำเนินการตามสัญญา เช่น การลงทะเบียนใช้งาน (Register) การจัดการบัญชีผู้ใช้ และการให้บริการ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มาตรา 24(3) ประโยชน์โดยชอบด้วยกฎหมาย (Legitimate Interest)</w:t>
      </w:r>
      <w:r>
        <w:t xml:space="preserve"> </w:t>
      </w:r>
      <w:r>
        <w:t xml:space="preserve">— การประมวลผลเพื่อความมั่นคงปลอดภัยของระบบ การตรวจสอบสิทธิ์การเข้าถึง และการป้องกันการทุจริตหรือการละเมิดบริการ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มาตรา 24(5) จำเป็นแก่การปฏิบัติหน้าที่ตามกฎหมาย</w:t>
      </w:r>
      <w:r>
        <w:t xml:space="preserve"> </w:t>
      </w:r>
      <w:r>
        <w:t xml:space="preserve">— การปฏิบัติตามหน้าที่ของหน่วยงานของรัฐหรือกฎหมายที่เกี่ยวข้อง</w:t>
      </w:r>
    </w:p>
    <w:bookmarkStart w:id="13" w:name="ขอควรพจารณา"/>
    <w:p>
      <w:pPr>
        <w:pStyle w:val="Heading3"/>
      </w:pPr>
      <w:r>
        <w:t xml:space="preserve">ข้อควรพิจารณา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ห้ามประมวลผลข้อมูลโดยไม่มีฐานทางกฎหมาย</w:t>
      </w:r>
      <w:r>
        <w:t xml:space="preserve"> </w:t>
      </w:r>
      <w:r>
        <w:t xml:space="preserve">— การดำเนินการกับข้อมูลส่วนบุคคลทุกรายการต้องอ้างอิงฐานทางกฎหมายได้เสมอ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ห้ามประมวลผลข้อมูลที่มีความอ่อนไหว</w:t>
      </w:r>
      <w:r>
        <w:t xml:space="preserve"> </w:t>
      </w:r>
      <w:r>
        <w:t xml:space="preserve">โดยไม่มีฐานตาม</w:t>
      </w:r>
      <w:r>
        <w:t xml:space="preserve"> </w:t>
      </w:r>
      <w:r>
        <w:rPr>
          <w:b/>
          <w:bCs/>
        </w:rPr>
        <w:t xml:space="preserve">มาตรา 26</w:t>
      </w:r>
      <w:r>
        <w:t xml:space="preserve"> </w:t>
      </w:r>
      <w:r>
        <w:t xml:space="preserve">ได้แก่ การได้รับความยินยอมโดยชัดแจ้ง การดำเนินการตามกฎหมาย การจำเป็นเพื่อการคุ้มครองชีวิตหรือร่างกาย เป็นต้น</w:t>
      </w:r>
    </w:p>
    <w:bookmarkEnd w:id="13"/>
    <w:bookmarkEnd w:id="14"/>
    <w:bookmarkStart w:id="18" w:name="บญชขอมลสวนบคคลในระบบ"/>
    <w:p>
      <w:pPr>
        <w:pStyle w:val="Heading2"/>
      </w:pPr>
      <w:r>
        <w:t xml:space="preserve">5. บัญชีข้อมูลส่วนบุคคลในระบบ</w:t>
      </w:r>
    </w:p>
    <w:bookmarkStart w:id="15" w:name="โมดลจดการผใชและสทธการเขาถง"/>
    <w:p>
      <w:pPr>
        <w:pStyle w:val="Heading3"/>
      </w:pPr>
      <w:r>
        <w:t xml:space="preserve">5.1 โมดูลจัดการผู้ใช้และสิทธิ์การเข้าถึง</w:t>
      </w:r>
    </w:p>
    <w:p>
      <w:pPr>
        <w:pStyle w:val="FirstParagraph"/>
      </w:pPr>
      <w:r>
        <w:rPr>
          <w:rStyle w:val="VerbatimChar"/>
        </w:rPr>
        <w:t xml:space="preserve">docs/modules/1-Auth_User_Management_Module.md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docs/modules/3-Access_Management_Module.md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ฐานทางกฎหมาย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ระยะเวลาจัดเก็บ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ชื่อผู้ใช้ (Username)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ฟอร์มลงทะเบียน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 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ตลอดอายุการใช้งานบัญชี + ตามกฎหมาย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ฟอร์มลงทะเบียน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 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ตลอดอายุการใช้งานบัญชี + ตามกฎหมาย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รหัสผ่าน (Password)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ฟอร์มลงทะเบียน/เข้าสู่ระบบ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 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เก็บเป็น bcrypt hash เท่านั้น ไม่เก็บค่าเดิม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บทบาท/สิทธิ์ (Role, 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ระบบจัดการสิทธิ์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ตลอดอายุการใช้งานบัญชี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ข้อมูลลูกค้า 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 Customer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 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ตามระยะเวลากฎหมาย/สัญญา</w:t>
            </w:r>
          </w:p>
        </w:tc>
      </w:tr>
    </w:tbl>
    <w:bookmarkEnd w:id="15"/>
    <w:bookmarkStart w:id="16" w:name="โมดล-iot-flow-และขอมลจากอปกรณ"/>
    <w:p>
      <w:pPr>
        <w:pStyle w:val="Heading3"/>
      </w:pPr>
      <w:r>
        <w:t xml:space="preserve">5.2 โมดูล IoT Flow และข้อมูลจากอุปกรณ์</w:t>
      </w:r>
    </w:p>
    <w:p>
      <w:pPr>
        <w:pStyle w:val="FirstParagraph"/>
      </w:pPr>
      <w:r>
        <w:rPr>
          <w:rStyle w:val="VerbatimChar"/>
        </w:rPr>
        <w:t xml:space="preserve">docs/modules/IoT_Flow_Module.md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docs/modules/IoT_Flow_Module_V3.md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ฐานทางกฎหมาย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ระยะเวลาจัดเก็บ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ข้อมูลเซนเซอร์/อุปกรณ์ (Sensor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อุปกรณ์ IoT ผ่าน MQTT/HTTP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ม.24(2)/ม.24(3)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ตามนโยบายการเก็บรักษาโมดูล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ข้อมูลเชิงเวลา (Time-series)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Engine → 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บันทึกแบบ Batch Writer + ระยะเวลาตามนโยบาย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Log การทำงาน (Flow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Management ลบข้อมูลเก่าอัตโนมัติ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การเชื่อมต่อ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</w:t>
            </w:r>
            <w:r>
              <w:t xml:space="preserve"> </w:t>
            </w:r>
            <w:r>
              <w:rPr>
                <w:rStyle w:val="VerbatimChar"/>
              </w:rPr>
              <w:t xml:space="preserve">ws_sessions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จนกว่าหมดอายุ (expires_at)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ข้อความ WebSocket (ws_messages)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</w:t>
            </w:r>
            <w:r>
              <w:t xml:space="preserve"> </w:t>
            </w:r>
            <w:r>
              <w:rPr>
                <w:rStyle w:val="VerbatimChar"/>
              </w:rPr>
              <w:t xml:space="preserve">ws_messages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ตามระยะเวลาการเก็บข้อความ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(ระบุตัวผู้ใช้ได้)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/api/apikeys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/apimanager/key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ม.24(2)/ม.24(3)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ตลอดอายุการใช้งาน + ตามนโยบาย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Pipeline LLM Request (flow.llm.request → LLM Service → flow.llm.response)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(ข้อความผู้ใช้/ผลลัพธ์)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topic flow.llm.request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ตามนโยบายการเก็บรักษาโมดูล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Pipeline Embedding Request (flow.embedding.request → Embedding Service → Elasticsearch 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topic flow.embedding.request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ตามนโยบายการเก็บรักษาโมดูล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Pipeline Blockchain Request (flow.blockchain.request → Blockchain (TX))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topic flow.blockchain.request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ตามนโยบายการเก็บรักษาโมดูล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Aggregation (StartAggregationScheduler → InfluxDB/ES/DB)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aggregator ภายใน Flow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ตามระยะเวลาการเก็บข้อมูลเชิงเวลา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ข้อมูลการแสดงผล IoT Dashboard (Angular src/app/features/iot/)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(หากระบุตัวบุคคลได้)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Angular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ตามระยะเวลาการเก็บข้อมูลที่เกี่ยวข้อง</w:t>
            </w:r>
          </w:p>
        </w:tc>
      </w:tr>
    </w:tbl>
    <w:bookmarkEnd w:id="16"/>
    <w:bookmarkStart w:id="17" w:name="โมดลยทลตและบรการ"/>
    <w:p>
      <w:pPr>
        <w:pStyle w:val="Heading3"/>
      </w:pPr>
      <w:r>
        <w:t xml:space="preserve">5.3 โมดูลยูทิลิตี้และบริการ</w:t>
      </w:r>
    </w:p>
    <w:p>
      <w:pPr>
        <w:pStyle w:val="FirstParagraph"/>
      </w:pPr>
      <w:r>
        <w:rPr>
          <w:rStyle w:val="VerbatimChar"/>
        </w:rPr>
        <w:t xml:space="preserve">docs/modules/4-Utility_and_Service_Modules.md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ฐานทางกฎหมาย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ระยะเวลาจัดเก็บ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เอกสารแปล/เอกสารอัปโหลด (translations, documents)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(หากมีข้อมูลบุคคล)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โมดูลยูทิลิตี้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ม.24(2)/ม.24(3)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งานประมวลผลแบตช์ (batch_jobs, batch_job_logs)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(หากมีข้อมูลบุคคล)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ระบบงานแบตช์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ตามนโยบายการเก็บ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 Session/Cookie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Access + Refresh Token (HttpOnly Cookie)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ม.24(3) ประโยชน์โดยชอบด้วยกฎหมาย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จนกว่าหมดอายุของ Token</w:t>
            </w:r>
          </w:p>
        </w:tc>
      </w:tr>
    </w:tbl>
    <w:bookmarkEnd w:id="17"/>
    <w:bookmarkEnd w:id="18"/>
    <w:bookmarkStart w:id="19" w:name="ขอมลสวนบคคลทมความออนไหว"/>
    <w:p>
      <w:pPr>
        <w:pStyle w:val="Heading2"/>
      </w:pPr>
      <w:r>
        <w:t xml:space="preserve">6. ข้อมูลส่วนบุคคลที่มีความอ่อนไหว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ข้อกำหนด</w:t>
      </w:r>
      <w:r>
        <w:t xml:space="preserve"> </w:t>
      </w:r>
      <w:r>
        <w:t xml:space="preserve">— ระบบจะไม่เก็บรวบรวมข้อมูลที่มีความอ่อนไหวตามมาตรา 26 เว้นแต่จะได้รับความยินยอมโดยชัดแจ้งจากเจ้าของข้อมูล หรือมีฐานทางกฎหมายอื่นรองรับ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ห้ามเก็บข้อมูลอ่อนไหวโดยไม่จำเป็น</w:t>
      </w:r>
      <w:r>
        <w:t xml:space="preserve"> </w:t>
      </w:r>
      <w:r>
        <w:t xml:space="preserve">— เช่น เชื้อชาติ ศาสนา ข้อมูลสุขภาพ ข้อมูลชีวภาพ ระบบจะหลีกเลี่ยงการจัดเก็บโดยค่าเริ่มต้น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การประเมินผลกระทบความเป็นส่วนตัว (PIA/DPIA)</w:t>
      </w:r>
      <w:r>
        <w:t xml:space="preserve"> </w:t>
      </w:r>
      <w:r>
        <w:t xml:space="preserve">— ควรดำเนินการประเมินเมื่อมีการนำระบบไปใช้กับข้อมูลที่มีความเสี่ยงสูงต่อสิทธิและเสรีภาพของเจ้าของข้อมูล</w:t>
      </w:r>
    </w:p>
    <w:bookmarkEnd w:id="19"/>
    <w:bookmarkStart w:id="20" w:name="การเกบรวบรวมและการประมวลผลขอมล"/>
    <w:p>
      <w:pPr>
        <w:pStyle w:val="Heading2"/>
      </w:pPr>
      <w:r>
        <w:t xml:space="preserve">7. การเก็บรวบรวมและการประมวลผลข้อมูล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การเก็บรวบรวม</w:t>
      </w:r>
      <w:r>
        <w:t xml:space="preserve"> </w:t>
      </w:r>
      <w:r>
        <w:t xml:space="preserve">— จัดเก็บข้อมูลผ่านฟอร์มลงทะเบียน การเข้าสู่ระบบ การยืนยันตัวตน (SignIn/Login ผ่าน email หรือ username) และการรับข้อมูลจากอุปกรณ์ IoT ผ่าน MQTT/HTTP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การแจ้งวัตถุประสงค์</w:t>
      </w:r>
      <w:r>
        <w:t xml:space="preserve"> </w:t>
      </w:r>
      <w:r>
        <w:t xml:space="preserve">— แจ้งวัตถุประสงค์ ขอบเขต และฐานทางกฎหมายของการเก็บข้อมูลให้เจ้าของข้อมูลทราบก่อนหรือขณะเก็บรวบรวม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การประมวลผลแบบเรียลไทม์</w:t>
      </w:r>
      <w:r>
        <w:t xml:space="preserve"> </w:t>
      </w:r>
      <w:r>
        <w:t xml:space="preserve">— ข้อมูลจากอุปกรณ์ IoT ไหลผ่าน Flow Engine (Goroutines, Channels) สู่ Kafka → Worker ต่าง ๆ (InfluxDB Batch Writer, Elasticsearch Bulk Indexer, WebSocket Broadcaster, LLM/Embedding Consumer ฯลฯ)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การประมวลผล AI</w:t>
      </w:r>
      <w:r>
        <w:t xml:space="preserve"> </w:t>
      </w:r>
      <w:r>
        <w:t xml:space="preserve">— ข้อมูลอาจถูกส่งไปยัง LLM/AI Embedding เพื่อสรุป ตอบคำถาม หรือทำรายงาน Semantic Search/RAG ต้องแจ้งวัตถุประสงค์และขอความยินยอมหากเป็นการประมวลผลข้อมูลอัตโนมัติที่ส่งผลต่อตัวบุคคลอย่างมีนัยสำคัญ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การเปิดเผย</w:t>
      </w:r>
      <w:r>
        <w:t xml:space="preserve"> </w:t>
      </w:r>
      <w:r>
        <w:t xml:space="preserve">— เปิดเผยข้อมูลบุคคลภายนอกเฉพาะเมื่อได้รับความยินยอม มีฐานทางกฎหมาย หรือตามคำสั่งหน่วยงานของรัฐที่ชอบด้วยกฎหมาย</w:t>
      </w:r>
    </w:p>
    <w:bookmarkEnd w:id="20"/>
    <w:bookmarkStart w:id="21" w:name="สทธของเจาของขอมล-data-subject-rights"/>
    <w:p>
      <w:pPr>
        <w:pStyle w:val="Heading2"/>
      </w:pPr>
      <w:r>
        <w:t xml:space="preserve">8. สิทธิของเจ้าของข้อมูล (Data Subject Rights)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สิทธิ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การปฏิบัติในระบบ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สิทธิขอถอนความยินยอม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ถอนความยินยอมเมื่อใดก็ได้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จัดให้มีช่องทางถอนความยินยอมตาม ม.24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สิทธิขอเข้าถึงข้อมูล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ขอเข้าถึงและขอรับสำเนาข้อมูลส่วนบุคคล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จัดให้มี API/ช่องทางขอเข้าถึงข้อมูลตาม ม.30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สิทธิขอรับและโอนย้ายข้อมูล (Data Portability)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ขอรับข้อมูลในรูปแบบที่อ่านได้และโอนย้ายไปยังผู้ควบคุมอื่น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จัดรูปแบบข้อมูลที่เครื่องอ่านได้ (Machine Readable)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สิทธิคัดค้านการประมวลผล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คัดค้านการเก็บรวบรวม ใช้ หรือเปิดเผยข้อมูล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พิจารณาคัดค้านตาม ม.32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สิทธิขอให้ลบหรือทำลายข้อมูล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ขอลบ หรือทำให้ข้อมูลไม่สามารถระบุตัวบุคคลได้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จัดให้มีช่องทางลบข้อมูลตาม ม.33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สิทธิขอให้ระงับการใช้ข้อมูล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ขอระงับการใช้ข้อมูลชั่วคราว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ระงับการประมวลผลตาม ม.34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สิทธิขอให้แก้ไขข้อมูล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ขอแก้ไขข้อมูลให้ถูกต้องและเป็นปัจจุบัน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จัดให้มีช่องทางแก้ไขข้อมูลตาม ม.35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สิทธิร้องเรียน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ร้องเรียนต่อหน่วยงานที่กำกับดูแล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แจ้งช่องทางการร้องเรียนต่อ สคส. (PDPC)</w:t>
            </w:r>
          </w:p>
        </w:tc>
      </w:tr>
    </w:tbl>
    <w:bookmarkEnd w:id="21"/>
    <w:bookmarkStart w:id="22" w:name="มาตรการรกษาความมนคงปลอดภย"/>
    <w:p>
      <w:pPr>
        <w:pStyle w:val="Heading2"/>
      </w:pPr>
      <w:r>
        <w:t xml:space="preserve">9. มาตรการรักษาความมั่นคงปลอดภัย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การเข้ารหัสรหัสผ่าน</w:t>
      </w:r>
      <w:r>
        <w:t xml:space="preserve"> </w:t>
      </w:r>
      <w:r>
        <w:t xml:space="preserve">— รหัสผ่านถูกจัดเก็บเป็น bcrypt hash ไม่มีการจัดเก็บค่าเดิม (Plain Text)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การจัดการสิทธิ์การเข้าถึง (RBAC)</w:t>
      </w:r>
      <w:r>
        <w:t xml:space="preserve"> </w:t>
      </w:r>
      <w:r>
        <w:t xml:space="preserve">— ควบคุมการเข้าถึงข้อมูลตามบทบาทของผู้ใช้ โดยมีโมดูล Access Management คอยจัดการ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JWT และ Cookie</w:t>
      </w:r>
      <w:r>
        <w:t xml:space="preserve"> </w:t>
      </w:r>
      <w:r>
        <w:t xml:space="preserve">— Access Token และ Refresh Token ถูกตั้งค่าเป็น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เพื่อลดความเสี่ยงการโจมตี XSS และ CSRF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การตรวจสอบสิทธิ์ WebSocket</w:t>
      </w:r>
      <w:r>
        <w:t xml:space="preserve"> </w:t>
      </w:r>
      <w:r>
        <w:t xml:space="preserve">— การเชื่อมต่อ WebSocket ตรวจสอบผ่าน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และยืนยัน session ในตาราง</w:t>
      </w:r>
      <w:r>
        <w:t xml:space="preserve"> </w:t>
      </w:r>
      <w:r>
        <w:rPr>
          <w:rStyle w:val="VerbatimChar"/>
        </w:rPr>
        <w:t xml:space="preserve">ws_sessions</w:t>
      </w:r>
      <w:r>
        <w:t xml:space="preserve"> </w:t>
      </w:r>
      <w:r>
        <w:t xml:space="preserve">(token + expires_at) หากไม่ถูกต้องจะตอบ HTTP 401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การควบคุม API Key</w:t>
      </w:r>
      <w:r>
        <w:t xml:space="preserve"> </w:t>
      </w:r>
      <w:r>
        <w:t xml:space="preserve">— การสร้างและใช้งาน API Key ผ่าน</w:t>
      </w:r>
      <w:r>
        <w:t xml:space="preserve"> </w:t>
      </w:r>
      <w:r>
        <w:rPr>
          <w:rStyle w:val="VerbatimChar"/>
        </w:rPr>
        <w:t xml:space="preserve">/apimanager/key</w:t>
      </w:r>
      <w:r>
        <w:t xml:space="preserve"> </w:t>
      </w:r>
      <w:r>
        <w:t xml:space="preserve">ต้องมีการจัดการสิทธิ์และติดตามผู้ใช้งาน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Logging และตรวจสอบย้อนหลัง</w:t>
      </w:r>
      <w:r>
        <w:t xml:space="preserve"> </w:t>
      </w:r>
      <w:r>
        <w:t xml:space="preserve">— จัดเก็บ Log การเข้าถึงและการทำงาน (Elasticsearch) เพื่อการตรวจสอบย้อนหลังและตรวจจับเหตุผิดปกติ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การเข้ารหัสข้อมูลระหว่างทางและขณะจัดเก็บ</w:t>
      </w:r>
      <w:r>
        <w:t xml:space="preserve"> </w:t>
      </w:r>
      <w:r>
        <w:t xml:space="preserve">— ใช้ HTTPS/TLS สำหรับการสื่อสาร และเข้ารหัสข้อมูลที่จัดเก็บในฐานข้อมูลตามความเหมาะสม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การประเมินความเสี่ยง</w:t>
      </w:r>
      <w:r>
        <w:t xml:space="preserve"> </w:t>
      </w:r>
      <w:r>
        <w:t xml:space="preserve">— ดำเนินการประเมินความเสี่ยงด้านความมั่นคงปลอดภัยและความเป็นส่วนตัวเป็นระยะรวมทั้งเมื่อมีการเปลี่ยนแปลงที่สำคัญของระบบ</w:t>
      </w:r>
    </w:p>
    <w:bookmarkEnd w:id="22"/>
    <w:bookmarkStart w:id="23" w:name="การเกบรกษาและระยะเวลา"/>
    <w:p>
      <w:pPr>
        <w:pStyle w:val="Heading2"/>
      </w:pPr>
      <w:r>
        <w:t xml:space="preserve">10. การเก็บรักษาและระยะเวลา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หลักการ</w:t>
      </w:r>
      <w:r>
        <w:t xml:space="preserve"> </w:t>
      </w:r>
      <w:r>
        <w:t xml:space="preserve">— เก็บรักษาข้อมูลส่วนบุคคลเท่าที่จำเป็นตามวัตถุประสงค์ หรือตามระยะเวลาที่กฎหมายกำหนด แล้วจึงลบ/ทำลาย หรือทำให้ไม่สามารถระบุตัวบุคคลได้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Logging Management ใน IoT</w:t>
      </w:r>
      <w:r>
        <w:t xml:space="preserve"> </w:t>
      </w:r>
      <w:r>
        <w:t xml:space="preserve">— โมดูล IoT Logging Management เก็บข้อมูลเป็นค่าเฉลี่ยรายปี (Annual Averages) และมีกลไก</w:t>
      </w:r>
      <w:r>
        <w:t xml:space="preserve"> </w:t>
      </w:r>
      <w:r>
        <w:rPr>
          <w:b/>
          <w:bCs/>
        </w:rPr>
        <w:t xml:space="preserve">Auto Delete</w:t>
      </w:r>
      <w:r>
        <w:t xml:space="preserve"> </w:t>
      </w:r>
      <w:r>
        <w:t xml:space="preserve">สำหรับข้อมูลเก่าเพื่อควบคุมปริมาณการจัดเก็บ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Session และ Token</w:t>
      </w:r>
      <w:r>
        <w:t xml:space="preserve"> </w:t>
      </w:r>
      <w:r>
        <w:t xml:space="preserve">— ข้อมูล session ในตาราง</w:t>
      </w:r>
      <w:r>
        <w:t xml:space="preserve"> </w:t>
      </w:r>
      <w:r>
        <w:rPr>
          <w:rStyle w:val="VerbatimChar"/>
        </w:rPr>
        <w:t xml:space="preserve">ws_sessions</w:t>
      </w:r>
      <w:r>
        <w:t xml:space="preserve"> </w:t>
      </w:r>
      <w:r>
        <w:t xml:space="preserve">จะถูกจัดเก็บจนกว่าหมดอายุ (</w:t>
      </w:r>
      <w:r>
        <w:rPr>
          <w:rStyle w:val="VerbatimChar"/>
        </w:rPr>
        <w:t xml:space="preserve">expires_at</w:t>
      </w:r>
      <w:r>
        <w:t xml:space="preserve">) จากนั้นระบบจะไม่ยอมรับการใช้งานต่อ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ตารางกลาง (Central Schema)</w:t>
      </w:r>
      <w:r>
        <w:t xml:space="preserve"> </w:t>
      </w:r>
      <w:r>
        <w:t xml:space="preserve">— ตาราง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batch_job_logs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ws_sessions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ws_messages</w:t>
      </w:r>
      <w:r>
        <w:t xml:space="preserve"> </w:t>
      </w:r>
      <w:r>
        <w:t xml:space="preserve">มีนโยบายการเก็บรักษาและ cleanup ตามชนิดข้อมูล (Data Cleanup Worker)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ระยะเวลาตามกฎหมาย</w:t>
      </w:r>
      <w:r>
        <w:t xml:space="preserve"> </w:t>
      </w:r>
      <w:r>
        <w:t xml:space="preserve">— เอกสารและข้อมูลที่กฎหมายกำหนดให้เก็บ เช่น เอกสารทางบัญชี ภาษี หรือสัญญา ให้เก็บตามระยะเวลาที่กฎหมายกำหนด</w:t>
      </w:r>
    </w:p>
    <w:bookmarkEnd w:id="23"/>
    <w:bookmarkStart w:id="24" w:name="การแจงเหตละเมดขอมลสวนบคคล"/>
    <w:p>
      <w:pPr>
        <w:pStyle w:val="Heading2"/>
      </w:pPr>
      <w:r>
        <w:t xml:space="preserve">11. การแจ้งเหตุละเมิดข้อมูลส่วนบุคคล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การตรวจจับ</w:t>
      </w:r>
      <w:r>
        <w:t xml:space="preserve"> </w:t>
      </w:r>
      <w:r>
        <w:t xml:space="preserve">— ใช้ระบบ Logging และระบบแจ้งเตือน (Monitoring) เพื่อตรวจจับการเข้าถึงหรือการใช้งานโดยไม่ได้รับอนุญาต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การแจ้งต่อ สคส. (PDPC)</w:t>
      </w:r>
      <w:r>
        <w:t xml:space="preserve"> </w:t>
      </w:r>
      <w:r>
        <w:t xml:space="preserve">— ในกรณีที่มีเหตุละเมิดข้อมูลส่วนบุคคลและมีความเสี่ยงที่จะกระทบต่อสิทธิและเสรีภาพของบุคคล ต้องแจ้งต่อสำนักงานคณะกรรมการคุ้มครองข้อมูลส่วนบุคคลภายใน 72 ชั่วโมงนับแต่ทราบเหตุ ตามมาตรา 37(4)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การแจ้งเจ้าของข้อมูล</w:t>
      </w:r>
      <w:r>
        <w:t xml:space="preserve"> </w:t>
      </w:r>
      <w:r>
        <w:t xml:space="preserve">— แจ้งเหตุละเมิดและมาตรการแก้ไขให้เจ้าของข้อมูลทราบโดยไม่ชักช้า เมื่อมีความเสี่ยงสูงที่จะกระทบต่อสิทธิและเสรีภาพของบุคคล ตามมาตรา 37(5)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บันทึกรายละเอียด</w:t>
      </w:r>
      <w:r>
        <w:t xml:space="preserve"> </w:t>
      </w:r>
      <w:r>
        <w:t xml:space="preserve">— บันทึกรายละเอียดของเหตุละเมิด กฎหมายที่เกี่ยวข้อง มาตรการเยียวยา และแนวทางป้องกันการเกิดซ้ำ</w:t>
      </w:r>
    </w:p>
    <w:bookmarkEnd w:id="24"/>
    <w:bookmarkStart w:id="25" w:name="การเปดเผยและผประมวลผลขอมลภายนอก"/>
    <w:p>
      <w:pPr>
        <w:pStyle w:val="Heading2"/>
      </w:pPr>
      <w:r>
        <w:t xml:space="preserve">12. การเปิดเผยและผู้ประมวลผลข้อมูลภายนอก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การเปิดเผยข้อมูล</w:t>
      </w:r>
      <w:r>
        <w:t xml:space="preserve"> </w:t>
      </w:r>
      <w:r>
        <w:t xml:space="preserve">— ไม่เปิดเผยข้อมูลส่วนบุคคลแก่บุคคลภายนอก เว้นแต่ได้รับความยินยอม มีฐานทางกฎหมาย หรือตามคำสั่งของหน่วยงานที่มีอำนาจ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ผู้ประมวลผลข้อมูลภายนอก (Data Processor)</w:t>
      </w:r>
      <w:r>
        <w:t xml:space="preserve"> </w:t>
      </w:r>
      <w:r>
        <w:t xml:space="preserve">— กรณีจ้างบุคคลภายนอกประมวลผลข้อมูล เช่น บริการ Cloud, ผู้ให้บริการ AI/LLM, ผู้ให้บริการโครงสร้างพื้นฐาน ต้องมีสัญญาประมวลผลข้อมูล (DPA) ตามมาตรา 40 และควบคุมไม่ให้ประมวลผลนอกขอบเขตที่กำหนด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การโอนข้อมูลระหว่างประเทศ</w:t>
      </w:r>
      <w:r>
        <w:t xml:space="preserve"> </w:t>
      </w:r>
      <w:r>
        <w:t xml:space="preserve">— การโอนข้อมูลส่วนบุคคลไปยังต่างประเทศต้องเป็นไปตามมาตรา 28 โดยประเทศปลายทางต้องมีมาตรฐานการคุ้มครองข้อมูลที่เพียงพอหรือมีมาตรการคุ้มครองที่เหมาะสม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การกำกับผู้ให้บริการ</w:t>
      </w:r>
      <w:r>
        <w:t xml:space="preserve"> </w:t>
      </w:r>
      <w:r>
        <w:t xml:space="preserve">— ดูแลให้ผู้ให้บริการและผู้ประมวลผลภายนอกปฏิบัติตามนโยบายความเป็นส่วนตัวและกฎหมายที่เกี่ยวข้อง</w:t>
      </w:r>
    </w:p>
    <w:bookmarkEnd w:id="25"/>
    <w:bookmarkStart w:id="26" w:name="บทบาทและความรบผดชอบ"/>
    <w:p>
      <w:pPr>
        <w:pStyle w:val="Heading2"/>
      </w:pPr>
      <w:r>
        <w:t xml:space="preserve">13. บทบาทและความรับผิดชอบ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ความรับผิดชอบ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ผู้ควบคุมข้อมูลส่วนบุคคล (Data Controller)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ตัดสินใจเรื่องการเก็บรวบรวม ใช้ เปิดเผยข้อมูล และแจ้งวัตถุประสงค์/ฐานทางกฎหมาย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ผู้ประมวลผลข้อมูลส่วนบุคคล (Data Processor)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ดำเนินการกับข้อมูลตามคำสั่งและตามสัญญา DPA 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เจ้าหน้าที่คุ้มครองข้อมูลส่วนบุคคล (DPO)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กำกับดูแลการปฏิบัติตาม PDPA ตอบข้อร้องเรียน และประสานงานกับ สคส. (ถ้ามี)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ผู้ดูแลระบบ (System Administrator)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บริหารจัดการสิทธิ์การเข้าถึง RBAC และควบคุมการเข้าถึงข้อมูล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นักพัฒนา/ทีมปฏิบัติการ (Dev/Ops)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พัฒนาโดยคำนึงถึง Privacy by Design และรักษาความมั่นคงปลอดภัยของระบบ</w:t>
            </w:r>
          </w:p>
        </w:tc>
      </w:tr>
    </w:tbl>
    <w:bookmarkEnd w:id="26"/>
    <w:bookmarkStart w:id="27" w:name="การทบทวนและปรบปรงนโยบาย"/>
    <w:p>
      <w:pPr>
        <w:pStyle w:val="Heading2"/>
      </w:pPr>
      <w:r>
        <w:t xml:space="preserve">14. การทบทวนและปรับปรุงนโยบาย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การทบทวนเป็นระยะ</w:t>
      </w:r>
      <w:r>
        <w:t xml:space="preserve"> </w:t>
      </w:r>
      <w:r>
        <w:t xml:space="preserve">— ทบทวนนโยบายฉบับนี้อย่างน้อยปีละครั้ง หรือเมื่อมีการเปลี่ยนแปลงกฎหมาย โครงสร้างระบบ หรือแนวทางการประมวลผลข้อมูลอย่างมีนัยสำคัญ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การเผยแพร่</w:t>
      </w:r>
      <w:r>
        <w:t xml:space="preserve"> </w:t>
      </w:r>
      <w:r>
        <w:t xml:space="preserve">— เผยแพร่เอกสารฉบับนี้ให้ผู้ที่เกี่ยวข้องและเจ้าของข้อมูลสามารถเข้าถึงได้ง่าย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การบันทึกเวอร์ชัน</w:t>
      </w:r>
      <w:r>
        <w:t xml:space="preserve"> </w:t>
      </w:r>
      <w:r>
        <w:t xml:space="preserve">— จัดเก็บประวัติการแก้ไขเอกสารเพื่อการตรวจสอบย้อนหลัง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การขอความเห็นทางกฎหมาย</w:t>
      </w:r>
      <w:r>
        <w:t xml:space="preserve"> </w:t>
      </w:r>
      <w:r>
        <w:t xml:space="preserve">— ในกรณีที่มีข้อสงสัยเกี่ยวกับการตีความกฎหมายหรือแนวปฏิบัติ ควรปรึกษาผู้เชี่ยวชาญด้านกฎหมายคุ้มครองข้อมูลส่วนบุคคล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เอกสารฉบับนี้เป็นส่วนหนึ่งของชุดเอกสารโมดูลของระบบ — ดูโมดูลอื่น ๆ ได้ที่โฟลเดอร์ docs/modules/</w:t>
      </w:r>
    </w:p>
    <w:p>
      <w:r>
        <w:pict>
          <v:rect style="width:0;height:1.5pt" o:hralign="center" o:hrstd="t" o:hr="t"/>
        </w:pict>
      </w:r>
    </w:p>
    <w:bookmarkEnd w:id="27"/>
    <w:bookmarkStart w:id="37" w:name="data-flow"/>
    <w:p>
      <w:pPr>
        <w:pStyle w:val="Heading2"/>
      </w:pPr>
      <w:r>
        <w:t xml:space="preserve">15. Data Flow</w:t>
      </w:r>
    </w:p>
    <w:p>
      <w:pPr>
        <w:pStyle w:val="FirstParagraph"/>
      </w:pPr>
      <w:r>
        <w:t xml:space="preserve">ข้อมูลส่วนบุคคลที่ระบบจัดเก็บและประมวลผลจะไหลผ่านระบบตามเส้นทางหลักดังต่อไปนี้ โดยระบบจะดำเนินการตามหลักการ Privacy by Design และ Privacy by Default ตามที่กำหนดในข้อ 6.1 ด้วยการเก็บรวบรวมข้อมูลเท่าที่จำเป็นเท่านั้น</w:t>
      </w:r>
    </w:p>
    <w:bookmarkStart w:id="32" w:name="การเกบรวบรวมขอมล-collection"/>
    <w:p>
      <w:pPr>
        <w:pStyle w:val="Heading3"/>
      </w:pPr>
      <w:r>
        <w:t xml:space="preserve">15.1 การเก็บรวบรวมข้อมูล (Collection)</w:t>
      </w:r>
    </w:p>
    <w:p>
      <w:pPr>
        <w:pStyle w:val="Compact"/>
        <w:numPr>
          <w:ilvl w:val="0"/>
          <w:numId w:val="1013"/>
        </w:numPr>
      </w:pPr>
      <w:r>
        <w:t xml:space="preserve">ข้อมูลจากผู้ใช้ (User) ถูกส่งผ่าน REST API หรือหน้าเว็บ ตรวจสอบสิทธิ์ด้วย JWT หรือ Cookie ที่ตั้งค่า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SameSite=Lax</w:t>
      </w:r>
    </w:p>
    <w:p>
      <w:pPr>
        <w:pStyle w:val="Compact"/>
        <w:numPr>
          <w:ilvl w:val="0"/>
          <w:numId w:val="1013"/>
        </w:numPr>
      </w:pPr>
      <w:r>
        <w:t xml:space="preserve">ข้อมูลจากอุปกรณ์ IoT ถูกส่งผ่าน</w:t>
      </w:r>
      <w:r>
        <w:t xml:space="preserve"> </w:t>
      </w:r>
      <w:hyperlink r:id="rId28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หรือ HTTP เข้าสู่</w:t>
      </w:r>
      <w:r>
        <w:t xml:space="preserve"> </w:t>
      </w:r>
      <w:hyperlink r:id="rId29">
        <w:r>
          <w:rPr>
            <w:rStyle w:val="Hyperlink"/>
          </w:rPr>
          <w:t xml:space="preserve">Flow Engine</w:t>
        </w:r>
      </w:hyperlink>
      <w:r>
        <w:t xml:space="preserve"> </w:t>
      </w:r>
      <w:r>
        <w:t xml:space="preserve">ซึ่งทำงานแบบ Goroutines และ Channels ก่อนส่งต่อไปยัง</w:t>
      </w:r>
      <w:r>
        <w:t xml:space="preserve"> </w:t>
      </w:r>
      <w:hyperlink r:id="rId30">
        <w:r>
          <w:rPr>
            <w:rStyle w:val="Hyperlink"/>
          </w:rPr>
          <w:t xml:space="preserve">Kafka</w:t>
        </w:r>
      </w:hyperlink>
    </w:p>
    <w:p>
      <w:pPr>
        <w:pStyle w:val="Compact"/>
        <w:numPr>
          <w:ilvl w:val="0"/>
          <w:numId w:val="1013"/>
        </w:numPr>
      </w:pPr>
      <w:r>
        <w:t xml:space="preserve">ข้อมูลที่ส่งแบบเรียลไทม์ผ่าน</w:t>
      </w:r>
      <w:r>
        <w:t xml:space="preserve"> </w:t>
      </w:r>
      <w:hyperlink r:id="rId31">
        <w:r>
          <w:rPr>
            <w:rStyle w:val="Hyperlink"/>
          </w:rPr>
          <w:t xml:space="preserve">WebSocket</w:t>
        </w:r>
      </w:hyperlink>
      <w:r>
        <w:t xml:space="preserve"> </w:t>
      </w:r>
      <w:r>
        <w:t xml:space="preserve">จะต้องผ่านการตรวจสอบสิทธิ์ด้วย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และตรวจสอบกับตาราง</w:t>
      </w:r>
      <w:r>
        <w:t xml:space="preserve"> </w:t>
      </w:r>
      <w:r>
        <w:rPr>
          <w:rStyle w:val="VerbatimChar"/>
        </w:rPr>
        <w:t xml:space="preserve">ws_sessions</w:t>
      </w:r>
      <w:r>
        <w:t xml:space="preserve"> </w:t>
      </w:r>
      <w:r>
        <w:t xml:space="preserve">หากไม่ถูกต้องระบบจะตอบ HTTP 401</w:t>
      </w:r>
    </w:p>
    <w:bookmarkEnd w:id="32"/>
    <w:bookmarkStart w:id="33" w:name="การประมวลผลขอมล-processing"/>
    <w:p>
      <w:pPr>
        <w:pStyle w:val="Heading3"/>
      </w:pPr>
      <w:r>
        <w:t xml:space="preserve">15.2 การประมวลผลข้อมูล (Processing)</w:t>
      </w:r>
    </w:p>
    <w:p>
      <w:pPr>
        <w:pStyle w:val="Compact"/>
        <w:numPr>
          <w:ilvl w:val="0"/>
          <w:numId w:val="1014"/>
        </w:numPr>
      </w:pPr>
      <w:r>
        <w:t xml:space="preserve">Flow Engine ส่งข้อมูลไปยัง Kafka เพื่อให้ Workers แบ่งงานกันประมวลผล ได้แก่ InfluxDB Batch Writer, Elasticsearch Bulk Indexer, WebSocket Broadcaster และ LLM/Embedding Consumer</w:t>
      </w:r>
    </w:p>
    <w:p>
      <w:pPr>
        <w:pStyle w:val="Compact"/>
        <w:numPr>
          <w:ilvl w:val="0"/>
          <w:numId w:val="1014"/>
        </w:numPr>
      </w:pPr>
      <w:r>
        <w:t xml:space="preserve">ข้อมูลที่ใช้กับระบบ AI/LLM จะถูกประมวลผลผ่าน Semantic Search / RAG โดยระบบจะส่งเฉพาะข้อมูลที่จำเป็นเท่านั้น และไม่อนุญาตให้ใช้ข้อมูลส่วนบุคคลของบุคคลหนึ่งเพื่อให้บริการหรือตอบคำถามของบุคคลอื่น</w:t>
      </w:r>
    </w:p>
    <w:bookmarkEnd w:id="33"/>
    <w:bookmarkStart w:id="34" w:name="การเปดเผยขอมล-disclosure"/>
    <w:p>
      <w:pPr>
        <w:pStyle w:val="Heading3"/>
      </w:pPr>
      <w:r>
        <w:t xml:space="preserve">15.3 การเปิดเผยข้อมูล (Disclosure)</w:t>
      </w:r>
    </w:p>
    <w:p>
      <w:pPr>
        <w:pStyle w:val="Compact"/>
        <w:numPr>
          <w:ilvl w:val="0"/>
          <w:numId w:val="1015"/>
        </w:numPr>
      </w:pPr>
      <w:r>
        <w:t xml:space="preserve">ระบบจะไม่เปิดเผยข้อมูลส่วนบุคคล เว้นแต่ได้รับความยินยอมจากเจ้าของข้อมูล มีฐานทางกฎหมายอื่น หรือได้รับคำสั่งจากหน่วยงานที่มีอำนาจตามกฎหมาย</w:t>
      </w:r>
    </w:p>
    <w:p>
      <w:pPr>
        <w:pStyle w:val="Compact"/>
        <w:numPr>
          <w:ilvl w:val="0"/>
          <w:numId w:val="1015"/>
        </w:numPr>
      </w:pPr>
      <w:r>
        <w:t xml:space="preserve">หากต้องส่งข้อมูลให้ผู้ประมวลผลข้อมูลภายนอก ระบบจะจัดทำสัญญาประมวลผลข้อมูลส่วนบุคคล (DPA) ตามมาตรา 40 และปฏิบัติตามข้อกำหนดด้านการโอนข้อมูลระหว่างประเทศตามมาตรา 28</w:t>
      </w:r>
    </w:p>
    <w:bookmarkEnd w:id="34"/>
    <w:bookmarkStart w:id="35" w:name="การจดเกบขอมล-storage"/>
    <w:p>
      <w:pPr>
        <w:pStyle w:val="Heading3"/>
      </w:pPr>
      <w:r>
        <w:t xml:space="preserve">15.4 การจัดเก็บข้อมูล (Storage)</w:t>
      </w:r>
    </w:p>
    <w:p>
      <w:pPr>
        <w:pStyle w:val="Compact"/>
        <w:numPr>
          <w:ilvl w:val="0"/>
          <w:numId w:val="1016"/>
        </w:numPr>
      </w:pPr>
      <w:r>
        <w:t xml:space="preserve">ข้อมูลทั้งหมดถูกจัดเก็บในระบบฐานข้อมูลและระบบจัดเก็บข้อมูลของระบบ โดยมีมาตรการรักษาความปลอดภัยตามที่กำหนดในข้อ 9 และข้อ 10 เช่น การเข้ารหัสรหัสผ่านด้วย bcrypt และการควบคุมการเข้าถึงแบบ RBAC ผ่าน Access Management</w:t>
      </w:r>
    </w:p>
    <w:p>
      <w:pPr>
        <w:pStyle w:val="Compact"/>
        <w:numPr>
          <w:ilvl w:val="0"/>
          <w:numId w:val="1016"/>
        </w:numPr>
      </w:pPr>
      <w:r>
        <w:t xml:space="preserve">บันทึกการใช้งานระบบ (Logging) จัดเก็บใน Elasticsearch โดยมีระยะเวลาการจัดเก็บตามที่ระบุในบัญชีข้อมูลส่วนบุคคล (ข้อ 5)</w:t>
      </w:r>
    </w:p>
    <w:bookmarkEnd w:id="35"/>
    <w:bookmarkStart w:id="36" w:name="X029888b3f4e164d15135178fe7c52fdf45f3d4f"/>
    <w:p>
      <w:pPr>
        <w:pStyle w:val="Heading3"/>
      </w:pPr>
      <w:r>
        <w:t xml:space="preserve">15.5 การลบข้อมูลและระยะเวลาจัดเก็บ (Deletion &amp; Retention)</w:t>
      </w:r>
    </w:p>
    <w:p>
      <w:pPr>
        <w:pStyle w:val="Compact"/>
        <w:numPr>
          <w:ilvl w:val="0"/>
          <w:numId w:val="1017"/>
        </w:numPr>
      </w:pPr>
      <w:r>
        <w:t xml:space="preserve">ระบบมี Data Cleanup Worker และเส้นทาง Auto Delete สำหรับการลบข้อมูลตามรอบระยะเวลาที่กำหนด เช่น</w:t>
      </w:r>
    </w:p>
    <w:p>
      <w:pPr>
        <w:pStyle w:val="Compact"/>
        <w:numPr>
          <w:ilvl w:val="1"/>
          <w:numId w:val="1018"/>
        </w:numPr>
      </w:pPr>
      <w:r>
        <w:t xml:space="preserve">IoT Logging Management ระบบจะเก็บเฉพาะค่าเฉลี่ยรายปีเท่านั้น</w:t>
      </w:r>
    </w:p>
    <w:p>
      <w:pPr>
        <w:pStyle w:val="Compact"/>
        <w:numPr>
          <w:ilvl w:val="1"/>
          <w:numId w:val="1018"/>
        </w:numPr>
      </w:pPr>
      <w:r>
        <w:t xml:space="preserve">Session ต่าง ๆ จะถูกเก็บไว้จนกว่าจะถึงค่า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แล้วจึงถูกลบ</w:t>
      </w:r>
    </w:p>
    <w:p>
      <w:pPr>
        <w:pStyle w:val="Compact"/>
        <w:numPr>
          <w:ilvl w:val="1"/>
          <w:numId w:val="1018"/>
        </w:numPr>
      </w:pPr>
      <w:r>
        <w:t xml:space="preserve">ระบบจะทำการ cleanup ตาราง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batch_job_logs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ws_sessions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ws_messages</w:t>
      </w:r>
      <w:r>
        <w:t xml:space="preserve"> </w:t>
      </w:r>
      <w:r>
        <w:t xml:space="preserve">ตามรอบเวลาที่กำหนดไว้</w:t>
      </w:r>
    </w:p>
    <w:p>
      <w:pPr>
        <w:pStyle w:val="Compact"/>
        <w:numPr>
          <w:ilvl w:val="0"/>
          <w:numId w:val="1017"/>
        </w:numPr>
      </w:pPr>
      <w:r>
        <w:t xml:space="preserve">เมื่อครบกำหนดระยะเวลาจัดเก็บ ระบบจะลบหรือทำให้ข้อมูลไม่สามารถระบุตัวตนได้ (De-identification / Anonymisation) ตามที่กำหนดในข้อ 7.2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modules/IoT_Flow_Module.md#513-mqtt-adapter" TargetMode="External" /><Relationship Type="http://schemas.openxmlformats.org/officeDocument/2006/relationships/hyperlink" Id="rId30" Target="modules/IoT_Flow_Module.md#53-kafka-integration" TargetMode="External" /><Relationship Type="http://schemas.openxmlformats.org/officeDocument/2006/relationships/hyperlink" Id="rId29" Target="modules/IoT_Flow_Module.md#58-flow-runtime-engine" TargetMode="External" /><Relationship Type="http://schemas.openxmlformats.org/officeDocument/2006/relationships/hyperlink" Id="rId31" Target="modules/IoT_Flow_Module.md#63-socketio-hand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odules/IoT_Flow_Module.md#513-mqtt-adapter" TargetMode="External" /><Relationship Type="http://schemas.openxmlformats.org/officeDocument/2006/relationships/hyperlink" Id="rId30" Target="modules/IoT_Flow_Module.md#53-kafka-integration" TargetMode="External" /><Relationship Type="http://schemas.openxmlformats.org/officeDocument/2006/relationships/hyperlink" Id="rId29" Target="modules/IoT_Flow_Module.md#58-flow-runtime-engine" TargetMode="External" /><Relationship Type="http://schemas.openxmlformats.org/officeDocument/2006/relationships/hyperlink" Id="rId31" Target="modules/IoT_Flow_Module.md#63-socketio-hand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2026-09-09T02:20:25Z</dcterms:created>
  <dcterms:modified xsi:type="dcterms:W3CDTF">2026-09-09T02:20:25Z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