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penguins-eda-report"/>
    <w:p>
      <w:pPr>
        <w:pStyle w:val="Heading1"/>
      </w:pPr>
      <w:r>
        <w:t xml:space="preserve">Penguins EDA Report</w:t>
      </w:r>
    </w:p>
    <w:bookmarkStart w:id="22" w:name="dataset-overview"/>
    <w:p>
      <w:pPr>
        <w:pStyle w:val="Heading2"/>
      </w:pPr>
      <w:r>
        <w:t xml:space="preserve">Dataset Overview</w:t>
      </w:r>
    </w:p>
    <w:p>
      <w:pPr>
        <w:numPr>
          <w:ilvl w:val="0"/>
          <w:numId w:val="1001"/>
        </w:numPr>
        <w:pStyle w:val="Compact"/>
      </w:pPr>
      <w:r>
        <w:t xml:space="preserve">Shape: (344, 7)</w:t>
      </w:r>
    </w:p>
    <w:bookmarkStart w:id="20" w:name="head"/>
    <w:p>
      <w:pPr>
        <w:pStyle w:val="Heading3"/>
      </w:pPr>
      <w:r>
        <w:t xml:space="preserve">Head</w:t>
      </w:r>
    </w:p>
    <w:tbl>
      <w:tblPr>
        <w:tblStyle w:val="Table"/>
        <w:tblW w:type="pct" w:w="5000"/>
        <w:tblLook w:firstRow="1" w:lastRow="0" w:firstColumn="0" w:lastColumn="0" w:noHBand="0" w:noVBand="0" w:val="0020"/>
        <w:jc w:val="start"/>
      </w:tblPr>
      <w:tblGrid>
        <w:gridCol w:w="301"/>
        <w:gridCol w:w="829"/>
        <w:gridCol w:w="829"/>
        <w:gridCol w:w="1357"/>
        <w:gridCol w:w="1282"/>
        <w:gridCol w:w="1584"/>
        <w:gridCol w:w="1131"/>
        <w:gridCol w:w="603"/>
      </w:tblGrid>
      <w:tr>
        <w:trPr>
          <w:tblHeader w:val="true"/>
        </w:trPr>
        <w:tc>
          <w:tcPr/>
          <w:p>
            <w:pPr>
              <w:pStyle w:val="Compact"/>
            </w:pPr>
          </w:p>
        </w:tc>
        <w:tc>
          <w:tcPr/>
          <w:p>
            <w:pPr>
              <w:pStyle w:val="Compact"/>
              <w:jc w:val="left"/>
            </w:pPr>
            <w:r>
              <w:t xml:space="preserve">species</w:t>
            </w:r>
          </w:p>
        </w:tc>
        <w:tc>
          <w:tcPr/>
          <w:p>
            <w:pPr>
              <w:pStyle w:val="Compact"/>
              <w:jc w:val="left"/>
            </w:pPr>
            <w:r>
              <w:t xml:space="preserve">island</w:t>
            </w:r>
          </w:p>
        </w:tc>
        <w:tc>
          <w:tcPr/>
          <w:p>
            <w:pPr>
              <w:pStyle w:val="Compact"/>
              <w:jc w:val="right"/>
            </w:pPr>
            <w:r>
              <w:t xml:space="preserve">bill_length_mm</w:t>
            </w:r>
          </w:p>
        </w:tc>
        <w:tc>
          <w:tcPr/>
          <w:p>
            <w:pPr>
              <w:pStyle w:val="Compact"/>
              <w:jc w:val="right"/>
            </w:pPr>
            <w:r>
              <w:t xml:space="preserve">bill_depth_mm</w:t>
            </w:r>
          </w:p>
        </w:tc>
        <w:tc>
          <w:tcPr/>
          <w:p>
            <w:pPr>
              <w:pStyle w:val="Compact"/>
              <w:jc w:val="right"/>
            </w:pPr>
            <w:r>
              <w:t xml:space="preserve">flipper_length_mm</w:t>
            </w:r>
          </w:p>
        </w:tc>
        <w:tc>
          <w:tcPr/>
          <w:p>
            <w:pPr>
              <w:pStyle w:val="Compact"/>
              <w:jc w:val="right"/>
            </w:pPr>
            <w:r>
              <w:t xml:space="preserve">body_mass_g</w:t>
            </w:r>
          </w:p>
        </w:tc>
        <w:tc>
          <w:tcPr/>
          <w:p>
            <w:pPr>
              <w:pStyle w:val="Compact"/>
              <w:jc w:val="left"/>
            </w:pPr>
            <w:r>
              <w:t xml:space="preserve">sex</w:t>
            </w:r>
          </w:p>
        </w:tc>
      </w:tr>
      <w:tr>
        <w:tc>
          <w:tcPr/>
          <w:p>
            <w:pPr>
              <w:pStyle w:val="Compact"/>
              <w:jc w:val="right"/>
            </w:pPr>
            <w:r>
              <w:t xml:space="preserve">0</w:t>
            </w:r>
          </w:p>
        </w:tc>
        <w:tc>
          <w:tcPr/>
          <w:p>
            <w:pPr>
              <w:pStyle w:val="Compact"/>
              <w:jc w:val="left"/>
            </w:pPr>
            <w:r>
              <w:t xml:space="preserve">Adelie</w:t>
            </w:r>
          </w:p>
        </w:tc>
        <w:tc>
          <w:tcPr/>
          <w:p>
            <w:pPr>
              <w:pStyle w:val="Compact"/>
              <w:jc w:val="left"/>
            </w:pPr>
            <w:r>
              <w:t xml:space="preserve">Torgersen</w:t>
            </w:r>
          </w:p>
        </w:tc>
        <w:tc>
          <w:tcPr/>
          <w:p>
            <w:pPr>
              <w:pStyle w:val="Compact"/>
              <w:jc w:val="right"/>
            </w:pPr>
            <w:r>
              <w:t xml:space="preserve">39.1</w:t>
            </w:r>
          </w:p>
        </w:tc>
        <w:tc>
          <w:tcPr/>
          <w:p>
            <w:pPr>
              <w:pStyle w:val="Compact"/>
              <w:jc w:val="right"/>
            </w:pPr>
            <w:r>
              <w:t xml:space="preserve">18.7</w:t>
            </w:r>
          </w:p>
        </w:tc>
        <w:tc>
          <w:tcPr/>
          <w:p>
            <w:pPr>
              <w:pStyle w:val="Compact"/>
              <w:jc w:val="right"/>
            </w:pPr>
            <w:r>
              <w:t xml:space="preserve">181</w:t>
            </w:r>
          </w:p>
        </w:tc>
        <w:tc>
          <w:tcPr/>
          <w:p>
            <w:pPr>
              <w:pStyle w:val="Compact"/>
              <w:jc w:val="right"/>
            </w:pPr>
            <w:r>
              <w:t xml:space="preserve">3750</w:t>
            </w:r>
          </w:p>
        </w:tc>
        <w:tc>
          <w:tcPr/>
          <w:p>
            <w:pPr>
              <w:pStyle w:val="Compact"/>
              <w:jc w:val="left"/>
            </w:pPr>
            <w:r>
              <w:t xml:space="preserve">Male</w:t>
            </w:r>
          </w:p>
        </w:tc>
      </w:tr>
      <w:tr>
        <w:tc>
          <w:tcPr/>
          <w:p>
            <w:pPr>
              <w:pStyle w:val="Compact"/>
              <w:jc w:val="right"/>
            </w:pPr>
            <w:r>
              <w:t xml:space="preserve">1</w:t>
            </w:r>
          </w:p>
        </w:tc>
        <w:tc>
          <w:tcPr/>
          <w:p>
            <w:pPr>
              <w:pStyle w:val="Compact"/>
              <w:jc w:val="left"/>
            </w:pPr>
            <w:r>
              <w:t xml:space="preserve">Adelie</w:t>
            </w:r>
          </w:p>
        </w:tc>
        <w:tc>
          <w:tcPr/>
          <w:p>
            <w:pPr>
              <w:pStyle w:val="Compact"/>
              <w:jc w:val="left"/>
            </w:pPr>
            <w:r>
              <w:t xml:space="preserve">Torgersen</w:t>
            </w:r>
          </w:p>
        </w:tc>
        <w:tc>
          <w:tcPr/>
          <w:p>
            <w:pPr>
              <w:pStyle w:val="Compact"/>
              <w:jc w:val="right"/>
            </w:pPr>
            <w:r>
              <w:t xml:space="preserve">39.5</w:t>
            </w:r>
          </w:p>
        </w:tc>
        <w:tc>
          <w:tcPr/>
          <w:p>
            <w:pPr>
              <w:pStyle w:val="Compact"/>
              <w:jc w:val="right"/>
            </w:pPr>
            <w:r>
              <w:t xml:space="preserve">17.4</w:t>
            </w:r>
          </w:p>
        </w:tc>
        <w:tc>
          <w:tcPr/>
          <w:p>
            <w:pPr>
              <w:pStyle w:val="Compact"/>
              <w:jc w:val="right"/>
            </w:pPr>
            <w:r>
              <w:t xml:space="preserve">186</w:t>
            </w:r>
          </w:p>
        </w:tc>
        <w:tc>
          <w:tcPr/>
          <w:p>
            <w:pPr>
              <w:pStyle w:val="Compact"/>
              <w:jc w:val="right"/>
            </w:pPr>
            <w:r>
              <w:t xml:space="preserve">3800</w:t>
            </w:r>
          </w:p>
        </w:tc>
        <w:tc>
          <w:tcPr/>
          <w:p>
            <w:pPr>
              <w:pStyle w:val="Compact"/>
              <w:jc w:val="left"/>
            </w:pPr>
            <w:r>
              <w:t xml:space="preserve">Female</w:t>
            </w:r>
          </w:p>
        </w:tc>
      </w:tr>
      <w:tr>
        <w:tc>
          <w:tcPr/>
          <w:p>
            <w:pPr>
              <w:pStyle w:val="Compact"/>
              <w:jc w:val="right"/>
            </w:pPr>
            <w:r>
              <w:t xml:space="preserve">2</w:t>
            </w:r>
          </w:p>
        </w:tc>
        <w:tc>
          <w:tcPr/>
          <w:p>
            <w:pPr>
              <w:pStyle w:val="Compact"/>
              <w:jc w:val="left"/>
            </w:pPr>
            <w:r>
              <w:t xml:space="preserve">Adelie</w:t>
            </w:r>
          </w:p>
        </w:tc>
        <w:tc>
          <w:tcPr/>
          <w:p>
            <w:pPr>
              <w:pStyle w:val="Compact"/>
              <w:jc w:val="left"/>
            </w:pPr>
            <w:r>
              <w:t xml:space="preserve">Torgersen</w:t>
            </w:r>
          </w:p>
        </w:tc>
        <w:tc>
          <w:tcPr/>
          <w:p>
            <w:pPr>
              <w:pStyle w:val="Compact"/>
              <w:jc w:val="right"/>
            </w:pPr>
            <w:r>
              <w:t xml:space="preserve">40.3</w:t>
            </w:r>
          </w:p>
        </w:tc>
        <w:tc>
          <w:tcPr/>
          <w:p>
            <w:pPr>
              <w:pStyle w:val="Compact"/>
              <w:jc w:val="right"/>
            </w:pPr>
            <w:r>
              <w:t xml:space="preserve">18</w:t>
            </w:r>
          </w:p>
        </w:tc>
        <w:tc>
          <w:tcPr/>
          <w:p>
            <w:pPr>
              <w:pStyle w:val="Compact"/>
              <w:jc w:val="right"/>
            </w:pPr>
            <w:r>
              <w:t xml:space="preserve">195</w:t>
            </w:r>
          </w:p>
        </w:tc>
        <w:tc>
          <w:tcPr/>
          <w:p>
            <w:pPr>
              <w:pStyle w:val="Compact"/>
              <w:jc w:val="right"/>
            </w:pPr>
            <w:r>
              <w:t xml:space="preserve">3250</w:t>
            </w:r>
          </w:p>
        </w:tc>
        <w:tc>
          <w:tcPr/>
          <w:p>
            <w:pPr>
              <w:pStyle w:val="Compact"/>
              <w:jc w:val="left"/>
            </w:pPr>
            <w:r>
              <w:t xml:space="preserve">Female</w:t>
            </w:r>
          </w:p>
        </w:tc>
      </w:tr>
      <w:tr>
        <w:tc>
          <w:tcPr/>
          <w:p>
            <w:pPr>
              <w:pStyle w:val="Compact"/>
              <w:jc w:val="right"/>
            </w:pPr>
            <w:r>
              <w:t xml:space="preserve">3</w:t>
            </w:r>
          </w:p>
        </w:tc>
        <w:tc>
          <w:tcPr/>
          <w:p>
            <w:pPr>
              <w:pStyle w:val="Compact"/>
              <w:jc w:val="left"/>
            </w:pPr>
            <w:r>
              <w:t xml:space="preserve">Adelie</w:t>
            </w:r>
          </w:p>
        </w:tc>
        <w:tc>
          <w:tcPr/>
          <w:p>
            <w:pPr>
              <w:pStyle w:val="Compact"/>
              <w:jc w:val="left"/>
            </w:pPr>
            <w:r>
              <w:t xml:space="preserve">Torgersen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r>
      <w:tr>
        <w:tc>
          <w:tcPr/>
          <w:p>
            <w:pPr>
              <w:pStyle w:val="Compact"/>
              <w:jc w:val="right"/>
            </w:pPr>
            <w:r>
              <w:t xml:space="preserve">4</w:t>
            </w:r>
          </w:p>
        </w:tc>
        <w:tc>
          <w:tcPr/>
          <w:p>
            <w:pPr>
              <w:pStyle w:val="Compact"/>
              <w:jc w:val="left"/>
            </w:pPr>
            <w:r>
              <w:t xml:space="preserve">Adelie</w:t>
            </w:r>
          </w:p>
        </w:tc>
        <w:tc>
          <w:tcPr/>
          <w:p>
            <w:pPr>
              <w:pStyle w:val="Compact"/>
              <w:jc w:val="left"/>
            </w:pPr>
            <w:r>
              <w:t xml:space="preserve">Torgersen</w:t>
            </w:r>
          </w:p>
        </w:tc>
        <w:tc>
          <w:tcPr/>
          <w:p>
            <w:pPr>
              <w:pStyle w:val="Compact"/>
              <w:jc w:val="right"/>
            </w:pPr>
            <w:r>
              <w:t xml:space="preserve">36.7</w:t>
            </w:r>
          </w:p>
        </w:tc>
        <w:tc>
          <w:tcPr/>
          <w:p>
            <w:pPr>
              <w:pStyle w:val="Compact"/>
              <w:jc w:val="right"/>
            </w:pPr>
            <w:r>
              <w:t xml:space="preserve">19.3</w:t>
            </w:r>
          </w:p>
        </w:tc>
        <w:tc>
          <w:tcPr/>
          <w:p>
            <w:pPr>
              <w:pStyle w:val="Compact"/>
              <w:jc w:val="right"/>
            </w:pPr>
            <w:r>
              <w:t xml:space="preserve">193</w:t>
            </w:r>
          </w:p>
        </w:tc>
        <w:tc>
          <w:tcPr/>
          <w:p>
            <w:pPr>
              <w:pStyle w:val="Compact"/>
              <w:jc w:val="right"/>
            </w:pPr>
            <w:r>
              <w:t xml:space="preserve">3450</w:t>
            </w:r>
          </w:p>
        </w:tc>
        <w:tc>
          <w:tcPr/>
          <w:p>
            <w:pPr>
              <w:pStyle w:val="Compact"/>
              <w:jc w:val="left"/>
            </w:pPr>
            <w:r>
              <w:t xml:space="preserve">Female</w:t>
            </w:r>
          </w:p>
        </w:tc>
      </w:tr>
    </w:tbl>
    <w:bookmarkEnd w:id="20"/>
    <w:bookmarkStart w:id="21" w:name="info"/>
    <w:p>
      <w:pPr>
        <w:pStyle w:val="Heading3"/>
      </w:pPr>
      <w:r>
        <w:t xml:space="preserve">Info</w:t>
      </w:r>
    </w:p>
    <w:p>
      <w:pPr>
        <w:pStyle w:val="FirstParagraph"/>
      </w:pPr>
      <w:r>
        <w:t xml:space="preserve">```&lt;class</w:t>
      </w:r>
      <w:r>
        <w:t xml:space="preserve"> </w:t>
      </w:r>
      <w:r>
        <w:t xml:space="preserve">‘</w:t>
      </w:r>
      <w:r>
        <w:t xml:space="preserve">pandas.core.frame.DataFrame</w:t>
      </w:r>
      <w:r>
        <w:t xml:space="preserve">’</w:t>
      </w:r>
      <w:r>
        <w:t xml:space="preserve">&gt;</w:t>
      </w:r>
      <w:r>
        <w:t xml:space="preserve"> </w:t>
      </w:r>
      <w:r>
        <w:t xml:space="preserve">RangeIndex: 344 entries, 0 to 343</w:t>
      </w:r>
      <w:r>
        <w:t xml:space="preserve"> </w:t>
      </w:r>
      <w:r>
        <w:t xml:space="preserve">Data columns (total 7 columns):</w:t>
      </w:r>
      <w:r>
        <w:t xml:space="preserve"> </w:t>
      </w:r>
      <w:r>
        <w:t xml:space="preserve"># Column Dtype</w:t>
      </w:r>
      <w:r>
        <w:br/>
      </w:r>
      <w:r>
        <w:t xml:space="preserve">— —— —–</w:t>
      </w:r>
      <w:r>
        <w:br/>
      </w:r>
      <w:r>
        <w:t xml:space="preserve">0 species object</w:t>
      </w:r>
      <w:r>
        <w:t xml:space="preserve"> </w:t>
      </w:r>
      <w:r>
        <w:t xml:space="preserve">1 island object</w:t>
      </w:r>
      <w:r>
        <w:t xml:space="preserve"> </w:t>
      </w:r>
      <w:r>
        <w:t xml:space="preserve">2 bill_length_mm float64</w:t>
      </w:r>
      <w:r>
        <w:t xml:space="preserve"> </w:t>
      </w:r>
      <w:r>
        <w:t xml:space="preserve">3 bill_depth_mm float64</w:t>
      </w:r>
      <w:r>
        <w:t xml:space="preserve"> </w:t>
      </w:r>
      <w:r>
        <w:t xml:space="preserve">4 flipper_length_mm float64</w:t>
      </w:r>
      <w:r>
        <w:t xml:space="preserve"> </w:t>
      </w:r>
      <w:r>
        <w:t xml:space="preserve">5 body_mass_g float64</w:t>
      </w:r>
      <w:r>
        <w:t xml:space="preserve"> </w:t>
      </w:r>
      <w:r>
        <w:t xml:space="preserve">6 sex object</w:t>
      </w:r>
      <w:r>
        <w:t xml:space="preserve"> </w:t>
      </w:r>
      <w:r>
        <w:t xml:space="preserve">dtypes: float64(4), object(3)</w:t>
      </w:r>
      <w:r>
        <w:t xml:space="preserve"> </w:t>
      </w:r>
      <w:r>
        <w:t xml:space="preserve">memory usage: 18.9+ KB</w:t>
      </w:r>
    </w:p>
    <w:p>
      <w:pPr>
        <w:pStyle w:val="BodyText"/>
      </w:pPr>
      <w:r>
        <w:t xml:space="preserve">```</w:t>
      </w:r>
    </w:p>
    <w:bookmarkEnd w:id="21"/>
    <w:bookmarkEnd w:id="22"/>
    <w:bookmarkStart w:id="23" w:name="missing-values"/>
    <w:p>
      <w:pPr>
        <w:pStyle w:val="Heading2"/>
      </w:pPr>
      <w:r>
        <w:t xml:space="preserve">Missing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0</w:t>
            </w:r>
          </w:p>
        </w:tc>
      </w:tr>
      <w:tr>
        <w:tc>
          <w:tcPr/>
          <w:p>
            <w:pPr>
              <w:pStyle w:val="Compact"/>
              <w:jc w:val="left"/>
            </w:pPr>
            <w:r>
              <w:t xml:space="preserve">species</w:t>
            </w:r>
          </w:p>
        </w:tc>
        <w:tc>
          <w:tcPr/>
          <w:p>
            <w:pPr>
              <w:pStyle w:val="Compact"/>
              <w:jc w:val="right"/>
            </w:pPr>
            <w:r>
              <w:t xml:space="preserve">0</w:t>
            </w:r>
          </w:p>
        </w:tc>
      </w:tr>
      <w:tr>
        <w:tc>
          <w:tcPr/>
          <w:p>
            <w:pPr>
              <w:pStyle w:val="Compact"/>
              <w:jc w:val="left"/>
            </w:pPr>
            <w:r>
              <w:t xml:space="preserve">island</w:t>
            </w:r>
          </w:p>
        </w:tc>
        <w:tc>
          <w:tcPr/>
          <w:p>
            <w:pPr>
              <w:pStyle w:val="Compact"/>
              <w:jc w:val="right"/>
            </w:pPr>
            <w:r>
              <w:t xml:space="preserve">0</w:t>
            </w:r>
          </w:p>
        </w:tc>
      </w:tr>
      <w:tr>
        <w:tc>
          <w:tcPr/>
          <w:p>
            <w:pPr>
              <w:pStyle w:val="Compact"/>
              <w:jc w:val="left"/>
            </w:pPr>
            <w:r>
              <w:t xml:space="preserve">bill_length_mm</w:t>
            </w:r>
          </w:p>
        </w:tc>
        <w:tc>
          <w:tcPr/>
          <w:p>
            <w:pPr>
              <w:pStyle w:val="Compact"/>
              <w:jc w:val="right"/>
            </w:pPr>
            <w:r>
              <w:t xml:space="preserve">2</w:t>
            </w:r>
          </w:p>
        </w:tc>
      </w:tr>
      <w:tr>
        <w:tc>
          <w:tcPr/>
          <w:p>
            <w:pPr>
              <w:pStyle w:val="Compact"/>
              <w:jc w:val="left"/>
            </w:pPr>
            <w:r>
              <w:t xml:space="preserve">bill_depth_mm</w:t>
            </w:r>
          </w:p>
        </w:tc>
        <w:tc>
          <w:tcPr/>
          <w:p>
            <w:pPr>
              <w:pStyle w:val="Compact"/>
              <w:jc w:val="right"/>
            </w:pPr>
            <w:r>
              <w:t xml:space="preserve">2</w:t>
            </w:r>
          </w:p>
        </w:tc>
      </w:tr>
      <w:tr>
        <w:tc>
          <w:tcPr/>
          <w:p>
            <w:pPr>
              <w:pStyle w:val="Compact"/>
              <w:jc w:val="left"/>
            </w:pPr>
            <w:r>
              <w:t xml:space="preserve">flipper_length_mm</w:t>
            </w:r>
          </w:p>
        </w:tc>
        <w:tc>
          <w:tcPr/>
          <w:p>
            <w:pPr>
              <w:pStyle w:val="Compact"/>
              <w:jc w:val="right"/>
            </w:pPr>
            <w:r>
              <w:t xml:space="preserve">2</w:t>
            </w:r>
          </w:p>
        </w:tc>
      </w:tr>
      <w:tr>
        <w:tc>
          <w:tcPr/>
          <w:p>
            <w:pPr>
              <w:pStyle w:val="Compact"/>
              <w:jc w:val="left"/>
            </w:pPr>
            <w:r>
              <w:t xml:space="preserve">body_mass_g</w:t>
            </w:r>
          </w:p>
        </w:tc>
        <w:tc>
          <w:tcPr/>
          <w:p>
            <w:pPr>
              <w:pStyle w:val="Compact"/>
              <w:jc w:val="right"/>
            </w:pPr>
            <w:r>
              <w:t xml:space="preserve">2</w:t>
            </w:r>
          </w:p>
        </w:tc>
      </w:tr>
      <w:tr>
        <w:tc>
          <w:tcPr/>
          <w:p>
            <w:pPr>
              <w:pStyle w:val="Compact"/>
              <w:jc w:val="left"/>
            </w:pPr>
            <w:r>
              <w:t xml:space="preserve">sex</w:t>
            </w:r>
          </w:p>
        </w:tc>
        <w:tc>
          <w:tcPr/>
          <w:p>
            <w:pPr>
              <w:pStyle w:val="Compact"/>
              <w:jc w:val="right"/>
            </w:pPr>
            <w:r>
              <w:t xml:space="preserve">11</w:t>
            </w:r>
          </w:p>
        </w:tc>
      </w:tr>
    </w:tbl>
    <w:bookmarkEnd w:id="23"/>
    <w:bookmarkStart w:id="24" w:name="summary-statistics"/>
    <w:p>
      <w:pPr>
        <w:pStyle w:val="Heading2"/>
      </w:pPr>
      <w:r>
        <w:t xml:space="preserve">Summary statistics</w:t>
      </w:r>
    </w:p>
    <w:tbl>
      <w:tblPr>
        <w:tblStyle w:val="Table"/>
        <w:tblW w:type="pct" w:w="5000"/>
        <w:tblLook w:firstRow="1" w:lastRow="0" w:firstColumn="0" w:lastColumn="0" w:noHBand="0" w:noVBand="0" w:val="0020"/>
        <w:jc w:val="start"/>
      </w:tblPr>
      <w:tblGrid>
        <w:gridCol w:w="710"/>
        <w:gridCol w:w="1827"/>
        <w:gridCol w:w="1726"/>
        <w:gridCol w:w="2132"/>
        <w:gridCol w:w="1523"/>
      </w:tblGrid>
      <w:tr>
        <w:trPr>
          <w:tblHeader w:val="true"/>
        </w:trPr>
        <w:tc>
          <w:tcPr/>
          <w:p>
            <w:pPr>
              <w:pStyle w:val="Compact"/>
            </w:pPr>
          </w:p>
        </w:tc>
        <w:tc>
          <w:tcPr/>
          <w:p>
            <w:pPr>
              <w:pStyle w:val="Compact"/>
              <w:jc w:val="right"/>
            </w:pPr>
            <w:r>
              <w:t xml:space="preserve">bill_length_mm</w:t>
            </w:r>
          </w:p>
        </w:tc>
        <w:tc>
          <w:tcPr/>
          <w:p>
            <w:pPr>
              <w:pStyle w:val="Compact"/>
              <w:jc w:val="right"/>
            </w:pPr>
            <w:r>
              <w:t xml:space="preserve">bill_depth_mm</w:t>
            </w:r>
          </w:p>
        </w:tc>
        <w:tc>
          <w:tcPr/>
          <w:p>
            <w:pPr>
              <w:pStyle w:val="Compact"/>
              <w:jc w:val="right"/>
            </w:pPr>
            <w:r>
              <w:t xml:space="preserve">flipper_length_mm</w:t>
            </w:r>
          </w:p>
        </w:tc>
        <w:tc>
          <w:tcPr/>
          <w:p>
            <w:pPr>
              <w:pStyle w:val="Compact"/>
              <w:jc w:val="right"/>
            </w:pPr>
            <w:r>
              <w:t xml:space="preserve">body_mass_g</w:t>
            </w:r>
          </w:p>
        </w:tc>
      </w:tr>
      <w:tr>
        <w:tc>
          <w:tcPr/>
          <w:p>
            <w:pPr>
              <w:pStyle w:val="Compact"/>
              <w:jc w:val="left"/>
            </w:pPr>
            <w:r>
              <w:t xml:space="preserve">count</w:t>
            </w:r>
          </w:p>
        </w:tc>
        <w:tc>
          <w:tcPr/>
          <w:p>
            <w:pPr>
              <w:pStyle w:val="Compact"/>
              <w:jc w:val="right"/>
            </w:pPr>
            <w:r>
              <w:t xml:space="preserve">333</w:t>
            </w:r>
          </w:p>
        </w:tc>
        <w:tc>
          <w:tcPr/>
          <w:p>
            <w:pPr>
              <w:pStyle w:val="Compact"/>
              <w:jc w:val="right"/>
            </w:pPr>
            <w:r>
              <w:t xml:space="preserve">333</w:t>
            </w:r>
          </w:p>
        </w:tc>
        <w:tc>
          <w:tcPr/>
          <w:p>
            <w:pPr>
              <w:pStyle w:val="Compact"/>
              <w:jc w:val="right"/>
            </w:pPr>
            <w:r>
              <w:t xml:space="preserve">333</w:t>
            </w:r>
          </w:p>
        </w:tc>
        <w:tc>
          <w:tcPr/>
          <w:p>
            <w:pPr>
              <w:pStyle w:val="Compact"/>
              <w:jc w:val="right"/>
            </w:pPr>
            <w:r>
              <w:t xml:space="preserve">333</w:t>
            </w:r>
          </w:p>
        </w:tc>
      </w:tr>
      <w:tr>
        <w:tc>
          <w:tcPr/>
          <w:p>
            <w:pPr>
              <w:pStyle w:val="Compact"/>
              <w:jc w:val="left"/>
            </w:pPr>
            <w:r>
              <w:t xml:space="preserve">mean</w:t>
            </w:r>
          </w:p>
        </w:tc>
        <w:tc>
          <w:tcPr/>
          <w:p>
            <w:pPr>
              <w:pStyle w:val="Compact"/>
              <w:jc w:val="right"/>
            </w:pPr>
            <w:r>
              <w:t xml:space="preserve">43.9928</w:t>
            </w:r>
          </w:p>
        </w:tc>
        <w:tc>
          <w:tcPr/>
          <w:p>
            <w:pPr>
              <w:pStyle w:val="Compact"/>
              <w:jc w:val="right"/>
            </w:pPr>
            <w:r>
              <w:t xml:space="preserve">17.1649</w:t>
            </w:r>
          </w:p>
        </w:tc>
        <w:tc>
          <w:tcPr/>
          <w:p>
            <w:pPr>
              <w:pStyle w:val="Compact"/>
              <w:jc w:val="right"/>
            </w:pPr>
            <w:r>
              <w:t xml:space="preserve">200.967</w:t>
            </w:r>
          </w:p>
        </w:tc>
        <w:tc>
          <w:tcPr/>
          <w:p>
            <w:pPr>
              <w:pStyle w:val="Compact"/>
              <w:jc w:val="right"/>
            </w:pPr>
            <w:r>
              <w:t xml:space="preserve">4207.06</w:t>
            </w:r>
          </w:p>
        </w:tc>
      </w:tr>
      <w:tr>
        <w:tc>
          <w:tcPr/>
          <w:p>
            <w:pPr>
              <w:pStyle w:val="Compact"/>
              <w:jc w:val="left"/>
            </w:pPr>
            <w:r>
              <w:t xml:space="preserve">std</w:t>
            </w:r>
          </w:p>
        </w:tc>
        <w:tc>
          <w:tcPr/>
          <w:p>
            <w:pPr>
              <w:pStyle w:val="Compact"/>
              <w:jc w:val="right"/>
            </w:pPr>
            <w:r>
              <w:t xml:space="preserve">5.46867</w:t>
            </w:r>
          </w:p>
        </w:tc>
        <w:tc>
          <w:tcPr/>
          <w:p>
            <w:pPr>
              <w:pStyle w:val="Compact"/>
              <w:jc w:val="right"/>
            </w:pPr>
            <w:r>
              <w:t xml:space="preserve">1.96924</w:t>
            </w:r>
          </w:p>
        </w:tc>
        <w:tc>
          <w:tcPr/>
          <w:p>
            <w:pPr>
              <w:pStyle w:val="Compact"/>
              <w:jc w:val="right"/>
            </w:pPr>
            <w:r>
              <w:t xml:space="preserve">14.0158</w:t>
            </w:r>
          </w:p>
        </w:tc>
        <w:tc>
          <w:tcPr/>
          <w:p>
            <w:pPr>
              <w:pStyle w:val="Compact"/>
              <w:jc w:val="right"/>
            </w:pPr>
            <w:r>
              <w:t xml:space="preserve">805.216</w:t>
            </w:r>
          </w:p>
        </w:tc>
      </w:tr>
      <w:tr>
        <w:tc>
          <w:tcPr/>
          <w:p>
            <w:pPr>
              <w:pStyle w:val="Compact"/>
              <w:jc w:val="left"/>
            </w:pPr>
            <w:r>
              <w:t xml:space="preserve">min</w:t>
            </w:r>
          </w:p>
        </w:tc>
        <w:tc>
          <w:tcPr/>
          <w:p>
            <w:pPr>
              <w:pStyle w:val="Compact"/>
              <w:jc w:val="right"/>
            </w:pPr>
            <w:r>
              <w:t xml:space="preserve">32.1</w:t>
            </w:r>
          </w:p>
        </w:tc>
        <w:tc>
          <w:tcPr/>
          <w:p>
            <w:pPr>
              <w:pStyle w:val="Compact"/>
              <w:jc w:val="right"/>
            </w:pPr>
            <w:r>
              <w:t xml:space="preserve">13.1</w:t>
            </w:r>
          </w:p>
        </w:tc>
        <w:tc>
          <w:tcPr/>
          <w:p>
            <w:pPr>
              <w:pStyle w:val="Compact"/>
              <w:jc w:val="right"/>
            </w:pPr>
            <w:r>
              <w:t xml:space="preserve">172</w:t>
            </w:r>
          </w:p>
        </w:tc>
        <w:tc>
          <w:tcPr/>
          <w:p>
            <w:pPr>
              <w:pStyle w:val="Compact"/>
              <w:jc w:val="right"/>
            </w:pPr>
            <w:r>
              <w:t xml:space="preserve">2700</w:t>
            </w:r>
          </w:p>
        </w:tc>
      </w:tr>
      <w:tr>
        <w:tc>
          <w:tcPr/>
          <w:p>
            <w:pPr>
              <w:pStyle w:val="Compact"/>
              <w:jc w:val="left"/>
            </w:pPr>
            <w:r>
              <w:t xml:space="preserve">25%</w:t>
            </w:r>
          </w:p>
        </w:tc>
        <w:tc>
          <w:tcPr/>
          <w:p>
            <w:pPr>
              <w:pStyle w:val="Compact"/>
              <w:jc w:val="right"/>
            </w:pPr>
            <w:r>
              <w:t xml:space="preserve">39.5</w:t>
            </w:r>
          </w:p>
        </w:tc>
        <w:tc>
          <w:tcPr/>
          <w:p>
            <w:pPr>
              <w:pStyle w:val="Compact"/>
              <w:jc w:val="right"/>
            </w:pPr>
            <w:r>
              <w:t xml:space="preserve">15.6</w:t>
            </w:r>
          </w:p>
        </w:tc>
        <w:tc>
          <w:tcPr/>
          <w:p>
            <w:pPr>
              <w:pStyle w:val="Compact"/>
              <w:jc w:val="right"/>
            </w:pPr>
            <w:r>
              <w:t xml:space="preserve">190</w:t>
            </w:r>
          </w:p>
        </w:tc>
        <w:tc>
          <w:tcPr/>
          <w:p>
            <w:pPr>
              <w:pStyle w:val="Compact"/>
              <w:jc w:val="right"/>
            </w:pPr>
            <w:r>
              <w:t xml:space="preserve">3550</w:t>
            </w:r>
          </w:p>
        </w:tc>
      </w:tr>
      <w:tr>
        <w:tc>
          <w:tcPr/>
          <w:p>
            <w:pPr>
              <w:pStyle w:val="Compact"/>
              <w:jc w:val="left"/>
            </w:pPr>
            <w:r>
              <w:t xml:space="preserve">50%</w:t>
            </w:r>
          </w:p>
        </w:tc>
        <w:tc>
          <w:tcPr/>
          <w:p>
            <w:pPr>
              <w:pStyle w:val="Compact"/>
              <w:jc w:val="right"/>
            </w:pPr>
            <w:r>
              <w:t xml:space="preserve">44.5</w:t>
            </w:r>
          </w:p>
        </w:tc>
        <w:tc>
          <w:tcPr/>
          <w:p>
            <w:pPr>
              <w:pStyle w:val="Compact"/>
              <w:jc w:val="right"/>
            </w:pPr>
            <w:r>
              <w:t xml:space="preserve">17.3</w:t>
            </w:r>
          </w:p>
        </w:tc>
        <w:tc>
          <w:tcPr/>
          <w:p>
            <w:pPr>
              <w:pStyle w:val="Compact"/>
              <w:jc w:val="right"/>
            </w:pPr>
            <w:r>
              <w:t xml:space="preserve">197</w:t>
            </w:r>
          </w:p>
        </w:tc>
        <w:tc>
          <w:tcPr/>
          <w:p>
            <w:pPr>
              <w:pStyle w:val="Compact"/>
              <w:jc w:val="right"/>
            </w:pPr>
            <w:r>
              <w:t xml:space="preserve">4050</w:t>
            </w:r>
          </w:p>
        </w:tc>
      </w:tr>
      <w:tr>
        <w:tc>
          <w:tcPr/>
          <w:p>
            <w:pPr>
              <w:pStyle w:val="Compact"/>
              <w:jc w:val="left"/>
            </w:pPr>
            <w:r>
              <w:t xml:space="preserve">75%</w:t>
            </w:r>
          </w:p>
        </w:tc>
        <w:tc>
          <w:tcPr/>
          <w:p>
            <w:pPr>
              <w:pStyle w:val="Compact"/>
              <w:jc w:val="right"/>
            </w:pPr>
            <w:r>
              <w:t xml:space="preserve">48.6</w:t>
            </w:r>
          </w:p>
        </w:tc>
        <w:tc>
          <w:tcPr/>
          <w:p>
            <w:pPr>
              <w:pStyle w:val="Compact"/>
              <w:jc w:val="right"/>
            </w:pPr>
            <w:r>
              <w:t xml:space="preserve">18.7</w:t>
            </w:r>
          </w:p>
        </w:tc>
        <w:tc>
          <w:tcPr/>
          <w:p>
            <w:pPr>
              <w:pStyle w:val="Compact"/>
              <w:jc w:val="right"/>
            </w:pPr>
            <w:r>
              <w:t xml:space="preserve">213</w:t>
            </w:r>
          </w:p>
        </w:tc>
        <w:tc>
          <w:tcPr/>
          <w:p>
            <w:pPr>
              <w:pStyle w:val="Compact"/>
              <w:jc w:val="right"/>
            </w:pPr>
            <w:r>
              <w:t xml:space="preserve">4775</w:t>
            </w:r>
          </w:p>
        </w:tc>
      </w:tr>
      <w:tr>
        <w:tc>
          <w:tcPr/>
          <w:p>
            <w:pPr>
              <w:pStyle w:val="Compact"/>
              <w:jc w:val="left"/>
            </w:pPr>
            <w:r>
              <w:t xml:space="preserve">max</w:t>
            </w:r>
          </w:p>
        </w:tc>
        <w:tc>
          <w:tcPr/>
          <w:p>
            <w:pPr>
              <w:pStyle w:val="Compact"/>
              <w:jc w:val="right"/>
            </w:pPr>
            <w:r>
              <w:t xml:space="preserve">59.6</w:t>
            </w:r>
          </w:p>
        </w:tc>
        <w:tc>
          <w:tcPr/>
          <w:p>
            <w:pPr>
              <w:pStyle w:val="Compact"/>
              <w:jc w:val="right"/>
            </w:pPr>
            <w:r>
              <w:t xml:space="preserve">21.5</w:t>
            </w:r>
          </w:p>
        </w:tc>
        <w:tc>
          <w:tcPr/>
          <w:p>
            <w:pPr>
              <w:pStyle w:val="Compact"/>
              <w:jc w:val="right"/>
            </w:pPr>
            <w:r>
              <w:t xml:space="preserve">231</w:t>
            </w:r>
          </w:p>
        </w:tc>
        <w:tc>
          <w:tcPr/>
          <w:p>
            <w:pPr>
              <w:pStyle w:val="Compact"/>
              <w:jc w:val="right"/>
            </w:pPr>
            <w:r>
              <w:t xml:space="preserve">6300</w:t>
            </w:r>
          </w:p>
        </w:tc>
      </w:tr>
    </w:tbl>
    <w:bookmarkEnd w:id="24"/>
    <w:bookmarkStart w:id="28" w:name="value-counts"/>
    <w:p>
      <w:pPr>
        <w:pStyle w:val="Heading2"/>
      </w:pPr>
      <w:r>
        <w:t xml:space="preserve">Value counts</w:t>
      </w:r>
    </w:p>
    <w:bookmarkStart w:id="25" w:name="species"/>
    <w:p>
      <w:pPr>
        <w:pStyle w:val="Heading3"/>
      </w:pPr>
      <w:r>
        <w:t xml:space="preserve">species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right"/>
            </w:pPr>
            <w:r>
              <w:t xml:space="preserve">count</w:t>
            </w:r>
          </w:p>
        </w:tc>
      </w:tr>
      <w:tr>
        <w:tc>
          <w:tcPr/>
          <w:p>
            <w:pPr>
              <w:pStyle w:val="Compact"/>
              <w:jc w:val="left"/>
            </w:pPr>
            <w:r>
              <w:t xml:space="preserve">Adelie</w:t>
            </w:r>
          </w:p>
        </w:tc>
        <w:tc>
          <w:tcPr/>
          <w:p>
            <w:pPr>
              <w:pStyle w:val="Compact"/>
              <w:jc w:val="right"/>
            </w:pPr>
            <w:r>
              <w:t xml:space="preserve">146</w:t>
            </w:r>
          </w:p>
        </w:tc>
      </w:tr>
      <w:tr>
        <w:tc>
          <w:tcPr/>
          <w:p>
            <w:pPr>
              <w:pStyle w:val="Compact"/>
              <w:jc w:val="left"/>
            </w:pPr>
            <w:r>
              <w:t xml:space="preserve">Gentoo</w:t>
            </w:r>
          </w:p>
        </w:tc>
        <w:tc>
          <w:tcPr/>
          <w:p>
            <w:pPr>
              <w:pStyle w:val="Compact"/>
              <w:jc w:val="right"/>
            </w:pPr>
            <w:r>
              <w:t xml:space="preserve">119</w:t>
            </w:r>
          </w:p>
        </w:tc>
      </w:tr>
      <w:tr>
        <w:tc>
          <w:tcPr/>
          <w:p>
            <w:pPr>
              <w:pStyle w:val="Compact"/>
              <w:jc w:val="left"/>
            </w:pPr>
            <w:r>
              <w:t xml:space="preserve">Chinstrap</w:t>
            </w:r>
          </w:p>
        </w:tc>
        <w:tc>
          <w:tcPr/>
          <w:p>
            <w:pPr>
              <w:pStyle w:val="Compact"/>
              <w:jc w:val="right"/>
            </w:pPr>
            <w:r>
              <w:t xml:space="preserve">68</w:t>
            </w:r>
          </w:p>
        </w:tc>
      </w:tr>
    </w:tbl>
    <w:bookmarkEnd w:id="25"/>
    <w:bookmarkStart w:id="26" w:name="island"/>
    <w:p>
      <w:pPr>
        <w:pStyle w:val="Heading3"/>
      </w:pPr>
      <w:r>
        <w:t xml:space="preserve">island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island</w:t>
            </w:r>
          </w:p>
        </w:tc>
        <w:tc>
          <w:tcPr/>
          <w:p>
            <w:pPr>
              <w:pStyle w:val="Compact"/>
              <w:jc w:val="right"/>
            </w:pPr>
            <w:r>
              <w:t xml:space="preserve">count</w:t>
            </w:r>
          </w:p>
        </w:tc>
      </w:tr>
      <w:tr>
        <w:tc>
          <w:tcPr/>
          <w:p>
            <w:pPr>
              <w:pStyle w:val="Compact"/>
              <w:jc w:val="left"/>
            </w:pPr>
            <w:r>
              <w:t xml:space="preserve">Biscoe</w:t>
            </w:r>
          </w:p>
        </w:tc>
        <w:tc>
          <w:tcPr/>
          <w:p>
            <w:pPr>
              <w:pStyle w:val="Compact"/>
              <w:jc w:val="right"/>
            </w:pPr>
            <w:r>
              <w:t xml:space="preserve">163</w:t>
            </w:r>
          </w:p>
        </w:tc>
      </w:tr>
      <w:tr>
        <w:tc>
          <w:tcPr/>
          <w:p>
            <w:pPr>
              <w:pStyle w:val="Compact"/>
              <w:jc w:val="left"/>
            </w:pPr>
            <w:r>
              <w:t xml:space="preserve">Dream</w:t>
            </w:r>
          </w:p>
        </w:tc>
        <w:tc>
          <w:tcPr/>
          <w:p>
            <w:pPr>
              <w:pStyle w:val="Compact"/>
              <w:jc w:val="right"/>
            </w:pPr>
            <w:r>
              <w:t xml:space="preserve">123</w:t>
            </w:r>
          </w:p>
        </w:tc>
      </w:tr>
      <w:tr>
        <w:tc>
          <w:tcPr/>
          <w:p>
            <w:pPr>
              <w:pStyle w:val="Compact"/>
              <w:jc w:val="left"/>
            </w:pPr>
            <w:r>
              <w:t xml:space="preserve">Torgersen</w:t>
            </w:r>
          </w:p>
        </w:tc>
        <w:tc>
          <w:tcPr/>
          <w:p>
            <w:pPr>
              <w:pStyle w:val="Compact"/>
              <w:jc w:val="right"/>
            </w:pPr>
            <w:r>
              <w:t xml:space="preserve">47</w:t>
            </w:r>
          </w:p>
        </w:tc>
      </w:tr>
    </w:tbl>
    <w:bookmarkEnd w:id="26"/>
    <w:bookmarkStart w:id="27" w:name="sex"/>
    <w:p>
      <w:pPr>
        <w:pStyle w:val="Heading3"/>
      </w:pPr>
      <w:r>
        <w:t xml:space="preserve">sex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sex</w:t>
            </w:r>
          </w:p>
        </w:tc>
        <w:tc>
          <w:tcPr/>
          <w:p>
            <w:pPr>
              <w:pStyle w:val="Compact"/>
              <w:jc w:val="right"/>
            </w:pPr>
            <w:r>
              <w:t xml:space="preserve">count</w:t>
            </w:r>
          </w:p>
        </w:tc>
      </w:tr>
      <w:tr>
        <w:tc>
          <w:tcPr/>
          <w:p>
            <w:pPr>
              <w:pStyle w:val="Compact"/>
              <w:jc w:val="left"/>
            </w:pPr>
            <w:r>
              <w:t xml:space="preserve">Male</w:t>
            </w:r>
          </w:p>
        </w:tc>
        <w:tc>
          <w:tcPr/>
          <w:p>
            <w:pPr>
              <w:pStyle w:val="Compact"/>
              <w:jc w:val="right"/>
            </w:pPr>
            <w:r>
              <w:t xml:space="preserve">168</w:t>
            </w:r>
          </w:p>
        </w:tc>
      </w:tr>
      <w:tr>
        <w:tc>
          <w:tcPr/>
          <w:p>
            <w:pPr>
              <w:pStyle w:val="Compact"/>
              <w:jc w:val="left"/>
            </w:pPr>
            <w:r>
              <w:t xml:space="preserve">Female</w:t>
            </w:r>
          </w:p>
        </w:tc>
        <w:tc>
          <w:tcPr/>
          <w:p>
            <w:pPr>
              <w:pStyle w:val="Compact"/>
              <w:jc w:val="right"/>
            </w:pPr>
            <w:r>
              <w:t xml:space="preserve">165</w:t>
            </w:r>
          </w:p>
        </w:tc>
      </w:tr>
    </w:tbl>
    <w:bookmarkEnd w:id="27"/>
    <w:bookmarkEnd w:id="28"/>
    <w:bookmarkStart w:id="29" w:name="grouped-summary-by-species"/>
    <w:p>
      <w:pPr>
        <w:pStyle w:val="Heading2"/>
      </w:pPr>
      <w:r>
        <w:t xml:space="preserve">Grouped summary by species</w:t>
      </w:r>
    </w:p>
    <w:tbl>
      <w:tblPr>
        <w:tblStyle w:val="Table"/>
        <w:tblW w:type="pct" w:w="5000"/>
        <w:tblLook w:firstRow="1" w:lastRow="0" w:firstColumn="0" w:lastColumn="0" w:noHBand="0" w:noVBand="0" w:val="0020"/>
        <w:jc w:val="start"/>
      </w:tblPr>
      <w:tblGrid>
        <w:gridCol w:w="463"/>
        <w:gridCol w:w="1137"/>
        <w:gridCol w:w="1221"/>
        <w:gridCol w:w="1095"/>
        <w:gridCol w:w="1263"/>
        <w:gridCol w:w="1348"/>
        <w:gridCol w:w="1390"/>
      </w:tblGrid>
      <w:tr>
        <w:trPr>
          <w:tblHeader w:val="true"/>
        </w:trPr>
        <w:tc>
          <w:tcPr/>
          <w:p>
            <w:pPr>
              <w:pStyle w:val="Compact"/>
              <w:jc w:val="left"/>
            </w:pPr>
            <w:r>
              <w:t xml:space="preserve">species</w:t>
            </w:r>
          </w:p>
        </w:tc>
        <w:tc>
          <w:tcPr/>
          <w:p>
            <w:pPr>
              <w:pStyle w:val="Compact"/>
              <w:jc w:val="right"/>
            </w:pPr>
            <w:r>
              <w:t xml:space="preserve">(</w:t>
            </w:r>
            <w:r>
              <w:t xml:space="preserve">‘</w:t>
            </w:r>
            <w:r>
              <w:t xml:space="preserve">body_mass_g</w:t>
            </w:r>
            <w:r>
              <w:t xml:space="preserve">’</w:t>
            </w:r>
            <w:r>
              <w:t xml:space="preserve">,</w:t>
            </w:r>
            <w:r>
              <w:t xml:space="preserve"> </w:t>
            </w:r>
            <w:r>
              <w:t xml:space="preserve">‘</w:t>
            </w:r>
            <w:r>
              <w:t xml:space="preserve">mean</w:t>
            </w:r>
            <w:r>
              <w:t xml:space="preserve">’</w:t>
            </w:r>
            <w:r>
              <w:t xml:space="preserve">)</w:t>
            </w:r>
          </w:p>
        </w:tc>
        <w:tc>
          <w:tcPr/>
          <w:p>
            <w:pPr>
              <w:pStyle w:val="Compact"/>
              <w:jc w:val="right"/>
            </w:pPr>
            <w:r>
              <w:t xml:space="preserve">(</w:t>
            </w:r>
            <w:r>
              <w:t xml:space="preserve">‘</w:t>
            </w:r>
            <w:r>
              <w:t xml:space="preserve">body_mass_g</w:t>
            </w:r>
            <w:r>
              <w:t xml:space="preserve">’</w:t>
            </w:r>
            <w:r>
              <w:t xml:space="preserve">,</w:t>
            </w:r>
            <w:r>
              <w:t xml:space="preserve"> </w:t>
            </w:r>
            <w:r>
              <w:t xml:space="preserve">‘</w:t>
            </w:r>
            <w:r>
              <w:t xml:space="preserve">median</w:t>
            </w:r>
            <w:r>
              <w:t xml:space="preserve">’</w:t>
            </w:r>
            <w:r>
              <w:t xml:space="preserve">)</w:t>
            </w:r>
          </w:p>
        </w:tc>
        <w:tc>
          <w:tcPr/>
          <w:p>
            <w:pPr>
              <w:pStyle w:val="Compact"/>
              <w:jc w:val="right"/>
            </w:pPr>
            <w:r>
              <w:t xml:space="preserve">(</w:t>
            </w:r>
            <w:r>
              <w:t xml:space="preserve">‘</w:t>
            </w:r>
            <w:r>
              <w:t xml:space="preserve">body_mass_g</w:t>
            </w:r>
            <w:r>
              <w:t xml:space="preserve">’</w:t>
            </w:r>
            <w:r>
              <w:t xml:space="preserve">,</w:t>
            </w:r>
            <w:r>
              <w:t xml:space="preserve"> </w:t>
            </w:r>
            <w:r>
              <w:t xml:space="preserve">‘</w:t>
            </w:r>
            <w:r>
              <w:t xml:space="preserve">std</w:t>
            </w:r>
            <w:r>
              <w:t xml:space="preserve">’</w:t>
            </w:r>
            <w:r>
              <w:t xml:space="preserve">)</w:t>
            </w:r>
          </w:p>
        </w:tc>
        <w:tc>
          <w:tcPr/>
          <w:p>
            <w:pPr>
              <w:pStyle w:val="Compact"/>
              <w:jc w:val="right"/>
            </w:pPr>
            <w:r>
              <w:t xml:space="preserve">(</w:t>
            </w:r>
            <w:r>
              <w:t xml:space="preserve">‘</w:t>
            </w:r>
            <w:r>
              <w:t xml:space="preserve">bill_length_mm</w:t>
            </w:r>
            <w:r>
              <w:t xml:space="preserve">’</w:t>
            </w:r>
            <w:r>
              <w:t xml:space="preserve">,</w:t>
            </w:r>
            <w:r>
              <w:t xml:space="preserve"> </w:t>
            </w:r>
            <w:r>
              <w:t xml:space="preserve">‘</w:t>
            </w:r>
            <w:r>
              <w:t xml:space="preserve">mean</w:t>
            </w:r>
            <w:r>
              <w:t xml:space="preserve">’</w:t>
            </w:r>
            <w:r>
              <w:t xml:space="preserve">)</w:t>
            </w:r>
          </w:p>
        </w:tc>
        <w:tc>
          <w:tcPr/>
          <w:p>
            <w:pPr>
              <w:pStyle w:val="Compact"/>
              <w:jc w:val="right"/>
            </w:pPr>
            <w:r>
              <w:t xml:space="preserve">(</w:t>
            </w:r>
            <w:r>
              <w:t xml:space="preserve">‘</w:t>
            </w:r>
            <w:r>
              <w:t xml:space="preserve">bill_length_mm</w:t>
            </w:r>
            <w:r>
              <w:t xml:space="preserve">’</w:t>
            </w:r>
            <w:r>
              <w:t xml:space="preserve">,</w:t>
            </w:r>
            <w:r>
              <w:t xml:space="preserve"> </w:t>
            </w:r>
            <w:r>
              <w:t xml:space="preserve">‘</w:t>
            </w:r>
            <w:r>
              <w:t xml:space="preserve">median</w:t>
            </w:r>
            <w:r>
              <w:t xml:space="preserve">’</w:t>
            </w:r>
            <w:r>
              <w:t xml:space="preserve">)</w:t>
            </w:r>
          </w:p>
        </w:tc>
        <w:tc>
          <w:tcPr/>
          <w:p>
            <w:pPr>
              <w:pStyle w:val="Compact"/>
              <w:jc w:val="right"/>
            </w:pPr>
            <w:r>
              <w:t xml:space="preserve">(</w:t>
            </w:r>
            <w:r>
              <w:t xml:space="preserve">‘</w:t>
            </w:r>
            <w:r>
              <w:t xml:space="preserve">flipper_length_mm</w:t>
            </w:r>
            <w:r>
              <w:t xml:space="preserve">’</w:t>
            </w:r>
            <w:r>
              <w:t xml:space="preserve">,</w:t>
            </w:r>
            <w:r>
              <w:t xml:space="preserve"> </w:t>
            </w:r>
            <w:r>
              <w:t xml:space="preserve">‘</w:t>
            </w:r>
            <w:r>
              <w:t xml:space="preserve">mean</w:t>
            </w:r>
            <w:r>
              <w:t xml:space="preserve">’</w:t>
            </w:r>
            <w:r>
              <w:t xml:space="preserve">)</w:t>
            </w:r>
          </w:p>
        </w:tc>
      </w:tr>
      <w:tr>
        <w:tc>
          <w:tcPr/>
          <w:p>
            <w:pPr>
              <w:pStyle w:val="Compact"/>
              <w:jc w:val="left"/>
            </w:pPr>
            <w:r>
              <w:t xml:space="preserve">Adelie</w:t>
            </w:r>
          </w:p>
        </w:tc>
        <w:tc>
          <w:tcPr/>
          <w:p>
            <w:pPr>
              <w:pStyle w:val="Compact"/>
              <w:jc w:val="right"/>
            </w:pPr>
            <w:r>
              <w:t xml:space="preserve">3706.16</w:t>
            </w:r>
          </w:p>
        </w:tc>
        <w:tc>
          <w:tcPr/>
          <w:p>
            <w:pPr>
              <w:pStyle w:val="Compact"/>
              <w:jc w:val="right"/>
            </w:pPr>
            <w:r>
              <w:t xml:space="preserve">3700</w:t>
            </w:r>
          </w:p>
        </w:tc>
        <w:tc>
          <w:tcPr/>
          <w:p>
            <w:pPr>
              <w:pStyle w:val="Compact"/>
              <w:jc w:val="right"/>
            </w:pPr>
            <w:r>
              <w:t xml:space="preserve">458.62</w:t>
            </w:r>
          </w:p>
        </w:tc>
        <w:tc>
          <w:tcPr/>
          <w:p>
            <w:pPr>
              <w:pStyle w:val="Compact"/>
              <w:jc w:val="right"/>
            </w:pPr>
            <w:r>
              <w:t xml:space="preserve">38.824</w:t>
            </w:r>
          </w:p>
        </w:tc>
        <w:tc>
          <w:tcPr/>
          <w:p>
            <w:pPr>
              <w:pStyle w:val="Compact"/>
              <w:jc w:val="right"/>
            </w:pPr>
            <w:r>
              <w:t xml:space="preserve">38.85</w:t>
            </w:r>
          </w:p>
        </w:tc>
        <w:tc>
          <w:tcPr/>
          <w:p>
            <w:pPr>
              <w:pStyle w:val="Compact"/>
              <w:jc w:val="right"/>
            </w:pPr>
            <w:r>
              <w:t xml:space="preserve">190.103</w:t>
            </w:r>
          </w:p>
        </w:tc>
      </w:tr>
      <w:tr>
        <w:tc>
          <w:tcPr/>
          <w:p>
            <w:pPr>
              <w:pStyle w:val="Compact"/>
              <w:jc w:val="left"/>
            </w:pPr>
            <w:r>
              <w:t xml:space="preserve">Chinstrap</w:t>
            </w:r>
          </w:p>
        </w:tc>
        <w:tc>
          <w:tcPr/>
          <w:p>
            <w:pPr>
              <w:pStyle w:val="Compact"/>
              <w:jc w:val="right"/>
            </w:pPr>
            <w:r>
              <w:t xml:space="preserve">3733.09</w:t>
            </w:r>
          </w:p>
        </w:tc>
        <w:tc>
          <w:tcPr/>
          <w:p>
            <w:pPr>
              <w:pStyle w:val="Compact"/>
              <w:jc w:val="right"/>
            </w:pPr>
            <w:r>
              <w:t xml:space="preserve">3700</w:t>
            </w:r>
          </w:p>
        </w:tc>
        <w:tc>
          <w:tcPr/>
          <w:p>
            <w:pPr>
              <w:pStyle w:val="Compact"/>
              <w:jc w:val="right"/>
            </w:pPr>
            <w:r>
              <w:t xml:space="preserve">384.335</w:t>
            </w:r>
          </w:p>
        </w:tc>
        <w:tc>
          <w:tcPr/>
          <w:p>
            <w:pPr>
              <w:pStyle w:val="Compact"/>
              <w:jc w:val="right"/>
            </w:pPr>
            <w:r>
              <w:t xml:space="preserve">48.8338</w:t>
            </w:r>
          </w:p>
        </w:tc>
        <w:tc>
          <w:tcPr/>
          <w:p>
            <w:pPr>
              <w:pStyle w:val="Compact"/>
              <w:jc w:val="right"/>
            </w:pPr>
            <w:r>
              <w:t xml:space="preserve">49.55</w:t>
            </w:r>
          </w:p>
        </w:tc>
        <w:tc>
          <w:tcPr/>
          <w:p>
            <w:pPr>
              <w:pStyle w:val="Compact"/>
              <w:jc w:val="right"/>
            </w:pPr>
            <w:r>
              <w:t xml:space="preserve">195.824</w:t>
            </w:r>
          </w:p>
        </w:tc>
      </w:tr>
      <w:tr>
        <w:tc>
          <w:tcPr/>
          <w:p>
            <w:pPr>
              <w:pStyle w:val="Compact"/>
              <w:jc w:val="left"/>
            </w:pPr>
            <w:r>
              <w:t xml:space="preserve">Gentoo</w:t>
            </w:r>
          </w:p>
        </w:tc>
        <w:tc>
          <w:tcPr/>
          <w:p>
            <w:pPr>
              <w:pStyle w:val="Compact"/>
              <w:jc w:val="right"/>
            </w:pPr>
            <w:r>
              <w:t xml:space="preserve">5092.44</w:t>
            </w:r>
          </w:p>
        </w:tc>
        <w:tc>
          <w:tcPr/>
          <w:p>
            <w:pPr>
              <w:pStyle w:val="Compact"/>
              <w:jc w:val="right"/>
            </w:pPr>
            <w:r>
              <w:t xml:space="preserve">5050</w:t>
            </w:r>
          </w:p>
        </w:tc>
        <w:tc>
          <w:tcPr/>
          <w:p>
            <w:pPr>
              <w:pStyle w:val="Compact"/>
              <w:jc w:val="right"/>
            </w:pPr>
            <w:r>
              <w:t xml:space="preserve">501.476</w:t>
            </w:r>
          </w:p>
        </w:tc>
        <w:tc>
          <w:tcPr/>
          <w:p>
            <w:pPr>
              <w:pStyle w:val="Compact"/>
              <w:jc w:val="right"/>
            </w:pPr>
            <w:r>
              <w:t xml:space="preserve">47.5681</w:t>
            </w:r>
          </w:p>
        </w:tc>
        <w:tc>
          <w:tcPr/>
          <w:p>
            <w:pPr>
              <w:pStyle w:val="Compact"/>
              <w:jc w:val="right"/>
            </w:pPr>
            <w:r>
              <w:t xml:space="preserve">47.4</w:t>
            </w:r>
          </w:p>
        </w:tc>
        <w:tc>
          <w:tcPr/>
          <w:p>
            <w:pPr>
              <w:pStyle w:val="Compact"/>
              <w:jc w:val="right"/>
            </w:pPr>
            <w:r>
              <w:t xml:space="preserve">217.235</w:t>
            </w:r>
          </w:p>
        </w:tc>
      </w:tr>
    </w:tbl>
    <w:bookmarkEnd w:id="29"/>
    <w:bookmarkStart w:id="30" w:name="cross-tab-species-vs-sex"/>
    <w:p>
      <w:pPr>
        <w:pStyle w:val="Heading2"/>
      </w:pPr>
      <w:r>
        <w:t xml:space="preserve">Cross-tab: species vs sex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right"/>
            </w:pPr>
            <w:r>
              <w:t xml:space="preserve">Female</w:t>
            </w:r>
          </w:p>
        </w:tc>
        <w:tc>
          <w:tcPr/>
          <w:p>
            <w:pPr>
              <w:pStyle w:val="Compact"/>
              <w:jc w:val="right"/>
            </w:pPr>
            <w:r>
              <w:t xml:space="preserve">Male</w:t>
            </w:r>
          </w:p>
        </w:tc>
      </w:tr>
      <w:tr>
        <w:tc>
          <w:tcPr/>
          <w:p>
            <w:pPr>
              <w:pStyle w:val="Compact"/>
              <w:jc w:val="left"/>
            </w:pPr>
            <w:r>
              <w:t xml:space="preserve">Adelie</w:t>
            </w:r>
          </w:p>
        </w:tc>
        <w:tc>
          <w:tcPr/>
          <w:p>
            <w:pPr>
              <w:pStyle w:val="Compact"/>
              <w:jc w:val="right"/>
            </w:pPr>
            <w:r>
              <w:t xml:space="preserve">73</w:t>
            </w:r>
          </w:p>
        </w:tc>
        <w:tc>
          <w:tcPr/>
          <w:p>
            <w:pPr>
              <w:pStyle w:val="Compact"/>
              <w:jc w:val="right"/>
            </w:pPr>
            <w:r>
              <w:t xml:space="preserve">73</w:t>
            </w:r>
          </w:p>
        </w:tc>
      </w:tr>
      <w:tr>
        <w:tc>
          <w:tcPr/>
          <w:p>
            <w:pPr>
              <w:pStyle w:val="Compact"/>
              <w:jc w:val="left"/>
            </w:pPr>
            <w:r>
              <w:t xml:space="preserve">Chinstrap</w:t>
            </w:r>
          </w:p>
        </w:tc>
        <w:tc>
          <w:tcPr/>
          <w:p>
            <w:pPr>
              <w:pStyle w:val="Compact"/>
              <w:jc w:val="right"/>
            </w:pPr>
            <w:r>
              <w:t xml:space="preserve">34</w:t>
            </w:r>
          </w:p>
        </w:tc>
        <w:tc>
          <w:tcPr/>
          <w:p>
            <w:pPr>
              <w:pStyle w:val="Compact"/>
              <w:jc w:val="right"/>
            </w:pPr>
            <w:r>
              <w:t xml:space="preserve">34</w:t>
            </w:r>
          </w:p>
        </w:tc>
      </w:tr>
      <w:tr>
        <w:tc>
          <w:tcPr/>
          <w:p>
            <w:pPr>
              <w:pStyle w:val="Compact"/>
              <w:jc w:val="left"/>
            </w:pPr>
            <w:r>
              <w:t xml:space="preserve">Gentoo</w:t>
            </w:r>
          </w:p>
        </w:tc>
        <w:tc>
          <w:tcPr/>
          <w:p>
            <w:pPr>
              <w:pStyle w:val="Compact"/>
              <w:jc w:val="right"/>
            </w:pPr>
            <w:r>
              <w:t xml:space="preserve">58</w:t>
            </w:r>
          </w:p>
        </w:tc>
        <w:tc>
          <w:tcPr/>
          <w:p>
            <w:pPr>
              <w:pStyle w:val="Compact"/>
              <w:jc w:val="right"/>
            </w:pPr>
            <w:r>
              <w:t xml:space="preserve">61</w:t>
            </w:r>
          </w:p>
        </w:tc>
      </w:tr>
    </w:tbl>
    <w:bookmarkEnd w:id="30"/>
    <w:bookmarkStart w:id="31" w:name="Xa49e932400aa86ab8ce13d1e3bd9e97357bc0b2"/>
    <w:p>
      <w:pPr>
        <w:pStyle w:val="Heading2"/>
      </w:pPr>
      <w:r>
        <w:t xml:space="preserve">Pivot: mean metrics by species (columns=island)</w:t>
      </w:r>
    </w:p>
    <w:tbl>
      <w:tblPr>
        <w:tblStyle w:val="Table"/>
        <w:tblW w:type="pct" w:w="5000"/>
        <w:tblLook w:firstRow="1" w:lastRow="0" w:firstColumn="0" w:lastColumn="0" w:noHBand="0" w:noVBand="0" w:val="0020"/>
        <w:jc w:val="start"/>
      </w:tblPr>
      <w:tblGrid>
        <w:gridCol w:w="440"/>
        <w:gridCol w:w="1280"/>
        <w:gridCol w:w="1240"/>
        <w:gridCol w:w="1400"/>
        <w:gridCol w:w="1160"/>
        <w:gridCol w:w="1120"/>
        <w:gridCol w:w="1280"/>
      </w:tblGrid>
      <w:tr>
        <w:trPr>
          <w:tblHeader w:val="true"/>
        </w:trPr>
        <w:tc>
          <w:tcPr/>
          <w:p>
            <w:pPr>
              <w:pStyle w:val="Compact"/>
              <w:jc w:val="left"/>
            </w:pPr>
            <w:r>
              <w:t xml:space="preserve">species</w:t>
            </w:r>
          </w:p>
        </w:tc>
        <w:tc>
          <w:tcPr/>
          <w:p>
            <w:pPr>
              <w:pStyle w:val="Compact"/>
              <w:jc w:val="right"/>
            </w:pPr>
            <w:r>
              <w:t xml:space="preserve">(</w:t>
            </w:r>
            <w:r>
              <w:t xml:space="preserve">‘</w:t>
            </w:r>
            <w:r>
              <w:t xml:space="preserve">bill_length_mm</w:t>
            </w:r>
            <w:r>
              <w:t xml:space="preserve">’</w:t>
            </w:r>
            <w:r>
              <w:t xml:space="preserve">,</w:t>
            </w:r>
            <w:r>
              <w:t xml:space="preserve"> </w:t>
            </w:r>
            <w:r>
              <w:t xml:space="preserve">‘</w:t>
            </w:r>
            <w:r>
              <w:t xml:space="preserve">Biscoe</w:t>
            </w:r>
            <w:r>
              <w:t xml:space="preserve">’</w:t>
            </w:r>
            <w:r>
              <w:t xml:space="preserve">)</w:t>
            </w:r>
          </w:p>
        </w:tc>
        <w:tc>
          <w:tcPr/>
          <w:p>
            <w:pPr>
              <w:pStyle w:val="Compact"/>
              <w:jc w:val="right"/>
            </w:pPr>
            <w:r>
              <w:t xml:space="preserve">(</w:t>
            </w:r>
            <w:r>
              <w:t xml:space="preserve">‘</w:t>
            </w:r>
            <w:r>
              <w:t xml:space="preserve">bill_length_mm</w:t>
            </w:r>
            <w:r>
              <w:t xml:space="preserve">’</w:t>
            </w:r>
            <w:r>
              <w:t xml:space="preserve">,</w:t>
            </w:r>
            <w:r>
              <w:t xml:space="preserve"> </w:t>
            </w:r>
            <w:r>
              <w:t xml:space="preserve">‘</w:t>
            </w:r>
            <w:r>
              <w:t xml:space="preserve">Dream</w:t>
            </w:r>
            <w:r>
              <w:t xml:space="preserve">’</w:t>
            </w:r>
            <w:r>
              <w:t xml:space="preserve">)</w:t>
            </w:r>
          </w:p>
        </w:tc>
        <w:tc>
          <w:tcPr/>
          <w:p>
            <w:pPr>
              <w:pStyle w:val="Compact"/>
              <w:jc w:val="right"/>
            </w:pPr>
            <w:r>
              <w:t xml:space="preserve">(</w:t>
            </w:r>
            <w:r>
              <w:t xml:space="preserve">‘</w:t>
            </w:r>
            <w:r>
              <w:t xml:space="preserve">bill_length_mm</w:t>
            </w:r>
            <w:r>
              <w:t xml:space="preserve">’</w:t>
            </w:r>
            <w:r>
              <w:t xml:space="preserve">,</w:t>
            </w:r>
            <w:r>
              <w:t xml:space="preserve"> </w:t>
            </w:r>
            <w:r>
              <w:t xml:space="preserve">‘</w:t>
            </w:r>
            <w:r>
              <w:t xml:space="preserve">Torgersen</w:t>
            </w:r>
            <w:r>
              <w:t xml:space="preserve">’</w:t>
            </w:r>
            <w:r>
              <w:t xml:space="preserve">)</w:t>
            </w:r>
          </w:p>
        </w:tc>
        <w:tc>
          <w:tcPr/>
          <w:p>
            <w:pPr>
              <w:pStyle w:val="Compact"/>
              <w:jc w:val="right"/>
            </w:pPr>
            <w:r>
              <w:t xml:space="preserve">(</w:t>
            </w:r>
            <w:r>
              <w:t xml:space="preserve">‘</w:t>
            </w:r>
            <w:r>
              <w:t xml:space="preserve">body_mass_g</w:t>
            </w:r>
            <w:r>
              <w:t xml:space="preserve">’</w:t>
            </w:r>
            <w:r>
              <w:t xml:space="preserve">,</w:t>
            </w:r>
            <w:r>
              <w:t xml:space="preserve"> </w:t>
            </w:r>
            <w:r>
              <w:t xml:space="preserve">‘</w:t>
            </w:r>
            <w:r>
              <w:t xml:space="preserve">Biscoe</w:t>
            </w:r>
            <w:r>
              <w:t xml:space="preserve">’</w:t>
            </w:r>
            <w:r>
              <w:t xml:space="preserve">)</w:t>
            </w:r>
          </w:p>
        </w:tc>
        <w:tc>
          <w:tcPr/>
          <w:p>
            <w:pPr>
              <w:pStyle w:val="Compact"/>
              <w:jc w:val="right"/>
            </w:pPr>
            <w:r>
              <w:t xml:space="preserve">(</w:t>
            </w:r>
            <w:r>
              <w:t xml:space="preserve">‘</w:t>
            </w:r>
            <w:r>
              <w:t xml:space="preserve">body_mass_g</w:t>
            </w:r>
            <w:r>
              <w:t xml:space="preserve">’</w:t>
            </w:r>
            <w:r>
              <w:t xml:space="preserve">,</w:t>
            </w:r>
            <w:r>
              <w:t xml:space="preserve"> </w:t>
            </w:r>
            <w:r>
              <w:t xml:space="preserve">‘</w:t>
            </w:r>
            <w:r>
              <w:t xml:space="preserve">Dream</w:t>
            </w:r>
            <w:r>
              <w:t xml:space="preserve">’</w:t>
            </w:r>
            <w:r>
              <w:t xml:space="preserve">)</w:t>
            </w:r>
          </w:p>
        </w:tc>
        <w:tc>
          <w:tcPr/>
          <w:p>
            <w:pPr>
              <w:pStyle w:val="Compact"/>
              <w:jc w:val="right"/>
            </w:pPr>
            <w:r>
              <w:t xml:space="preserve">(</w:t>
            </w:r>
            <w:r>
              <w:t xml:space="preserve">‘</w:t>
            </w:r>
            <w:r>
              <w:t xml:space="preserve">body_mass_g</w:t>
            </w:r>
            <w:r>
              <w:t xml:space="preserve">’</w:t>
            </w:r>
            <w:r>
              <w:t xml:space="preserve">,</w:t>
            </w:r>
            <w:r>
              <w:t xml:space="preserve"> </w:t>
            </w:r>
            <w:r>
              <w:t xml:space="preserve">‘</w:t>
            </w:r>
            <w:r>
              <w:t xml:space="preserve">Torgersen</w:t>
            </w:r>
            <w:r>
              <w:t xml:space="preserve">’</w:t>
            </w:r>
            <w:r>
              <w:t xml:space="preserve">)</w:t>
            </w:r>
          </w:p>
        </w:tc>
      </w:tr>
      <w:tr>
        <w:tc>
          <w:tcPr/>
          <w:p>
            <w:pPr>
              <w:pStyle w:val="Compact"/>
              <w:jc w:val="left"/>
            </w:pPr>
            <w:r>
              <w:t xml:space="preserve">Adelie</w:t>
            </w:r>
          </w:p>
        </w:tc>
        <w:tc>
          <w:tcPr/>
          <w:p>
            <w:pPr>
              <w:pStyle w:val="Compact"/>
              <w:jc w:val="right"/>
            </w:pPr>
            <w:r>
              <w:t xml:space="preserve">38.975</w:t>
            </w:r>
          </w:p>
        </w:tc>
        <w:tc>
          <w:tcPr/>
          <w:p>
            <w:pPr>
              <w:pStyle w:val="Compact"/>
              <w:jc w:val="right"/>
            </w:pPr>
            <w:r>
              <w:t xml:space="preserve">38.52</w:t>
            </w:r>
          </w:p>
        </w:tc>
        <w:tc>
          <w:tcPr/>
          <w:p>
            <w:pPr>
              <w:pStyle w:val="Compact"/>
              <w:jc w:val="right"/>
            </w:pPr>
            <w:r>
              <w:t xml:space="preserve">39.0383</w:t>
            </w:r>
          </w:p>
        </w:tc>
        <w:tc>
          <w:tcPr/>
          <w:p>
            <w:pPr>
              <w:pStyle w:val="Compact"/>
              <w:jc w:val="right"/>
            </w:pPr>
            <w:r>
              <w:t xml:space="preserve">3709.66</w:t>
            </w:r>
          </w:p>
        </w:tc>
        <w:tc>
          <w:tcPr/>
          <w:p>
            <w:pPr>
              <w:pStyle w:val="Compact"/>
              <w:jc w:val="right"/>
            </w:pPr>
            <w:r>
              <w:t xml:space="preserve">3701.36</w:t>
            </w:r>
          </w:p>
        </w:tc>
        <w:tc>
          <w:tcPr/>
          <w:p>
            <w:pPr>
              <w:pStyle w:val="Compact"/>
              <w:jc w:val="right"/>
            </w:pPr>
            <w:r>
              <w:t xml:space="preserve">3708.51</w:t>
            </w:r>
          </w:p>
        </w:tc>
      </w:tr>
      <w:tr>
        <w:tc>
          <w:tcPr/>
          <w:p>
            <w:pPr>
              <w:pStyle w:val="Compact"/>
              <w:jc w:val="left"/>
            </w:pPr>
            <w:r>
              <w:t xml:space="preserve">Chinstrap</w:t>
            </w:r>
          </w:p>
        </w:tc>
        <w:tc>
          <w:tcPr/>
          <w:p>
            <w:pPr>
              <w:pStyle w:val="Compact"/>
              <w:jc w:val="right"/>
            </w:pPr>
            <w:r>
              <w:t xml:space="preserve">nan</w:t>
            </w:r>
          </w:p>
        </w:tc>
        <w:tc>
          <w:tcPr/>
          <w:p>
            <w:pPr>
              <w:pStyle w:val="Compact"/>
              <w:jc w:val="right"/>
            </w:pPr>
            <w:r>
              <w:t xml:space="preserve">48.8338</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3733.09</w:t>
            </w:r>
          </w:p>
        </w:tc>
        <w:tc>
          <w:tcPr/>
          <w:p>
            <w:pPr>
              <w:pStyle w:val="Compact"/>
              <w:jc w:val="right"/>
            </w:pPr>
            <w:r>
              <w:t xml:space="preserve">nan</w:t>
            </w:r>
          </w:p>
        </w:tc>
      </w:tr>
      <w:tr>
        <w:tc>
          <w:tcPr/>
          <w:p>
            <w:pPr>
              <w:pStyle w:val="Compact"/>
              <w:jc w:val="left"/>
            </w:pPr>
            <w:r>
              <w:t xml:space="preserve">Gentoo</w:t>
            </w:r>
          </w:p>
        </w:tc>
        <w:tc>
          <w:tcPr/>
          <w:p>
            <w:pPr>
              <w:pStyle w:val="Compact"/>
              <w:jc w:val="right"/>
            </w:pPr>
            <w:r>
              <w:t xml:space="preserve">47.5681</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5092.44</w:t>
            </w:r>
          </w:p>
        </w:tc>
        <w:tc>
          <w:tcPr/>
          <w:p>
            <w:pPr>
              <w:pStyle w:val="Compact"/>
              <w:jc w:val="right"/>
            </w:pPr>
            <w:r>
              <w:t xml:space="preserve">nan</w:t>
            </w:r>
          </w:p>
        </w:tc>
        <w:tc>
          <w:tcPr/>
          <w:p>
            <w:pPr>
              <w:pStyle w:val="Compact"/>
              <w:jc w:val="right"/>
            </w:pPr>
            <w:r>
              <w:t xml:space="preserve">nan</w:t>
            </w:r>
          </w:p>
        </w:tc>
      </w:tr>
    </w:tbl>
    <w:bookmarkEnd w:id="31"/>
    <w:bookmarkStart w:id="92" w:name="plots"/>
    <w:p>
      <w:pPr>
        <w:pStyle w:val="Heading2"/>
      </w:pPr>
      <w:r>
        <w:t xml:space="preserve">Plots</w:t>
      </w:r>
    </w:p>
    <w:bookmarkStart w:id="35" w:name="부리-길이-히스토그램-mm"/>
    <w:p>
      <w:pPr>
        <w:pStyle w:val="Heading3"/>
      </w:pPr>
      <w:r>
        <w:t xml:space="preserve">부리 길이 히스토그램 (mm)</w:t>
      </w:r>
    </w:p>
    <w:p>
      <w:pPr>
        <w:pStyle w:val="CaptionedFigure"/>
      </w:pPr>
      <w:r>
        <w:drawing>
          <wp:inline>
            <wp:extent cx="4846320" cy="3578352"/>
            <wp:effectExtent b="0" l="0" r="0" t="0"/>
            <wp:docPr descr="부리 길이 히스토그램 (mm)" title="" id="33" name="Picture"/>
            <a:graphic>
              <a:graphicData uri="http://schemas.openxmlformats.org/drawingml/2006/picture">
                <pic:pic>
                  <pic:nvPicPr>
                    <pic:cNvPr descr="../plots/01_hist_bill_length.png" id="34" name="Picture"/>
                    <pic:cNvPicPr>
                      <a:picLocks noChangeArrowheads="1" noChangeAspect="1"/>
                    </pic:cNvPicPr>
                  </pic:nvPicPr>
                  <pic:blipFill>
                    <a:blip r:embed="rId32"/>
                    <a:stretch>
                      <a:fillRect/>
                    </a:stretch>
                  </pic:blipFill>
                  <pic:spPr bwMode="auto">
                    <a:xfrm>
                      <a:off x="0" y="0"/>
                      <a:ext cx="4846320" cy="3578352"/>
                    </a:xfrm>
                    <a:prstGeom prst="rect">
                      <a:avLst/>
                    </a:prstGeom>
                    <a:noFill/>
                    <a:ln w="9525">
                      <a:noFill/>
                      <a:headEnd/>
                      <a:tailEnd/>
                    </a:ln>
                  </pic:spPr>
                </pic:pic>
              </a:graphicData>
            </a:graphic>
          </wp:inline>
        </w:drawing>
      </w:r>
    </w:p>
    <w:p>
      <w:pPr>
        <w:pStyle w:val="ImageCaption"/>
      </w:pPr>
      <w:r>
        <w:t xml:space="preserve">부리 길이 히스토그램 (mm)</w:t>
      </w:r>
    </w:p>
    <w:p>
      <w:pPr>
        <w:pStyle w:val="BodyText"/>
      </w:pPr>
      <w:r>
        <w:t xml:space="preserve">부리 길이 히스토그램은 전체 펭귄의 부리 길이 분포를 보여주며, 중앙값 주변에 데이터가 집중되어 있음을 확인할 수 있습니다. 이 분포는 오른쪽 꼬리가 약간 긴 형태로, 일부 개체가 상대적으로 긴 부리를 가지는 것을 시사합니다. 관찰되는 분산과 왜도를 통해 종 간 차이를 보다 정밀하게 분석할 필요가 있습니다. 특히 히스토그램 단독으로는 종별 혼합 효과를 구분하기 어렵기 때문에, 종별 분포(다른 그래프 참조)와 함께 해석하면 개체군 구조와 생태적 적응을 더 잘 이해할 수 있습니다. 데이터의 결측값이 소량 존재하므로 분포 왜곡 가능성은 크지 않지만, 샘플 크기와 측정 오차를 고려한 추가 검증이 필요합니다.</w:t>
      </w:r>
    </w:p>
    <w:bookmarkEnd w:id="35"/>
    <w:bookmarkStart w:id="39" w:name="종별-부리-길이-분포-히스토그램"/>
    <w:p>
      <w:pPr>
        <w:pStyle w:val="Heading3"/>
      </w:pPr>
      <w:r>
        <w:t xml:space="preserve">종별 부리 길이 분포 (히스토그램)</w:t>
      </w:r>
    </w:p>
    <w:p>
      <w:pPr>
        <w:pStyle w:val="CaptionedFigure"/>
      </w:pPr>
      <w:r>
        <w:drawing>
          <wp:inline>
            <wp:extent cx="4846320" cy="3578352"/>
            <wp:effectExtent b="0" l="0" r="0" t="0"/>
            <wp:docPr descr="종별 부리 길이 분포 (히스토그램)" title="" id="37" name="Picture"/>
            <a:graphic>
              <a:graphicData uri="http://schemas.openxmlformats.org/drawingml/2006/picture">
                <pic:pic>
                  <pic:nvPicPr>
                    <pic:cNvPr descr="../plots/02_hist_bill_length_by_species.png" id="38" name="Picture"/>
                    <pic:cNvPicPr>
                      <a:picLocks noChangeArrowheads="1" noChangeAspect="1"/>
                    </pic:cNvPicPr>
                  </pic:nvPicPr>
                  <pic:blipFill>
                    <a:blip r:embed="rId36"/>
                    <a:stretch>
                      <a:fillRect/>
                    </a:stretch>
                  </pic:blipFill>
                  <pic:spPr bwMode="auto">
                    <a:xfrm>
                      <a:off x="0" y="0"/>
                      <a:ext cx="4846320" cy="3578352"/>
                    </a:xfrm>
                    <a:prstGeom prst="rect">
                      <a:avLst/>
                    </a:prstGeom>
                    <a:noFill/>
                    <a:ln w="9525">
                      <a:noFill/>
                      <a:headEnd/>
                      <a:tailEnd/>
                    </a:ln>
                  </pic:spPr>
                </pic:pic>
              </a:graphicData>
            </a:graphic>
          </wp:inline>
        </w:drawing>
      </w:r>
    </w:p>
    <w:p>
      <w:pPr>
        <w:pStyle w:val="ImageCaption"/>
      </w:pPr>
      <w:r>
        <w:t xml:space="preserve">종별 부리 길이 분포 (히스토그램)</w:t>
      </w:r>
    </w:p>
    <w:p>
      <w:pPr>
        <w:pStyle w:val="BodyText"/>
      </w:pPr>
      <w:r>
        <w:t xml:space="preserve">종별 히스토그램을 통해 각 종에서 부리 길이 분포 차이가 명확히 드러납니다. 예컨대 Adelie는 비교적 짧은 부리 쪽에 몰려 있고, Gentoo는 긴 쪽으로 분포가 이동해 있음을 확인할 수 있습니다. 이러한 차이는 먹이 선택이나 먹이 섭취 방식의 차이에 따른 적응적 결과로 해석될 수 있습니다. 또한 분포의 겹침 정도는 종 간 생태적 유사성 또는 측정 분산을 시사합니다. 종 구분이 비교적 명확한 변수로 보이므로, 분류(classification) 모델에서 유용한 피처가 될 가능성이 높습니다. 다만 종 간 표본수 차이를 보정해 비교해야 보다 공정한 결론을 얻을 수 있습니다.</w:t>
      </w:r>
    </w:p>
    <w:bookmarkEnd w:id="39"/>
    <w:bookmarkStart w:id="43" w:name="종별-지느러미-길이-kde"/>
    <w:p>
      <w:pPr>
        <w:pStyle w:val="Heading3"/>
      </w:pPr>
      <w:r>
        <w:t xml:space="preserve">종별 지느러미 길이 KDE</w:t>
      </w:r>
    </w:p>
    <w:p>
      <w:pPr>
        <w:pStyle w:val="CaptionedFigure"/>
      </w:pPr>
      <w:r>
        <w:drawing>
          <wp:inline>
            <wp:extent cx="5041392" cy="3572255"/>
            <wp:effectExtent b="0" l="0" r="0" t="0"/>
            <wp:docPr descr="종별 지느러미 길이 KDE" title="" id="41" name="Picture"/>
            <a:graphic>
              <a:graphicData uri="http://schemas.openxmlformats.org/drawingml/2006/picture">
                <pic:pic>
                  <pic:nvPicPr>
                    <pic:cNvPr descr="../plots/03_kde_flipper_length.png" id="42" name="Picture"/>
                    <pic:cNvPicPr>
                      <a:picLocks noChangeArrowheads="1" noChangeAspect="1"/>
                    </pic:cNvPicPr>
                  </pic:nvPicPr>
                  <pic:blipFill>
                    <a:blip r:embed="rId40"/>
                    <a:stretch>
                      <a:fillRect/>
                    </a:stretch>
                  </pic:blipFill>
                  <pic:spPr bwMode="auto">
                    <a:xfrm>
                      <a:off x="0" y="0"/>
                      <a:ext cx="5041392" cy="3572255"/>
                    </a:xfrm>
                    <a:prstGeom prst="rect">
                      <a:avLst/>
                    </a:prstGeom>
                    <a:noFill/>
                    <a:ln w="9525">
                      <a:noFill/>
                      <a:headEnd/>
                      <a:tailEnd/>
                    </a:ln>
                  </pic:spPr>
                </pic:pic>
              </a:graphicData>
            </a:graphic>
          </wp:inline>
        </w:drawing>
      </w:r>
    </w:p>
    <w:p>
      <w:pPr>
        <w:pStyle w:val="ImageCaption"/>
      </w:pPr>
      <w:r>
        <w:t xml:space="preserve">종별 지느러미 길이 KDE</w:t>
      </w:r>
    </w:p>
    <w:p>
      <w:pPr>
        <w:pStyle w:val="BodyText"/>
      </w:pPr>
      <w:r>
        <w:t xml:space="preserve">지느러미 길이의 KDE는 종별 지느러미 길이 분포의 연속적 형태를 제공합니다. Gentoo는 장대한 지느러미를 보이는 반면, Adelie는 상대적으로 짧은 값을 중심으로 분포가 형성되어 있어 종간 차이가 지속적으로 관찰됩니다. KDE의 봉우리 위치와 폭은 각 종의 중심 경향과 변이를 나타내며, 겹침이 적은 경우 해당 변수는 종 식별에 도움이 됩니다. 또한 KDE는 이상치의 영향을 완만하게 보여주어 히스토그램보다 부드러운 비교를 가능하게 합니다. 이 결과는 체중과의 상관성 관찰(회귀/상관분석)과 결합하면 생태적 의미를 더 풍부하게 해석할 수 있습니다.</w:t>
      </w:r>
    </w:p>
    <w:bookmarkEnd w:id="43"/>
    <w:bookmarkStart w:id="47" w:name="종별-부리-길이-박스플롯"/>
    <w:p>
      <w:pPr>
        <w:pStyle w:val="Heading3"/>
      </w:pPr>
      <w:r>
        <w:t xml:space="preserve">종별 부리 길이 박스플롯</w:t>
      </w:r>
    </w:p>
    <w:p>
      <w:pPr>
        <w:pStyle w:val="CaptionedFigure"/>
      </w:pPr>
      <w:r>
        <w:drawing>
          <wp:inline>
            <wp:extent cx="4846320" cy="3572255"/>
            <wp:effectExtent b="0" l="0" r="0" t="0"/>
            <wp:docPr descr="종별 부리 길이 박스플롯" title="" id="45" name="Picture"/>
            <a:graphic>
              <a:graphicData uri="http://schemas.openxmlformats.org/drawingml/2006/picture">
                <pic:pic>
                  <pic:nvPicPr>
                    <pic:cNvPr descr="../plots/04_box_bill_length_by_species.png" id="46" name="Picture"/>
                    <pic:cNvPicPr>
                      <a:picLocks noChangeArrowheads="1" noChangeAspect="1"/>
                    </pic:cNvPicPr>
                  </pic:nvPicPr>
                  <pic:blipFill>
                    <a:blip r:embed="rId44"/>
                    <a:stretch>
                      <a:fillRect/>
                    </a:stretch>
                  </pic:blipFill>
                  <pic:spPr bwMode="auto">
                    <a:xfrm>
                      <a:off x="0" y="0"/>
                      <a:ext cx="4846320" cy="3572255"/>
                    </a:xfrm>
                    <a:prstGeom prst="rect">
                      <a:avLst/>
                    </a:prstGeom>
                    <a:noFill/>
                    <a:ln w="9525">
                      <a:noFill/>
                      <a:headEnd/>
                      <a:tailEnd/>
                    </a:ln>
                  </pic:spPr>
                </pic:pic>
              </a:graphicData>
            </a:graphic>
          </wp:inline>
        </w:drawing>
      </w:r>
    </w:p>
    <w:p>
      <w:pPr>
        <w:pStyle w:val="ImageCaption"/>
      </w:pPr>
      <w:r>
        <w:t xml:space="preserve">종별 부리 길이 박스플롯</w:t>
      </w:r>
    </w:p>
    <w:p>
      <w:pPr>
        <w:pStyle w:val="BodyText"/>
      </w:pPr>
      <w:r>
        <w:t xml:space="preserve">박스플롯은 종별 부리 길이의 중앙값, 사분위수 범위 및 잠재적 이상치를 직관적으로 보여줍니다. 여기서 Gentoo는 높은 중앙값과 넓은 IQR을 보여 체구 및 부리 길이의 변이가 큼을 시사합니다. Adelie는 중앙값이 낮고 IQR이 좁아 집단 내부 변이가 작다는 것을 의미할 수 있습니다. 이상치 점은 개체 수준의 특이한 표본을 나타내며, 생물학적 변이인지 측정오류인지 추가 확인이 필요합니다. 이 플롯은 다양한 그룹 간 분포 비교와 이상치 식별에 유용하며, 통계적 검정(예: ANOVA, Kruskal-Wallis)으로 그룹 차이를 확인할 것을 권장합니다.</w:t>
      </w:r>
    </w:p>
    <w:bookmarkEnd w:id="47"/>
    <w:bookmarkStart w:id="51" w:name="종별-부리-깊이-바이올린플롯"/>
    <w:p>
      <w:pPr>
        <w:pStyle w:val="Heading3"/>
      </w:pPr>
      <w:r>
        <w:t xml:space="preserve">종별 부리 깊이 바이올린플롯</w:t>
      </w:r>
    </w:p>
    <w:p>
      <w:pPr>
        <w:pStyle w:val="CaptionedFigure"/>
      </w:pPr>
      <w:r>
        <w:drawing>
          <wp:inline>
            <wp:extent cx="4852416" cy="3572255"/>
            <wp:effectExtent b="0" l="0" r="0" t="0"/>
            <wp:docPr descr="종별 부리 깊이 바이올린플롯" title="" id="49" name="Picture"/>
            <a:graphic>
              <a:graphicData uri="http://schemas.openxmlformats.org/drawingml/2006/picture">
                <pic:pic>
                  <pic:nvPicPr>
                    <pic:cNvPr descr="../plots/05_violin_bill_depth_by_species.png" id="50" name="Picture"/>
                    <pic:cNvPicPr>
                      <a:picLocks noChangeArrowheads="1" noChangeAspect="1"/>
                    </pic:cNvPicPr>
                  </pic:nvPicPr>
                  <pic:blipFill>
                    <a:blip r:embed="rId48"/>
                    <a:stretch>
                      <a:fillRect/>
                    </a:stretch>
                  </pic:blipFill>
                  <pic:spPr bwMode="auto">
                    <a:xfrm>
                      <a:off x="0" y="0"/>
                      <a:ext cx="4852416" cy="3572255"/>
                    </a:xfrm>
                    <a:prstGeom prst="rect">
                      <a:avLst/>
                    </a:prstGeom>
                    <a:noFill/>
                    <a:ln w="9525">
                      <a:noFill/>
                      <a:headEnd/>
                      <a:tailEnd/>
                    </a:ln>
                  </pic:spPr>
                </pic:pic>
              </a:graphicData>
            </a:graphic>
          </wp:inline>
        </w:drawing>
      </w:r>
    </w:p>
    <w:p>
      <w:pPr>
        <w:pStyle w:val="ImageCaption"/>
      </w:pPr>
      <w:r>
        <w:t xml:space="preserve">종별 부리 깊이 바이올린플롯</w:t>
      </w:r>
    </w:p>
    <w:p>
      <w:pPr>
        <w:pStyle w:val="BodyText"/>
      </w:pPr>
      <w:r>
        <w:t xml:space="preserve">바이올린플롯은 밀도추정과 함께 각 종의 분포 형태를 보여주어 부리 깊이의 전체적인 분포 및 군집도를 파악하기에 유리합니다. 종별로 밀도 모양이 다르다면, 서로 다른 먹이 취득 전략이나 형태적 적응을 반영할 수 있습니다. 예를 들어 특정 종에서 이중봉우리(double peak)가 관찰되면, 두 하위집단(성별 혹은 연령층)에 따른 차이가 존재할 가능성을 시사합니다. 관찰된 분포형태를 바탕으로 추가 군집 분석 또는 혼합분포 모델을 적용하면 더 세부적인 해석이 가능합니다.</w:t>
      </w:r>
    </w:p>
    <w:bookmarkEnd w:id="51"/>
    <w:bookmarkStart w:id="55" w:name="종별-개체수"/>
    <w:p>
      <w:pPr>
        <w:pStyle w:val="Heading3"/>
      </w:pPr>
      <w:r>
        <w:t xml:space="preserve">종별 개체수</w:t>
      </w:r>
    </w:p>
    <w:p>
      <w:pPr>
        <w:pStyle w:val="CaptionedFigure"/>
      </w:pPr>
      <w:r>
        <w:drawing>
          <wp:inline>
            <wp:extent cx="4925568" cy="3572255"/>
            <wp:effectExtent b="0" l="0" r="0" t="0"/>
            <wp:docPr descr="종별 개체수" title="" id="53" name="Picture"/>
            <a:graphic>
              <a:graphicData uri="http://schemas.openxmlformats.org/drawingml/2006/picture">
                <pic:pic>
                  <pic:nvPicPr>
                    <pic:cNvPr descr="../plots/06_count_species.png" id="54" name="Picture"/>
                    <pic:cNvPicPr>
                      <a:picLocks noChangeArrowheads="1" noChangeAspect="1"/>
                    </pic:cNvPicPr>
                  </pic:nvPicPr>
                  <pic:blipFill>
                    <a:blip r:embed="rId52"/>
                    <a:stretch>
                      <a:fillRect/>
                    </a:stretch>
                  </pic:blipFill>
                  <pic:spPr bwMode="auto">
                    <a:xfrm>
                      <a:off x="0" y="0"/>
                      <a:ext cx="4925568" cy="3572255"/>
                    </a:xfrm>
                    <a:prstGeom prst="rect">
                      <a:avLst/>
                    </a:prstGeom>
                    <a:noFill/>
                    <a:ln w="9525">
                      <a:noFill/>
                      <a:headEnd/>
                      <a:tailEnd/>
                    </a:ln>
                  </pic:spPr>
                </pic:pic>
              </a:graphicData>
            </a:graphic>
          </wp:inline>
        </w:drawing>
      </w:r>
    </w:p>
    <w:p>
      <w:pPr>
        <w:pStyle w:val="ImageCaption"/>
      </w:pPr>
      <w:r>
        <w:t xml:space="preserve">종별 개체수</w:t>
      </w:r>
    </w:p>
    <w:p>
      <w:pPr>
        <w:pStyle w:val="BodyText"/>
      </w:pPr>
      <w:r>
        <w:t xml:space="preserve">카운트플롯은 각 종의 표본 수를 보여주며, 본 데이터에서는 Adelie가 가장 많고 Chinstrap가 가장 적습니다. 표본수의 불균형은 데이터 분석 및 모델링 시 편향을 초래할 수 있으므로, 통계적 비교나 분류 모델 학습 시 가중치 보정이나 샘플링 조정을 고려해야 합니다. 또한 표본수의 차이는 실제 지역적 개체밀도의 차이를 반영할 수 있으므로, 현실적 해석을 위해 샘플 수집의 방법론(샘플링 위치, 시기 등)을 함께 검토하는 것이 바람직합니다.</w:t>
      </w:r>
    </w:p>
    <w:bookmarkEnd w:id="55"/>
    <w:bookmarkStart w:id="59" w:name="종별-평균-체중-g"/>
    <w:p>
      <w:pPr>
        <w:pStyle w:val="Heading3"/>
      </w:pPr>
      <w:r>
        <w:t xml:space="preserve">종별 평균 체중 (g)</w:t>
      </w:r>
    </w:p>
    <w:p>
      <w:pPr>
        <w:pStyle w:val="CaptionedFigure"/>
      </w:pPr>
      <w:r>
        <w:drawing>
          <wp:inline>
            <wp:extent cx="5004816" cy="3578352"/>
            <wp:effectExtent b="0" l="0" r="0" t="0"/>
            <wp:docPr descr="종별 평균 체중 (g)" title="" id="57" name="Picture"/>
            <a:graphic>
              <a:graphicData uri="http://schemas.openxmlformats.org/drawingml/2006/picture">
                <pic:pic>
                  <pic:nvPicPr>
                    <pic:cNvPr descr="../plots/07_bar_mean_bodymass_by_species.png" id="58" name="Picture"/>
                    <pic:cNvPicPr>
                      <a:picLocks noChangeArrowheads="1" noChangeAspect="1"/>
                    </pic:cNvPicPr>
                  </pic:nvPicPr>
                  <pic:blipFill>
                    <a:blip r:embed="rId56"/>
                    <a:stretch>
                      <a:fillRect/>
                    </a:stretch>
                  </pic:blipFill>
                  <pic:spPr bwMode="auto">
                    <a:xfrm>
                      <a:off x="0" y="0"/>
                      <a:ext cx="5004816" cy="3578352"/>
                    </a:xfrm>
                    <a:prstGeom prst="rect">
                      <a:avLst/>
                    </a:prstGeom>
                    <a:noFill/>
                    <a:ln w="9525">
                      <a:noFill/>
                      <a:headEnd/>
                      <a:tailEnd/>
                    </a:ln>
                  </pic:spPr>
                </pic:pic>
              </a:graphicData>
            </a:graphic>
          </wp:inline>
        </w:drawing>
      </w:r>
    </w:p>
    <w:p>
      <w:pPr>
        <w:pStyle w:val="ImageCaption"/>
      </w:pPr>
      <w:r>
        <w:t xml:space="preserve">종별 평균 체중 (g)</w:t>
      </w:r>
    </w:p>
    <w:p>
      <w:pPr>
        <w:pStyle w:val="BodyText"/>
      </w:pPr>
      <w:r>
        <w:t xml:space="preserve">종별 평균 체중 막대는 Gentoo가 현저히 높은 평균 체중을 가지며, Adelie가 가장 낮음을 보여줍니다. 평균 차이는 생태적 지위나 먹이자원 이용 차이를 반영할 수 있으며, 체중의 분산과 표본수를 고려한 신뢰구간 표기는 후속 분석에서 중요합니다. 평균에 대한 단순 비교 외에도, 종 내 분포의 비대칭성이나 이상치를 함께 조사하면 종별 생태적 특성을 더 잘 이해할 수 있습니다. 또한 체중 예측 모델에 지느러미 길이 등 다른 변수를 포함해 설명력을 평가해볼 것을 권장합니다.</w:t>
      </w:r>
    </w:p>
    <w:bookmarkEnd w:id="59"/>
    <w:bookmarkStart w:id="63" w:name="부리-길이-vs-지느러미-길이-종성별"/>
    <w:p>
      <w:pPr>
        <w:pStyle w:val="Heading3"/>
      </w:pPr>
      <w:r>
        <w:t xml:space="preserve">부리 길이 vs 지느러미 길이 (종/성별)</w:t>
      </w:r>
    </w:p>
    <w:p>
      <w:pPr>
        <w:pStyle w:val="CaptionedFigure"/>
      </w:pPr>
      <w:r>
        <w:drawing>
          <wp:inline>
            <wp:extent cx="4925568" cy="3578352"/>
            <wp:effectExtent b="0" l="0" r="0" t="0"/>
            <wp:docPr descr="부리 길이 vs 지느러미 길이 (종/성별)" title="" id="61" name="Picture"/>
            <a:graphic>
              <a:graphicData uri="http://schemas.openxmlformats.org/drawingml/2006/picture">
                <pic:pic>
                  <pic:nvPicPr>
                    <pic:cNvPr descr="../plots/08_scatter_bill_vs_flipper.png" id="62" name="Picture"/>
                    <pic:cNvPicPr>
                      <a:picLocks noChangeArrowheads="1" noChangeAspect="1"/>
                    </pic:cNvPicPr>
                  </pic:nvPicPr>
                  <pic:blipFill>
                    <a:blip r:embed="rId60"/>
                    <a:stretch>
                      <a:fillRect/>
                    </a:stretch>
                  </pic:blipFill>
                  <pic:spPr bwMode="auto">
                    <a:xfrm>
                      <a:off x="0" y="0"/>
                      <a:ext cx="4925568" cy="3578352"/>
                    </a:xfrm>
                    <a:prstGeom prst="rect">
                      <a:avLst/>
                    </a:prstGeom>
                    <a:noFill/>
                    <a:ln w="9525">
                      <a:noFill/>
                      <a:headEnd/>
                      <a:tailEnd/>
                    </a:ln>
                  </pic:spPr>
                </pic:pic>
              </a:graphicData>
            </a:graphic>
          </wp:inline>
        </w:drawing>
      </w:r>
    </w:p>
    <w:p>
      <w:pPr>
        <w:pStyle w:val="ImageCaption"/>
      </w:pPr>
      <w:r>
        <w:t xml:space="preserve">부리 길이 vs 지느러미 길이 (종/성별)</w:t>
      </w:r>
    </w:p>
    <w:p>
      <w:pPr>
        <w:pStyle w:val="BodyText"/>
      </w:pPr>
      <w:r>
        <w:t xml:space="preserve">부리 길이와 지느러미 길이 산점도는 두 형태학적 변수 간의 관계를 시각화하며, 색상(hue)으로 종을 구분해 종간 관계 차이를 관찰할 수 있습니다. 상관이 있는 경우 한 변수를 통해 다른 변수를 부분적으로 예측할 수 있으며, 종별 분포의 기울기 차이는 형태적 비율의 차이를 시사합니다. 성별(style) 차이를 함께 표시하면 성별에 따른 형태 차이(성적 이형성)도 탐지할 수 있어 생태적·행동학적 해석에 유용합니다.</w:t>
      </w:r>
    </w:p>
    <w:bookmarkEnd w:id="63"/>
    <w:bookmarkStart w:id="67" w:name="지느러미-길이와-체중-회귀"/>
    <w:p>
      <w:pPr>
        <w:pStyle w:val="Heading3"/>
      </w:pPr>
      <w:r>
        <w:t xml:space="preserve">지느러미 길이와 체중 회귀</w:t>
      </w:r>
    </w:p>
    <w:p>
      <w:pPr>
        <w:pStyle w:val="CaptionedFigure"/>
      </w:pPr>
      <w:r>
        <w:drawing>
          <wp:inline>
            <wp:extent cx="5004816" cy="3572255"/>
            <wp:effectExtent b="0" l="0" r="0" t="0"/>
            <wp:docPr descr="지느러미 길이와 체중 회귀" title="" id="65" name="Picture"/>
            <a:graphic>
              <a:graphicData uri="http://schemas.openxmlformats.org/drawingml/2006/picture">
                <pic:pic>
                  <pic:nvPicPr>
                    <pic:cNvPr descr="../plots/09_reg_flipper_vs_bodymass.png" id="66" name="Picture"/>
                    <pic:cNvPicPr>
                      <a:picLocks noChangeArrowheads="1" noChangeAspect="1"/>
                    </pic:cNvPicPr>
                  </pic:nvPicPr>
                  <pic:blipFill>
                    <a:blip r:embed="rId64"/>
                    <a:stretch>
                      <a:fillRect/>
                    </a:stretch>
                  </pic:blipFill>
                  <pic:spPr bwMode="auto">
                    <a:xfrm>
                      <a:off x="0" y="0"/>
                      <a:ext cx="5004816" cy="3572255"/>
                    </a:xfrm>
                    <a:prstGeom prst="rect">
                      <a:avLst/>
                    </a:prstGeom>
                    <a:noFill/>
                    <a:ln w="9525">
                      <a:noFill/>
                      <a:headEnd/>
                      <a:tailEnd/>
                    </a:ln>
                  </pic:spPr>
                </pic:pic>
              </a:graphicData>
            </a:graphic>
          </wp:inline>
        </w:drawing>
      </w:r>
    </w:p>
    <w:p>
      <w:pPr>
        <w:pStyle w:val="ImageCaption"/>
      </w:pPr>
      <w:r>
        <w:t xml:space="preserve">지느러미 길이와 체중 회귀</w:t>
      </w:r>
    </w:p>
    <w:p>
      <w:pPr>
        <w:pStyle w:val="BodyText"/>
      </w:pPr>
      <w:r>
        <w:t xml:space="preserve">회귀 플롯은 지느러미 길이와 체중 사이의 양의 선형관계를 시사합니다. 기울기와 산포를 통해 지느러미 길이의 변화가 체중 변화에 어느 정도 영향을 주는지 가늠할 수 있으며, 잔차의 패턴을 확인해 비선형성이나 이분산 여부를 검토해야 합니다. 더 정밀한 분석을 위해 종별 또는 성별로 분리해 회귀계수를 비교하거나 다중회귀를 통해 다른 변수의 영향을 통제하여 설명력을 평가할 것을 권장합니다.</w:t>
      </w:r>
    </w:p>
    <w:bookmarkEnd w:id="67"/>
    <w:bookmarkStart w:id="71" w:name="수치-변수-페어플롯"/>
    <w:p>
      <w:pPr>
        <w:pStyle w:val="Heading3"/>
      </w:pPr>
      <w:r>
        <w:t xml:space="preserve">수치 변수 페어플롯</w:t>
      </w:r>
    </w:p>
    <w:p>
      <w:pPr>
        <w:pStyle w:val="CaptionedFigure"/>
      </w:pPr>
      <w:r>
        <w:drawing>
          <wp:inline>
            <wp:extent cx="5334000" cy="4932343"/>
            <wp:effectExtent b="0" l="0" r="0" t="0"/>
            <wp:docPr descr="수치 변수 페어플롯" title="" id="69" name="Picture"/>
            <a:graphic>
              <a:graphicData uri="http://schemas.openxmlformats.org/drawingml/2006/picture">
                <pic:pic>
                  <pic:nvPicPr>
                    <pic:cNvPr descr="../plots/10_pairplot_numeric.png" id="70" name="Picture"/>
                    <pic:cNvPicPr>
                      <a:picLocks noChangeArrowheads="1" noChangeAspect="1"/>
                    </pic:cNvPicPr>
                  </pic:nvPicPr>
                  <pic:blipFill>
                    <a:blip r:embed="rId68"/>
                    <a:stretch>
                      <a:fillRect/>
                    </a:stretch>
                  </pic:blipFill>
                  <pic:spPr bwMode="auto">
                    <a:xfrm>
                      <a:off x="0" y="0"/>
                      <a:ext cx="5334000" cy="4932343"/>
                    </a:xfrm>
                    <a:prstGeom prst="rect">
                      <a:avLst/>
                    </a:prstGeom>
                    <a:noFill/>
                    <a:ln w="9525">
                      <a:noFill/>
                      <a:headEnd/>
                      <a:tailEnd/>
                    </a:ln>
                  </pic:spPr>
                </pic:pic>
              </a:graphicData>
            </a:graphic>
          </wp:inline>
        </w:drawing>
      </w:r>
    </w:p>
    <w:p>
      <w:pPr>
        <w:pStyle w:val="ImageCaption"/>
      </w:pPr>
      <w:r>
        <w:t xml:space="preserve">수치 변수 페어플롯</w:t>
      </w:r>
    </w:p>
    <w:p>
      <w:pPr>
        <w:pStyle w:val="BodyText"/>
      </w:pPr>
      <w:r>
        <w:t xml:space="preserve">페어플롯은 수치 변수 간의 전반적 관계와 분포를 한눈에 보여주어 변수들 간 상관 구조를 탐색하는 데 유용합니다. 대각선에는 각 변수의 분포가, 비대각선에는 변수쌍의 산점도(또는 밀도)와 종별 색상 구분이 나타나며, 이를 통해 유의미한 관계 또는 다중공선성 우려 변수들을 식별할 수 있습니다. 탐색 결과를 바탕으로 회귀모형의 변수 선택, 차원축소(PCA) 혹은 상호작용 항 검토 등의 후속 작업을 설계할 수 있습니다.</w:t>
      </w:r>
    </w:p>
    <w:bookmarkEnd w:id="71"/>
    <w:bookmarkStart w:id="75" w:name="수치-변수-상관관계"/>
    <w:p>
      <w:pPr>
        <w:pStyle w:val="Heading3"/>
      </w:pPr>
      <w:r>
        <w:t xml:space="preserve">수치 변수 상관관계</w:t>
      </w:r>
    </w:p>
    <w:p>
      <w:pPr>
        <w:pStyle w:val="CaptionedFigure"/>
      </w:pPr>
      <w:r>
        <w:drawing>
          <wp:inline>
            <wp:extent cx="5334000" cy="4944570"/>
            <wp:effectExtent b="0" l="0" r="0" t="0"/>
            <wp:docPr descr="수치 변수 상관관계" title="" id="73" name="Picture"/>
            <a:graphic>
              <a:graphicData uri="http://schemas.openxmlformats.org/drawingml/2006/picture">
                <pic:pic>
                  <pic:nvPicPr>
                    <pic:cNvPr descr="../plots/11_heatmap_corr.png" id="74" name="Picture"/>
                    <pic:cNvPicPr>
                      <a:picLocks noChangeArrowheads="1" noChangeAspect="1"/>
                    </pic:cNvPicPr>
                  </pic:nvPicPr>
                  <pic:blipFill>
                    <a:blip r:embed="rId72"/>
                    <a:stretch>
                      <a:fillRect/>
                    </a:stretch>
                  </pic:blipFill>
                  <pic:spPr bwMode="auto">
                    <a:xfrm>
                      <a:off x="0" y="0"/>
                      <a:ext cx="5334000" cy="4944570"/>
                    </a:xfrm>
                    <a:prstGeom prst="rect">
                      <a:avLst/>
                    </a:prstGeom>
                    <a:noFill/>
                    <a:ln w="9525">
                      <a:noFill/>
                      <a:headEnd/>
                      <a:tailEnd/>
                    </a:ln>
                  </pic:spPr>
                </pic:pic>
              </a:graphicData>
            </a:graphic>
          </wp:inline>
        </w:drawing>
      </w:r>
    </w:p>
    <w:p>
      <w:pPr>
        <w:pStyle w:val="ImageCaption"/>
      </w:pPr>
      <w:r>
        <w:t xml:space="preserve">수치 변수 상관관계</w:t>
      </w:r>
    </w:p>
    <w:p>
      <w:pPr>
        <w:pStyle w:val="BodyText"/>
      </w:pPr>
      <w:r>
        <w:t xml:space="preserve">상관 히트맵은 수치 변수 간의 상관계수를 시각적으로 제시하며, 지느러미 길이와 체중 사이의 강한 양의 상관 등 유의한 관계를 한눈에 파악할 수 있습니다. 높은 상관 관계는 예측모형에서 중요한 피처가 될 수 있으나, 변수 간 다중공선성은 회귀모형의 해석성을 저해하므로 주의해야 합니다. 상관은 인과를 의미하지 않으므로, 추가적인 실험적/도메인 지식을 바탕으로 해석을 보완해야 합니다.</w:t>
      </w:r>
    </w:p>
    <w:bookmarkEnd w:id="75"/>
    <w:bookmarkStart w:id="79" w:name="종별-부리-길이-스웜플롯"/>
    <w:p>
      <w:pPr>
        <w:pStyle w:val="Heading3"/>
      </w:pPr>
      <w:r>
        <w:t xml:space="preserve">종별 부리 길이 스웜플롯</w:t>
      </w:r>
    </w:p>
    <w:p>
      <w:pPr>
        <w:pStyle w:val="CaptionedFigure"/>
      </w:pPr>
      <w:r>
        <w:drawing>
          <wp:inline>
            <wp:extent cx="4846320" cy="3572255"/>
            <wp:effectExtent b="0" l="0" r="0" t="0"/>
            <wp:docPr descr="종별 부리 길이 스웜플롯" title="" id="77" name="Picture"/>
            <a:graphic>
              <a:graphicData uri="http://schemas.openxmlformats.org/drawingml/2006/picture">
                <pic:pic>
                  <pic:nvPicPr>
                    <pic:cNvPr descr="../plots/12_swarm_bill_length_by_species.png" id="78" name="Picture"/>
                    <pic:cNvPicPr>
                      <a:picLocks noChangeArrowheads="1" noChangeAspect="1"/>
                    </pic:cNvPicPr>
                  </pic:nvPicPr>
                  <pic:blipFill>
                    <a:blip r:embed="rId76"/>
                    <a:stretch>
                      <a:fillRect/>
                    </a:stretch>
                  </pic:blipFill>
                  <pic:spPr bwMode="auto">
                    <a:xfrm>
                      <a:off x="0" y="0"/>
                      <a:ext cx="4846320" cy="3572255"/>
                    </a:xfrm>
                    <a:prstGeom prst="rect">
                      <a:avLst/>
                    </a:prstGeom>
                    <a:noFill/>
                    <a:ln w="9525">
                      <a:noFill/>
                      <a:headEnd/>
                      <a:tailEnd/>
                    </a:ln>
                  </pic:spPr>
                </pic:pic>
              </a:graphicData>
            </a:graphic>
          </wp:inline>
        </w:drawing>
      </w:r>
    </w:p>
    <w:p>
      <w:pPr>
        <w:pStyle w:val="ImageCaption"/>
      </w:pPr>
      <w:r>
        <w:t xml:space="preserve">종별 부리 길이 스웜플롯</w:t>
      </w:r>
    </w:p>
    <w:p>
      <w:pPr>
        <w:pStyle w:val="BodyText"/>
      </w:pPr>
      <w:r>
        <w:t xml:space="preserve">스웜플롯은 각 개체 점을 보여주어 분포의 밀도와 이상치를 동시에 파악할 수 있으며, 종별로 개체 분포의 겹침 여부를 확인할 수 있습니다. 점들의 분포가 넓을수록 군집 내 변이가 큼을 의미하며, 종 간 중첩은 서로 다른 종이 유사한 형태적 특성을 공유할 가능성을 시사합니다. 세부 관찰을 통해 표본의 균질성 여부와 개체 수준의 특이치를 확인하는 데 유리합니다.</w:t>
      </w:r>
    </w:p>
    <w:bookmarkEnd w:id="79"/>
    <w:bookmarkStart w:id="83" w:name="섬별-부리-길이-분포"/>
    <w:p>
      <w:pPr>
        <w:pStyle w:val="Heading3"/>
      </w:pPr>
      <w:r>
        <w:t xml:space="preserve">섬별 부리 길이 분포</w:t>
      </w:r>
    </w:p>
    <w:p>
      <w:pPr>
        <w:pStyle w:val="CaptionedFigure"/>
      </w:pPr>
      <w:r>
        <w:drawing>
          <wp:inline>
            <wp:extent cx="5334000" cy="1860061"/>
            <wp:effectExtent b="0" l="0" r="0" t="0"/>
            <wp:docPr descr="섬별 부리 길이 분포" title="" id="81" name="Picture"/>
            <a:graphic>
              <a:graphicData uri="http://schemas.openxmlformats.org/drawingml/2006/picture">
                <pic:pic>
                  <pic:nvPicPr>
                    <pic:cNvPr descr="../plots/13_facet_bill_length_by_island.png" id="82" name="Picture"/>
                    <pic:cNvPicPr>
                      <a:picLocks noChangeArrowheads="1" noChangeAspect="1"/>
                    </pic:cNvPicPr>
                  </pic:nvPicPr>
                  <pic:blipFill>
                    <a:blip r:embed="rId80"/>
                    <a:stretch>
                      <a:fillRect/>
                    </a:stretch>
                  </pic:blipFill>
                  <pic:spPr bwMode="auto">
                    <a:xfrm>
                      <a:off x="0" y="0"/>
                      <a:ext cx="5334000" cy="1860061"/>
                    </a:xfrm>
                    <a:prstGeom prst="rect">
                      <a:avLst/>
                    </a:prstGeom>
                    <a:noFill/>
                    <a:ln w="9525">
                      <a:noFill/>
                      <a:headEnd/>
                      <a:tailEnd/>
                    </a:ln>
                  </pic:spPr>
                </pic:pic>
              </a:graphicData>
            </a:graphic>
          </wp:inline>
        </w:drawing>
      </w:r>
    </w:p>
    <w:p>
      <w:pPr>
        <w:pStyle w:val="ImageCaption"/>
      </w:pPr>
      <w:r>
        <w:t xml:space="preserve">섬별 부리 길이 분포</w:t>
      </w:r>
    </w:p>
    <w:p>
      <w:pPr>
        <w:pStyle w:val="BodyText"/>
      </w:pPr>
      <w:r>
        <w:t xml:space="preserve">섬별 분포를 보여주는 Facet 그래프는 지역적 특성이 형태에 미치는 영향을 탐색하는 데 유용합니다. 특정 섬에서 우세한 종이 존재하거나 평균 부리 길이가 상이하게 나타나면, 그 섬의 생태적 조건(먹이, 지형 등)이 종 분포와 형태에 영향을 준다는 가설을 세울 수 있습니다. 섬 간 비교는 보전 전략이나 생태학적 연구 설계에 중요한 단서를 제공하므로, 지역별 표본 수와 수집 시기 등을 고려한 추가 검증이 필요합니다.</w:t>
      </w:r>
    </w:p>
    <w:bookmarkEnd w:id="83"/>
    <w:bookmarkStart w:id="87" w:name="섬별-종-개수-그룹화-막대"/>
    <w:p>
      <w:pPr>
        <w:pStyle w:val="Heading3"/>
      </w:pPr>
      <w:r>
        <w:t xml:space="preserve">섬별 종 개수 (그룹화 막대)</w:t>
      </w:r>
    </w:p>
    <w:p>
      <w:pPr>
        <w:pStyle w:val="CaptionedFigure"/>
      </w:pPr>
      <w:r>
        <w:drawing>
          <wp:inline>
            <wp:extent cx="5334000" cy="3935015"/>
            <wp:effectExtent b="0" l="0" r="0" t="0"/>
            <wp:docPr descr="섬별 종 개수 (그룹화 막대)" title="" id="85" name="Picture"/>
            <a:graphic>
              <a:graphicData uri="http://schemas.openxmlformats.org/drawingml/2006/picture">
                <pic:pic>
                  <pic:nvPicPr>
                    <pic:cNvPr descr="../plots/14_groupbar_island_species.png" id="86" name="Picture"/>
                    <pic:cNvPicPr>
                      <a:picLocks noChangeArrowheads="1" noChangeAspect="1"/>
                    </pic:cNvPicPr>
                  </pic:nvPicPr>
                  <pic:blipFill>
                    <a:blip r:embed="rId84"/>
                    <a:stretch>
                      <a:fillRect/>
                    </a:stretch>
                  </pic:blipFill>
                  <pic:spPr bwMode="auto">
                    <a:xfrm>
                      <a:off x="0" y="0"/>
                      <a:ext cx="5334000" cy="3935015"/>
                    </a:xfrm>
                    <a:prstGeom prst="rect">
                      <a:avLst/>
                    </a:prstGeom>
                    <a:noFill/>
                    <a:ln w="9525">
                      <a:noFill/>
                      <a:headEnd/>
                      <a:tailEnd/>
                    </a:ln>
                  </pic:spPr>
                </pic:pic>
              </a:graphicData>
            </a:graphic>
          </wp:inline>
        </w:drawing>
      </w:r>
    </w:p>
    <w:p>
      <w:pPr>
        <w:pStyle w:val="ImageCaption"/>
      </w:pPr>
      <w:r>
        <w:t xml:space="preserve">섬별 종 개수 (그룹화 막대)</w:t>
      </w:r>
    </w:p>
    <w:p>
      <w:pPr>
        <w:pStyle w:val="BodyText"/>
      </w:pPr>
      <w:r>
        <w:t xml:space="preserve">그룹화 막대그래프는 각 섬에 존재하는 종의 상대적인 빈도를 보여주어 섬별 종 구성의 차이를 직관적으로 드러냅니다. 예를 들어 특정 섬에서 Gentoo가 우세하다면 해당 섬의 환경이 Gentoo의 생태적 요구를 충족시키는 것으로 해석할 수 있습니다. 정량적 비교를 위해 교차표 및 통계적 검정을 병행하면, 관찰된 차이가 우연인지 유의한 패턴인지 판단할 수 있습니다.</w:t>
      </w:r>
    </w:p>
    <w:bookmarkEnd w:id="87"/>
    <w:bookmarkStart w:id="91" w:name="섬별-종-개수-누적-막대"/>
    <w:p>
      <w:pPr>
        <w:pStyle w:val="Heading3"/>
      </w:pPr>
      <w:r>
        <w:t xml:space="preserve">섬별 종 개수 (누적 막대)</w:t>
      </w:r>
    </w:p>
    <w:p>
      <w:pPr>
        <w:pStyle w:val="CaptionedFigure"/>
      </w:pPr>
      <w:r>
        <w:drawing>
          <wp:inline>
            <wp:extent cx="5334000" cy="3935015"/>
            <wp:effectExtent b="0" l="0" r="0" t="0"/>
            <wp:docPr descr="섬별 종 개수 (누적 막대)" title="" id="89" name="Picture"/>
            <a:graphic>
              <a:graphicData uri="http://schemas.openxmlformats.org/drawingml/2006/picture">
                <pic:pic>
                  <pic:nvPicPr>
                    <pic:cNvPr descr="../plots/15_stackedbar_island_species.png" id="90" name="Picture"/>
                    <pic:cNvPicPr>
                      <a:picLocks noChangeArrowheads="1" noChangeAspect="1"/>
                    </pic:cNvPicPr>
                  </pic:nvPicPr>
                  <pic:blipFill>
                    <a:blip r:embed="rId88"/>
                    <a:stretch>
                      <a:fillRect/>
                    </a:stretch>
                  </pic:blipFill>
                  <pic:spPr bwMode="auto">
                    <a:xfrm>
                      <a:off x="0" y="0"/>
                      <a:ext cx="5334000" cy="3935015"/>
                    </a:xfrm>
                    <a:prstGeom prst="rect">
                      <a:avLst/>
                    </a:prstGeom>
                    <a:noFill/>
                    <a:ln w="9525">
                      <a:noFill/>
                      <a:headEnd/>
                      <a:tailEnd/>
                    </a:ln>
                  </pic:spPr>
                </pic:pic>
              </a:graphicData>
            </a:graphic>
          </wp:inline>
        </w:drawing>
      </w:r>
    </w:p>
    <w:p>
      <w:pPr>
        <w:pStyle w:val="ImageCaption"/>
      </w:pPr>
      <w:r>
        <w:t xml:space="preserve">섬별 종 개수 (누적 막대)</w:t>
      </w:r>
    </w:p>
    <w:p>
      <w:pPr>
        <w:pStyle w:val="BodyText"/>
      </w:pPr>
      <w:r>
        <w:t xml:space="preserve">누적 막대그래프는 각 섬의 전체 개체수 중 종별 기여도를 보여주며, 전체 분포에서 종의 비중을 직관적으로 파악할 수 있습니다. 이 시각화는 특정 섬에서의 생태적 균형이나 종 공존 구조를 이해하는 데 도움을 줍니다. 또한 누적형태는 상대 비율을 강조하므로, 절대 수치가 중요한 경우에는 별도의 표(교차표)를 함께 제시하는 것이 바람직합니다.</w:t>
      </w:r>
    </w:p>
    <w:bookmarkEnd w:id="91"/>
    <w:bookmarkEnd w:id="92"/>
    <w:bookmarkStart w:id="93" w:name="인사이트"/>
    <w:p>
      <w:pPr>
        <w:pStyle w:val="Heading2"/>
      </w:pPr>
      <w:r>
        <w:t xml:space="preserve">인사이트</w:t>
      </w:r>
    </w:p>
    <w:p>
      <w:pPr>
        <w:numPr>
          <w:ilvl w:val="0"/>
          <w:numId w:val="1002"/>
        </w:numPr>
        <w:pStyle w:val="Compact"/>
      </w:pPr>
      <w:r>
        <w:rPr>
          <w:bCs/>
          <w:b/>
        </w:rPr>
        <w:t xml:space="preserve">Gentoo</w:t>
      </w:r>
      <w:r>
        <w:t xml:space="preserve"> </w:t>
      </w:r>
      <w:r>
        <w:t xml:space="preserve">종은 평균 체중이 가장 크며(약 5,092g), 다른 종에 비해 체중 분포가 높습니다.</w:t>
      </w:r>
    </w:p>
    <w:p>
      <w:pPr>
        <w:numPr>
          <w:ilvl w:val="0"/>
          <w:numId w:val="1002"/>
        </w:numPr>
        <w:pStyle w:val="Compact"/>
      </w:pPr>
      <w:r>
        <w:rPr>
          <w:bCs/>
          <w:b/>
        </w:rPr>
        <w:t xml:space="preserve">Adelie</w:t>
      </w:r>
      <w:r>
        <w:t xml:space="preserve"> </w:t>
      </w:r>
      <w:r>
        <w:t xml:space="preserve">종은 평균 체중이 작고 부리 길이가 상대적으로 짧습니다.</w:t>
      </w:r>
    </w:p>
    <w:p>
      <w:pPr>
        <w:numPr>
          <w:ilvl w:val="0"/>
          <w:numId w:val="1002"/>
        </w:numPr>
        <w:pStyle w:val="Compact"/>
      </w:pPr>
      <w:r>
        <w:t xml:space="preserve">지느러미 길이(</w:t>
      </w:r>
      <w:r>
        <w:rPr>
          <w:rStyle w:val="VerbatimChar"/>
        </w:rPr>
        <w:t xml:space="preserve">flipper_length_mm</w:t>
      </w:r>
      <w:r>
        <w:t xml:space="preserve">)는 체중(</w:t>
      </w:r>
      <w:r>
        <w:rPr>
          <w:rStyle w:val="VerbatimChar"/>
        </w:rPr>
        <w:t xml:space="preserve">body_mass_g</w:t>
      </w:r>
      <w:r>
        <w:t xml:space="preserve">)과 양의 상관관계를 보여, 체중을 예측하는 데 유용한 변수일 수 있습니다.</w:t>
      </w:r>
    </w:p>
    <w:p>
      <w:pPr>
        <w:numPr>
          <w:ilvl w:val="0"/>
          <w:numId w:val="1002"/>
        </w:numPr>
        <w:pStyle w:val="Compact"/>
      </w:pPr>
      <w:r>
        <w:t xml:space="preserve">섬(</w:t>
      </w:r>
      <w:r>
        <w:rPr>
          <w:rStyle w:val="VerbatimChar"/>
        </w:rPr>
        <w:t xml:space="preserve">island</w:t>
      </w:r>
      <w:r>
        <w:t xml:space="preserve">)별 종 분포 차이가 뚜렷해, 섬 환경이 종 분포에 영향을 미치는 것으로 보입니다.</w:t>
      </w:r>
    </w:p>
    <w:p>
      <w:r>
        <w:pict>
          <v:rect style="width:0;height:1.5pt" o:hralign="center" o:hrstd="t" o:hr="t"/>
        </w:pict>
      </w:r>
    </w:p>
    <w:p>
      <w:pPr>
        <w:pStyle w:val="FirstParagraph"/>
      </w:pPr>
      <w:r>
        <w:t xml:space="preserve">Report generated by scripts/penguins_analysis.py</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2025-12-23T13:10:57Z</dcterms:created>
  <dcterms:modified xsi:type="dcterms:W3CDTF">2025-12-23T13:10:57Z</dcterms:modified>
</cp:coreProperties>
</file>

<file path=docProps/custom.xml><?xml version="1.0" encoding="utf-8"?>
<Properties xmlns="http://schemas.openxmlformats.org/officeDocument/2006/custom-properties" xmlns:vt="http://schemas.openxmlformats.org/officeDocument/2006/docPropsVTypes"/>
</file>