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35DAD">
      <w:pPr>
        <w:spacing w:before="1800" w:after="200" w:line="276" w:lineRule="auto"/>
      </w:pPr>
      <w:r>
        <w:rPr>
          <w:rFonts w:ascii="Calibri" w:hAnsi="Calibri" w:eastAsia="微软雅黑"/>
          <w:b/>
          <w:color w:val="1F4D78"/>
          <w:sz w:val="48"/>
        </w:rPr>
        <w:t>共享救助信息服务平台 V2.0</w:t>
      </w:r>
      <w:r>
        <w:br w:type="textWrapping"/>
      </w:r>
      <w:r>
        <w:rPr>
          <w:rFonts w:ascii="Calibri" w:hAnsi="Calibri" w:eastAsia="微软雅黑"/>
          <w:b/>
          <w:color w:val="1F4D78"/>
          <w:sz w:val="40"/>
        </w:rPr>
        <w:t>本次开发功能页面截图及配套说明</w:t>
      </w:r>
    </w:p>
    <w:p w14:paraId="23416080">
      <w:pPr>
        <w:spacing w:before="0" w:after="360" w:line="288" w:lineRule="auto"/>
      </w:pPr>
      <w:r>
        <w:rPr>
          <w:rFonts w:ascii="Calibri" w:hAnsi="Calibri" w:eastAsia="微软雅黑"/>
          <w:b w:val="0"/>
          <w:color w:val="667085"/>
          <w:sz w:val="22"/>
        </w:rPr>
        <w:t>整理日期：2026年6月15日</w:t>
      </w:r>
    </w:p>
    <w:tbl>
      <w:tblPr>
        <w:tblStyle w:val="33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EB3A7B">
        <w:trPr>
          <w:jc w:val="center"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398B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模块</w:t>
            </w:r>
          </w:p>
        </w:tc>
        <w:tc>
          <w:tcPr>
            <w:tcW w:w="6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73D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本次交付重点</w:t>
            </w:r>
          </w:p>
        </w:tc>
      </w:tr>
      <w:tr w14:paraId="31ABA50B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E40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账号镇街管理（数据分离）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6A3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镇街基础资料维护、账号绑定所属镇街、区级/镇街账号数据范围隔离。</w:t>
            </w:r>
          </w:p>
        </w:tc>
      </w:tr>
      <w:tr w14:paraId="1BD2C7C1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77C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未救助台账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5C0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未救助明细导入、救助对象名单匹配、清洗规则、镇街下放与接收、通知/账户/报销流程、统计筛选与导出。</w:t>
            </w:r>
          </w:p>
        </w:tc>
      </w:tr>
      <w:tr w14:paraId="16A340A5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CCD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参保台账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AC8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年度配置、按月全量导入、补充附件导入、增量形式判定、统计筛选、导出汇总名单/对比结果/特殊对象台账。</w:t>
            </w:r>
          </w:p>
        </w:tc>
      </w:tr>
      <w:tr w14:paraId="51CCABAC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D8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共用能力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2B5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任务中心、导入导出队列、失败原因、操作记录、列表列配置和固定列交互。</w:t>
            </w:r>
          </w:p>
        </w:tc>
      </w:tr>
      <w:tr w14:paraId="35B47984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CD87">
            <w:pPr>
              <w:spacing w:before="0" w:after="0" w:line="276" w:lineRule="auto"/>
              <w:rPr>
                <w:rFonts w:hint="default" w:ascii="Calibri" w:hAnsi="Calibri" w:eastAsia="微软雅黑"/>
                <w:b w:val="0"/>
                <w:color w:val="1F2933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color w:val="1F2933"/>
                <w:sz w:val="20"/>
                <w:lang w:val="en-US" w:eastAsia="zh-CN"/>
              </w:rPr>
              <w:t>数据存储脱敏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1A31">
            <w:pPr>
              <w:spacing w:before="0" w:after="0" w:line="276" w:lineRule="auto"/>
              <w:rPr>
                <w:rFonts w:hint="default" w:ascii="Calibri" w:hAnsi="Calibri" w:eastAsia="微软雅黑"/>
                <w:b w:val="0"/>
                <w:color w:val="1F2933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color w:val="1F2933"/>
                <w:sz w:val="20"/>
                <w:lang w:val="en-US" w:eastAsia="zh-CN"/>
              </w:rPr>
              <w:t>对数据库存储的关键数据进行脱敏处理，提升数据安全性。</w:t>
            </w:r>
          </w:p>
        </w:tc>
      </w:tr>
    </w:tbl>
    <w:p w14:paraId="5266E76C"/>
    <w:p w14:paraId="39CD4005">
      <w:pPr>
        <w:pStyle w:val="3"/>
        <w:keepNext/>
        <w:spacing w:before="360" w:after="200" w:line="300" w:lineRule="auto"/>
      </w:pPr>
      <w:r>
        <w:t>一、账号镇街管理（数据分离）</w:t>
      </w:r>
    </w:p>
    <w:p w14:paraId="1F8C881B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区级账号可维护镇街基础资料，并可创建全局账号或绑定镇街的账号。</w:t>
      </w:r>
    </w:p>
    <w:p w14:paraId="34E22B12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镇街账号通过用户表的所属镇街字段控制数据范围，进入业务页后只能查看和处理本镇街可见数据。</w:t>
      </w:r>
    </w:p>
    <w:p w14:paraId="71A8F6F1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镇街账号在未救助台账中不显示剔除、命中状态、报销等区级处理字段，也不具备导入、清洗、下放等区级按钮。</w:t>
      </w:r>
    </w:p>
    <w:p w14:paraId="020844D1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镇街资料支持列表筛选、新增/编辑、启停状态、导入任务和查看关联账号。</w:t>
      </w:r>
    </w:p>
    <w:tbl>
      <w:tblPr>
        <w:tblStyle w:val="33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3450"/>
        <w:gridCol w:w="4635"/>
      </w:tblGrid>
      <w:tr w14:paraId="3D0B0439">
        <w:trPr>
          <w:jc w:val="center"/>
        </w:trPr>
        <w:tc>
          <w:tcPr>
            <w:tcW w:w="12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63C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步骤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D2D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</w:t>
            </w:r>
          </w:p>
        </w:tc>
        <w:tc>
          <w:tcPr>
            <w:tcW w:w="46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60D4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系统结果 / 验证点</w:t>
            </w:r>
          </w:p>
        </w:tc>
      </w:tr>
      <w:tr w14:paraId="2946C445">
        <w:trPr>
          <w:jc w:val="center"/>
        </w:trPr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DB3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1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A04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进入“用户管理 -&gt; 镇街管理”。</w:t>
            </w:r>
          </w:p>
        </w:tc>
        <w:tc>
          <w:tcPr>
            <w:tcW w:w="4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BD3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查看镇街列表，确认镇街名称、编码、状态和账号数量。</w:t>
            </w:r>
          </w:p>
        </w:tc>
      </w:tr>
      <w:tr w14:paraId="3D9876B2">
        <w:trPr>
          <w:jc w:val="center"/>
        </w:trPr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B97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2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F3C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点击“新增镇街”或编辑已有镇街。</w:t>
            </w:r>
          </w:p>
        </w:tc>
        <w:tc>
          <w:tcPr>
            <w:tcW w:w="4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946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维护镇街名称、编码、状态、排序和备注。</w:t>
            </w:r>
          </w:p>
        </w:tc>
      </w:tr>
      <w:tr w14:paraId="42F5A0DE">
        <w:trPr>
          <w:jc w:val="center"/>
        </w:trPr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B59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3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2DD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进入“用户管理 -&gt; 账户管理”。</w:t>
            </w:r>
          </w:p>
        </w:tc>
        <w:tc>
          <w:tcPr>
            <w:tcW w:w="4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DC0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在账号列表中查看账号所属镇街；全局账号显示为全局。</w:t>
            </w:r>
          </w:p>
        </w:tc>
      </w:tr>
      <w:tr w14:paraId="020A3CEF">
        <w:trPr>
          <w:jc w:val="center"/>
        </w:trPr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9E9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4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7DA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创建或编辑用户时选择“所属镇街”。</w:t>
            </w:r>
          </w:p>
        </w:tc>
        <w:tc>
          <w:tcPr>
            <w:tcW w:w="4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E66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保存后该账号自动按所属镇街隔离业务数据。</w:t>
            </w:r>
          </w:p>
        </w:tc>
      </w:tr>
    </w:tbl>
    <w:p w14:paraId="40B41DF3"/>
    <w:p w14:paraId="2A9EFB2C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15C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1：镇街管理列表，支持查询、状态筛选、新增镇街和导入。</w:t>
      </w:r>
    </w:p>
    <w:p w14:paraId="540F67F7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CD4F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2：镇街新增/编辑弹窗，维护镇街名称、编码、状态、排序和备注。</w:t>
      </w:r>
    </w:p>
    <w:p w14:paraId="31E57050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C39D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3：账户管理列表展示所属镇街，可按镇街筛选账号。</w:t>
      </w:r>
    </w:p>
    <w:p w14:paraId="03A16D57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A542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4：创建用户时绑定所属镇街，作为后续业务数据隔离依据。</w:t>
      </w:r>
    </w:p>
    <w:p w14:paraId="1FAC764C">
      <w:pPr>
        <w:pStyle w:val="3"/>
        <w:keepNext/>
        <w:spacing w:before="360" w:after="200" w:line="300" w:lineRule="auto"/>
      </w:pPr>
      <w:r>
        <w:t>二、未救助台账</w:t>
      </w:r>
    </w:p>
    <w:p w14:paraId="03443321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按清算期管理未救助明细，清算期切换后会重新加载列表、统计、筛选项和清洗任务状态，并缓存用户上次选择。</w:t>
      </w:r>
    </w:p>
    <w:p w14:paraId="3C77DD13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附件1按“清算期 + 序号”新增或更新未救助明细；附件2按“清算期 + 身份证号”匹配救助对象名单并回填镇街、村社和身份类别。</w:t>
      </w:r>
    </w:p>
    <w:p w14:paraId="45E51047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清洗规则支持医疗类别保留、身份类别剔除、机构关键字剔除、报销金额等规则；执行清洗前二次确认，执行中展示进度并刷新统计。</w:t>
      </w:r>
    </w:p>
    <w:p w14:paraId="29517F76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区级用户可下放镇街数据、导出排查/通知/未报销台账；镇街用户接收下放数据后进行通知、账户回填等处理。</w:t>
      </w:r>
    </w:p>
    <w:tbl>
      <w:tblPr>
        <w:tblStyle w:val="33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4188"/>
        <w:gridCol w:w="3861"/>
      </w:tblGrid>
      <w:tr w14:paraId="4E58C0DE">
        <w:trPr>
          <w:jc w:val="center"/>
        </w:trPr>
        <w:tc>
          <w:tcPr>
            <w:tcW w:w="1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98FB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步骤</w:t>
            </w:r>
          </w:p>
        </w:tc>
        <w:tc>
          <w:tcPr>
            <w:tcW w:w="41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E89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</w:t>
            </w:r>
          </w:p>
        </w:tc>
        <w:tc>
          <w:tcPr>
            <w:tcW w:w="38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F89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系统结果 / 验证点</w:t>
            </w:r>
          </w:p>
        </w:tc>
      </w:tr>
      <w:tr w14:paraId="3A7D04D9">
        <w:trPr>
          <w:jc w:val="center"/>
        </w:trPr>
        <w:tc>
          <w:tcPr>
            <w:tcW w:w="1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A61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1</w:t>
            </w:r>
          </w:p>
        </w:tc>
        <w:tc>
          <w:tcPr>
            <w:tcW w:w="4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A64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选择清算期，点击“导入 未救助明细”。</w:t>
            </w:r>
          </w:p>
        </w:tc>
        <w:tc>
          <w:tcPr>
            <w:tcW w:w="3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074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导入附件1，系统按清算期和序号写入或更新主表。</w:t>
            </w:r>
          </w:p>
        </w:tc>
      </w:tr>
      <w:tr w14:paraId="3DB86675">
        <w:trPr>
          <w:jc w:val="center"/>
        </w:trPr>
        <w:tc>
          <w:tcPr>
            <w:tcW w:w="1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41D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2</w:t>
            </w:r>
          </w:p>
        </w:tc>
        <w:tc>
          <w:tcPr>
            <w:tcW w:w="4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A68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点击“导入 救助对象名单”。</w:t>
            </w:r>
          </w:p>
        </w:tc>
        <w:tc>
          <w:tcPr>
            <w:tcW w:w="3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501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导入附件2，按身份证匹配并补齐镇街、村社、身份类别等信息。</w:t>
            </w:r>
          </w:p>
        </w:tc>
      </w:tr>
      <w:tr w14:paraId="134D4656">
        <w:trPr>
          <w:jc w:val="center"/>
        </w:trPr>
        <w:tc>
          <w:tcPr>
            <w:tcW w:w="1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CD5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3</w:t>
            </w:r>
          </w:p>
        </w:tc>
        <w:tc>
          <w:tcPr>
            <w:tcW w:w="4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229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展开“清洗规则配置”，维护规则后执行清洗。</w:t>
            </w:r>
          </w:p>
        </w:tc>
        <w:tc>
          <w:tcPr>
            <w:tcW w:w="3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B1C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系统异步处理，页面显示进度，任务中心和日志保留执行结果。</w:t>
            </w:r>
          </w:p>
        </w:tc>
      </w:tr>
      <w:tr w14:paraId="242C60CC">
        <w:trPr>
          <w:jc w:val="center"/>
        </w:trPr>
        <w:tc>
          <w:tcPr>
            <w:tcW w:w="1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9C1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4</w:t>
            </w:r>
          </w:p>
        </w:tc>
        <w:tc>
          <w:tcPr>
            <w:tcW w:w="4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75E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筛选未剔除、拟通知或镇街条件后下放。</w:t>
            </w:r>
          </w:p>
        </w:tc>
        <w:tc>
          <w:tcPr>
            <w:tcW w:w="3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9E8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镇街账号仅查看本镇街已下放/已接收/已通知数据。</w:t>
            </w:r>
          </w:p>
        </w:tc>
      </w:tr>
      <w:tr w14:paraId="168332B2">
        <w:trPr>
          <w:jc w:val="center"/>
        </w:trPr>
        <w:tc>
          <w:tcPr>
            <w:tcW w:w="1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AB6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5</w:t>
            </w:r>
          </w:p>
        </w:tc>
        <w:tc>
          <w:tcPr>
            <w:tcW w:w="41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999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根据业务节点导出文件。</w:t>
            </w:r>
          </w:p>
        </w:tc>
        <w:tc>
          <w:tcPr>
            <w:tcW w:w="3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153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可导出排查明细、未报销台账、通知名单、应补应退排查记录等。</w:t>
            </w:r>
          </w:p>
        </w:tc>
      </w:tr>
    </w:tbl>
    <w:p w14:paraId="4763D97F"/>
    <w:p w14:paraId="0EC775ED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C8E8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5：未救助明细列表，统计卡片位于筛选下方，常用按钮集中在列表上方。</w:t>
      </w:r>
    </w:p>
    <w:p w14:paraId="1DD3E4A6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41A1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6：未救助明细导入弹窗，展示清算期、导入说明、模板下载和 CSV 文件选择。</w:t>
      </w:r>
    </w:p>
    <w:p w14:paraId="7AAFE415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A99C">
      <w:pPr>
        <w:spacing w:before="0" w:after="160" w:line="276" w:lineRule="auto"/>
        <w:jc w:val="center"/>
        <w:rPr>
          <w:rFonts w:ascii="Calibri" w:hAnsi="Calibri" w:eastAsia="微软雅黑"/>
          <w:b w:val="0"/>
          <w:color w:val="667085"/>
          <w:sz w:val="19"/>
        </w:rPr>
      </w:pPr>
      <w:r>
        <w:rPr>
          <w:rFonts w:ascii="Calibri" w:hAnsi="Calibri" w:eastAsia="微软雅黑"/>
          <w:b w:val="0"/>
          <w:color w:val="667085"/>
          <w:sz w:val="19"/>
        </w:rPr>
        <w:t>图 7：清洗规则配置区域，区级用户可编辑规则并执行清洗。</w:t>
      </w:r>
    </w:p>
    <w:p w14:paraId="4FB9D772">
      <w:pPr>
        <w:spacing w:before="0" w:after="160" w:line="276" w:lineRule="auto"/>
        <w:jc w:val="center"/>
        <w:rPr>
          <w:rFonts w:ascii="Calibri" w:hAnsi="Calibri" w:eastAsia="微软雅黑"/>
          <w:b w:val="0"/>
          <w:color w:val="667085"/>
          <w:sz w:val="19"/>
        </w:rPr>
      </w:pPr>
      <w:r>
        <w:drawing>
          <wp:inline distT="0" distB="0" distL="114300" distR="114300">
            <wp:extent cx="5939155" cy="2949575"/>
            <wp:effectExtent l="0" t="0" r="4445" b="222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00B5">
      <w:pPr>
        <w:spacing w:before="0" w:after="160" w:line="276" w:lineRule="auto"/>
        <w:jc w:val="center"/>
        <w:rPr>
          <w:rFonts w:ascii="Calibri" w:hAnsi="Calibri" w:eastAsia="微软雅黑"/>
          <w:b w:val="0"/>
          <w:color w:val="667085"/>
          <w:sz w:val="19"/>
        </w:rPr>
      </w:pPr>
      <w:r>
        <w:rPr>
          <w:rFonts w:ascii="Calibri" w:hAnsi="Calibri" w:eastAsia="微软雅黑"/>
          <w:b w:val="0"/>
          <w:color w:val="667085"/>
          <w:sz w:val="19"/>
        </w:rPr>
        <w:t xml:space="preserve">图 </w:t>
      </w:r>
      <w:r>
        <w:rPr>
          <w:rFonts w:hint="eastAsia"/>
          <w:b w:val="0"/>
          <w:color w:val="667085"/>
          <w:sz w:val="19"/>
          <w:lang w:val="en-US" w:eastAsia="zh-CN"/>
        </w:rPr>
        <w:t>8</w:t>
      </w:r>
      <w:r>
        <w:rPr>
          <w:rFonts w:ascii="Calibri" w:hAnsi="Calibri" w:eastAsia="微软雅黑"/>
          <w:b w:val="0"/>
          <w:color w:val="667085"/>
          <w:sz w:val="19"/>
        </w:rPr>
        <w:t>：清洗</w:t>
      </w:r>
      <w:r>
        <w:rPr>
          <w:rFonts w:hint="eastAsia"/>
          <w:b w:val="0"/>
          <w:color w:val="667085"/>
          <w:sz w:val="19"/>
          <w:lang w:val="en-US" w:eastAsia="zh-CN"/>
        </w:rPr>
        <w:t>后的数据列表展示</w:t>
      </w:r>
      <w:r>
        <w:rPr>
          <w:rFonts w:ascii="Calibri" w:hAnsi="Calibri" w:eastAsia="微软雅黑"/>
          <w:b w:val="0"/>
          <w:color w:val="667085"/>
          <w:sz w:val="19"/>
        </w:rPr>
        <w:t>。</w:t>
      </w:r>
    </w:p>
    <w:p w14:paraId="1AFB383A">
      <w:pPr>
        <w:spacing w:before="0" w:after="160" w:line="276" w:lineRule="auto"/>
        <w:jc w:val="both"/>
      </w:pPr>
      <w:r>
        <w:drawing>
          <wp:inline distT="0" distB="0" distL="114300" distR="114300">
            <wp:extent cx="5928995" cy="2905760"/>
            <wp:effectExtent l="0" t="0" r="14605" b="152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98E3">
      <w:pPr>
        <w:spacing w:before="0" w:after="160" w:line="276" w:lineRule="auto"/>
        <w:jc w:val="center"/>
        <w:rPr>
          <w:rFonts w:ascii="Calibri" w:hAnsi="Calibri" w:eastAsia="微软雅黑"/>
          <w:b w:val="0"/>
          <w:color w:val="667085"/>
          <w:sz w:val="19"/>
        </w:rPr>
      </w:pPr>
      <w:r>
        <w:rPr>
          <w:rFonts w:ascii="Calibri" w:hAnsi="Calibri" w:eastAsia="微软雅黑"/>
          <w:b w:val="0"/>
          <w:color w:val="667085"/>
          <w:sz w:val="19"/>
        </w:rPr>
        <w:t xml:space="preserve">图 </w:t>
      </w:r>
      <w:r>
        <w:rPr>
          <w:rFonts w:hint="eastAsia"/>
          <w:b w:val="0"/>
          <w:color w:val="667085"/>
          <w:sz w:val="19"/>
          <w:lang w:val="en-US" w:eastAsia="zh-CN"/>
        </w:rPr>
        <w:t>9</w:t>
      </w:r>
      <w:r>
        <w:rPr>
          <w:rFonts w:ascii="Calibri" w:hAnsi="Calibri" w:eastAsia="微软雅黑"/>
          <w:b w:val="0"/>
          <w:color w:val="667085"/>
          <w:sz w:val="19"/>
        </w:rPr>
        <w:t>：</w:t>
      </w:r>
      <w:r>
        <w:rPr>
          <w:rFonts w:hint="eastAsia"/>
          <w:b w:val="0"/>
          <w:color w:val="667085"/>
          <w:sz w:val="19"/>
          <w:lang w:val="en-US" w:eastAsia="zh-CN"/>
        </w:rPr>
        <w:t>导出各种报表台账</w:t>
      </w:r>
      <w:r>
        <w:rPr>
          <w:rFonts w:ascii="Calibri" w:hAnsi="Calibri" w:eastAsia="微软雅黑"/>
          <w:b w:val="0"/>
          <w:color w:val="667085"/>
          <w:sz w:val="19"/>
        </w:rPr>
        <w:t>。</w:t>
      </w:r>
    </w:p>
    <w:p w14:paraId="3C898BBE">
      <w:pPr>
        <w:spacing w:before="0" w:after="160" w:line="276" w:lineRule="auto"/>
        <w:jc w:val="both"/>
      </w:pPr>
    </w:p>
    <w:p w14:paraId="3B5B515C">
      <w:pPr>
        <w:pStyle w:val="3"/>
        <w:keepNext/>
        <w:spacing w:before="360" w:after="200" w:line="300" w:lineRule="auto"/>
      </w:pPr>
      <w:r>
        <w:t>三、参保台账</w:t>
      </w:r>
    </w:p>
    <w:p w14:paraId="00B465AB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参保台账按“年份 + 身份证号码”作为程序层主匹配规则，年度内每人保留一条主台账记录。数据库不依赖唯一索引兜底。</w:t>
      </w:r>
    </w:p>
    <w:p w14:paraId="3C647C57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年度配置包括资助参保身份、医疗救助身份、身份对应明细，支持导入、手工新增/编辑、按年克隆和近三年年份切换。</w:t>
      </w:r>
    </w:p>
    <w:p w14:paraId="6A973279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附件3是按月导入的当月全量名单，导入时选择年份和月份；系统据此判断新增、变更、取消三种增量形式。</w:t>
      </w:r>
    </w:p>
    <w:p w14:paraId="7B46DCE1">
      <w:pPr>
        <w:pStyle w:val="16"/>
        <w:spacing w:before="0" w:after="80" w:line="300" w:lineRule="auto"/>
      </w:pPr>
      <w:r>
        <w:rPr>
          <w:rFonts w:ascii="Calibri" w:hAnsi="Calibri" w:eastAsia="微软雅黑"/>
          <w:b w:val="0"/>
          <w:color w:val="1F2933"/>
          <w:sz w:val="22"/>
        </w:rPr>
        <w:t>附件4、附件5、附件6用于补充居民医保缴费金额、资助金额、税务请款、死亡时间等字段，并联动计算参保类别、是否参保、是否符合资助、是否获得资助和资助方式。</w:t>
      </w:r>
    </w:p>
    <w:tbl>
      <w:tblPr>
        <w:tblStyle w:val="33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FC6F91">
        <w:trPr>
          <w:jc w:val="center"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C68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步骤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1365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25D3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系统结果 / 验证点</w:t>
            </w:r>
          </w:p>
        </w:tc>
      </w:tr>
      <w:tr w14:paraId="2AE78464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C47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1E1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先进入“参保台账 -&gt; 参保配置”。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79C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导入或维护当前年度的附件1、附件2、附件7配置。</w:t>
            </w:r>
          </w:p>
        </w:tc>
      </w:tr>
      <w:tr w14:paraId="2551AD12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D6E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B37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进入“参保台账明细”，选择年份和导入月份。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6A7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月份用于附件3/4/5/6的导入周期，列表筛选以年份为主。</w:t>
            </w:r>
          </w:p>
        </w:tc>
      </w:tr>
      <w:tr w14:paraId="6BF82DA1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846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421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导入附件3全量明细。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0B1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按年度身份证号新增/更新人员，判定新增、变更、取消。</w:t>
            </w:r>
          </w:p>
        </w:tc>
      </w:tr>
      <w:tr w14:paraId="51F3BB9E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E86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EC9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按需导入附件4、附件5、附件6。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3B4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补充金额、请款、死亡时间等字段，并触发联动计算。</w:t>
            </w:r>
          </w:p>
        </w:tc>
      </w:tr>
      <w:tr w14:paraId="5E7445EF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63D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7CE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任务完成后导出。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F35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可导出资助参保对象汇总名单、对比结果、特殊对象资助参保台账。</w:t>
            </w:r>
          </w:p>
        </w:tc>
      </w:tr>
    </w:tbl>
    <w:p w14:paraId="276C1690"/>
    <w:p w14:paraId="41A4CE75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9886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 xml:space="preserve">图 </w:t>
      </w:r>
      <w:r>
        <w:rPr>
          <w:rFonts w:hint="eastAsia"/>
          <w:b w:val="0"/>
          <w:color w:val="667085"/>
          <w:sz w:val="19"/>
          <w:lang w:val="en-US" w:eastAsia="zh-CN"/>
        </w:rPr>
        <w:t>10</w:t>
      </w:r>
      <w:r>
        <w:rPr>
          <w:rFonts w:ascii="Calibri" w:hAnsi="Calibri" w:eastAsia="微软雅黑"/>
          <w:b w:val="0"/>
          <w:color w:val="667085"/>
          <w:sz w:val="19"/>
        </w:rPr>
        <w:t>：参保配置页面，按年份和配置类型维护资助参保身份、医疗救助身份、身份对应明细。</w:t>
      </w:r>
    </w:p>
    <w:p w14:paraId="062F4710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E914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 xml:space="preserve">图 </w:t>
      </w:r>
      <w:r>
        <w:rPr>
          <w:rFonts w:hint="eastAsia"/>
          <w:b w:val="0"/>
          <w:color w:val="667085"/>
          <w:sz w:val="19"/>
          <w:lang w:val="en-US" w:eastAsia="zh-CN"/>
        </w:rPr>
        <w:t>11</w:t>
      </w:r>
      <w:r>
        <w:rPr>
          <w:rFonts w:ascii="Calibri" w:hAnsi="Calibri" w:eastAsia="微软雅黑"/>
          <w:b w:val="0"/>
          <w:color w:val="667085"/>
          <w:sz w:val="19"/>
        </w:rPr>
        <w:t>：参保配置导入弹窗，保留与未救助导入一致的说明、模板下载和 CSV 上传交互。</w:t>
      </w:r>
    </w:p>
    <w:p w14:paraId="71213E1A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8D7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1</w:t>
      </w:r>
      <w:r>
        <w:rPr>
          <w:rFonts w:hint="eastAsia"/>
          <w:b w:val="0"/>
          <w:color w:val="667085"/>
          <w:sz w:val="19"/>
          <w:lang w:val="en-US" w:eastAsia="zh-CN"/>
        </w:rPr>
        <w:t>2</w:t>
      </w:r>
      <w:r>
        <w:rPr>
          <w:rFonts w:ascii="Calibri" w:hAnsi="Calibri" w:eastAsia="微软雅黑"/>
          <w:b w:val="0"/>
          <w:color w:val="667085"/>
          <w:sz w:val="19"/>
        </w:rPr>
        <w:t>：参保台账明细列表，统计卡片、筛选项、导入/导出入口与未救助台账保持一致。</w:t>
      </w:r>
    </w:p>
    <w:p w14:paraId="05676A16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0BA3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1</w:t>
      </w:r>
      <w:r>
        <w:rPr>
          <w:rFonts w:hint="eastAsia"/>
          <w:b w:val="0"/>
          <w:color w:val="667085"/>
          <w:sz w:val="19"/>
          <w:lang w:val="en-US" w:eastAsia="zh-CN"/>
        </w:rPr>
        <w:t>3</w:t>
      </w:r>
      <w:r>
        <w:rPr>
          <w:rFonts w:ascii="Calibri" w:hAnsi="Calibri" w:eastAsia="微软雅黑"/>
          <w:b w:val="0"/>
          <w:color w:val="667085"/>
          <w:sz w:val="19"/>
        </w:rPr>
        <w:t>：参保台账附件导入弹窗，导入时选择月份并按任务中心异步处理。</w:t>
      </w:r>
    </w:p>
    <w:p w14:paraId="5BF3937E">
      <w:pPr>
        <w:keepNext/>
        <w:spacing w:before="80" w:after="60" w:line="240" w:lineRule="auto"/>
        <w:jc w:val="center"/>
      </w:pPr>
      <w:r>
        <w:drawing>
          <wp:inline distT="0" distB="0" distL="114300" distR="114300">
            <wp:extent cx="5715000" cy="3571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FFB6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1</w:t>
      </w:r>
      <w:r>
        <w:rPr>
          <w:rFonts w:hint="eastAsia"/>
          <w:b w:val="0"/>
          <w:color w:val="667085"/>
          <w:sz w:val="19"/>
          <w:lang w:val="en-US" w:eastAsia="zh-CN"/>
        </w:rPr>
        <w:t>4</w:t>
      </w:r>
      <w:r>
        <w:rPr>
          <w:rFonts w:ascii="Calibri" w:hAnsi="Calibri" w:eastAsia="微软雅黑"/>
          <w:b w:val="0"/>
          <w:color w:val="667085"/>
          <w:sz w:val="19"/>
        </w:rPr>
        <w:t>：参保台账导出入口，支持汇总名单、对比结果和特殊对象台账。</w:t>
      </w:r>
    </w:p>
    <w:p w14:paraId="0032FE78">
      <w:pPr>
        <w:pStyle w:val="3"/>
        <w:keepNext/>
        <w:numPr>
          <w:ilvl w:val="0"/>
          <w:numId w:val="7"/>
        </w:numPr>
        <w:spacing w:before="360" w:after="200" w:line="300" w:lineRule="auto"/>
      </w:pPr>
      <w:r>
        <w:rPr>
          <w:rFonts w:hint="eastAsia"/>
          <w:lang w:val="en-US" w:eastAsia="zh-CN"/>
        </w:rPr>
        <w:t>数据脱敏</w:t>
      </w:r>
    </w:p>
    <w:p w14:paraId="3BB0E2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94375" cy="5120640"/>
            <wp:effectExtent l="0" t="0" r="22225" b="1016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D9DE">
      <w:pPr>
        <w:spacing w:before="0" w:after="160" w:line="276" w:lineRule="auto"/>
        <w:jc w:val="center"/>
      </w:pPr>
      <w:r>
        <w:rPr>
          <w:rFonts w:ascii="Calibri" w:hAnsi="Calibri" w:eastAsia="微软雅黑"/>
          <w:b w:val="0"/>
          <w:color w:val="667085"/>
          <w:sz w:val="19"/>
        </w:rPr>
        <w:t>图 1</w:t>
      </w:r>
      <w:r>
        <w:rPr>
          <w:rFonts w:hint="eastAsia"/>
          <w:b w:val="0"/>
          <w:color w:val="667085"/>
          <w:sz w:val="19"/>
          <w:lang w:val="en-US" w:eastAsia="zh-CN"/>
        </w:rPr>
        <w:t>5</w:t>
      </w:r>
      <w:r>
        <w:rPr>
          <w:rFonts w:ascii="Calibri" w:hAnsi="Calibri" w:eastAsia="微软雅黑"/>
          <w:b w:val="0"/>
          <w:color w:val="667085"/>
          <w:sz w:val="19"/>
        </w:rPr>
        <w:t>：</w:t>
      </w:r>
      <w:r>
        <w:rPr>
          <w:rFonts w:hint="eastAsia"/>
          <w:b w:val="0"/>
          <w:color w:val="667085"/>
          <w:sz w:val="19"/>
          <w:lang w:val="en-US" w:eastAsia="zh-CN"/>
        </w:rPr>
        <w:t>数据库存储关键信息脱敏</w:t>
      </w:r>
      <w:r>
        <w:rPr>
          <w:rFonts w:ascii="Calibri" w:hAnsi="Calibri" w:eastAsia="微软雅黑"/>
          <w:b w:val="0"/>
          <w:color w:val="667085"/>
          <w:sz w:val="19"/>
        </w:rPr>
        <w:t>。</w:t>
      </w:r>
    </w:p>
    <w:p w14:paraId="19DB21C2">
      <w:pPr>
        <w:numPr>
          <w:numId w:val="0"/>
        </w:numPr>
        <w:ind w:left="720" w:leftChars="0" w:firstLine="720" w:firstLineChars="0"/>
        <w:rPr>
          <w:rFonts w:hint="default"/>
          <w:lang w:val="en-US" w:eastAsia="zh-CN"/>
        </w:rPr>
      </w:pPr>
    </w:p>
    <w:p w14:paraId="695D429F">
      <w:bookmarkStart w:id="0" w:name="_GoBack"/>
      <w:bookmarkEnd w:id="0"/>
    </w:p>
    <w:p w14:paraId="1D9ADD76">
      <w:pPr>
        <w:pStyle w:val="3"/>
        <w:keepNext/>
        <w:spacing w:before="360" w:after="200" w:line="300" w:lineRule="auto"/>
      </w:pPr>
      <w:r>
        <w:rPr>
          <w:rFonts w:hint="eastAsia"/>
          <w:lang w:val="en-US" w:eastAsia="zh-CN"/>
        </w:rPr>
        <w:t>五</w:t>
      </w:r>
      <w:r>
        <w:t>、共用机制与验收关注点</w:t>
      </w:r>
    </w:p>
    <w:tbl>
      <w:tblPr>
        <w:tblStyle w:val="33"/>
        <w:tblW w:w="0" w:type="auto"/>
        <w:jc w:val="center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single" w:color="D0D7DE" w:sz="6" w:space="0"/>
          <w:insideV w:val="single" w:color="D0D7D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B4D530">
        <w:trPr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04B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机制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9D29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本次处理方式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3BB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验收关注点</w:t>
            </w:r>
          </w:p>
        </w:tc>
      </w:tr>
      <w:tr w14:paraId="1C208178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EE1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任务中心/队列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8E9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导入、导出、清洗等耗时操作提交为异步任务，记录进度、结果和失败原因。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626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失败任务应能在任务中心看到原因，不需要只查后端日志。</w:t>
            </w:r>
          </w:p>
        </w:tc>
      </w:tr>
      <w:tr w14:paraId="5257E11A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07D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操作记录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6B8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全局操作日志沉淀用户导入、导出、配置编辑等动作，并在用户管理下提供操作记录列表。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D63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可按用户、模块、动作、时间等条件筛选。</w:t>
            </w:r>
          </w:p>
        </w:tc>
      </w:tr>
      <w:tr w14:paraId="56B18EB3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69B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列表交互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F90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明细列表支持列显示配置、左右固定、拖拽排序、常用筛选和更多筛选。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4B8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关键列默认固定，用户可自定义取消或调整。</w:t>
            </w:r>
          </w:p>
        </w:tc>
      </w:tr>
      <w:tr w14:paraId="4D6B4680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299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导入模板校验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0B5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参保和未救助导入均校验关键表头和有效数据，避免乱导入也成功。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6AB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错误模板应明确失败，不应产生脏数据。</w:t>
            </w:r>
          </w:p>
        </w:tc>
      </w:tr>
      <w:tr w14:paraId="7560E4D2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C4E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数据隔离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C1D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镇街账号按所属镇街限制数据和操作入口。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6D5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933"/>
                <w:sz w:val="20"/>
              </w:rPr>
              <w:t>镇街账号不应看到区级处理列和区级按钮。</w:t>
            </w:r>
          </w:p>
        </w:tc>
      </w:tr>
    </w:tbl>
    <w:p w14:paraId="0EADF6C1">
      <w:pPr>
        <w:pStyle w:val="16"/>
        <w:numPr>
          <w:numId w:val="0"/>
        </w:numPr>
        <w:spacing w:before="0" w:after="80" w:line="300" w:lineRule="auto"/>
        <w:ind w:leftChars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5A312">
    <w:pPr>
      <w:pStyle w:val="24"/>
      <w:spacing w:before="0" w:after="0" w:line="240" w:lineRule="auto"/>
      <w:jc w:val="right"/>
    </w:pPr>
    <w:r>
      <w:rPr>
        <w:rFonts w:ascii="Calibri" w:hAnsi="Calibri" w:eastAsia="微软雅黑"/>
        <w:b w:val="0"/>
        <w:color w:val="667085"/>
        <w:sz w:val="18"/>
      </w:rPr>
      <w:t>页面截图与功能配套说明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25DCA">
    <w:pPr>
      <w:pStyle w:val="25"/>
      <w:spacing w:before="0" w:after="0" w:line="240" w:lineRule="auto"/>
      <w:jc w:val="left"/>
    </w:pPr>
    <w:r>
      <w:rPr>
        <w:rFonts w:ascii="Calibri" w:hAnsi="Calibri" w:eastAsia="微软雅黑"/>
        <w:b w:val="0"/>
        <w:color w:val="667085"/>
        <w:sz w:val="18"/>
      </w:rPr>
      <w:t>共享救助信息服务平台 V2.0｜本次开发功能说明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4F463"/>
    <w:multiLevelType w:val="singleLevel"/>
    <w:tmpl w:val="AEE4F46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FA105"/>
    <w:rsid w:val="73DB42D3"/>
    <w:rsid w:val="FEFF391E"/>
    <w:rsid w:val="FFD7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  <w:color w:val="1F2933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随风</cp:lastModifiedBy>
  <dcterms:modified xsi:type="dcterms:W3CDTF">2026-06-15T22:58:18Z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F47C022BDD1470B9DF0F306AE6B074F1_42</vt:lpwstr>
  </property>
</Properties>
</file>