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sz w:val="56"/>
          <w:szCs w:val="56"/>
        </w:rPr>
        <w:t xml:space="preserve">Vision Document</w:t>
      </w:r>
    </w:p>
    <w:p>
      <w:pPr>
        <w:spacing w:after="0" w:before="120"/>
        <w:jc w:val="center"/>
      </w:pPr>
      <w:r>
        <w:rPr>
          <w:sz w:val="30"/>
          <w:szCs w:val="30"/>
        </w:rPr>
        <w:t xml:space="preserve">Eigenentwicklung eines elektronischen QM-Systems (QM-Pilot)</w:t>
      </w:r>
    </w:p>
    <w:p>
      <w:pPr>
        <w:spacing w:after="0" w:before="480"/>
        <w:jc w:val="center"/>
      </w:pPr>
      <w:r>
        <w:rPr>
          <w:b/>
          <w:bCs/>
          <w:sz w:val="28"/>
          <w:szCs w:val="28"/>
        </w:rPr>
        <w:t xml:space="preserve">Pharmazeutika 73.3 GmbH</w:t>
      </w:r>
    </w:p>
    <w:p>
      <w:pPr>
        <w:spacing w:after="0" w:before="60"/>
        <w:jc w:val="center"/>
      </w:pPr>
      <w:r>
        <w:rPr>
          <w:sz w:val="22"/>
          <w:szCs w:val="22"/>
        </w:rPr>
        <w:t xml:space="preserve">GDP-Pharmagroßhandel · § 52a AMG / § 73(3)-Importeur</w:t>
      </w:r>
    </w:p>
    <w:p>
      <w:pPr>
        <w:spacing w:after="0" w:before="1200"/>
        <w:jc w:val="center"/>
      </w:pPr>
      <w:r>
        <w:rPr>
          <w:b/>
          <w:bCs/>
          <w:sz w:val="24"/>
          <w:szCs w:val="24"/>
        </w:rPr>
        <w:t xml:space="preserve">Version 0.2 (Entwurf)</w:t>
      </w:r>
    </w:p>
    <w:p>
      <w:pPr>
        <w:spacing w:after="0" w:before="60"/>
        <w:jc w:val="center"/>
      </w:pPr>
      <w:r>
        <w:rPr>
          <w:sz w:val="22"/>
          <w:szCs w:val="22"/>
        </w:rPr>
        <w:t xml:space="preserve">Stand: 30.06.2026</w:t>
      </w:r>
    </w:p>
    <w:p>
      <w:pPr>
        <w:spacing w:after="0" w:before="60"/>
        <w:jc w:val="center"/>
      </w:pPr>
      <w:r>
        <w:rPr>
          <w:sz w:val="22"/>
          <w:szCs w:val="22"/>
        </w:rPr>
        <w:t xml:space="preserve">Erstellt von: Jochen Schulze (GL/RP) gemeinsam mit Claude</w:t>
      </w:r>
    </w:p>
    <w:p>
      <w:r>
        <w:br w:type="page"/>
      </w:r>
    </w:p>
    <w:p>
      <w:pPr>
        <w:sectPr>
          <w:pgSz w:w="11906" w:h="16838" w:orient="portrait"/>
          <w:pgMar w:top="1440" w:right="1440" w:bottom="1440" w:left="1440" w:header="708" w:footer="708" w:gutter="0"/>
          <w:pgNumType/>
          <w:docGrid w:linePitch="360"/>
        </w:sectPr>
      </w:pPr>
    </w:p>
    <w:p>
      <w:pPr>
        <w:spacing w:after="200"/>
      </w:pPr>
      <w:r>
        <w:rPr>
          <w:b/>
          <w:bCs/>
          <w:sz w:val="32"/>
          <w:szCs w:val="32"/>
        </w:rPr>
        <w:t xml:space="preserve">Inhaltsverzeichnis</w:t>
      </w:r>
    </w:p>
    <w:sdt>
      <w:sdtPr>
        <w:alias w:val="Inhaltsverzeichni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Pr>
      <w:r>
        <w:t xml:space="preserve">1  Zweck &amp; Geltungsbereich</w:t>
      </w:r>
    </w:p>
    <w:p>
      <w:pPr>
        <w:pStyle w:val="Heading2"/>
      </w:pPr>
      <w:r>
        <w:t xml:space="preserve">1.1  Zweck des Dokuments</w:t>
      </w:r>
    </w:p>
    <w:p>
      <w:pPr>
        <w:spacing w:after="120" w:line="276"/>
      </w:pPr>
      <w:r>
        <w:t xml:space="preserve">Dieses Vision Document beschreibt auf übergeordneter Ebene, </w:t>
      </w:r>
      <w:r>
        <w:rPr>
          <w:i/>
          <w:iCs/>
        </w:rPr>
        <w:t xml:space="preserve">was</w:t>
      </w:r>
      <w:r>
        <w:t xml:space="preserve"> das geplante, selbst entwickelte QM-Pilot leisten soll, </w:t>
      </w:r>
      <w:r>
        <w:rPr>
          <w:i/>
          <w:iCs/>
        </w:rPr>
        <w:t xml:space="preserve">für wen</w:t>
      </w:r>
      <w:r>
        <w:t xml:space="preserve"> und </w:t>
      </w:r>
      <w:r>
        <w:rPr>
          <w:i/>
          <w:iCs/>
        </w:rPr>
        <w:t xml:space="preserve">innerhalb welcher Grenzen</w:t>
      </w:r>
      <w:r>
        <w:t xml:space="preserve"> — bevor detaillierte Anforderungen (URS) formuliert und technische Festlegungen getroffen werden. Es dient als gemeinsame Grundlage für eine belastbare Aufwandsschätzung und als Bezugsrahmen für alle späteren Module und Validierungsschritte.</w:t>
      </w:r>
    </w:p>
    <w:p>
      <w:pPr>
        <w:pStyle w:val="Heading2"/>
      </w:pPr>
      <w:r>
        <w:t xml:space="preserve">1.2  Was dieses Dokument nicht ist</w:t>
      </w:r>
    </w:p>
    <w:p>
      <w:pPr>
        <w:spacing w:after="120" w:line="276"/>
      </w:pPr>
      <w:r>
        <w:t xml:space="preserve">Das Vision Document ist </w:t>
      </w:r>
      <w:r>
        <w:rPr>
          <w:b/>
          <w:bCs/>
        </w:rPr>
        <w:t xml:space="preserve">kein Validierungsdokument</w:t>
      </w:r>
      <w:r>
        <w:t xml:space="preserve"> und </w:t>
      </w:r>
      <w:r>
        <w:rPr>
          <w:b/>
          <w:bCs/>
        </w:rPr>
        <w:t xml:space="preserve">keine Spezifikation</w:t>
      </w:r>
      <w:r>
        <w:t xml:space="preserve">. Es enthält keine verbindlichen funktionalen Detailanforderungen (diese entstehen je Modul als URS) und keine technischen oder Design-Entscheidungen — insbesondere wird die Wahl des Technologie-Stacks hier </w:t>
      </w:r>
      <w:r>
        <w:rPr>
          <w:i/>
          <w:iCs/>
        </w:rPr>
        <w:t xml:space="preserve">nicht</w:t>
      </w:r>
      <w:r>
        <w:t xml:space="preserve"> festgelegt, sondern als offener Punkt für Schritt 2 vermerkt.</w:t>
      </w:r>
    </w:p>
    <w:p>
      <w:pPr>
        <w:pStyle w:val="Heading2"/>
      </w:pPr>
      <w:r>
        <w:t xml:space="preserve">1.3  Geltungsbereich</w:t>
      </w:r>
    </w:p>
    <w:p>
      <w:pPr>
        <w:spacing w:after="120" w:line="276"/>
      </w:pPr>
      <w:r>
        <w:t xml:space="preserve">Das Dokument gilt für das Entwicklungsprojekt „eigenes QM-Pilot" der Pharmazeutika 73.3 GmbH. Das operative QM-System (QM-Handbuch, SOPs, Vordrucke, Anlagen) bleibt die fachliche Quelle der Anforderungen; das QM-Pilot </w:t>
      </w:r>
      <w:r>
        <w:rPr>
          <w:i/>
          <w:iCs/>
        </w:rPr>
        <w:t xml:space="preserve">implementiert</w:t>
      </w:r>
      <w:r>
        <w:t xml:space="preserve"> dieses QM-System und macht es effizient nutzbar, </w:t>
      </w:r>
      <w:r>
        <w:rPr>
          <w:b/>
          <w:bCs/>
        </w:rPr>
        <w:t xml:space="preserve">ersetzt seine Inhalte aber nicht</w:t>
      </w:r>
      <w:r>
        <w:t xml:space="preserve">. Änderungen an freigegebenen QM-Dokumenten erfolgen ausschließlich im QM-Projekt über den dortigen Change-Control-/Entlock-Workflow, nicht in diesem Projekt.</w:t>
      </w:r>
    </w:p>
    <w:p>
      <w:pPr>
        <w:pStyle w:val="Heading2"/>
      </w:pPr>
      <w:r>
        <w:t xml:space="preserve">1.4  Status &amp; Verbindlichkeit</w:t>
      </w:r>
    </w:p>
    <w:p>
      <w:pPr>
        <w:spacing w:after="120" w:line="276"/>
      </w:pPr>
      <w:r>
        <w:t xml:space="preserve">Das Vision Document ist ein lebendes Dokument unter Versionskontrolle. Es wird von der Geschäftsleitung / Verantwortlichen Person (Jochen Schulze) abgenommen. Spätere Änderungen erfolgen nachvollziehbar über eine neue Version mit Änderungshinweis.</w:t>
      </w:r>
    </w:p>
    <w:p>
      <w:pPr>
        <w:pStyle w:val="Heading1"/>
      </w:pPr>
      <w:r>
        <w:t xml:space="preserve">2  Ausgangslage</w:t>
      </w:r>
    </w:p>
    <w:p>
      <w:pPr>
        <w:pStyle w:val="Heading2"/>
      </w:pPr>
      <w:r>
        <w:t xml:space="preserve">2.1  Das fertige QM-System als Grundlage</w:t>
      </w:r>
    </w:p>
    <w:p>
      <w:pPr>
        <w:spacing w:after="120" w:line="276"/>
      </w:pPr>
      <w:r>
        <w:t xml:space="preserve">Im Schwester-Projekt „QM-Review" wurde das gesamte QM-System überarbeitet und freigegeben: QM-Handbuch QMHB-001 (in Kraft seit 22.05.2026, QM-System wirksam ab 01.06.2026), 41 freigegebene SOPs über die GDP-Kapitel 1–9, 70 Vordrucke (F-XX-NNN), 40 Anlagen und Register sowie ein konsolidierter Routineplan mit 191 wiederkehrenden Aufgaben. Dieses QM-System ist die fachliche Quelle für alle Anforderungen an das QM-Pilot.</w:t>
      </w:r>
    </w:p>
    <w:p>
      <w:pPr>
        <w:pStyle w:val="Heading2"/>
      </w:pPr>
      <w:r>
        <w:t xml:space="preserve">2.2  Das bestehende QM-Pilot und der Hauptschmerz</w:t>
      </w:r>
    </w:p>
    <w:p>
      <w:pPr>
        <w:spacing w:after="120" w:line="276"/>
      </w:pPr>
      <w:r>
        <w:t xml:space="preserve">Derzeit ist ein gekauftes QM-Pilot im Einsatz (eqms.de). Es ist preiswert und deckt funktional vieles ab, ist aber kompliziert zu bedienen, wenig UX-optimiert und insgesamt unübersichtlich. Entscheidend: Das </w:t>
      </w:r>
      <w:r>
        <w:rPr>
          <w:b/>
          <w:bCs/>
        </w:rPr>
        <w:t xml:space="preserve">Anlegen täglicher bzw. wiederkehrender Aufgaben ist nicht möglich</w:t>
      </w:r>
      <w:r>
        <w:t xml:space="preserve">. Ergebnis: Die Mitarbeitenden nutzen das System ungern — der größte Schmerzpunkt liegt im Aufgabenmodul.</w:t>
      </w:r>
    </w:p>
    <w:p>
      <w:pPr>
        <w:pStyle w:val="Heading2"/>
      </w:pPr>
      <w:r>
        <w:t xml:space="preserve">2.3  Regulatorischer und betrieblicher Rahmen</w:t>
      </w:r>
    </w:p>
    <w:p>
      <w:pPr>
        <w:spacing w:after="120" w:line="276"/>
      </w:pPr>
      <w:r>
        <w:t xml:space="preserve">Die Pharmazeutika 73.3 GmbH ist Arzneimittelgroßhändler nach § 52a AMG und zugleich § 73(3)-Importeur, beaufsichtigt durch das Regierungspräsidium Stuttgart / ZLG. Der Betrieb ist klein (6 Mitarbeitende). Eine Behördeninspektion am 21.04.2026 hat den Stellenwert eines belastbaren, gut bedienbaren QM-Systems unterstrichen. Ein QM-Pilot, das täglich gern genutzt wird, ist damit nicht nur Komfort, sondern unmittelbar compliance-relevant.</w:t>
      </w:r>
    </w:p>
    <w:p>
      <w:pPr>
        <w:pStyle w:val="Heading1"/>
      </w:pPr>
      <w:r>
        <w:t xml:space="preserve">3  Vision &amp; Ziele</w:t>
      </w:r>
    </w:p>
    <w:p>
      <w:pPr>
        <w:pStyle w:val="Heading2"/>
      </w:pPr>
      <w:r>
        <w:t xml:space="preserve">3.1  Vision</w:t>
      </w:r>
    </w:p>
    <w:p>
      <w:pPr>
        <w:spacing w:after="120" w:line="276"/>
      </w:pPr>
      <w:r>
        <w:t xml:space="preserve">Ein eigenes, modular aufgebautes QM-Pilot, das gemeinsam mit Claude iterativ entwickelt wird und das die Mitarbeitenden täglich gern nutzen. Es operationalisiert das bestehende QM-System (Aufgaben, Dokumente, Vordrucke, Feststellungen) effizient und ablauforientiert — ausdrücklich </w:t>
      </w:r>
      <w:r>
        <w:rPr>
          <w:b/>
          <w:bCs/>
        </w:rPr>
        <w:t xml:space="preserve">kein „Big-Bang"-System</w:t>
      </w:r>
      <w:r>
        <w:t xml:space="preserve">, sondern eine Anwendung, die Stück für Stück wächst.</w:t>
      </w:r>
    </w:p>
    <w:p>
      <w:pPr>
        <w:pStyle w:val="Heading2"/>
      </w:pPr>
      <w:r>
        <w:t xml:space="preserve">3.2  Leitprinzipien</w:t>
      </w:r>
    </w:p>
    <w:p>
      <w:pPr>
        <w:spacing w:after="120" w:line="276"/>
      </w:pPr>
      <w:r>
        <w:t xml:space="preserve">Das Vorhaben folgt fünf Grundsätzen: </w:t>
      </w:r>
      <w:r>
        <w:rPr>
          <w:i/>
          <w:iCs/>
        </w:rPr>
        <w:t xml:space="preserve">modular</w:t>
      </w:r>
      <w:r>
        <w:t xml:space="preserve"> (jedes Modul geht für sich validiert produktiv), </w:t>
      </w:r>
      <w:r>
        <w:rPr>
          <w:i/>
          <w:iCs/>
        </w:rPr>
        <w:t xml:space="preserve">iterativ</w:t>
      </w:r>
      <w:r>
        <w:t xml:space="preserve"> (kleine, einzeln abgenommene Schritte), </w:t>
      </w:r>
      <w:r>
        <w:rPr>
          <w:i/>
          <w:iCs/>
        </w:rPr>
        <w:t xml:space="preserve">Schattenbetrieb vor Ablösung</w:t>
      </w:r>
      <w:r>
        <w:t xml:space="preserve"> (neues Modul läuft mindestens vier Wochen parallel zu eqms.de), </w:t>
      </w:r>
      <w:r>
        <w:rPr>
          <w:i/>
          <w:iCs/>
        </w:rPr>
        <w:t xml:space="preserve">Compliance by Design</w:t>
      </w:r>
      <w:r>
        <w:t xml:space="preserve"> (Audit-Trail, ALCOA+, elektronische Signatur von Beginn an mitgedacht) und </w:t>
      </w:r>
      <w:r>
        <w:rPr>
          <w:i/>
          <w:iCs/>
        </w:rPr>
        <w:t xml:space="preserve">Wartbarkeit</w:t>
      </w:r>
      <w:r>
        <w:t xml:space="preserve"> (Code dokumentiert im Git, kein Wissensbruch).</w:t>
      </w:r>
    </w:p>
    <w:p>
      <w:pPr>
        <w:pStyle w:val="Heading2"/>
      </w:pPr>
      <w:r>
        <w:t xml:space="preserve">3.3  Ziele (woran wir Erfolg messen)</w:t>
      </w:r>
    </w:p>
    <w:p>
      <w:pPr>
        <w:spacing w:after="120" w:line="276"/>
      </w:pPr>
      <w:r>
        <w:t xml:space="preserve">Vorrangig: Das Aufgabenmodul löst den aktuellen Hauptschmerz (wiederkehrende Aufgaben aus dem Routineplan abbildbar). Weiter: spürbar höhere Akzeptanz und tägliche Nutzung, ein lückenloser Audit-Trail für alle qualitätsrelevanten Vorgänge, die schrittweise Übernahme der eqms.de-Funktionen und — als Endziel — die Kündigung von eqms.de, sobald alle ersetzenden Module validiert und im Schattenbetrieb bestätigt sind.</w:t>
      </w:r>
    </w:p>
    <w:p>
      <w:pPr>
        <w:pStyle w:val="Heading2"/>
      </w:pPr>
      <w:r>
        <w:t xml:space="preserve">3.4  Nicht-Ziele</w:t>
      </w:r>
    </w:p>
    <w:p>
      <w:pPr>
        <w:spacing w:after="120" w:line="276"/>
      </w:pPr>
      <w:r>
        <w:t xml:space="preserve">Das QM-Pilot ersetzt nicht die fachlichen Inhalte des QM-Systems, verarbeitet keine Patientendaten und tritt nicht an die Stelle bestehender Betriebssysteme wie SAP Business One.</w:t>
      </w:r>
    </w:p>
    <w:p>
      <w:pPr>
        <w:pStyle w:val="Heading1"/>
      </w:pPr>
      <w:r>
        <w:t xml:space="preserve">4  Systemumfang (Scope &amp; Out-of-Scope)</w:t>
      </w:r>
    </w:p>
    <w:p>
      <w:pPr>
        <w:pStyle w:val="Heading2"/>
      </w:pPr>
      <w:r>
        <w:t xml:space="preserve">4.1  Im Umfang des Systems</w:t>
      </w:r>
    </w:p>
    <w:p>
      <w:pPr>
        <w:spacing w:after="120" w:line="276"/>
      </w:pPr>
      <w:r>
        <w:t xml:space="preserve">Das QM-Pilot deckt — über die Reifestufen hinweg — folgende Funktionsbereiche ab: ein Fundament aus Benutzer-, Rollen- und Rechteverwaltung, Audit-Trail und elektronischer Signatur; die Verwaltung und Anzeige freigegebener QM-Dokumente (SOPs, Vordrucke, Anlagen) mit Lesebestätigung und Schulungsnachweis; ein Aufgabenmodul für den Routineplan (Zuweisung, Fälligkeit, Eskalation); ausfüllbare Online-Vordrucke mit Audit-Trail; das Modul „Feststellungen" (Abweichungen, CAPA, Change Control); Reporting und Kennzahlen für das Management Review; sowie im Vollausbau die Bereiche Lieferanten, Audits, Reklamationen und Rückrufe.</w:t>
      </w:r>
    </w:p>
    <w:p>
      <w:pPr>
        <w:spacing w:after="120" w:line="276"/>
      </w:pPr>
      <w:r>
        <w:t xml:space="preserve">Ausdrücklich Teil des Umfangs ist außerdem die </w:t>
      </w:r>
      <w:r>
        <w:rPr>
          <w:b/>
          <w:bCs/>
        </w:rPr>
        <w:t xml:space="preserve">sichere, revisionssichere Archivierung und Speicherung QM-relevanter Daten</w:t>
      </w:r>
      <w:r>
        <w:t xml:space="preserve"> (Dokumente, ausgefüllte Vordrucke, Nachweise, Aufzeichnungen) gemäß ALCOA+ und den Aufbewahrungsfristen (GDP: 5 Jahre nach § 22 AMHandelsV).</w:t>
      </w:r>
    </w:p>
    <w:p>
      <w:pPr>
        <w:spacing w:after="120" w:line="276"/>
      </w:pPr>
      <w:r>
        <w:t xml:space="preserve">Perspektivisch vorgesehen ist eine </w:t>
      </w:r>
      <w:r>
        <w:rPr>
          <w:b/>
          <w:bCs/>
        </w:rPr>
        <w:t xml:space="preserve">Schnittstelle zu Testo Saveris</w:t>
      </w:r>
      <w:r>
        <w:t xml:space="preserve">, über die Temperaturdaten direkt ins QM-Pilot übernommen, dort bearbeitet bzw. bewertet und revisionssicher archiviert werden können (Detail in Abschnitt 8).</w:t>
      </w:r>
    </w:p>
    <w:p>
      <w:pPr>
        <w:spacing w:after="120" w:line="276"/>
      </w:pPr>
      <w:r>
        <w:t xml:space="preserve">Zu prüfen (Entscheidung im Rahmen der jeweiligen Modul-URS): eine </w:t>
      </w:r>
      <w:r>
        <w:rPr>
          <w:b/>
          <w:bCs/>
        </w:rPr>
        <w:t xml:space="preserve">Foto-Dokumentations-Funktion</w:t>
      </w:r>
      <w:r>
        <w:t xml:space="preserve">, mit der Nachweise per Bild erfasst und einem Vorgang oder Vordruck zugeordnet werden (z. B. Wareneingang, Transportschäden, Sperrlager/Vernichtung).</w:t>
      </w:r>
    </w:p>
    <w:p>
      <w:pPr>
        <w:pStyle w:val="Heading2"/>
      </w:pPr>
      <w:r>
        <w:t xml:space="preserve">4.2  Außerhalb des Umfangs</w:t>
      </w:r>
    </w:p>
    <w:p>
      <w:pPr>
        <w:spacing w:after="120" w:line="276"/>
      </w:pPr>
      <w:r>
        <w:t xml:space="preserve">Nicht Aufgabe des QM-Pilot sind: die inhaltliche Erstellung und Pflege der QM-Dokumente selbst (verbleibt im QM-Projekt), Warenwirtschafts- und ERP-Funktionen (SAP Business One) sowie der Online-Shop (Medusa). Testo Saveris und COBI.WMS (DM-Code-Scan) bleiben als </w:t>
      </w:r>
      <w:r>
        <w:rPr>
          <w:b/>
          <w:bCs/>
        </w:rPr>
        <w:t xml:space="preserve">Primärsysteme</w:t>
      </w:r>
      <w:r>
        <w:t xml:space="preserve"> eigenständig; das QM-Pilot ersetzt sie nicht, sondern bindet ihre Daten — wie bei Saveris beschrieben — perspektivisch nur über Schnittstellen an (siehe Abschnitt 8). Ausgeschlossen ist jede Verarbeitung von Patientendaten.</w:t>
      </w:r>
    </w:p>
    <w:p>
      <w:pPr>
        <w:pStyle w:val="Heading2"/>
      </w:pPr>
      <w:r>
        <w:t xml:space="preserve">4.3  Übergangsregelung Papierform</w:t>
      </w:r>
    </w:p>
    <w:p>
      <w:pPr>
        <w:spacing w:after="120" w:line="276"/>
      </w:pPr>
      <w:r>
        <w:t xml:space="preserve">Wo Behörde oder Gesetz zwingend eine Papier- oder Unterschriftsform verlangen, bleibt diese bis zur validierten elektronischen Lösung erhalten (z. B. gescanntes Cover-Sheet als Übergang). Das QM-Pilot löst Papierprozesse schrittweise ab, nicht schlagartig.</w:t>
      </w:r>
    </w:p>
    <w:p>
      <w:pPr>
        <w:pStyle w:val="Heading1"/>
      </w:pPr>
      <w:r>
        <w:t xml:space="preserve">5  Nutzergruppen &amp; Rollen</w:t>
      </w:r>
    </w:p>
    <w:p>
      <w:pPr>
        <w:pStyle w:val="Heading2"/>
      </w:pPr>
      <w:r>
        <w:t xml:space="preserve">5.1  Nutzergruppen</w:t>
      </w:r>
    </w:p>
    <w:p>
      <w:pPr>
        <w:spacing w:after="120" w:line="276"/>
      </w:pPr>
      <w:r>
        <w:t xml:space="preserve">Das QM-Pilot unterscheidet folgende Rollen. Diese sind </w:t>
      </w:r>
      <w:r>
        <w:rPr>
          <w:b/>
          <w:bCs/>
        </w:rPr>
        <w:t xml:space="preserve">unabhängig von Personen</w:t>
      </w:r>
      <w:r>
        <w:t xml:space="preserve"> definiert; eine Person kann mehrere Rollen innehaben (Personalunion), das System trennt aber die Rechte je Rolle.</w:t>
      </w:r>
    </w:p>
    <w:p>
      <w:pPr>
        <w:pStyle w:val="ListParagraph"/>
        <w:numPr>
          <w:ilvl w:val="0"/>
          <w:numId w:val="2"/>
        </w:numPr>
        <w:spacing w:after="80" w:line="276"/>
      </w:pPr>
      <w:r>
        <w:rPr>
          <w:b/>
          <w:bCs/>
        </w:rPr>
        <w:t xml:space="preserve">Geschäftsleitung (GL)</w:t>
      </w:r>
      <w:r>
        <w:t xml:space="preserve">: unternehmerische Gesamtverantwortung, Freigaben auf oberster Ebene, Management Review. (derzeit: Jochen Schulze)</w:t>
      </w:r>
    </w:p>
    <w:p>
      <w:pPr>
        <w:pStyle w:val="ListParagraph"/>
        <w:numPr>
          <w:ilvl w:val="0"/>
          <w:numId w:val="2"/>
        </w:numPr>
        <w:spacing w:after="80" w:line="276"/>
      </w:pPr>
      <w:r>
        <w:rPr>
          <w:b/>
          <w:bCs/>
        </w:rPr>
        <w:t xml:space="preserve">Verantwortliche Person (RP) nach § 52a AMG</w:t>
      </w:r>
      <w:r>
        <w:t xml:space="preserve">: GDP-fachliche Verantwortung, Prüfung und Freigabe von QM-Dokumenten, behördenrelevante Entscheidungen. (derzeit: Jochen Schulze, in Personalunion mit GL)</w:t>
      </w:r>
    </w:p>
    <w:p>
      <w:pPr>
        <w:pStyle w:val="ListParagraph"/>
        <w:numPr>
          <w:ilvl w:val="0"/>
          <w:numId w:val="2"/>
        </w:numPr>
        <w:spacing w:after="80" w:line="276"/>
      </w:pPr>
      <w:r>
        <w:rPr>
          <w:b/>
          <w:bCs/>
        </w:rPr>
        <w:t xml:space="preserve">QMB (Qualitätsmanagement-Beauftragte)</w:t>
      </w:r>
      <w:r>
        <w:t xml:space="preserve">: Erstellung und Verwaltung von Dokumenten und Aufgaben, Schulungsorganisation, Auswertung von Feststellungen. (derzeit: Diana Bui)</w:t>
      </w:r>
    </w:p>
    <w:p>
      <w:pPr>
        <w:pStyle w:val="ListParagraph"/>
        <w:numPr>
          <w:ilvl w:val="0"/>
          <w:numId w:val="2"/>
        </w:numPr>
        <w:spacing w:after="80" w:line="276"/>
      </w:pPr>
      <w:r>
        <w:rPr>
          <w:b/>
          <w:bCs/>
        </w:rPr>
        <w:t xml:space="preserve">Stellvertretende RP</w:t>
      </w:r>
      <w:r>
        <w:t xml:space="preserve">: Vertretung der RP in deren Abwesenheit mit entsprechenden Prüf- und Freigaberechten. (derzeit: Diana Bui, in Personalunion mit QMB)</w:t>
      </w:r>
    </w:p>
    <w:p>
      <w:pPr>
        <w:pStyle w:val="ListParagraph"/>
        <w:numPr>
          <w:ilvl w:val="0"/>
          <w:numId w:val="2"/>
        </w:numPr>
        <w:spacing w:after="80" w:line="276"/>
      </w:pPr>
      <w:r>
        <w:rPr>
          <w:b/>
          <w:bCs/>
        </w:rPr>
        <w:t xml:space="preserve">Operative Mitarbeitende (Lager, Backoffice)</w:t>
      </w:r>
      <w:r>
        <w:t xml:space="preserve">: Aufgaben erledigen und quittieren, Vordrucke ausfüllen, Lesebestätigungen abgeben.</w:t>
      </w:r>
    </w:p>
    <w:p>
      <w:pPr>
        <w:pStyle w:val="ListParagraph"/>
        <w:numPr>
          <w:ilvl w:val="0"/>
          <w:numId w:val="2"/>
        </w:numPr>
        <w:spacing w:after="80" w:line="276"/>
      </w:pPr>
      <w:r>
        <w:rPr>
          <w:b/>
          <w:bCs/>
        </w:rPr>
        <w:t xml:space="preserve">Externe mit eingeschränktem Zugang</w:t>
      </w:r>
      <w:r>
        <w:t xml:space="preserve"> — insbesondere die </w:t>
      </w:r>
      <w:r>
        <w:rPr>
          <w:b/>
          <w:bCs/>
        </w:rPr>
        <w:t xml:space="preserve">Reinigungskraft (Firma Haase)</w:t>
      </w:r>
      <w:r>
        <w:t xml:space="preserve">: ausschließlich das Erledigen der zugewiesenen (Reinigungs-)Aufgaben dokumentieren, sonst kein Zugriff.</w:t>
      </w:r>
    </w:p>
    <w:p>
      <w:pPr>
        <w:pStyle w:val="ListParagraph"/>
        <w:numPr>
          <w:ilvl w:val="0"/>
          <w:numId w:val="2"/>
        </w:numPr>
        <w:spacing w:after="80" w:line="276"/>
      </w:pPr>
      <w:r>
        <w:rPr>
          <w:b/>
          <w:bCs/>
        </w:rPr>
        <w:t xml:space="preserve">Auditor / Validierer</w:t>
      </w:r>
      <w:r>
        <w:t xml:space="preserve">: fester, reiner Lesezugriff auf QM-Dokumente, Aufzeichnungen und Audit-Trail — für interne Selbstinspektion sowie externe Audits und Validierungsbegleitung.</w:t>
      </w:r>
    </w:p>
    <w:p>
      <w:pPr>
        <w:pStyle w:val="Heading2"/>
      </w:pPr>
      <w:r>
        <w:t xml:space="preserve">5.2  Rollen- und Rechtekonzept</w:t>
      </w:r>
    </w:p>
    <w:p>
      <w:pPr>
        <w:spacing w:after="120" w:line="276"/>
      </w:pPr>
      <w:r>
        <w:t xml:space="preserve">Der Zugriff ist rollenbasiert nach dem Prinzip der minimalen Rechte: jede Rolle sieht und tut nur das, was sie für ihre Aufgabe braucht. Da Rechte an Rollen und nicht an Personen hängen, lässt sich auch die </w:t>
      </w:r>
      <w:r>
        <w:rPr>
          <w:b/>
          <w:bCs/>
        </w:rPr>
        <w:t xml:space="preserve">Funktionstrennung</w:t>
      </w:r>
      <w:r>
        <w:t xml:space="preserve"> sauber abbilden — relevant z. B. bei der Selbstinspektion (Personalunion QMB / stellv. RP, vgl. SOP-02-001) und bei der Validierung (unabhängige Testdurchführung getrennt von der Entwicklung). Die 4-Augen-Freigabe (Erstellt = QMB · Geprüft/Freigegeben = RP) ist im Rechtekonzept abgebildet. Jede Aktion ist im Audit-Trail einer eindeutigen Person zugeordnet.</w:t>
      </w:r>
    </w:p>
    <w:p>
      <w:pPr>
        <w:pStyle w:val="Heading2"/>
      </w:pPr>
      <w:r>
        <w:t xml:space="preserve">5.3  Besondere UX-Anforderung: niederschwelliger Zugang</w:t>
      </w:r>
    </w:p>
    <w:p>
      <w:pPr>
        <w:spacing w:after="120" w:line="276"/>
      </w:pPr>
      <w:r>
        <w:t xml:space="preserve">Für Nutzer ohne Büro-Arbeitsplatz und ggf. mit geringen Deutschkenntnissen (v. a. Reinigungskraft) braucht es einen bewusst einfachen Zugang: ein unkomplizierter, aber eindeutig personenbezogener Login (z. B. persönliche PIN, Badge oder QR-Code statt komplexem Passwort), eine stark reduzierte, möglichst sprachunabhängige Oberfläche (Symbole/Piktogramme, bei Bedarf mehrsprachig) und eine Erledigung in wenigen Schritten („Aufgabe erledigt" bestätigen, optional mit Foto-Nachweis).</w:t>
      </w:r>
    </w:p>
    <w:p>
      <w:pPr>
        <w:spacing w:after="120" w:line="276"/>
      </w:pPr>
      <w:r>
        <w:t xml:space="preserve">Wichtig dabei: Die Vereinfachung darf die Datenintegrität nicht aushebeln. Auch ein niederschwelliger Login muss </w:t>
      </w:r>
      <w:r>
        <w:rPr>
          <w:b/>
          <w:bCs/>
        </w:rPr>
        <w:t xml:space="preserve">eindeutig einer Person zuordenbar</w:t>
      </w:r>
      <w:r>
        <w:t xml:space="preserve"> bleiben (ALCOA+: </w:t>
      </w:r>
      <w:r>
        <w:rPr>
          <w:i/>
          <w:iCs/>
        </w:rPr>
        <w:t xml:space="preserve">attributable</w:t>
      </w:r>
      <w:r>
        <w:t xml:space="preserve">) und im Audit-Trail nachvollziehbar sein. Die konkrete technische Lösung wird in der Modul-URS und in Schritt 2 entschieden.</w:t>
      </w:r>
    </w:p>
    <w:p>
      <w:pPr>
        <w:pStyle w:val="Heading1"/>
      </w:pPr>
      <w:r>
        <w:t xml:space="preserve">6  Verwaltete Datenarten</w:t>
      </w:r>
    </w:p>
    <w:p>
      <w:pPr>
        <w:pStyle w:val="Heading2"/>
      </w:pPr>
      <w:r>
        <w:t xml:space="preserve">6.1  Gelenkte QM-Dokumente</w:t>
      </w:r>
    </w:p>
    <w:p>
      <w:pPr>
        <w:spacing w:after="120" w:line="276"/>
      </w:pPr>
      <w:r>
        <w:t xml:space="preserve">Das QM-Handbuch (QMHB-001), die SOPs (SOP-XX-NNN), die Vordrucke als </w:t>
      </w:r>
      <w:r>
        <w:rPr>
          <w:b/>
          <w:bCs/>
        </w:rPr>
        <w:t xml:space="preserve">Vorlage</w:t>
      </w:r>
      <w:r>
        <w:t xml:space="preserve"> (F-XX-NNN) sowie Anlagen und Register (A-XX-NNN, R-XX-NNN) — jeweils mit Versionsstand, Lebenszyklus (Entwurf → geprüft → freigegeben → außer Kraft) und Freigabe-Metadaten (wer, wann, 4-Augen).</w:t>
      </w:r>
    </w:p>
    <w:p>
      <w:pPr>
        <w:pStyle w:val="Heading2"/>
      </w:pPr>
      <w:r>
        <w:t xml:space="preserve">6.2  Aufzeichnungen (Records)</w:t>
      </w:r>
    </w:p>
    <w:p>
      <w:pPr>
        <w:spacing w:after="120" w:line="276"/>
      </w:pPr>
      <w:r>
        <w:t xml:space="preserve">Die im Betrieb entstehenden Nachweise: ausgefüllte Vordrucke, Lese- und Schulungsbestätigungen, Quittierungen erledigter (Routineplan-)Aufgaben, Feststellungen (Abweichungen, CAPA, Change Control) samt Bearbeitungsverlauf, perspektivisch die über die Schnittstelle übernommenen Temperaturdaten (Testo Saveris) sowie — sofern die Funktion kommt — Foto-Nachweise. Aufzeichnungen sind revisionssicher und unveränderbar zu archivieren.</w:t>
      </w:r>
    </w:p>
    <w:p>
      <w:pPr>
        <w:pStyle w:val="Heading2"/>
      </w:pPr>
      <w:r>
        <w:t xml:space="preserve">6.3  Stamm- und Konfigurationsdaten</w:t>
      </w:r>
    </w:p>
    <w:p>
      <w:pPr>
        <w:spacing w:after="120" w:line="276"/>
      </w:pPr>
      <w:r>
        <w:t xml:space="preserve">Benutzer, Rollen und Rechte; die Definitionen des Aufgaben-/Routineplans (191 wiederkehrende Aufgaben); im QM-Pilot geführte Listen aus den Anlagen (z. B. Lieferanten, Auftragnehmer, Kontakte), soweit nicht in einem Primärsystem gepflegt. Warenwirtschafts-Stammdaten verbleiben in SAP Business One.</w:t>
      </w:r>
    </w:p>
    <w:p>
      <w:pPr>
        <w:pStyle w:val="Heading2"/>
      </w:pPr>
      <w:r>
        <w:t xml:space="preserve">6.4  Audit-Trail</w:t>
      </w:r>
    </w:p>
    <w:p>
      <w:pPr>
        <w:spacing w:after="120" w:line="276"/>
      </w:pPr>
      <w:r>
        <w:t xml:space="preserve">Eine lückenlose, unveränderbare Protokollierung aller qualitätsrelevanten Vorgänge (Erstellung, Änderung, Freigabe, Lese-/Erledigungsbestätigung) mit Benutzer, Zeitstempel sowie altem und neuem Wert — Grundlage für ALCOA+ und behördliche Nachvollziehbarkeit.</w:t>
      </w:r>
    </w:p>
    <w:p>
      <w:pPr>
        <w:pStyle w:val="Heading2"/>
      </w:pPr>
      <w:r>
        <w:t xml:space="preserve">6.5  Datenkategorien und Schutzbedarf</w:t>
      </w:r>
    </w:p>
    <w:p>
      <w:pPr>
        <w:spacing w:after="120" w:line="276"/>
      </w:pPr>
      <w:r>
        <w:t xml:space="preserve">Das System verarbeitet </w:t>
      </w:r>
      <w:r>
        <w:rPr>
          <w:b/>
          <w:bCs/>
        </w:rPr>
        <w:t xml:space="preserve">personenbezogene Daten</w:t>
      </w:r>
      <w:r>
        <w:t xml:space="preserve"> (Mitarbeiter-Logins, Schulungs- und Erledigungsnachweise) — damit gilt die DSGVO. Es verarbeitet </w:t>
      </w:r>
      <w:r>
        <w:rPr>
          <w:b/>
          <w:bCs/>
        </w:rPr>
        <w:t xml:space="preserve">keine Patientendaten</w:t>
      </w:r>
      <w:r>
        <w:t xml:space="preserve">. GxP-relevante Aufzeichnungen unterliegen der Aufbewahrungsfrist von 5 Jahren (§ 22 AMHandelsV); kaufmännische Unterlagen folgen den Fristen nach HGB/AO.</w:t>
      </w:r>
    </w:p>
    <w:p>
      <w:pPr>
        <w:pStyle w:val="Heading1"/>
      </w:pPr>
      <w:r>
        <w:t xml:space="preserve">7  Funktionale Module / Reifestufen 0–7</w:t>
      </w:r>
    </w:p>
    <w:p>
      <w:pPr>
        <w:pStyle w:val="Heading2"/>
      </w:pPr>
      <w:r>
        <w:t xml:space="preserve">7.1  Grundprinzip der Stufung</w:t>
      </w:r>
    </w:p>
    <w:p>
      <w:pPr>
        <w:spacing w:after="120" w:line="276"/>
      </w:pPr>
      <w:r>
        <w:t xml:space="preserve">Zuerst das unsichtbare Fundament, dann der größte Schmerzpunkt (Aufgaben), das anspruchsvollste Modul (Dokumentenlenkung) zuletzt. Jede Stufe geht erst produktiv, wenn sie validiert ist und ihren Schattenbetrieb bestanden hat; erst dann beginnt die nächste.</w:t>
      </w:r>
    </w:p>
    <w:p>
      <w:pPr>
        <w:pStyle w:val="Heading2"/>
      </w:pPr>
      <w:r>
        <w:t xml:space="preserve">7.2  Reifestufen</w:t>
      </w:r>
    </w:p>
    <w:p>
      <w:pPr>
        <w:spacing w:after="120" w:line="276"/>
      </w:pPr>
      <w:r>
        <w:t xml:space="preserve">Die Wochenangaben sind Schätzwerte, keine Zusagen.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3360"/>
        <w:gridCol w:w="1606"/>
        <w:gridCol w:w="3300"/>
      </w:tblGrid>
      <w:tr>
        <w:trPr>
          <w:tblHeader/>
        </w:trPr>
        <w:tc>
          <w:tcPr>
            <w:tcW w:type="dxa" w:w="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pPr>
            <w:r>
              <w:rPr>
                <w:b/>
                <w:bCs/>
              </w:rPr>
              <w:t xml:space="preserve">Stufe</w:t>
            </w:r>
          </w:p>
        </w:tc>
        <w:tc>
          <w:tcPr>
            <w:tcW w:type="dxa" w:w="3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pPr>
            <w:r>
              <w:rPr>
                <w:b/>
                <w:bCs/>
              </w:rPr>
              <w:t xml:space="preserve">Modul</w:t>
            </w:r>
          </w:p>
        </w:tc>
        <w:tc>
          <w:tcPr>
            <w:tcW w:type="dxa" w:w="160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pPr>
            <w:r>
              <w:rPr>
                <w:b/>
                <w:bCs/>
              </w:rPr>
              <w:t xml:space="preserve">Aufwand (Schätzung)</w:t>
            </w:r>
          </w:p>
        </w:tc>
        <w:tc>
          <w:tcPr>
            <w:tcW w:type="dxa" w:w="3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pPr>
            <w:r>
              <w:rPr>
                <w:b/>
                <w:bCs/>
              </w:rPr>
              <w:t xml:space="preserve">Hauptnutzen</w:t>
            </w:r>
          </w:p>
        </w:tc>
      </w:tr>
      <w:tr>
        <w:trPr>
          <w:tblHeader w:val="false"/>
        </w:trPr>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0</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Fundament: Login, Rollen, Audit-Trail, sichere Archivierung, Backup, Hosting</w:t>
            </w:r>
          </w:p>
        </w:tc>
        <w:tc>
          <w:tcPr>
            <w:tcW w:type="dxa" w:w="160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4–6 Wochen</w:t>
            </w:r>
          </w:p>
        </w:tc>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Voraussetzung für alle weiteren Module</w:t>
            </w:r>
          </w:p>
        </w:tc>
      </w:tr>
      <w:tr>
        <w:trPr>
          <w:tblHeader w:val="false"/>
        </w:trPr>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1</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Aufgaben-Modul (Routineplan, Zuweisung, Eskalation)</w:t>
            </w:r>
          </w:p>
        </w:tc>
        <w:tc>
          <w:tcPr>
            <w:tcW w:type="dxa" w:w="160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3–4 Wochen</w:t>
            </w:r>
          </w:p>
        </w:tc>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Löst den aktuellen Hauptschmerz</w:t>
            </w:r>
          </w:p>
        </w:tc>
      </w:tr>
      <w:tr>
        <w:trPr>
          <w:tblHeader w:val="false"/>
        </w:trPr>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2</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Dokumentenanzeige + Lesebestätigung</w:t>
            </w:r>
          </w:p>
        </w:tc>
        <w:tc>
          <w:tcPr>
            <w:tcW w:type="dxa" w:w="160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3–4 Wochen</w:t>
            </w:r>
          </w:p>
        </w:tc>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SOP-Schulung digital, Schulungsregister automatisch</w:t>
            </w:r>
          </w:p>
        </w:tc>
      </w:tr>
      <w:tr>
        <w:trPr>
          <w:tblHeader w:val="false"/>
        </w:trPr>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3</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Vordrucke als Online-Formulare</w:t>
            </w:r>
          </w:p>
        </w:tc>
        <w:tc>
          <w:tcPr>
            <w:tcW w:type="dxa" w:w="160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6–8 Wochen</w:t>
            </w:r>
          </w:p>
        </w:tc>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Größter Alltagsgewinn — F-XX-NNN ausfüllbar mit Audit-Trail</w:t>
            </w:r>
          </w:p>
        </w:tc>
      </w:tr>
      <w:tr>
        <w:trPr>
          <w:tblHeader w:val="false"/>
        </w:trPr>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4</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Feststellungen / CAPA / Change Control</w:t>
            </w:r>
          </w:p>
        </w:tc>
        <w:tc>
          <w:tcPr>
            <w:tcW w:type="dxa" w:w="160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4–6 Wochen</w:t>
            </w:r>
          </w:p>
        </w:tc>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Ersetzt eqms.de-Kernfunktion</w:t>
            </w:r>
          </w:p>
        </w:tc>
      </w:tr>
      <w:tr>
        <w:trPr>
          <w:tblHeader w:val="false"/>
        </w:trPr>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5</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Dokumentenlenkung (Workflow, Versionierung, Lebenszyklus)</w:t>
            </w:r>
          </w:p>
        </w:tc>
        <w:tc>
          <w:tcPr>
            <w:tcW w:type="dxa" w:w="160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8–10 Wochen</w:t>
            </w:r>
          </w:p>
        </w:tc>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Anspruchsvollstes Modul — am Ende</w:t>
            </w:r>
          </w:p>
        </w:tc>
      </w:tr>
      <w:tr>
        <w:trPr>
          <w:tblHeader w:val="false"/>
        </w:trPr>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6</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Reporting / Dashboard / KPI</w:t>
            </w:r>
          </w:p>
        </w:tc>
        <w:tc>
          <w:tcPr>
            <w:tcW w:type="dxa" w:w="160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3–4 Wochen</w:t>
            </w:r>
          </w:p>
        </w:tc>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Management Review automatisiert</w:t>
            </w:r>
          </w:p>
        </w:tc>
      </w:tr>
      <w:tr>
        <w:trPr>
          <w:tblHeader w:val="false"/>
        </w:trPr>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7</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Lieferanten, Audits, Reklamationen, Rückrufe</w:t>
            </w:r>
          </w:p>
        </w:tc>
        <w:tc>
          <w:tcPr>
            <w:tcW w:type="dxa" w:w="160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8–10 Wochen</w:t>
            </w:r>
          </w:p>
        </w:tc>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Vollausbau, ersetzt eqms.de komplett</w:t>
            </w:r>
          </w:p>
        </w:tc>
      </w:tr>
    </w:tbl>
    <w:p>
      <w:pPr>
        <w:spacing w:after="80"/>
      </w:pPr>
    </w:p>
    <w:p>
      <w:pPr>
        <w:pStyle w:val="Heading2"/>
      </w:pPr>
      <w:r>
        <w:t xml:space="preserve">7.3  Einordnung der ergänzten Anforderungen</w:t>
      </w:r>
    </w:p>
    <w:p>
      <w:pPr>
        <w:spacing w:after="120" w:line="276"/>
      </w:pPr>
      <w:r>
        <w:t xml:space="preserve">Die ergänzten Punkte verteilen sich auf die Stufen wie folgt: die </w:t>
      </w:r>
      <w:r>
        <w:rPr>
          <w:b/>
          <w:bCs/>
        </w:rPr>
        <w:t xml:space="preserve">sichere, revisionssichere Archivierung</w:t>
      </w:r>
      <w:r>
        <w:t xml:space="preserve"> ist Teil des Fundaments (Stufe 0) und wirkt durchgängig; der </w:t>
      </w:r>
      <w:r>
        <w:rPr>
          <w:b/>
          <w:bCs/>
        </w:rPr>
        <w:t xml:space="preserve">niederschwellige Zugang für die Reinigungskraft</w:t>
      </w:r>
      <w:r>
        <w:t xml:space="preserve"> gehört zum Login-Fundament (Stufe 0) und zum Aufgaben-Modul (Stufe 1); die </w:t>
      </w:r>
      <w:r>
        <w:rPr>
          <w:b/>
          <w:bCs/>
        </w:rPr>
        <w:t xml:space="preserve">Foto-Dokumentation</w:t>
      </w:r>
      <w:r>
        <w:t xml:space="preserve"> ist querschnittlich und wird je Modul-URS entschieden (vor allem Stufen 1 und 3); die </w:t>
      </w:r>
      <w:r>
        <w:rPr>
          <w:b/>
          <w:bCs/>
        </w:rPr>
        <w:t xml:space="preserve">Schnittstelle zu Testo Saveris</w:t>
      </w:r>
      <w:r>
        <w:t xml:space="preserve"> ist ein eigenes, perspektivisches Schnittstellen-Inkrement zeitlich nach dem Fundament (Detail in Abschnitt 8).</w:t>
      </w:r>
    </w:p>
    <w:p>
      <w:pPr>
        <w:pStyle w:val="Heading1"/>
      </w:pPr>
      <w:r>
        <w:t xml:space="preserve">8  Schnittstellen</w:t>
      </w:r>
    </w:p>
    <w:p>
      <w:pPr>
        <w:pStyle w:val="Heading2"/>
      </w:pPr>
      <w:r>
        <w:t xml:space="preserve">8.1  Grundsatz</w:t>
      </w:r>
    </w:p>
    <w:p>
      <w:pPr>
        <w:spacing w:after="120" w:line="276"/>
      </w:pPr>
      <w:r>
        <w:t xml:space="preserve">Schnittstellen werden bewusst sparsam gehalten und einzeln nach Bedarf umgesetzt — nicht alle zu Projektbeginn. Jede Schnittstelle ist GxP-relevant: Sie wird validiert, die Datenintegrität bei der Übertragung muss gewahrt bleiben (ALCOA+), und Richtung (lesend/schreibend), Datenhoheit sowie Fehler- und Ausfallverhalten werden dokumentiert.</w:t>
      </w:r>
    </w:p>
    <w:p>
      <w:pPr>
        <w:pStyle w:val="Heading2"/>
      </w:pPr>
      <w:r>
        <w:t xml:space="preserve">8.2  Schnittstellen im Überblick</w:t>
      </w:r>
    </w:p>
    <w:p>
      <w:pPr>
        <w:pStyle w:val="ListParagraph"/>
        <w:numPr>
          <w:ilvl w:val="0"/>
          <w:numId w:val="2"/>
        </w:numPr>
        <w:spacing w:after="80" w:line="276"/>
      </w:pPr>
      <w:r>
        <w:rPr>
          <w:b/>
          <w:bCs/>
        </w:rPr>
        <w:t xml:space="preserve">Drucker</w:t>
      </w:r>
      <w:r>
        <w:t xml:space="preserve">: Ausdruck von Dokumenten, Vordrucken und Nachweisen (z. B. für Papier-/Übergangsprozesse).</w:t>
      </w:r>
    </w:p>
    <w:p>
      <w:pPr>
        <w:pStyle w:val="ListParagraph"/>
        <w:numPr>
          <w:ilvl w:val="0"/>
          <w:numId w:val="2"/>
        </w:numPr>
        <w:spacing w:after="80" w:line="276"/>
      </w:pPr>
      <w:r>
        <w:rPr>
          <w:b/>
          <w:bCs/>
        </w:rPr>
        <w:t xml:space="preserve">E-Mail</w:t>
      </w:r>
      <w:r>
        <w:t xml:space="preserve">: Benachrichtigungen, Fälligkeits- und Eskalationsmeldungen aus dem Aufgaben- und Feststellungsmodul.</w:t>
      </w:r>
    </w:p>
    <w:p>
      <w:pPr>
        <w:pStyle w:val="ListParagraph"/>
        <w:numPr>
          <w:ilvl w:val="0"/>
          <w:numId w:val="2"/>
        </w:numPr>
        <w:spacing w:after="80" w:line="276"/>
      </w:pPr>
      <w:r>
        <w:rPr>
          <w:b/>
          <w:bCs/>
        </w:rPr>
        <w:t xml:space="preserve">Microsoft 365</w:t>
      </w:r>
      <w:r>
        <w:t xml:space="preserve">: Authentifizierung/Login (Single Sign-on, 2-Faktor), sofern im Betrieb im Einsatz — spart Eigenentwicklung der Anmeldesicherheit. Verbindliche Festlegung in Schritt 2.</w:t>
      </w:r>
    </w:p>
    <w:p>
      <w:pPr>
        <w:pStyle w:val="ListParagraph"/>
        <w:numPr>
          <w:ilvl w:val="0"/>
          <w:numId w:val="2"/>
        </w:numPr>
        <w:spacing w:after="80" w:line="276"/>
      </w:pPr>
      <w:r>
        <w:rPr>
          <w:b/>
          <w:bCs/>
        </w:rPr>
        <w:t xml:space="preserve">SAP Business One</w:t>
      </w:r>
      <w:r>
        <w:t xml:space="preserve">: Übernahme von Stammdaten (z. B. Lieferanten, Artikel), Umfang und Richtung noch zu klären — voraussichtlich lesend; Berechtigungen bleiben in SAP B1.</w:t>
      </w:r>
    </w:p>
    <w:p>
      <w:pPr>
        <w:pStyle w:val="ListParagraph"/>
        <w:numPr>
          <w:ilvl w:val="0"/>
          <w:numId w:val="2"/>
        </w:numPr>
        <w:spacing w:after="80" w:line="276"/>
      </w:pPr>
      <w:r>
        <w:rPr>
          <w:b/>
          <w:bCs/>
        </w:rPr>
        <w:t xml:space="preserve">Testo Saveris</w:t>
      </w:r>
      <w:r>
        <w:t xml:space="preserve"> (perspektivisch): Übernahme von Temperaturdaten ins QM-Pilot zur Bearbeitung/Bewertung und revisionssicheren Archivierung (siehe Abschnitte 4 und 7).</w:t>
      </w:r>
    </w:p>
    <w:p>
      <w:pPr>
        <w:pStyle w:val="Heading2"/>
      </w:pPr>
      <w:r>
        <w:t xml:space="preserve">8.3  Keine Schnittstelle zu eqms.de</w:t>
      </w:r>
    </w:p>
    <w:p>
      <w:pPr>
        <w:spacing w:after="120" w:line="276"/>
      </w:pPr>
      <w:r>
        <w:t xml:space="preserve">Eine technische Schnittstelle zum bestehenden eqms.de ist </w:t>
      </w:r>
      <w:r>
        <w:rPr>
          <w:b/>
          <w:bCs/>
        </w:rPr>
        <w:t xml:space="preserve">nicht vorgesehen</w:t>
      </w:r>
      <w:r>
        <w:t xml:space="preserve">. Die Übernahme vorhandener Daten erfolgt </w:t>
      </w:r>
      <w:r>
        <w:rPr>
          <w:b/>
          <w:bCs/>
        </w:rPr>
        <w:t xml:space="preserve">manuell</w:t>
      </w:r>
      <w:r>
        <w:t xml:space="preserve"> (siehe Abschnitt 11, Datenmigration &amp; Schattenbetrieb).</w:t>
      </w:r>
    </w:p>
    <w:p>
      <w:pPr>
        <w:pStyle w:val="Heading2"/>
      </w:pPr>
      <w:r>
        <w:t xml:space="preserve">8.4  Zeitliche Einordnung</w:t>
      </w:r>
    </w:p>
    <w:p>
      <w:pPr>
        <w:spacing w:after="120" w:line="276"/>
      </w:pPr>
      <w:r>
        <w:t xml:space="preserve">Früh benötigt: Login (M365), Drucker und E-Mail. Später bzw. perspektivisch: SAP Business One und Testo Saveris. COBI.WMS/securPharm bleibt Primärsystem ohne zwingende Schnittstelle; eine Anbindung wird nur bei konkretem Bedarf geprüft.</w:t>
      </w:r>
    </w:p>
    <w:p>
      <w:pPr>
        <w:pStyle w:val="Heading1"/>
      </w:pPr>
      <w:r>
        <w:t xml:space="preserve">9  Compliance-Anforderungen</w:t>
      </w:r>
    </w:p>
    <w:p>
      <w:pPr>
        <w:pStyle w:val="Heading2"/>
      </w:pPr>
      <w:r>
        <w:t xml:space="preserve">9.1  Geltende Regelwerke</w:t>
      </w:r>
    </w:p>
    <w:p>
      <w:pPr>
        <w:spacing w:after="120" w:line="276"/>
      </w:pPr>
      <w:r>
        <w:t xml:space="preserve">Das QM-Pilot ist GxP-relevant, weil es audit-pflichtige QM-Dokumente und Aufzeichnungen verwaltet. Es gelten: das </w:t>
      </w:r>
      <w:r>
        <w:rPr>
          <w:b/>
          <w:bCs/>
        </w:rPr>
        <w:t xml:space="preserve">AMG</w:t>
      </w:r>
      <w:r>
        <w:t xml:space="preserve"> und die </w:t>
      </w:r>
      <w:r>
        <w:rPr>
          <w:b/>
          <w:bCs/>
        </w:rPr>
        <w:t xml:space="preserve">AMHandelsV</w:t>
      </w:r>
      <w:r>
        <w:t xml:space="preserve">; die </w:t>
      </w:r>
      <w:r>
        <w:rPr>
          <w:b/>
          <w:bCs/>
        </w:rPr>
        <w:t xml:space="preserve">GDP-Leitlinie 2013/C 343/01</w:t>
      </w:r>
      <w:r>
        <w:t xml:space="preserve"> (insbesondere Kapitel 1 Qualitätsmanagement, 4 Dokumentation, 5 Betrieb, 9 Transport); die </w:t>
      </w:r>
      <w:r>
        <w:rPr>
          <w:b/>
          <w:bCs/>
        </w:rPr>
        <w:t xml:space="preserve">ZLG-Vorgaben</w:t>
      </w:r>
      <w:r>
        <w:t xml:space="preserve"> (Aide-Mémoire); </w:t>
      </w:r>
      <w:r>
        <w:rPr>
          <w:b/>
          <w:bCs/>
        </w:rPr>
        <w:t xml:space="preserve">GAMP 5 (2nd ed.)</w:t>
      </w:r>
      <w:r>
        <w:t xml:space="preserve"> für die Validierung computergestützter Systeme; </w:t>
      </w:r>
      <w:r>
        <w:rPr>
          <w:b/>
          <w:bCs/>
        </w:rPr>
        <w:t xml:space="preserve">ALCOA+</w:t>
      </w:r>
      <w:r>
        <w:t xml:space="preserve"> für die Datenintegrität; der </w:t>
      </w:r>
      <w:r>
        <w:rPr>
          <w:b/>
          <w:bCs/>
        </w:rPr>
        <w:t xml:space="preserve">EU-Annex 11</w:t>
      </w:r>
      <w:r>
        <w:t xml:space="preserve"> (formal für die Herstellung, sinngemäß auf den Großhandel angewendet); sowie die </w:t>
      </w:r>
      <w:r>
        <w:rPr>
          <w:b/>
          <w:bCs/>
        </w:rPr>
        <w:t xml:space="preserve">DSGVO</w:t>
      </w:r>
      <w:r>
        <w:t xml:space="preserve"> für personenbezogene Daten.</w:t>
      </w:r>
    </w:p>
    <w:p>
      <w:pPr>
        <w:pStyle w:val="Heading2"/>
      </w:pPr>
      <w:r>
        <w:t xml:space="preserve">9.2  GAMP-5-Einordnung</w:t>
      </w:r>
    </w:p>
    <w:p>
      <w:pPr>
        <w:spacing w:after="120" w:line="276"/>
      </w:pPr>
      <w:r>
        <w:t xml:space="preserve">Als individuell entwickelte Software wird das System voraussichtlich als </w:t>
      </w:r>
      <w:r>
        <w:rPr>
          <w:b/>
          <w:bCs/>
        </w:rPr>
        <w:t xml:space="preserve">GAMP-5-Kategorie 5</w:t>
      </w:r>
      <w:r>
        <w:t xml:space="preserve"> eingestuft — die höchste Validierungsstufe. Konsequenz: Jedes Modul durchläuft einen vollständigen, dokumentierten Validierungsprozess, bevor es produktiv geht (Detail in Abschnitt 12).</w:t>
      </w:r>
    </w:p>
    <w:p>
      <w:pPr>
        <w:pStyle w:val="Heading2"/>
      </w:pPr>
      <w:r>
        <w:t xml:space="preserve">9.3  Konkrete Anforderungen an das System</w:t>
      </w:r>
    </w:p>
    <w:p>
      <w:pPr>
        <w:spacing w:after="120" w:line="276"/>
      </w:pPr>
      <w:r>
        <w:t xml:space="preserve">Daraus ergeben sich verbindliche Eigenschaften: ein lückenloser, unveränderbarer </w:t>
      </w:r>
      <w:r>
        <w:rPr>
          <w:b/>
          <w:bCs/>
        </w:rPr>
        <w:t xml:space="preserve">Audit-Trail</w:t>
      </w:r>
      <w:r>
        <w:t xml:space="preserve">; </w:t>
      </w:r>
      <w:r>
        <w:rPr>
          <w:b/>
          <w:bCs/>
        </w:rPr>
        <w:t xml:space="preserve">elektronische Signatur</w:t>
      </w:r>
      <w:r>
        <w:t xml:space="preserve"> mit 4-Augen-Freigabe; durchgängige Wahrung der </w:t>
      </w:r>
      <w:r>
        <w:rPr>
          <w:b/>
          <w:bCs/>
        </w:rPr>
        <w:t xml:space="preserve">Datenintegrität</w:t>
      </w:r>
      <w:r>
        <w:t xml:space="preserve"> nach ALCOA+; ein </w:t>
      </w:r>
      <w:r>
        <w:rPr>
          <w:b/>
          <w:bCs/>
        </w:rPr>
        <w:t xml:space="preserve">Rollen- und Rechtekonzept</w:t>
      </w:r>
      <w:r>
        <w:t xml:space="preserve"> mit Funktionstrennung; </w:t>
      </w:r>
      <w:r>
        <w:rPr>
          <w:b/>
          <w:bCs/>
        </w:rPr>
        <w:t xml:space="preserve">revisionssichere Archivierung</w:t>
      </w:r>
      <w:r>
        <w:t xml:space="preserve"> mit Aufbewahrung von 5 Jahren (§ 22 AMHandelsV); </w:t>
      </w:r>
      <w:r>
        <w:rPr>
          <w:b/>
          <w:bCs/>
        </w:rPr>
        <w:t xml:space="preserve">Datenschutz</w:t>
      </w:r>
      <w:r>
        <w:t xml:space="preserve"> nach DSGVO (u. a. Auftragsverarbeitungsvertrag mit dem Hoster); sowie Zugriffsschutz, verlässliche Zeitstempel und ein geprüftes Backup-/Wiederherstellungskonzept (siehe Abschnitt 10).</w:t>
      </w:r>
    </w:p>
    <w:p>
      <w:pPr>
        <w:pStyle w:val="Heading2"/>
      </w:pPr>
      <w:r>
        <w:t xml:space="preserve">9.4  Verantwortung</w:t>
      </w:r>
    </w:p>
    <w:p>
      <w:pPr>
        <w:spacing w:after="120" w:line="276"/>
      </w:pPr>
      <w:r>
        <w:t xml:space="preserve">Die Validierung ist ein dokumentierter Prozess mit unterschriebenen Belegen, kein Tool-Ergebnis. Die Verantwortung gegenüber der Behörde (RP Stuttgart / ZLG) liegt bei der Geschäftsleitung / Verantwortlichen Person.</w:t>
      </w:r>
    </w:p>
    <w:p>
      <w:pPr>
        <w:pStyle w:val="Heading1"/>
      </w:pPr>
      <w:r>
        <w:t xml:space="preserve">10  Hosting, Sicherheit &amp; Backup</w:t>
      </w:r>
    </w:p>
    <w:p>
      <w:pPr>
        <w:pStyle w:val="Heading2"/>
      </w:pPr>
      <w:r>
        <w:t xml:space="preserve">10.1  Hosting</w:t>
      </w:r>
    </w:p>
    <w:p>
      <w:pPr>
        <w:spacing w:after="120" w:line="276"/>
      </w:pPr>
      <w:r>
        <w:t xml:space="preserve">Betrieb bei einem deutschen bzw. EU-Anbieter mit Auftragsverarbeitungsvertrag (z. B. Hetzner Cloud, IONOS, STRATO Pro) — Datenstandort Deutschland, wegen DSGVO und sinnvoller Gerichtsbarkeit. Die konkrete Anbieterwahl erfolgt in Schritt 2.</w:t>
      </w:r>
    </w:p>
    <w:p>
      <w:pPr>
        <w:pStyle w:val="Heading2"/>
      </w:pPr>
      <w:r>
        <w:t xml:space="preserve">10.2  Sicherheit</w:t>
      </w:r>
    </w:p>
    <w:p>
      <w:pPr>
        <w:spacing w:after="120" w:line="276"/>
      </w:pPr>
      <w:r>
        <w:t xml:space="preserve">Zugriffsschutz über das Rollen- und Rechtekonzept und eine starke Authentifizierung (z. B. M365 mit 2-Faktor), verschlüsselte Übertragung (TLS) und nach Bedarf verschlüsselte Speicherung, regelmäßige Updates und Härtung der Systeme sowie eine getrennte Produktiv- und Testumgebung. Sicherheitsrelevante Ereignisse werden protokolliert.</w:t>
      </w:r>
    </w:p>
    <w:p>
      <w:pPr>
        <w:pStyle w:val="Heading2"/>
      </w:pPr>
      <w:r>
        <w:t xml:space="preserve">10.3  Backup &amp; Wiederherstellung</w:t>
      </w:r>
    </w:p>
    <w:p>
      <w:pPr>
        <w:spacing w:after="120" w:line="276"/>
      </w:pPr>
      <w:r>
        <w:t xml:space="preserve">Tägliches Voll-Backup, georedundant gespeichert. Eine </w:t>
      </w:r>
      <w:r>
        <w:rPr>
          <w:b/>
          <w:bCs/>
        </w:rPr>
        <w:t xml:space="preserve">dokumentierte Wiederherstellungs-Übung mindestens einmal jährlich</w:t>
      </w:r>
      <w:r>
        <w:t xml:space="preserve"> (als wiederkehrende Aufgabe im Routineplan). Die Wiederherstellungsziele (maximal tolerierbarer Datenverlust und Wiederanlaufzeit) werden in Schritt 2 festgelegt.</w:t>
      </w:r>
    </w:p>
    <w:p>
      <w:pPr>
        <w:pStyle w:val="Heading2"/>
      </w:pPr>
      <w:r>
        <w:t xml:space="preserve">10.4  Stellenwert</w:t>
      </w:r>
    </w:p>
    <w:p>
      <w:pPr>
        <w:spacing w:after="120" w:line="276"/>
      </w:pPr>
      <w:r>
        <w:t xml:space="preserve">Hosting, Sicherheit und Backup machen erfahrungsgemäß rund 30 % des Aufwands aus. Sie sind nicht „sichtbar", aber existenziell: Ein Datenleck oder Datenverlust im GxP-Kontext ist existenzgefährdend. Diese Themen müssen daher sauber gelöst sein (Teil von Stufe 0), bevor produktiv-relevante Daten ins System gehen.</w:t>
      </w:r>
    </w:p>
    <w:p>
      <w:pPr>
        <w:pStyle w:val="Heading1"/>
      </w:pPr>
      <w:r>
        <w:t xml:space="preserve">11  Datenmigration &amp; Schattenbetrieb</w:t>
      </w:r>
    </w:p>
    <w:p>
      <w:pPr>
        <w:pStyle w:val="Heading2"/>
      </w:pPr>
      <w:r>
        <w:t xml:space="preserve">11.1  Schattenbetrieb statt „Big-Bang"</w:t>
      </w:r>
    </w:p>
    <w:p>
      <w:pPr>
        <w:spacing w:after="120" w:line="276"/>
      </w:pPr>
      <w:r>
        <w:t xml:space="preserve">Jedes neue Modul läuft </w:t>
      </w:r>
      <w:r>
        <w:rPr>
          <w:b/>
          <w:bCs/>
        </w:rPr>
        <w:t xml:space="preserve">mindestens vier Wochen parallel</w:t>
      </w:r>
      <w:r>
        <w:t xml:space="preserve"> zu eqms.de (Doppelerfassung), bevor eqms.de für diesen Bereich abgeschaltet wird. eqms.de bleibt bezahlt und produktiv, bis das jeweilige Modul vollständig validiert ist und seinen Schattenbetrieb bestanden hat. Erst wenn alle ersetzenden Module produktiv und schattenparallel bestätigt sind, wird eqms.de gekündigt.</w:t>
      </w:r>
    </w:p>
    <w:p>
      <w:pPr>
        <w:pStyle w:val="Heading2"/>
      </w:pPr>
      <w:r>
        <w:t xml:space="preserve">11.2  Manuelle Datenübernahme</w:t>
      </w:r>
    </w:p>
    <w:p>
      <w:pPr>
        <w:spacing w:after="120" w:line="276"/>
      </w:pPr>
      <w:r>
        <w:t xml:space="preserve">Eine technische Schnittstelle zu eqms.de besteht nicht (siehe Abschnitt 8); vorhandene Daten werden </w:t>
      </w:r>
      <w:r>
        <w:rPr>
          <w:b/>
          <w:bCs/>
        </w:rPr>
        <w:t xml:space="preserve">manuell</w:t>
      </w:r>
      <w:r>
        <w:t xml:space="preserve"> übernommen. Je Modul wird entschieden, welche Daten ins QM-Pilot migriert werden und welche im Altsystem als Archiv verbleiben. Die Übernahme wird auf Vollständigkeit und Richtigkeit geprüft und dokumentiert, damit die Datenintegrität (ALCOA+) auch bei der Migration gewahrt bleibt.</w:t>
      </w:r>
    </w:p>
    <w:p>
      <w:pPr>
        <w:pStyle w:val="Heading2"/>
      </w:pPr>
      <w:r>
        <w:t xml:space="preserve">11.3  Abgleich und Freigabe zur Abschaltung</w:t>
      </w:r>
    </w:p>
    <w:p>
      <w:pPr>
        <w:spacing w:after="120" w:line="276"/>
      </w:pPr>
      <w:r>
        <w:t xml:space="preserve">Während des Schattenbetriebs liegen die Daten in beiden Systemen vor und werden abgeglichen, um die Gleichwertigkeit des neuen Moduls zu bestätigen. Die Freigabe zur Abschaltung des entsprechenden eqms.de-Bereichs erfolgt erst nach erfolgreichem Abgleich und formaler Abnahme.</w:t>
      </w:r>
    </w:p>
    <w:p>
      <w:pPr>
        <w:pStyle w:val="Heading1"/>
      </w:pPr>
      <w:r>
        <w:t xml:space="preserve">12  Validierungsansatz</w:t>
      </w:r>
    </w:p>
    <w:p>
      <w:pPr>
        <w:pStyle w:val="Heading2"/>
      </w:pPr>
      <w:r>
        <w:t xml:space="preserve">12.1  Grundverständnis</w:t>
      </w:r>
    </w:p>
    <w:p>
      <w:pPr>
        <w:spacing w:after="120" w:line="276"/>
      </w:pPr>
      <w:r>
        <w:t xml:space="preserve">Validierung nach GAMP 5 ist ein dokumentierter Prozess mit unterschriebenen Belegen, kein automatisches Tool-Ergebnis. Da das System voraussichtlich Kategorie 5 ist, wird </w:t>
      </w:r>
      <w:r>
        <w:rPr>
          <w:b/>
          <w:bCs/>
        </w:rPr>
        <w:t xml:space="preserve">jedes Modul einzeln</w:t>
      </w:r>
      <w:r>
        <w:t xml:space="preserve"> validiert, bevor es produktiv geht.</w:t>
      </w:r>
    </w:p>
    <w:p>
      <w:pPr>
        <w:pStyle w:val="Heading2"/>
      </w:pPr>
      <w:r>
        <w:t xml:space="preserve">12.2  Aufgabenteilung Claude / Mensch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pPr>
            <w:r>
              <w:rPr>
                <w:b/>
                <w:bCs/>
              </w:rPr>
              <w:t xml:space="preserve">Aufgabe</w:t>
            </w:r>
          </w:p>
        </w:tc>
        <w:tc>
          <w:tcPr>
            <w:tcW w:type="dxa" w:w="331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pPr>
            <w:r>
              <w:rPr>
                <w:b/>
                <w:bCs/>
              </w:rPr>
              <w:t xml:space="preserve">Claude leistet</w:t>
            </w:r>
          </w:p>
        </w:tc>
        <w:tc>
          <w:tcPr>
            <w:tcW w:type="dxa" w:w="331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pPr>
            <w:r>
              <w:rPr>
                <w:b/>
                <w:bCs/>
              </w:rPr>
              <w:t xml:space="preserve">Mensch leistet</w:t>
            </w:r>
          </w:p>
        </w:tc>
      </w:tr>
      <w:tr>
        <w:trPr>
          <w:tblHeader w:val="false"/>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URS (Anforderungen)</w:t>
            </w:r>
          </w:p>
        </w:tc>
        <w:tc>
          <w:tcPr>
            <w:tcW w:type="dxa" w:w="331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formulieren, strukturieren, auf Vollständigkeit prüfen</w:t>
            </w:r>
          </w:p>
        </w:tc>
        <w:tc>
          <w:tcPr>
            <w:tcW w:type="dxa" w:w="331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inhaltlich abnehmen + unterschreiben</w:t>
            </w:r>
          </w:p>
        </w:tc>
      </w:tr>
      <w:tr>
        <w:trPr>
          <w:tblHeader w:val="false"/>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FS / DS (Funktion, Design)</w:t>
            </w:r>
          </w:p>
        </w:tc>
        <w:tc>
          <w:tcPr>
            <w:tcW w:type="dxa" w:w="331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vollständig schreiben</w:t>
            </w:r>
          </w:p>
        </w:tc>
        <w:tc>
          <w:tcPr>
            <w:tcW w:type="dxa" w:w="331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abnehmen + unterschreiben</w:t>
            </w:r>
          </w:p>
        </w:tc>
      </w:tr>
      <w:tr>
        <w:trPr>
          <w:tblHeader w:val="false"/>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Risikoanalyse (FMEA-artig)</w:t>
            </w:r>
          </w:p>
        </w:tc>
        <w:tc>
          <w:tcPr>
            <w:tcW w:type="dxa" w:w="331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Entwurf, kritische Funktionen benennen</w:t>
            </w:r>
          </w:p>
        </w:tc>
        <w:tc>
          <w:tcPr>
            <w:tcW w:type="dxa" w:w="331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Risiko-Akzeptanz bewerten, unterschreiben</w:t>
            </w:r>
          </w:p>
        </w:tc>
      </w:tr>
      <w:tr>
        <w:trPr>
          <w:tblHeader w:val="false"/>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Testfälle IQ / OQ / PQ</w:t>
            </w:r>
          </w:p>
        </w:tc>
        <w:tc>
          <w:tcPr>
            <w:tcW w:type="dxa" w:w="331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aus URS generieren</w:t>
            </w:r>
          </w:p>
        </w:tc>
        <w:tc>
          <w:tcPr>
            <w:tcW w:type="dxa" w:w="331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manuell durchführen, dokumentieren, unterschreiben</w:t>
            </w:r>
          </w:p>
        </w:tc>
      </w:tr>
      <w:tr>
        <w:trPr>
          <w:tblHeader w:val="false"/>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Testdurchführung</w:t>
            </w:r>
          </w:p>
        </w:tc>
        <w:tc>
          <w:tcPr>
            <w:tcW w:type="dxa" w:w="331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w:t>
            </w:r>
          </w:p>
        </w:tc>
        <w:tc>
          <w:tcPr>
            <w:tcW w:type="dxa" w:w="331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unabhängige Person (getrennt von der Entwicklung)</w:t>
            </w:r>
          </w:p>
        </w:tc>
      </w:tr>
      <w:tr>
        <w:trPr>
          <w:tblHeader w:val="false"/>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Validierungsbericht</w:t>
            </w:r>
          </w:p>
        </w:tc>
        <w:tc>
          <w:tcPr>
            <w:tcW w:type="dxa" w:w="331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zusammenfassen, formulieren</w:t>
            </w:r>
          </w:p>
        </w:tc>
        <w:tc>
          <w:tcPr>
            <w:tcW w:type="dxa" w:w="331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fachkundige Person prüft + unterschreibt</w:t>
            </w:r>
          </w:p>
        </w:tc>
      </w:tr>
      <w:tr>
        <w:trPr>
          <w:tblHeader w:val="false"/>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Audit gegenüber ZLG / RP</w:t>
            </w:r>
          </w:p>
        </w:tc>
        <w:tc>
          <w:tcPr>
            <w:tcW w:type="dxa" w:w="331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w:t>
            </w:r>
          </w:p>
        </w:tc>
        <w:tc>
          <w:tcPr>
            <w:tcW w:type="dxa" w:w="331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GL / RP / QMB persönlich</w:t>
            </w:r>
          </w:p>
        </w:tc>
      </w:tr>
    </w:tbl>
    <w:p>
      <w:pPr>
        <w:spacing w:after="80"/>
      </w:pPr>
    </w:p>
    <w:p>
      <w:pPr>
        <w:pStyle w:val="Heading2"/>
      </w:pPr>
      <w:r>
        <w:t xml:space="preserve">12.3  Ablauf je Modul</w:t>
      </w:r>
    </w:p>
    <w:p>
      <w:pPr>
        <w:spacing w:after="120" w:line="276"/>
      </w:pPr>
      <w:r>
        <w:t xml:space="preserve">URS gemeinsam schreiben und unterschreiben → Claude entwickelt das Modul gegen die URS → Claude generiert die IQ/OQ/PQ-Testskripte → unabhängige Person führt die Tests durch und unterschreibt → Claude fasst den Validierungsbericht zusammen → fachkundige Person prüft und unterschreibt → Modul geht live → jede spätere Änderung läuft über Change Control.</w:t>
      </w:r>
    </w:p>
    <w:p>
      <w:pPr>
        <w:pStyle w:val="Heading2"/>
      </w:pPr>
      <w:r>
        <w:t xml:space="preserve">12.4  Externe Begleitung</w:t>
      </w:r>
    </w:p>
    <w:p>
      <w:pPr>
        <w:spacing w:after="120" w:line="276"/>
      </w:pPr>
      <w:r>
        <w:t xml:space="preserve">Für eine unabhängige Validierungsbegleitung kann punktuell ein GxP-Validierungsdienstleister hinzugezogen werden — besonders sinnvoll für Stufe 0 und die erste produktive Stufe.</w:t>
      </w:r>
    </w:p>
    <w:p>
      <w:pPr>
        <w:pStyle w:val="Heading1"/>
      </w:pPr>
      <w:r>
        <w:t xml:space="preserve">13  Wartbarkeit &amp; Wissensbruch-Vorsorge</w:t>
      </w:r>
    </w:p>
    <w:p>
      <w:pPr>
        <w:pStyle w:val="Heading2"/>
      </w:pPr>
      <w:r>
        <w:t xml:space="preserve">13.1  Das Risiko</w:t>
      </w:r>
    </w:p>
    <w:p>
      <w:pPr>
        <w:spacing w:after="120" w:line="276"/>
      </w:pPr>
      <w:r>
        <w:t xml:space="preserve">Claude kann in einigen Monaten anders verfügbar sein, anders heißen oder anders antworten. Das System darf nicht von einem einzelnen, nicht ersetzbaren Wissensträger abhängen.</w:t>
      </w:r>
    </w:p>
    <w:p>
      <w:pPr>
        <w:pStyle w:val="Heading2"/>
      </w:pPr>
      <w:r>
        <w:t xml:space="preserve">13.2  Maßnahmen</w:t>
      </w:r>
    </w:p>
    <w:p>
      <w:pPr>
        <w:spacing w:after="120" w:line="276"/>
      </w:pPr>
      <w:r>
        <w:t xml:space="preserve">Der gesamte Code lebt in einem </w:t>
      </w:r>
      <w:r>
        <w:rPr>
          <w:b/>
          <w:bCs/>
        </w:rPr>
        <w:t xml:space="preserve">Git-Repository</w:t>
      </w:r>
      <w:r>
        <w:t xml:space="preserve"> bei einem deutschen/EU-Anbieter (z. B. GitLab.com EU oder eine selbst gehostete GitLab-CE-Instanz), ist nachvollziehbar </w:t>
      </w:r>
      <w:r>
        <w:rPr>
          <w:b/>
          <w:bCs/>
        </w:rPr>
        <w:t xml:space="preserve">dokumentiert</w:t>
      </w:r>
      <w:r>
        <w:t xml:space="preserve"> und so geschrieben, dass ein Mensch ihn lesen und übernehmen kann. Technische Entscheidungen werden so erklärt, dass die Geschäftsleitung sie versteht und absegnen kann.</w:t>
      </w:r>
    </w:p>
    <w:p>
      <w:pPr>
        <w:pStyle w:val="Heading2"/>
      </w:pPr>
      <w:r>
        <w:t xml:space="preserve">13.3  Standby-Entwickler</w:t>
      </w:r>
    </w:p>
    <w:p>
      <w:pPr>
        <w:spacing w:after="120" w:line="276"/>
      </w:pPr>
      <w:r>
        <w:t xml:space="preserve">Eine Person, die den Code im Bedarfsfall übernehmen kann — idealerweise ein freiberuflicher Entwickler im Standby — sollte </w:t>
      </w:r>
      <w:r>
        <w:rPr>
          <w:b/>
          <w:bCs/>
        </w:rPr>
        <w:t xml:space="preserve">vor dem ersten Produktiveinsatz benannt</w:t>
      </w:r>
      <w:r>
        <w:t xml:space="preserve"> sein.</w:t>
      </w:r>
    </w:p>
    <w:p>
      <w:pPr>
        <w:pStyle w:val="Heading1"/>
      </w:pPr>
      <w:r>
        <w:t xml:space="preserve">14  Offene Entscheidungen &amp; Annahmen</w:t>
      </w:r>
    </w:p>
    <w:p>
      <w:pPr>
        <w:pStyle w:val="Heading2"/>
      </w:pPr>
      <w:r>
        <w:t xml:space="preserve">14.1  Annahmen</w:t>
      </w:r>
    </w:p>
    <w:p>
      <w:pPr>
        <w:spacing w:after="120" w:line="276"/>
      </w:pPr>
      <w:r>
        <w:t xml:space="preserve">Dieses Dokument geht davon aus, dass Microsoft 365 im Betrieb im Einsatz ist (für Login/2-Faktor — zu bestätigen), dass vorhandene Hardware (Drucker, Scanner) weiter genutzt wird und dass der konsolidierte Routineplan mit 191 wiederkehrenden Aufgaben die fachliche Quelle für das Aufgabenmodul ist.</w:t>
      </w:r>
    </w:p>
    <w:p>
      <w:pPr>
        <w:pStyle w:val="Heading2"/>
      </w:pPr>
      <w:r>
        <w:t xml:space="preserve">14.2  Offene Entscheidungen</w:t>
      </w:r>
    </w:p>
    <w:p>
      <w:pPr>
        <w:spacing w:after="120" w:line="276"/>
      </w:pPr>
      <w:r>
        <w:t xml:space="preserve">Die folgenden Punkte werden bewusst noch nicht festgelegt:</w:t>
      </w:r>
    </w:p>
    <w:p>
      <w:pPr>
        <w:pStyle w:val="ListParagraph"/>
        <w:numPr>
          <w:ilvl w:val="0"/>
          <w:numId w:val="2"/>
        </w:numPr>
        <w:spacing w:after="80" w:line="276"/>
      </w:pPr>
      <w:r>
        <w:rPr>
          <w:b/>
          <w:bCs/>
        </w:rPr>
        <w:t xml:space="preserve">Technologie-Stack</w:t>
      </w:r>
      <w:r>
        <w:t xml:space="preserve"> (Django vs. Next.js), </w:t>
      </w:r>
      <w:r>
        <w:rPr>
          <w:b/>
          <w:bCs/>
        </w:rPr>
        <w:t xml:space="preserve">Datenbank</w:t>
      </w:r>
      <w:r>
        <w:t xml:space="preserve">, </w:t>
      </w:r>
      <w:r>
        <w:rPr>
          <w:b/>
          <w:bCs/>
        </w:rPr>
        <w:t xml:space="preserve">Hosting-Anbieter</w:t>
      </w:r>
      <w:r>
        <w:t xml:space="preserve">, </w:t>
      </w:r>
      <w:r>
        <w:rPr>
          <w:b/>
          <w:bCs/>
        </w:rPr>
        <w:t xml:space="preserve">Repository-Hosting</w:t>
      </w:r>
      <w:r>
        <w:t xml:space="preserve"> und </w:t>
      </w:r>
      <w:r>
        <w:rPr>
          <w:b/>
          <w:bCs/>
        </w:rPr>
        <w:t xml:space="preserve">Backup-Ziele</w:t>
      </w:r>
      <w:r>
        <w:t xml:space="preserve"> (Datenverlust-/Wiederanlauf-Grenzen) → Schritt 2 (technische Grundsatzentscheidungen).</w:t>
      </w:r>
    </w:p>
    <w:p>
      <w:pPr>
        <w:pStyle w:val="ListParagraph"/>
        <w:numPr>
          <w:ilvl w:val="0"/>
          <w:numId w:val="2"/>
        </w:numPr>
        <w:spacing w:after="80" w:line="276"/>
      </w:pPr>
      <w:r>
        <w:rPr>
          <w:b/>
          <w:bCs/>
        </w:rPr>
        <w:t xml:space="preserve">Authentifizierung</w:t>
      </w:r>
      <w:r>
        <w:t xml:space="preserve"> über M365 → bestätigen und in Schritt 2 festlegen.</w:t>
      </w:r>
    </w:p>
    <w:p>
      <w:pPr>
        <w:pStyle w:val="ListParagraph"/>
        <w:numPr>
          <w:ilvl w:val="0"/>
          <w:numId w:val="2"/>
        </w:numPr>
        <w:spacing w:after="80" w:line="276"/>
      </w:pPr>
      <w:r>
        <w:rPr>
          <w:b/>
          <w:bCs/>
        </w:rPr>
        <w:t xml:space="preserve">SAP-Business-One-Schnittstelle</w:t>
      </w:r>
      <w:r>
        <w:t xml:space="preserve">: Umfang und Richtung → später, bei Bedarf.</w:t>
      </w:r>
    </w:p>
    <w:p>
      <w:pPr>
        <w:pStyle w:val="ListParagraph"/>
        <w:numPr>
          <w:ilvl w:val="0"/>
          <w:numId w:val="2"/>
        </w:numPr>
        <w:spacing w:after="80" w:line="276"/>
      </w:pPr>
      <w:r>
        <w:rPr>
          <w:b/>
          <w:bCs/>
        </w:rPr>
        <w:t xml:space="preserve">Testo-Saveris-Schnittstelle</w:t>
      </w:r>
      <w:r>
        <w:t xml:space="preserve">: Zeitpunkt und Umfang → perspektivisches Inkrement.</w:t>
      </w:r>
    </w:p>
    <w:p>
      <w:pPr>
        <w:pStyle w:val="ListParagraph"/>
        <w:numPr>
          <w:ilvl w:val="0"/>
          <w:numId w:val="2"/>
        </w:numPr>
        <w:spacing w:after="80" w:line="276"/>
      </w:pPr>
      <w:r>
        <w:rPr>
          <w:b/>
          <w:bCs/>
        </w:rPr>
        <w:t xml:space="preserve">Foto-Dokumentations-Funktion</w:t>
      </w:r>
      <w:r>
        <w:t xml:space="preserve">: ob und wie → je Modul-URS.</w:t>
      </w:r>
    </w:p>
    <w:p>
      <w:pPr>
        <w:pStyle w:val="ListParagraph"/>
        <w:numPr>
          <w:ilvl w:val="0"/>
          <w:numId w:val="2"/>
        </w:numPr>
        <w:spacing w:after="80" w:line="276"/>
      </w:pPr>
      <w:r>
        <w:rPr>
          <w:b/>
          <w:bCs/>
        </w:rPr>
        <w:t xml:space="preserve">Niederschwelliger Login (Reinigungskraft)</w:t>
      </w:r>
      <w:r>
        <w:t xml:space="preserve">: konkrete Methode (PIN / Badge / QR-Code) → Modul-URS und Schritt 2.</w:t>
      </w:r>
    </w:p>
    <w:p>
      <w:pPr>
        <w:pStyle w:val="ListParagraph"/>
        <w:numPr>
          <w:ilvl w:val="0"/>
          <w:numId w:val="2"/>
        </w:numPr>
        <w:spacing w:after="80" w:line="276"/>
      </w:pPr>
      <w:r>
        <w:rPr>
          <w:b/>
          <w:bCs/>
        </w:rPr>
        <w:t xml:space="preserve">Standby-Entwickler</w:t>
      </w:r>
      <w:r>
        <w:t xml:space="preserve"> und ggf. </w:t>
      </w:r>
      <w:r>
        <w:rPr>
          <w:b/>
          <w:bCs/>
        </w:rPr>
        <w:t xml:space="preserve">externer Validierungsdienstleister</w:t>
      </w:r>
      <w:r>
        <w:t xml:space="preserve">: benennen → vor dem ersten Produktiveinsatz.</w:t>
      </w:r>
    </w:p>
    <w:p>
      <w:pPr>
        <w:pStyle w:val="Heading2"/>
      </w:pPr>
      <w:r>
        <w:t xml:space="preserve">14.3  Bereits geklärt</w:t>
      </w:r>
    </w:p>
    <w:p>
      <w:pPr>
        <w:spacing w:after="120" w:line="276"/>
      </w:pPr>
      <w:r>
        <w:t xml:space="preserve">Das aktuell genutzte gekaufte System heißt </w:t>
      </w:r>
      <w:r>
        <w:rPr>
          <w:b/>
          <w:bCs/>
        </w:rPr>
        <w:t xml:space="preserve">eqms.de</w:t>
      </w:r>
      <w:r>
        <w:t xml:space="preserve"> (die Nennung „eqms.com" im Übergabedokument war ein Fehler).</w:t>
      </w:r>
    </w:p>
    <w:p>
      <w:pPr>
        <w:pStyle w:val="Heading1"/>
      </w:pPr>
      <w:r>
        <w:t xml:space="preserve">15  Abnahme &amp; Versionskontrolle</w:t>
      </w:r>
    </w:p>
    <w:p>
      <w:pPr>
        <w:pStyle w:val="Heading2"/>
      </w:pPr>
      <w:r>
        <w:t xml:space="preserve">15.1  Freigabe des Vision Documents</w:t>
      </w:r>
    </w:p>
    <w:p>
      <w:pPr>
        <w:spacing w:after="120" w:line="276"/>
      </w:pPr>
      <w:r>
        <w:t xml:space="preserve">Mit ihrer Unterschrift bestätigen die Verantwortlichen, dass dieses Vision Document die Ziele, den Umfang und die Rahmenbedingungen des QM-Pilot-Vorhabens zutreffend beschreibt und die Grundlage für die nächsten Schritte (technische Grundsatzentscheidungen, Stufe 0) bildet.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26"/>
        <w:gridCol w:w="2000"/>
        <w:gridCol w:w="2000"/>
      </w:tblGrid>
      <w:tr>
        <w:trPr>
          <w:tblHeader/>
        </w:trPr>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pPr>
            <w:r>
              <w:rPr>
                <w:b/>
                <w:bCs/>
              </w:rPr>
              <w:t xml:space="preserve">Rolle</w:t>
            </w:r>
          </w:p>
        </w:tc>
        <w:tc>
          <w:tcPr>
            <w:tcW w:type="dxa" w:w="20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pPr>
            <w:r>
              <w:rPr>
                <w:b/>
                <w:bCs/>
              </w:rPr>
              <w:t xml:space="preserve">Name</w:t>
            </w:r>
          </w:p>
        </w:tc>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pPr>
            <w:r>
              <w:rPr>
                <w:b/>
                <w:bCs/>
              </w:rPr>
              <w:t xml:space="preserve">Datum</w:t>
            </w:r>
          </w:p>
        </w:tc>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pPr>
            <w:r>
              <w:rPr>
                <w:b/>
                <w:bCs/>
              </w:rPr>
              <w:t xml:space="preserve">Unterschrift</w:t>
            </w:r>
          </w:p>
        </w:tc>
      </w:tr>
      <w:tr>
        <w:trPr>
          <w:tblHeader w:val="false"/>
        </w:trP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Freigegeben — Produktverantwortlicher / Geschäftsleitung</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Jochen Schulze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
            </w:r>
          </w:p>
        </w:tc>
      </w:tr>
      <w:tr>
        <w:trPr>
          <w:tblHeader w:val="false"/>
        </w:trP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Fachlich/technisch geprüft — Standby-Entwickler</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(noch zu benennen)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
            </w:r>
          </w:p>
        </w:tc>
      </w:tr>
    </w:tbl>
    <w:p>
      <w:pPr>
        <w:spacing w:after="80"/>
      </w:pPr>
    </w:p>
    <w:p>
      <w:pPr>
        <w:pStyle w:val="Heading2"/>
      </w:pPr>
      <w:r>
        <w:t xml:space="preserve">15.2  Versionskontrolle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26"/>
        <w:gridCol w:w="3000"/>
      </w:tblGrid>
      <w:tr>
        <w:trPr>
          <w:tblHeader/>
        </w:trPr>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pPr>
            <w:r>
              <w:rPr>
                <w:b/>
                <w:bCs/>
              </w:rPr>
              <w:t xml:space="preserve">Version</w:t>
            </w:r>
          </w:p>
        </w:tc>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pPr>
            <w:r>
              <w:rPr>
                <w:b/>
                <w:bCs/>
              </w:rPr>
              <w:t xml:space="preserve">Datum</w:t>
            </w:r>
          </w:p>
        </w:tc>
        <w:tc>
          <w:tcPr>
            <w:tcW w:type="dxa" w:w="28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pPr>
            <w:r>
              <w:rPr>
                <w:b/>
                <w:bCs/>
              </w:rPr>
              <w:t xml:space="preserve">Autor</w:t>
            </w:r>
          </w:p>
        </w:tc>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pPr>
            <w:r>
              <w:rPr>
                <w:b/>
                <w:bCs/>
              </w:rPr>
              <w:t xml:space="preserve">Änderung</w:t>
            </w:r>
          </w:p>
        </w:tc>
      </w:tr>
      <w:tr>
        <w:trPr>
          <w:tblHeader w:val="false"/>
        </w:trP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0.1 (Entwurf)</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29.06.2026</w:t>
            </w:r>
          </w:p>
        </w:tc>
        <w:tc>
          <w:tcPr>
            <w:tcW w:type="dxa" w:w="2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Jochen Schulze / Claude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Erstentwurf, Abschnitte 1–15</w:t>
            </w:r>
          </w:p>
        </w:tc>
      </w:tr>
      <w:tr>
        <w:trPr>
          <w:tblHeader w:val="false"/>
        </w:trP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0.2 (Entwurf)</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30.06.2026</w:t>
            </w:r>
          </w:p>
        </w:tc>
        <w:tc>
          <w:tcPr>
            <w:tcW w:type="dxa" w:w="2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Jochen Schulze / Claude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b w:val="false"/>
                <w:bCs w:val="false"/>
              </w:rPr>
              <w:t xml:space="preserve">Benennung auf „QM-Pilot" vereinheitlicht; Unterschriften auf Software-/Produkt-Governance umgestellt (QM-Pilot ist kein Bestandteil des QMS)</w:t>
            </w:r>
          </w:p>
        </w:tc>
      </w:tr>
    </w:tbl>
    <w:p>
      <w:pPr>
        <w:spacing w:after="80"/>
      </w:pPr>
    </w:p>
    <w:p>
      <w:pPr>
        <w:pStyle w:val="Heading2"/>
      </w:pPr>
      <w:r>
        <w:t xml:space="preserve">15.3  Geltung</w:t>
      </w:r>
    </w:p>
    <w:p>
      <w:pPr>
        <w:spacing w:after="120" w:line="276"/>
      </w:pPr>
      <w:r>
        <w:t xml:space="preserve">Das Dokument ist ein lebendes Dokument. Änderungen nach der ersten Freigabe erfolgen nachvollziehbar über eine neue Version mit Eintrag in der Versionstabelle.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Seite </w:t>
    </w:r>
    <w:r>
      <w:rPr>
        <w:color w:val="666666"/>
        <w:sz w:val="16"/>
        <w:szCs w:val="16"/>
      </w:rPr>
      <w:fldChar w:fldCharType="begin"/>
      <w:instrText xml:space="preserve">PAGE</w:instrText>
      <w:fldChar w:fldCharType="separate"/>
      <w:fldChar w:fldCharType="end"/>
    </w:r>
    <w:r>
      <w:rPr>
        <w:color w:val="666666"/>
        <w:sz w:val="16"/>
        <w:szCs w:val="16"/>
      </w:rPr>
      <w:t xml:space="preserve"> von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tabs>
        <w:tab w:val="right" w:pos="9026"/>
      </w:tabs>
    </w:pPr>
    <w:r>
      <w:rPr>
        <w:color w:val="666666"/>
        <w:sz w:val="16"/>
        <w:szCs w:val="16"/>
      </w:rPr>
      <w:t xml:space="preserve">Vision Document QM-Pilot — Pharmazeutika 73.3 GmbH</w:t>
    </w:r>
    <w:r>
      <w:rPr>
        <w:color w:val="666666"/>
        <w:sz w:val="16"/>
        <w:szCs w:val="16"/>
      </w:rPr>
      <w:t xml:space="preserve">	Version 0.2 (Entwurf)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80" w:before="16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2026-06-30T17:15:27.773Z</dcterms:created>
  <dcterms:modified xsi:type="dcterms:W3CDTF">2026-06-30T17:15:27.773Z</dcterms:modified>
</cp:coreProperties>
</file>

<file path=docProps/custom.xml><?xml version="1.0" encoding="utf-8"?>
<Properties xmlns="http://schemas.openxmlformats.org/officeDocument/2006/custom-properties" xmlns:vt="http://schemas.openxmlformats.org/officeDocument/2006/docPropsVTypes"/>
</file>