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sz w:val="40"/>
          <w:szCs w:val="40"/>
        </w:rPr>
        <w:t xml:space="preserve">Funktional-/Design-Spezifikation</w:t>
      </w:r>
    </w:p>
    <w:p>
      <w:pPr>
        <w:spacing w:before="100"/>
        <w:jc w:val="center"/>
      </w:pPr>
      <w:r>
        <w:rPr>
          <w:sz w:val="30"/>
          <w:szCs w:val="30"/>
        </w:rPr>
        <w:t xml:space="preserve">QM-Pilot — Modul „Fundament" (Stufe 0)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0.3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Jochen Schulze (GL/RP)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Funktional-/Design-Spezifikation (FS/DS) beschreibt, </w:t>
      </w:r>
      <w:r>
        <w:rPr>
          <w:b/>
          <w:bCs/>
        </w:rPr>
        <w:t xml:space="preserve">wie</w:t>
      </w:r>
      <w:r>
        <w:t xml:space="preserve"> die Anforderungen der URS Stufe 0 in der Software QM-Pilot technisch und funktional umgesetzt werden. Sie ist die Grundlage für die Entwicklung und für die Ableitung der Qualifizierungstests (IQ/OQ/PQ).</w:t>
      </w:r>
    </w:p>
    <w:p>
      <w:pPr>
        <w:pStyle w:val="Heading2"/>
      </w:pPr>
      <w:r>
        <w:t xml:space="preserve">1.2  Verhältnis zur URS</w:t>
      </w:r>
    </w:p>
    <w:p>
      <w:pPr>
        <w:spacing w:after="120" w:line="276"/>
      </w:pPr>
      <w:r>
        <w:t xml:space="preserve">Die FS/DS führt </w:t>
      </w:r>
      <w:r>
        <w:rPr>
          <w:b/>
          <w:bCs/>
        </w:rPr>
        <w:t xml:space="preserve">keine neuen Benutzeranforderungen</w:t>
      </w:r>
      <w:r>
        <w:t xml:space="preserve"> ein. Jede Festlegung verweist auf die zugehörige URS-F-Nummer und beschreibt deren Umsetzung. Zeigt sich eine Lücke oder ein Widerspruch, wird zuerst die URS angepasst — nicht still in der FS/DS abgewichen.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Die FS/DS gilt für das Modul „Fundament" (Stufe 0) von QM-Pilot. Die in Schritt 2 getroffenen Grundsatzentscheidungen sind die technische Basis: Django, PostgreSQL, Hosting bei Hetzner (DE), Login über Microsoft 365, selbst betriebenes Git.</w:t>
      </w:r>
    </w:p>
    <w:p>
      <w:pPr>
        <w:pStyle w:val="Heading2"/>
      </w:pPr>
      <w:r>
        <w:t xml:space="preserve">1.4  Funktional- vs. Design-Anteil</w:t>
      </w:r>
    </w:p>
    <w:p>
      <w:pPr>
        <w:spacing w:after="120" w:line="276"/>
      </w:pPr>
      <w:r>
        <w:t xml:space="preserve">Der funktionale Teil (Abschnitt 4) beschreibt das beobachtbare Verhalten, der Design-Teil (Abschnitte 5 und 6) die technische Gestaltung. Beide sind hier zusammengeführt, bleiben aber unterscheidbar.</w:t>
      </w:r>
    </w:p>
    <w:p>
      <w:pPr>
        <w:pStyle w:val="Heading2"/>
      </w:pPr>
      <w:r>
        <w:t xml:space="preserve">1.5  Verbindlichkeit</w:t>
      </w:r>
    </w:p>
    <w:p>
      <w:pPr>
        <w:spacing w:after="120" w:line="276"/>
      </w:pPr>
      <w:r>
        <w:t xml:space="preserve">Die FS/DS wird von der Geschäftsleitung / Verantwortlichen Person freigegeben. Änderungen nach Freigabe erfolgen über die Versionskontrolle; Änderungen an bereits produktiver Software laufen über den Software-Versionierungs-/Freigabeprozess (URS-F-052).</w:t>
      </w:r>
    </w:p>
    <w:p>
      <w:pPr>
        <w:pStyle w:val="Heading1"/>
      </w:pPr>
      <w:r>
        <w:t xml:space="preserve">2  Mitgeltende Dokumente</w:t>
      </w:r>
    </w:p>
    <w:p>
      <w:pPr>
        <w:spacing w:after="120" w:line="276"/>
      </w:pPr>
      <w:r>
        <w:t xml:space="preserve">Diese FS/DS setzt auf folgenden Dokumenten auf:</w:t>
      </w:r>
    </w:p>
    <w:p>
      <w:pPr>
        <w:spacing w:after="120" w:line="276"/>
      </w:pPr>
      <w:r>
        <w:rPr>
          <w:b/>
          <w:bCs/>
        </w:rPr>
        <w:t xml:space="preserve">URS Stufe 0 (v0.1)</w:t>
      </w:r>
      <w:r>
        <w:t xml:space="preserve"> — die umzusetzenden Anforderungen (URS-F-001 bis URS-F-066); maßgeblich für die Nachverfolgbarkeit.</w:t>
      </w:r>
    </w:p>
    <w:p>
      <w:pPr>
        <w:spacing w:after="120" w:line="276"/>
      </w:pPr>
      <w:r>
        <w:rPr>
          <w:b/>
          <w:bCs/>
        </w:rPr>
        <w:t xml:space="preserve">Technische Grundsatzentscheidungen (v0.1)</w:t>
      </w:r>
      <w:r>
        <w:t xml:space="preserve"> — die gesetzten technischen Weichen.</w:t>
      </w:r>
    </w:p>
    <w:p>
      <w:pPr>
        <w:spacing w:after="120" w:line="276"/>
      </w:pPr>
      <w:r>
        <w:rPr>
          <w:b/>
          <w:bCs/>
        </w:rPr>
        <w:t xml:space="preserve">Vision Document (v0.1)</w:t>
      </w:r>
      <w:r>
        <w:t xml:space="preserve"> — übergeordneter Rahmen, Rollenmodell, Reifestufen.</w:t>
      </w:r>
    </w:p>
    <w:p>
      <w:pPr>
        <w:spacing w:after="120" w:line="276"/>
      </w:pPr>
      <w:r>
        <w:rPr>
          <w:b/>
          <w:bCs/>
        </w:rPr>
        <w:t xml:space="preserve">Design-Grundlinie / Marken-Tokens</w:t>
      </w:r>
      <w:r>
        <w:t xml:space="preserve"> — Farben, Logo und deren Anwendung.</w:t>
      </w:r>
    </w:p>
    <w:p>
      <w:pPr>
        <w:spacing w:after="120" w:line="276"/>
      </w:pPr>
      <w:r>
        <w:t xml:space="preserve">Als verbindlicher Compliance- und Prüfmaßstab gelten die gesetzlichen Vorgaben (GDP-Leitlinie 2013/C 343/01, EU-Annex 11 sinngemäß, AMG/AMHandelsV, DSGVO); GAMP 5 und ALCOA+ dienen als anerkannte Methodik.</w:t>
      </w:r>
    </w:p>
    <w:p>
      <w:pPr>
        <w:pStyle w:val="Heading1"/>
      </w:pPr>
      <w:r>
        <w:t xml:space="preserve">3  Architektur-Überblick</w:t>
      </w:r>
    </w:p>
    <w:p>
      <w:pPr>
        <w:pStyle w:val="Heading2"/>
      </w:pPr>
      <w:r>
        <w:t xml:space="preserve">3.1  Gesamtbild</w:t>
      </w:r>
    </w:p>
    <w:p>
      <w:pPr>
        <w:spacing w:after="120" w:line="276"/>
      </w:pPr>
      <w:r>
        <w:t xml:space="preserve">QM-Pilot ist eine Webanwendung: Die Mitarbeitenden öffnen sie im Browser (oder auf einem Tablet), die Logik läuft zentral auf einem Server bei Hetzner in Deutschland (URS-F-044). Jede Verbindung ist verschlüsselt (TLS, URS-F-046). In der Skizze steht Türkis für die Anwendung selbst, Violett für den externen Dienst (Microsoft 365), Grau für die unterstützende Infrastruktur.</w:t>
      </w:r>
    </w:p>
    <w:p>
      <w:pPr>
        <w:spacing w:after="120" w:before="60"/>
        <w:jc w:val="center"/>
      </w:pPr>
      <w:r>
        <w:drawing>
          <wp:inline distT="0" distB="0" distL="0" distR="0">
            <wp:extent cx="5314950" cy="4219575"/>
            <wp:effectExtent t="0" r="0" b="0" l="0"/>
            <wp:docPr id="1" name="Architektur" descr="Architektur-Überblick" title="Architektur QM-Pilot Stuf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 Bausteine</w:t>
      </w:r>
    </w:p>
    <w:p>
      <w:pPr>
        <w:spacing w:after="120" w:line="276"/>
      </w:pPr>
      <w:r>
        <w:t xml:space="preserve">Der </w:t>
      </w:r>
      <w:r>
        <w:rPr>
          <w:i/>
          <w:iCs/>
        </w:rPr>
        <w:t xml:space="preserve">Reverse Proxy</w:t>
      </w:r>
      <w:r>
        <w:t xml:space="preserve"> nimmt die verschlüsselten Anfragen entgegen und reicht sie an die </w:t>
      </w:r>
      <w:r>
        <w:rPr>
          <w:i/>
          <w:iCs/>
        </w:rPr>
        <w:t xml:space="preserve">Django-Anwendung</w:t>
      </w:r>
      <w:r>
        <w:t xml:space="preserve"> (QM-Pilot) weiter — dort liegt die gesamte Logik. Die </w:t>
      </w:r>
      <w:r>
        <w:rPr>
          <w:i/>
          <w:iCs/>
        </w:rPr>
        <w:t xml:space="preserve">PostgreSQL-Datenbank</w:t>
      </w:r>
      <w:r>
        <w:t xml:space="preserve"> speichert alle Daten und Aufzeichnungen revisionssicher. Der Login interner Nutzer läuft über </w:t>
      </w:r>
      <w:r>
        <w:rPr>
          <w:i/>
          <w:iCs/>
        </w:rPr>
        <w:t xml:space="preserve">Microsoft 365</w:t>
      </w:r>
      <w:r>
        <w:t xml:space="preserve"> (SSO inkl. 2-Faktor, URS-F-010/011); der niederschwellige Login für Externe ist Teil der Anwendung (Detail in 4.2). Der </w:t>
      </w:r>
      <w:r>
        <w:rPr>
          <w:i/>
          <w:iCs/>
        </w:rPr>
        <w:t xml:space="preserve">Backup-Dienst</w:t>
      </w:r>
      <w:r>
        <w:t xml:space="preserve"> sichert täglich und mehrmals täglich die Datenbank an einen zweiten Standort (URS-F-035/036).</w:t>
      </w:r>
    </w:p>
    <w:p>
      <w:pPr>
        <w:pStyle w:val="Heading2"/>
      </w:pPr>
      <w:r>
        <w:t xml:space="preserve">3.3  Umgebungen &amp; Code</w:t>
      </w:r>
    </w:p>
    <w:p>
      <w:pPr>
        <w:spacing w:after="120" w:line="276"/>
      </w:pPr>
      <w:r>
        <w:t xml:space="preserve">Es gibt eine getrennte Produktiv- und Testumgebung (URS-F-045). Der Quellcode liegt im selbst betriebenen Git-Repository in Deutschland; jede Software-Version wird dort nachvollziehbar erfasst und freigegeben (URS-F-052) — getrennt von der QM-Change-Control.</w:t>
      </w:r>
    </w:p>
    <w:p>
      <w:pPr>
        <w:pStyle w:val="Heading1"/>
      </w:pPr>
      <w:r>
        <w:t xml:space="preserve">4  Funktionale Spezifikation</w:t>
      </w:r>
    </w:p>
    <w:p>
      <w:pPr>
        <w:pStyle w:val="Heading2"/>
      </w:pPr>
      <w:r>
        <w:t xml:space="preserve">4.1  Benutzer, Rollen &amp; Rechte</w:t>
      </w:r>
    </w:p>
    <w:p>
      <w:pPr>
        <w:spacing w:after="120" w:line="276"/>
      </w:pPr>
      <w:r>
        <w:rPr>
          <w:b/>
          <w:bCs/>
        </w:rPr>
        <w:t xml:space="preserve">Rollen als Gruppen (URS-F-001/002):</w:t>
      </w:r>
      <w:r>
        <w:t xml:space="preserve"> Jede Rolle (GL, RP, QMB, stellv. RP, operative Mitarbeitende, Externe, Auditor) wird als Django-Gruppe mit fest definiertem Rechte-Bündel abgebildet; Rechte hängen an der Gruppe, nicht an der Person.</w:t>
      </w:r>
    </w:p>
    <w:p>
      <w:pPr>
        <w:spacing w:after="120" w:line="276"/>
      </w:pPr>
      <w:r>
        <w:rPr>
          <w:b/>
          <w:bCs/>
        </w:rPr>
        <w:t xml:space="preserve">Personalunion (URS-F-003):</w:t>
      </w:r>
      <w:r>
        <w:t xml:space="preserve"> Eine Person kann mehreren Gruppen angehören; Rechte ergeben sich aus der Summe, jede Handlung bleibt der Person zugeordnet.</w:t>
      </w:r>
    </w:p>
    <w:p>
      <w:pPr>
        <w:spacing w:after="120" w:line="276"/>
      </w:pPr>
      <w:r>
        <w:rPr>
          <w:b/>
          <w:bCs/>
        </w:rPr>
        <w:t xml:space="preserve">Minimale Rechte (URS-F-004):</w:t>
      </w:r>
      <w:r>
        <w:t xml:space="preserve"> Grundeinstellung „nichts erlaubt"; Rechte werden je Gruppe explizit vergeben.</w:t>
      </w:r>
    </w:p>
    <w:p>
      <w:pPr>
        <w:spacing w:after="120" w:line="276"/>
      </w:pPr>
      <w:r>
        <w:rPr>
          <w:b/>
          <w:bCs/>
        </w:rPr>
        <w:t xml:space="preserve">Benutzerverwaltung (URS-F-005):</w:t>
      </w:r>
      <w:r>
        <w:t xml:space="preserve"> Nur eine Administrationsrolle legt Benutzer an, ändert/deaktiviert sie und weist Rollen zu — über einen geschützten Verwaltungsbereich.</w:t>
      </w:r>
    </w:p>
    <w:p>
      <w:pPr>
        <w:spacing w:after="120" w:line="276"/>
      </w:pPr>
      <w:r>
        <w:rPr>
          <w:b/>
          <w:bCs/>
        </w:rPr>
        <w:t xml:space="preserve">Deaktivieren statt Löschen (URS-F-006):</w:t>
      </w:r>
      <w:r>
        <w:t xml:space="preserve"> Status „aktiv/inaktiv"; inaktive Konten können sich nicht anmelden, die Historie bleibt erhalten.</w:t>
      </w:r>
    </w:p>
    <w:p>
      <w:pPr>
        <w:spacing w:after="120" w:line="276"/>
      </w:pPr>
      <w:r>
        <w:rPr>
          <w:b/>
          <w:bCs/>
        </w:rPr>
        <w:t xml:space="preserve">Funktionstrennung (URS-F-007):</w:t>
      </w:r>
      <w:r>
        <w:t xml:space="preserve"> Auditor nur lesend; erfassende/prüfende/freigebende Rolle über getrennte Gruppen trennbar.</w:t>
      </w:r>
    </w:p>
    <w:p>
      <w:pPr>
        <w:spacing w:after="120" w:line="276"/>
      </w:pPr>
      <w:r>
        <w:rPr>
          <w:b/>
          <w:bCs/>
        </w:rPr>
        <w:t xml:space="preserve">Eindeutige Zuordnung (URS-F-008):</w:t>
      </w:r>
      <w:r>
        <w:t xml:space="preserve"> Jedes Konto gehört einer natürlichen Person; auch der niederschwellige Login ist personenbezogen.</w:t>
      </w:r>
    </w:p>
    <w:p>
      <w:pPr>
        <w:spacing w:after="120" w:line="276"/>
      </w:pPr>
      <w:r>
        <w:rPr>
          <w:b/>
          <w:bCs/>
        </w:rPr>
        <w:t xml:space="preserve">Protokollierung (URS-F-009):</w:t>
      </w:r>
      <w:r>
        <w:t xml:space="preserve"> Anlegen/Ändern von Benutzern und Rollen wird in den Audit-Trail geschrieben.</w:t>
      </w:r>
    </w:p>
    <w:p>
      <w:pPr>
        <w:spacing w:after="120" w:line="276"/>
      </w:pPr>
      <w:r>
        <w:rPr>
          <w:b/>
          <w:bCs/>
        </w:rPr>
        <w:t xml:space="preserve">Konfigurationstrennung (URS-F-066):</w:t>
      </w:r>
      <w:r>
        <w:t xml:space="preserve"> Rollenbezeichnungen und Rechte werden als Konfiguration geführt, getrennt vom Code.</w:t>
      </w:r>
    </w:p>
    <w:p>
      <w:pPr>
        <w:pStyle w:val="Heading2"/>
      </w:pPr>
      <w:r>
        <w:t xml:space="preserve">4.2  Authentifizierung &amp; Login</w:t>
      </w:r>
    </w:p>
    <w:p>
      <w:pPr>
        <w:spacing w:after="120" w:line="276"/>
      </w:pPr>
      <w:r>
        <w:rPr>
          <w:b/>
          <w:bCs/>
        </w:rPr>
        <w:t xml:space="preserve">M365-Anmeldung (URS-F-010/011):</w:t>
      </w:r>
      <w:r>
        <w:t xml:space="preserve"> Standardverfahren OpenID Connect — kurze Weiterleitung zur Microsoft-Anmeldung (2-Faktor greift automatisch), Rückkehr mit bestätigter Identität. QM-Pilot speichert kein eigenes Passwort.</w:t>
      </w:r>
    </w:p>
    <w:p>
      <w:pPr>
        <w:spacing w:after="120" w:line="276"/>
      </w:pPr>
      <w:r>
        <w:rPr>
          <w:b/>
          <w:bCs/>
        </w:rPr>
        <w:t xml:space="preserve">Kontoende bei Austritt (URS-F-012):</w:t>
      </w:r>
      <w:r>
        <w:t xml:space="preserve"> Nach Deaktivierung des M365-Kontos keine Anmeldung mehr möglich; zusätzlich Konto auf „inaktiv" setzbar.</w:t>
      </w:r>
    </w:p>
    <w:p>
      <w:pPr>
        <w:spacing w:after="120" w:line="276"/>
      </w:pPr>
      <w:r>
        <w:rPr>
          <w:b/>
          <w:bCs/>
        </w:rPr>
        <w:t xml:space="preserve">Niederschwelliger Login (URS-F-013):</w:t>
      </w:r>
      <w:r>
        <w:t xml:space="preserve"> Persönliche PIN auf einem gemeinsam genutzten Tablet — Kachel mit Name/Foto antippen, vierstellige PIN eingeben. Keine Zusatz-Hardware, sprachunabhängig, persönlich und eindeutig zuordenbar.</w:t>
      </w:r>
    </w:p>
    <w:p>
      <w:pPr>
        <w:spacing w:after="120" w:line="276"/>
      </w:pPr>
      <w:r>
        <w:rPr>
          <w:b/>
          <w:bCs/>
        </w:rPr>
        <w:t xml:space="preserve">Auditor-Konten (URS-F-014):</w:t>
      </w:r>
      <w:r>
        <w:t xml:space="preserve"> Lokale, rein lesende Konten mit Ablaufdatum (danach automatisch inaktiv).</w:t>
      </w:r>
    </w:p>
    <w:p>
      <w:pPr>
        <w:spacing w:after="120" w:line="276"/>
      </w:pPr>
      <w:r>
        <w:rPr>
          <w:b/>
          <w:bCs/>
        </w:rPr>
        <w:t xml:space="preserve">Protokollierung (URS-F-015):</w:t>
      </w:r>
      <w:r>
        <w:t xml:space="preserve"> Erfolgreiche und fehlgeschlagene Anmeldungen werden protokolliert.</w:t>
      </w:r>
    </w:p>
    <w:p>
      <w:pPr>
        <w:spacing w:after="120" w:line="276"/>
      </w:pPr>
      <w:r>
        <w:rPr>
          <w:b/>
          <w:bCs/>
        </w:rPr>
        <w:t xml:space="preserve">Schutz bei Fehlversuchen (URS-F-016):</w:t>
      </w:r>
      <w:r>
        <w:t xml:space="preserve"> Nach definierter Zahl Fehlversuche vorübergehende Sperre/Verzögerung — auch beim PIN-Login.</w:t>
      </w:r>
    </w:p>
    <w:p>
      <w:pPr>
        <w:spacing w:after="120" w:line="276"/>
      </w:pPr>
      <w:r>
        <w:rPr>
          <w:b/>
          <w:bCs/>
        </w:rPr>
        <w:t xml:space="preserve">Automatische Abmeldung (URS-F-017):</w:t>
      </w:r>
      <w:r>
        <w:t xml:space="preserve"> Sitzungsende nach einstellbarer Inaktivität.</w:t>
      </w:r>
    </w:p>
    <w:p>
      <w:pPr>
        <w:spacing w:after="120" w:line="276"/>
      </w:pPr>
      <w:r>
        <w:rPr>
          <w:b/>
          <w:bCs/>
        </w:rPr>
        <w:t xml:space="preserve">Abmelden &amp; Benutzerwechsel (URS-F-018):</w:t>
      </w:r>
      <w:r>
        <w:t xml:space="preserve"> Aktives Abmelden; auf dem Tablet schneller Wechsel zurück zur Kachel-Auswahl.</w:t>
      </w:r>
    </w:p>
    <w:p>
      <w:pPr>
        <w:pStyle w:val="Heading2"/>
      </w:pPr>
      <w:r>
        <w:t xml:space="preserve">4.3  Audit-Trail</w:t>
      </w:r>
    </w:p>
    <w:p>
      <w:pPr>
        <w:spacing w:after="120" w:line="276"/>
      </w:pPr>
      <w:r>
        <w:rPr>
          <w:b/>
          <w:bCs/>
        </w:rPr>
        <w:t xml:space="preserve">Zentrale Protokollierung (URS-F-019):</w:t>
      </w:r>
      <w:r>
        <w:t xml:space="preserve"> Alle qualitätsrelevanten Vorgänge laufen über eine zentrale Stelle; kein Modul kann die Protokollierung umgehen.</w:t>
      </w:r>
    </w:p>
    <w:p>
      <w:pPr>
        <w:spacing w:after="120" w:line="276"/>
      </w:pPr>
      <w:r>
        <w:rPr>
          <w:b/>
          <w:bCs/>
        </w:rPr>
        <w:t xml:space="preserve">Inhalt (URS-F-020):</w:t>
      </w:r>
      <w:r>
        <w:t xml:space="preserve"> wer, was, wann, alter/neuer Wert.</w:t>
      </w:r>
    </w:p>
    <w:p>
      <w:pPr>
        <w:spacing w:after="120" w:line="276"/>
      </w:pPr>
      <w:r>
        <w:rPr>
          <w:b/>
          <w:bCs/>
        </w:rPr>
        <w:t xml:space="preserve">Unveränderbarkeit (URS-F-021):</w:t>
      </w:r>
      <w:r>
        <w:t xml:space="preserve"> Einträge werden nur angehängt; keine Bearbeiten-/Löschfunktion, auch nicht für Admins; zusätzlich auf Datenbankebene abgesichert.</w:t>
      </w:r>
    </w:p>
    <w:p>
      <w:pPr>
        <w:spacing w:after="120" w:line="276"/>
      </w:pPr>
      <w:r>
        <w:rPr>
          <w:b/>
          <w:bCs/>
        </w:rPr>
        <w:t xml:space="preserve">Verlässliche Zeitstempel (URS-F-022):</w:t>
      </w:r>
      <w:r>
        <w:t xml:space="preserve"> synchronisierte Zeitquelle (NTP), einheitliche Speicherung, lokale Anzeige.</w:t>
      </w:r>
    </w:p>
    <w:p>
      <w:pPr>
        <w:spacing w:after="120" w:line="276"/>
      </w:pPr>
      <w:r>
        <w:rPr>
          <w:b/>
          <w:bCs/>
        </w:rPr>
        <w:t xml:space="preserve">Kein physisches Löschen (URS-F-023):</w:t>
      </w:r>
      <w:r>
        <w:t xml:space="preserve"> Ungültigsetzen/Versionieren statt Löschen.</w:t>
      </w:r>
    </w:p>
    <w:p>
      <w:pPr>
        <w:spacing w:after="120" w:line="276"/>
      </w:pPr>
      <w:r>
        <w:rPr>
          <w:b/>
          <w:bCs/>
        </w:rPr>
        <w:t xml:space="preserve">Lesbar &amp; exportierbar (URS-F-024):</w:t>
      </w:r>
      <w:r>
        <w:t xml:space="preserve"> einsehbare Liste, Export/Druck (PDF/CSV).</w:t>
      </w:r>
    </w:p>
    <w:p>
      <w:pPr>
        <w:spacing w:after="120" w:line="276"/>
      </w:pPr>
      <w:r>
        <w:rPr>
          <w:b/>
          <w:bCs/>
        </w:rPr>
        <w:t xml:space="preserve">Durchsuchbar (URS-F-025):</w:t>
      </w:r>
      <w:r>
        <w:t xml:space="preserve"> Filter nach Person, Zeitraum, Objekt, Vorgang.</w:t>
      </w:r>
    </w:p>
    <w:p>
      <w:pPr>
        <w:spacing w:after="120" w:line="276"/>
      </w:pPr>
      <w:r>
        <w:rPr>
          <w:b/>
          <w:bCs/>
        </w:rPr>
        <w:t xml:space="preserve">Aufbewahrung &amp; Sicherung (URS-F-026/027):</w:t>
      </w:r>
      <w:r>
        <w:t xml:space="preserve"> mindestens so lange wie der Datensatz (5 Jahre), von der Sicherung umfasst.</w:t>
      </w:r>
    </w:p>
    <w:p>
      <w:pPr>
        <w:pStyle w:val="Heading2"/>
      </w:pPr>
      <w:r>
        <w:t xml:space="preserve">4.4  Archivierung &amp; Speicherung</w:t>
      </w:r>
    </w:p>
    <w:p>
      <w:pPr>
        <w:spacing w:after="120" w:line="276"/>
      </w:pPr>
      <w:r>
        <w:rPr>
          <w:b/>
          <w:bCs/>
        </w:rPr>
        <w:t xml:space="preserve">Revisionssicher (URS-F-028):</w:t>
      </w:r>
      <w:r>
        <w:t xml:space="preserve"> Daten in PostgreSQL, abgesichert durch Audit-Trail sowie Sperr- und Versionslogik.</w:t>
      </w:r>
    </w:p>
    <w:p>
      <w:pPr>
        <w:spacing w:after="120" w:line="276"/>
      </w:pPr>
      <w:r>
        <w:rPr>
          <w:b/>
          <w:bCs/>
        </w:rPr>
        <w:t xml:space="preserve">Sperre nach Freigabe (URS-F-029):</w:t>
      </w:r>
      <w:r>
        <w:t xml:space="preserve"> Freigegebene Dokumente/abgeschlossene Aufzeichnungen werden schreibgeschützt; Korrektur nur über neue Version, Original bleibt erhalten.</w:t>
      </w:r>
    </w:p>
    <w:p>
      <w:pPr>
        <w:spacing w:after="120" w:line="276"/>
      </w:pPr>
      <w:r>
        <w:rPr>
          <w:b/>
          <w:bCs/>
        </w:rPr>
        <w:t xml:space="preserve">Aufbewahrungsfristen (URS-F-030):</w:t>
      </w:r>
      <w:r>
        <w:t xml:space="preserve"> Aufbewahrungs-Kategorie je Datensatz; keine Löschfunktion vor Fristablauf.</w:t>
      </w:r>
    </w:p>
    <w:p>
      <w:pPr>
        <w:spacing w:after="120" w:line="276"/>
      </w:pPr>
      <w:r>
        <w:rPr>
          <w:b/>
          <w:bCs/>
        </w:rPr>
        <w:t xml:space="preserve">Langfristige Lesbarkeit (URS-F-031):</w:t>
      </w:r>
      <w:r>
        <w:t xml:space="preserve"> langlebige, offene Formate (z. B. PDF/A); les- und exportierbar über die gesamte Frist.</w:t>
      </w:r>
    </w:p>
    <w:p>
      <w:pPr>
        <w:spacing w:after="120" w:line="276"/>
      </w:pPr>
      <w:r>
        <w:rPr>
          <w:b/>
          <w:bCs/>
        </w:rPr>
        <w:t xml:space="preserve">Zugriff nach Rollen (URS-F-032):</w:t>
      </w:r>
      <w:r>
        <w:t xml:space="preserve"> Lesezugriff für berechtigte Rollen sowie Auditor.</w:t>
      </w:r>
    </w:p>
    <w:p>
      <w:pPr>
        <w:spacing w:after="120" w:line="276"/>
      </w:pPr>
      <w:r>
        <w:rPr>
          <w:b/>
          <w:bCs/>
        </w:rPr>
        <w:t xml:space="preserve">Metadaten (URS-F-033):</w:t>
      </w:r>
      <w:r>
        <w:t xml:space="preserve"> Version, Status, Zeitstempel, verantwortliche Person.</w:t>
      </w:r>
    </w:p>
    <w:p>
      <w:pPr>
        <w:spacing w:after="120" w:line="276"/>
      </w:pPr>
      <w:r>
        <w:rPr>
          <w:b/>
          <w:bCs/>
        </w:rPr>
        <w:t xml:space="preserve">Schutz (URS-F-034):</w:t>
      </w:r>
      <w:r>
        <w:t xml:space="preserve"> Verschlüsselung im Ruhezustand (soweit angemessen) und Zugriffsschutz über das Rollenmodell.</w:t>
      </w:r>
    </w:p>
    <w:p>
      <w:pPr>
        <w:pStyle w:val="Heading2"/>
      </w:pPr>
      <w:r>
        <w:t xml:space="preserve">4.5  Backup &amp; Wiederherstellung</w:t>
      </w:r>
    </w:p>
    <w:p>
      <w:pPr>
        <w:spacing w:after="120" w:line="276"/>
      </w:pPr>
      <w:r>
        <w:rPr>
          <w:b/>
          <w:bCs/>
        </w:rPr>
        <w:t xml:space="preserve">Sicherungsplan (URS-F-035):</w:t>
      </w:r>
      <w:r>
        <w:t xml:space="preserve"> tägliches Voll-Backup plus mehrmals tägliche DB-Sicherung.</w:t>
      </w:r>
    </w:p>
    <w:p>
      <w:pPr>
        <w:spacing w:after="120" w:line="276"/>
      </w:pPr>
      <w:r>
        <w:rPr>
          <w:b/>
          <w:bCs/>
        </w:rPr>
        <w:t xml:space="preserve">Verschlüsselt &amp; georedundant (URS-F-036):</w:t>
      </w:r>
      <w:r>
        <w:t xml:space="preserve"> Sicherungen verschlüsselt, an einem zweiten Standort.</w:t>
      </w:r>
    </w:p>
    <w:p>
      <w:pPr>
        <w:spacing w:after="120" w:line="276"/>
      </w:pPr>
      <w:r>
        <w:rPr>
          <w:b/>
          <w:bCs/>
        </w:rPr>
        <w:t xml:space="preserve">Aufbewahrung (URS-F-037):</w:t>
      </w:r>
      <w:r>
        <w:t xml:space="preserve"> täglich 30 Tage, wöchentlich 3 Monate.</w:t>
      </w:r>
    </w:p>
    <w:p>
      <w:pPr>
        <w:spacing w:after="120" w:line="276"/>
      </w:pPr>
      <w:r>
        <w:rPr>
          <w:b/>
          <w:bCs/>
        </w:rPr>
        <w:t xml:space="preserve">RPO (URS-F-038):</w:t>
      </w:r>
      <w:r>
        <w:t xml:space="preserve"> max. 24 h, real wenige Stunden durch die DB-Sicherungen.</w:t>
      </w:r>
    </w:p>
    <w:p>
      <w:pPr>
        <w:spacing w:after="120" w:line="276"/>
      </w:pPr>
      <w:r>
        <w:rPr>
          <w:b/>
          <w:bCs/>
        </w:rPr>
        <w:t xml:space="preserve">RTO (URS-F-039):</w:t>
      </w:r>
      <w:r>
        <w:t xml:space="preserve"> max. ein Arbeitstag, mit dokumentierter Wiederherstellungs-Anleitung.</w:t>
      </w:r>
    </w:p>
    <w:p>
      <w:pPr>
        <w:spacing w:after="120" w:line="276"/>
      </w:pPr>
      <w:r>
        <w:rPr>
          <w:b/>
          <w:bCs/>
        </w:rPr>
        <w:t xml:space="preserve">Jährliche Restore-Übung (URS-F-040):</w:t>
      </w:r>
      <w:r>
        <w:t xml:space="preserve"> mindestens 1×/Jahr, dokumentiert (Routineplan).</w:t>
      </w:r>
    </w:p>
    <w:p>
      <w:pPr>
        <w:spacing w:after="120" w:line="276"/>
      </w:pPr>
      <w:r>
        <w:rPr>
          <w:b/>
          <w:bCs/>
        </w:rPr>
        <w:t xml:space="preserve">Umfang (URS-F-041):</w:t>
      </w:r>
      <w:r>
        <w:t xml:space="preserve"> alle Produktivdaten, Audit-Trail und Konfiguration.</w:t>
      </w:r>
    </w:p>
    <w:p>
      <w:pPr>
        <w:spacing w:after="120" w:line="276"/>
      </w:pPr>
      <w:r>
        <w:rPr>
          <w:b/>
          <w:bCs/>
        </w:rPr>
        <w:t xml:space="preserve">Geprüfte Wiederherstellung (URS-F-042):</w:t>
      </w:r>
      <w:r>
        <w:t xml:space="preserve"> Vollständigkeit/Richtigkeit über Prüfsummen und Testwiederherstellung.</w:t>
      </w:r>
    </w:p>
    <w:p>
      <w:pPr>
        <w:spacing w:after="120" w:line="276"/>
      </w:pPr>
      <w:r>
        <w:rPr>
          <w:b/>
          <w:bCs/>
        </w:rPr>
        <w:t xml:space="preserve">Überwachung (URS-F-043):</w:t>
      </w:r>
      <w:r>
        <w:t xml:space="preserve"> Sicherungsläufe überwacht; Fehlschlag löst Meldung aus.</w:t>
      </w:r>
    </w:p>
    <w:p>
      <w:pPr>
        <w:pStyle w:val="Heading2"/>
      </w:pPr>
      <w:r>
        <w:t xml:space="preserve">4.6  Hosting, Betrieb &amp; Sicherheit</w:t>
      </w:r>
    </w:p>
    <w:p>
      <w:pPr>
        <w:spacing w:after="120" w:line="276"/>
      </w:pPr>
      <w:r>
        <w:rPr>
          <w:b/>
          <w:bCs/>
        </w:rPr>
        <w:t xml:space="preserve">Hosting DE (URS-F-044):</w:t>
      </w:r>
      <w:r>
        <w:t xml:space="preserve"> Hetzner, deutsches Rechenzentrum, AV-Vertrag.</w:t>
      </w:r>
    </w:p>
    <w:p>
      <w:pPr>
        <w:spacing w:after="120" w:line="276"/>
      </w:pPr>
      <w:r>
        <w:rPr>
          <w:b/>
          <w:bCs/>
        </w:rPr>
        <w:t xml:space="preserve">Getrennte Umgebungen (URS-F-045):</w:t>
      </w:r>
      <w:r>
        <w:t xml:space="preserve"> Produktiv/Test getrennt; Test mit künstlichen/anonymisierten Daten.</w:t>
      </w:r>
    </w:p>
    <w:p>
      <w:pPr>
        <w:spacing w:after="120" w:line="276"/>
      </w:pPr>
      <w:r>
        <w:rPr>
          <w:b/>
          <w:bCs/>
        </w:rPr>
        <w:t xml:space="preserve">TLS (URS-F-046):</w:t>
      </w:r>
      <w:r>
        <w:t xml:space="preserve"> gesamter Zugriff verschlüsselt über Reverse Proxy mit gültigem Zertifikat.</w:t>
      </w:r>
    </w:p>
    <w:p>
      <w:pPr>
        <w:spacing w:after="120" w:line="276"/>
      </w:pPr>
      <w:r>
        <w:rPr>
          <w:b/>
          <w:bCs/>
        </w:rPr>
        <w:t xml:space="preserve">Updates &amp; Härtung (URS-F-047):</w:t>
      </w:r>
      <w:r>
        <w:t xml:space="preserve"> regelmäßige Sicherheits-Updates, gehärtete Grundeinstellungen.</w:t>
      </w:r>
    </w:p>
    <w:p>
      <w:pPr>
        <w:spacing w:after="120" w:line="276"/>
      </w:pPr>
      <w:r>
        <w:rPr>
          <w:b/>
          <w:bCs/>
        </w:rPr>
        <w:t xml:space="preserve">Protokollierung (URS-F-048):</w:t>
      </w:r>
      <w:r>
        <w:t xml:space="preserve"> sicherheitsrelevante Ereignisse werden protokolliert.</w:t>
      </w:r>
    </w:p>
    <w:p>
      <w:pPr>
        <w:spacing w:after="120" w:line="276"/>
      </w:pPr>
      <w:r>
        <w:rPr>
          <w:b/>
          <w:bCs/>
        </w:rPr>
        <w:t xml:space="preserve">Admin-Zugang (URS-F-049):</w:t>
      </w:r>
      <w:r>
        <w:t xml:space="preserve"> beschränkt auf berechtigte Administratoren (schlüsselbasiert), selbst protokolliert.</w:t>
      </w:r>
    </w:p>
    <w:p>
      <w:pPr>
        <w:spacing w:after="120" w:line="276"/>
      </w:pPr>
      <w:r>
        <w:rPr>
          <w:b/>
          <w:bCs/>
        </w:rPr>
        <w:t xml:space="preserve">Schutz vor externem Zugriff (URS-F-050):</w:t>
      </w:r>
      <w:r>
        <w:t xml:space="preserve"> Firewall, nur notwendige Zugänge offen.</w:t>
      </w:r>
    </w:p>
    <w:p>
      <w:pPr>
        <w:spacing w:after="120" w:line="276"/>
      </w:pPr>
      <w:r>
        <w:rPr>
          <w:b/>
          <w:bCs/>
        </w:rPr>
        <w:t xml:space="preserve">Verfügbarkeit &amp; Wartung (URS-F-051):</w:t>
      </w:r>
      <w:r>
        <w:t xml:space="preserve"> geplante Wartungsfenster zulässig; Papier-Rückfallebene.</w:t>
      </w:r>
    </w:p>
    <w:p>
      <w:pPr>
        <w:spacing w:after="120" w:line="276"/>
      </w:pPr>
      <w:r>
        <w:rPr>
          <w:b/>
          <w:bCs/>
        </w:rPr>
        <w:t xml:space="preserve">Software-Versionierung &amp; Freigabe (URS-F-052/053):</w:t>
      </w:r>
      <w:r>
        <w:t xml:space="preserve"> Entwicklung → Prüfung/Validierung in der Testumgebung → Freigabe einer im Git eingefrorenen Version → Einspielen in Produktiv mit dokumentiertem Eintrag. Getrennt von der QM-Change-Control (SOP-01-003).</w:t>
      </w:r>
    </w:p>
    <w:p>
      <w:pPr>
        <w:pStyle w:val="Heading2"/>
      </w:pPr>
      <w:r>
        <w:t xml:space="preserve">4.7  Datenschutz (DSGVO)</w:t>
      </w:r>
    </w:p>
    <w:p>
      <w:pPr>
        <w:spacing w:after="120" w:line="276"/>
      </w:pPr>
      <w:r>
        <w:rPr>
          <w:b/>
          <w:bCs/>
        </w:rPr>
        <w:t xml:space="preserve">Sparsame Verarbeitung &amp; AV-Vertrag (URS-F-054):</w:t>
      </w:r>
      <w:r>
        <w:t xml:space="preserve"> nur erforderliche personenbezogene Daten; AV-Vertrag mit Hetzner.</w:t>
      </w:r>
    </w:p>
    <w:p>
      <w:pPr>
        <w:spacing w:after="120" w:line="276"/>
      </w:pPr>
      <w:r>
        <w:rPr>
          <w:b/>
          <w:bCs/>
        </w:rPr>
        <w:t xml:space="preserve">Keine Patientendaten (URS-F-055):</w:t>
      </w:r>
      <w:r>
        <w:t xml:space="preserve"> keine entsprechenden Datenfelder; technisch und organisatorisch ausgeschlossen.</w:t>
      </w:r>
    </w:p>
    <w:p>
      <w:pPr>
        <w:spacing w:after="120" w:line="276"/>
      </w:pPr>
      <w:r>
        <w:rPr>
          <w:b/>
          <w:bCs/>
        </w:rPr>
        <w:t xml:space="preserve">Zugriff nach Rollen (URS-F-056):</w:t>
      </w:r>
      <w:r>
        <w:t xml:space="preserve"> personenbezogene Daten nur für Rollen sichtbar, die sie benötigen.</w:t>
      </w:r>
    </w:p>
    <w:p>
      <w:pPr>
        <w:spacing w:after="120" w:line="276"/>
      </w:pPr>
      <w:r>
        <w:rPr>
          <w:b/>
          <w:bCs/>
        </w:rPr>
        <w:t xml:space="preserve">Betroffenenrechte (URS-F-057):</w:t>
      </w:r>
      <w:r>
        <w:t xml:space="preserve"> Auskunft und Löschung möglich, soweit keine Aufbewahrungspflicht entgegensteht; sonst Löschung/Anonymisierung nach Fristablauf.</w:t>
      </w:r>
    </w:p>
    <w:p>
      <w:pPr>
        <w:spacing w:after="120" w:line="276"/>
      </w:pPr>
      <w:r>
        <w:rPr>
          <w:b/>
          <w:bCs/>
        </w:rPr>
        <w:t xml:space="preserve">Schutz &amp; Nachvollziehbarkeit (URS-F-058):</w:t>
      </w:r>
      <w:r>
        <w:t xml:space="preserve"> Zugriffsschutz, Verschlüsselung; Zugriffe im Audit-Trail.</w:t>
      </w:r>
    </w:p>
    <w:p>
      <w:pPr>
        <w:pStyle w:val="Heading2"/>
      </w:pPr>
      <w:r>
        <w:t xml:space="preserve">4.8  Änderungswunsch-Kanal</w:t>
      </w:r>
    </w:p>
    <w:p>
      <w:pPr>
        <w:spacing w:after="120" w:line="276"/>
      </w:pPr>
      <w:r>
        <w:rPr>
          <w:b/>
          <w:bCs/>
        </w:rPr>
        <w:t xml:space="preserve">Eingabe (URS-F-067):</w:t>
      </w:r>
      <w:r>
        <w:t xml:space="preserve"> Eine einfache Eingabemaske, über die Nutzer Änderungs-/Funktionswünsche erfassen (Titel, Beschreibung, Datum, einreichende Person). Jeder Wunsch wird über den bestehenden Audit-Trail protokolliert und ist eindeutig der einreichenden Person zugeordnet.</w:t>
      </w:r>
    </w:p>
    <w:p>
      <w:pPr>
        <w:spacing w:after="120" w:line="276"/>
      </w:pPr>
      <w:r>
        <w:rPr>
          <w:b/>
          <w:bCs/>
        </w:rPr>
        <w:t xml:space="preserve">Triage (URS-F-068):</w:t>
      </w:r>
      <w:r>
        <w:t xml:space="preserve"> Eine berechtigte Rolle (Entwickler-/Administrationsseite) sieht eine Liste der Wünsche und vergibt einen Status (neu, in Prüfung, geplant, umgesetzt, abgelehnt). Der Kanal ist klar als </w:t>
      </w:r>
      <w:r>
        <w:rPr>
          <w:b/>
          <w:bCs/>
        </w:rPr>
        <w:t xml:space="preserve">Software-Feature-Wunsch</w:t>
      </w:r>
      <w:r>
        <w:t xml:space="preserve"> gekennzeichnet und vom QM (Change-Control SOP-01-003, Abweichung SOP-01-004) getrennt; ein Wunsch erzeugt keinen QM-Vorgang.</w:t>
      </w:r>
    </w:p>
    <w:p>
      <w:pPr>
        <w:pStyle w:val="Heading1"/>
      </w:pPr>
      <w:r>
        <w:t xml:space="preserve">5  Design-Spezifikation (UX)</w:t>
      </w:r>
    </w:p>
    <w:p>
      <w:pPr>
        <w:pStyle w:val="Heading2"/>
      </w:pPr>
      <w:r>
        <w:t xml:space="preserve">5.1  Design-System (URS-F-059, URS-F-066)</w:t>
      </w:r>
    </w:p>
    <w:p>
      <w:pPr>
        <w:spacing w:after="120" w:line="276"/>
      </w:pPr>
      <w:r>
        <w:t xml:space="preserve">Grundlage ist ein wiederverwendbares Design-System in den Markenfarben. Türkisgrün ist Primärfarbe, Warmrot der Signal-Akzent, dazu zwei kräftige Sekundärfarben (Gelb, Lila) für Akzente, Kategorien, Diagramme und Status-Nuancen; Weiß und Grau als neutrale Flächen. Farben, Logo und Schrift werden als austauschbare „Theme"-Konfiguration geführt (getrennt vom Code).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8B09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4342C"/>
                <w:sz w:val="20"/>
                <w:szCs w:val="20"/>
              </w:rPr>
              <w:t xml:space="preserve">Primär</w:t>
            </w:r>
          </w:p>
          <w:p>
            <w:pPr>
              <w:spacing w:after="0"/>
            </w:pPr>
            <w:r>
              <w:rPr>
                <w:color w:val="04342C"/>
                <w:sz w:val="18"/>
                <w:szCs w:val="18"/>
              </w:rPr>
              <w:t xml:space="preserve">Türkisgrün #38B098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301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Akzent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Warmrot #E03010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0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5A4205"/>
                <w:sz w:val="20"/>
                <w:szCs w:val="20"/>
              </w:rPr>
              <w:t xml:space="preserve">Sekundär</w:t>
            </w:r>
          </w:p>
          <w:p>
            <w:pPr>
              <w:spacing w:after="0"/>
            </w:pPr>
            <w:r>
              <w:rPr>
                <w:color w:val="5A4205"/>
                <w:sz w:val="18"/>
                <w:szCs w:val="18"/>
              </w:rPr>
              <w:t xml:space="preserve">Gelb #FFC02E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C4D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Sekundär</w:t>
            </w:r>
          </w:p>
          <w:p>
            <w:pPr>
              <w:spacing w:after="0"/>
            </w:pPr>
            <w:r>
              <w:rPr>
                <w:color w:val="FFFFFF"/>
                <w:sz w:val="18"/>
                <w:szCs w:val="18"/>
              </w:rPr>
              <w:t xml:space="preserve">Lila #7C4DFF</w:t>
            </w:r>
          </w:p>
        </w:tc>
        <w:tc>
          <w:tcPr>
            <w:tcW w:type="dxa" w:w="1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Neutral</w:t>
            </w:r>
          </w:p>
          <w:p>
            <w:pPr>
              <w:spacing w:after="0"/>
            </w:pPr>
            <w:r>
              <w:rPr>
                <w:color w:val="2C2C2A"/>
                <w:sz w:val="18"/>
                <w:szCs w:val="18"/>
              </w:rPr>
              <w:t xml:space="preserve">Weiß / Grau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 Layout &amp; Navigation</w:t>
      </w:r>
    </w:p>
    <w:p>
      <w:pPr>
        <w:spacing w:after="120" w:line="276"/>
      </w:pPr>
      <w:r>
        <w:t xml:space="preserve">Durchgängiges Muster: links eine ruhige Navigationsleiste (Module), oben eine Kopfzeile (Titel, Suche, Benachrichtigungen, angemeldete Person), in der Mitte der Arbeitsbereich mit Karten und Listen.</w:t>
      </w:r>
    </w:p>
    <w:p>
      <w:pPr>
        <w:pStyle w:val="Heading2"/>
      </w:pPr>
      <w:r>
        <w:t xml:space="preserve">5.3  Einheitliche Statusfarben</w:t>
      </w:r>
    </w:p>
    <w:p>
      <w:pPr>
        <w:spacing w:after="120" w:line="276"/>
      </w:pPr>
      <w:r>
        <w:t xml:space="preserve">Türkisgrün für „erledigt/in Ordnung", Gelb für „heute fällig", Warmrot für „überfällig/Warnung" — über alle Module gleich.</w:t>
      </w:r>
    </w:p>
    <w:p>
      <w:pPr>
        <w:pStyle w:val="Heading2"/>
      </w:pPr>
      <w:r>
        <w:t xml:space="preserve">5.4  Niederschwellige Ansicht (URS-F-060/061)</w:t>
      </w:r>
    </w:p>
    <w:p>
      <w:pPr>
        <w:spacing w:after="120" w:line="276"/>
      </w:pPr>
      <w:r>
        <w:t xml:space="preserve">Für die Reinigungskraft eine stark vereinfachte Oberfläche: große Kacheln, Symbole statt Text, wenige Schritte (Kachel → PIN → heutige Aufgaben → „erledigt", optional mit Foto). Deutsch als Grundsprache, bewusst symbolgetrieben.</w:t>
      </w:r>
    </w:p>
    <w:p>
      <w:pPr>
        <w:pStyle w:val="Heading2"/>
      </w:pPr>
      <w:r>
        <w:t xml:space="preserve">5.5  Lesbarkeit &amp; Tablet-Tauglichkeit</w:t>
      </w:r>
    </w:p>
    <w:p>
      <w:pPr>
        <w:spacing w:after="120" w:line="276"/>
      </w:pPr>
      <w:r>
        <w:t xml:space="preserve">Ausreichende Kontraste, gut lesbare Schriftgrößen, große touch-freundliche Schaltflächen.</w:t>
      </w:r>
    </w:p>
    <w:p>
      <w:pPr>
        <w:pStyle w:val="Heading2"/>
      </w:pPr>
      <w:r>
        <w:t xml:space="preserve">5.6  Wiederverwendbarkeit</w:t>
      </w:r>
    </w:p>
    <w:p>
      <w:pPr>
        <w:spacing w:after="120" w:line="276"/>
      </w:pPr>
      <w:r>
        <w:t xml:space="preserve">Schaltflächen, Karten, Listen und Formulare stammen aus einer gemeinsamen Komponenten-Sammlung; jedes künftige Modul nutzt dieselben Bausteine.</w:t>
      </w:r>
    </w:p>
    <w:p>
      <w:pPr>
        <w:pStyle w:val="Heading1"/>
      </w:pPr>
      <w:r>
        <w:t xml:space="preserve">6  Datenmodell-Überblick</w:t>
      </w:r>
    </w:p>
    <w:p>
      <w:pPr>
        <w:spacing w:after="120" w:line="276"/>
      </w:pPr>
      <w:r>
        <w:t xml:space="preserve">Das Datenmodell sind die „Bausteine", in denen QM-Pilot seine Daten ablegt. Stufe 0 legt nur die Fundament-Bausteine an; fachliche Typen folgen in späteren Stufen.</w:t>
      </w:r>
    </w:p>
    <w:p>
      <w:pPr>
        <w:spacing w:after="120" w:line="276"/>
      </w:pPr>
      <w:r>
        <w:rPr>
          <w:b/>
          <w:bCs/>
        </w:rPr>
        <w:t xml:space="preserve">Benutzer:</w:t>
      </w:r>
      <w:r>
        <w:t xml:space="preserve"> Person mit Anmelde-Identität (M365 oder PIN) und Status aktiv/inaktiv (URS-F-006/008).</w:t>
      </w:r>
    </w:p>
    <w:p>
      <w:pPr>
        <w:spacing w:after="120" w:line="276"/>
      </w:pPr>
      <w:r>
        <w:rPr>
          <w:b/>
          <w:bCs/>
        </w:rPr>
        <w:t xml:space="preserve">Rolle &amp; Recht:</w:t>
      </w:r>
      <w:r>
        <w:t xml:space="preserve"> Rollen (Gruppen) mit zugeordneten Rechten; Benutzer in einer oder mehreren Rollen (URS-F-001/002/003).</w:t>
      </w:r>
    </w:p>
    <w:p>
      <w:pPr>
        <w:spacing w:after="120" w:line="276"/>
      </w:pPr>
      <w:r>
        <w:rPr>
          <w:b/>
          <w:bCs/>
        </w:rPr>
        <w:t xml:space="preserve">Audit-Eintrag:</w:t>
      </w:r>
      <w:r>
        <w:t xml:space="preserve"> unveränderbarer Protokollsatz (wer, was, wann, alt/neu), automatisch erzeugt (URS-F-019/020).</w:t>
      </w:r>
    </w:p>
    <w:p>
      <w:pPr>
        <w:spacing w:after="120" w:line="276"/>
      </w:pPr>
      <w:r>
        <w:rPr>
          <w:b/>
          <w:bCs/>
        </w:rPr>
        <w:t xml:space="preserve">Verwaltetes Objekt (Basis):</w:t>
      </w:r>
      <w:r>
        <w:t xml:space="preserve"> gemeinsame Grundlage für später verwaltete Dokumente/Aufzeichnungen mit Version, Status, Aufbewahrungs-Kategorie, verantwortlicher Person, Zeitstempel (URS-F-029/030/033).</w:t>
      </w:r>
    </w:p>
    <w:p>
      <w:pPr>
        <w:spacing w:after="120" w:line="276"/>
      </w:pPr>
      <w:r>
        <w:rPr>
          <w:b/>
          <w:bCs/>
        </w:rPr>
        <w:t xml:space="preserve">Theme-/Mandanten-Konfiguration:</w:t>
      </w:r>
      <w:r>
        <w:t xml:space="preserve"> firmenspezifische Einstellungen (Logo, Farben, Rollenbezeichnungen), getrennt vom Code (URS-F-066).</w:t>
      </w:r>
    </w:p>
    <w:p>
      <w:pPr>
        <w:spacing w:after="120" w:line="276"/>
      </w:pPr>
      <w:r>
        <w:rPr>
          <w:b/>
          <w:bCs/>
        </w:rPr>
        <w:t xml:space="preserve">Zusammenspiel:</w:t>
      </w:r>
      <w:r>
        <w:t xml:space="preserve"> Benutzer sind mit Rollen verknüpft; jede Handlung an einem verwalteten Objekt erzeugt einen Audit-Eintrag; verwaltete Objekte tragen stets Version und Metadaten.</w:t>
      </w:r>
    </w:p>
    <w:p>
      <w:pPr>
        <w:pStyle w:val="Heading1"/>
      </w:pPr>
      <w:r>
        <w:t xml:space="preserve">7  Nicht-funktionale Umsetzung</w:t>
      </w:r>
    </w:p>
    <w:p>
      <w:pPr>
        <w:spacing w:after="120" w:line="276"/>
      </w:pPr>
      <w:r>
        <w:rPr>
          <w:b/>
          <w:bCs/>
        </w:rPr>
        <w:t xml:space="preserve">Performance (URS-F-062):</w:t>
      </w:r>
      <w:r>
        <w:t xml:space="preserve"> kleiner Server genügt bei überschaubarer Nutzerzahl; durch gute Abfragen/Indizes Reaktion in wenigen Sekunden.</w:t>
      </w:r>
    </w:p>
    <w:p>
      <w:pPr>
        <w:spacing w:after="120" w:line="276"/>
      </w:pPr>
      <w:r>
        <w:rPr>
          <w:b/>
          <w:bCs/>
        </w:rPr>
        <w:t xml:space="preserve">Verfügbarkeit (URS-F-063):</w:t>
      </w:r>
      <w:r>
        <w:t xml:space="preserve"> geplante Wartungsfenster zulässig, Papier-Rückfallebene (siehe 4.6).</w:t>
      </w:r>
    </w:p>
    <w:p>
      <w:pPr>
        <w:spacing w:after="120" w:line="276"/>
      </w:pPr>
      <w:r>
        <w:rPr>
          <w:b/>
          <w:bCs/>
        </w:rPr>
        <w:t xml:space="preserve">Wartbarkeit &amp; Wissensbruch-Vorsorge (URS-F-064):</w:t>
      </w:r>
      <w:r>
        <w:t xml:space="preserve"> übliche Django-Struktur, dokumentierter Code im Git; Standby-Entwickler kann übernehmen; technische Entscheidungen verständlich festgehalten.</w:t>
      </w:r>
    </w:p>
    <w:p>
      <w:pPr>
        <w:spacing w:after="120" w:line="276"/>
      </w:pPr>
      <w:r>
        <w:rPr>
          <w:b/>
          <w:bCs/>
        </w:rPr>
        <w:t xml:space="preserve">Konfigurationstrennung (URS-F-066):</w:t>
      </w:r>
      <w:r>
        <w:t xml:space="preserve"> Firmenspezifika in getrennten Konfigurations-/Theme-Bereichen.</w:t>
      </w:r>
    </w:p>
    <w:p>
      <w:pPr>
        <w:spacing w:after="120" w:line="276"/>
      </w:pPr>
      <w:r>
        <w:rPr>
          <w:b/>
          <w:bCs/>
        </w:rPr>
        <w:t xml:space="preserve">Datenintegrität (URS-F-065):</w:t>
      </w:r>
      <w:r>
        <w:t xml:space="preserve"> ALCOA+ durch Transaktionen, Audit-Trail, Versionierung, Eingabeprüfungen.</w:t>
      </w:r>
    </w:p>
    <w:p>
      <w:pPr>
        <w:spacing w:after="120" w:line="276"/>
      </w:pPr>
      <w:r>
        <w:rPr>
          <w:b/>
          <w:bCs/>
        </w:rPr>
        <w:t xml:space="preserve">Bedienbarkeit (URS-F-059/060/061):</w:t>
      </w:r>
      <w:r>
        <w:t xml:space="preserve"> über Design-System und niederschwellige Ansicht (Abschnitt 5).</w:t>
      </w:r>
    </w:p>
    <w:p>
      <w:pPr>
        <w:pStyle w:val="Heading1"/>
      </w:pPr>
      <w:r>
        <w:t xml:space="preserve">8  Anforderungs-Nachverfolgung</w:t>
      </w:r>
    </w:p>
    <w:p>
      <w:pPr>
        <w:spacing w:after="120" w:line="276"/>
      </w:pPr>
      <w:r>
        <w:t xml:space="preserve">Jede URS-Anforderung wird durch einen Abschnitt dieser FS/DS umgesetzt: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URS-Anforderung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umgesetzt in FS/DS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F-001–009 (Benutzer, Rollen, Rechte)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F-010–018 (Authentifizierung &amp; Login)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F-019–027 (Audit-Trail)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F-028–034 (Archivierung &amp; Speicherung)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F-035–043 (Backup &amp; Wiederherstellung)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F-044–051 (Hosting, Betrieb, Sicherheit)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F-052–053 (Software-Versionierung &amp; Freigabe)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4.6.9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F-054–058 (Datenschutz)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4.7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F-059–061 (Bedienbarkeit, niederschwellig, Sprache)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/ 7.6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F-062 (Performance)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F-063 (Verfügbarkeit)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4.6.8 / 7.2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F-064 (Wartbarkeit)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7.3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F-065 (Datenintegrität)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 / 4.4 / 7.5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F-066 (Konfigurationstrennung)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 / 5.1 / 6.5 / 7.4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F-067–068 (Änderungswunsch-Kanal)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detaillierte Matrix (je einzelne URS-F-Nummer) wird als eigenes, lebendes Dokument geführt und in die Testskripte (IQ/OQ/PQ) weitergetragen.</w:t>
      </w:r>
    </w:p>
    <w:p>
      <w:pPr>
        <w:pStyle w:val="Heading1"/>
      </w:pPr>
      <w:r>
        <w:t xml:space="preserve">9  Annahmen &amp; offene Punkte</w:t>
      </w:r>
    </w:p>
    <w:p>
      <w:pPr>
        <w:pStyle w:val="Heading2"/>
      </w:pPr>
      <w:r>
        <w:t xml:space="preserve">9.1  Annahmen</w:t>
      </w:r>
    </w:p>
    <w:p>
      <w:pPr>
        <w:spacing w:after="120" w:line="276"/>
      </w:pPr>
      <w:r>
        <w:t xml:space="preserve">In Microsoft 365 (Entra ID) kann eine App-Registrierung für QM-Pilot angelegt werden. Eine Testumgebung steht zur Verfügung. Für die niederschwellige Ansicht ist ein Tablet vorhanden.</w:t>
      </w:r>
    </w:p>
    <w:p>
      <w:pPr>
        <w:pStyle w:val="Heading2"/>
      </w:pPr>
      <w:r>
        <w:t xml:space="preserve">9.2  Offene Punkte (bei der Umsetzung festzulegen)</w:t>
      </w:r>
    </w:p>
    <w:p>
      <w:pPr>
        <w:spacing w:after="120" w:line="276"/>
      </w:pPr>
      <w:r>
        <w:t xml:space="preserve">Konkrete Hetzner-Server-Größe; genaue Werte für Sitzungs-Timeout und Fehlversuch-Sperre; exakte Frequenz der DB-Sicherungen; konkreter Webfont passend zur Marke. Diese Punkte berühren die Anforderungen nicht.</w:t>
      </w:r>
    </w:p>
    <w:p>
      <w:pPr>
        <w:pStyle w:val="Heading1"/>
      </w:pPr>
      <w:r>
        <w:t xml:space="preserve">10  Abnahme &amp; Versionskontrolle</w:t>
      </w:r>
    </w:p>
    <w:p>
      <w:pPr>
        <w:pStyle w:val="Heading2"/>
      </w:pPr>
      <w:r>
        <w:t xml:space="preserve">10.1  Freigabe der FS/DS</w:t>
      </w:r>
    </w:p>
    <w:p>
      <w:pPr>
        <w:spacing w:after="120" w:line="276"/>
      </w:pPr>
      <w:r>
        <w:t xml:space="preserve">Mit ihrer Unterschrift bestätigen die Verantwortlichen, dass diese FS/DS die Umsetzung der URS-Anforderungen für QM-Pilot (Stufe 0) zutreffend beschreibt und die Grundlage für Entwicklung, Risikoanalyse und Tests (IQ/OQ/PQ) bildet.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926"/>
        <w:gridCol w:w="11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Unterschrift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1–10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0.2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Abschnitt 4.8 Änderungswunsch-Kanal ergänzt; Traceability aktualisiert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0.3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Unterschriften auf Software-/Produkt-Governance umgestellt (QM-Pilot ist kein Bestandteil des QMS); Benennung vereinheitlicht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 Geltung</w:t>
      </w:r>
    </w:p>
    <w:p>
      <w:pPr>
        <w:spacing w:after="120" w:line="276"/>
      </w:pPr>
      <w:r>
        <w:t xml:space="preserve">Die FS/DS ist ein lebendes Dokument. Änderungen nach der ersten Freigabe erfolgen über eine neue Version; Änderungen an produktiver Software laufen über den Software-Versionierungs-/Freigabeprozess (URS-F-052).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FS/DS QM-Pilot · Stufe 0 — Pharmazeutika 73.3 GmbH</w:t>
    </w:r>
    <w:r>
      <w:rPr>
        <w:color w:val="666666"/>
        <w:sz w:val="16"/>
        <w:szCs w:val="16"/>
      </w:rPr>
      <w:t xml:space="preserve">	Version 0.3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e2f1c313635f9f75153d271ad5b14682ea21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2026-06-30T17:14:38.780Z</dcterms:created>
  <dcterms:modified xsi:type="dcterms:W3CDTF">2026-06-30T17:14:38.781Z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