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  <w:jc w:val="center"/>
      </w:pPr>
      <w:r>
        <w:rPr>
          <w:b/>
          <w:bCs/>
          <w:sz w:val="38"/>
          <w:szCs w:val="38"/>
        </w:rPr>
        <w:t xml:space="preserve">Funktional-/Design-Spezifikation</w:t>
      </w:r>
    </w:p>
    <w:p>
      <w:pPr>
        <w:spacing w:before="100"/>
        <w:jc w:val="center"/>
      </w:pPr>
      <w:r>
        <w:rPr>
          <w:sz w:val="28"/>
          <w:szCs w:val="28"/>
        </w:rPr>
        <w:t xml:space="preserve">QM-Pilot — Modul „Dokumente &amp; Schulung" (Stufe 2)</w:t>
      </w:r>
    </w:p>
    <w:p>
      <w:pPr>
        <w:spacing w:before="460"/>
        <w:jc w:val="center"/>
      </w:pPr>
      <w:r>
        <w:rPr>
          <w:b/>
          <w:bCs/>
          <w:sz w:val="26"/>
          <w:szCs w:val="26"/>
        </w:rPr>
        <w:t xml:space="preserve">Pharmazeutika 73.3 GmbH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0.1 (Entwurf) · Stand: 30.06.2026</w:t>
      </w:r>
    </w:p>
    <w:p>
      <w:pPr>
        <w:spacing w:before="60"/>
        <w:jc w:val="center"/>
      </w:pPr>
      <w:r>
        <w:rPr>
          <w:sz w:val="22"/>
          <w:szCs w:val="22"/>
        </w:rPr>
        <w:t xml:space="preserve">Erstellt von: Claude · Freigabe: Software-/Produkt-Governance (GL)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Zweck &amp; Geltungsbereich</w:t>
      </w:r>
    </w:p>
    <w:p>
      <w:pPr>
        <w:pStyle w:val="Heading2"/>
      </w:pPr>
      <w:r>
        <w:t xml:space="preserve">1.1  Zweck</w:t>
      </w:r>
    </w:p>
    <w:p>
      <w:pPr>
        <w:spacing w:after="120" w:line="276"/>
      </w:pPr>
      <w:r>
        <w:t xml:space="preserve">Diese FS/DS beschreibt, </w:t>
      </w:r>
      <w:r>
        <w:rPr>
          <w:b/>
          <w:bCs/>
        </w:rPr>
        <w:t xml:space="preserve">wie</w:t>
      </w:r>
      <w:r>
        <w:t xml:space="preserve"> die Anforderungen der URS Stufe 2 (Dokumente &amp; Schulung, URS-D-001 bis URS-D-045) in QM-Pilot technisch und funktional umgesetzt werden. Sie ist die Grundlage für Entwicklung und für die Ableitung der Qualifizierungstests (IQ/OQ/PQ).</w:t>
      </w:r>
    </w:p>
    <w:p>
      <w:pPr>
        <w:pStyle w:val="Heading2"/>
      </w:pPr>
      <w:r>
        <w:t xml:space="preserve">1.2  Verhältnis zur URS</w:t>
      </w:r>
    </w:p>
    <w:p>
      <w:pPr>
        <w:spacing w:after="120" w:line="276"/>
      </w:pPr>
      <w:r>
        <w:t xml:space="preserve">Die FS/DS führt </w:t>
      </w:r>
      <w:r>
        <w:rPr>
          <w:b/>
          <w:bCs/>
        </w:rPr>
        <w:t xml:space="preserve">keine neuen Anforderungen</w:t>
      </w:r>
      <w:r>
        <w:t xml:space="preserve"> ein. Jede Festlegung verweist auf die zugehörige URS-D-Nummer. Zeigt sich eine Lücke, wird zuerst die URS angepasst.</w:t>
      </w:r>
    </w:p>
    <w:p>
      <w:pPr>
        <w:pStyle w:val="Heading2"/>
      </w:pPr>
      <w:r>
        <w:t xml:space="preserve">1.3  Geltungsbereich</w:t>
      </w:r>
    </w:p>
    <w:p>
      <w:pPr>
        <w:spacing w:after="120" w:line="276"/>
      </w:pPr>
      <w:r>
        <w:t xml:space="preserve">Die FS/DS gilt für das Modul „Dokumente &amp; Schulung" (Stufe 2). Sie nutzt das Fundament (Benutzer, Rollen, Audit-Trail, Archivierung, Design) und die Erinnerungs-/Eskalations-Mechanik aus Stufe 1. Technische Basis: Django, PostgreSQL, Hosting bei Hetzner.</w:t>
      </w:r>
    </w:p>
    <w:p>
      <w:pPr>
        <w:pStyle w:val="Heading2"/>
      </w:pPr>
      <w:r>
        <w:t xml:space="preserve">1.4  Funktional- vs. Design-Anteil</w:t>
      </w:r>
    </w:p>
    <w:p>
      <w:pPr>
        <w:spacing w:after="120" w:line="276"/>
      </w:pPr>
      <w:r>
        <w:t xml:space="preserve">Der funktionale Teil (Abschnitt 4) beschreibt das beobachtbare Verhalten, der Design-Teil (Abschnitte 5 und 6) die technische Gestaltung (Datenmodell, Volltext-Suche/OCR).</w:t>
      </w:r>
    </w:p>
    <w:p>
      <w:pPr>
        <w:pStyle w:val="Heading2"/>
      </w:pPr>
      <w:r>
        <w:t xml:space="preserve">1.5  Verbindlichkeit</w:t>
      </w:r>
    </w:p>
    <w:p>
      <w:pPr>
        <w:spacing w:after="120" w:line="276"/>
      </w:pPr>
      <w:r>
        <w:t xml:space="preserve">QM-Pilot ist ein eigenständiges Software-Produkt, kein Bestandteil des QMS. Diese FS/DS wird unter der Software-/Produkt-Governance freigegeben (Ersteller → technische Prüfung → Produktverantwortlicher), nicht über die QM-Dokumentenlenkung. Änderungen an produktiver Software laufen über den Software-Versionierungs-/Freigabeprozess (URS-F-052).</w:t>
      </w:r>
    </w:p>
    <w:p>
      <w:pPr>
        <w:pStyle w:val="Heading1"/>
      </w:pPr>
      <w:r>
        <w:t xml:space="preserve">2  Mitgeltende Dokumente</w:t>
      </w:r>
    </w:p>
    <w:p>
      <w:pPr>
        <w:pStyle w:val="Heading2"/>
      </w:pPr>
      <w:r>
        <w:t xml:space="preserve">2.1  Projektinterne Dokumente</w:t>
      </w:r>
    </w:p>
    <w:p>
      <w:pPr>
        <w:spacing w:after="120" w:line="276"/>
      </w:pPr>
      <w:r>
        <w:t xml:space="preserve">URS Stufe 2 (v0.1) — die umzusetzenden Anforderungen (URS-D-001 bis URS-D-045). Technische Grundsatzentscheidungen (v0.1). Die Dokumente der Stufen 0 und 1 (URS, FS/DS) — Fundament und Erinnerungs-/Eskalations-Mechanik. Design-Grundlinie / Marken-Tokens.</w:t>
      </w:r>
    </w:p>
    <w:p>
      <w:pPr>
        <w:pStyle w:val="Heading2"/>
      </w:pPr>
      <w:r>
        <w:t xml:space="preserve">2.2  Verwaltete Inhalte</w:t>
      </w:r>
    </w:p>
    <w:p>
      <w:pPr>
        <w:spacing w:after="120" w:line="276"/>
      </w:pPr>
      <w:r>
        <w:t xml:space="preserve">Die freigegebenen QM-Dokumente (QM-Handbuch, SOPs, Vordrucke, Anlagen) und Gesetzestexte; Schulungsvorgaben analog SOP-02-003. Verwaltete Inhalte, nicht der Validierungsmaßstab der Software.</w:t>
      </w:r>
    </w:p>
    <w:p>
      <w:pPr>
        <w:pStyle w:val="Heading2"/>
      </w:pPr>
      <w:r>
        <w:t xml:space="preserve">2.3  Regulatorische Grundlagen</w:t>
      </w:r>
    </w:p>
    <w:p>
      <w:pPr>
        <w:spacing w:after="120" w:line="276"/>
      </w:pPr>
      <w:r>
        <w:t xml:space="preserve">GDP-Leitlinie 2013/C 343/01 (Kapitel 4); EU-Annex 11 (sinngemäß); ALCOA+; DSGVO; GAMP 5 als Methodik. Verbindlicher Maßstab sind die gesetzlichen Vorgaben.</w:t>
      </w:r>
    </w:p>
    <w:p>
      <w:pPr>
        <w:pStyle w:val="Heading1"/>
      </w:pPr>
      <w:r>
        <w:t xml:space="preserve">3  Architektur-Einordnung</w:t>
      </w:r>
    </w:p>
    <w:p>
      <w:pPr>
        <w:pStyle w:val="Heading2"/>
      </w:pPr>
      <w:r>
        <w:t xml:space="preserve">3.1  Einbettung ins Fundament</w:t>
      </w:r>
    </w:p>
    <w:p>
      <w:pPr>
        <w:spacing w:after="120" w:line="276"/>
      </w:pPr>
      <w:r>
        <w:t xml:space="preserve">Das Modul wird als eigene Django-App („dokumente") umgesetzt und nutzt unverändert: Anmeldung/Rollen (Stufe 0), den zentralen Audit-Trail, die revisionssichere Archivierung, das Design sowie die Erinnerungs-/Eskalations-Mechanik aus Stufe 1.</w:t>
      </w:r>
    </w:p>
    <w:p>
      <w:pPr>
        <w:pStyle w:val="Heading2"/>
      </w:pPr>
      <w:r>
        <w:t xml:space="preserve">3.2  Neue Bestandteile</w:t>
      </w:r>
    </w:p>
    <w:p>
      <w:pPr>
        <w:spacing w:after="120" w:line="276"/>
      </w:pPr>
      <w:r>
        <w:t xml:space="preserve">Hinzu kommen: die Datenmodelle des Moduls (Abschnitt 5), eine Leseansicht (PDF-Anzeige im Browser), die Volltext-Suche samt Textextraktion/OCR (Abschnitt 6), die sichere Dateiablage sowie die Schulungslogik (Zuweisung, Turnus, Fälligkeit).</w:t>
      </w:r>
    </w:p>
    <w:p>
      <w:pPr>
        <w:pStyle w:val="Heading2"/>
      </w:pPr>
      <w:r>
        <w:t xml:space="preserve">3.3  Schulungs-Fälligkeiten</w:t>
      </w:r>
    </w:p>
    <w:p>
      <w:pPr>
        <w:spacing w:after="120" w:line="276"/>
      </w:pPr>
      <w:r>
        <w:t xml:space="preserve">Pflichtlektüren erzeugen je Person/Dokument fällige „Lese-Aufgaben"; deren Erinnerung und Eskalation laufen über dieselbe überwachte Hintergrund-Mechanik wie im Aufgaben-Modul (Reminder, Überfälligkeit → QMB), statt eine zweite Logik zu bauen.</w:t>
      </w:r>
    </w:p>
    <w:p>
      <w:pPr>
        <w:pStyle w:val="Heading1"/>
      </w:pPr>
      <w:r>
        <w:t xml:space="preserve">4  Funktionale Spezifikation</w:t>
      </w:r>
    </w:p>
    <w:p>
      <w:pPr>
        <w:pStyle w:val="Heading2"/>
      </w:pPr>
      <w:r>
        <w:t xml:space="preserve">4.1  Dokumente hinterlegen</w:t>
      </w:r>
    </w:p>
    <w:p>
      <w:pPr>
        <w:spacing w:after="120" w:line="276"/>
      </w:pPr>
      <w:r>
        <w:rPr>
          <w:b/>
          <w:bCs/>
        </w:rPr>
        <w:t xml:space="preserve">Modell (URS-D-001/004):</w:t>
      </w:r>
      <w:r>
        <w:t xml:space="preserve"> Ein Dokument wird in zwei Ebenen geführt — „Dokument" (Dokumentnummer, Dokumentart, Titel) und „Dokument-Version" (Versionsbezeichnung, Datei, Freigabedatum, Status, Änderungsvermerk, extrahierter Volltext). Eine neue Fassung ist eine neue Dokument-Version; bestehende Dateien werden nicht überschrieben.</w:t>
      </w:r>
    </w:p>
    <w:p>
      <w:pPr>
        <w:spacing w:after="120" w:line="276"/>
      </w:pPr>
      <w:r>
        <w:rPr>
          <w:b/>
          <w:bCs/>
        </w:rPr>
        <w:t xml:space="preserve">Dokumentarten (URS-D-002):</w:t>
      </w:r>
      <w:r>
        <w:t xml:space="preserve"> als Daten geführt (mandantenfähig), vorbelegt mit SOP, Vordruck, Anlage und Gesetzestext; erweiterbar.</w:t>
      </w:r>
    </w:p>
    <w:p>
      <w:pPr>
        <w:spacing w:after="120" w:line="276"/>
      </w:pPr>
      <w:r>
        <w:rPr>
          <w:b/>
          <w:bCs/>
        </w:rPr>
        <w:t xml:space="preserve">Status &amp; Außerkraftsetzung (URS-D-005):</w:t>
      </w:r>
      <w:r>
        <w:t xml:space="preserve"> Jede Version trägt einen Status („in Kraft"/„außer Kraft"). Beim Inkraftsetzen einer neuen Version wird die bisherige als „außer Kraft" markiert; veraltete bleiben gespeichert und auffindbar (Lebenszyklus-Automatik → Stufe 5).</w:t>
      </w:r>
    </w:p>
    <w:p>
      <w:pPr>
        <w:spacing w:after="120" w:line="276"/>
      </w:pPr>
      <w:r>
        <w:rPr>
          <w:b/>
          <w:bCs/>
        </w:rPr>
        <w:t xml:space="preserve">Änderungsvermerk (URS-D-007):</w:t>
      </w:r>
      <w:r>
        <w:t xml:space="preserve"> Pflichtfeld beim Inkraftsetzen einer neuen Version; mit der Version gespeichert und in der Historie sichtbar.</w:t>
      </w:r>
    </w:p>
    <w:p>
      <w:pPr>
        <w:spacing w:after="120" w:line="276"/>
      </w:pPr>
      <w:r>
        <w:rPr>
          <w:b/>
          <w:bCs/>
        </w:rPr>
        <w:t xml:space="preserve">Berechtigung &amp; Protokollierung (URS-D-003/006):</w:t>
      </w:r>
      <w:r>
        <w:t xml:space="preserve"> Hinterlegen/Aktualisieren/Statusänderung sind QMB/RP vorbehalten (serverseitig); alle Vorgänge laufen über die zentralen Audit-Signale.</w:t>
      </w:r>
    </w:p>
    <w:p>
      <w:pPr>
        <w:pStyle w:val="Heading2"/>
      </w:pPr>
      <w:r>
        <w:t xml:space="preserve">4.2  Anzeigen &amp; Verweise-Liste</w:t>
      </w:r>
    </w:p>
    <w:p>
      <w:pPr>
        <w:spacing w:after="120" w:line="276"/>
      </w:pPr>
      <w:r>
        <w:rPr>
          <w:b/>
          <w:bCs/>
        </w:rPr>
        <w:t xml:space="preserve">Leseansicht (URS-D-008/011):</w:t>
      </w:r>
      <w:r>
        <w:t xml:space="preserve"> Dokumente werden im Browser angezeigt (eingebettete PDF-Ansicht); die Datei wird über eine </w:t>
      </w:r>
      <w:r>
        <w:rPr>
          <w:b/>
          <w:bCs/>
        </w:rPr>
        <w:t xml:space="preserve">berechtigungsgeprüfte Ansicht</w:t>
      </w:r>
      <w:r>
        <w:t xml:space="preserve"> ausgeliefert (keine offene Datei-URL). Auditoren: rein lesend auf alle Dokumente.</w:t>
      </w:r>
    </w:p>
    <w:p>
      <w:pPr>
        <w:spacing w:after="120" w:line="276"/>
      </w:pPr>
      <w:r>
        <w:rPr>
          <w:b/>
          <w:bCs/>
        </w:rPr>
        <w:t xml:space="preserve">Übersicht (URS-D-009/010):</w:t>
      </w:r>
      <w:r>
        <w:t xml:space="preserve"> Liste nach Dokumentart gruppier-/filterbar; standardmäßig „in Kraft"-Versionen, veraltete auf Wunsch; Metadaten beim Öffnen sichtbar, veraltete deutlich markiert.</w:t>
      </w:r>
    </w:p>
    <w:p>
      <w:pPr>
        <w:spacing w:after="120" w:line="276"/>
      </w:pPr>
      <w:r>
        <w:rPr>
          <w:b/>
          <w:bCs/>
        </w:rPr>
        <w:t xml:space="preserve">Verweise-Liste (URS-D-016):</w:t>
      </w:r>
      <w:r>
        <w:t xml:space="preserve"> Der Dokumenttext wird nach Nummern-Mustern (SOP-XX-NNN, A-XX-NNN, F-XX-NNN, R-XX-NNN) durchsucht und mit vorhandenen Dokumenten abgeglichen; Treffer erscheinen als anklickbare „Verweise"-Liste neben/unter der Leseansicht (Klick im PDF-Text als spätere Ausbaustufe).</w:t>
      </w:r>
    </w:p>
    <w:p>
      <w:pPr>
        <w:pStyle w:val="Heading2"/>
      </w:pPr>
      <w:r>
        <w:t xml:space="preserve">4.3  Schlagwort-/Volltext-Suche</w:t>
      </w:r>
    </w:p>
    <w:p>
      <w:pPr>
        <w:spacing w:after="120" w:line="276"/>
      </w:pPr>
      <w:r>
        <w:rPr>
          <w:b/>
          <w:bCs/>
        </w:rPr>
        <w:t xml:space="preserve">Textgewinnung (URS-D-012):</w:t>
      </w:r>
      <w:r>
        <w:t xml:space="preserve"> Beim Hinterlegen wird der Text extrahiert (Text-PDF direkt, Bild-PDF per OCR) und im Volltext-Feld gespeichert.</w:t>
      </w:r>
    </w:p>
    <w:p>
      <w:pPr>
        <w:spacing w:after="120" w:line="276"/>
      </w:pPr>
      <w:r>
        <w:rPr>
          <w:b/>
          <w:bCs/>
        </w:rPr>
        <w:t xml:space="preserve">Suche (URS-D-012/013):</w:t>
      </w:r>
      <w:r>
        <w:t xml:space="preserve"> PostgreSQL-Volltextsuche über Titel, Dokumentnummer und Volltext (mit Index); Treffer nach Dokumentart gruppiert.</w:t>
      </w:r>
    </w:p>
    <w:p>
      <w:pPr>
        <w:spacing w:after="120" w:line="276"/>
      </w:pPr>
      <w:r>
        <w:rPr>
          <w:b/>
          <w:bCs/>
        </w:rPr>
        <w:t xml:space="preserve">Sichtbarkeit &amp; Öffnen (URS-D-014/015):</w:t>
      </w:r>
      <w:r>
        <w:t xml:space="preserve"> nur zugängliche Dokumente in den Treffern; direktes Öffnen aus der Trefferliste (4.2).</w:t>
      </w:r>
    </w:p>
    <w:p>
      <w:pPr>
        <w:pStyle w:val="Heading2"/>
      </w:pPr>
      <w:r>
        <w:t xml:space="preserve">4.4  Lesebestätigung</w:t>
      </w:r>
    </w:p>
    <w:p>
      <w:pPr>
        <w:spacing w:after="120" w:line="276"/>
      </w:pPr>
      <w:r>
        <w:rPr>
          <w:b/>
          <w:bCs/>
        </w:rPr>
        <w:t xml:space="preserve">Modell (URS-D-017/019):</w:t>
      </w:r>
      <w:r>
        <w:t xml:space="preserve"> „Lesebestätigung" verweist auf die konkrete Dokument-Version, mit Person und Zeitstempel.</w:t>
      </w:r>
    </w:p>
    <w:p>
      <w:pPr>
        <w:spacing w:after="120" w:line="276"/>
      </w:pPr>
      <w:r>
        <w:rPr>
          <w:b/>
          <w:bCs/>
        </w:rPr>
        <w:t xml:space="preserve">Unveränderbar (URS-D-018):</w:t>
      </w:r>
      <w:r>
        <w:t xml:space="preserve"> append-only, kein Ändern/Löschen.</w:t>
      </w:r>
    </w:p>
    <w:p>
      <w:pPr>
        <w:spacing w:after="120" w:line="276"/>
      </w:pPr>
      <w:r>
        <w:rPr>
          <w:b/>
          <w:bCs/>
        </w:rPr>
        <w:t xml:space="preserve">Bezug zur Schulung (URS-D-019):</w:t>
      </w:r>
      <w:r>
        <w:t xml:space="preserve"> nach Inkraftsetzen einer neuen Version zählt die Bestätigung nicht mehr als aktuell; die erneute Pflicht-Lektüre steuert die Schulung (4.5).</w:t>
      </w:r>
    </w:p>
    <w:p>
      <w:pPr>
        <w:spacing w:after="120" w:line="276"/>
      </w:pPr>
      <w:r>
        <w:rPr>
          <w:b/>
          <w:bCs/>
        </w:rPr>
        <w:t xml:space="preserve">Protokollierung (URS-D-020):</w:t>
      </w:r>
      <w:r>
        <w:t xml:space="preserve"> über die zentralen Audit-Signale.</w:t>
      </w:r>
    </w:p>
    <w:p>
      <w:pPr>
        <w:pStyle w:val="Heading2"/>
      </w:pPr>
      <w:r>
        <w:t xml:space="preserve">4.5  Schulung</w:t>
      </w:r>
    </w:p>
    <w:p>
      <w:pPr>
        <w:spacing w:after="120" w:line="276"/>
      </w:pPr>
      <w:r>
        <w:rPr>
          <w:b/>
          <w:bCs/>
        </w:rPr>
        <w:t xml:space="preserve">Lesepflicht je Dokument (URS-D-021/045):</w:t>
      </w:r>
      <w:r>
        <w:t xml:space="preserve"> „Lesepflicht-Zuweisungen" legen fest, welche Rollen/Personen ein Dokument lesen müssen; der Schulungsplan ergibt sich daraus.</w:t>
      </w:r>
    </w:p>
    <w:p>
      <w:pPr>
        <w:spacing w:after="120" w:line="276"/>
      </w:pPr>
      <w:r>
        <w:rPr>
          <w:b/>
          <w:bCs/>
        </w:rPr>
        <w:t xml:space="preserve">Turnus (URS-D-022):</w:t>
      </w:r>
      <w:r>
        <w:t xml:space="preserve"> globaler Standard-Turnus in der Konfiguration, je Dokument überschreibbar.</w:t>
      </w:r>
    </w:p>
    <w:p>
      <w:pPr>
        <w:spacing w:after="120" w:line="276"/>
      </w:pPr>
      <w:r>
        <w:rPr>
          <w:b/>
          <w:bCs/>
        </w:rPr>
        <w:t xml:space="preserve">Fälligkeit (URS-D-023/024):</w:t>
      </w:r>
      <w:r>
        <w:t xml:space="preserve"> erfüllt, wenn zur aktuellen Version eine Lesebestätigung jünger als der Turnus vorliegt; fällig bei Turnus-Ablauf oder neuer Version (Pflicht-Neulesung). Dynamisch berechnet.</w:t>
      </w:r>
    </w:p>
    <w:p>
      <w:pPr>
        <w:spacing w:after="120" w:line="276"/>
      </w:pPr>
      <w:r>
        <w:rPr>
          <w:b/>
          <w:bCs/>
        </w:rPr>
        <w:t xml:space="preserve">Erinnerung/Eskalation (URS-D-025):</w:t>
      </w:r>
      <w:r>
        <w:t xml:space="preserve"> offene Lesepflichten erzeugen Schulungs-Fälligkeiten, die über dieselbe überwachte Mechanik wie das Aufgaben-Modul laufen (Reminder, Überfälligkeit → QMB).</w:t>
      </w:r>
    </w:p>
    <w:p>
      <w:pPr>
        <w:spacing w:after="120" w:line="276"/>
      </w:pPr>
      <w:r>
        <w:rPr>
          <w:b/>
          <w:bCs/>
        </w:rPr>
        <w:t xml:space="preserve">Protokollierung (URS-D-026):</w:t>
      </w:r>
      <w:r>
        <w:t xml:space="preserve"> Festlegen/Ändern von Lesepflicht und Turnus über die zentralen Audit-Signale.</w:t>
      </w:r>
    </w:p>
    <w:p>
      <w:pPr>
        <w:pStyle w:val="Heading2"/>
      </w:pPr>
      <w:r>
        <w:t xml:space="preserve">4.6  Schulungsregister &amp; Reporting</w:t>
      </w:r>
    </w:p>
    <w:p>
      <w:pPr>
        <w:spacing w:after="120" w:line="276"/>
      </w:pPr>
      <w:r>
        <w:rPr>
          <w:b/>
          <w:bCs/>
        </w:rPr>
        <w:t xml:space="preserve">Register (URS-D-027):</w:t>
      </w:r>
      <w:r>
        <w:t xml:space="preserve"> aus den Lesebestätigungen abgeleitet (wer/was/welche Version/wann), als CSV exportierbar.</w:t>
      </w:r>
    </w:p>
    <w:p>
      <w:pPr>
        <w:spacing w:after="120" w:line="276"/>
      </w:pPr>
      <w:r>
        <w:rPr>
          <w:b/>
          <w:bCs/>
        </w:rPr>
        <w:t xml:space="preserve">Mitarbeiter-Übersicht mit Kreis-Anzeige (URS-D-028):</w:t>
      </w:r>
      <w:r>
        <w:t xml:space="preserve"> je Person erfüllt vs. offen → Prozent; serverseitig berechnete, schlanke Kreis-/Donut-Darstellung (SVG bzw. CSS), grün = gelesen, rot = offen.</w:t>
      </w:r>
    </w:p>
    <w:p>
      <w:pPr>
        <w:spacing w:after="120" w:line="276"/>
      </w:pPr>
      <w:r>
        <w:rPr>
          <w:b/>
          <w:bCs/>
        </w:rPr>
        <w:t xml:space="preserve">Dokument-Übersicht (URS-D-029):</w:t>
      </w:r>
      <w:r>
        <w:t xml:space="preserve"> je Dokument, wer es noch nicht gültig gelesen hat.</w:t>
      </w:r>
    </w:p>
    <w:p>
      <w:pPr>
        <w:spacing w:after="120" w:line="276"/>
      </w:pPr>
      <w:r>
        <w:rPr>
          <w:b/>
          <w:bCs/>
        </w:rPr>
        <w:t xml:space="preserve">Zugriff (URS-D-030/031):</w:t>
      </w:r>
      <w:r>
        <w:t xml:space="preserve"> QMB/RP/GL vorbehalten (serverseitig), sachlich-neutral.</w:t>
      </w:r>
    </w:p>
    <w:p>
      <w:pPr>
        <w:pStyle w:val="Heading2"/>
      </w:pPr>
      <w:r>
        <w:t xml:space="preserve">4.7  Berechtigungen</w:t>
      </w:r>
    </w:p>
    <w:p>
      <w:pPr>
        <w:spacing w:after="120" w:line="276"/>
      </w:pPr>
      <w:r>
        <w:rPr>
          <w:b/>
          <w:bCs/>
        </w:rPr>
        <w:t xml:space="preserve">Verwaltung (URS-D-032/033):</w:t>
      </w:r>
      <w:r>
        <w:t xml:space="preserve"> Dokumente/Status und Schulungsplan/Turnus nur QMB/RP — serverseitige Rollenprüfung.</w:t>
      </w:r>
    </w:p>
    <w:p>
      <w:pPr>
        <w:spacing w:after="120" w:line="276"/>
      </w:pPr>
      <w:r>
        <w:rPr>
          <w:b/>
          <w:bCs/>
        </w:rPr>
        <w:t xml:space="preserve">Lesen (URS-D-034):</w:t>
      </w:r>
      <w:r>
        <w:t xml:space="preserve"> alle berechtigten Mitarbeitenden für zugängliche Dokumente; Dateiauslieferung über die berechtigungsgeprüfte Ansicht.</w:t>
      </w:r>
    </w:p>
    <w:p>
      <w:pPr>
        <w:spacing w:after="120" w:line="276"/>
      </w:pPr>
      <w:r>
        <w:rPr>
          <w:b/>
          <w:bCs/>
        </w:rPr>
        <w:t xml:space="preserve">Überwachung (URS-D-035):</w:t>
      </w:r>
      <w:r>
        <w:t xml:space="preserve"> Übersichten QMB/RP/GL; Auditor rein lesend.</w:t>
      </w:r>
    </w:p>
    <w:p>
      <w:pPr>
        <w:spacing w:after="120" w:line="276"/>
      </w:pPr>
      <w:r>
        <w:rPr>
          <w:b/>
          <w:bCs/>
        </w:rPr>
        <w:t xml:space="preserve">Grundprinzip (URS-D-036):</w:t>
      </w:r>
      <w:r>
        <w:t xml:space="preserve"> minimale Rechte, durchgängig serverseitig durchgesetzt.</w:t>
      </w:r>
    </w:p>
    <w:p>
      <w:pPr>
        <w:pStyle w:val="Heading2"/>
      </w:pPr>
      <w:r>
        <w:t xml:space="preserve">4.8  Audit-Trail-Kopplung</w:t>
      </w:r>
    </w:p>
    <w:p>
      <w:pPr>
        <w:spacing w:after="120" w:line="276"/>
      </w:pPr>
      <w:r>
        <w:rPr>
          <w:b/>
          <w:bCs/>
        </w:rPr>
        <w:t xml:space="preserve">Zentrale Protokollierung (URS-D-037):</w:t>
      </w:r>
      <w:r>
        <w:t xml:space="preserve"> Dokument, Dokument-Version, Lesebestätigung und Lesepflicht-Zuweisung werden an die zentralen Audit-Signale (Stufe 0) angebunden; kein Vorgang umgeht die Protokollierung. Schulungs-Eskalationen werden wie im Aufgaben-Modul festgehalten.</w:t>
      </w:r>
    </w:p>
    <w:p>
      <w:pPr>
        <w:spacing w:after="120" w:line="276"/>
      </w:pPr>
      <w:r>
        <w:rPr>
          <w:b/>
          <w:bCs/>
        </w:rPr>
        <w:t xml:space="preserve">Unveränderbare Aufzeichnungen (URS-D-038):</w:t>
      </w:r>
      <w:r>
        <w:t xml:space="preserve"> Lesebestätigungen und Schulungsregister unterliegen der revisionssicheren Archivierung des Fundaments (ALCOA+).</w:t>
      </w:r>
    </w:p>
    <w:p>
      <w:pPr>
        <w:pStyle w:val="Heading1"/>
      </w:pPr>
      <w:r>
        <w:t xml:space="preserve">5  Datenmodell-Überblick</w:t>
      </w:r>
    </w:p>
    <w:p>
      <w:pPr>
        <w:spacing w:after="120" w:line="276"/>
      </w:pPr>
      <w:r>
        <w:rPr>
          <w:b/>
          <w:bCs/>
        </w:rPr>
        <w:t xml:space="preserve">5.1 Dokument</w:t>
      </w:r>
      <w:r>
        <w:t xml:space="preserve"> — Dokumentnummer, Dokumentart, Titel.</w:t>
      </w:r>
    </w:p>
    <w:p>
      <w:pPr>
        <w:spacing w:after="120" w:line="276"/>
      </w:pPr>
      <w:r>
        <w:rPr>
          <w:b/>
          <w:bCs/>
        </w:rPr>
        <w:t xml:space="preserve">5.2 Dokument-Version</w:t>
      </w:r>
      <w:r>
        <w:t xml:space="preserve"> — Versionsbezeichnung, Datei, Status, Freigabedatum, Änderungsvermerk, Volltext, hochgeladen von/am.</w:t>
      </w:r>
    </w:p>
    <w:p>
      <w:pPr>
        <w:spacing w:after="120" w:line="276"/>
      </w:pPr>
      <w:r>
        <w:rPr>
          <w:b/>
          <w:bCs/>
        </w:rPr>
        <w:t xml:space="preserve">5.3 Dokumentart</w:t>
      </w:r>
      <w:r>
        <w:t xml:space="preserve"> — konfigurierbar (SOP, Vordruck, Anlage, Gesetzestext).</w:t>
      </w:r>
    </w:p>
    <w:p>
      <w:pPr>
        <w:spacing w:after="120" w:line="276"/>
      </w:pPr>
      <w:r>
        <w:rPr>
          <w:b/>
          <w:bCs/>
        </w:rPr>
        <w:t xml:space="preserve">5.4 Lesepflicht-Zuweisung</w:t>
      </w:r>
      <w:r>
        <w:t xml:space="preserve"> — Dokument + Rolle/Person, optional Turnus-Override.</w:t>
      </w:r>
    </w:p>
    <w:p>
      <w:pPr>
        <w:spacing w:after="120" w:line="276"/>
      </w:pPr>
      <w:r>
        <w:rPr>
          <w:b/>
          <w:bCs/>
        </w:rPr>
        <w:t xml:space="preserve">5.5 Lesebestätigung</w:t>
      </w:r>
      <w:r>
        <w:t xml:space="preserve"> — Dokument-Version + Person + Zeitstempel; unveränderbar.</w:t>
      </w:r>
    </w:p>
    <w:p>
      <w:pPr>
        <w:spacing w:after="120" w:line="276"/>
      </w:pPr>
      <w:r>
        <w:rPr>
          <w:b/>
          <w:bCs/>
        </w:rPr>
        <w:t xml:space="preserve">5.6 Konfiguration</w:t>
      </w:r>
      <w:r>
        <w:t xml:space="preserve"> — globaler Standard-Turnus, je Dokument überschreibbar.</w:t>
      </w:r>
    </w:p>
    <w:p>
      <w:pPr>
        <w:spacing w:after="120" w:line="276"/>
      </w:pPr>
      <w:r>
        <w:rPr>
          <w:b/>
          <w:bCs/>
        </w:rPr>
        <w:t xml:space="preserve">5.7 Zusammenspiel</w:t>
      </w:r>
      <w:r>
        <w:t xml:space="preserve"> — Ein Dokument hat mehrere Versionen (eine „in Kraft"); Lesepflichten am Dokument; erfüllt = gültige Lesebestätigung zur aktuellen Version innerhalb Turnus; Register abgeleitet; alles am Audit-Trail.</w:t>
      </w:r>
    </w:p>
    <w:p>
      <w:pPr>
        <w:pStyle w:val="Heading1"/>
      </w:pPr>
      <w:r>
        <w:t xml:space="preserve">6  Volltext-Suche &amp; OCR</w:t>
      </w:r>
    </w:p>
    <w:p>
      <w:pPr>
        <w:pStyle w:val="Heading2"/>
      </w:pPr>
      <w:r>
        <w:t xml:space="preserve">6.1  Textgewinnung beim Hinterlegen</w:t>
      </w:r>
    </w:p>
    <w:p>
      <w:pPr>
        <w:spacing w:after="120" w:line="276"/>
      </w:pPr>
      <w:r>
        <w:t xml:space="preserve">Text-PDFs werden direkt extrahiert; reine Bild-PDFs über eine Texterkennung (OCR, deutschsprachig). Der Text landet im Volltext-Feld der Dokument-Version.</w:t>
      </w:r>
    </w:p>
    <w:p>
      <w:pPr>
        <w:pStyle w:val="Heading2"/>
      </w:pPr>
      <w:r>
        <w:t xml:space="preserve">6.2  Indizierung &amp; Suche</w:t>
      </w:r>
    </w:p>
    <w:p>
      <w:pPr>
        <w:spacing w:after="120" w:line="276"/>
      </w:pPr>
      <w:r>
        <w:t xml:space="preserve">PostgreSQL-Volltextsuche: Titel, Dokumentnummer und Volltext werden zu einem durchsuchbaren Vektor mit GIN-Index zusammengeführt; Schlagworte werden als Suchanfrage ausgewertet.</w:t>
      </w:r>
    </w:p>
    <w:p>
      <w:pPr>
        <w:pStyle w:val="Heading2"/>
      </w:pPr>
      <w:r>
        <w:t xml:space="preserve">6.3  Grenzen &amp; Hinweise</w:t>
      </w:r>
    </w:p>
    <w:p>
      <w:pPr>
        <w:spacing w:after="120" w:line="276"/>
      </w:pPr>
      <w:r>
        <w:t xml:space="preserve">OCR-Güte hängt von der Scan-Qualität ab; die Metadaten-Suche (Titel/Nummer) ist immer verlässlich verfügbar. Mehrsprachige Dokumente sind ein offener Punkt (Abschnitt 9).</w:t>
      </w:r>
    </w:p>
    <w:p>
      <w:pPr>
        <w:pStyle w:val="Heading1"/>
      </w:pPr>
      <w:r>
        <w:t xml:space="preserve">7  Nicht-funktionale Umsetzung</w:t>
      </w:r>
    </w:p>
    <w:p>
      <w:pPr>
        <w:spacing w:after="120" w:line="276"/>
      </w:pPr>
      <w:r>
        <w:rPr>
          <w:b/>
          <w:bCs/>
        </w:rPr>
        <w:t xml:space="preserve">Bedienbarkeit (URS-D-039):</w:t>
      </w:r>
      <w:r>
        <w:t xml:space="preserve"> durchgängiges Design-System; schnelles Finden, Lesen, Bestätigen.</w:t>
      </w:r>
    </w:p>
    <w:p>
      <w:pPr>
        <w:spacing w:after="120" w:line="276"/>
      </w:pPr>
      <w:r>
        <w:rPr>
          <w:b/>
          <w:bCs/>
        </w:rPr>
        <w:t xml:space="preserve">Performance (URS-D-040):</w:t>
      </w:r>
      <w:r>
        <w:t xml:space="preserve"> indizierte Volltextsuche (GIN) und seitenweise Listen halten Suche/Übersichten im Sekundenbereich.</w:t>
      </w:r>
    </w:p>
    <w:p>
      <w:pPr>
        <w:spacing w:after="120" w:line="276"/>
      </w:pPr>
      <w:r>
        <w:rPr>
          <w:b/>
          <w:bCs/>
        </w:rPr>
        <w:t xml:space="preserve">Datenintegrität (URS-D-041):</w:t>
      </w:r>
      <w:r>
        <w:t xml:space="preserve"> Lesebestätigungen/Register append-only, ALCOA+ über das Fundament.</w:t>
      </w:r>
    </w:p>
    <w:p>
      <w:pPr>
        <w:spacing w:after="120" w:line="276"/>
      </w:pPr>
      <w:r>
        <w:rPr>
          <w:b/>
          <w:bCs/>
        </w:rPr>
        <w:t xml:space="preserve">Aufbewahrung (URS-D-042):</w:t>
      </w:r>
      <w:r>
        <w:t xml:space="preserve"> Schulungsnachweise revisionssicher, 5 Jahre, im Backup.</w:t>
      </w:r>
    </w:p>
    <w:p>
      <w:pPr>
        <w:spacing w:after="120" w:line="276"/>
      </w:pPr>
      <w:r>
        <w:rPr>
          <w:b/>
          <w:bCs/>
        </w:rPr>
        <w:t xml:space="preserve">Wartbarkeit / Konfigurationstrennung (URS-D-043):</w:t>
      </w:r>
      <w:r>
        <w:t xml:space="preserve"> Dokumentarten, Turnus, Schulungsplan als Daten/Konfiguration.</w:t>
      </w:r>
    </w:p>
    <w:p>
      <w:pPr>
        <w:spacing w:after="120" w:line="276"/>
      </w:pPr>
      <w:r>
        <w:rPr>
          <w:b/>
          <w:bCs/>
        </w:rPr>
        <w:t xml:space="preserve">Dateiablage (URS-D-044):</w:t>
      </w:r>
      <w:r>
        <w:t xml:space="preserve"> gesicherter, vom Backup umfasster Bereich; Auslieferung nur über die berechtigungsgeprüfte Ansicht.</w:t>
      </w:r>
    </w:p>
    <w:p>
      <w:pPr>
        <w:pStyle w:val="Heading1"/>
      </w:pPr>
      <w:r>
        <w:t xml:space="preserve">8  Anforderungs-Nachverfolgung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URS-Anforderung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umgesetzt in FS/DS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D-001–007 (Dokumente hinterlegen)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D-008–011, D-016 (Anzeigen &amp; Verweise)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D-012–015 (Schlagwort-/Volltext-Suche)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4.3 / 6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D-017–020 (Lesebestätigung)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D-021–026, D-045 (Schulung)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4.5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D-027–031 (Schulungsregister &amp; Reporting)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4.6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D-032–036 (Berechtigungen)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4.7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D-037–038 (Audit-Trail-Kopplung)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4.8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D-039–044 (nicht-funktional)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 / 6 / 7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Die detaillierte Matrix (je einzelne URS-D-Nummer) wird als eigenes, lebendes Dokument geführt und in die Testskripte (IQ/OQ/PQ) weitergetragen.</w:t>
      </w:r>
    </w:p>
    <w:p>
      <w:pPr>
        <w:pStyle w:val="Heading1"/>
      </w:pPr>
      <w:r>
        <w:t xml:space="preserve">9  Annahmen &amp; offene Punkte</w:t>
      </w:r>
    </w:p>
    <w:p>
      <w:pPr>
        <w:pStyle w:val="Heading2"/>
      </w:pPr>
      <w:r>
        <w:t xml:space="preserve">9.1  Annahmen</w:t>
      </w:r>
    </w:p>
    <w:p>
      <w:pPr>
        <w:spacing w:after="120" w:line="276"/>
      </w:pPr>
      <w:r>
        <w:t xml:space="preserve">Fundament (Stufe 0) und Erinnerungs-/Eskalations-Mechanik (Stufe 1) sind verfügbar; freigegebene Dokumente liegen als Dateien vor; ein OCR-Werkzeug steht bereit; der zeitgesteuerte Hintergrundlauf kann betrieben werden.</w:t>
      </w:r>
    </w:p>
    <w:p>
      <w:pPr>
        <w:pStyle w:val="Heading2"/>
      </w:pPr>
      <w:r>
        <w:t xml:space="preserve">9.2  Offene Punkte (bei der Umsetzung festzulegen)</w:t>
      </w:r>
    </w:p>
    <w:p>
      <w:pPr>
        <w:spacing w:after="120" w:line="276"/>
      </w:pPr>
      <w:r>
        <w:t xml:space="preserve">Genaue Darstellung der „Verweise"-Liste; konkrete Turnus-Vorgaben; Umgang mit mehrsprachigen Dokumenten (Spracherkennung OCR/Suche); erlaubte Dateitypen/-größen; konkrete Umsetzung der Kreis-Anzeige (SVG vs. CSS).</w:t>
      </w:r>
    </w:p>
    <w:p>
      <w:pPr>
        <w:pStyle w:val="Heading1"/>
      </w:pPr>
      <w:r>
        <w:t xml:space="preserve">10  Abnahme &amp; Versionskontrolle</w:t>
      </w:r>
    </w:p>
    <w:p>
      <w:pPr>
        <w:pStyle w:val="Heading2"/>
      </w:pPr>
      <w:r>
        <w:t xml:space="preserve">10.1  Freigabe (Software-/Produkt-Governance)</w:t>
      </w:r>
    </w:p>
    <w:p>
      <w:pPr>
        <w:spacing w:after="120" w:line="276"/>
      </w:pPr>
      <w:r>
        <w:t xml:space="preserve">Diese FS/DS ist ein Software-Entwicklungsdokument von QM-Pilot und wird unter der Software-/Produkt-Governance freigegeben (nicht über die QM-Dokumentenlenkung). Mit der Freigabe wird bestätigt, dass sie die Umsetzung der URS-Anforderungen zutreffend beschreibt.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26"/>
        <w:gridCol w:w="1100"/>
        <w:gridCol w:w="100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Untersch.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Erstellt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(Entwurf)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Fachlich/technisch geprüft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fachkundige techn. Person / Standby-Entwickler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(noch zu benennen)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Freigegeben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Produktverantwortlicher / Geschäftsleitung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 Versionskontrolle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0.1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Erstentwurf, Abschnitte 1–10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10.3  Geltung</w:t>
      </w:r>
    </w:p>
    <w:p>
      <w:pPr>
        <w:spacing w:after="120" w:line="276"/>
      </w:pPr>
      <w:r>
        <w:t xml:space="preserve">Die FS/DS ist ein lebendes Dokument. Änderungen nach Freigabe erfolgen über eine neue Version; Änderungen an produktiver Software laufen über den Software-Versionierungs-/Freigabeprozess (URS-F-052).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FS/DS QM-Pilot · Stufe 2 (Dokumente &amp; Schulung) — Pharmazeutika 73.3 GmbH</w:t>
    </w:r>
    <w:r>
      <w:rPr>
        <w:color w:val="666666"/>
        <w:sz w:val="16"/>
        <w:szCs w:val="16"/>
      </w:rPr>
      <w:t xml:space="preserve">	V0.1 (Entwurf)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2026-06-30T16:33:17.461Z</dcterms:created>
  <dcterms:modified xsi:type="dcterms:W3CDTF">2026-06-30T16:33:17.463Z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