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44"/>
          <w:szCs w:val="44"/>
        </w:rPr>
        <w:t xml:space="preserve">User Requirements Specification</w:t>
      </w:r>
    </w:p>
    <w:p>
      <w:pPr>
        <w:spacing w:before="100"/>
        <w:jc w:val="center"/>
      </w:pPr>
      <w:r>
        <w:rPr>
          <w:sz w:val="30"/>
          <w:szCs w:val="30"/>
        </w:rPr>
        <w:t xml:space="preserve">Modul „Fundament" — Stufe 0</w:t>
      </w:r>
    </w:p>
    <w:p>
      <w:pPr>
        <w:spacing w:before="80"/>
        <w:jc w:val="center"/>
      </w:pPr>
      <w:r>
        <w:rPr>
          <w:sz w:val="24"/>
          <w:szCs w:val="24"/>
        </w:rPr>
        <w:t xml:space="preserve">QM-Pilot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0.3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Freigabe: Jochen Schulze (GL/RP)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 der URS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Diese User Requirements Specification (URS) legt die Anforderungen an das Modul „Fundament" (Stufe 0) von QM-Pilot aus Sicht der Anwender und des Betriebs fest. Sie ist die verbindliche Grundlage für die Entwicklung und zugleich der Bezugspunkt für die spätere Validierung: Jede Anforderung wird so formuliert, dass sie in den Qualifizierungstests (IQ/OQ/PQ) eindeutig überprüfbar ist.</w:t>
      </w:r>
    </w:p>
    <w:p>
      <w:pPr>
        <w:pStyle w:val="Heading2"/>
      </w:pPr>
      <w:r>
        <w:t xml:space="preserve">1.2  Einordnung des Moduls</w:t>
      </w:r>
    </w:p>
    <w:p>
      <w:pPr>
        <w:spacing w:after="120" w:line="276"/>
      </w:pPr>
      <w:r>
        <w:t xml:space="preserve">Stufe 0 ist das technische und sicherheitstechnische Rückgrat des QM-Pilot (Login, Rollen/Rechte, Audit-Trail, sichere Archivierung, Datensicherung, Hosting). Es ist die Voraussetzung für alle weiteren Module und muss vollständig validiert sein, bevor Stufe 1 (Aufgaben-Modul) beginnt.</w:t>
      </w:r>
    </w:p>
    <w:p>
      <w:pPr>
        <w:pStyle w:val="Heading2"/>
      </w:pPr>
      <w:r>
        <w:t xml:space="preserve">1.3  Geltungsbereich</w:t>
      </w:r>
    </w:p>
    <w:p>
      <w:pPr>
        <w:spacing w:after="120" w:line="276"/>
      </w:pPr>
      <w:r>
        <w:t xml:space="preserve">Die URS beschreibt, </w:t>
      </w:r>
      <w:r>
        <w:rPr>
          <w:b/>
          <w:bCs/>
        </w:rPr>
        <w:t xml:space="preserve">was</w:t>
      </w:r>
      <w:r>
        <w:t xml:space="preserve"> das Fundament leisten muss — nicht, </w:t>
      </w:r>
      <w:r>
        <w:rPr>
          <w:b/>
          <w:bCs/>
        </w:rPr>
        <w:t xml:space="preserve">wie</w:t>
      </w:r>
      <w:r>
        <w:t xml:space="preserve"> es technisch umgesetzt wird. Die technische Umsetzung (z. B. konkrete Konfiguration auf Basis von Django, PostgreSQL und Hetzner) wird in der nachgelagerten Funktional- und Design-Spezifikation beschrieben. Die in Schritt 2 getroffenen Grundsatzentscheidungen sind dabei gesetzt und werden hier vorausgesetzt.</w:t>
      </w:r>
    </w:p>
    <w:p>
      <w:pPr>
        <w:pStyle w:val="Heading2"/>
      </w:pPr>
      <w:r>
        <w:t xml:space="preserve">1.4  Verbindlichkeit</w:t>
      </w:r>
    </w:p>
    <w:p>
      <w:pPr>
        <w:spacing w:after="120" w:line="276"/>
      </w:pPr>
      <w:r>
        <w:t xml:space="preserve">Die URS wird von der Geschäftsleitung / Verantwortlichen Person freigegeben. Nach Freigabe erfolgen Änderungen nachvollziehbar über die Versionskontrolle dieses Dokuments.</w:t>
      </w:r>
    </w:p>
    <w:p>
      <w:pPr>
        <w:pStyle w:val="Heading1"/>
      </w:pPr>
      <w:r>
        <w:t xml:space="preserve">2  Mitgeltende Dokumente &amp; Referenzen</w:t>
      </w:r>
    </w:p>
    <w:p>
      <w:pPr>
        <w:pStyle w:val="Heading2"/>
      </w:pPr>
      <w:r>
        <w:t xml:space="preserve">2.1  Projektinterne Dokumente</w:t>
      </w:r>
    </w:p>
    <w:p>
      <w:pPr>
        <w:spacing w:after="120" w:line="276"/>
      </w:pPr>
      <w:r>
        <w:t xml:space="preserve">Vision Document QM-Pilot (v0.1) und Technische Grundsatzentscheidungen (v0.1). Beide bilden den Rahmen, auf dem diese URS aufsetzt.</w:t>
      </w:r>
    </w:p>
    <w:p>
      <w:pPr>
        <w:pStyle w:val="Heading2"/>
      </w:pPr>
      <w:r>
        <w:t xml:space="preserve">2.2  Bezug zum QM-System (verwaltete Inhalte)</w:t>
      </w:r>
    </w:p>
    <w:p>
      <w:pPr>
        <w:spacing w:after="120" w:line="276"/>
      </w:pPr>
      <w:r>
        <w:t xml:space="preserve">Das QM-Pilot ist ein eigenständiges Produkt, das das QM-System der Pharmazeutika 73.3 </w:t>
      </w:r>
      <w:r>
        <w:rPr>
          <w:b/>
          <w:bCs/>
        </w:rPr>
        <w:t xml:space="preserve">verwaltet</w:t>
      </w:r>
      <w:r>
        <w:t xml:space="preserve"> — es ist diesem nicht untergeordnet. Die QM-Dokumente sind die vom System verwalteten Inhalte und zugleich eine Quelle funktionaler Anforderungen (welche Aufgaben, Vordrucke und Abläufe abzubilden sind). In diesem Sinne werden einzelne QM-Dokumente referenziert — etwa zur Ableitung von Routineaufgaben oder Formularinhalten —, ohne dass sie den Validierungs- oder Compliance-Maßstab der Software bilden. Dieser Maßstab ergibt sich aus den gesetzlichen Vorgaben (Abschnitt 6).</w:t>
      </w:r>
    </w:p>
    <w:p>
      <w:pPr>
        <w:pStyle w:val="Heading2"/>
      </w:pPr>
      <w:r>
        <w:t xml:space="preserve">2.3  Regulatorische Grundlagen</w:t>
      </w:r>
    </w:p>
    <w:p>
      <w:pPr>
        <w:spacing w:after="120" w:line="276"/>
      </w:pPr>
      <w:r>
        <w:t xml:space="preserve">GDP-Leitlinie 2013/C 343/01; GAMP 5 (2nd ed.); EU-Annex 11 (sinngemäß); ALCOA+ (Datenintegrität); DSGVO; AMG / AMHandelsV (insbesondere § 22 zu Aufbewahrungsfristen).</w:t>
      </w:r>
    </w:p>
    <w:p>
      <w:pPr>
        <w:pStyle w:val="Heading1"/>
      </w:pPr>
      <w:r>
        <w:t xml:space="preserve">3  Überblick &amp; Abgrenzung Stufe 0</w:t>
      </w:r>
    </w:p>
    <w:p>
      <w:pPr>
        <w:pStyle w:val="Heading2"/>
      </w:pPr>
      <w:r>
        <w:t xml:space="preserve">3.1  Inhalt der Stufe 0</w:t>
      </w:r>
    </w:p>
    <w:p>
      <w:pPr>
        <w:spacing w:after="120" w:line="276"/>
      </w:pPr>
      <w:r>
        <w:t xml:space="preserve">Das Fundament umfasst die systemweiten Grundfunktionen, auf denen alle späteren Module aufsetzen: Benutzer-, Rollen- und Rechteverwaltung; Authentifizierung und Login; den systemweiten Audit-Trail; die sichere, revisionssichere Archivierung und Speicherung; Datensicherung, Backup und Wiederherstellung; Hosting, Betrieb und Sicherheit. Hinzu kommt die gestalterische Grundlinie (Design-System mit Orientierung an pharmazeutika.net), damit alle folgenden Module einheitlich aussehen.</w:t>
      </w:r>
    </w:p>
    <w:p>
      <w:pPr>
        <w:pStyle w:val="Heading2"/>
      </w:pPr>
      <w:r>
        <w:t xml:space="preserve">3.2  Abgrenzung (nicht Teil der Stufe 0)</w:t>
      </w:r>
    </w:p>
    <w:p>
      <w:pPr>
        <w:spacing w:after="120" w:line="276"/>
      </w:pPr>
      <w:r>
        <w:t xml:space="preserve">Bewusst späteren Stufen vorbehalten sind alle Fachmodule: Aufgaben (Stufe 1), Dokumentenanzeige und Lesebestätigung (Stufe 2), Online-Vordrucke (Stufe 3), Feststellungen/CAPA/Change Control (Stufe 4), Dokumentenlenkungs-Workflow (Stufe 5), Reporting (Stufe 6) sowie Lieferanten, Audits, Reklamationen und Rückrufe (Stufe 7). Ebenfalls nicht in Stufe 0: die Schnittstellen (SAP Business One, Testo Saveris), die Foto-Dokumentation und die manuelle Datenübernahme aus eqms.de.</w:t>
      </w:r>
    </w:p>
    <w:p>
      <w:pPr>
        <w:pStyle w:val="Heading2"/>
      </w:pPr>
      <w:r>
        <w:t xml:space="preserve">3.3  Ergebnis der Stufe 0</w:t>
      </w:r>
    </w:p>
    <w:p>
      <w:pPr>
        <w:spacing w:after="120" w:line="276"/>
      </w:pPr>
      <w:r>
        <w:t xml:space="preserve">Am Ende steht ein validiertes Fundament: ein nutzbarer, sicherer Login mit Rollenmodell, ein lückenloser Audit-Trail, eine sicher gehostete Umgebung mit funktionierender Datensicherung sowie eine abgenommene Design-Grundlinie — bereit für den Aufbau des ersten Fachmoduls (Stufe 1).</w:t>
      </w:r>
    </w:p>
    <w:p>
      <w:pPr>
        <w:pStyle w:val="Heading1"/>
      </w:pPr>
      <w:r>
        <w:t xml:space="preserve">4  Benutzeranforderungen</w:t>
      </w:r>
    </w:p>
    <w:p>
      <w:pPr>
        <w:pStyle w:val="Heading2"/>
      </w:pPr>
      <w:r>
        <w:t xml:space="preserve">4.1  Benutzer, Rollen &amp; Rechte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URS-F-001 — </w:t>
      </w:r>
      <w:r>
        <w:t xml:space="preserve">Das System muss eine rollenbasierte Zugriffssteuerung bieten: Rechte hängen an Rollen, nicht an einzelnen Personen.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URS-F-002 — </w:t>
      </w:r>
      <w:r>
        <w:t xml:space="preserve">Das System muss mindestens die folgenden Rollen unterstützen: Geschäftsleitung (GL), Verantwortliche Person (RP), QMB, stellvertretende RP, operative Mitarbeitende (Lager, Backoffice), Externe mit eingeschränktem Zugang (z. B. Reinigungskraft) sowie Auditor.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URS-F-003 — </w:t>
      </w:r>
      <w:r>
        <w:t xml:space="preserve">Eine Person muss mehrere Rollen gleichzeitig innehaben können (Personalunion); die Rechte ergeben sich aus der Summe der Rollen, jede Handlung bleibt aber eindeutig der Person zugeordnet.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URS-F-004 — </w:t>
      </w:r>
      <w:r>
        <w:t xml:space="preserve">Das System muss dem Prinzip der minimalen Rechte folgen: Jede Rolle erhält nur die für ihre Aufgabe erforderlichen Zugriffe.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URS-F-005 — </w:t>
      </w:r>
      <w:r>
        <w:t xml:space="preserve">Nur eine berechtigte Administrationsrolle darf Benutzer anlegen, ändern, deaktivieren und Rollen zuweisen.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URS-F-006 — </w:t>
      </w:r>
      <w:r>
        <w:t xml:space="preserve">Benutzerkonten müssen deaktiviert (nicht gelöscht) werden können; deaktivierte Konten können sich nicht mehr anmelden, ihre Historie im Audit-Trail bleibt erhalten.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URS-F-007 — </w:t>
      </w:r>
      <w:r>
        <w:t xml:space="preserve">Das System muss eine Funktionstrennung unterstützen (z. B. Auditor ausschließlich lesend; prüfende/freigebende Rolle trennbar von der erfassenden Rolle).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URS-F-008 — </w:t>
      </w:r>
      <w:r>
        <w:t xml:space="preserve">Jedes Benutzerkonto muss eindeutig einer identifizierbaren natürlichen Person zugeordnet sein; geteilte Sammelkonten sind für zuordnungspflichtige Handlungen unzulässig.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URS-F-009 — </w:t>
      </w:r>
      <w:r>
        <w:t xml:space="preserve">Das Anlegen und jede Änderung von Benutzern und Rollen-/Rechtezuweisungen müssen im Audit-Trail aufgezeichnet werden (siehe 4.3).</w:t>
      </w:r>
    </w:p>
    <w:p>
      <w:pPr>
        <w:pStyle w:val="Heading2"/>
      </w:pPr>
      <w:r>
        <w:t xml:space="preserve">4.2  Authentifizierung &amp; Login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URS-F-010 — </w:t>
      </w:r>
      <w:r>
        <w:t xml:space="preserve">Interne Mitarbeitende müssen sich über Microsoft 365 anmelden (Single Sign-on); ein separates QM-Pilot-Passwort entfällt.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URS-F-011 — </w:t>
      </w:r>
      <w:r>
        <w:t xml:space="preserve">Für interne Anmeldungen muss eine 2-Faktor-Authentifizierung wirksam sein (bereitgestellt über Microsoft 365).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URS-F-012 — </w:t>
      </w:r>
      <w:r>
        <w:t xml:space="preserve">Wird das M365-Konto einer Person deaktiviert (z. B. bei Austritt), muss der QM-Pilot-Zugang dieser Person entsprechend enden.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URS-F-013 — </w:t>
      </w:r>
      <w:r>
        <w:t xml:space="preserve">Externe ohne M365-Konto (insbesondere die Reinigungskraft) müssen sich über einen separaten, bewusst einfachen, aber </w:t>
      </w:r>
      <w:r>
        <w:rPr>
          <w:b/>
          <w:bCs/>
        </w:rPr>
        <w:t xml:space="preserve">persönlichen</w:t>
      </w:r>
      <w:r>
        <w:t xml:space="preserve"> Login anmelden können (Methode wie PIN, Badge oder QR-Code; Festlegung in der Design-/Funktionalspezifikation). Der Zugang ist auf die zugewiesenen Aufgaben beschränkt und bleibt eindeutig der Person zuordenbar; geteilte Logins sind unzulässig.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URS-F-014 — </w:t>
      </w:r>
      <w:r>
        <w:t xml:space="preserve">Auditoren müssen über ein zeitlich befristetes, rein lesendes Konto angemeldet werden können.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URS-F-015 — </w:t>
      </w:r>
      <w:r>
        <w:t xml:space="preserve">Erfolgreiche und fehlgeschlagene Anmeldeversuche müssen im Audit-Trail aufgezeichnet werden.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URS-F-016 — </w:t>
      </w:r>
      <w:r>
        <w:t xml:space="preserve">Nach einer definierten Zahl fehlgeschlagener Anmeldeversuche muss der Zugang geschützt werden (z. B. vorübergehende Sperre oder Verzögerung) — auch beim einfachen Login.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URS-F-017 — </w:t>
      </w:r>
      <w:r>
        <w:t xml:space="preserve">Das System muss eine Sitzung nach einer definierten Zeit ohne Aktivität automatisch beenden; danach ist eine erneute Anmeldung erforderlich.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URS-F-018 — </w:t>
      </w:r>
      <w:r>
        <w:t xml:space="preserve">Nutzer müssen sich aktiv abmelden können; auf gemeinsam genutzten Geräten (z. B. Reinigungs-Tablet) muss ein schneller Benutzerwechsel/Abmelden möglich sein.</w:t>
      </w:r>
    </w:p>
    <w:p>
      <w:pPr>
        <w:spacing w:after="120" w:line="276"/>
      </w:pPr>
      <w:r>
        <w:rPr>
          <w:i/>
          <w:iCs/>
        </w:rPr>
        <w:t xml:space="preserve">Hinweis:</w:t>
      </w:r>
      <w:r>
        <w:t xml:space="preserve"> Die elektronische Unterschrift (4-Augen-Freigabe) baut auf dieser eindeutigen Anmelde-Identität auf, wird selbst aber als eigene Anforderung im jeweiligen Fachmodul beschrieben — nicht in Stufe 0.</w:t>
      </w:r>
    </w:p>
    <w:p>
      <w:pPr>
        <w:pStyle w:val="Heading2"/>
      </w:pPr>
      <w:r>
        <w:t xml:space="preserve">4.3  Audit-Trail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URS-F-019 — </w:t>
      </w:r>
      <w:r>
        <w:t xml:space="preserve">Das System muss einen lückenlosen, systemweiten Audit-Trail über alle qualitätsrelevanten Handlungen führen (u. a. Erstellen, Ändern, Lösch-/Ungültig-Vorgänge, Freigaben, Lese-/Erledigungsbestätigungen, An-/Abmeldungen).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URS-F-020 — </w:t>
      </w:r>
      <w:r>
        <w:t xml:space="preserve">Jeder Audit-Trail-Eintrag muss erfassen: wer (Person), was (Handlung), wann (Zeitstempel) und bei Änderungen den alten und den neuen Wert.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URS-F-021 — </w:t>
      </w:r>
      <w:r>
        <w:t xml:space="preserve">Der Audit-Trail muss unveränderbar sein: Einträge können von niemandem — auch nicht von einer Administrationsrolle — nachträglich geändert oder gelöscht werden.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URS-F-022 — </w:t>
      </w:r>
      <w:r>
        <w:t xml:space="preserve">Zeitstempel müssen verlässlich sein und auf einer einheitlichen, synchronisierten Zeitquelle mit konsistenter Zeitzone beruhen.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URS-F-023 — </w:t>
      </w:r>
      <w:r>
        <w:t xml:space="preserve">Datensätze dürfen nicht physisch gelöscht werden; stattdessen bleibt das Original durch Ungültigsetzen/Versionierung erhalten (ALCOA+: original, dauerhaft).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URS-F-024 — </w:t>
      </w:r>
      <w:r>
        <w:t xml:space="preserve">Der Audit-Trail muss für Menschen lesbar sein und sich für Inspektionen exportieren bzw. ausdrucken lassen.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URS-F-025 — </w:t>
      </w:r>
      <w:r>
        <w:t xml:space="preserve">Der Audit-Trail muss durchsuch- und filterbar sein (z. B. nach Person, Zeitraum, Objekt, Handlung).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URS-F-026 — </w:t>
      </w:r>
      <w:r>
        <w:t xml:space="preserve">Audit-Trail-Einträge müssen mindestens so lange aufbewahrt werden wie der zugehörige Datensatz (GDP: 5 Jahre nach § 22 AMHandelsV).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URS-F-027 — </w:t>
      </w:r>
      <w:r>
        <w:t xml:space="preserve">Der Audit-Trail muss von Datensicherung und Archivierung mit umfasst sein (siehe 4.4 und 4.5).</w:t>
      </w:r>
    </w:p>
    <w:p>
      <w:pPr>
        <w:pStyle w:val="Heading2"/>
      </w:pPr>
      <w:r>
        <w:t xml:space="preserve">4.4  Sichere, revisionssichere Archivierung &amp; Speicherung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URS-F-028 — </w:t>
      </w:r>
      <w:r>
        <w:t xml:space="preserve">Das System muss alle QM-relevanten Daten und Aufzeichnungen revisionssicher speichern (geschützt gegen nachträgliche Veränderung).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URS-F-029 — </w:t>
      </w:r>
      <w:r>
        <w:t xml:space="preserve">Freigegebene Dokumente und abgeschlossene Aufzeichnungen dürfen nicht mehr verändert werden; Korrekturen erfolgen ausschließlich über eine neue Version unter Erhalt des Originals (ALCOA+).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URS-F-030 — </w:t>
      </w:r>
      <w:r>
        <w:t xml:space="preserve">Das System muss die Aufbewahrungsfristen einhalten (GDP-Aufzeichnungen 5 Jahre nach § 22 AMHandelsV; kaufmännische Unterlagen nach HGB/AO) und eine Löschung vor Fristablauf verhindern.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URS-F-031 — </w:t>
      </w:r>
      <w:r>
        <w:t xml:space="preserve">Archivierte Daten müssen über die gesamte Aufbewahrungsfrist lesbar und abrufbar bleiben (ALCOA+: dauerhaft, verfügbar), einschließlich einer Vorkehrung für die langfristige Lesbarkeit der Formate.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URS-F-032 — </w:t>
      </w:r>
      <w:r>
        <w:t xml:space="preserve">Der Zugriff auf archivierte Daten muss dem Rollen- und Rechtemodell folgen (Lesezugriff für berechtigte Rollen sowie Auditor).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URS-F-033 — </w:t>
      </w:r>
      <w:r>
        <w:t xml:space="preserve">Dokumente und Aufzeichnungen müssen Metadaten tragen (Version, Status, Zeitstempel, verantwortliche Person), damit sie auffindbar und nachvollziehbar sind.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URS-F-034 — </w:t>
      </w:r>
      <w:r>
        <w:t xml:space="preserve">Gespeicherte Daten müssen angemessen vor unbefugtem Zugriff geschützt sein (u. a. Verschlüsselung der Daten im Ruhezustand, soweit angemessen).</w:t>
      </w:r>
    </w:p>
    <w:p>
      <w:pPr>
        <w:pStyle w:val="Heading2"/>
      </w:pPr>
      <w:r>
        <w:t xml:space="preserve">4.5  Datensicherung, Backup &amp; Wiederherstellung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URS-F-035 — </w:t>
      </w:r>
      <w:r>
        <w:t xml:space="preserve">Das System muss täglich ein Voll-Backup sowie mehrmals täglich eine Sicherung der Datenbank erstellen.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URS-F-036 — </w:t>
      </w:r>
      <w:r>
        <w:t xml:space="preserve">Backups müssen verschlüsselt und georedundant (an einem zweiten Standort) gespeichert werden.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URS-F-037 — </w:t>
      </w:r>
      <w:r>
        <w:t xml:space="preserve">Die Aufbewahrung der Backups muss gestaffelt erfolgen (täglich für 30 Tage, wöchentlich für 3 Monate).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URS-F-038 — </w:t>
      </w:r>
      <w:r>
        <w:t xml:space="preserve">Der maximal tolerierbare Datenverlust (RPO) darf 24 Stunden nicht überschreiten; bei den prüfrelevanten Daten ist durch die häufigeren Datenbank-Sicherungen ein deutlich kleinerer Wert anzustreben.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URS-F-039 — </w:t>
      </w:r>
      <w:r>
        <w:t xml:space="preserve">Die maximal tolerierbare Wiederanlaufzeit (RTO) darf einen Arbeitstag nicht überschreiten.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URS-F-040 — </w:t>
      </w:r>
      <w:r>
        <w:t xml:space="preserve">Eine vollständige, dokumentierte Wiederherstellungs-Übung muss mindestens einmal jährlich durchgeführt werden (als wiederkehrende Aufgabe im Routineplan).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URS-F-041 — </w:t>
      </w:r>
      <w:r>
        <w:t xml:space="preserve">Backups müssen alle Produktivdaten, den Audit-Trail und die Systemkonfiguration umfassen.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URS-F-042 — </w:t>
      </w:r>
      <w:r>
        <w:t xml:space="preserve">Eine Wiederherstellung muss die Daten vollständig und korrekt reproduzieren; die Integrität der wiederhergestellten Daten muss überprüfbar sein.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URS-F-043 — </w:t>
      </w:r>
      <w:r>
        <w:t xml:space="preserve">Die Ausführung der Backups muss überwacht werden; Fehlschläge müssen gemeldet werden.</w:t>
      </w:r>
    </w:p>
    <w:p>
      <w:pPr>
        <w:pStyle w:val="Heading2"/>
      </w:pPr>
      <w:r>
        <w:t xml:space="preserve">4.6  Hosting, Betrieb &amp; Sicherheit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URS-F-044 — </w:t>
      </w:r>
      <w:r>
        <w:t xml:space="preserve">Das System muss bei einem deutschen Anbieter mit Auftragsverarbeitungsvertrag und Datenstandort Deutschland betrieben werden (Hetzner Cloud gemäß Grundsatzentscheidung).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URS-F-045 — </w:t>
      </w:r>
      <w:r>
        <w:t xml:space="preserve">Es müssen eine getrennte Produktiv- und Testumgebung bestehen; Tests und Entwicklung dürfen die Produktivdaten nicht beeinflussen.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URS-F-046 — </w:t>
      </w:r>
      <w:r>
        <w:t xml:space="preserve">Jeder Zugriff auf das System muss verschlüsselt übertragen werden (TLS).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URS-F-047 — </w:t>
      </w:r>
      <w:r>
        <w:t xml:space="preserve">Die Systeme müssen regelmäßig aktualisiert (Sicherheits-Patches) und gehärtet werden.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URS-F-048 — </w:t>
      </w:r>
      <w:r>
        <w:t xml:space="preserve">Sicherheitsrelevante Ereignisse (z. B. administrative Zugriffe, Konfigurationsänderungen) müssen protokolliert werden.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URS-F-049 — </w:t>
      </w:r>
      <w:r>
        <w:t xml:space="preserve">Der Zugriff auf Server und Infrastruktur muss auf berechtigte Administratoren beschränkt und selbst nachvollziehbar protokolliert sein.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URS-F-050 — </w:t>
      </w:r>
      <w:r>
        <w:t xml:space="preserve">Das System muss vor unbefugtem externem Zugriff geschützt sein (u. a. Firewall, Beschränkung offener Zugänge).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URS-F-051 — </w:t>
      </w:r>
      <w:r>
        <w:t xml:space="preserve">Die Verfügbarkeit muss dem Geschäftsbedarf entsprechen; geplante Wartungsfenster sind zulässig, und ein kurzzeitiger Ausfall ist über die Papier-/Übergangsprozesse abgedeckt (im Rahmen der RTO).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URS-F-052 — </w:t>
      </w:r>
      <w:r>
        <w:t xml:space="preserve">Änderungen an der produktiven QM-Pilot-</w:t>
      </w:r>
      <w:r>
        <w:rPr>
          <w:b/>
          <w:bCs/>
        </w:rPr>
        <w:t xml:space="preserve">Software</w:t>
      </w:r>
      <w:r>
        <w:t xml:space="preserve"> gelten als </w:t>
      </w:r>
      <w:r>
        <w:rPr>
          <w:b/>
          <w:bCs/>
        </w:rPr>
        <w:t xml:space="preserve">Versionsänderung</w:t>
      </w:r>
      <w:r>
        <w:t xml:space="preserve"> und werden über einen eigenen, dokumentierten Software-Versionierungs- und Freigabeprozess gesteuert: Jede neue Version wird im Git-Repository nachvollziehbar erfasst, vor dem Produktiveinsatz geprüft/validiert und als freigegebene Version eingefroren („gelockt").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URS-F-053 — </w:t>
      </w:r>
      <w:r>
        <w:t xml:space="preserve">Die QM-Change-Control (SOP-01-003) betrifft ausschließlich die Pharmazeutika-internen QM-/Betriebsprozesse und ist von den Software-Versionsänderungen getrennt; beide Prozesse werden nicht vermischt.</w:t>
      </w:r>
    </w:p>
    <w:p>
      <w:pPr>
        <w:pStyle w:val="Heading2"/>
      </w:pPr>
      <w:r>
        <w:t xml:space="preserve">4.7  Datenschutz (DSGVO)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URS-F-054 — </w:t>
      </w:r>
      <w:r>
        <w:t xml:space="preserve">Das System muss personenbezogene Daten (Mitarbeiter-Logins, Schulungs- und Erledigungsnachweise) DSGVO-konform verarbeiten; mit dem Hoster muss ein Auftragsverarbeitungsvertrag bestehen.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URS-F-055 — </w:t>
      </w:r>
      <w:r>
        <w:t xml:space="preserve">Das System darf </w:t>
      </w:r>
      <w:r>
        <w:rPr>
          <w:b/>
          <w:bCs/>
        </w:rPr>
        <w:t xml:space="preserve">keine Patientendaten</w:t>
      </w:r>
      <w:r>
        <w:t xml:space="preserve"> verarbeiten oder speichern.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URS-F-056 — </w:t>
      </w:r>
      <w:r>
        <w:t xml:space="preserve">Der Zugriff auf personenbezogene Daten muss dem Rollen- und Rechtemodell folgen (Prinzip der minimalen Rechte) und auf das erforderliche Maß beschränkt sein.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URS-F-057 — </w:t>
      </w:r>
      <w:r>
        <w:t xml:space="preserve">Das System muss eine Auskunft über die zu einer Person gespeicherten Daten ermöglichen (Betroffenenrechte) und eine Löschung personenbezogener Daten unterstützen — soweit dem keine gesetzliche Aufbewahrungspflicht entgegensteht (Vorrang der GxP-/handelsrechtlichen Fristen).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URS-F-058 — </w:t>
      </w:r>
      <w:r>
        <w:t xml:space="preserve">Personenbezogene Daten müssen vor unbefugtem Zugriff geschützt sein (Zugriffsschutz, Verschlüsselung gemäß 4.4/4.6); Zugriffe darauf sind im Audit-Trail nachvollziehbar.</w:t>
      </w:r>
    </w:p>
    <w:p>
      <w:pPr>
        <w:pStyle w:val="Heading2"/>
      </w:pPr>
      <w:r>
        <w:t xml:space="preserve">4.8  Änderungswunsch-Kanal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URS-F-067 — </w:t>
      </w:r>
      <w:r>
        <w:t xml:space="preserve">QM-Pilot muss einen Kanal bieten, über den Nutzer Änderungs-/Funktionswünsche erfassen können (Titel, Beschreibung, Datum, einreichende Person). Jeder Wunsch ist eindeutig der Person zuordenbar und wird im Audit-Trail festgehalten.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URS-F-068 — </w:t>
      </w:r>
      <w:r>
        <w:t xml:space="preserve">Eine berechtigte Rolle (Entwickler-/Administrationsseite) muss die Wünsche einsehen, mit einem Status versehen (z. B. neu, in Prüfung, geplant, umgesetzt, abgelehnt) und triagieren können. Der Kanal ist ein </w:t>
      </w:r>
      <w:r>
        <w:rPr>
          <w:b/>
          <w:bCs/>
        </w:rPr>
        <w:t xml:space="preserve">Software-Feature-Wunsch-Kanal</w:t>
      </w:r>
      <w:r>
        <w:t xml:space="preserve"> und ausdrücklich getrennt von QM-Change-Control (SOP-01-003) und QM-Abweichung (SOP-01-004).</w:t>
      </w:r>
    </w:p>
    <w:p>
      <w:pPr>
        <w:pStyle w:val="Heading1"/>
      </w:pPr>
      <w:r>
        <w:t xml:space="preserve">5  Nicht-funktionale Anforderungen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URS-F-059 — </w:t>
      </w:r>
      <w:r>
        <w:t xml:space="preserve">Benutzerfreundlichkeit: Die Oberfläche muss intuitiv und für die tägliche Nutzung angenehm sein; sie folgt der gestalterischen Grundlinie mit Orientierung an pharmazeutika.net und ist über alle Module einheitlich.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URS-F-060 — </w:t>
      </w:r>
      <w:r>
        <w:t xml:space="preserve">Niederschwelligkeit: Für Nutzer mit geringen Deutschkenntnissen (insb. Reinigungskraft) muss eine stark vereinfachte, möglichst sprachunabhängige Bedienung (Symbole, wenige Schritte) möglich sein.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URS-F-061 — </w:t>
      </w:r>
      <w:r>
        <w:t xml:space="preserve">Sprache: Die Bedienoberfläche ist deutsch (Führungssprache); einfache mehrsprachige bzw. symbolbasierte Elemente für niederschwellige Nutzer sind zulässig.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URS-F-062 — </w:t>
      </w:r>
      <w:r>
        <w:t xml:space="preserve">Performance: Übliche Aktionen müssen unter normaler Last innerhalb weniger Sekunden reagieren.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URS-F-063 — </w:t>
      </w:r>
      <w:r>
        <w:t xml:space="preserve">Verfügbarkeit: Die Verfügbarkeit richtet sich am Geschäftsbedarf und an der RTO aus; geplante Wartungsfenster sind zulässig.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URS-F-064 — </w:t>
      </w:r>
      <w:r>
        <w:t xml:space="preserve">Wartbarkeit / Wissensbruch-Vorsorge: Der Code muss dokumentiert, im Git-Repository versioniert und so gestaltet sein, dass ein Standby-Entwickler ihn übernehmen kann; technische Entscheidungen müssen für die Geschäftsleitung nachvollziehbar erklärt sein.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URS-F-065 — </w:t>
      </w:r>
      <w:r>
        <w:t xml:space="preserve">Datenintegrität: Das System muss die Datenintegrität nach ALCOA+ durchgängig gewährleisten (vgl. 4.3, 4.4).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URS-F-066 — </w:t>
      </w:r>
      <w:r>
        <w:t xml:space="preserve">Produktfähigkeit / Konfigurationstrennung: Firmenspezifische Konfiguration (z. B. Logo, Rollenbezeichnungen, Stammdaten) muss vom generischen Code getrennt gehalten werden; Pharmazeutika-Spezifika werden nicht fest verdrahtet, damit eine spätere Mehrmandanten-/Produktnutzung offenbleibt.</w:t>
      </w:r>
    </w:p>
    <w:p>
      <w:pPr>
        <w:pStyle w:val="Heading1"/>
      </w:pPr>
      <w:r>
        <w:t xml:space="preserve">6  Regulatorischer Bezug</w:t>
      </w:r>
    </w:p>
    <w:p>
      <w:pPr>
        <w:pStyle w:val="Heading2"/>
      </w:pPr>
      <w:r>
        <w:t xml:space="preserve">6.1  GAMP-5-Einordnung</w:t>
      </w:r>
    </w:p>
    <w:p>
      <w:pPr>
        <w:spacing w:after="120" w:line="276"/>
      </w:pPr>
      <w:r>
        <w:t xml:space="preserve">Das QM-Pilot wird als individuell entwickelte Software voraussichtlich der GAMP-5-Kategorie 5 zugeordnet (höchste Validierungsstufe). Stufe 0 wird vollständig validiert, bevor Stufe 1 beginnt.</w:t>
      </w:r>
    </w:p>
    <w:p>
      <w:pPr>
        <w:pStyle w:val="Heading2"/>
      </w:pPr>
      <w:r>
        <w:t xml:space="preserve">6.2  Abdeckung von Annex 11 / GDP</w:t>
      </w:r>
    </w:p>
    <w:p>
      <w:pPr>
        <w:spacing w:after="120" w:line="276"/>
      </w:pPr>
      <w:r>
        <w:t xml:space="preserve">Die Anforderungen dieser URS adressieren die für computergestützte Systeme zentralen Punkte aus EU-Annex 11 und der GDP-Leitlinie: Zugriffssteuerung und Rollen (4.1), Authentifizierung (4.2), Audit-Trail (4.3), Datenintegrität und revisionssichere Aufbewahrung (4.3/4.4), Datensicherung und Wiederherstellung (4.5) sowie Betrieb und Sicherheit (4.6).</w:t>
      </w:r>
    </w:p>
    <w:p>
      <w:pPr>
        <w:pStyle w:val="Heading2"/>
      </w:pPr>
      <w:r>
        <w:t xml:space="preserve">6.3  Validierung nach gesetzlichen Vorgaben</w:t>
      </w:r>
    </w:p>
    <w:p>
      <w:pPr>
        <w:spacing w:after="120" w:line="276"/>
      </w:pPr>
      <w:r>
        <w:t xml:space="preserve">Die Validierung des QM-Pilot richtet sich nach den geltenden </w:t>
      </w:r>
      <w:r>
        <w:rPr>
          <w:b/>
          <w:bCs/>
        </w:rPr>
        <w:t xml:space="preserve">gesetzlichen und regulatorischen Vorgaben</w:t>
      </w:r>
      <w:r>
        <w:t xml:space="preserve"> — AMG, AMHandelsV, GDP-Leitlinie 2013/C 343/01 (die die Validierung computergestützter Systeme verlangt), EU-Annex 11 (sinngemäß) und DSGVO — und </w:t>
      </w:r>
      <w:r>
        <w:rPr>
          <w:b/>
          <w:bCs/>
        </w:rPr>
        <w:t xml:space="preserve">nicht</w:t>
      </w:r>
      <w:r>
        <w:t xml:space="preserve"> nach den internen SOPs der Pharmazeutika 73.3. GAMP 5 und ALCOA+ dienen als anerkannte Methodik bzw. Stand der Technik, um diese Vorgaben nachweisbar zu erfüllen. Aus dieser URS werden Funktional-/Design-Spezifikation, Risikoanalyse und die Testskripte (IQ/OQ/PQ) abgeleitet; den Abschluss bildet ein Validierungsbericht.</w:t>
      </w:r>
    </w:p>
    <w:p>
      <w:pPr>
        <w:pStyle w:val="Heading2"/>
      </w:pPr>
      <w:r>
        <w:t xml:space="preserve">6.4  Datenintegrität</w:t>
      </w:r>
    </w:p>
    <w:p>
      <w:pPr>
        <w:spacing w:after="120" w:line="276"/>
      </w:pPr>
      <w:r>
        <w:t xml:space="preserve">Die durchgängige Datenintegrität richtet sich nach den gesetzlichen Anforderungen und dem ALCOA+-Prinzip.</w:t>
      </w:r>
    </w:p>
    <w:p>
      <w:pPr>
        <w:pStyle w:val="Heading1"/>
      </w:pPr>
      <w:r>
        <w:t xml:space="preserve">7  Annahmen &amp; Einschränkungen</w:t>
      </w:r>
    </w:p>
    <w:p>
      <w:pPr>
        <w:pStyle w:val="Heading2"/>
      </w:pPr>
      <w:r>
        <w:t xml:space="preserve">7.1  Annahmen</w:t>
      </w:r>
    </w:p>
    <w:p>
      <w:pPr>
        <w:spacing w:after="120" w:line="276"/>
      </w:pPr>
      <w:r>
        <w:t xml:space="preserve">Microsoft 365 ist betrieblich im Einsatz und stellt Login und 2-Faktor für interne Nutzer bereit. Vorhandene Hardware (Drucker, ein Tablet/Gerät für den niederschwelligen Zugang) ist nutzbar. Die in Schritt 2 getroffenen Grundsatzentscheidungen (Django, PostgreSQL, Hetzner, selbst betriebenes Git, Backup-Ziele) sind gesetzt. Vor dem ersten Produktiveinsatz wird ein Standby-Entwickler benannt. Es wird von den derzeit geltenden gesetzlichen Vorgaben ausgegangen.</w:t>
      </w:r>
    </w:p>
    <w:p>
      <w:pPr>
        <w:pStyle w:val="Heading2"/>
      </w:pPr>
      <w:r>
        <w:t xml:space="preserve">7.2  Einschränkungen</w:t>
      </w:r>
    </w:p>
    <w:p>
      <w:pPr>
        <w:spacing w:after="120" w:line="276"/>
      </w:pPr>
      <w:r>
        <w:t xml:space="preserve">Stufe 0 liefert kein Fachmodul für Endanwender, sondern ausschließlich das Fundament; ein sichtbarer Alltagsnutzen entsteht erst ab Stufe 1. Die genaue Methode des niederschwelligen Logins und die konkrete Hetzner-Server-Größe werden erst in der Funktional-/Design-Spezifikation festgelegt. Konten für externe Auditoren werden anlassbezogen und befristet vergeben. Ändern sich die gesetzlichen Vorgaben, sind die betroffenen Anforderungen erneut zu prüfen.</w:t>
      </w:r>
    </w:p>
    <w:p>
      <w:pPr>
        <w:pStyle w:val="Heading1"/>
      </w:pPr>
      <w:r>
        <w:t xml:space="preserve">8  Anforderungs-Nachverfolgung</w:t>
      </w:r>
    </w:p>
    <w:p>
      <w:pPr>
        <w:pStyle w:val="Heading2"/>
      </w:pPr>
      <w:r>
        <w:t xml:space="preserve">8.1  Prinzip</w:t>
      </w:r>
    </w:p>
    <w:p>
      <w:pPr>
        <w:spacing w:after="120" w:line="276"/>
      </w:pPr>
      <w:r>
        <w:t xml:space="preserve">Jede Anforderung trägt eine eindeutige Kennung (URS-F-NNN). Diese Kennung wird durchgängig weitergeführt: in die Funktional-/Design-Spezifikation, in die Risikoanalyse und in die Testskripte (IQ/OQ/PQ). Eine Nachverfolgbarkeits-Matrix verknüpft jede Anforderung mit ihrem Umsetzungs-Element und mit dem zugehörigen Testfall, sodass lückenlos belegbar ist, dass jede Anforderung umgesetzt und geprüft wurde.</w:t>
      </w:r>
    </w:p>
    <w:p>
      <w:pPr>
        <w:pStyle w:val="Heading2"/>
      </w:pPr>
      <w:r>
        <w:t xml:space="preserve">8.2  Umfang dieser URS</w:t>
      </w:r>
    </w:p>
    <w:p>
      <w:pPr>
        <w:spacing w:after="120" w:line="276"/>
      </w:pPr>
      <w:r>
        <w:t xml:space="preserve">Diese URS umfasst 68 Anforderungen (URS-F-001 bis URS-F-068), verteilt auf: Benutzer/Rollen/Rechte (F-001–009), Authentifizierung (F-010–018), Audit-Trail (F-019–027), Archivierung (F-028–034), Backup/Wiederherstellung (F-035–043), Hosting/Betrieb/Sicherheit (F-044–053), Datenschutz (F-054–058), nicht-funktionale Anforderungen (F-059–066) sowie Änderungswunsch-Kanal (F-067–068).</w:t>
      </w:r>
    </w:p>
    <w:p>
      <w:pPr>
        <w:pStyle w:val="Heading2"/>
      </w:pPr>
      <w:r>
        <w:t xml:space="preserve">8.3  Pflege</w:t>
      </w:r>
    </w:p>
    <w:p>
      <w:pPr>
        <w:spacing w:after="120" w:line="276"/>
      </w:pPr>
      <w:r>
        <w:t xml:space="preserve">Die Traceability-Matrix wird als eigenes Dokument geführt und mit den Validierungsschritten fortgeschrieben.</w:t>
      </w:r>
    </w:p>
    <w:p>
      <w:pPr>
        <w:pStyle w:val="Heading1"/>
      </w:pPr>
      <w:r>
        <w:t xml:space="preserve">9  Abnahme &amp; Versionskontrolle</w:t>
      </w:r>
    </w:p>
    <w:p>
      <w:pPr>
        <w:pStyle w:val="Heading2"/>
      </w:pPr>
      <w:r>
        <w:t xml:space="preserve">9.1  Freigabe der URS</w:t>
      </w:r>
    </w:p>
    <w:p>
      <w:pPr>
        <w:spacing w:after="120" w:line="276"/>
      </w:pPr>
      <w:r>
        <w:t xml:space="preserve">Mit ihrer Unterschrift bestätigen die Verantwortlichen, dass diese URS die Anforderungen an das Fundament (Stufe 0) vollständig und zutreffend beschreibt und die Grundlage für die nachfolgende Funktional-/Design-Spezifikation und die Validierung bildet.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926"/>
        <w:gridCol w:w="11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Unterschrift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Freigegeben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29.06.2026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Abschnitte 1–9, URS-F-001 bis URS-F-066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0.2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29.06.2026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Name „QM-Pilot" übernommen; Abschnitt 4.8 Änderungswunsch-Kanal (URS-F-067/068) ergänzt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0.3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Unterschriften auf Software-/Produkt-Governance umgestellt (QM-Pilot ist kein Bestandteil des QMS); Benennung vereinheitlicht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 Geltung</w:t>
      </w:r>
    </w:p>
    <w:p>
      <w:pPr>
        <w:spacing w:after="120" w:line="276"/>
      </w:pPr>
      <w:r>
        <w:t xml:space="preserve">Die URS ist ein lebendes Dokument. Änderungen nach der ersten Freigabe erfolgen nachvollziehbar über eine neue Version mit Eintrag in der Versionstabelle.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URS QM-Pilot · Stufe 0 — Pharmazeutika 73.3 GmbH</w:t>
    </w:r>
    <w:r>
      <w:rPr>
        <w:color w:val="666666"/>
        <w:sz w:val="16"/>
        <w:szCs w:val="16"/>
      </w:rPr>
      <w:t xml:space="preserve">	Version 0.3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2026-06-30T17:14:38.455Z</dcterms:created>
  <dcterms:modified xsi:type="dcterms:W3CDTF">2026-06-30T17:14:38.458Z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