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sz w:val="48"/>
          <w:szCs w:val="48"/>
        </w:rPr>
        <w:t xml:space="preserve">Technische Grundsatzentscheidungen</w:t>
      </w:r>
    </w:p>
    <w:p>
      <w:pPr>
        <w:spacing w:before="120"/>
        <w:jc w:val="center"/>
      </w:pPr>
      <w:r>
        <w:rPr>
          <w:sz w:val="28"/>
          <w:szCs w:val="28"/>
        </w:rPr>
        <w:t xml:space="preserve">QM-Pilot-Eigenentwicklung — Schritt 2</w:t>
      </w:r>
    </w:p>
    <w:p>
      <w:pPr>
        <w:spacing w:before="48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0.2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Jochen Schulze (GL/RP) gemeinsam mit Claude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</w:t>
      </w:r>
    </w:p>
    <w:p>
      <w:pPr>
        <w:spacing w:after="120" w:line="276"/>
      </w:pPr>
      <w:r>
        <w:t xml:space="preserve">Dieses Dokument hält die in Schritt 2 getroffenen technischen Grundsatzentscheidungen für die QM-Pilot-Eigenentwicklung fest. Es ergänzt das Vision Document (v0.1) und bildet die Grundlage für Stufe 0 (Fundament). Diese Entscheidungen sind später nur mit erheblichem Aufwand zu ändern; Änderungen erfolgen über die Versionskontrolle dieses Dokuments.</w:t>
      </w:r>
    </w:p>
    <w:p>
      <w:pPr>
        <w:pStyle w:val="Heading1"/>
      </w:pPr>
      <w:r>
        <w:t xml:space="preserve">2  Überblick der Entscheidungen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426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Thema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Festlegung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Kernbegründung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Technologie-Stack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Django (Python)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Formularlastiges QM-Profil, eingebautes Rechte-/Formular-/Admin-System, wenige Bausteine → wartbar und überblickbar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Datenbank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PostgreSQL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Transaktionssicher (Audit-Trail/ALCOA+), ausgereift, Open Source, ideale Django-Integration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Authentifizierung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M365-SSO + separater Einfach-Login + Auditor-Lesekonten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Nutzt vorhandenes M365 inkl. 2-Faktor; niederschwelliger, personenbezogener Zugang für Externe; befristeter Lesezugriff für Audits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Hetzner Cloud (DE)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Deutscher Anbieter, AV-Vertrag + ISO 27001, gutes Preis-Leistungs-Verhältnis, weit verbreitet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Repository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Git, selbst betrieben in DE (Forgejo/Gitea auf Hetzner)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Code bleibt in DE und in eigener Hand, geringe Kosten, lückenlose Änderungshistorie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Backup &amp; Recovery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Tägl. Voll- + mehrmals tägl. DB-Backup; RPO ≤ 24 h, RTO ≤ 1 Arbeitstag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Kleiner möglicher Datenverlust bei prüfrelevanten Daten; angemessen, da Papier-Rückfallebene besteht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  Entscheidungen im Einzelnen</w:t>
      </w:r>
    </w:p>
    <w:p>
      <w:pPr>
        <w:pStyle w:val="Heading2"/>
      </w:pPr>
      <w:r>
        <w:t xml:space="preserve">3.1  Technologie-Stack: Django (Python)</w:t>
      </w:r>
    </w:p>
    <w:p>
      <w:pPr>
        <w:spacing w:after="120" w:line="276"/>
      </w:pPr>
      <w:r>
        <w:t xml:space="preserve">Gewählt, weil das QM-Pilot überwiegend Formular-, Listen- und Freigabe-Arbeit ist — Djangos Stärke. Das eingebaute Verwaltungs-Backend liefert bereits in Stufe 0 eine nutzbare Oberfläche; Benutzer-/Rechteverwaltung und Formularhandling sind vorhanden. Wenige bewegliche Teile und eine Sprache (Python) erleichtern Dokumentation, Wartung und die Übernahme durch einen Standby-Entwickler. Next.js (TypeScript/React) wurde verworfen: mehr getrennte Bausteine und höherer Pflegeaufwand ohne Mehrwert für dieses Profil. Beide Optionen wären GAMP-5-validierbar; Django reduziert die Validierungs-Komplexität.</w:t>
      </w:r>
    </w:p>
    <w:p>
      <w:pPr>
        <w:pStyle w:val="Heading2"/>
      </w:pPr>
      <w:r>
        <w:t xml:space="preserve">3.2  Datenbank: PostgreSQL</w:t>
      </w:r>
    </w:p>
    <w:p>
      <w:pPr>
        <w:spacing w:after="120" w:line="276"/>
      </w:pPr>
      <w:r>
        <w:t xml:space="preserve">Robuste, transaktionssichere Open-Source-Standarddatenbank. Transaktionssicherheit ist die Grundlage für einen verlässlichen Audit-Trail und ALCOA+. Ausgereift, verbreitet und damit gut wartbar; ideale Integration mit Django; keine Lizenzkosten.</w:t>
      </w:r>
    </w:p>
    <w:p>
      <w:pPr>
        <w:pStyle w:val="Heading2"/>
      </w:pPr>
      <w:r>
        <w:t xml:space="preserve">3.3  Authentifizierung / Login</w:t>
      </w:r>
    </w:p>
    <w:p>
      <w:pPr>
        <w:spacing w:after="120" w:line="276"/>
      </w:pPr>
      <w:r>
        <w:t xml:space="preserve">Zweigeteilter Ansatz. </w:t>
      </w:r>
      <w:r>
        <w:rPr>
          <w:b/>
          <w:bCs/>
        </w:rPr>
        <w:t xml:space="preserve">Interne Mitarbeitende</w:t>
      </w:r>
      <w:r>
        <w:t xml:space="preserve"> (GL, RP, QMB, Lager, Backoffice) melden sich über </w:t>
      </w:r>
      <w:r>
        <w:rPr>
          <w:b/>
          <w:bCs/>
        </w:rPr>
        <w:t xml:space="preserve">Microsoft 365</w:t>
      </w:r>
      <w:r>
        <w:t xml:space="preserve"> an (Single Sign-on, Entra ID). Die 2-Faktor-Sicherheit von M365 gilt automatisch; beim Ausscheiden wird der Zugang zentral entzogen; die heikle Anmeldesicherheit muss nicht selbst entwickelt werden. </w:t>
      </w:r>
      <w:r>
        <w:rPr>
          <w:b/>
          <w:bCs/>
        </w:rPr>
        <w:t xml:space="preserve">Externe ohne M365-Konto</w:t>
      </w:r>
      <w:r>
        <w:t xml:space="preserve"> (v. a. Reinigungskraft, Firma Haase) erhalten einen separaten, bewusst einfachen, aber </w:t>
      </w:r>
      <w:r>
        <w:rPr>
          <w:b/>
          <w:bCs/>
        </w:rPr>
        <w:t xml:space="preserve">persönlichen</w:t>
      </w:r>
      <w:r>
        <w:t xml:space="preserve"> Login (PIN / Badge / QR — Methode später in der Modul-URS), beschränkt auf ihre Aufgaben und eindeutig zuordenbar (ALCOA+: attributable). </w:t>
      </w:r>
      <w:r>
        <w:rPr>
          <w:b/>
          <w:bCs/>
        </w:rPr>
        <w:t xml:space="preserve">Externe Auditoren</w:t>
      </w:r>
      <w:r>
        <w:t xml:space="preserve"> erhalten bei Bedarf ein befristetes, rein lesendes QM-Pilot-Konto. Die elektronische Unterschrift (4-Augen-Freigabe) erfolgt als bewusster, erneut bestätigter Unterschrifts-Schritt je Modul (Anforderung Annex 11).</w:t>
      </w:r>
    </w:p>
    <w:p>
      <w:pPr>
        <w:pStyle w:val="Heading2"/>
      </w:pPr>
      <w:r>
        <w:t xml:space="preserve">3.4  Hosting: Hetzner Cloud</w:t>
      </w:r>
    </w:p>
    <w:p>
      <w:pPr>
        <w:spacing w:after="120" w:line="276"/>
      </w:pPr>
      <w:r>
        <w:t xml:space="preserve">Deutscher Anbieter mit Rechenzentren in Deutschland, AV-Vertrag und ISO-27001-Zertifizierung — passend zu DSGVO und Datenstandort. Sehr gutes Preis-Leistungs-Verhältnis und weite Verbreitung (gut für die Wissensbruch-Vorsorge). Technisch ideal für Django/PostgreSQL. Die konkrete Server-Größe wird später festgelegt.</w:t>
      </w:r>
    </w:p>
    <w:p>
      <w:pPr>
        <w:pStyle w:val="Heading2"/>
      </w:pPr>
      <w:r>
        <w:t xml:space="preserve">3.5  Repository / Versionierung</w:t>
      </w:r>
    </w:p>
    <w:p>
      <w:pPr>
        <w:spacing w:after="120" w:line="276"/>
      </w:pPr>
      <w:r>
        <w:t xml:space="preserve">Der Quellcode liegt in einem selbst betriebenen Git-Repository auf der deutschen Hetzner-Infrastruktur (schlanke, etablierte Software wie Forgejo/Gitea). Der Code bleibt vollständig in Deutschland und in eigener Hand, bei geringen Kosten und mit lückenloser Änderungshistorie (auch ein Validierungs-Nachweis). Ein kleiner eigener Wartungsanteil wird durch die schlanke Software gering gehalten. GitLab.com (US-gehostet) wurde zugunsten der durchgängigen DE/EU-Linie verworfen.</w:t>
      </w:r>
    </w:p>
    <w:p>
      <w:pPr>
        <w:pStyle w:val="Heading2"/>
      </w:pPr>
      <w:r>
        <w:t xml:space="preserve">3.6  Backup &amp; Wiederherstellung</w:t>
      </w:r>
    </w:p>
    <w:p>
      <w:pPr>
        <w:spacing w:after="120" w:line="276"/>
      </w:pPr>
      <w:r>
        <w:t xml:space="preserve">Tägliches Voll-Backup, zusätzlich mehrmals täglich eine Sicherung der Datenbank; alle Backups verschlüsselt und an einem zweiten Standort (georedundant) gespeichert. Aufbewahrung gestaffelt: täglich 30 Tage, wöchentlich 3 Monate. Wiederherstellungsziele: </w:t>
      </w:r>
      <w:r>
        <w:rPr>
          <w:b/>
          <w:bCs/>
        </w:rPr>
        <w:t xml:space="preserve">RPO maximal 24 Stunden</w:t>
      </w:r>
      <w:r>
        <w:t xml:space="preserve"> (durch die DB-Sicherungen real eher wenige Stunden) und </w:t>
      </w:r>
      <w:r>
        <w:rPr>
          <w:b/>
          <w:bCs/>
        </w:rPr>
        <w:t xml:space="preserve">RTO innerhalb eines Arbeitstags</w:t>
      </w:r>
      <w:r>
        <w:t xml:space="preserve"> — angemessen, da das QM-Pilot nicht sekundenkritisch ist und Papier-/Übergangsprozesse als Rückfallebene bestehen. Eine dokumentierte Wiederherstellungs-Übung erfolgt mindestens einmal jährlich (im Routineplan).</w:t>
      </w:r>
    </w:p>
    <w:p>
      <w:pPr>
        <w:pStyle w:val="Heading1"/>
      </w:pPr>
      <w:r>
        <w:t xml:space="preserve">4  Noch offene Detailpunkte</w:t>
      </w:r>
    </w:p>
    <w:p>
      <w:pPr>
        <w:spacing w:after="120" w:line="276"/>
      </w:pPr>
      <w:r>
        <w:t xml:space="preserve">Bewusst noch nicht festgelegt, da auf Modul-/Umsetzungsebene zu entscheiden: die konkrete Hetzner-Server-Größe; die genaue Methode des niederschwelligen Logins (PIN / Badge / QR); die genauen Wiederherstellungs-Abläufe. Diese werden in der jeweiligen Modul-URS bzw. zu Beginn von Stufe 0 fixiert.</w:t>
      </w:r>
    </w:p>
    <w:p>
      <w:pPr>
        <w:pStyle w:val="Heading1"/>
      </w:pPr>
      <w:r>
        <w:t xml:space="preserve">5  Abnahme &amp;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26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Unterschrift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Freigegeben — Produktverantwortlicher / Geschäftsleitung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 — Standby-Entwickler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26"/>
        <w:gridCol w:w="30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29.06.2026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Erstfassung, Entscheidungen 1–6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0.2 (Entwurf)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Benennung auf „QM-Pilot" vereinheitlicht; Unterschriften auf Software-/Produkt-Governance umgestellt (QM-Pilot ist kein Bestandteil des QMS)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Technische Grundsatzentscheidungen — Pharmazeutika 73.3 GmbH</w:t>
    </w:r>
    <w:r>
      <w:rPr>
        <w:color w:val="666666"/>
        <w:sz w:val="16"/>
        <w:szCs w:val="16"/>
      </w:rPr>
      <w:t xml:space="preserve">	Version 0.2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2026-06-30T17:15:28.060Z</dcterms:created>
  <dcterms:modified xsi:type="dcterms:W3CDTF">2026-06-30T17:15:28.061Z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