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</w:rPr>
        <w:t>问题四_代码说明</w:t>
      </w:r>
    </w:p>
    <w:p>
      <w:pPr>
        <w:pStyle w:val="Heading2"/>
      </w:pPr>
      <w:r>
        <w:rPr>
          <w:rFonts w:ascii="Times New Roman" w:hAnsi="Times New Roman" w:eastAsia="黑体"/>
        </w:rPr>
        <w:t>算的是什么</w:t>
      </w:r>
    </w:p>
    <w:p>
      <w:r>
        <w:t>本程序解决题目第四问：当外部电网的实时电价本身也是波动的、且只能预测而不能提前知道时，重新计算第二问与第三问的购电策略。电价属于事前不可知的信息，只有在该时段真正到来之后才能作为实际交易价格使用。</w:t>
      </w:r>
    </w:p>
    <w:p>
      <w:pPr>
        <w:pStyle w:val="Heading2"/>
      </w:pPr>
      <w:r>
        <w:rPr>
          <w:rFonts w:ascii="Times New Roman" w:hAnsi="Times New Roman" w:eastAsia="黑体"/>
        </w:rPr>
        <w:t>按什么思路实现</w:t>
      </w:r>
    </w:p>
    <w:p>
      <w:r>
        <w:t>电价预测沿用与负荷、光伏一致的思路：同周期回溯给出基础预测，再用历史同时段误差做偏差校正。负荷误差、光伏误差与电价误差从同一个历史误差日联合抽取，以保留三者之间的相关性；电价情景不做非负截断（真实市场允许负电价）。对应第二问的那份只在零时做一次预测与优化；对应第三问的那份在六时、十二时、十八时用已实现的价格刷新价格预测并重新优化，刷新只作用于当天尚未执行的时段，未来日仍按零时版本处理。两个口径的最终费用一律用附件给出的真实电价重新结算，紧急购电按真实电价的 5 倍计价。</w:t>
      </w:r>
    </w:p>
    <w:p>
      <w:pPr>
        <w:pStyle w:val="Heading2"/>
      </w:pPr>
      <w:r>
        <w:rPr>
          <w:rFonts w:ascii="Times New Roman" w:hAnsi="Times New Roman" w:eastAsia="黑体"/>
        </w:rPr>
        <w:t>得到什么结果</w:t>
      </w:r>
    </w:p>
    <w:p>
      <w:r>
        <w:t>报送窗口内，对应第二问的波动电价购电总费用为 16320514.83 元；对应第三问的部分在引入日内价格预测更新后降为 15225713.07 元，降幅 1094801.76 元。</w:t>
      </w:r>
    </w:p>
    <w:p>
      <w:r>
        <w:t>作为对照，若假设未来真实电价提前已知，费用可降至 16253521.47 元，与实际 16320514.83 元之差即电价不确定性的代价。</w:t>
      </w:r>
    </w:p>
    <w:p>
      <w:r>
        <w:t>若完全不建模电价风险、只按中心价格预测优化，费用为 16298488.17 元，比含价格情景的 16320514.83 元低 22026.66 元（0.14%）。</w:t>
      </w:r>
    </w:p>
    <w:p>
      <w:r>
        <w:t>在引入日内价格更新后该差异收窄为 29441.58 元（15196271.49 元 对 15225713.07 元）。</w:t>
      </w:r>
    </w:p>
    <w:p>
      <w:r>
        <w:t>两处消融都指向同一结论：在本数据上，电价随机情景并未降低实现费用——中心预测已足够准，按情景对冲反而略偏保守。随机建模的价值在于对价格波动的稳健性（情景可覆盖负电价等极端情形），而不是降低这一条实测价格路径上的费用。</w:t>
      </w:r>
    </w:p>
    <w:p>
      <w:r>
        <w:t>程序同时给出电价预测的平均绝对误差与均方根误差，并报告日内峰价时刻与谷价时刻的预测偏差——储能调度真正关心的是"什么时候贵、什么时候便宜"，而不只是平均误差。</w:t>
      </w:r>
    </w:p>
    <w:sectPr w:rsidR="00FC693F" w:rsidRPr="0006063C" w:rsidSect="00034616">
      <w:pgSz w:w="12240" w:h="15840"/>
      <w:pgMar w:top="1440" w:right="1474" w:bottom="144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