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http://mathhelpplanet.com/static.php?p=operatsii-nad-mnozhestvami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345"/>
      </w:tblGrid>
      <w:tr>
        <w:trPr/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jc w:val="both"/>
              <w:rPr>
                <w:bCs/>
                <w:lang w:val="uk-UA"/>
              </w:rPr>
            </w:pPr>
            <w:r>
              <w:rPr>
                <w:b/>
                <w:lang w:val="uk-UA"/>
              </w:rPr>
              <w:t>Завдання 1</w:t>
            </w:r>
            <w:r>
              <w:rPr>
                <w:lang w:val="uk-UA"/>
              </w:rPr>
              <w:t xml:space="preserve">. </w:t>
            </w:r>
            <w:r>
              <w:rPr>
                <w:bCs/>
                <w:lang w:val="uk-UA"/>
              </w:rPr>
              <w:t>Довести тотожності теорії множин за допомогою алгебраїчних перетворень.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900" w:leader="none"/>
              </w:tabs>
              <w:jc w:val="both"/>
              <w:rPr>
                <w:i/>
                <w:i/>
                <w:lang w:val="uk-UA"/>
              </w:rPr>
            </w:pPr>
            <w:r>
              <w:rPr>
                <w:i/>
              </w:rPr>
              <w:t xml:space="preserve">        </w:t>
            </w:r>
            <w:r>
              <w:rPr>
                <w:i/>
                <w:lang w:val="uk-UA"/>
              </w:rPr>
              <w:t>A</w:t>
            </w:r>
            <w:r>
              <w:rPr>
                <w:rFonts w:eastAsia="Symbol" w:cs="Symbol" w:ascii="Symbol" w:hAnsi="Symbol"/>
                <w:lang w:val="uk-UA"/>
              </w:rPr>
              <w:t></w:t>
            </w:r>
            <w:r>
              <w:rPr>
                <w:lang w:val="uk-UA"/>
              </w:rPr>
              <w:t>((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∪</m:t>
                  </m: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</m:e>
              </m:bar>
            </m:oMath>
            <w:r>
              <w:rPr>
                <w:lang w:val="uk-UA"/>
              </w:rPr>
              <w:t>)</w:t>
            </w:r>
            <w:r>
              <w:rPr>
                <w:rFonts w:eastAsia="Symbol" w:cs="Symbol" w:ascii="Symbol" w:hAnsi="Symbol"/>
                <w:lang w:val="uk-UA"/>
              </w:rPr>
              <w:t></w:t>
            </w:r>
            <w:r>
              <w:rPr>
                <w:lang w:val="uk-UA"/>
              </w:rPr>
              <w:t>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∪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bar>
            </m:oMath>
            <w:r>
              <w:rPr>
                <w:lang w:val="uk-UA"/>
              </w:rPr>
              <w:t>))</w:t>
            </w:r>
            <w:r>
              <w:rPr>
                <w:rFonts w:eastAsia="Symbol" w:cs="Symbol" w:ascii="Symbol" w:hAnsi="Symbol"/>
                <w:lang w:val="uk-UA"/>
              </w:rPr>
              <w:t></w:t>
            </w:r>
            <w:r>
              <w:rPr>
                <w:lang w:val="uk-UA"/>
              </w:rPr>
              <w:t>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∪</m:t>
                  </m: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</m:e>
              </m:bar>
            </m:oMath>
            <w:r>
              <w:rPr>
                <w:lang w:val="uk-UA"/>
              </w:rPr>
              <w:t xml:space="preserve">) = </w:t>
            </w:r>
            <w:r>
              <w:rPr>
                <w:i/>
                <w:lang w:val="uk-UA"/>
              </w:rPr>
              <w:t>A</w:t>
            </w:r>
          </w:p>
          <w:p>
            <w:pPr>
              <w:pStyle w:val="ListParagraph"/>
              <w:widowControl w:val="false"/>
              <w:tabs>
                <w:tab w:val="clear" w:pos="708"/>
                <w:tab w:val="left" w:pos="900" w:leader="none"/>
              </w:tabs>
              <w:ind w:left="1080" w:hanging="0"/>
              <w:jc w:val="center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7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both"/>
              <w:rPr>
                <w:i/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∩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</m:bar>
                        <m:r>
                          <w:rPr>
                            <w:rFonts w:ascii="Cambria Math" w:hAnsi="Cambria Math"/>
                          </w:rPr>
                          <m:t xml:space="preserve">∩</m:t>
                        </m:r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∪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∩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</m:e>
                        </m:ba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5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∩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∩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</w:rPr>
            </w:pPr>
            <w:r>
              <w:rPr>
                <w:i/>
                <w:lang w:val="uk-UA"/>
              </w:rPr>
              <w:t>форму</w:t>
            </w:r>
            <w:r>
              <w:rPr>
                <w:i/>
              </w:rPr>
              <w:t>ы 14 и 16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∅</m:t>
                </m:r>
                <m:r>
                  <w:rPr>
                    <w:rFonts w:ascii="Cambria Math" w:hAnsi="Cambria Math"/>
                  </w:rPr>
                  <m:t xml:space="preserve">∪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∩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∪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9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5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∩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∪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</w:rPr>
            </w:pPr>
            <w:r>
              <w:rPr>
                <w:i/>
                <w:lang w:val="uk-UA"/>
              </w:rPr>
              <w:t>формула 13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∩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11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</m:oMath>
            </m:oMathPara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both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ind w:left="720" w:hanging="0"/>
              <w:jc w:val="both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120" w:after="120"/>
              <w:contextualSpacing/>
              <w:jc w:val="both"/>
              <w:rPr>
                <w:lang w:val="uk-UA"/>
              </w:rPr>
            </w:pPr>
            <w:r>
              <w:rPr>
                <w:lang w:val="en-US"/>
              </w:rPr>
              <w:t xml:space="preserve"> </w:t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uk-UA"/>
              </w:rPr>
            </w:pPr>
            <w:r>
              <w:rPr>
                <w:lang w:val="uk-UA"/>
              </w:rPr>
              <w:t>(</w:t>
            </w:r>
            <w:r>
              <w:rPr>
                <w:i/>
                <w:lang w:val="uk-UA"/>
              </w:rPr>
              <w:t>B</w:t>
            </w:r>
            <w:r>
              <w:rPr>
                <w:lang w:val="uk-UA"/>
              </w:rPr>
              <w:t>\</w:t>
            </w:r>
            <w:r>
              <w:rPr>
                <w:i/>
                <w:lang w:val="uk-UA"/>
              </w:rPr>
              <w:t>A</w:t>
            </w:r>
            <w:r>
              <w:rPr>
                <w:lang w:val="uk-UA"/>
              </w:rPr>
              <w:t>) </w:t>
            </w:r>
            <w:r>
              <w:rPr>
                <w:rFonts w:eastAsia="Symbol" w:cs="Symbol" w:ascii="Symbol" w:hAnsi="Symbol"/>
                <w:lang w:val="uk-UA"/>
              </w:rPr>
              <w:t></w:t>
            </w:r>
            <w:r>
              <w:rPr>
                <w:lang w:val="uk-UA"/>
              </w:rPr>
              <w:t> (</w:t>
            </w:r>
            <w:r>
              <w:rPr>
                <w:i/>
                <w:lang w:val="uk-UA"/>
              </w:rPr>
              <w:t>B</w:t>
            </w:r>
            <w:r>
              <w:rPr>
                <w:i/>
                <w:lang w:val="en-US"/>
              </w:rPr>
              <w:t> </w:t>
            </w:r>
            <w:r>
              <w:rPr>
                <w:rFonts w:eastAsia="Symbol" w:cs="Symbol" w:ascii="Symbol" w:hAnsi="Symbol"/>
                <w:lang w:val="en-US"/>
              </w:rPr>
              <w:t></w:t>
            </w:r>
            <w:r>
              <w:rPr>
                <w:lang w:val="uk-UA"/>
              </w:rPr>
              <w:t xml:space="preserve"> (</w:t>
            </w:r>
            <w:r>
              <w:rPr>
                <w:i/>
                <w:lang w:val="uk-UA"/>
              </w:rPr>
              <w:t>B</w:t>
            </w:r>
            <w:r>
              <w:rPr>
                <w:rFonts w:eastAsia="Symbol" w:cs="Symbol" w:ascii="Symbol" w:hAnsi="Symbol"/>
                <w:lang w:val="en-US"/>
              </w:rPr>
              <w:t></w:t>
            </w:r>
            <w:r>
              <w:rPr>
                <w:i/>
                <w:lang w:val="uk-UA"/>
              </w:rPr>
              <w:t>A</w:t>
            </w:r>
            <w:r>
              <w:rPr>
                <w:lang w:val="uk-UA"/>
              </w:rPr>
              <w:t xml:space="preserve">)) = </w:t>
            </w:r>
            <w:r>
              <w:rPr>
                <w:i/>
                <w:lang w:val="uk-UA"/>
              </w:rPr>
              <w:t>A</w:t>
            </w:r>
            <w:r>
              <w:rPr>
                <w:rFonts w:eastAsia="Symbol" w:cs="Symbol" w:ascii="Symbol" w:hAnsi="Symbol"/>
                <w:lang w:val="uk-UA"/>
              </w:rPr>
              <w:t></w:t>
            </w:r>
            <w:r>
              <w:rPr>
                <w:i/>
                <w:lang w:val="uk-UA"/>
              </w:rPr>
              <w:t>B</w:t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20</w:t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  <m:r>
                          <w:rPr>
                            <w:rFonts w:ascii="Cambria Math" w:hAnsi="Cambria Math"/>
                          </w:rPr>
                          <m:t xml:space="preserve">∆</m:t>
                        </m:r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∆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∅</m:t>
                    </m:r>
                    <m:r>
                      <w:rPr>
                        <w:rFonts w:ascii="Cambria Math" w:hAnsi="Cambria Math"/>
                      </w:rPr>
                      <m:t xml:space="preserve">∆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r>
                  <w:rPr>
                    <w:rFonts w:ascii="Cambria Math" w:hAnsi="Cambria Math"/>
                  </w:rPr>
                  <m:t xml:space="preserve">A</m:t>
                </m:r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18</w:t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  <m:r>
                      <w:rPr>
                        <w:rFonts w:ascii="Cambria Math" w:hAnsi="Cambria Math"/>
                      </w:rPr>
                      <m:t xml:space="preserve">∩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∪</m:t>
                </m:r>
                <m:r>
                  <w:rPr>
                    <w:rFonts w:ascii="Cambria Math" w:hAnsi="Cambria Math"/>
                  </w:rPr>
                  <m:t xml:space="preserve">A</m:t>
                </m:r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формула 6</w:t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  <m:r>
                      <w:rPr>
                        <w:rFonts w:ascii="Cambria Math" w:hAnsi="Cambria Math"/>
                      </w:rPr>
                      <m:t xml:space="preserve">∪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∩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∪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en-US"/>
              </w:rPr>
            </w:pPr>
            <w:r>
              <w:rPr>
                <w:i/>
                <w:lang w:val="uk-UA"/>
              </w:rPr>
              <w:t>формула</w:t>
            </w:r>
            <w:r>
              <w:rPr>
                <w:i/>
                <w:lang w:val="en-US"/>
              </w:rPr>
              <w:t>13</w:t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  <m:r>
                      <w:rPr>
                        <w:rFonts w:ascii="Cambria Math" w:hAnsi="Cambria Math"/>
                      </w:rPr>
                      <m:t xml:space="preserve">∪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∩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en-US"/>
              </w:rPr>
            </w:pPr>
            <w:r>
              <w:rPr>
                <w:i/>
                <w:lang w:val="uk-UA"/>
              </w:rPr>
              <w:t>формула</w:t>
            </w:r>
            <w:r>
              <w:rPr>
                <w:i/>
                <w:lang w:val="en-US"/>
              </w:rPr>
              <w:t xml:space="preserve"> 11</w:t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∪</m:t>
                </m:r>
                <m:r>
                  <w:rPr>
                    <w:rFonts w:ascii="Cambria Math" w:hAnsi="Cambria Math"/>
                  </w:rPr>
                  <m:t xml:space="preserve">A</m:t>
                </m:r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i/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ListParagraph"/>
              <w:widowControl w:val="false"/>
              <w:spacing w:before="120" w:after="120"/>
              <w:ind w:left="108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345"/>
      </w:tblGrid>
      <w:tr>
        <w:trPr/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lang w:val="uk-UA"/>
              </w:rPr>
              <w:t>Завдання 2</w:t>
            </w:r>
            <w:r>
              <w:rPr>
                <w:lang w:val="uk-UA"/>
              </w:rPr>
              <w:t xml:space="preserve">. </w:t>
            </w:r>
            <w:r>
              <w:rPr>
                <w:bCs/>
                <w:lang w:val="uk-UA"/>
              </w:rPr>
              <w:t>Довести тотожність теорії множин модельним шляхом</w:t>
            </w:r>
            <w:r>
              <w:rPr>
                <w:lang w:val="uk-UA"/>
              </w:rPr>
              <w:t>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pt-BR"/>
              </w:rPr>
            </w:pPr>
            <w:r>
              <w:rPr>
                <w:lang w:val="pt-BR"/>
              </w:rPr>
              <w:t>(((</w:t>
            </w:r>
            <w:r>
              <w:rPr>
                <w:i/>
                <w:lang w:val="pt-BR"/>
              </w:rPr>
              <w:t>A</w:t>
            </w:r>
            <w:r>
              <w:rPr>
                <w:rFonts w:eastAsia="Symbol" w:cs="Symbol" w:ascii="Symbol" w:hAnsi="Symbol"/>
                <w:lang w:val="en-US"/>
              </w:rPr>
              <w:t>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bar>
            </m:oMath>
            <w:r>
              <w:rPr>
                <w:lang w:val="pt-BR"/>
              </w:rPr>
              <w:t>)</w:t>
            </w:r>
            <w:r>
              <w:rPr>
                <w:rFonts w:eastAsia="Symbol" w:cs="Symbol" w:ascii="Symbol" w:hAnsi="Symbol"/>
              </w:rPr>
              <w:t></w:t>
            </w:r>
            <w:r>
              <w:rPr>
                <w:i/>
                <w:lang w:val="pt-BR"/>
              </w:rPr>
              <w:t>B</w:t>
            </w:r>
            <w:r>
              <w:rPr>
                <w:lang w:val="pt-BR"/>
              </w:rPr>
              <w:t xml:space="preserve">) </w:t>
            </w:r>
            <w:r>
              <w:rPr>
                <w:rFonts w:eastAsia="Symbol" w:cs="Symbol" w:ascii="Symbol" w:hAnsi="Symbol"/>
              </w:rPr>
              <w:t></w:t>
            </w:r>
            <w:r>
              <w:rPr>
                <w:lang w:val="pt-BR"/>
              </w:rPr>
              <w:t> (</w:t>
            </w:r>
            <w:r>
              <w:rPr>
                <w:i/>
                <w:lang w:val="pt-BR"/>
              </w:rPr>
              <w:t>C</w:t>
            </w:r>
            <w:r>
              <w:rPr>
                <w:lang w:val="pt-BR"/>
              </w:rPr>
              <w:t>\</w:t>
            </w:r>
            <w:r>
              <w:rPr>
                <w:i/>
                <w:lang w:val="pt-BR"/>
              </w:rPr>
              <w:t>D</w:t>
            </w:r>
            <w:r>
              <w:rPr>
                <w:lang w:val="pt-BR"/>
              </w:rPr>
              <w:t xml:space="preserve">)) </w:t>
            </w:r>
            <w:r>
              <w:rPr>
                <w:rFonts w:eastAsia="Symbol" w:cs="Symbol" w:ascii="Symbol" w:hAnsi="Symbol"/>
              </w:rPr>
              <w:t></w:t>
            </w:r>
            <w:r>
              <w:rPr>
                <w:lang w:val="pt-BR"/>
              </w:rPr>
              <w:t> (</w:t>
            </w:r>
            <w:r>
              <w:rPr>
                <w:i/>
                <w:lang w:val="pt-BR"/>
              </w:rPr>
              <w:t>A</w:t>
            </w:r>
            <w:r>
              <w:rPr>
                <w:rFonts w:eastAsia="Symbol" w:cs="Symbol" w:ascii="Symbol" w:hAnsi="Symbol"/>
              </w:rPr>
              <w:t></w:t>
            </w:r>
            <w:r>
              <w:rPr>
                <w:lang w:val="pt-BR"/>
              </w:rPr>
              <w:t xml:space="preserve">( </w:t>
            </w:r>
            <w:r>
              <w:rPr>
                <w:i/>
                <w:lang w:val="pt-BR"/>
              </w:rPr>
              <w:t>C</w:t>
            </w:r>
            <w:r>
              <w:rPr>
                <w:rFonts w:eastAsia="Symbol" w:cs="Symbol" w:ascii="Symbol" w:hAnsi="Symbol"/>
                <w:lang w:val="en-US"/>
              </w:rPr>
              <w:t></w:t>
            </w:r>
            <w:r>
              <w:rPr>
                <w:i/>
                <w:lang w:val="pt-BR"/>
              </w:rPr>
              <w:t>D</w:t>
            </w:r>
            <w:r>
              <w:rPr>
                <w:lang w:val="pt-BR"/>
              </w:rPr>
              <w:t>)) = ((</w:t>
            </w:r>
            <w:r>
              <w:rPr>
                <w:i/>
                <w:lang w:val="pt-BR"/>
              </w:rPr>
              <w:t>A</w:t>
            </w:r>
            <w:r>
              <w:rPr>
                <w:rFonts w:eastAsia="Symbol" w:cs="Symbol" w:ascii="Symbol" w:hAnsi="Symbol"/>
              </w:rPr>
              <w:t></w:t>
            </w:r>
            <w:r>
              <w:rPr>
                <w:i/>
                <w:lang w:val="pt-BR"/>
              </w:rPr>
              <w:t>B</w:t>
            </w:r>
            <w:r>
              <w:rPr>
                <w:lang w:val="pt-BR"/>
              </w:rPr>
              <w:t xml:space="preserve">) </w:t>
            </w:r>
            <w:r>
              <w:rPr>
                <w:rFonts w:eastAsia="Symbol" w:cs="Symbol" w:ascii="Symbol" w:hAnsi="Symbol"/>
              </w:rPr>
              <w:t></w:t>
            </w:r>
            <w:r>
              <w:rPr>
                <w:lang w:val="pt-BR"/>
              </w:rPr>
              <w:t xml:space="preserve"> (</w:t>
            </w:r>
            <w:r>
              <w:rPr>
                <w:i/>
                <w:lang w:val="pt-BR"/>
              </w:rPr>
              <w:t>C</w:t>
            </w:r>
            <w:r>
              <w:rPr>
                <w:lang w:val="pt-BR"/>
              </w:rPr>
              <w:t>\</w:t>
            </w:r>
            <w:r>
              <w:rPr>
                <w:i/>
                <w:lang w:val="pt-BR"/>
              </w:rPr>
              <w:t>D</w:t>
            </w:r>
            <w:r>
              <w:rPr>
                <w:lang w:val="pt-BR"/>
              </w:rPr>
              <w:t>))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lang w:val="uk-UA"/>
              </w:rPr>
            </w:pPr>
            <w:hyperlink r:id="rId2">
              <w:r>
                <w:rPr>
                  <w:i/>
                  <w:lang w:val="uk-UA"/>
                </w:rPr>
                <w:t>http://spectorsky.ho.ua/files/rasch.pdf</w:t>
              </w:r>
            </w:hyperlink>
            <w:r>
              <w:rPr>
                <w:i/>
                <w:lang w:val="uk-UA"/>
              </w:rPr>
              <w:t xml:space="preserve">  (стр 10) - пример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первая часть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pt-B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∈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;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∈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pt-B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∈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∈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pt-B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∈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∈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pt-B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так</m:t>
                </m:r>
                <m:r>
                  <w:rPr>
                    <w:rFonts w:ascii="Cambria Math" w:hAnsi="Cambria Math"/>
                  </w:rPr>
                  <m:t xml:space="preserve">как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B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∈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ba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 xml:space="preserve"> </w:t>
            </w:r>
            <w:r>
              <w:rPr>
                <w:lang w:val="uk-UA"/>
              </w:rPr>
              <w:t>вторая часть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∈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∈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</m:oMath>
            <w:r>
              <w:rPr>
                <w:lang w:val="pt-BR"/>
              </w:rPr>
              <w:t xml:space="preserve">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∈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bar>
            </m:oMath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pt-BR"/>
              </w:rPr>
            </w:pPr>
            <w:r>
              <w:rPr>
                <w:lang w:val="pt-BR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1=2, что требовалось доказать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lang w:val="uk-UA"/>
              </w:rPr>
              <w:t>Завдання 3</w:t>
            </w:r>
            <w:r>
              <w:rPr>
                <w:lang w:val="uk-UA"/>
              </w:rPr>
              <w:t>. Для бінарного відношення визначити які властивості воно має. Додатково для скінченного відношення побудувати матрицю відношення та граф (якщо відношення є відношенням порядку – побудувати діаграму Гассе). Для відношення еквівалентності знайти класи еквівалентності. Для відношення порядку знайти найменші/найбільші, мінімальні/максимальні елементи.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Відношення визначено на множині цілих чисел</w:t>
            </w:r>
            <w:r>
              <w:rPr/>
              <w:t xml:space="preserve"> </w:t>
            </w:r>
            <w:r>
              <w:rPr>
                <w:i/>
                <w:lang w:val="en-US"/>
              </w:rPr>
              <w:t>Z</w:t>
            </w:r>
            <w:r>
              <w:rPr>
                <w:lang w:val="uk-UA"/>
              </w:rPr>
              <w:t>:</w:t>
            </w:r>
            <w:r>
              <w:rPr/>
              <w:t xml:space="preserve"> </w:t>
            </w:r>
            <w:r>
              <w:rPr>
                <w:i/>
                <w:lang w:val="en-US"/>
              </w:rPr>
              <w:t>xPy</w:t>
            </w:r>
            <w:r>
              <w:rPr/>
              <w:t xml:space="preserve"> </w:t>
            </w:r>
            <w:r>
              <w:rPr>
                <w:rFonts w:eastAsia="Symbol" w:cs="Symbol" w:ascii="Symbol" w:hAnsi="Symbol"/>
                <w:lang w:val="en-US"/>
              </w:rPr>
              <w:t></w:t>
            </w:r>
            <w:r>
              <w:rPr/>
              <w:t xml:space="preserve"> (</w:t>
            </w: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3</w:t>
            </w:r>
            <w:r>
              <w:rPr>
                <w:lang w:val="en-US"/>
              </w:rPr>
              <w:t> </w:t>
            </w:r>
            <w:r>
              <w:rPr>
                <w:lang w:val="uk-UA"/>
              </w:rPr>
              <w:t>–</w:t>
            </w:r>
            <w:r>
              <w:rPr>
                <w:lang w:val="en-US"/>
              </w:rPr>
              <w:t> </w:t>
            </w:r>
            <w:r>
              <w:rPr>
                <w:i/>
                <w:lang w:val="en-US"/>
              </w:rPr>
              <w:t>y</w:t>
            </w:r>
            <w:r>
              <w:rPr>
                <w:vertAlign w:val="superscript"/>
              </w:rPr>
              <w:t>3</w:t>
            </w:r>
            <w:r>
              <w:rPr/>
              <w:t>)</w:t>
            </w:r>
            <w:r>
              <w:rPr>
                <w:lang w:val="uk-UA"/>
              </w:rPr>
              <w:t xml:space="preserve"> ділиться на</w:t>
            </w:r>
            <w:r>
              <w:rPr/>
              <w:t xml:space="preserve"> 3</w:t>
            </w:r>
            <w:r>
              <w:rPr>
                <w:lang w:val="uk-UA"/>
              </w:rPr>
              <w:t xml:space="preserve"> без остачі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sz w:val="28"/>
                <w:szCs w:val="28"/>
                <w:lang w:val="uk-UA"/>
              </w:rPr>
            </w:pPr>
            <w:hyperlink r:id="rId3">
              <w:r>
                <w:rPr>
                  <w:sz w:val="28"/>
                  <w:szCs w:val="28"/>
                  <w:lang w:val="uk-UA"/>
                </w:rPr>
                <w:t>http://spectorsky.ho.ua/files/rasch.pdf</w:t>
              </w:r>
            </w:hyperlink>
            <w:r>
              <w:rPr>
                <w:sz w:val="28"/>
                <w:szCs w:val="28"/>
                <w:lang w:val="uk-UA"/>
              </w:rPr>
              <w:t xml:space="preserve">  стр 19</w:t>
            </w:r>
          </w:p>
          <w:p>
            <w:pPr>
              <w:pStyle w:val="Normal"/>
              <w:widowControl w:val="false"/>
              <w:spacing w:before="120" w:after="1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>
                <w:sz w:val="28"/>
                <w:szCs w:val="28"/>
                <w:lang w:val="uk-UA"/>
              </w:rPr>
              <w:t xml:space="preserve">Рефлексивно </w:t>
            </w:r>
            <w:r>
              <w:rPr>
                <w:i/>
                <w:lang w:val="en-US"/>
              </w:rPr>
              <w:t>xPx</w:t>
            </w:r>
            <w:r>
              <w:rPr/>
              <w:t xml:space="preserve"> </w:t>
            </w:r>
            <w:r>
              <w:rPr>
                <w:rFonts w:eastAsia="Symbol" w:cs="Symbol" w:ascii="Symbol" w:hAnsi="Symbol"/>
                <w:lang w:val="en-US"/>
              </w:rPr>
              <w:t></w:t>
            </w:r>
            <w:r>
              <w:rPr/>
              <w:t xml:space="preserve"> (</w:t>
            </w: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3</w:t>
            </w:r>
            <w:r>
              <w:rPr>
                <w:lang w:val="en-US"/>
              </w:rPr>
              <w:t> </w:t>
            </w:r>
            <w:r>
              <w:rPr>
                <w:lang w:val="uk-UA"/>
              </w:rPr>
              <w:t>–</w:t>
            </w:r>
            <w:r>
              <w:rPr>
                <w:lang w:val="en-US"/>
              </w:rPr>
              <w:t> </w:t>
            </w:r>
            <w:r>
              <w:rPr>
                <w:i/>
                <w:lang w:val="en-US"/>
              </w:rPr>
              <w:t>x</w:t>
            </w:r>
            <w:r>
              <w:rPr>
                <w:vertAlign w:val="superscript"/>
              </w:rPr>
              <w:t>3</w:t>
            </w:r>
            <w:r>
              <w:rPr/>
              <w:t xml:space="preserve">)=0, </w:t>
            </w:r>
            <w:r>
              <w:rPr>
                <w:lang w:val="uk-UA"/>
              </w:rPr>
              <w:t>ділиться на</w:t>
            </w:r>
            <w:r>
              <w:rPr/>
              <w:t xml:space="preserve"> 3</w:t>
            </w:r>
            <w:r>
              <w:rPr>
                <w:lang w:val="uk-UA"/>
              </w:rPr>
              <w:t xml:space="preserve"> без остачі</w:t>
            </w:r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lang w:val="en-US"/>
              </w:rPr>
            </w:pPr>
            <w:r>
              <w:rPr>
                <w:lang w:val="uk-UA"/>
              </w:rPr>
              <w:t xml:space="preserve">Симметрично - </w:t>
            </w:r>
            <w:r>
              <w:rPr>
                <w:i/>
                <w:lang w:val="en-US"/>
              </w:rPr>
              <w:t>xPy</w:t>
            </w:r>
            <w:r>
              <w:rPr/>
              <w:t xml:space="preserve"> </w:t>
            </w:r>
            <w:r>
              <w:rPr>
                <w:rFonts w:eastAsia="Symbol" w:cs="Symbol" w:ascii="Symbol" w:hAnsi="Symbol"/>
                <w:lang w:val="en-US"/>
              </w:rPr>
              <w:t></w:t>
            </w:r>
            <w:r>
              <w:rPr>
                <w:i/>
                <w:lang w:val="en-US"/>
              </w:rPr>
              <w:t xml:space="preserve"> yPx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Якщо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то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також</m:t>
                </m:r>
                <m:r>
                  <w:rPr>
                    <w:rFonts w:ascii="Cambria Math" w:hAnsi="Cambria Math"/>
                  </w:rPr>
                  <m:t xml:space="preserve">ділиться</m:t>
                </m:r>
                <m:r>
                  <w:rPr>
                    <w:rFonts w:ascii="Cambria Math" w:hAnsi="Cambria Math"/>
                  </w:rPr>
                  <m:t xml:space="preserve">на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lang w:val="en-US"/>
              </w:rPr>
            </w:pPr>
            <w:r>
              <w:rPr>
                <w:i/>
                <w:lang w:val="uk-UA"/>
              </w:rPr>
              <w:t>Транзитивно</w:t>
            </w:r>
            <w:r>
              <w:rPr>
                <w:i/>
                <w:lang w:val="en-US"/>
              </w:rPr>
              <w:t xml:space="preserve">   xPy</w:t>
            </w:r>
            <w:r>
              <w:rPr>
                <w:i/>
                <w:lang w:val="uk-UA"/>
              </w:rPr>
              <w:t xml:space="preserve"> </w:t>
            </w:r>
            <w:r>
              <w:rPr>
                <w:rFonts w:eastAsia="Symbol" w:cs="Symbol" w:ascii="Symbol" w:hAnsi="Symbol"/>
                <w:i/>
                <w:lang w:val="uk-UA"/>
              </w:rPr>
              <w:t></w:t>
            </w:r>
            <w:r>
              <w:rPr/>
              <w:t xml:space="preserve"> </w:t>
            </w:r>
            <w:r>
              <w:rPr>
                <w:i/>
                <w:lang w:val="en-US"/>
              </w:rPr>
              <w:t>yPz</w:t>
            </w:r>
            <w:r>
              <w:rPr>
                <w:lang w:val="en-US"/>
              </w:rPr>
              <w:t xml:space="preserve"> </w:t>
            </w:r>
            <w:r>
              <w:rPr>
                <w:rFonts w:eastAsia="Symbol" w:cs="Symbol" w:ascii="Symbol" w:hAnsi="Symbol"/>
                <w:lang w:val="en-US"/>
              </w:rPr>
              <w:t></w:t>
            </w:r>
            <w:r>
              <w:rPr>
                <w:i/>
                <w:lang w:val="en-US"/>
              </w:rPr>
              <w:t xml:space="preserve"> xPz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Якщо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та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m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>додамо ці два вирази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m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також</m:t>
                </m:r>
                <m:r>
                  <w:rPr>
                    <w:rFonts w:ascii="Cambria Math" w:hAnsi="Cambria Math"/>
                  </w:rPr>
                  <m:t xml:space="preserve">ділиться</m:t>
                </m:r>
                <m:r>
                  <w:rPr>
                    <w:rFonts w:ascii="Cambria Math" w:hAnsi="Cambria Math"/>
                  </w:rPr>
                  <m:t xml:space="preserve">на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</w:rPr>
            </w:pPr>
            <w:r>
              <w:rPr/>
              <w:t>Отношение на некотором множестве, которое одновременно рефлексивно, симметрично и транзитивно, называют отношением эквивалентности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{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}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{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}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{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}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</w:rPr>
            </w:pPr>
            <w:r>
              <w:rPr>
                <w:i/>
                <w:lang w:val="uk-UA"/>
              </w:rPr>
              <w:t>В загальному вигляді</w:t>
            </w:r>
            <w:r>
              <w:rPr>
                <w:rFonts w:ascii="Cambria Math" w:hAnsi="Cambria Math"/>
              </w:rPr>
              <w:br/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α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{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d>
              <m:r>
                <w:rPr>
                  <w:rFonts w:ascii="Cambria Math" w:hAnsi="Cambria Math"/>
                </w:rPr>
                <m:t xml:space="preserve">: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}</m:t>
              </m:r>
            </m:oMath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m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k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m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27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k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9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9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9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k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ділиться</m:t>
                </m:r>
                <m:r>
                  <w:rPr>
                    <w:rFonts w:ascii="Cambria Math" w:hAnsi="Cambria Math"/>
                  </w:rPr>
                  <m:t xml:space="preserve">на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a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lang w:val="uk-UA"/>
              </w:rPr>
              <w:t>Завдання 4</w:t>
            </w:r>
            <w:r>
              <w:rPr>
                <w:lang w:val="uk-UA"/>
              </w:rPr>
              <w:t xml:space="preserve">. Перевірити чи є відображення 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iCs/>
                <w:lang w:val="uk-UA"/>
              </w:rPr>
              <w:t xml:space="preserve"> та</w:t>
            </w:r>
            <w:r>
              <w:rPr>
                <w:i/>
                <w:iCs/>
                <w:lang w:val="uk-UA"/>
              </w:rPr>
              <w:t xml:space="preserve"> </w:t>
            </w:r>
            <w:r>
              <w:rPr>
                <w:i/>
                <w:iCs/>
                <w:lang w:val="en-US"/>
              </w:rPr>
              <w:t>g</w:t>
            </w:r>
            <w:r>
              <w:rPr>
                <w:iCs/>
                <w:lang w:val="uk-UA"/>
              </w:rPr>
              <w:t xml:space="preserve"> функціональними, </w:t>
            </w:r>
            <w:r>
              <w:rPr>
                <w:lang w:val="uk-UA"/>
              </w:rPr>
              <w:t xml:space="preserve">ін’єктивними, сюр’єктивними, бієктивними. Побудувати композицію відображень </w:t>
            </w:r>
            <w:r>
              <w:rPr>
                <w:i/>
                <w:iCs/>
                <w:lang w:val="en-US"/>
              </w:rPr>
              <w:t>g</w:t>
            </w:r>
            <w:r>
              <w:rPr>
                <w:i/>
                <w:iCs/>
                <w:lang w:val="uk-UA"/>
              </w:rPr>
              <w:t>◦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lang w:val="uk-UA"/>
              </w:rPr>
              <w:t xml:space="preserve"> та 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i/>
                <w:iCs/>
                <w:lang w:val="uk-UA"/>
              </w:rPr>
              <w:t>◦</w:t>
            </w:r>
            <w:r>
              <w:rPr>
                <w:i/>
                <w:iCs/>
                <w:lang w:val="en-US"/>
              </w:rPr>
              <w:t>g</w:t>
            </w:r>
            <w:r>
              <w:rPr>
                <w:lang w:val="uk-UA"/>
              </w:rPr>
              <w:t xml:space="preserve">; перевірити, чи є результати композицій ін’єктивними, сюр’єктивними, бієктивними. Знайти обернені відображення 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i/>
                <w:iCs/>
                <w:vertAlign w:val="superscript"/>
                <w:lang w:val="en-US"/>
              </w:rPr>
              <w:t> </w:t>
            </w:r>
            <w:r>
              <w:rPr>
                <w:vertAlign w:val="superscript"/>
                <w:lang w:val="uk-UA"/>
              </w:rPr>
              <w:t>–1</w:t>
            </w:r>
            <w:r>
              <w:rPr>
                <w:i/>
                <w:iCs/>
                <w:lang w:val="uk-UA"/>
              </w:rPr>
              <w:t xml:space="preserve">, </w:t>
            </w:r>
            <w:r>
              <w:rPr>
                <w:i/>
                <w:iCs/>
                <w:lang w:val="en-US"/>
              </w:rPr>
              <w:t>g</w:t>
            </w:r>
            <w:r>
              <w:rPr>
                <w:i/>
                <w:iCs/>
                <w:vertAlign w:val="superscript"/>
                <w:lang w:val="en-US"/>
              </w:rPr>
              <w:t> </w:t>
            </w:r>
            <w:r>
              <w:rPr>
                <w:i/>
                <w:iCs/>
                <w:vertAlign w:val="superscript"/>
                <w:lang w:val="uk-UA"/>
              </w:rPr>
              <w:t>–</w:t>
            </w:r>
            <w:r>
              <w:rPr>
                <w:vertAlign w:val="superscript"/>
                <w:lang w:val="uk-UA"/>
              </w:rPr>
              <w:t>1</w:t>
            </w:r>
            <w:r>
              <w:rPr>
                <w:lang w:val="uk-UA"/>
              </w:rPr>
              <w:t>; перевірити, чи є вони функціональними, ін’єктивними, сюр’єктивними, бієктивними.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vertAlign w:val="superscript"/>
                <w:lang w:val="uk-UA"/>
              </w:rPr>
            </w:pPr>
            <w:r>
              <w:rPr>
                <w:i/>
                <w:iCs/>
                <w:lang w:val="pt-BR"/>
              </w:rPr>
              <w:t>f</w:t>
            </w:r>
            <w:r>
              <w:rPr>
                <w:lang w:val="pt-BR"/>
              </w:rPr>
              <w:t xml:space="preserve">: </w:t>
            </w:r>
            <w:r>
              <w:rPr>
                <w:i/>
                <w:lang w:val="pt-BR"/>
              </w:rPr>
              <w:t>R</w:t>
            </w:r>
            <w:r>
              <w:rPr>
                <w:rFonts w:eastAsia="Symbol" w:cs="Symbol" w:ascii="Symbol" w:hAnsi="Symbol"/>
                <w:lang w:val="en-US"/>
              </w:rPr>
              <w:t></w:t>
            </w:r>
            <w:r>
              <w:rPr>
                <w:i/>
                <w:lang w:val="pt-BR"/>
              </w:rPr>
              <w:t>R</w:t>
            </w:r>
            <w:r>
              <w:rPr>
                <w:vertAlign w:val="superscript"/>
                <w:lang w:val="pt-BR"/>
              </w:rPr>
              <w:t>+</w:t>
            </w:r>
            <w:r>
              <w:rPr>
                <w:lang w:val="pt-BR"/>
              </w:rPr>
              <w:t xml:space="preserve">, </w:t>
            </w:r>
            <w:r>
              <w:rPr>
                <w:i/>
                <w:lang w:val="pt-BR"/>
              </w:rPr>
              <w:t>y</w:t>
            </w:r>
            <w:r>
              <w:rPr>
                <w:lang w:val="pt-BR"/>
              </w:rPr>
              <w:t xml:space="preserve"> = |</w:t>
            </w:r>
            <w:r>
              <w:rPr>
                <w:i/>
                <w:lang w:val="pt-BR"/>
              </w:rPr>
              <w:t>x</w:t>
            </w:r>
            <w:r>
              <w:rPr>
                <w:lang w:val="pt-BR"/>
              </w:rPr>
              <w:t>|</w:t>
            </w:r>
            <w:r>
              <w:rPr>
                <w:vertAlign w:val="superscript"/>
                <w:lang w:val="pt-BR"/>
              </w:rPr>
              <w:t xml:space="preserve">2 </w:t>
            </w:r>
            <w:r>
              <w:rPr>
                <w:lang w:val="pt-BR"/>
              </w:rPr>
              <w:t>+ 2|</w:t>
            </w:r>
            <w:r>
              <w:rPr>
                <w:i/>
                <w:lang w:val="pt-BR"/>
              </w:rPr>
              <w:t>x</w:t>
            </w:r>
            <w:r>
              <w:rPr>
                <w:lang w:val="pt-BR"/>
              </w:rPr>
              <w:t xml:space="preserve">| + 1, </w:t>
            </w:r>
            <w:r>
              <w:rPr>
                <w:i/>
                <w:iCs/>
                <w:lang w:val="pt-BR"/>
              </w:rPr>
              <w:t>g</w:t>
            </w:r>
            <w:r>
              <w:rPr>
                <w:lang w:val="pt-BR"/>
              </w:rPr>
              <w:t xml:space="preserve">: </w:t>
            </w:r>
            <w:r>
              <w:rPr>
                <w:i/>
                <w:lang w:val="pt-BR"/>
              </w:rPr>
              <w:t>R</w:t>
            </w:r>
            <w:r>
              <w:rPr>
                <w:rFonts w:eastAsia="Symbol" w:cs="Symbol" w:ascii="Symbol" w:hAnsi="Symbol"/>
                <w:lang w:val="en-US"/>
              </w:rPr>
              <w:t></w:t>
            </w:r>
            <w:r>
              <w:rPr>
                <w:i/>
                <w:lang w:val="pt-BR"/>
              </w:rPr>
              <w:t>R</w:t>
            </w:r>
            <w:r>
              <w:rPr>
                <w:lang w:val="pt-BR"/>
              </w:rPr>
              <w:t xml:space="preserve">, </w:t>
            </w:r>
            <w:r>
              <w:rPr>
                <w:i/>
                <w:lang w:val="pt-BR"/>
              </w:rPr>
              <w:t>y</w:t>
            </w:r>
            <w:r>
              <w:rPr>
                <w:lang w:val="pt-BR"/>
              </w:rPr>
              <w:t xml:space="preserve"> = </w:t>
            </w:r>
            <w:r>
              <w:rPr>
                <w:i/>
                <w:lang w:val="pt-BR"/>
              </w:rPr>
              <w:t>e</w:t>
            </w:r>
            <w:r>
              <w:rPr>
                <w:i/>
                <w:vertAlign w:val="superscript"/>
                <w:lang w:val="pt-BR"/>
              </w:rPr>
              <w:t>x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lang w:val="uk-UA"/>
              </w:rPr>
            </w:pPr>
            <w:r>
              <w:rPr>
                <w:i/>
                <w:lang w:val="en-US"/>
              </w:rPr>
              <w:t>f</w:t>
            </w:r>
            <w:r>
              <w:rPr>
                <w:i/>
                <w:lang w:val="uk-UA"/>
              </w:rPr>
              <w:t xml:space="preserve">: </w:t>
            </w:r>
            <w:r>
              <w:rPr>
                <w:i/>
                <w:lang w:val="en-US"/>
              </w:rPr>
              <w:t>y</w:t>
            </w:r>
            <w:r>
              <w:rPr>
                <w:i/>
                <w:lang w:val="uk-UA"/>
              </w:rPr>
              <w:t>=(|</w:t>
            </w:r>
            <w:r>
              <w:rPr>
                <w:i/>
                <w:lang w:val="en-US"/>
              </w:rPr>
              <w:t>x</w:t>
            </w:r>
            <w:r>
              <w:rPr>
                <w:i/>
                <w:lang w:val="uk-UA"/>
              </w:rPr>
              <w:t>|+1)</w:t>
            </w:r>
            <w:r>
              <w:rPr>
                <w:i/>
                <w:vertAlign w:val="superscript"/>
                <w:lang w:val="uk-UA"/>
              </w:rPr>
              <w:t>2</w:t>
            </w:r>
          </w:p>
          <w:p>
            <w:pPr>
              <w:pStyle w:val="Normal"/>
              <w:widowControl w:val="false"/>
              <w:spacing w:before="120" w:after="120"/>
              <w:rPr>
                <w:sz w:val="28"/>
                <w:szCs w:val="28"/>
                <w:lang w:val="uk-UA"/>
              </w:rPr>
            </w:pPr>
            <w:r>
              <w:rPr>
                <w:lang w:val="uk-UA"/>
              </w:rPr>
              <w:t xml:space="preserve">Бінарне відношення </w:t>
            </w:r>
            <w:r>
              <w:rPr>
                <w:lang w:val="en-US"/>
              </w:rPr>
              <w:t>R</w:t>
            </w:r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X</w:t>
            </w:r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Y</w:t>
            </w:r>
            <w:r>
              <w:rPr>
                <w:lang w:val="uk-UA"/>
              </w:rPr>
              <w:t xml:space="preserve"> </w:t>
            </w:r>
            <w:r>
              <w:rPr>
                <w:rFonts w:cs="Cambria Math" w:ascii="Cambria Math" w:hAnsi="Cambria Math"/>
                <w:lang w:val="uk-UA"/>
              </w:rPr>
              <w:t>⊂</w:t>
            </w:r>
            <w:r>
              <w:rPr>
                <w:lang w:val="uk-UA"/>
              </w:rPr>
              <w:t xml:space="preserve"> × називають функціональним, з </w:t>
            </w:r>
            <w:r>
              <w:rPr>
                <w:lang w:val="en-US"/>
              </w:rPr>
              <w:t>xRy</w:t>
            </w:r>
            <w:r>
              <w:rPr>
                <w:lang w:val="uk-UA"/>
              </w:rPr>
              <w:t xml:space="preserve"> та </w:t>
            </w:r>
            <w:r>
              <w:rPr>
                <w:lang w:val="en-US"/>
              </w:rPr>
              <w:t>xRz</w:t>
            </w:r>
            <w:r>
              <w:rPr>
                <w:lang w:val="uk-UA"/>
              </w:rPr>
              <w:t xml:space="preserve"> випливає, що </w:t>
            </w:r>
            <w:r>
              <w:rPr>
                <w:lang w:val="en-US"/>
              </w:rPr>
              <w:t>y</w:t>
            </w:r>
            <w:r>
              <w:rPr>
                <w:lang w:val="uk-UA"/>
              </w:rPr>
              <w:t>=</w:t>
            </w:r>
            <w:r>
              <w:rPr>
                <w:lang w:val="en-US"/>
              </w:rPr>
              <w:t>z</w:t>
            </w:r>
            <w:r>
              <w:rPr>
                <w:lang w:val="uk-UA"/>
              </w:rPr>
              <w:t xml:space="preserve">  . </w:t>
            </w:r>
            <w:r>
              <w:rPr/>
              <w:t>Отже, функціональне відношення не може містити різні упорядковані пари з однаковим першим елементом</w:t>
            </w:r>
            <w:r>
              <w:rPr>
                <w:lang w:val="uk-UA"/>
              </w:rPr>
              <w:t>.</w:t>
            </w:r>
          </w:p>
          <w:p>
            <w:pPr>
              <w:pStyle w:val="Normal"/>
              <w:widowControl w:val="false"/>
              <w:spacing w:before="120" w:after="1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Дані відношення є функціональними, бо кожному </w:t>
            </w:r>
            <w:r>
              <w:rPr>
                <w:i/>
                <w:sz w:val="28"/>
                <w:szCs w:val="28"/>
                <w:lang w:val="uk-UA"/>
              </w:rPr>
              <w:t>х</w:t>
            </w:r>
            <w:r>
              <w:rPr>
                <w:sz w:val="28"/>
                <w:szCs w:val="28"/>
                <w:lang w:val="uk-UA"/>
              </w:rPr>
              <w:t xml:space="preserve"> відповідає один конкретний </w:t>
            </w:r>
            <w:r>
              <w:rPr>
                <w:i/>
                <w:sz w:val="28"/>
                <w:szCs w:val="28"/>
                <w:lang w:val="uk-UA"/>
              </w:rPr>
              <w:t>у</w:t>
            </w:r>
            <w:r>
              <w:rPr>
                <w:sz w:val="28"/>
                <w:szCs w:val="28"/>
                <w:lang w:val="uk-UA"/>
              </w:rPr>
              <w:t>.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 xml:space="preserve">Бінарне відношення </w:t>
            </w:r>
            <w:r>
              <w:rPr/>
              <w:t>R</w:t>
            </w:r>
            <w:r>
              <w:rPr>
                <w:lang w:val="uk-UA"/>
              </w:rPr>
              <w:t xml:space="preserve"> </w:t>
            </w:r>
            <w:r>
              <w:rPr>
                <w:rFonts w:cs="Cambria Math" w:ascii="Cambria Math" w:hAnsi="Cambria Math"/>
                <w:lang w:val="uk-UA"/>
              </w:rPr>
              <w:t>⊂</w:t>
            </w:r>
            <w:r>
              <w:rPr>
                <w:lang w:val="uk-UA"/>
              </w:rPr>
              <w:t xml:space="preserve"> </w:t>
            </w:r>
            <w:r>
              <w:rPr/>
              <w:t>X</w:t>
            </w:r>
            <w:r>
              <w:rPr>
                <w:lang w:val="uk-UA"/>
              </w:rPr>
              <w:t xml:space="preserve"> × </w:t>
            </w:r>
            <w:r>
              <w:rPr/>
              <w:t>Y</w:t>
            </w:r>
            <w:r>
              <w:rPr>
                <w:lang w:val="uk-UA"/>
              </w:rPr>
              <w:t xml:space="preserve"> називають ін’єктивним (взаємно однозначним відображенням множини </w:t>
            </w:r>
            <w:r>
              <w:rPr/>
              <w:t>X</w:t>
            </w:r>
            <w:r>
              <w:rPr>
                <w:lang w:val="uk-UA"/>
              </w:rPr>
              <w:t xml:space="preserve"> у множину </w:t>
            </w:r>
            <w:r>
              <w:rPr/>
              <w:t>Y</w:t>
            </w:r>
            <w:r>
              <w:rPr>
                <w:lang w:val="uk-UA"/>
              </w:rPr>
              <w:t xml:space="preserve">), якщо з нерівності  </w:t>
            </w:r>
            <w:r>
              <w:rPr/>
              <w:t>x</w:t>
            </w:r>
            <w:r>
              <w:rPr>
                <w:lang w:val="uk-UA"/>
              </w:rPr>
              <w:t>1 ≠х2 випливає нерівність у1 ≠у2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Відношення </w:t>
            </w: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lang w:val="uk-UA"/>
              </w:rPr>
              <w:t xml:space="preserve"> не є </w:t>
            </w:r>
            <w:r>
              <w:rPr>
                <w:lang w:val="uk-UA"/>
              </w:rPr>
              <w:t xml:space="preserve">ін’єктивним, бо не винонується умова з нерівності  </w:t>
            </w:r>
            <w:r>
              <w:rPr/>
              <w:t>x</w:t>
            </w:r>
            <w:r>
              <w:rPr>
                <w:lang w:val="uk-UA"/>
              </w:rPr>
              <w:t>1 ≠х2 випливає нерівність у1 ≠у2. Наприклад</w:t>
            </w:r>
            <w:r>
              <w:rPr/>
              <w:t xml:space="preserve">: </w:t>
            </w:r>
            <w:r>
              <w:rPr>
                <w:lang w:val="en-US"/>
              </w:rPr>
              <w:t>x</w:t>
            </w:r>
            <w:r>
              <w:rPr/>
              <w:t xml:space="preserve">1=1; </w:t>
            </w:r>
            <w:r>
              <w:rPr>
                <w:lang w:val="en-US"/>
              </w:rPr>
              <w:t>x</w:t>
            </w:r>
            <w:r>
              <w:rPr/>
              <w:t>2=-1</w:t>
            </w:r>
            <w:r>
              <w:rPr>
                <w:lang w:val="uk-UA"/>
              </w:rPr>
              <w:t xml:space="preserve">, то маємо </w:t>
            </w:r>
            <w:r>
              <w:rPr>
                <w:lang w:val="en-US"/>
              </w:rPr>
              <w:t>y</w:t>
            </w:r>
            <w:r>
              <w:rPr/>
              <w:t xml:space="preserve">1=1+2+1=4, </w:t>
            </w:r>
            <w:r>
              <w:rPr>
                <w:lang w:val="en-US"/>
              </w:rPr>
              <w:t>y</w:t>
            </w:r>
            <w:r>
              <w:rPr/>
              <w:t>2=1+2+1=4</w:t>
            </w:r>
            <w:r>
              <w:rPr>
                <w:lang w:val="uk-UA"/>
              </w:rPr>
              <w:t>. Тобто різні значення Х відображаються на одне значення У.</w:t>
            </w:r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Відношення </w:t>
            </w:r>
            <w:r>
              <w:rPr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  <w:lang w:val="uk-UA"/>
              </w:rPr>
              <w:t xml:space="preserve"> є </w:t>
            </w:r>
            <w:r>
              <w:rPr>
                <w:lang w:val="uk-UA"/>
              </w:rPr>
              <w:t xml:space="preserve">ін’єктивним, бо функція </w:t>
            </w:r>
            <w:r>
              <w:rPr>
                <w:lang w:val="en-US"/>
              </w:rPr>
              <w:t>y</w:t>
            </w:r>
            <w:r>
              <w:rPr>
                <w:lang w:val="uk-UA"/>
              </w:rPr>
              <w:t>=</w:t>
            </w:r>
            <w:r>
              <w:rPr>
                <w:lang w:val="en-US"/>
              </w:rPr>
              <w:t>e</w:t>
            </w:r>
            <w:r>
              <w:rPr>
                <w:vertAlign w:val="superscript"/>
                <w:lang w:val="en-US"/>
              </w:rPr>
              <w:t>x</w:t>
            </w:r>
            <w:r>
              <w:rPr>
                <w:lang w:val="uk-UA"/>
              </w:rPr>
              <w:t xml:space="preserve"> монотонно зростає, і різні значення Х відображаються на різні значення У.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vertAlign w:val="superscript"/>
                <w:lang w:val="uk-UA"/>
              </w:rPr>
            </w:pPr>
            <w:r>
              <w:rPr>
                <w:i/>
                <w:vertAlign w:val="superscript"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 xml:space="preserve">Бінарне відношення </w:t>
            </w:r>
            <w:r>
              <w:rPr/>
              <w:t>R</w:t>
            </w:r>
            <w:r>
              <w:rPr>
                <w:lang w:val="uk-UA"/>
              </w:rPr>
              <w:t xml:space="preserve"> </w:t>
            </w:r>
            <w:r>
              <w:rPr>
                <w:rFonts w:cs="Cambria Math" w:ascii="Cambria Math" w:hAnsi="Cambria Math"/>
                <w:lang w:val="uk-UA"/>
              </w:rPr>
              <w:t>⊂</w:t>
            </w:r>
            <w:r>
              <w:rPr>
                <w:lang w:val="uk-UA"/>
              </w:rPr>
              <w:t xml:space="preserve"> </w:t>
            </w:r>
            <w:r>
              <w:rPr/>
              <w:t>X</w:t>
            </w:r>
            <w:r>
              <w:rPr>
                <w:lang w:val="uk-UA"/>
              </w:rPr>
              <w:t xml:space="preserve"> × </w:t>
            </w:r>
            <w:r>
              <w:rPr/>
              <w:t>Y</w:t>
            </w:r>
            <w:r>
              <w:rPr>
                <w:lang w:val="uk-UA"/>
              </w:rPr>
              <w:t xml:space="preserve"> називають сюр’єктивним (відображенням множини </w:t>
            </w:r>
            <w:r>
              <w:rPr/>
              <w:t>X</w:t>
            </w:r>
            <w:r>
              <w:rPr>
                <w:lang w:val="uk-UA"/>
              </w:rPr>
              <w:t xml:space="preserve"> на множину </w:t>
            </w:r>
            <w:r>
              <w:rPr/>
              <w:t>Y</w:t>
            </w:r>
            <w:r>
              <w:rPr>
                <w:lang w:val="uk-UA"/>
              </w:rPr>
              <w:t xml:space="preserve">), якщо </w:t>
            </w:r>
            <w:r>
              <w:rPr/>
              <w:t>R</w:t>
            </w:r>
            <w:r>
              <w:rPr>
                <w:lang w:val="uk-UA"/>
              </w:rPr>
              <w:t xml:space="preserve"> (</w:t>
            </w:r>
            <w:r>
              <w:rPr/>
              <w:t>X</w:t>
            </w:r>
            <w:r>
              <w:rPr>
                <w:lang w:val="uk-UA"/>
              </w:rPr>
              <w:t xml:space="preserve"> )=</w:t>
            </w:r>
            <w:r>
              <w:rPr/>
              <w:t>Y</w:t>
            </w:r>
            <w:r>
              <w:rPr>
                <w:lang w:val="uk-UA"/>
              </w:rPr>
              <w:t>;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lang w:val="en-US"/>
              </w:rPr>
            </w:pPr>
            <w:r>
              <w:rPr>
                <w:lang w:val="uk-UA"/>
              </w:rPr>
              <w:t xml:space="preserve">Розглянемо </w:t>
            </w:r>
            <w:r>
              <w:rPr>
                <w:i/>
                <w:lang w:val="en-US"/>
              </w:rPr>
              <w:t>f: y=(|x|+1)</w:t>
            </w:r>
            <w:r>
              <w:rPr>
                <w:i/>
                <w:vertAlign w:val="superscript"/>
                <w:lang w:val="en-US"/>
              </w:rPr>
              <w:t>2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≥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≥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≥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>
                <w:lang w:val="uk-UA"/>
              </w:rPr>
              <w:t xml:space="preserve">Отже відображаеться не на </w:t>
            </w:r>
            <w:r>
              <w:rPr>
                <w:lang w:val="en-US"/>
              </w:rPr>
              <w:t>R</w:t>
            </w:r>
            <w:r>
              <w:rPr>
                <w:vertAlign w:val="superscript"/>
              </w:rPr>
              <w:t>+</w:t>
            </w:r>
            <w:r>
              <w:rPr/>
              <w:t xml:space="preserve"> (</w:t>
            </w:r>
            <w:r>
              <w:rPr>
                <w:lang w:val="en-US"/>
              </w:rPr>
              <w:t>y</w:t>
            </w:r>
            <w:r>
              <w:rPr/>
              <w:t xml:space="preserve">&gt;0) </w:t>
            </w:r>
            <w:r>
              <w:rPr>
                <w:lang w:val="uk-UA"/>
              </w:rPr>
              <w:t>, а на (</w:t>
            </w:r>
            <w:r>
              <w:rPr>
                <w:lang w:val="en-US"/>
              </w:rPr>
              <w:t>y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≥</m:t>
              </m:r>
            </m:oMath>
            <w:r>
              <w:rPr>
                <w:lang w:val="uk-UA"/>
              </w:rPr>
              <w:t>1)</w:t>
            </w:r>
            <w:r>
              <w:rPr/>
              <w:t>.</w:t>
            </w:r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</w:rPr>
            </w:pPr>
            <w:r>
              <w:rPr/>
              <w:t xml:space="preserve">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≠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+</m:t>
                  </m:r>
                </m:sup>
              </m:sSup>
            </m:oMath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>Відношення не є сюр’єктивним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i/>
                <w:i/>
                <w:vertAlign w:val="superscript"/>
                <w:lang w:val="pt-BR"/>
              </w:rPr>
            </w:pPr>
            <w:r>
              <w:rPr>
                <w:lang w:val="uk-UA"/>
              </w:rPr>
              <w:t xml:space="preserve">Розглянемо </w:t>
            </w:r>
            <w:r>
              <w:rPr>
                <w:i/>
                <w:iCs/>
                <w:lang w:val="pt-BR"/>
              </w:rPr>
              <w:t>g</w:t>
            </w:r>
            <w:r>
              <w:rPr>
                <w:lang w:val="pt-BR"/>
              </w:rPr>
              <w:t xml:space="preserve">: </w:t>
            </w:r>
            <w:r>
              <w:rPr>
                <w:i/>
                <w:lang w:val="pt-BR"/>
              </w:rPr>
              <w:t>R</w:t>
            </w:r>
            <w:r>
              <w:rPr>
                <w:rFonts w:eastAsia="Symbol" w:cs="Symbol" w:ascii="Symbol" w:hAnsi="Symbol"/>
                <w:lang w:val="en-US"/>
              </w:rPr>
              <w:t></w:t>
            </w:r>
            <w:r>
              <w:rPr>
                <w:i/>
                <w:lang w:val="pt-BR"/>
              </w:rPr>
              <w:t>R</w:t>
            </w:r>
            <w:r>
              <w:rPr>
                <w:lang w:val="pt-BR"/>
              </w:rPr>
              <w:t xml:space="preserve">, </w:t>
            </w:r>
            <w:r>
              <w:rPr>
                <w:i/>
                <w:lang w:val="pt-BR"/>
              </w:rPr>
              <w:t>y</w:t>
            </w:r>
            <w:r>
              <w:rPr>
                <w:lang w:val="pt-BR"/>
              </w:rPr>
              <w:t xml:space="preserve"> = </w:t>
            </w:r>
            <w:r>
              <w:rPr>
                <w:i/>
                <w:lang w:val="pt-BR"/>
              </w:rPr>
              <w:t>e</w:t>
            </w:r>
            <w:r>
              <w:rPr>
                <w:i/>
                <w:vertAlign w:val="superscript"/>
                <w:lang w:val="pt-BR"/>
              </w:rPr>
              <w:t>x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;</m:t>
                </m:r>
                <m:r>
                  <w:rPr>
                    <w:rFonts w:ascii="Cambria Math" w:hAnsi="Cambria Math"/>
                  </w:rPr>
                  <m:t xml:space="preserve">R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≠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>Відношення не є сюр’єктивним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 xml:space="preserve">Бінарне відношення </w:t>
            </w:r>
            <w:r>
              <w:rPr>
                <w:lang w:val="en-US"/>
              </w:rPr>
              <w:t>R</w:t>
            </w:r>
            <w:r>
              <w:rPr>
                <w:lang w:val="uk-UA"/>
              </w:rPr>
              <w:t xml:space="preserve"> </w:t>
            </w:r>
            <w:r>
              <w:rPr>
                <w:rFonts w:cs="Cambria Math" w:ascii="Cambria Math" w:hAnsi="Cambria Math"/>
                <w:lang w:val="uk-UA"/>
              </w:rPr>
              <w:t>⊂</w:t>
            </w:r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X</w:t>
            </w:r>
            <w:r>
              <w:rPr>
                <w:lang w:val="uk-UA"/>
              </w:rPr>
              <w:t xml:space="preserve"> × </w:t>
            </w:r>
            <w:r>
              <w:rPr>
                <w:lang w:val="en-US"/>
              </w:rPr>
              <w:t>Y</w:t>
            </w:r>
            <w:r>
              <w:rPr>
                <w:lang w:val="uk-UA"/>
              </w:rPr>
              <w:t xml:space="preserve"> називають бієктивним (взаємно однозначним відображенням множини </w:t>
            </w:r>
            <w:r>
              <w:rPr>
                <w:lang w:val="en-US"/>
              </w:rPr>
              <w:t>X</w:t>
            </w:r>
            <w:r>
              <w:rPr>
                <w:lang w:val="uk-UA"/>
              </w:rPr>
              <w:t xml:space="preserve"> на множину </w:t>
            </w:r>
            <w:r>
              <w:rPr>
                <w:lang w:val="en-US"/>
              </w:rPr>
              <w:t>Y</w:t>
            </w:r>
            <w:r>
              <w:rPr>
                <w:lang w:val="uk-UA"/>
              </w:rPr>
              <w:t>), якщо воно одночасно сюр’єктивне та ін’єктивне . Дані відношення не відповідають цій умові. Отже вони не є бієктивними.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 xml:space="preserve"> </w:t>
            </w:r>
            <w:r>
              <w:rPr>
                <w:lang w:val="uk-UA"/>
              </w:rPr>
              <w:t xml:space="preserve">Побудувати композицію відображень </w:t>
            </w:r>
            <w:r>
              <w:rPr>
                <w:i/>
                <w:iCs/>
                <w:lang w:val="en-US"/>
              </w:rPr>
              <w:t>g</w:t>
            </w:r>
            <w:r>
              <w:rPr>
                <w:i/>
                <w:iCs/>
                <w:lang w:val="uk-UA"/>
              </w:rPr>
              <w:t>◦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lang w:val="uk-UA"/>
              </w:rPr>
              <w:t xml:space="preserve"> та 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i/>
                <w:iCs/>
                <w:lang w:val="uk-UA"/>
              </w:rPr>
              <w:t>◦</w:t>
            </w:r>
            <w:r>
              <w:rPr>
                <w:i/>
                <w:iCs/>
                <w:lang w:val="en-US"/>
              </w:rPr>
              <w:t>g</w:t>
            </w:r>
            <w:r>
              <w:rPr>
                <w:lang w:val="uk-UA"/>
              </w:rPr>
              <w:t>;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rFonts w:ascii="Cambria Math" w:hAnsi="Cambria Math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g</m:t>
                </m:r>
                <m:r>
                  <w:rPr>
                    <w:rFonts w:ascii="Cambria Math" w:hAnsi="Cambria Math"/>
                  </w:rPr>
                  <m:t xml:space="preserve">°</m:t>
                </m:r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sSup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rFonts w:ascii="Cambria Math" w:hAnsi="Cambria Math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°</m:t>
                </m:r>
                <m:r>
                  <w:rPr>
                    <w:rFonts w:ascii="Cambria Math" w:hAnsi="Cambria Math"/>
                  </w:rPr>
                  <m:t xml:space="preserve">g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d>
                              <m:dPr>
                                <m:begChr m:val="|"/>
                                <m:endChr m:val="|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 xml:space="preserve"> </w:t>
            </w:r>
            <w:r>
              <w:rPr>
                <w:lang w:val="uk-UA"/>
              </w:rPr>
              <w:t xml:space="preserve">перевіримо, чи є результати композицій ін’єктивними, сюр’єктивними, бієктивними. 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  <m:r>
                      <w:rPr>
                        <w:rFonts w:ascii="Cambria Math" w:hAnsi="Cambria Math"/>
                      </w:rPr>
                      <m:t xml:space="preserve">°</m:t>
                    </m:r>
                    <m:r>
                      <w:rPr>
                        <w:rFonts w:ascii="Cambria Math" w:hAnsi="Cambria Math"/>
                      </w:rPr>
                      <m:t xml:space="preserve">f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d>
                      <m:dPr>
                        <m:begChr m:val="("/>
                        <m:endChr m:val=")"/>
                      </m:dPr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ін</m:t>
                </m:r>
                <m:r>
                  <w:rPr>
                    <w:rFonts w:ascii="Cambria Math" w:hAnsi="Cambria Math"/>
                  </w:rPr>
                  <m:t xml:space="preserve">’</m:t>
                </m:r>
                <m:r>
                  <w:rPr>
                    <w:rFonts w:ascii="Cambria Math" w:hAnsi="Cambria Math"/>
                  </w:rPr>
                  <m:t xml:space="preserve">єктивне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бо</m:t>
                </m:r>
                <m:r>
                  <w:rPr>
                    <w:rFonts w:ascii="Cambria Math" w:hAnsi="Cambria Math"/>
                  </w:rPr>
                  <m:t xml:space="preserve">воно</m:t>
                </m:r>
                <m:r>
                  <w:rPr>
                    <w:rFonts w:ascii="Cambria Math" w:hAnsi="Cambria Math"/>
                  </w:rPr>
                  <m:t xml:space="preserve">монотоно</m:t>
                </m:r>
                <m:r>
                  <w:rPr>
                    <w:rFonts w:ascii="Cambria Math" w:hAnsi="Cambria Math"/>
                  </w:rPr>
                  <m:t xml:space="preserve">зростає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>
                <w:lang w:val="uk-UA"/>
              </w:rPr>
              <w:t xml:space="preserve">Композиція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°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сюр</m:t>
              </m:r>
              <m:r>
                <w:rPr>
                  <w:rFonts w:ascii="Cambria Math" w:hAnsi="Cambria Math"/>
                </w:rPr>
                <m:t xml:space="preserve">’</m:t>
              </m:r>
              <m:r>
                <w:rPr>
                  <w:rFonts w:ascii="Cambria Math" w:hAnsi="Cambria Math"/>
                </w:rPr>
                <m:t xml:space="preserve">єктивна</m:t>
              </m:r>
              <m:r>
                <w:rPr>
                  <w:rFonts w:ascii="Cambria Math" w:hAnsi="Cambria Math"/>
                </w:rPr>
                <m:t xml:space="preserve">на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</m:e>
              </m:d>
            </m:oMath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>Так як відношення одночасно ін’єктивне та сюр’єктивне, то воно є бієктивними.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rFonts w:ascii="Cambria Math" w:hAnsi="Cambria Math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°</m:t>
                </m:r>
                <m:r>
                  <w:rPr>
                    <w:rFonts w:ascii="Cambria Math" w:hAnsi="Cambria Math"/>
                  </w:rPr>
                  <m:t xml:space="preserve">g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d>
                              <m:dPr>
                                <m:begChr m:val="|"/>
                                <m:endChr m:val="|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не</m:t>
                </m:r>
                <m:r>
                  <w:rPr>
                    <w:rFonts w:ascii="Cambria Math" w:hAnsi="Cambria Math"/>
                  </w:rPr>
                  <m:t xml:space="preserve">ін</m:t>
                </m:r>
                <m:r>
                  <w:rPr>
                    <w:rFonts w:ascii="Cambria Math" w:hAnsi="Cambria Math"/>
                  </w:rPr>
                  <m:t xml:space="preserve">’</m:t>
                </m:r>
                <m:r>
                  <w:rPr>
                    <w:rFonts w:ascii="Cambria Math" w:hAnsi="Cambria Math"/>
                  </w:rPr>
                  <m:t xml:space="preserve">єктивне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бо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d>
                              <m:dPr>
                                <m:begChr m:val="|"/>
                                <m:endChr m:val="|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d>
                              <m:dPr>
                                <m:begChr m:val="|"/>
                                <m:endChr m:val="|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4</m:t>
                    </m:r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d>
                              <m:dPr>
                                <m:begChr m:val="|"/>
                                <m:endChr m:val="|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e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>
                <w:lang w:val="uk-UA"/>
              </w:rPr>
              <w:t xml:space="preserve">Композиція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°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сюр</m:t>
              </m:r>
              <m:r>
                <w:rPr>
                  <w:rFonts w:ascii="Cambria Math" w:hAnsi="Cambria Math"/>
                </w:rPr>
                <m:t xml:space="preserve">’</m:t>
              </m:r>
              <m:r>
                <w:rPr>
                  <w:rFonts w:ascii="Cambria Math" w:hAnsi="Cambria Math"/>
                </w:rPr>
                <m:t xml:space="preserve">єктивна</m:t>
              </m:r>
              <m:r>
                <w:rPr>
                  <w:rFonts w:ascii="Cambria Math" w:hAnsi="Cambria Math"/>
                </w:rPr>
                <m:t xml:space="preserve">на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  <m:r>
                    <w:rPr>
                      <w:rFonts w:ascii="Cambria Math" w:hAnsi="Cambria Math"/>
                    </w:rPr>
                    <m:t xml:space="preserve">;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</m:e>
              </m:d>
            </m:oMath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>
                <w:lang w:val="uk-UA"/>
              </w:rPr>
              <w:t>Так як відношення не ін’єктивне, то воно не бієктивними.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>
                <w:lang w:val="uk-UA"/>
              </w:rPr>
              <w:t xml:space="preserve">Знайдемо обернені відображення 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i/>
                <w:iCs/>
                <w:vertAlign w:val="superscript"/>
                <w:lang w:val="en-US"/>
              </w:rPr>
              <w:t> </w:t>
            </w:r>
            <w:r>
              <w:rPr>
                <w:vertAlign w:val="superscript"/>
                <w:lang w:val="uk-UA"/>
              </w:rPr>
              <w:t>–1</w:t>
            </w:r>
            <w:r>
              <w:rPr>
                <w:i/>
                <w:iCs/>
                <w:lang w:val="uk-UA"/>
              </w:rPr>
              <w:t xml:space="preserve">, </w:t>
            </w:r>
            <w:r>
              <w:rPr>
                <w:i/>
                <w:iCs/>
                <w:lang w:val="en-US"/>
              </w:rPr>
              <w:t>g</w:t>
            </w:r>
            <w:r>
              <w:rPr>
                <w:i/>
                <w:iCs/>
                <w:vertAlign w:val="superscript"/>
                <w:lang w:val="en-US"/>
              </w:rPr>
              <w:t> </w:t>
            </w:r>
            <w:r>
              <w:rPr>
                <w:i/>
                <w:iCs/>
                <w:vertAlign w:val="superscript"/>
                <w:lang w:val="uk-UA"/>
              </w:rPr>
              <w:t>–</w:t>
            </w:r>
            <w:r>
              <w:rPr>
                <w:vertAlign w:val="superscript"/>
                <w:lang w:val="uk-UA"/>
              </w:rPr>
              <w:t>1</w:t>
            </w:r>
            <w:r>
              <w:rPr>
                <w:lang w:val="uk-UA"/>
              </w:rPr>
              <w:t>;</w:t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lang w:val="uk-UA"/>
              </w:rPr>
              <w:t xml:space="preserve">Виразимо з </w:t>
            </w:r>
            <w:r>
              <w:rPr>
                <w:lang w:val="en-US"/>
              </w:rPr>
              <w:t>f</w:t>
            </w:r>
            <w:r>
              <w:rPr>
                <w:lang w:val="uk-UA"/>
              </w:rPr>
              <w:t xml:space="preserve"> невідому </w:t>
            </w:r>
            <w:r>
              <w:rPr>
                <w:lang w:val="en-US"/>
              </w:rPr>
              <w:t>x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rad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±</m:t>
                </m:r>
                <m:d>
                  <m:dPr>
                    <m:begChr m:val="("/>
                    <m:endChr m:val=")"/>
                  </m:dPr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iCs/>
                <w:lang w:val="uk-UA"/>
              </w:rPr>
            </w:pPr>
            <w:r>
              <w:rPr>
                <w:iCs/>
                <w:lang w:val="uk-UA"/>
              </w:rPr>
              <w:t>Для оберненого відображення поміняємо місцями х та у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Cs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: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±</m:t>
                    </m:r>
                    <m:d>
                      <m:dPr>
                        <m:begChr m:val="("/>
                        <m:endChr m:val=")"/>
                      </m:dPr>
                      <m:e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iCs/>
                <w:lang w:val="uk-UA"/>
              </w:rPr>
            </w:pPr>
            <w:r>
              <w:rPr>
                <w:iCs/>
                <w:lang w:val="uk-UA"/>
              </w:rPr>
              <w:t>Відношення не є функціональним, бо для кожного додатнього Х маємо два значення У.</w:t>
            </w:r>
          </w:p>
          <w:p>
            <w:pPr>
              <w:pStyle w:val="Normal"/>
              <w:widowControl w:val="false"/>
              <w:spacing w:before="120" w:after="120"/>
              <w:rPr/>
            </w:pPr>
            <w:r>
              <w:rPr>
                <w:lang w:val="uk-UA"/>
              </w:rPr>
              <w:t xml:space="preserve">Виразимо з </w:t>
            </w:r>
            <w:r>
              <w:rPr>
                <w:lang w:val="en-US"/>
              </w:rPr>
              <w:t>g</w:t>
            </w:r>
            <w:r>
              <w:rPr>
                <w:lang w:val="uk-UA"/>
              </w:rPr>
              <w:t xml:space="preserve"> невідому </w:t>
            </w:r>
            <w:r>
              <w:rPr>
                <w:lang w:val="en-US"/>
              </w:rPr>
              <w:t>x</w:t>
            </w:r>
            <w:r>
              <w:rPr/>
              <w:t>: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ln</m:t>
                </m:r>
                <m:r>
                  <w:rPr>
                    <w:rFonts w:ascii="Cambria Math" w:hAnsi="Cambria Math"/>
                  </w:rPr>
                  <m:t xml:space="preserve">y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vertAlign w:val="superscript"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ln</m:t>
                </m:r>
                <m:r>
                  <w:rPr>
                    <w:rFonts w:ascii="Cambria Math" w:hAnsi="Cambria Math"/>
                  </w:rPr>
                  <m:t xml:space="preserve">x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rPr>
                <w:sz w:val="28"/>
                <w:szCs w:val="28"/>
                <w:lang w:val="uk-UA"/>
              </w:rPr>
            </w:pPr>
            <w:r>
              <w:rPr>
                <w:iCs/>
                <w:lang w:val="uk-UA"/>
              </w:rPr>
              <w:t xml:space="preserve">Відношення не є функціональним, бо для </w:t>
            </w:r>
            <w:r>
              <w:rPr>
                <w:iCs/>
                <w:lang w:val="en-US"/>
              </w:rPr>
              <w:t>x</w:t>
            </w:r>
            <w:r>
              <w:rPr>
                <w:iCs/>
              </w:rPr>
              <w:t>&lt;=0</w:t>
            </w:r>
            <w:r>
              <w:rPr>
                <w:iCs/>
                <w:lang w:val="uk-UA"/>
              </w:rPr>
              <w:t>, не існує значення У</w:t>
            </w:r>
            <w:r>
              <w:rPr>
                <w:iCs/>
              </w:rPr>
              <w:t>.</w:t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lang w:val="uk-UA"/>
              </w:rPr>
              <w:t>Завдання 5</w:t>
            </w:r>
            <w:r>
              <w:rPr>
                <w:lang w:val="uk-UA"/>
              </w:rPr>
              <w:t>. Спростити формулу, використовуючи аксіоми та теореми булевої алгебри.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∧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  <m:r>
                      <w:rPr>
                        <w:rFonts w:ascii="Cambria Math" w:hAnsi="Cambria Math"/>
                      </w:rPr>
                      <m:t xml:space="preserve">∨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)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(</m:t>
                </m:r>
                <m:acc>
                  <m:accPr>
                    <m:chr m:val="¯"/>
                  </m:acc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∨</m:t>
                </m:r>
                <m:acc>
                  <m:accPr>
                    <m:chr m:val="¯"/>
                  </m:acc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d>
                      <m:dPr>
                        <m:begChr m:val="("/>
                        <m:endChr m:val=")"/>
                      </m:dPr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 xml:space="preserve">y</m:t>
                            </m:r>
                          </m:e>
                        </m:d>
                        <m:bar>
                          <m:barPr>
                            <m:pos m:val="top"/>
                          </m:barPr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z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</m:t>
                                </m:r>
                              </m:e>
                            </m:d>
                          </m:e>
                        </m:bar>
                      </m:e>
                    </m:d>
                  </m:e>
                </m:ba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≡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 xml:space="preserve">y</m:t>
                            </m:r>
                          </m:e>
                        </m:d>
                      </m:e>
                    </m:ba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d>
                  </m:e>
                </m:d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≡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y</m:t>
                            </m:r>
                          </m:e>
                        </m:bar>
                      </m:e>
                    </m:d>
                    <m:r>
                      <w:rPr>
                        <w:rFonts w:ascii="Cambria Math" w:hAnsi="Cambria Math"/>
                      </w:rPr>
                      <m:t xml:space="preserve">z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≡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y</m:t>
                            </m:r>
                          </m:e>
                        </m:bar>
                      </m:e>
                    </m:d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за законом поглинання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≡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≡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z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≡</m:t>
                </m:r>
                <m:r>
                  <w:rPr>
                    <w:rFonts w:ascii="Cambria Math" w:hAnsi="Cambria Math"/>
                  </w:rPr>
                  <m:t xml:space="preserve">x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z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≡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z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≡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rPr>
          <w:lang w:val="uk-UA"/>
        </w:rPr>
      </w:pPr>
      <w:r>
        <w:rPr>
          <w:lang w:val="uk-UA"/>
        </w:rPr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color w:val="000000" w:themeColor="text1"/>
                <w:lang w:val="uk-UA"/>
              </w:rPr>
            </w:pPr>
            <w:r>
              <w:rPr>
                <w:b/>
                <w:color w:val="000000" w:themeColor="text1"/>
                <w:lang w:val="uk-UA"/>
              </w:rPr>
              <w:t>Завдання 6</w:t>
            </w:r>
            <w:r>
              <w:rPr>
                <w:color w:val="000000" w:themeColor="text1"/>
                <w:lang w:val="uk-UA"/>
              </w:rPr>
              <w:t>. Побудувати таблицю істинності булевої функції; представити функцію у вигляді ДДНФ, ДКНФ та канонічного поліному Жегалкіна.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(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≡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(</m:t>
                </m:r>
                <m:acc>
                  <m:accPr>
                    <m:chr m:val="¯"/>
                  </m:acc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≡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  <w:tbl>
            <w:tblPr>
              <w:tblStyle w:val="a3"/>
              <w:tblW w:w="8637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366"/>
              <w:gridCol w:w="366"/>
              <w:gridCol w:w="365"/>
              <w:gridCol w:w="804"/>
              <w:gridCol w:w="1140"/>
              <w:gridCol w:w="803"/>
              <w:gridCol w:w="458"/>
              <w:gridCol w:w="1440"/>
              <w:gridCol w:w="2894"/>
            </w:tblGrid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y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≡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e>
                      </m:bar>
                    </m:oMath>
                  </m:oMathPara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≡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 xml:space="preserve">∧</m:t>
                      </m:r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oMath>
                  </m:oMathPara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  <m:r>
                        <w:rPr>
                          <w:rFonts w:ascii="Cambria Math" w:hAnsi="Cambria Math"/>
                        </w:rPr>
                        <m:t xml:space="preserve">≡</m:t>
                      </m:r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oMath>
                  </m:oMathPara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acc>
                        <m:accPr>
                          <m:chr m:val="¯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acc>
                        <m:accPr>
                          <m:chr m:val="¯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∨</m:t>
                      </m:r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  <m:r>
                        <w:rPr>
                          <w:rFonts w:ascii="Cambria Math" w:hAnsi="Cambria Math"/>
                        </w:rPr>
                        <m:t xml:space="preserve">≡</m:t>
                      </m:r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oMath>
                  </m:oMathPara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≡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 xml:space="preserve">∧</m:t>
                      </m:r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  <m:r>
                        <w:rPr>
                          <w:rFonts w:ascii="Cambria Math" w:hAnsi="Cambria Math"/>
                        </w:rPr>
                        <m:t xml:space="preserve">→</m:t>
                      </m:r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acc>
                        <m:accPr>
                          <m:chr m:val="¯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 xml:space="preserve">∨</m:t>
                      </m:r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  <m:r>
                        <w:rPr>
                          <w:rFonts w:ascii="Cambria Math" w:hAnsi="Cambria Math"/>
                        </w:rPr>
                        <m:t xml:space="preserve">≡</m:t>
                      </m:r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oMath>
                  </m:oMathPara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365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0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03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45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440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2894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/>
            </w:pPr>
            <w:hyperlink r:id="rId4">
              <w:r>
                <w:rPr>
                  <w:lang w:val="en-US"/>
                </w:rPr>
                <w:t>http</w:t>
              </w:r>
              <w:r>
                <w:rPr/>
                <w:t>://</w:t>
              </w:r>
              <w:r>
                <w:rPr>
                  <w:lang w:val="en-US"/>
                </w:rPr>
                <w:t>spectorsky</w:t>
              </w:r>
              <w:r>
                <w:rPr/>
                <w:t>.</w:t>
              </w:r>
              <w:r>
                <w:rPr>
                  <w:lang w:val="en-US"/>
                </w:rPr>
                <w:t>ho</w:t>
              </w:r>
              <w:r>
                <w:rPr/>
                <w:t>.</w:t>
              </w:r>
              <w:r>
                <w:rPr>
                  <w:lang w:val="en-US"/>
                </w:rPr>
                <w:t>ua</w:t>
              </w:r>
              <w:r>
                <w:rPr/>
                <w:t>/</w:t>
              </w:r>
              <w:r>
                <w:rPr>
                  <w:lang w:val="en-US"/>
                </w:rPr>
                <w:t>files</w:t>
              </w:r>
              <w:r>
                <w:rPr/>
                <w:t>/</w:t>
              </w:r>
              <w:r>
                <w:rPr>
                  <w:lang w:val="en-US"/>
                </w:rPr>
                <w:t>rasch</w:t>
              </w:r>
              <w:r>
                <w:rPr/>
                <w:t>.</w:t>
              </w:r>
              <w:r>
                <w:rPr>
                  <w:lang w:val="en-US"/>
                </w:rPr>
                <w:t>pdf</w:t>
              </w:r>
            </w:hyperlink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стр 60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ДДНФ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y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yz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xy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мінімальна ДНФ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y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yz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xy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xyz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y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xy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xy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xy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x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ДКНФ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>Поліном Жегалкіна загальний вигляд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x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y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z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xy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xz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yz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lang w:val="uk-UA"/>
              </w:rPr>
            </w:pPr>
            <w:hyperlink r:id="rId5">
              <w:r>
                <w:rPr>
                  <w:i/>
                  <w:lang w:val="en-US"/>
                </w:rPr>
                <w:t>https</w:t>
              </w:r>
              <w:r>
                <w:rPr>
                  <w:i/>
                  <w:lang w:val="uk-UA"/>
                </w:rPr>
                <w:t>://</w:t>
              </w:r>
              <w:r>
                <w:rPr>
                  <w:i/>
                  <w:lang w:val="en-US"/>
                </w:rPr>
                <w:t>life</w:t>
              </w:r>
              <w:r>
                <w:rPr>
                  <w:i/>
                  <w:lang w:val="uk-UA"/>
                </w:rPr>
                <w:t>-</w:t>
              </w:r>
              <w:r>
                <w:rPr>
                  <w:i/>
                  <w:lang w:val="en-US"/>
                </w:rPr>
                <w:t>prog</w:t>
              </w:r>
              <w:r>
                <w:rPr>
                  <w:i/>
                  <w:lang w:val="uk-UA"/>
                </w:rPr>
                <w:t>.</w:t>
              </w:r>
              <w:r>
                <w:rPr>
                  <w:i/>
                  <w:lang w:val="en-US"/>
                </w:rPr>
                <w:t>ru</w:t>
              </w:r>
              <w:r>
                <w:rPr>
                  <w:i/>
                  <w:lang w:val="uk-UA"/>
                </w:rPr>
                <w:t>/1_34874_</w:t>
              </w:r>
              <w:r>
                <w:rPr>
                  <w:i/>
                  <w:lang w:val="en-US"/>
                </w:rPr>
                <w:t>razlozhenie</w:t>
              </w:r>
              <w:r>
                <w:rPr>
                  <w:i/>
                  <w:lang w:val="uk-UA"/>
                </w:rPr>
                <w:t>-</w:t>
              </w:r>
              <w:r>
                <w:rPr>
                  <w:i/>
                  <w:lang w:val="en-US"/>
                </w:rPr>
                <w:t>bulevih</w:t>
              </w:r>
              <w:r>
                <w:rPr>
                  <w:i/>
                  <w:lang w:val="uk-UA"/>
                </w:rPr>
                <w:t>-</w:t>
              </w:r>
              <w:r>
                <w:rPr>
                  <w:i/>
                  <w:lang w:val="en-US"/>
                </w:rPr>
                <w:t>funktsiy</w:t>
              </w:r>
              <w:r>
                <w:rPr>
                  <w:i/>
                  <w:lang w:val="uk-UA"/>
                </w:rPr>
                <w:t>-</w:t>
              </w:r>
              <w:r>
                <w:rPr>
                  <w:i/>
                  <w:lang w:val="en-US"/>
                </w:rPr>
                <w:t>v</w:t>
              </w:r>
              <w:r>
                <w:rPr>
                  <w:i/>
                  <w:lang w:val="uk-UA"/>
                </w:rPr>
                <w:t>-</w:t>
              </w:r>
              <w:r>
                <w:rPr>
                  <w:i/>
                  <w:lang w:val="en-US"/>
                </w:rPr>
                <w:t>kanonicheskiy</w:t>
              </w:r>
              <w:r>
                <w:rPr>
                  <w:i/>
                  <w:lang w:val="uk-UA"/>
                </w:rPr>
                <w:t>-</w:t>
              </w:r>
              <w:r>
                <w:rPr>
                  <w:i/>
                  <w:lang w:val="en-US"/>
                </w:rPr>
                <w:t>polinom</w:t>
              </w:r>
              <w:r>
                <w:rPr>
                  <w:i/>
                  <w:lang w:val="uk-UA"/>
                </w:rPr>
                <w:t>-</w:t>
              </w:r>
              <w:r>
                <w:rPr>
                  <w:i/>
                  <w:lang w:val="en-US"/>
                </w:rPr>
                <w:t>zhegalkina</w:t>
              </w:r>
              <w:r>
                <w:rPr>
                  <w:i/>
                  <w:lang w:val="uk-UA"/>
                </w:rPr>
                <w:t>.</w:t>
              </w:r>
              <w:r>
                <w:rPr>
                  <w:i/>
                  <w:lang w:val="en-US"/>
                </w:rPr>
                <w:t>html</w:t>
              </w:r>
            </w:hyperlink>
            <w:r>
              <w:rPr>
                <w:i/>
                <w:lang w:val="uk-UA"/>
              </w:rPr>
              <w:t xml:space="preserve"> - -пример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i/>
                <w:i/>
                <w:lang w:val="uk-UA"/>
              </w:rPr>
            </w:pPr>
            <w:r>
              <w:rPr>
                <w:i/>
                <w:lang w:val="uk-UA"/>
              </w:rPr>
              <w:t xml:space="preserve">Маємо </w:t>
            </w:r>
            <w:r>
              <w:rPr>
                <w:rFonts w:ascii="Cambria Math" w:hAnsi="Cambria Math"/>
                <w:lang w:val="uk-UA"/>
              </w:rPr>
              <w:br/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=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</m:bar>
              <m:r>
                <w:rPr>
                  <w:rFonts w:ascii="Cambria Math" w:hAnsi="Cambria Math"/>
                </w:rPr>
                <m:t xml:space="preserve">+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ba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+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  <m:r>
                <w:rPr>
                  <w:rFonts w:ascii="Cambria Math" w:hAnsi="Cambria Math"/>
                </w:rPr>
                <m:t xml:space="preserve">y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</m:bar>
              <m:r>
                <w:rPr>
                  <w:rFonts w:ascii="Cambria Math" w:hAnsi="Cambria Math"/>
                </w:rPr>
                <m:t xml:space="preserve">+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  <m:r>
                <w:rPr>
                  <w:rFonts w:ascii="Cambria Math" w:hAnsi="Cambria Math"/>
                </w:rPr>
                <m:t xml:space="preserve">yz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x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ba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</m:ba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xy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</m:ba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xyz</m:t>
              </m:r>
            </m:oMath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rFonts w:ascii="Verdana" w:hAnsi="Verdana"/>
                <w:color w:val="424242"/>
                <w:sz w:val="14"/>
                <w:szCs w:val="14"/>
                <w:shd w:fill="E0E7FA" w:val="clear"/>
                <w:lang w:val="uk-UA"/>
              </w:rPr>
            </w:pPr>
            <w:r>
              <w:rPr>
                <w:rFonts w:ascii="Verdana" w:hAnsi="Verdana"/>
                <w:color w:val="424242"/>
                <w:sz w:val="14"/>
                <w:szCs w:val="14"/>
                <w:shd w:fill="E0E7FA" w:val="clear"/>
              </w:rPr>
              <w:t>Заменим операцию дизъюнкции операцией сложения по модулю два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rFonts w:ascii="Verdana" w:hAnsi="Verdana"/>
                <w:color w:val="424242"/>
                <w:sz w:val="14"/>
                <w:szCs w:val="14"/>
                <w:shd w:fill="E0E7FA" w:val="clear"/>
                <w:lang w:val="uk-UA"/>
              </w:rPr>
            </w:pPr>
            <w:r>
              <w:rPr>
                <w:rFonts w:ascii="Verdana" w:hAnsi="Verdana"/>
                <w:color w:val="424242"/>
                <w:sz w:val="14"/>
                <w:szCs w:val="14"/>
                <w:shd w:fill="E0E7FA" w:val="clear"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z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y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yz</m:t>
                </m:r>
                <m:r>
                  <w:rPr>
                    <w:rFonts w:ascii="Cambria Math" w:hAnsi="Cambria Math"/>
                  </w:rPr>
                  <m:t xml:space="preserve">x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xy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rFonts w:ascii="Verdana" w:hAnsi="Verdana"/>
                <w:color w:val="424242"/>
                <w:sz w:val="14"/>
                <w:szCs w:val="14"/>
                <w:shd w:fill="E0E7FA" w:val="clear"/>
                <w:lang w:val="uk-UA"/>
              </w:rPr>
            </w:pPr>
            <w:r>
              <w:rPr>
                <w:rFonts w:ascii="Verdana" w:hAnsi="Verdana"/>
                <w:color w:val="424242"/>
                <w:sz w:val="14"/>
                <w:szCs w:val="14"/>
                <w:shd w:fill="E0E7FA" w:val="clear"/>
              </w:rPr>
              <w:t>Все переменные с отрицанием заменяем по формуле (2), затем раскрываем скобки и из полученного выражения удаляем попарно одинаковые слагаемые в соответствии с (1):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rFonts w:ascii="Verdana" w:hAnsi="Verdana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z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y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rFonts w:ascii="Verdana" w:hAnsi="Verdana"/>
                <w:color w:val="424242"/>
                <w:sz w:val="14"/>
                <w:szCs w:val="14"/>
                <w:shd w:fill="E0E7FA" w:val="clear"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yz</m:t>
                </m:r>
                <m:r>
                  <w:rPr>
                    <w:rFonts w:ascii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xy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rFonts w:ascii="Verdana" w:hAnsi="Verdana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xy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xz</m:t>
                </m:r>
                <m:r>
                  <w:rPr>
                    <w:rFonts w:ascii="Cambria Math" w:hAnsi="Cambria Math"/>
                  </w:rPr>
                  <m:t xml:space="preserve">yz</m:t>
                </m:r>
                <m:r>
                  <w:rPr>
                    <w:rFonts w:ascii="Cambria Math" w:hAnsi="Cambria Math"/>
                  </w:rPr>
                  <m:t xml:space="preserve">xyz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xz</m:t>
                </m:r>
                <m:r>
                  <w:rPr>
                    <w:rFonts w:ascii="Cambria Math" w:hAnsi="Cambria Math"/>
                  </w:rPr>
                  <m:t xml:space="preserve">yz</m:t>
                </m:r>
                <m:r>
                  <w:rPr>
                    <w:rFonts w:ascii="Cambria Math" w:hAnsi="Cambria Math"/>
                  </w:rPr>
                  <m:t xml:space="preserve">xyz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yx</m:t>
                </m:r>
                <m:r>
                  <w:rPr>
                    <w:rFonts w:ascii="Cambria Math" w:hAnsi="Cambria Math"/>
                  </w:rPr>
                  <m:t xml:space="preserve">yz</m:t>
                </m:r>
                <m:r>
                  <w:rPr>
                    <w:rFonts w:ascii="Cambria Math" w:hAnsi="Cambria Math"/>
                  </w:rPr>
                  <m:t xml:space="preserve">xyz</m:t>
                </m:r>
                <m:r>
                  <w:rPr>
                    <w:rFonts w:ascii="Cambria Math" w:hAnsi="Cambria Math"/>
                  </w:rPr>
                  <m:t xml:space="preserve">yz</m:t>
                </m:r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yx</m:t>
                </m:r>
                <m:r>
                  <w:rPr>
                    <w:rFonts w:ascii="Cambria Math" w:hAnsi="Cambria Math"/>
                  </w:rPr>
                  <m:t xml:space="preserve">xz</m:t>
                </m:r>
                <m:r>
                  <w:rPr>
                    <w:rFonts w:ascii="Cambria Math" w:hAnsi="Cambria Math"/>
                  </w:rPr>
                  <m:t xml:space="preserve">xyz</m:t>
                </m:r>
                <m:r>
                  <w:rPr>
                    <w:rFonts w:ascii="Cambria Math" w:hAnsi="Cambria Math"/>
                  </w:rPr>
                  <m:t xml:space="preserve">xy</m:t>
                </m:r>
                <m:r>
                  <w:rPr>
                    <w:rFonts w:ascii="Cambria Math" w:hAnsi="Cambria Math"/>
                  </w:rPr>
                  <m:t xml:space="preserve">xyz</m:t>
                </m:r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xz</m:t>
                </m:r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tbl>
            <w:tblPr>
              <w:tblStyle w:val="a3"/>
              <w:tblW w:w="6019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563"/>
              <w:gridCol w:w="567"/>
              <w:gridCol w:w="567"/>
              <w:gridCol w:w="851"/>
              <w:gridCol w:w="1136"/>
              <w:gridCol w:w="990"/>
              <w:gridCol w:w="1344"/>
            </w:tblGrid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y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xz</m:t>
                      </m:r>
                    </m:oMath>
                  </m:oMathPara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xz</m:t>
                      </m:r>
                    </m:oMath>
                  </m:oMathPara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xyz</m:t>
                      </m:r>
                    </m:oMath>
                  </m:oMathPara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xz</m:t>
                      </m:r>
                      <m:r>
                        <w:rPr>
                          <w:rFonts w:ascii="Cambria Math" w:hAnsi="Cambria Math"/>
                        </w:rPr>
                        <m:t xml:space="preserve">xyz</m:t>
                      </m:r>
                    </m:oMath>
                  </m:oMathPara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51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3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990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344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rPr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Таблица истинности для </w:t>
            </w:r>
            <w:r>
              <w:rPr/>
            </w:r>
            <m:oMath xmlns:m="http://schemas.openxmlformats.org/officeDocument/2006/math"/>
          </w:p>
          <w:tbl>
            <w:tblPr>
              <w:tblStyle w:val="a3"/>
              <w:tblW w:w="226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5"/>
              <w:gridCol w:w="709"/>
              <w:gridCol w:w="709"/>
            </w:tblGrid>
            <w:tr>
              <w:trPr/>
              <w:tc>
                <w:tcPr>
                  <w:tcW w:w="845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x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y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x</w:t>
                  </w: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  <m:oMath xmlns:m="http://schemas.openxmlformats.org/officeDocument/2006/math"/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y</w:t>
                  </w:r>
                </w:p>
              </w:tc>
            </w:tr>
            <w:tr>
              <w:trPr/>
              <w:tc>
                <w:tcPr>
                  <w:tcW w:w="845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0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0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845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1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0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845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0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1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845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1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1</w:t>
                  </w:r>
                </w:p>
              </w:tc>
              <w:tc>
                <w:tcPr>
                  <w:tcW w:w="70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0</w:t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Другим методом полином Жегалкина (преобразование Мебиуса)</w:t>
            </w:r>
          </w:p>
          <w:tbl>
            <w:tblPr>
              <w:tblW w:w="768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59"/>
            </w:tblGrid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>
                      <w:lang w:val="en-US"/>
                    </w:rPr>
                    <w:t>z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>
                      <w:lang w:val="en-US"/>
                    </w:rPr>
                    <w:t>y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>
                      <w:lang w:val="en-US"/>
                    </w:rPr>
                    <w:t>zy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>
                      <w:lang w:val="en-US"/>
                    </w:rPr>
                    <w:t>xz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>
                      <w:lang w:val="en-US"/>
                    </w:rPr>
                    <w:t>xy</w:t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120" w:after="120"/>
                    <w:rPr/>
                  </w:pPr>
                  <w:r>
                    <w:rPr>
                      <w:lang w:val="en-US"/>
                    </w:rPr>
                    <w:t>xyz</w:t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jc w:val="right"/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/>
                      <w:color w:val="000000"/>
                      <w:sz w:val="40"/>
                      <w:szCs w:val="40"/>
                      <w:lang w:eastAsia="ru-RU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auto" w:val="clear"/>
                  <w:vAlign w:val="bottom"/>
                </w:tcPr>
                <w:p>
                  <w:pPr>
                    <w:pStyle w:val="Normal"/>
                    <w:widowControl w:val="false"/>
                    <w:rPr>
                      <w:rFonts w:ascii="Calibri" w:hAnsi="Calibri" w:eastAsia="Times New Roman"/>
                      <w:color w:val="000000"/>
                      <w:sz w:val="40"/>
                      <w:szCs w:val="40"/>
                      <w:lang w:eastAsia="ru-RU"/>
                    </w:rPr>
                  </w:pPr>
                  <w:r>
                    <w:rPr>
                      <w:rFonts w:eastAsia="Times New Roman" w:ascii="Calibri" w:hAnsi="Calibri"/>
                      <w:color w:val="000000"/>
                      <w:sz w:val="40"/>
                      <w:szCs w:val="40"/>
                      <w:lang w:eastAsia="ru-RU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lang w:val="uk-UA"/>
              </w:rPr>
              <w:t>Завдання 7</w:t>
            </w:r>
            <w:r>
              <w:rPr>
                <w:lang w:val="uk-UA"/>
              </w:rPr>
              <w:t>. Знайти мінімальні ДНФ та КНФ за допомогою діаграм Карно-Вейча. 4-місна функція задається набором своїх значень (16 наборів).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f</w:t>
            </w:r>
            <w:r>
              <w:rPr>
                <w:i/>
                <w:sz w:val="26"/>
                <w:szCs w:val="26"/>
              </w:rPr>
              <w:t>=(</w:t>
            </w:r>
            <w:r>
              <w:rPr>
                <w:i/>
                <w:sz w:val="26"/>
                <w:szCs w:val="26"/>
                <w:highlight w:val="yellow"/>
                <w:lang w:val="en-US"/>
              </w:rPr>
              <w:t>1001</w:t>
            </w:r>
            <w:r>
              <w:rPr>
                <w:i/>
                <w:sz w:val="26"/>
                <w:szCs w:val="26"/>
                <w:lang w:val="en-US"/>
              </w:rPr>
              <w:t xml:space="preserve">  0101   1111   1010</w:t>
            </w:r>
            <w:r>
              <w:rPr>
                <w:i/>
                <w:sz w:val="26"/>
                <w:szCs w:val="26"/>
              </w:rPr>
              <w:t>)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tbl>
            <w:tblPr>
              <w:tblStyle w:val="a3"/>
              <w:tblW w:w="8637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729"/>
              <w:gridCol w:w="1726"/>
              <w:gridCol w:w="1728"/>
              <w:gridCol w:w="1726"/>
              <w:gridCol w:w="1728"/>
            </w:tblGrid>
            <w:tr>
              <w:trPr/>
              <w:tc>
                <w:tcPr>
                  <w:tcW w:w="172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</w:r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</m:ba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</m:bar>
                    </m:oMath>
                  </m:oMathPara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oMath>
                  </m:oMathPara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</m:bar>
                    </m:oMath>
                  </m:oMathPara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cd</m:t>
                      </m:r>
                    </m:oMath>
                  </m:oMathPara>
                </w:p>
              </w:tc>
            </w:tr>
            <w:tr>
              <w:trPr/>
              <w:tc>
                <w:tcPr>
                  <w:tcW w:w="172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</m:ba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</m:oMath>
                  </m:oMathPara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0</w:t>
                  </w:r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0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172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oMath>
                  </m:oMathPara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0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0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172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</m:oMath>
                  </m:oMathPara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1729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center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ab</m:t>
                      </m:r>
                    </m:oMath>
                  </m:oMathPara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0</w:t>
                  </w:r>
                </w:p>
              </w:tc>
              <w:tc>
                <w:tcPr>
                  <w:tcW w:w="172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1</w:t>
                  </w:r>
                </w:p>
              </w:tc>
              <w:tc>
                <w:tcPr>
                  <w:tcW w:w="1728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i/>
                      <w:i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Batang" w:cs="Times New Roman"/>
                      <w:i/>
                      <w:kern w:val="0"/>
                      <w:sz w:val="26"/>
                      <w:szCs w:val="26"/>
                      <w:lang w:val="en-US" w:bidi="ar-SA"/>
                    </w:rPr>
                    <w:t>0</w:t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  <w:r>
              <mc:AlternateContent>
                <mc:Choice Requires="wps">
                  <w:drawing>
                    <wp:anchor behindDoc="0" distT="0" distB="0" distL="114300" distR="114300" simplePos="0" locked="0" layoutInCell="0" allowOverlap="1" relativeHeight="39">
                      <wp:simplePos x="0" y="0"/>
                      <wp:positionH relativeFrom="page">
                        <wp:posOffset>1009015</wp:posOffset>
                      </wp:positionH>
                      <wp:positionV relativeFrom="paragraph">
                        <wp:posOffset>134620</wp:posOffset>
                      </wp:positionV>
                      <wp:extent cx="5484495" cy="1749425"/>
                      <wp:effectExtent l="0" t="0" r="0" b="0"/>
                      <wp:wrapSquare wrapText="bothSides"/>
                      <wp:docPr id="1" name="Врез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84495" cy="1749425"/>
                              </a:xfrm>
                              <a:prstGeom prst="rect"/>
                            </wps:spPr>
                            <wps:txbx>
                              <w:txbxContent>
                                <w:tbl>
                                  <w:tblPr>
                                    <w:tblStyle w:val="a3"/>
                                    <w:tblpPr w:bottomFromText="0" w:horzAnchor="page" w:leftFromText="180" w:rightFromText="180" w:tblpX="1697" w:tblpY="212" w:topFromText="0" w:vertAnchor="text"/>
                                    <w:tblW w:w="8637" w:type="dxa"/>
                                    <w:jc w:val="left"/>
                                    <w:tblInd w:w="-5" w:type="dxa"/>
                                    <w:tblLayout w:type="fixed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  <w:tblLook w:firstRow="1" w:noVBand="1" w:lastRow="0" w:firstColumn="1" w:lastColumn="0" w:noHBand="0" w:val="04a0"/>
                                  </w:tblPr>
                                  <w:tblGrid>
                                    <w:gridCol w:w="1729"/>
                                    <w:gridCol w:w="1726"/>
                                    <w:gridCol w:w="1728"/>
                                    <w:gridCol w:w="1726"/>
                                    <w:gridCol w:w="1728"/>
                                  </w:tblGrid>
                                  <w:tr>
                                    <w:trPr/>
                                    <w:tc>
                                      <w:tcPr>
                                        <w:tcW w:w="1729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center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c</m:t>
                                                </m:r>
                                              </m:e>
                                            </m:bar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d</m:t>
                                                </m:r>
                                              </m:e>
                                            </m:bar>
                                          </m:oMath>
                                        </m:oMathPara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center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c</m:t>
                                                </m:r>
                                              </m:e>
                                            </m:bar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d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center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cd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center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c</m:t>
                                            </m:r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d</m:t>
                                                </m:r>
                                              </m:e>
                                            </m:bar>
                                          </m:oMath>
                                        </m:oMathPara>
                                      </w:p>
                                    </w:tc>
                                  </w:tr>
                                  <w:tr>
                                    <w:trPr/>
                                    <w:tc>
                                      <w:tcPr>
                                        <w:tcW w:w="1729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center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a</m:t>
                                                </m:r>
                                              </m:e>
                                            </m:bar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b</m:t>
                                                </m:r>
                                              </m:e>
                                            </m:bar>
                                          </m:oMath>
                                        </m:oMathPara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>
                                    <w:trPr/>
                                    <w:tc>
                                      <w:tcPr>
                                        <w:tcW w:w="1729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center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a</m:t>
                                                </m:r>
                                              </m:e>
                                            </m:bar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b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highlight w:val="green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highlight w:val="green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highlight w:val="green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highlight w:val="green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>
                                    <w:trPr/>
                                    <w:tc>
                                      <w:tcPr>
                                        <w:tcW w:w="1729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ab</m:t>
                                            </m:r>
                                          </m:oMath>
                                        </m:oMathPara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highlight w:val="yellow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highlight w:val="yellow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highlight w:val="yellow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highlight w:val="yellow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</w:tr>
                                  <w:tr>
                                    <w:trPr/>
                                    <w:tc>
                                      <w:tcPr>
                                        <w:tcW w:w="1729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center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kern w:val="0"/>
                                            <w:lang w:bidi="ar-SA"/>
                                          </w:rPr>
                                        </w:r>
                                        <m:oMathPara xmlns:m="http://schemas.openxmlformats.org/officeDocument/2006/math">
                                          <m:oMathParaPr>
                                            <m:jc m:val="center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a</m:t>
                                            </m:r>
                                            <m:bar>
                                              <m:barPr>
                                                <m:pos m:val="top"/>
                                              </m:bar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b</m:t>
                                                </m:r>
                                              </m:e>
                                            </m:bar>
                                          </m:oMath>
                                        </m:oMathPara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highlight w:val="yellow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highlight w:val="yellow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6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28" w:type="dxa"/>
                                        <w:tcBorders/>
                                      </w:tcPr>
                                      <w:p>
                                        <w:pPr>
                                          <w:pStyle w:val="Normal"/>
                                          <w:widowControl/>
                                          <w:spacing w:before="120" w:after="120"/>
                                          <w:jc w:val="left"/>
                                          <w:rPr>
                                            <w:i/>
                                            <w:i/>
                                            <w:sz w:val="26"/>
                                            <w:szCs w:val="26"/>
                                            <w:highlight w:val="yellow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eastAsia="Batang" w:cs="Times New Roman"/>
                                            <w:i/>
                                            <w:kern w:val="0"/>
                                            <w:sz w:val="26"/>
                                            <w:szCs w:val="26"/>
                                            <w:highlight w:val="yellow"/>
                                            <w:lang w:val="en-US" w:bidi="ar-S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</w:tr>
                                </w:tbl>
                              </w:txbxContent>
                            </wps:txbx>
                            <wps:bodyPr anchor="t" lIns="0" tIns="0" rIns="0" bIns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0;width:431.85pt;height:137.75pt;mso-wrap-distance-left:9pt;mso-wrap-distance-right:9pt;mso-wrap-distance-top:0pt;mso-wrap-distance-bottom:0pt;margin-top:10.6pt;mso-position-vertical-relative:text;margin-left:79.45pt;mso-position-horizontal-relative:page">
                      <v:textbox inset="0in,0in,0in,0in">
                        <w:txbxContent>
                          <w:tbl>
                            <w:tblPr>
                              <w:tblStyle w:val="a3"/>
                              <w:tblpPr w:bottomFromText="0" w:horzAnchor="page" w:leftFromText="180" w:rightFromText="180" w:tblpX="1697" w:tblpY="212" w:topFromText="0" w:vertAnchor="text"/>
                              <w:tblW w:w="8637" w:type="dxa"/>
                              <w:jc w:val="left"/>
                              <w:tblInd w:w="-5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1729"/>
                              <w:gridCol w:w="1726"/>
                              <w:gridCol w:w="1728"/>
                              <w:gridCol w:w="1726"/>
                              <w:gridCol w:w="1728"/>
                            </w:tblGrid>
                            <w:tr>
                              <w:trPr/>
                              <w:tc>
                                <w:tcPr>
                                  <w:tcW w:w="1729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center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</w:r>
                                  <m:oMathPara xmlns:m="http://schemas.openxmlformats.org/officeDocument/2006/math">
                                    <m:oMathParaPr>
                                      <m:jc m:val="center"/>
                                    </m:oMathParaPr>
                                    <m:oMath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c</m:t>
                                          </m:r>
                                        </m:e>
                                      </m:bar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d</m:t>
                                          </m:r>
                                        </m:e>
                                      </m:ba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center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</w:r>
                                  <m:oMathPara xmlns:m="http://schemas.openxmlformats.org/officeDocument/2006/math">
                                    <m:oMathParaPr>
                                      <m:jc m:val="center"/>
                                    </m:oMathParaPr>
                                    <m:oMath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c</m:t>
                                          </m:r>
                                        </m:e>
                                      </m:ba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d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center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</w:r>
                                  <m:oMathPara xmlns:m="http://schemas.openxmlformats.org/officeDocument/2006/math">
                                    <m:oMathParaPr>
                                      <m:jc m:val="center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cd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center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</w:r>
                                  <m:oMathPara xmlns:m="http://schemas.openxmlformats.org/officeDocument/2006/math">
                                    <m:oMathParaPr>
                                      <m:jc m:val="center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c</m:t>
                                      </m:r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d</m:t>
                                          </m:r>
                                        </m:e>
                                      </m:bar>
                                    </m:oMath>
                                  </m:oMathPara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729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center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</w:r>
                                  <m:oMathPara xmlns:m="http://schemas.openxmlformats.org/officeDocument/2006/math">
                                    <m:oMathParaPr>
                                      <m:jc m:val="center"/>
                                    </m:oMathParaPr>
                                    <m:oMath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a</m:t>
                                          </m:r>
                                        </m:e>
                                      </m:bar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b</m:t>
                                          </m:r>
                                        </m:e>
                                      </m:ba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pict>
                                      <v:oval id="shape_0" ID="Oval 12_0" stroked="t" style="position:absolute;margin-left:78.2pt;margin-top:-1.3pt;width:38.65pt;height:57.45pt;v-text-anchor:middle">
                                        <w10:wrap type="none"/>
                                        <v:fill o:detectmouseclick="t" on="false"/>
                                        <v:stroke color="black" weight="9360" joinstyle="round" endcap="flat"/>
                                      </v:oval>
                                    </w:pict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729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center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</w:r>
                                  <m:oMathPara xmlns:m="http://schemas.openxmlformats.org/officeDocument/2006/math">
                                    <m:oMathParaPr>
                                      <m:jc m:val="center"/>
                                    </m:oMathParaPr>
                                    <m:oMath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a</m:t>
                                          </m:r>
                                        </m:e>
                                      </m:ba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b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highlight w:val="gree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highlight w:val="green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highlight w:val="gree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highlight w:val="green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729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  <w:pict>
                                      <v:oval id="shape_0" ID="Oval 11_0" stroked="t" style="position:absolute;margin-left:74pt;margin-top:26.55pt;width:330.95pt;height:30.05pt;v-text-anchor:middle">
                                        <w10:wrap type="none"/>
                                        <v:fill o:detectmouseclick="t" on="false"/>
                                        <v:stroke color="black" weight="9360" joinstyle="round" endcap="flat"/>
                                      </v:oval>
                                    </w:pict>
                                  </w:r>
                                  <m:oMathPara xmlns:m="http://schemas.openxmlformats.org/officeDocument/2006/math"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ab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highlight w:val="yellow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highlight w:val="yellow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highlight w:val="yellow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highlight w:val="yellow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729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center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kern w:val="0"/>
                                      <w:lang w:bidi="ar-SA"/>
                                    </w:rPr>
                                  </w:r>
                                  <m:oMathPara xmlns:m="http://schemas.openxmlformats.org/officeDocument/2006/math">
                                    <m:oMathParaPr>
                                      <m:jc m:val="center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</m:t>
                                      </m:r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b</m:t>
                                          </m:r>
                                        </m:e>
                                      </m:ba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highlight w:val="yellow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highlight w:val="yellow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widowControl/>
                                    <w:spacing w:before="120" w:after="120"/>
                                    <w:jc w:val="left"/>
                                    <w:rPr>
                                      <w:i/>
                                      <w:i/>
                                      <w:sz w:val="26"/>
                                      <w:szCs w:val="26"/>
                                      <w:highlight w:val="yellow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Batang" w:cs="Times New Roman"/>
                                      <w:i/>
                                      <w:kern w:val="0"/>
                                      <w:sz w:val="26"/>
                                      <w:szCs w:val="26"/>
                                      <w:highlight w:val="yellow"/>
                                      <w:lang w:val="en-US" w:bidi="ar-SA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49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-16510</wp:posOffset>
                      </wp:positionV>
                      <wp:extent cx="492125" cy="730885"/>
                      <wp:effectExtent l="6350" t="6985" r="6985" b="5715"/>
                      <wp:wrapNone/>
                      <wp:docPr id="4" name="Oval 12_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400" cy="73008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Oval 12_0" stroked="t" style="position:absolute;margin-left:78.2pt;margin-top:-1.3pt;width:38.65pt;height:57.45pt;v-text-anchor:middle">
                      <w10:wrap type="none"/>
                      <v:fill o:detectmouseclick="t" on="false"/>
                      <v:stroke color="black" weight="9360" joinstyle="round" endcap="flat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8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337185</wp:posOffset>
                      </wp:positionV>
                      <wp:extent cx="4204335" cy="382905"/>
                      <wp:effectExtent l="6350" t="7620" r="9525" b="10160"/>
                      <wp:wrapNone/>
                      <wp:docPr id="5" name="Oval 11_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20" cy="38232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Oval 11_0" stroked="t" style="position:absolute;margin-left:74pt;margin-top:26.55pt;width:330.95pt;height:30.05pt;v-text-anchor:middle">
                      <w10:wrap type="none"/>
                      <v:fill o:detectmouseclick="t" on="false"/>
                      <v:stroke color="black" weight="9360" joinstyle="round" endcap="flat"/>
                    </v:oval>
                  </w:pict>
                </mc:Fallback>
              </mc:AlternateConten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i/>
                <w:i/>
                <w:sz w:val="26"/>
                <w:szCs w:val="26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a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cd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a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bd</m:t>
                </m:r>
                <m:r>
                  <w:rPr>
                    <w:rFonts w:ascii="Cambria Math" w:hAnsi="Cambria Math"/>
                  </w:rPr>
                  <m:t xml:space="preserve">+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ba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ba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sz w:val="26"/>
                <w:szCs w:val="26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lang w:val="uk-UA"/>
              </w:rPr>
              <w:t>Завдання 8</w:t>
            </w:r>
            <w:r>
              <w:rPr>
                <w:lang w:val="uk-UA"/>
              </w:rPr>
              <w:t>. Перевірити, чи є задані функції лінійними, монотонними, самодвоїстими, чи зберігають 0 та/або 1. Зробити висновок щодо функціональної повноти заданого набору функцій.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≡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∧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</m:bar>
              </m:oMath>
            </m:oMathPara>
          </w:p>
          <w:tbl>
            <w:tblPr>
              <w:tblStyle w:val="a3"/>
              <w:tblW w:w="6229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563"/>
              <w:gridCol w:w="566"/>
              <w:gridCol w:w="567"/>
              <w:gridCol w:w="1136"/>
              <w:gridCol w:w="849"/>
              <w:gridCol w:w="849"/>
              <w:gridCol w:w="849"/>
              <w:gridCol w:w="849"/>
            </w:tblGrid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y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∧</m:t>
                      </m:r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oMath>
                  </m:oMathPara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f1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bidi="ar-SA"/>
                    </w:rPr>
                  </w:r>
                  <m:oMathPara xmlns:m="http://schemas.openxmlformats.org/officeDocument/2006/math"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∨</m:t>
                      </m:r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oMath>
                  </m:oMathPara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2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3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563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6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567" w:type="dxa"/>
                  <w:tcBorders/>
                  <w:shd w:color="auto" w:fill="auto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1136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ru-RU" w:bidi="ar-SA"/>
                    </w:rPr>
                    <w:t>0</w:t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Побудуємо поліноми Жегалкіна за перетворенням </w:t>
            </w:r>
            <w:r>
              <w:fldChar w:fldCharType="begin"/>
            </w:r>
            <w:r>
              <w:rPr>
                <w:sz w:val="28"/>
                <w:szCs w:val="28"/>
                <w:lang w:val="uk-UA"/>
              </w:rPr>
              <w:instrText> HYPERLINK "https://neerc.ifmo.ru/wiki/index.php?title=Полином_Жегалкина" \l ".D0.9F.D1.80.D0.B5.D0.BE.D0.B1.D1.80.D0.B0.D0.B7.D0.BE.D0.B2.D0.B0.D0.BD.D0.B8.D0.B5_.D0.9C.D1.91.D0.B1.D0.B8.D1.83"</w:instrText>
            </w:r>
            <w:r>
              <w:rPr>
                <w:sz w:val="28"/>
                <w:szCs w:val="28"/>
                <w:lang w:val="uk-UA"/>
              </w:rPr>
              <w:fldChar w:fldCharType="separate"/>
            </w:r>
            <w:r>
              <w:rPr>
                <w:sz w:val="28"/>
                <w:szCs w:val="28"/>
                <w:lang w:val="uk-UA"/>
              </w:rPr>
              <w:t>Мебіуса</w:t>
            </w:r>
            <w:r>
              <w:rPr>
                <w:sz w:val="28"/>
                <w:szCs w:val="28"/>
                <w:lang w:val="uk-UA"/>
              </w:rPr>
              <w:fldChar w:fldCharType="end"/>
            </w:r>
          </w:p>
          <w:tbl>
            <w:tblPr>
              <w:tblStyle w:val="a3"/>
              <w:tblW w:w="6792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9"/>
              <w:gridCol w:w="849"/>
              <w:gridCol w:w="849"/>
              <w:gridCol w:w="849"/>
              <w:gridCol w:w="849"/>
              <w:gridCol w:w="849"/>
              <w:gridCol w:w="849"/>
              <w:gridCol w:w="848"/>
            </w:tblGrid>
            <w:tr>
              <w:trPr/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y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zy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xz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xy</w:t>
                  </w:r>
                </w:p>
              </w:tc>
              <w:tc>
                <w:tcPr>
                  <w:tcW w:w="848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xyz</w:t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1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xy</m:t>
                </m:r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  <w:t xml:space="preserve">Отже </w:t>
            </w:r>
            <w:r>
              <w:rPr>
                <w:lang w:val="en-US"/>
              </w:rPr>
              <w:t>f1</w:t>
            </w:r>
            <w:r>
              <w:rPr>
                <w:lang w:val="uk-UA"/>
              </w:rPr>
              <w:t xml:space="preserve"> не є лінійною</w:t>
            </w:r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Normal"/>
              <w:widowControl w:val="false"/>
              <w:rPr>
                <w:lang w:val="en-US"/>
              </w:rPr>
            </w:pPr>
            <w:r>
              <w:rPr>
                <w:lang w:val="en-US"/>
              </w:rPr>
            </w:r>
          </w:p>
          <w:tbl>
            <w:tblPr>
              <w:tblStyle w:val="a3"/>
              <w:tblW w:w="6792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9"/>
              <w:gridCol w:w="849"/>
              <w:gridCol w:w="849"/>
              <w:gridCol w:w="849"/>
              <w:gridCol w:w="849"/>
              <w:gridCol w:w="849"/>
              <w:gridCol w:w="849"/>
              <w:gridCol w:w="848"/>
            </w:tblGrid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y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zy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xz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xy</w:t>
                  </w:r>
                </w:p>
              </w:tc>
              <w:tc>
                <w:tcPr>
                  <w:tcW w:w="848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xyz</w:t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2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xz</m:t>
                </m:r>
                <m:r>
                  <w:rPr>
                    <w:rFonts w:ascii="Cambria Math" w:hAnsi="Cambria Math"/>
                  </w:rPr>
                  <m:t xml:space="preserve">xyz</m:t>
                </m:r>
              </m:oMath>
            </m:oMathPara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  <w:t xml:space="preserve">Отже </w:t>
            </w:r>
            <w:r>
              <w:rPr>
                <w:lang w:val="en-US"/>
              </w:rPr>
              <w:t>f2</w:t>
            </w:r>
            <w:r>
              <w:rPr>
                <w:lang w:val="uk-UA"/>
              </w:rPr>
              <w:t xml:space="preserve"> не є лінійною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  <w:tbl>
            <w:tblPr>
              <w:tblStyle w:val="a3"/>
              <w:tblW w:w="6792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9"/>
              <w:gridCol w:w="849"/>
              <w:gridCol w:w="849"/>
              <w:gridCol w:w="849"/>
              <w:gridCol w:w="849"/>
              <w:gridCol w:w="849"/>
              <w:gridCol w:w="849"/>
              <w:gridCol w:w="848"/>
            </w:tblGrid>
            <w:tr>
              <w:trPr/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y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zy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xz</w:t>
                  </w:r>
                </w:p>
              </w:tc>
              <w:tc>
                <w:tcPr>
                  <w:tcW w:w="849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xy</w:t>
                  </w:r>
                </w:p>
              </w:tc>
              <w:tc>
                <w:tcPr>
                  <w:tcW w:w="848" w:type="dxa"/>
                  <w:tcBorders/>
                  <w:shd w:color="auto" w:fill="F79646" w:themeFill="accent6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xyz</w:t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8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1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849" w:type="dxa"/>
                  <w:tcBorders/>
                  <w:shd w:color="auto" w:fill="FFFFFF" w:themeFill="background1" w:val="clear"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highlight w:val="yellow"/>
                      <w:lang w:val="en-US" w:bidi="ar-SA"/>
                    </w:rPr>
                    <w:t>0</w:t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left"/>
                    <w:rPr>
                      <w:rFonts w:ascii="Times New Roman" w:hAnsi="Times New Roman" w:eastAsia="Batang" w:cs="Times New Roman"/>
                      <w:kern w:val="0"/>
                      <w:lang w:val="ru-RU" w:bidi="ar-SA"/>
                    </w:rPr>
                  </w:pPr>
                  <w:r>
                    <w:rPr>
                      <w:rFonts w:eastAsia="Batang" w:cs="Times New Roman"/>
                      <w:kern w:val="0"/>
                      <w:lang w:val="ru-RU" w:bidi="ar-SA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3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z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xy</m:t>
                </m:r>
              </m:oMath>
            </m:oMathPara>
          </w:p>
          <w:p>
            <w:pPr>
              <w:pStyle w:val="Normal"/>
              <w:widowControl w:val="false"/>
              <w:rPr>
                <w:lang w:val="uk-UA"/>
              </w:rPr>
            </w:pPr>
            <w:r>
              <w:rPr>
                <w:lang w:val="uk-UA"/>
              </w:rPr>
              <w:t xml:space="preserve">Отже </w:t>
            </w:r>
            <w:r>
              <w:rPr>
                <w:lang w:val="en-US"/>
              </w:rPr>
              <w:t>f3</w:t>
            </w:r>
            <w:r>
              <w:rPr>
                <w:lang w:val="uk-UA"/>
              </w:rPr>
              <w:t xml:space="preserve"> не є лінійною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  <w:tbl>
            <w:tblPr>
              <w:tblStyle w:val="a3"/>
              <w:tblW w:w="8637" w:type="dxa"/>
              <w:jc w:val="left"/>
              <w:tblInd w:w="7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2046"/>
              <w:gridCol w:w="2197"/>
              <w:gridCol w:w="2196"/>
              <w:gridCol w:w="2197"/>
            </w:tblGrid>
            <w:tr>
              <w:trPr/>
              <w:tc>
                <w:tcPr>
                  <w:tcW w:w="204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f1</w:t>
                  </w:r>
                </w:p>
              </w:tc>
              <w:tc>
                <w:tcPr>
                  <w:tcW w:w="219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f2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f3</w:t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w="204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лінійними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ні</w:t>
                  </w:r>
                </w:p>
              </w:tc>
              <w:tc>
                <w:tcPr>
                  <w:tcW w:w="219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ні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ні</w:t>
                  </w:r>
                </w:p>
              </w:tc>
            </w:tr>
            <w:tr>
              <w:trPr>
                <w:trHeight w:val="2805" w:hRule="atLeast"/>
              </w:trPr>
              <w:tc>
                <w:tcPr>
                  <w:tcW w:w="204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монотонними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ні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f(1.0.0)&gt;f(1.1.0) (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спадає)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f(1,1,1)&gt;f(1.0.0)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(зростає)</w:t>
                  </w:r>
                </w:p>
              </w:tc>
              <w:tc>
                <w:tcPr>
                  <w:tcW w:w="219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ні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(0.0.0)&gt;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(0,0,1) (спадає)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(1,1,1)&gt;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(1.1.0)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(зростає)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ні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bidi="ar-SA"/>
                    </w:rPr>
                    <w:t xml:space="preserve"> 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(1.0.1)&gt;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(1,1,1) (спадає)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(1,0,0)&gt;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(0,0.0)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(зростає)</w:t>
                  </w:r>
                </w:p>
              </w:tc>
            </w:tr>
            <w:tr>
              <w:trPr/>
              <w:tc>
                <w:tcPr>
                  <w:tcW w:w="204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 xml:space="preserve">самодвоїстими 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 xml:space="preserve">ні 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(0.1.1)=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(1.0.0)</w:t>
                  </w:r>
                </w:p>
              </w:tc>
              <w:tc>
                <w:tcPr>
                  <w:tcW w:w="219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 xml:space="preserve">ні 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(0.0.1)=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(1.1.0)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 xml:space="preserve">ні 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(1.1.1)=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(0.0.0)</w:t>
                  </w:r>
                </w:p>
              </w:tc>
            </w:tr>
            <w:tr>
              <w:trPr/>
              <w:tc>
                <w:tcPr>
                  <w:tcW w:w="204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зберігають 0 та/або 1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зберігає 1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bidi="ar-SA"/>
                    </w:rPr>
                    <w:t xml:space="preserve"> 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bidi="ar-SA"/>
                    </w:rPr>
                    <w:t>(1.1.1)=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1</w:t>
                  </w:r>
                </w:p>
              </w:tc>
              <w:tc>
                <w:tcPr>
                  <w:tcW w:w="2196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зберігає 1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 xml:space="preserve"> 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ru-RU" w:bidi="ar-SA"/>
                    </w:rPr>
                    <w:t>(1.1.1)=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1</w:t>
                  </w:r>
                </w:p>
              </w:tc>
              <w:tc>
                <w:tcPr>
                  <w:tcW w:w="2197" w:type="dxa"/>
                  <w:tcBorders/>
                </w:tcPr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 xml:space="preserve"> </w:t>
                  </w:r>
                  <w:r>
                    <w:rPr>
                      <w:rFonts w:eastAsia="Batang" w:cs="Times New Roman"/>
                      <w:kern w:val="0"/>
                      <w:lang w:val="uk-UA" w:bidi="ar-SA"/>
                    </w:rPr>
                    <w:t>зберігає 0</w:t>
                  </w:r>
                </w:p>
                <w:p>
                  <w:pPr>
                    <w:pStyle w:val="Normal"/>
                    <w:widowControl/>
                    <w:spacing w:before="120" w:after="120"/>
                    <w:jc w:val="left"/>
                    <w:rPr>
                      <w:sz w:val="28"/>
                      <w:szCs w:val="28"/>
                      <w:lang w:val="uk-UA"/>
                    </w:rPr>
                  </w:pP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en-US" w:bidi="ar-SA"/>
                    </w:rPr>
                    <w:t>f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bidi="ar-SA"/>
                    </w:rPr>
                    <w:t>(0.0.0)</w:t>
                  </w:r>
                  <w:r>
                    <w:rPr>
                      <w:rFonts w:eastAsia="Batang" w:cs="Times New Roman"/>
                      <w:kern w:val="0"/>
                      <w:sz w:val="28"/>
                      <w:szCs w:val="28"/>
                      <w:lang w:val="uk-UA" w:bidi="ar-SA"/>
                    </w:rPr>
                    <w:t>=0</w:t>
                  </w:r>
                </w:p>
              </w:tc>
            </w:tr>
          </w:tbl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rFonts w:cs="Arial" w:ascii="Arial" w:hAnsi="Arial"/>
                <w:color w:val="222222"/>
                <w:sz w:val="15"/>
                <w:szCs w:val="15"/>
                <w:shd w:fill="FDFDFD" w:val="clear"/>
              </w:rPr>
              <w:t>Набор булевых функций </w:t>
            </w:r>
            <w:r>
              <w:rPr>
                <w:rStyle w:val="Mi"/>
                <w:rFonts w:cs="Arial" w:ascii="MathJax_Math-italic" w:hAnsi="MathJax_Math-italic"/>
                <w:color w:val="222222"/>
                <w:sz w:val="20"/>
                <w:szCs w:val="20"/>
              </w:rPr>
              <w:t>K</w:t>
            </w:r>
            <w:r>
              <w:rPr>
                <w:rStyle w:val="Mjxassistivemathml"/>
                <w:rFonts w:cs="Arial" w:ascii="Arial" w:hAnsi="Arial"/>
                <w:color w:val="222222"/>
                <w:sz w:val="15"/>
                <w:szCs w:val="15"/>
              </w:rPr>
              <w:t>K</w:t>
            </w:r>
            <w:r>
              <w:rPr>
                <w:rFonts w:cs="Arial" w:ascii="Arial" w:hAnsi="Arial"/>
                <w:color w:val="222222"/>
                <w:sz w:val="15"/>
                <w:szCs w:val="15"/>
                <w:shd w:fill="FDFDFD" w:val="clear"/>
              </w:rPr>
              <w:t> является полным тогда и только тогда, когда он не содержится полностью ни в одном из классов </w:t>
            </w:r>
            <w:r>
              <w:rPr>
                <w:rStyle w:val="Mi"/>
                <w:rFonts w:cs="Arial" w:ascii="MathJax_Math-italic" w:hAnsi="MathJax_Math-italic"/>
                <w:color w:val="222222"/>
                <w:sz w:val="20"/>
                <w:szCs w:val="20"/>
              </w:rPr>
              <w:t>S</w:t>
            </w:r>
            <w:r>
              <w:rPr>
                <w:rStyle w:val="Mo"/>
                <w:rFonts w:cs="Arial" w:ascii="MathJax_Main" w:hAnsi="MathJax_Main"/>
                <w:color w:val="222222"/>
                <w:sz w:val="20"/>
                <w:szCs w:val="20"/>
              </w:rPr>
              <w:t>,</w:t>
            </w:r>
            <w:r>
              <w:rPr>
                <w:rStyle w:val="Mi"/>
                <w:rFonts w:cs="Arial" w:ascii="MathJax_Math-italic" w:hAnsi="MathJax_Math-italic"/>
                <w:color w:val="222222"/>
                <w:sz w:val="20"/>
                <w:szCs w:val="20"/>
              </w:rPr>
              <w:t>M</w:t>
            </w:r>
            <w:r>
              <w:rPr>
                <w:rStyle w:val="Mo"/>
                <w:rFonts w:cs="Arial" w:ascii="MathJax_Main" w:hAnsi="MathJax_Main"/>
                <w:color w:val="222222"/>
                <w:sz w:val="20"/>
                <w:szCs w:val="20"/>
              </w:rPr>
              <w:t>,</w:t>
            </w:r>
            <w:r>
              <w:rPr>
                <w:rStyle w:val="Mi"/>
                <w:rFonts w:cs="Arial" w:ascii="MathJax_Math-italic" w:hAnsi="MathJax_Math-italic"/>
                <w:color w:val="222222"/>
                <w:sz w:val="20"/>
                <w:szCs w:val="20"/>
              </w:rPr>
              <w:t>L</w:t>
            </w:r>
            <w:r>
              <w:rPr>
                <w:rStyle w:val="Mo"/>
                <w:rFonts w:cs="Arial" w:ascii="MathJax_Main" w:hAnsi="MathJax_Main"/>
                <w:color w:val="222222"/>
                <w:sz w:val="20"/>
                <w:szCs w:val="20"/>
              </w:rPr>
              <w:t>,</w:t>
            </w:r>
            <w:r>
              <w:rPr>
                <w:rStyle w:val="Mi"/>
                <w:rFonts w:cs="Arial" w:ascii="MathJax_Math-italic" w:hAnsi="MathJax_Math-italic"/>
                <w:color w:val="222222"/>
                <w:sz w:val="20"/>
                <w:szCs w:val="20"/>
              </w:rPr>
              <w:t>T</w:t>
            </w:r>
            <w:r>
              <w:rPr>
                <w:rStyle w:val="Mn"/>
                <w:rFonts w:cs="Arial" w:ascii="MathJax_Main" w:hAnsi="MathJax_Main"/>
                <w:color w:val="222222"/>
                <w:sz w:val="14"/>
                <w:szCs w:val="14"/>
              </w:rPr>
              <w:t>0</w:t>
            </w:r>
            <w:r>
              <w:rPr>
                <w:rStyle w:val="Mo"/>
                <w:rFonts w:cs="Arial" w:ascii="MathJax_Main" w:hAnsi="MathJax_Main"/>
                <w:color w:val="222222"/>
                <w:sz w:val="20"/>
                <w:szCs w:val="20"/>
              </w:rPr>
              <w:t>,</w:t>
            </w:r>
            <w:r>
              <w:rPr>
                <w:rStyle w:val="Mi"/>
                <w:rFonts w:cs="Arial" w:ascii="MathJax_Math-italic" w:hAnsi="MathJax_Math-italic"/>
                <w:color w:val="222222"/>
                <w:sz w:val="20"/>
                <w:szCs w:val="20"/>
              </w:rPr>
              <w:t>T</w:t>
            </w:r>
            <w:r>
              <w:rPr>
                <w:rStyle w:val="Mn"/>
                <w:rFonts w:cs="Arial" w:ascii="MathJax_Main" w:hAnsi="MathJax_Main"/>
                <w:color w:val="222222"/>
                <w:sz w:val="14"/>
                <w:szCs w:val="14"/>
              </w:rPr>
              <w:t>1</w:t>
            </w:r>
            <w:r>
              <w:rPr>
                <w:rStyle w:val="Mjxassistivemathml"/>
                <w:rFonts w:cs="Arial" w:ascii="Arial" w:hAnsi="Arial"/>
                <w:color w:val="222222"/>
                <w:sz w:val="15"/>
                <w:szCs w:val="15"/>
              </w:rPr>
              <w:t>S,M,L,T0,T1</w:t>
            </w:r>
            <w:r>
              <w:rPr>
                <w:rFonts w:cs="Arial" w:ascii="Arial" w:hAnsi="Arial"/>
                <w:color w:val="222222"/>
                <w:sz w:val="15"/>
                <w:szCs w:val="15"/>
                <w:shd w:fill="FDFDFD" w:val="clear"/>
              </w:rPr>
              <w:t>, иными словами, когда в нем имеется хотя бы одна функция, не сохраняющая ноль, хотя бы одна функция, не сохраняющая один, хотя бы одна несамодвойственная функция, хотя бы одна немонотонная функция и хотя бы одна нелинейная функция.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Даний набор функцій є повним.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highlight w:val="red"/>
                <w:lang w:val="uk-UA"/>
              </w:rPr>
              <w:t>Завдання</w:t>
            </w:r>
            <w:r>
              <w:rPr>
                <w:b/>
                <w:lang w:val="uk-UA"/>
              </w:rPr>
              <w:t xml:space="preserve"> 9</w:t>
            </w:r>
            <w:r>
              <w:rPr>
                <w:lang w:val="uk-UA"/>
              </w:rPr>
              <w:t xml:space="preserve">. Довести теорему в численні висловлювань </w:t>
            </w:r>
            <w:r>
              <w:rPr>
                <w:i/>
                <w:lang w:val="uk-UA"/>
              </w:rPr>
              <w:t>L</w:t>
            </w:r>
            <w:r>
              <w:rPr>
                <w:lang w:val="uk-UA"/>
              </w:rPr>
              <w:t xml:space="preserve">. Перед доведенням замінити операції, відмінні від імплікації та заперечення, на еквівалентні вирази, які містять тільки імплікацію та заперечення. </w:t>
            </w:r>
            <w:r>
              <w:rPr>
                <w:i/>
                <w:lang w:val="uk-UA"/>
              </w:rPr>
              <w:t>Не дозволяється проводити додаткові алгебраїчні перетворення, наприклад, скорочення подвійних заперечень.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∨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  <m:r>
                      <w:rPr>
                        <w:rFonts w:ascii="Cambria Math" w:hAnsi="Cambria Math"/>
                      </w:rPr>
                      <m:t xml:space="preserve">)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→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∧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bar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</m:e>
                        </m:d>
                      </m:e>
                    </m:ba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ba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 xml:space="preserve">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</m:e>
                        </m:d>
                      </m:e>
                    </m:ba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bar>
                      <m:barPr>
                        <m:pos m:val="top"/>
                      </m:barPr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 xml:space="preserve">→</m:t>
                            </m:r>
                            <m:bar>
                              <m:barPr>
                                <m:pos m:val="top"/>
                              </m:barPr>
                              <m:e>
                                <m:bar>
                                  <m:barPr>
                                    <m:pos m:val="top"/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</m:t>
                                    </m:r>
                                  </m:e>
                                </m:bar>
                              </m:e>
                            </m:bar>
                          </m:e>
                        </m:d>
                      </m:e>
                    </m:ba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  <w:t xml:space="preserve">Доведемо. Що </w:t>
            </w: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→</m:t>
                  </m: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bar>
                </m:e>
              </m:d>
              <m:r>
                <w:rPr>
                  <w:rFonts w:ascii="Cambria Math" w:hAnsi="Cambria Math"/>
                </w:rPr>
                <m:t xml:space="preserve">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</m:oMath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120" w:after="120"/>
              <w:contextualSpacing/>
              <w:rPr>
                <w:lang w:val="uk-UA"/>
              </w:rPr>
            </w:pP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bar>
              <m:r>
                <w:rPr>
                  <w:rFonts w:ascii="Cambria Math" w:hAnsi="Cambria Math"/>
                </w:rPr>
                <m:t xml:space="preserve">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bar>
            </m:oMath>
            <w:r>
              <w:rPr>
                <w:lang w:val="uk-UA"/>
              </w:rPr>
              <w:t xml:space="preserve">      </w:t>
            </w:r>
            <w:r>
              <w:rPr>
                <w:lang w:val="uk-UA"/>
              </w:rPr>
              <w:t>гіпотеза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120" w:after="120"/>
              <w:contextualSpacing/>
              <w:rPr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гіпотеза</m:t>
                </m:r>
              </m:oMath>
            </m:oMathPara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120" w:after="120"/>
              <w:contextualSpacing/>
              <w:rPr>
                <w:lang w:val="uk-UA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→</m:t>
                  </m: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bar>
                </m:e>
              </m:d>
              <m:r>
                <w:rPr>
                  <w:rFonts w:ascii="Cambria Math" w:hAnsi="Cambria Math"/>
                </w:rPr>
                <m:t xml:space="preserve">→</m:t>
              </m:r>
              <m:d>
                <m:dPr>
                  <m:begChr m:val="("/>
                  <m:endChr m:val=")"/>
                </m:dPr>
                <m:e>
                  <m:d>
                    <m:dPr>
                      <m:begChr m:val="("/>
                      <m:endChr m:val=")"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 xml:space="preserve">→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</m:oMath>
            <w:r>
              <w:rPr/>
              <w:t xml:space="preserve">  </w:t>
            </w:r>
            <w:r>
              <w:rPr/>
              <w:t>(</w:t>
            </w:r>
            <w:r>
              <w:rPr>
                <w:lang w:val="uk-UA"/>
              </w:rPr>
              <w:t>аксіома 3)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120" w:after="120"/>
              <w:contextualSpacing/>
              <w:rPr>
                <w:lang w:val="uk-UA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→</m:t>
              </m:r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oMath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rPr>
                <w:lang w:val="uk-UA"/>
              </w:rPr>
              <w:t>аксіома 1)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120" w:after="120"/>
              <w:contextualSpacing/>
              <w:rPr>
                <w:lang w:val="uk-UA"/>
              </w:rPr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rPr>
                <w:lang w:val="uk-UA"/>
              </w:rPr>
              <w:t xml:space="preserve">1 і 3 </w:t>
            </w:r>
            <w:r>
              <w:rPr>
                <w:lang w:val="en-US"/>
              </w:rPr>
              <w:t>MP)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120" w:after="120"/>
              <w:contextualSpacing/>
              <w:rPr>
                <w:lang w:val="uk-UA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(4 </w:t>
            </w:r>
            <w:r>
              <w:rPr>
                <w:lang w:val="uk-UA"/>
              </w:rPr>
              <w:t>і 5)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120" w:after="120"/>
              <w:contextualSpacing/>
              <w:rPr>
                <w:lang w:val="uk-UA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(2,6  MP)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bar>
                      <m:barPr>
                        <m:pos m:val="top"/>
                      </m:bar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</m:e>
                        </m:bar>
                      </m:e>
                    </m:bar>
                  </m:e>
                </m:d>
                <m:r>
                  <w:rPr>
                    <w:rFonts w:ascii="Cambria Math" w:hAnsi="Cambria Math"/>
                  </w:rPr>
                  <m:t xml:space="preserve">→</m:t>
                </m:r>
                <m:d>
                  <m:dPr>
                    <m:begChr m:val="("/>
                    <m:endChr m:val=")"/>
                  </m:d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ba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d>
              </m:oMath>
            </m:oMathPara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en-US"/>
              </w:rPr>
            </w:pPr>
            <w:r>
              <w:rPr/>
              <w:drawing>
                <wp:inline distT="0" distB="0" distL="0" distR="0">
                  <wp:extent cx="5434965" cy="293370"/>
                  <wp:effectExtent l="0" t="0" r="0" b="0"/>
                  <wp:docPr id="6" name="Рисунок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3701" t="65308" r="4796" b="26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4965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i/>
                <w:i/>
                <w:lang w:val="en-US"/>
              </w:rPr>
            </w:pPr>
            <w:r>
              <w:rPr>
                <w:lang w:val="uk-UA"/>
              </w:rPr>
              <w:t xml:space="preserve">Доведемо 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</m:e>
              </m:ba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B</m:t>
              </m:r>
            </m:oMath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before="120" w:after="120"/>
              <w:contextualSpacing/>
              <w:rPr/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→</m:t>
                  </m:r>
                  <m:bar>
                    <m:barPr>
                      <m:pos m:val="top"/>
                    </m:bar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</m:e>
                  </m:bar>
                </m:e>
              </m:d>
              <m:r>
                <w:rPr>
                  <w:rFonts w:ascii="Cambria Math" w:hAnsi="Cambria Math"/>
                </w:rPr>
                <m:t xml:space="preserve">→</m:t>
              </m:r>
              <m:d>
                <m:dPr>
                  <m:begChr m:val="("/>
                  <m:endChr m:val=")"/>
                </m:dPr>
                <m:e>
                  <m:d>
                    <m:dPr>
                      <m:begChr m:val="("/>
                      <m:endChr m:val=")"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 xml:space="preserve">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</m:e>
                  </m:d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</m:oMath>
            <w:r>
              <w:rPr/>
              <w:t xml:space="preserve"> </w:t>
            </w:r>
            <w:r>
              <w:rPr/>
              <w:t>(</w:t>
            </w:r>
            <w:r>
              <w:rPr>
                <w:lang w:val="uk-UA"/>
              </w:rPr>
              <w:t>аксіома 3)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before="120" w:after="120"/>
              <w:contextualSpacing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→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bar>
              </m:oMath>
            </m:oMathPara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before="120" w:after="120"/>
              <w:contextualSpacing/>
              <w:rPr/>
            </w:pPr>
            <w:r>
              <w:rPr/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→</m:t>
                  </m:r>
                  <m:bar>
                    <m:barPr>
                      <m:pos m:val="top"/>
                    </m:bar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</m:e>
                  </m:bar>
                </m:e>
              </m:d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rPr>
                <w:lang w:val="uk-UA"/>
              </w:rPr>
              <w:t>з 1 та 2)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before="120" w:after="120"/>
              <w:contextualSpacing/>
              <w:rPr/>
            </w:pP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</m:e>
              </m:bar>
              <m:r>
                <w:rPr>
                  <w:rFonts w:ascii="Cambria Math" w:hAnsi="Cambria Math"/>
                </w:rPr>
                <m:t xml:space="preserve">→</m:t>
              </m:r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→</m:t>
                  </m:r>
                  <m:bar>
                    <m:barPr>
                      <m:pos m:val="top"/>
                    </m:bar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</m:bar>
                    </m:e>
                  </m:bar>
                </m:e>
              </m:d>
            </m:oMath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rPr>
                <w:lang w:val="uk-UA"/>
              </w:rPr>
              <w:t>аксіома 1)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before="120" w:after="120"/>
              <w:contextualSpacing/>
              <w:rPr/>
            </w:pP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bar>
                </m:e>
              </m:ba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lang w:val="en-US"/>
              </w:rPr>
              <w:t xml:space="preserve">(4 </w:t>
            </w:r>
            <w:r>
              <w:rPr>
                <w:lang w:val="uk-UA"/>
              </w:rPr>
              <w:t>та 3)</w:t>
            </w:r>
          </w:p>
          <w:p>
            <w:pPr>
              <w:pStyle w:val="ListParagraph"/>
              <w:widowControl w:val="false"/>
              <w:spacing w:before="120" w:after="120"/>
              <w:ind w:left="1428" w:hanging="0"/>
              <w:contextualSpacing/>
              <w:rPr>
                <w:lang w:val="uk-UA"/>
              </w:rPr>
            </w:pPr>
            <w:r>
              <w:rPr>
                <w:lang w:val="uk-UA"/>
              </w:rPr>
            </w:r>
          </w:p>
          <w:p>
            <w:pPr>
              <w:pStyle w:val="ListParagraph"/>
              <w:widowControl w:val="false"/>
              <w:spacing w:before="120" w:after="120"/>
              <w:ind w:left="1428" w:hanging="0"/>
              <w:contextualSpacing/>
              <w:rPr>
                <w:lang w:val="uk-UA"/>
              </w:rPr>
            </w:pPr>
            <w:r>
              <w:rPr>
                <w:lang w:val="uk-UA"/>
              </w:rPr>
              <w:t>Тоді</w:t>
            </w:r>
          </w:p>
          <w:p>
            <w:pPr>
              <w:pStyle w:val="ListParagraph"/>
              <w:widowControl w:val="false"/>
              <w:spacing w:before="120" w:after="120"/>
              <w:ind w:left="1428" w:hanging="0"/>
              <w:contextualSpacing/>
              <w:jc w:val="center"/>
              <w:rPr>
                <w:i/>
                <w:i/>
                <w:lang w:val="uk-UA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→</m:t>
                </m:r>
                <m:bar>
                  <m:barPr>
                    <m:pos m:val="top"/>
                  </m:bar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bar>
                  </m:e>
                </m:ba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гіпотеза</m:t>
                </m:r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428" w:hanging="0"/>
              <w:contextualSpacing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e>
                    </m:bar>
                  </m:e>
                </m:ba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доведено</m:t>
                </m:r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428" w:hanging="0"/>
              <w:contextualSpacing/>
              <w:jc w:val="center"/>
              <w:rPr>
                <w:i/>
                <w:i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ba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B</m:t>
                </m:r>
              </m:oMath>
            </m:oMathPara>
          </w:p>
          <w:p>
            <w:pPr>
              <w:pStyle w:val="ListParagraph"/>
              <w:widowControl w:val="false"/>
              <w:spacing w:before="120" w:after="120"/>
              <w:ind w:left="1428" w:hanging="0"/>
              <w:contextualSpacing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/>
            </w:pPr>
            <w:hyperlink r:id="rId7">
              <w:r>
                <w:rPr>
                  <w:lang w:val="en-US"/>
                </w:rPr>
                <w:t>http</w:t>
              </w:r>
              <w:r>
                <w:rPr>
                  <w:lang w:val="uk-UA"/>
                </w:rPr>
                <w:t>://</w:t>
              </w:r>
              <w:r>
                <w:rPr>
                  <w:lang w:val="en-US"/>
                </w:rPr>
                <w:t>amnm</w:t>
              </w:r>
              <w:r>
                <w:rPr>
                  <w:lang w:val="uk-UA"/>
                </w:rPr>
                <w:t>.</w:t>
              </w:r>
              <w:r>
                <w:rPr>
                  <w:lang w:val="en-US"/>
                </w:rPr>
                <w:t>vspu</w:t>
              </w:r>
              <w:r>
                <w:rPr>
                  <w:lang w:val="uk-UA"/>
                </w:rPr>
                <w:t>.</w:t>
              </w:r>
              <w:r>
                <w:rPr>
                  <w:lang w:val="en-US"/>
                </w:rPr>
                <w:t>edu</w:t>
              </w:r>
              <w:r>
                <w:rPr>
                  <w:lang w:val="uk-UA"/>
                </w:rPr>
                <w:t>.</w:t>
              </w:r>
              <w:r>
                <w:rPr>
                  <w:lang w:val="en-US"/>
                </w:rPr>
                <w:t>ua</w:t>
              </w:r>
              <w:r>
                <w:rPr>
                  <w:lang w:val="uk-UA"/>
                </w:rPr>
                <w:t>/</w:t>
              </w:r>
              <w:r>
                <w:rPr>
                  <w:lang w:val="en-US"/>
                </w:rPr>
                <w:t>wp</w:t>
              </w:r>
              <w:r>
                <w:rPr>
                  <w:lang w:val="uk-UA"/>
                </w:rPr>
                <w:t>-</w:t>
              </w:r>
              <w:r>
                <w:rPr>
                  <w:lang w:val="en-US"/>
                </w:rPr>
                <w:t>content</w:t>
              </w:r>
              <w:r>
                <w:rPr>
                  <w:lang w:val="uk-UA"/>
                </w:rPr>
                <w:t>/</w:t>
              </w:r>
              <w:r>
                <w:rPr>
                  <w:lang w:val="en-US"/>
                </w:rPr>
                <w:t>uploads</w:t>
              </w:r>
              <w:r>
                <w:rPr>
                  <w:lang w:val="uk-UA"/>
                </w:rPr>
                <w:t>/2016/02/</w:t>
              </w:r>
              <w:r>
                <w:rPr>
                  <w:lang w:val="en-US"/>
                </w:rPr>
                <w:t>Trohimenko</w:t>
              </w:r>
              <w:r>
                <w:rPr>
                  <w:lang w:val="uk-UA"/>
                </w:rPr>
                <w:t>-</w:t>
              </w:r>
              <w:r>
                <w:rPr>
                  <w:lang w:val="en-US"/>
                </w:rPr>
                <w:t>Matematichna</w:t>
              </w:r>
              <w:r>
                <w:rPr>
                  <w:lang w:val="uk-UA"/>
                </w:rPr>
                <w:t>-</w:t>
              </w:r>
              <w:r>
                <w:rPr>
                  <w:lang w:val="en-US"/>
                </w:rPr>
                <w:t>logika</w:t>
              </w:r>
              <w:r>
                <w:rPr>
                  <w:lang w:val="uk-UA"/>
                </w:rPr>
                <w:t>.</w:t>
              </w:r>
              <w:r>
                <w:rPr>
                  <w:lang w:val="en-US"/>
                </w:rPr>
                <w:t>pdf</w:t>
              </w:r>
            </w:hyperlink>
            <w:r>
              <w:rPr/>
              <w:t xml:space="preserve"> стр 30-37.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lang w:val="en-US"/>
              </w:rPr>
            </w:pPr>
            <w:r>
              <w:rPr/>
              <w:drawing>
                <wp:inline distT="0" distB="0" distL="0" distR="0">
                  <wp:extent cx="4619625" cy="812165"/>
                  <wp:effectExtent l="0" t="0" r="0" b="0"/>
                  <wp:docPr id="7" name="Рисунок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962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5936615" cy="3480435"/>
                  <wp:effectExtent l="0" t="0" r="0" b="0"/>
                  <wp:docPr id="8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widowControl w:val="false"/>
              <w:spacing w:before="120" w:after="120"/>
              <w:rPr>
                <w:lang w:val="uk-UA"/>
              </w:rPr>
            </w:pPr>
            <w:r>
              <w:rPr>
                <w:b/>
                <w:highlight w:val="red"/>
                <w:lang w:val="uk-UA"/>
              </w:rPr>
              <w:t>Завдання</w:t>
            </w:r>
            <w:r>
              <w:rPr>
                <w:b/>
                <w:lang w:val="uk-UA"/>
              </w:rPr>
              <w:t xml:space="preserve"> 10</w:t>
            </w:r>
            <w:r>
              <w:rPr>
                <w:lang w:val="uk-UA"/>
              </w:rPr>
              <w:t xml:space="preserve">. Знайти значення істинності формули логіки першого порядку на всіх інтерпретаціях для множини </w:t>
            </w:r>
            <w:r>
              <w:rPr>
                <w:i/>
                <w:lang w:val="en-US"/>
              </w:rPr>
              <w:t>D</w:t>
            </w:r>
            <w:r>
              <w:rPr>
                <w:i/>
                <w:lang w:val="uk-UA"/>
              </w:rPr>
              <w:t> </w:t>
            </w:r>
            <w:r>
              <w:rPr/>
              <w:t>=</w:t>
            </w:r>
            <w:r>
              <w:rPr>
                <w:lang w:val="uk-UA"/>
              </w:rPr>
              <w:t> </w:t>
            </w:r>
            <w:r>
              <w:rPr/>
              <w:t>{</w:t>
            </w:r>
            <w:r>
              <w:rPr>
                <w:i/>
                <w:lang w:val="en-US"/>
              </w:rPr>
              <w:t>a</w:t>
            </w:r>
            <w:r>
              <w:rPr/>
              <w:t xml:space="preserve">, </w:t>
            </w:r>
            <w:r>
              <w:rPr>
                <w:i/>
                <w:lang w:val="en-US"/>
              </w:rPr>
              <w:t>b</w:t>
            </w:r>
            <w:r>
              <w:rPr/>
              <w:t>}.</w:t>
            </w:r>
          </w:p>
          <w:p>
            <w:pPr>
              <w:pStyle w:val="Normal"/>
              <w:widowControl w:val="false"/>
              <w:spacing w:before="120" w:after="120"/>
              <w:ind w:left="708" w:hanging="0"/>
              <w:rPr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∀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∃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</w:tr>
    </w:tbl>
    <w:p>
      <w:pPr>
        <w:pStyle w:val="Normal"/>
        <w:rPr>
          <w:sz w:val="28"/>
          <w:szCs w:val="28"/>
          <w:lang w:val="en-US"/>
        </w:rPr>
      </w:pPr>
      <w:r>
        <w:rPr/>
      </w:r>
    </w:p>
    <w:sectPr>
      <w:headerReference w:type="default" r:id="rId10"/>
      <w:footerReference w:type="default" r:id="rId11"/>
      <w:type w:val="nextPage"/>
      <w:pgSz w:w="11906" w:h="16838"/>
      <w:pgMar w:left="1701" w:right="850" w:header="708" w:top="1134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mbria Math">
    <w:charset w:val="cc"/>
    <w:family w:val="roman"/>
    <w:pitch w:val="variable"/>
  </w:font>
  <w:font w:name="Verdana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MathJax_Math-italic">
    <w:charset w:val="cc"/>
    <w:family w:val="roman"/>
    <w:pitch w:val="variable"/>
  </w:font>
  <w:font w:name="MathJax_Mai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4"/>
      <w:rPr>
        <w:lang w:val="en-US"/>
      </w:rPr>
    </w:pP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column">
                <wp:posOffset>-113665</wp:posOffset>
              </wp:positionH>
              <wp:positionV relativeFrom="paragraph">
                <wp:posOffset>270510</wp:posOffset>
              </wp:positionV>
              <wp:extent cx="6172835" cy="635"/>
              <wp:effectExtent l="13335" t="5715" r="5715" b="13335"/>
              <wp:wrapSquare wrapText="bothSides"/>
              <wp:docPr id="9" name="Li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8.95pt,21.3pt" to="477pt,21.3pt" ID="Line 2" stroked="t" style="position:absolute">
              <v:stroke color="black" weight="9360" joinstyle="round" endcap="flat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114300" distR="114300" simplePos="0" locked="0" layoutInCell="0" allowOverlap="1" relativeHeight="38">
              <wp:simplePos x="0" y="0"/>
              <wp:positionH relativeFrom="column">
                <wp:posOffset>-113665</wp:posOffset>
              </wp:positionH>
              <wp:positionV relativeFrom="paragraph">
                <wp:posOffset>270510</wp:posOffset>
              </wp:positionV>
              <wp:extent cx="6172835" cy="635"/>
              <wp:effectExtent l="13335" t="5715" r="5715" b="13335"/>
              <wp:wrapSquare wrapText="bothSides"/>
              <wp:docPr id="10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8.95pt,21.3pt" to="477pt,21.3pt" ID="Line 1" stroked="t" style="position:absolute">
              <v:stroke color="black" weight="9360" joinstyle="round" endcap="flat"/>
              <v:fill o:detectmouseclick="t" on="false"/>
            </v:line>
          </w:pict>
        </mc:Fallback>
      </mc:AlternateContent>
    </w:r>
    <w:r>
      <w:rPr/>
      <w:t xml:space="preserve"> </w:t>
    </w:r>
    <w:r>
      <w:rPr>
        <w:sz w:val="24"/>
        <w:szCs w:val="24"/>
        <w:lang w:val="uk-UA" w:eastAsia="ko-KR"/>
      </w:rPr>
      <w:t>Кононов М. А.</w:t>
    </w:r>
    <w:r>
      <w:rPr/>
      <w:t xml:space="preserve">, </w:t>
    </w:r>
    <w:r>
      <w:rPr>
        <w:lang w:val="uk-UA"/>
      </w:rPr>
      <w:t>ВАРІАНТ №8</w:t>
    </w:r>
  </w:p>
  <w:p>
    <w:pPr>
      <w:pStyle w:val="Style24"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214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5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3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1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08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atang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65d6"/>
    <w:pPr>
      <w:widowControl/>
      <w:bidi w:val="0"/>
      <w:spacing w:before="0" w:after="0"/>
      <w:jc w:val="left"/>
    </w:pPr>
    <w:rPr>
      <w:rFonts w:ascii="Times New Roman" w:hAnsi="Times New Roman" w:eastAsia="Batang" w:cs="Times New Roman"/>
      <w:color w:val="auto"/>
      <w:kern w:val="0"/>
      <w:sz w:val="24"/>
      <w:szCs w:val="24"/>
      <w:lang w:eastAsia="ko-KR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link w:val="a4"/>
    <w:qFormat/>
    <w:rsid w:val="0016718a"/>
    <w:rPr>
      <w:sz w:val="24"/>
      <w:szCs w:val="24"/>
      <w:lang w:val="ru-RU" w:eastAsia="ko-KR"/>
    </w:rPr>
  </w:style>
  <w:style w:type="character" w:styleId="PlaceholderText">
    <w:name w:val="Placeholder Text"/>
    <w:basedOn w:val="DefaultParagraphFont"/>
    <w:uiPriority w:val="99"/>
    <w:semiHidden/>
    <w:qFormat/>
    <w:rsid w:val="00c72abb"/>
    <w:rPr>
      <w:color w:val="808080"/>
    </w:rPr>
  </w:style>
  <w:style w:type="character" w:styleId="Style15" w:customStyle="1">
    <w:name w:val="Текст выноски Знак"/>
    <w:basedOn w:val="DefaultParagraphFont"/>
    <w:link w:val="a8"/>
    <w:qFormat/>
    <w:rsid w:val="00c72abb"/>
    <w:rPr>
      <w:rFonts w:ascii="Tahoma" w:hAnsi="Tahoma" w:cs="Tahoma"/>
      <w:sz w:val="16"/>
      <w:szCs w:val="16"/>
      <w:lang w:eastAsia="ko-KR"/>
    </w:rPr>
  </w:style>
  <w:style w:type="character" w:styleId="Style16">
    <w:name w:val="Интернет-ссылка"/>
    <w:basedOn w:val="DefaultParagraphFont"/>
    <w:rsid w:val="00fc6392"/>
    <w:rPr>
      <w:color w:val="0000FF" w:themeColor="hyperlink"/>
      <w:u w:val="single"/>
    </w:rPr>
  </w:style>
  <w:style w:type="character" w:styleId="Style17">
    <w:name w:val="Посещённая гиперссылка"/>
    <w:basedOn w:val="DefaultParagraphFont"/>
    <w:rsid w:val="008a10ac"/>
    <w:rPr>
      <w:color w:val="800080" w:themeColor="followedHyperlink"/>
      <w:u w:val="single"/>
    </w:rPr>
  </w:style>
  <w:style w:type="character" w:styleId="Mi" w:customStyle="1">
    <w:name w:val="mi"/>
    <w:basedOn w:val="DefaultParagraphFont"/>
    <w:qFormat/>
    <w:rsid w:val="00fd4a44"/>
    <w:rPr/>
  </w:style>
  <w:style w:type="character" w:styleId="Mjxassistivemathml" w:customStyle="1">
    <w:name w:val="mjx_assistive_mathml"/>
    <w:basedOn w:val="DefaultParagraphFont"/>
    <w:qFormat/>
    <w:rsid w:val="00fd4a44"/>
    <w:rPr/>
  </w:style>
  <w:style w:type="character" w:styleId="Mo" w:customStyle="1">
    <w:name w:val="mo"/>
    <w:basedOn w:val="DefaultParagraphFont"/>
    <w:qFormat/>
    <w:rsid w:val="00fd4a44"/>
    <w:rPr/>
  </w:style>
  <w:style w:type="character" w:styleId="Mn" w:customStyle="1">
    <w:name w:val="mn"/>
    <w:basedOn w:val="DefaultParagraphFont"/>
    <w:qFormat/>
    <w:rsid w:val="00fd4a44"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Mang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Mangal"/>
    </w:rPr>
  </w:style>
  <w:style w:type="paragraph" w:styleId="Style23">
    <w:name w:val="Верхний и нижний колонтитулы"/>
    <w:basedOn w:val="Normal"/>
    <w:qFormat/>
    <w:pPr/>
    <w:rPr/>
  </w:style>
  <w:style w:type="paragraph" w:styleId="Style24">
    <w:name w:val="Header"/>
    <w:basedOn w:val="Normal"/>
    <w:link w:val="a5"/>
    <w:rsid w:val="00d5407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5">
    <w:name w:val="Footer"/>
    <w:basedOn w:val="Normal"/>
    <w:rsid w:val="00d5407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a9"/>
    <w:qFormat/>
    <w:rsid w:val="00c72ab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6741"/>
    <w:pPr>
      <w:spacing w:before="0" w:after="0"/>
      <w:ind w:left="720" w:hanging="0"/>
      <w:contextualSpacing/>
    </w:pPr>
    <w:rPr/>
  </w:style>
  <w:style w:type="paragraph" w:styleId="Style26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38145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pectorsky.ho.ua/files/rasch.pdf" TargetMode="External"/><Relationship Id="rId3" Type="http://schemas.openxmlformats.org/officeDocument/2006/relationships/hyperlink" Target="http://spectorsky.ho.ua/files/rasch.pdf" TargetMode="External"/><Relationship Id="rId4" Type="http://schemas.openxmlformats.org/officeDocument/2006/relationships/hyperlink" Target="http://spectorsky.ho.ua/files/rasch.pdf" TargetMode="External"/><Relationship Id="rId5" Type="http://schemas.openxmlformats.org/officeDocument/2006/relationships/hyperlink" Target="https://life-prog.ru/1_34874_razlozhenie-bulevih-funktsiy-v-kanonicheskiy-polinom-zhegalkina.html" TargetMode="External"/><Relationship Id="rId6" Type="http://schemas.openxmlformats.org/officeDocument/2006/relationships/image" Target="media/image1.png"/><Relationship Id="rId7" Type="http://schemas.openxmlformats.org/officeDocument/2006/relationships/hyperlink" Target="http://amnm.vspu.edu.ua/wp-content/uploads/2016/02/Trohimenko-Matematichna-logika.pdf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LibreOffice/7.0.1.2$Windows_x86 LibreOffice_project/7cbcfc562f6eb6708b5ff7d7397325de9e764452</Application>
  <Pages>17</Pages>
  <Words>1334</Words>
  <Characters>5872</Characters>
  <CharactersWithSpaces>6670</CharactersWithSpaces>
  <Paragraphs>667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2021-02-18T06:17:00Z</dcterms:created>
  <dc:creator>Admin</dc:creator>
  <dc:description/>
  <dc:language>ru-RU</dc:language>
  <cp:lastModifiedBy/>
  <cp:lastPrinted>2012-11-04T17:21:00Z</cp:lastPrinted>
  <dcterms:modified xsi:type="dcterms:W3CDTF">2021-03-15T00:09:43Z</dcterms:modified>
  <cp:revision>3</cp:revision>
  <dc:subject/>
  <dc:title>НАЦІОНАЛЬНИЙ ТЕХНІЧНИЙ УНІВЕРСИТЕТ УКРАЇНИ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