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E3A5F"/>
          <w:sz w:val="52"/>
        </w:rPr>
        <w:t>Breast MRI Classification</w:t>
      </w:r>
    </w:p>
    <w:p>
      <w:pPr>
        <w:jc w:val="center"/>
      </w:pPr>
      <w:r>
        <w:rPr>
          <w:rFonts w:ascii="Calibri" w:hAnsi="Calibri"/>
          <w:b w:val="0"/>
          <w:i/>
          <w:color w:val="64748B"/>
          <w:sz w:val="26"/>
        </w:rPr>
        <w:t>Speaker Manuscript — TDT4265 Mini-Project</w:t>
      </w:r>
    </w:p>
    <w:p>
      <w:pPr>
        <w:jc w:val="center"/>
      </w:pPr>
      <w:r>
        <w:rPr>
          <w:rFonts w:ascii="Calibri" w:hAnsi="Calibri"/>
          <w:b w:val="0"/>
          <w:i w:val="0"/>
          <w:color w:val="64748B"/>
          <w:sz w:val="22"/>
        </w:rPr>
        <w:t>Konrad Johansen  •  ~12 minutes  •  18 slides</w:t>
      </w:r>
    </w:p>
    <w:p>
      <w:pPr>
        <w:pBdr>
          <w:bottom w:val="single" w:sz="4" w:space="1" w:color="CBD5E1"/>
        </w:pBdr>
      </w:pPr>
    </w:p>
    <w:p>
      <w:r>
        <w:rPr>
          <w:rFonts w:ascii="Calibri" w:hAnsi="Calibri"/>
          <w:b/>
          <w:i w:val="0"/>
          <w:color w:val="0D9488"/>
          <w:sz w:val="26"/>
        </w:rPr>
        <w:t>How to use this manuscript</w:t>
      </w:r>
    </w:p>
    <w:p>
      <w:r>
        <w:rPr>
          <w:rFonts w:ascii="Calibri" w:hAnsi="Calibri"/>
          <w:b w:val="0"/>
          <w:i w:val="0"/>
          <w:color w:val="1E293B"/>
          <w:sz w:val="22"/>
        </w:rPr>
        <w:t>Each section below corresponds to one slide. The target pace is around 145 words per minute — natural, unhurried. Feel free to paraphrase rather than reading verbatim; the goal is to hit the key points, not to recite. Approximate speaking time is marked at the start of each slide.</w:t>
      </w:r>
    </w:p>
    <w:p/>
    <w:p>
      <w:r>
        <w:rPr>
          <w:rFonts w:ascii="Calibri" w:hAnsi="Calibri"/>
          <w:b/>
          <w:i/>
          <w:color w:val="D97706"/>
          <w:sz w:val="22"/>
        </w:rPr>
        <w:t>Total length: 1759 words  ≈  12 min 07 s  at 145 wpm.</w:t>
      </w:r>
    </w:p>
    <w:p/>
    <w:p>
      <w:r>
        <w:rPr>
          <w:rFonts w:ascii="Calibri" w:hAnsi="Calibri"/>
          <w:b/>
          <w:i w:val="0"/>
          <w:color w:val="1E3A5F"/>
          <w:sz w:val="30"/>
        </w:rPr>
        <w:t>Slide 01  —  Title</w:t>
      </w:r>
    </w:p>
    <w:p>
      <w:r>
        <w:rPr>
          <w:rFonts w:ascii="Calibri" w:hAnsi="Calibri"/>
          <w:b w:val="0"/>
          <w:i/>
          <w:color w:val="64748B"/>
          <w:sz w:val="20"/>
        </w:rPr>
        <w:t>≈ 40 s  ·  96 words</w:t>
      </w:r>
    </w:p>
    <w:p>
      <w:pPr>
        <w:spacing w:after="280" w:line="360" w:lineRule="auto"/>
      </w:pPr>
      <w:r>
        <w:rPr>
          <w:rFonts w:ascii="Calibri" w:hAnsi="Calibri"/>
          <w:b w:val="0"/>
          <w:i w:val="0"/>
          <w:color w:val="1E293B"/>
          <w:sz w:val="24"/>
        </w:rPr>
        <w:t>Hi, I'm Konrad Johansen. This is my TDT4265 mini-project on breast MRI classification using deep learning. I tackled Option 2, the Medical Image Analysis track — specifically the ODELIA 2025 grand challenge. The task: given a breast MRI study, classify each breast as normal, benign, or malignant. The twist is generalization across five different European centers with different scanners and protocols. Over the next twelve minutes I'll walk you through how I iterated from a naive baseline of 0.117 to a final leaderboard score of 0.598 — a five-fold improvement driven entirely by exploratory data analysis.</w:t>
      </w:r>
    </w:p>
    <w:p>
      <w:r>
        <w:rPr>
          <w:rFonts w:ascii="Calibri" w:hAnsi="Calibri"/>
          <w:b/>
          <w:i w:val="0"/>
          <w:color w:val="1E3A5F"/>
          <w:sz w:val="30"/>
        </w:rPr>
        <w:t>Slide 02  —  Background &amp; Motivation</w:t>
      </w:r>
    </w:p>
    <w:p>
      <w:r>
        <w:rPr>
          <w:rFonts w:ascii="Calibri" w:hAnsi="Calibri"/>
          <w:b w:val="0"/>
          <w:i/>
          <w:color w:val="64748B"/>
          <w:sz w:val="20"/>
        </w:rPr>
        <w:t>≈ 46 s  ·  111 words</w:t>
      </w:r>
    </w:p>
    <w:p>
      <w:pPr>
        <w:spacing w:after="280" w:line="360" w:lineRule="auto"/>
      </w:pPr>
      <w:r>
        <w:rPr>
          <w:rFonts w:ascii="Calibri" w:hAnsi="Calibri"/>
          <w:b w:val="0"/>
          <w:i w:val="0"/>
          <w:color w:val="1E293B"/>
          <w:sz w:val="24"/>
        </w:rPr>
        <w:t>First, why this matters. Breast cancer is the most common cancer in women worldwide. DCE-MRI — dynamic contrast-enhanced MRI — offers higher sensitivity than mammography, especially for dense breasts and high-risk populations. But radiologists spend a lot of time reading these 3D volumes, and their interpretations vary between readers. AI could help with both throughput and consistency. That's exactly what the ODELIA challenge was designed to catalyze. It's a European consortium dataset — five centers, different vendors, different field strengths. The real challenge isn't getting good accuracy on any single scanner. It's making a model that generalizes across all of them, which is where almost every medical AI paper gets stuck.</w:t>
      </w:r>
    </w:p>
    <w:p>
      <w:r>
        <w:rPr>
          <w:rFonts w:ascii="Calibri" w:hAnsi="Calibri"/>
          <w:b/>
          <w:i w:val="0"/>
          <w:color w:val="1E3A5F"/>
          <w:sz w:val="30"/>
        </w:rPr>
        <w:t>Slide 03  —  Task &amp; Approach</w:t>
      </w:r>
    </w:p>
    <w:p>
      <w:r>
        <w:rPr>
          <w:rFonts w:ascii="Calibri" w:hAnsi="Calibri"/>
          <w:b w:val="0"/>
          <w:i/>
          <w:color w:val="64748B"/>
          <w:sz w:val="20"/>
        </w:rPr>
        <w:t>≈ 44 s  ·  106 words</w:t>
      </w:r>
    </w:p>
    <w:p>
      <w:pPr>
        <w:spacing w:after="280" w:line="360" w:lineRule="auto"/>
      </w:pPr>
      <w:r>
        <w:rPr>
          <w:rFonts w:ascii="Calibri" w:hAnsi="Calibri"/>
          <w:b w:val="0"/>
          <w:i w:val="0"/>
          <w:color w:val="1E293B"/>
          <w:sz w:val="24"/>
        </w:rPr>
        <w:t>Let me walk through the task and my strategy. Input is five MRI sequences per breast. Output is a calibrated softmax over three classes. I made four core design choices up front. One: train a unilateral classifier — one breast at a time — which cleanly doubles the number of training samples and avoids any left-right coupling. Two: EDA-guided iteration, not random hyperparameter sweeps. Every model version was motivated by a specific failure analysis. Three: focus on clinically relevant channels, especially the subtraction image. Four: target the real bottleneck — domain generalization to the hidden Riga scanner. That framing is what eventually gave me the breakthrough.</w:t>
      </w:r>
    </w:p>
    <w:p>
      <w:r>
        <w:rPr>
          <w:rFonts w:ascii="Calibri" w:hAnsi="Calibri"/>
          <w:b/>
          <w:i w:val="0"/>
          <w:color w:val="1E3A5F"/>
          <w:sz w:val="30"/>
        </w:rPr>
        <w:t>Slide 04  —  The Dataset</w:t>
      </w:r>
    </w:p>
    <w:p>
      <w:r>
        <w:rPr>
          <w:rFonts w:ascii="Calibri" w:hAnsi="Calibri"/>
          <w:b w:val="0"/>
          <w:i/>
          <w:color w:val="64748B"/>
          <w:sz w:val="20"/>
        </w:rPr>
        <w:t>≈ 42 s  ·  101 words</w:t>
      </w:r>
    </w:p>
    <w:p>
      <w:pPr>
        <w:spacing w:after="280" w:line="360" w:lineRule="auto"/>
      </w:pPr>
      <w:r>
        <w:rPr>
          <w:rFonts w:ascii="Calibri" w:hAnsi="Calibri"/>
          <w:b w:val="0"/>
          <w:i w:val="0"/>
          <w:color w:val="1E293B"/>
          <w:sz w:val="24"/>
        </w:rPr>
        <w:t>Here's the dataset. Five institutions contributed labeled data. After filtering out broken references, I had 478 labeled samples total — split into 192 for training, 144 for validation, and 142 for testing. That is very small for deep learning. Riga, the fifth institution, has 66 samples but their labels are hidden — that's the leaderboard test set, where models actually have to generalize to an unseen scanner. Note the original split CSV claims over 6,000 entries, but most of those reference UMCU data that simply doesn't exist on disk, or unlabeled studies. 478 is all you actually have to work with.</w:t>
      </w:r>
    </w:p>
    <w:p>
      <w:r>
        <w:rPr>
          <w:rFonts w:ascii="Calibri" w:hAnsi="Calibri"/>
          <w:b/>
          <w:i w:val="0"/>
          <w:color w:val="1E3A5F"/>
          <w:sz w:val="30"/>
        </w:rPr>
        <w:t>Slide 05  —  Class Imbalance</w:t>
      </w:r>
    </w:p>
    <w:p>
      <w:r>
        <w:rPr>
          <w:rFonts w:ascii="Calibri" w:hAnsi="Calibri"/>
          <w:b w:val="0"/>
          <w:i/>
          <w:color w:val="64748B"/>
          <w:sz w:val="20"/>
        </w:rPr>
        <w:t>≈ 41 s  ·  98 words</w:t>
      </w:r>
    </w:p>
    <w:p>
      <w:pPr>
        <w:spacing w:after="280" w:line="360" w:lineRule="auto"/>
      </w:pPr>
      <w:r>
        <w:rPr>
          <w:rFonts w:ascii="Calibri" w:hAnsi="Calibri"/>
          <w:b w:val="0"/>
          <w:i w:val="0"/>
          <w:color w:val="1E293B"/>
          <w:sz w:val="24"/>
        </w:rPr>
        <w:t>The biggest modeling constraint is class imbalance. Out of 192 training samples, 144 are normal, only 30 are malignant, and a mere 18 are benign. A naive model just predicts normal for everything — that gets you 75 percent accuracy and zero clinical value. Benign is the hardest class because there's almost nothing to learn from. I tried class-weighted loss early on, but in version seven my weights were too aggressive and flipped the problem: the model almost never predicted normal. My fix was in-batch oversampling, which repeats minority-class samples during training but leaves the validation distribution natural.</w:t>
      </w:r>
    </w:p>
    <w:p>
      <w:r>
        <w:rPr>
          <w:rFonts w:ascii="Calibri" w:hAnsi="Calibri"/>
          <w:b/>
          <w:i w:val="0"/>
          <w:color w:val="1E3A5F"/>
          <w:sz w:val="30"/>
        </w:rPr>
        <w:t>Slide 06  —  MRI Sequences</w:t>
      </w:r>
    </w:p>
    <w:p>
      <w:r>
        <w:rPr>
          <w:rFonts w:ascii="Calibri" w:hAnsi="Calibri"/>
          <w:b w:val="0"/>
          <w:i/>
          <w:color w:val="64748B"/>
          <w:sz w:val="20"/>
        </w:rPr>
        <w:t>≈ 46 s  ·  110 words</w:t>
      </w:r>
    </w:p>
    <w:p>
      <w:pPr>
        <w:spacing w:after="280" w:line="360" w:lineRule="auto"/>
      </w:pPr>
      <w:r>
        <w:rPr>
          <w:rFonts w:ascii="Calibri" w:hAnsi="Calibri"/>
          <w:b w:val="0"/>
          <w:i w:val="0"/>
          <w:color w:val="1E293B"/>
          <w:sz w:val="24"/>
        </w:rPr>
        <w:t>Each study has five sequences per breast, and picking the right ones matters. Pre-contrast gives baseline anatomy. Post one and post two show how contrast flows through tissue over time. T2-weighted characterizes tissue type — fluid versus solid. And Sub one is the subtraction image, post one minus pre. That's the most clinically informative channel because it isolates how much contrast agent actually entered the tissue. The curves here illustrate the key diagnostic signal: malignant lesions show rapid uptake followed by washout, benign lesions show slow persistent enhancement, normal tissue shows almost none. Choosing the right input channel mattered more for my leaderboard score than any architecture change I tried.</w:t>
      </w:r>
    </w:p>
    <w:p>
      <w:r>
        <w:rPr>
          <w:rFonts w:ascii="Calibri" w:hAnsi="Calibri"/>
          <w:b/>
          <w:i w:val="0"/>
          <w:color w:val="1E3A5F"/>
          <w:sz w:val="30"/>
        </w:rPr>
        <w:t>Slide 07  —  Architecture</w:t>
      </w:r>
    </w:p>
    <w:p>
      <w:r>
        <w:rPr>
          <w:rFonts w:ascii="Calibri" w:hAnsi="Calibri"/>
          <w:b w:val="0"/>
          <w:i/>
          <w:color w:val="64748B"/>
          <w:sz w:val="20"/>
        </w:rPr>
        <w:t>≈ 40 s  ·  97 words</w:t>
      </w:r>
    </w:p>
    <w:p>
      <w:pPr>
        <w:spacing w:after="280" w:line="360" w:lineRule="auto"/>
      </w:pPr>
      <w:r>
        <w:rPr>
          <w:rFonts w:ascii="Calibri" w:hAnsi="Calibri"/>
          <w:b w:val="0"/>
          <w:i w:val="0"/>
          <w:color w:val="1E293B"/>
          <w:sz w:val="24"/>
        </w:rPr>
        <w:t>My architecture is a 3D CNN from MONAI. The pipeline takes a Sub one volume resampled to 224 by 224 by 32 voxels, with percentile normalization to be robust to scanner intensity differences. Then strong augmentation — flips, rotations, intensity shifts, elastic deformations. Then the backbone — ResNet50 with InstanceNorm in my best version. Finally global pooling and a softmax over three classes. Three design choices worth highlighting: 3D over 2D, because cross-slice context matters clinically; unilateral per-breast, which doubles my effective dataset; and InstanceNorm instead of BatchNorm, which was the single most impactful change I made.</w:t>
      </w:r>
    </w:p>
    <w:p>
      <w:r>
        <w:rPr>
          <w:rFonts w:ascii="Calibri" w:hAnsi="Calibri"/>
          <w:b/>
          <w:i w:val="0"/>
          <w:color w:val="1E3A5F"/>
          <w:sz w:val="30"/>
        </w:rPr>
        <w:t>Slide 08  —  Key Techniques</w:t>
      </w:r>
    </w:p>
    <w:p>
      <w:r>
        <w:rPr>
          <w:rFonts w:ascii="Calibri" w:hAnsi="Calibri"/>
          <w:b w:val="0"/>
          <w:i/>
          <w:color w:val="64748B"/>
          <w:sz w:val="20"/>
        </w:rPr>
        <w:t>≈ 41 s  ·  100 words</w:t>
      </w:r>
    </w:p>
    <w:p>
      <w:pPr>
        <w:spacing w:after="280" w:line="360" w:lineRule="auto"/>
      </w:pPr>
      <w:r>
        <w:rPr>
          <w:rFonts w:ascii="Calibri" w:hAnsi="Calibri"/>
          <w:b w:val="0"/>
          <w:i w:val="0"/>
          <w:color w:val="1E293B"/>
          <w:sz w:val="24"/>
        </w:rPr>
        <w:t>A quick tour of the techniques that actually moved the needle. Percentile normalization clips the 1st to 99th percentile — robust to scanner intensity variations where z-score is not. Oversampling gives me class balance without the instability of heavy loss weights. InstanceNorm replaces BatchNorm to remove scanner-specific running statistics. Strong augmentation is essential with only 192 samples. Mild class weights — one, two, one-point-five — fine-tune the balance. Early stopping with 30 epochs of patience, paired with a cosine learning rate schedule, gives smooth convergence. None of these individually are novel, but the combination is what produced robust, reproducible results.</w:t>
      </w:r>
    </w:p>
    <w:p>
      <w:r>
        <w:rPr>
          <w:rFonts w:ascii="Calibri" w:hAnsi="Calibri"/>
          <w:b/>
          <w:i w:val="0"/>
          <w:color w:val="1E3A5F"/>
          <w:sz w:val="30"/>
        </w:rPr>
        <w:t>Slide 09  —  Training Setup</w:t>
      </w:r>
    </w:p>
    <w:p>
      <w:r>
        <w:rPr>
          <w:rFonts w:ascii="Calibri" w:hAnsi="Calibri"/>
          <w:b w:val="0"/>
          <w:i/>
          <w:color w:val="64748B"/>
          <w:sz w:val="20"/>
        </w:rPr>
        <w:t>≈ 36 s  ·  87 words</w:t>
      </w:r>
    </w:p>
    <w:p>
      <w:pPr>
        <w:spacing w:after="280" w:line="360" w:lineRule="auto"/>
      </w:pPr>
      <w:r>
        <w:rPr>
          <w:rFonts w:ascii="Calibri" w:hAnsi="Calibri"/>
          <w:b w:val="0"/>
          <w:i w:val="0"/>
          <w:color w:val="1E293B"/>
          <w:sz w:val="24"/>
        </w:rPr>
        <w:t>The training was done on NTNU's IDUN cluster — A100 GPUs, managed with SLURM. Input shape is 1 by 32 by 224 by 224. Batch size 4, bumped to 8 with gradient accumulation for bigger backbones. AdamW optimizer, learning rate 1e-4, cosine schedule for up to 200 epochs with patience 30. I used the official ODELIA evaluator for AUC, sensitivity at 90 percent specificity, and specificity at 90 percent sensitivity. In total I trained around 25 distinct model versions across about 100 hours of A100 wall-clock time.</w:t>
      </w:r>
    </w:p>
    <w:p>
      <w:r>
        <w:rPr>
          <w:rFonts w:ascii="Calibri" w:hAnsi="Calibri"/>
          <w:b/>
          <w:i w:val="0"/>
          <w:color w:val="1E3A5F"/>
          <w:sz w:val="30"/>
        </w:rPr>
        <w:t>Slide 10  —  Development — Phase 1-2</w:t>
      </w:r>
    </w:p>
    <w:p>
      <w:r>
        <w:rPr>
          <w:rFonts w:ascii="Calibri" w:hAnsi="Calibri"/>
          <w:b w:val="0"/>
          <w:i/>
          <w:color w:val="64748B"/>
          <w:sz w:val="20"/>
        </w:rPr>
        <w:t>≈ 47 s  ·  114 words</w:t>
      </w:r>
    </w:p>
    <w:p>
      <w:pPr>
        <w:spacing w:after="280" w:line="360" w:lineRule="auto"/>
      </w:pPr>
      <w:r>
        <w:rPr>
          <w:rFonts w:ascii="Calibri" w:hAnsi="Calibri"/>
          <w:b w:val="0"/>
          <w:i w:val="0"/>
          <w:color w:val="1E293B"/>
          <w:sz w:val="24"/>
        </w:rPr>
        <w:t>Now the development storyline — this is where EDA-guided iteration really shows. Version one was a naive DenseNet121 baseline that overfit at epoch one. Obvious lesson: 192 samples and 11 million parameters is a bad ratio. Version four switched to all folds — going from 192 to 1,437 effective samples — and added percentile normalization. Leaderboard jumped to 0.298, but that also showed validation AUROC does not predict leaderboard performance. Version seven tried a minimal clinical channel set — Sub one plus T2 — with aggressive class weights. Mistake: weighting benign at 3.33 caused the model to almost never predict normal. Version eight fixed the weights to mild 1, 2, 1.5 and reached 0.374.</w:t>
      </w:r>
    </w:p>
    <w:p>
      <w:r>
        <w:rPr>
          <w:rFonts w:ascii="Calibri" w:hAnsi="Calibri"/>
          <w:b/>
          <w:i w:val="0"/>
          <w:color w:val="1E3A5F"/>
          <w:sz w:val="30"/>
        </w:rPr>
        <w:t>Slide 11  —  Development — Phase 3</w:t>
      </w:r>
    </w:p>
    <w:p>
      <w:r>
        <w:rPr>
          <w:rFonts w:ascii="Calibri" w:hAnsi="Calibri"/>
          <w:b w:val="0"/>
          <w:i/>
          <w:color w:val="64748B"/>
          <w:sz w:val="20"/>
        </w:rPr>
        <w:t>≈ 46 s  ·  110 words</w:t>
      </w:r>
    </w:p>
    <w:p>
      <w:pPr>
        <w:spacing w:after="280" w:line="360" w:lineRule="auto"/>
      </w:pPr>
      <w:r>
        <w:rPr>
          <w:rFonts w:ascii="Calibri" w:hAnsi="Calibri"/>
          <w:b w:val="0"/>
          <w:i w:val="0"/>
          <w:color w:val="1E293B"/>
          <w:sz w:val="24"/>
        </w:rPr>
        <w:t>Phase three was when I stopped improvising and studied what the ODELIA organizers themselves do in their reference code. They use Sub one only, at 224 by 224 by 32, with oversampling instead of class weights. Version 13 matched their recipe exactly and jumped to 0.429. Version 13b is the identical model with one change — the random seed, 42 to 123. That alone added 0.072 to the leaderboard score, which is substantial from initialization alone. Version 14 scaled up to ResNet50 with 46 million parameters and plateaued at 0.504 despite 98 percent validation accuracy. Version 15 — 2D ImageNet pretraining — confirmed that validation and leaderboard had genuinely diverged.</w:t>
      </w:r>
    </w:p>
    <w:p>
      <w:r>
        <w:rPr>
          <w:rFonts w:ascii="Calibri" w:hAnsi="Calibri"/>
          <w:b/>
          <w:i w:val="0"/>
          <w:color w:val="1E3A5F"/>
          <w:sz w:val="30"/>
        </w:rPr>
        <w:t>Slide 12  —  The Breakthrough</w:t>
      </w:r>
    </w:p>
    <w:p>
      <w:r>
        <w:rPr>
          <w:rFonts w:ascii="Calibri" w:hAnsi="Calibri"/>
          <w:b w:val="0"/>
          <w:i/>
          <w:color w:val="64748B"/>
          <w:sz w:val="20"/>
        </w:rPr>
        <w:t>≈ 43 s  ·  105 words</w:t>
      </w:r>
    </w:p>
    <w:p>
      <w:pPr>
        <w:spacing w:after="280" w:line="360" w:lineRule="auto"/>
      </w:pPr>
      <w:r>
        <w:rPr>
          <w:rFonts w:ascii="Calibri" w:hAnsi="Calibri"/>
          <w:b w:val="0"/>
          <w:i w:val="0"/>
          <w:color w:val="1E293B"/>
          <w:sz w:val="24"/>
        </w:rPr>
        <w:t>Here's the breakthrough, and the insight is surprisingly simple. BatchNorm stores scanner-specific running statistics during training. When you test on Riga, which has a completely different scanner, those statistics are wrong. InstanceNorm, in contrast, computes per-sample statistics at inference time — so it's inherently scanner-invariant. Version 17 is just version 14 with BatchNorm swapped out for InstanceNorm. Leaderboard moved from 0.504 to 0.524, confirming the domain-invariance theory. Then version 17b combined InstanceNorm with the lucky seed 123 — the same plus-7-percent boost I had already seen on DenseNet121. Together those two independently discovered insights landed at 0.598, my best single model by a wide margin.</w:t>
      </w:r>
    </w:p>
    <w:p>
      <w:r>
        <w:rPr>
          <w:rFonts w:ascii="Calibri" w:hAnsi="Calibri"/>
          <w:b/>
          <w:i w:val="0"/>
          <w:color w:val="1E3A5F"/>
          <w:sz w:val="30"/>
        </w:rPr>
        <w:t>Slide 13  —  Leaderboard Progression</w:t>
      </w:r>
    </w:p>
    <w:p>
      <w:r>
        <w:rPr>
          <w:rFonts w:ascii="Calibri" w:hAnsi="Calibri"/>
          <w:b w:val="0"/>
          <w:i/>
          <w:color w:val="64748B"/>
          <w:sz w:val="20"/>
        </w:rPr>
        <w:t>≈ 34 s  ·  81 words</w:t>
      </w:r>
    </w:p>
    <w:p>
      <w:pPr>
        <w:spacing w:after="280" w:line="360" w:lineRule="auto"/>
      </w:pPr>
      <w:r>
        <w:rPr>
          <w:rFonts w:ascii="Calibri" w:hAnsi="Calibri"/>
          <w:b w:val="0"/>
          <w:i w:val="0"/>
          <w:color w:val="1E293B"/>
          <w:sz w:val="24"/>
        </w:rPr>
        <w:t>Zooming out, here's the full leaderboard trajectory over the whole project. Seven phases, 0.117 to 0.598 — a 5.1-fold improvement. The big jumps are where conceptual insights landed: moving to all folds, matching the ODELIA baseline, switching to InstanceNorm, combining it with the lucky seed. The plateaus are where I learned things that did not help — like MedicalNet pretraining or adaptive BatchNorm. The lesson is consistent: the cheapest changes gave the biggest gains, while adding model capacity gave diminishing returns.</w:t>
      </w:r>
    </w:p>
    <w:p>
      <w:r>
        <w:rPr>
          <w:rFonts w:ascii="Calibri" w:hAnsi="Calibri"/>
          <w:b/>
          <w:i w:val="0"/>
          <w:color w:val="1E3A5F"/>
          <w:sz w:val="30"/>
        </w:rPr>
        <w:t>Slide 14  —  Final Metrics</w:t>
      </w:r>
    </w:p>
    <w:p>
      <w:r>
        <w:rPr>
          <w:rFonts w:ascii="Calibri" w:hAnsi="Calibri"/>
          <w:b w:val="0"/>
          <w:i/>
          <w:color w:val="64748B"/>
          <w:sz w:val="20"/>
        </w:rPr>
        <w:t>≈ 37 s  ·  89 words</w:t>
      </w:r>
    </w:p>
    <w:p>
      <w:pPr>
        <w:spacing w:after="280" w:line="360" w:lineRule="auto"/>
      </w:pPr>
      <w:r>
        <w:rPr>
          <w:rFonts w:ascii="Calibri" w:hAnsi="Calibri"/>
          <w:b w:val="0"/>
          <w:i w:val="0"/>
          <w:color w:val="1E293B"/>
          <w:sz w:val="24"/>
        </w:rPr>
        <w:t>And here are the component metrics on the hidden Riga set. AUC of 0.82 — strong discriminative power for malignant versus non-malignant. Sensitivity at 90 percent specificity is 0.56 — the model catches over half of malignant cases while keeping false positives bounded. Specificity at 90 percent sensitivity is 0.41, and this is where version 17b really stands out — my previous best models topped out around 0.22 on that metric. Final composite score is 0.598, the mean of those three, which is competitive with the top student submissions.</w:t>
      </w:r>
    </w:p>
    <w:p>
      <w:r>
        <w:rPr>
          <w:rFonts w:ascii="Calibri" w:hAnsi="Calibri"/>
          <w:b/>
          <w:i w:val="0"/>
          <w:color w:val="1E3A5F"/>
          <w:sz w:val="30"/>
        </w:rPr>
        <w:t>Slide 15  —  Discussion</w:t>
      </w:r>
    </w:p>
    <w:p>
      <w:r>
        <w:rPr>
          <w:rFonts w:ascii="Calibri" w:hAnsi="Calibri"/>
          <w:b w:val="0"/>
          <w:i/>
          <w:color w:val="64748B"/>
          <w:sz w:val="20"/>
        </w:rPr>
        <w:t>≈ 44 s  ·  106 words</w:t>
      </w:r>
    </w:p>
    <w:p>
      <w:pPr>
        <w:spacing w:after="280" w:line="360" w:lineRule="auto"/>
      </w:pPr>
      <w:r>
        <w:rPr>
          <w:rFonts w:ascii="Calibri" w:hAnsi="Calibri"/>
          <w:b w:val="0"/>
          <w:i w:val="0"/>
          <w:color w:val="1E293B"/>
          <w:sz w:val="24"/>
        </w:rPr>
        <w:t>A few points that genuinely surprised me. First, validation does not predict leaderboard. Version 15 had 0.997 validation but the worst leaderboard of my top models. Near-perfect validation can actually signal overfitting to the training distribution. Second, ensembling backfired. Normally averaging models helps, but v17b solo beat every ensemble I tried. When one model dominates, mixing in weaker ones dilutes it. Third, I tested adaptive BatchNorm — updating BN statistics with unlabeled Riga images — and it made scores worse. 66 samples is too few for reliable statistics. Fourth, random seed impact is remarkably large with small data — plus seven percent from initialization alone, consistently.</w:t>
      </w:r>
    </w:p>
    <w:p>
      <w:r>
        <w:rPr>
          <w:rFonts w:ascii="Calibri" w:hAnsi="Calibri"/>
          <w:b/>
          <w:i w:val="0"/>
          <w:color w:val="1E3A5F"/>
          <w:sz w:val="30"/>
        </w:rPr>
        <w:t>Slide 16  —  Key Learning Points</w:t>
      </w:r>
    </w:p>
    <w:p>
      <w:r>
        <w:rPr>
          <w:rFonts w:ascii="Calibri" w:hAnsi="Calibri"/>
          <w:b w:val="0"/>
          <w:i/>
          <w:color w:val="64748B"/>
          <w:sz w:val="20"/>
        </w:rPr>
        <w:t>≈ 45 s  ·  108 words</w:t>
      </w:r>
    </w:p>
    <w:p>
      <w:pPr>
        <w:spacing w:after="280" w:line="360" w:lineRule="auto"/>
      </w:pPr>
      <w:r>
        <w:rPr>
          <w:rFonts w:ascii="Calibri" w:hAnsi="Calibri"/>
          <w:b w:val="0"/>
          <w:i w:val="0"/>
          <w:color w:val="1E293B"/>
          <w:sz w:val="24"/>
        </w:rPr>
        <w:t>Five takeaways worth remembering. One: domain generalization is the hard problem. Getting 98 percent validation accuracy was easy. Getting above 50 on the unseen Riga scanner required rethinking normalization from BatchNorm to InstanceNorm. Two: EDA-guided iteration beats hyperparameter sweeps. Every version I shipped was motivated by a specific failure, not a grid search. Three: clinical knowledge beat architecture changes. Switching from five channels to just Sub one was worth more than any backbone swap. Four: validation can mislead — always check the real test distribution. Five: with small data, always train multiple seeds. Plus seven percent from seed 123 was consistent across architectures — that's signal, not luck.</w:t>
      </w:r>
    </w:p>
    <w:p>
      <w:r>
        <w:rPr>
          <w:rFonts w:ascii="Calibri" w:hAnsi="Calibri"/>
          <w:b/>
          <w:i w:val="0"/>
          <w:color w:val="1E3A5F"/>
          <w:sz w:val="30"/>
        </w:rPr>
        <w:t>Slide 17  —  Sustainability</w:t>
      </w:r>
    </w:p>
    <w:p>
      <w:r>
        <w:rPr>
          <w:rFonts w:ascii="Calibri" w:hAnsi="Calibri"/>
          <w:b w:val="0"/>
          <w:i/>
          <w:color w:val="64748B"/>
          <w:sz w:val="20"/>
        </w:rPr>
        <w:t>≈ 37 s  ·  89 words</w:t>
      </w:r>
    </w:p>
    <w:p>
      <w:pPr>
        <w:spacing w:after="280" w:line="360" w:lineRule="auto"/>
      </w:pPr>
      <w:r>
        <w:rPr>
          <w:rFonts w:ascii="Calibri" w:hAnsi="Calibri"/>
          <w:b w:val="0"/>
          <w:i w:val="0"/>
          <w:color w:val="1E293B"/>
          <w:sz w:val="24"/>
        </w:rPr>
        <w:t>On sustainability — about 100 hours of A100 wall-clock time across roughly 25 training runs. At 300 watts per GPU that's approximately 30 kilowatt-hours of energy. Converting via the Tesla Model Y reference of 0.17 kilowatt-hours per kilometer, that's about 176 kilometers of driving — roughly 35 percent of the Trondheim to Oslo trip. So the full development journey cost less energy than half a road trip. Modest by research standards, but worth tracking if you ever scale this kind of pipeline to actual clinical deployment across many hospitals.</w:t>
      </w:r>
    </w:p>
    <w:p>
      <w:r>
        <w:rPr>
          <w:rFonts w:ascii="Calibri" w:hAnsi="Calibri"/>
          <w:b/>
          <w:i w:val="0"/>
          <w:color w:val="1E3A5F"/>
          <w:sz w:val="30"/>
        </w:rPr>
        <w:t>Slide 18  —  References</w:t>
      </w:r>
    </w:p>
    <w:p>
      <w:r>
        <w:rPr>
          <w:rFonts w:ascii="Calibri" w:hAnsi="Calibri"/>
          <w:b w:val="0"/>
          <w:i/>
          <w:color w:val="64748B"/>
          <w:sz w:val="20"/>
        </w:rPr>
        <w:t>≈ 21 s  ·  51 words</w:t>
      </w:r>
    </w:p>
    <w:p>
      <w:pPr>
        <w:spacing w:after="280" w:line="360" w:lineRule="auto"/>
      </w:pPr>
      <w:r>
        <w:rPr>
          <w:rFonts w:ascii="Calibri" w:hAnsi="Calibri"/>
          <w:b w:val="0"/>
          <w:i w:val="0"/>
          <w:color w:val="1E293B"/>
          <w:sz w:val="24"/>
        </w:rPr>
        <w:t>Final slide — references. The challenge and dataset papers, MONAI and MedicalNet for frameworks, Guo et al. on calibration, and the two top ODELIA entries — MeisenMeister and Mask-Guided SwinUNETR — which inspired several of my experiments. Plus the TDT4265 brief itself. Thanks for listening, and I'm happy to take questions.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