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80FB" w14:textId="77777777" w:rsidR="0071229E" w:rsidRDefault="00C10860" w:rsidP="00C1086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C10860">
        <w:rPr>
          <w:rFonts w:ascii="Times New Roman" w:hAnsi="Times New Roman" w:cs="Times New Roman"/>
          <w:b/>
          <w:bCs/>
        </w:rPr>
        <w:t>Konrad Lubera – Zbiory miękkie</w:t>
      </w:r>
    </w:p>
    <w:p w14:paraId="4DEA2002" w14:textId="77777777" w:rsidR="00C10860" w:rsidRDefault="00C10860" w:rsidP="00C10860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Zbiór miękki</w:t>
      </w:r>
    </w:p>
    <w:p w14:paraId="29DACC43" w14:textId="77777777" w:rsidR="00C10860" w:rsidRDefault="00C10860" w:rsidP="000764A0">
      <w:pPr>
        <w:spacing w:line="276" w:lineRule="auto"/>
        <w:ind w:left="708"/>
        <w:rPr>
          <w:rFonts w:ascii="Times New Roman" w:hAnsi="Times New Roman" w:cs="Times New Roman"/>
        </w:rPr>
      </w:pPr>
      <w:r w:rsidRPr="00C10860">
        <w:rPr>
          <w:rFonts w:ascii="Times New Roman" w:hAnsi="Times New Roman" w:cs="Times New Roman"/>
        </w:rPr>
        <w:t>Zbiór miękki - jest odwzorowaniem parametru na wyraźny podzbiór wszechświata.</w:t>
      </w:r>
      <w:r w:rsidR="000764A0">
        <w:rPr>
          <w:rFonts w:ascii="Times New Roman" w:hAnsi="Times New Roman" w:cs="Times New Roman"/>
        </w:rPr>
        <w:t xml:space="preserve"> </w:t>
      </w:r>
      <w:r w:rsidR="000764A0">
        <w:rPr>
          <w:rFonts w:ascii="Times New Roman" w:hAnsi="Times New Roman" w:cs="Times New Roman"/>
        </w:rPr>
        <w:br/>
      </w:r>
      <w:proofErr w:type="spellStart"/>
      <w:r w:rsidRPr="00C10860">
        <w:rPr>
          <w:rFonts w:ascii="Times New Roman" w:hAnsi="Times New Roman" w:cs="Times New Roman"/>
        </w:rPr>
        <w:t>Molodtsov</w:t>
      </w:r>
      <w:proofErr w:type="spellEnd"/>
      <w:r w:rsidRPr="00C10860">
        <w:rPr>
          <w:rFonts w:ascii="Times New Roman" w:hAnsi="Times New Roman" w:cs="Times New Roman"/>
        </w:rPr>
        <w:t xml:space="preserve"> wprowadził teorię zbiorów miękkich jako uogólnione narzędzie do modelowania</w:t>
      </w:r>
      <w:r w:rsidR="000764A0">
        <w:rPr>
          <w:rFonts w:ascii="Times New Roman" w:hAnsi="Times New Roman" w:cs="Times New Roman"/>
        </w:rPr>
        <w:t xml:space="preserve"> </w:t>
      </w:r>
      <w:r w:rsidRPr="00C10860">
        <w:rPr>
          <w:rFonts w:ascii="Times New Roman" w:hAnsi="Times New Roman" w:cs="Times New Roman"/>
        </w:rPr>
        <w:t>złożonych układów obejmujących niepewne lub nieokreślone obiekty.</w:t>
      </w:r>
      <w:r w:rsidR="000764A0">
        <w:rPr>
          <w:rFonts w:ascii="Times New Roman" w:hAnsi="Times New Roman" w:cs="Times New Roman"/>
        </w:rPr>
        <w:t xml:space="preserve"> </w:t>
      </w:r>
      <w:r w:rsidRPr="00C10860">
        <w:rPr>
          <w:rFonts w:ascii="Times New Roman" w:hAnsi="Times New Roman" w:cs="Times New Roman"/>
        </w:rPr>
        <w:t>Zestaw miękki można traktować jako przybliżony opis obiektu dokładnie składającego się z</w:t>
      </w:r>
      <w:r w:rsidR="000764A0">
        <w:rPr>
          <w:rFonts w:ascii="Times New Roman" w:hAnsi="Times New Roman" w:cs="Times New Roman"/>
        </w:rPr>
        <w:t xml:space="preserve"> </w:t>
      </w:r>
      <w:r w:rsidRPr="00C10860">
        <w:rPr>
          <w:rFonts w:ascii="Times New Roman" w:hAnsi="Times New Roman" w:cs="Times New Roman"/>
        </w:rPr>
        <w:t>dwóch części, mianowicie zbioru predykatów i przybliżonych wartości.</w:t>
      </w:r>
      <w:r w:rsidR="000764A0">
        <w:rPr>
          <w:rFonts w:ascii="Times New Roman" w:hAnsi="Times New Roman" w:cs="Times New Roman"/>
        </w:rPr>
        <w:t xml:space="preserve"> </w:t>
      </w:r>
      <w:r w:rsidRPr="00C10860">
        <w:rPr>
          <w:rFonts w:ascii="Times New Roman" w:hAnsi="Times New Roman" w:cs="Times New Roman"/>
        </w:rPr>
        <w:t>W teorii zbiorów miękkich, ponieważ początkowy opis samego obiektu ma charakter</w:t>
      </w:r>
      <w:r w:rsidR="000764A0">
        <w:rPr>
          <w:rFonts w:ascii="Times New Roman" w:hAnsi="Times New Roman" w:cs="Times New Roman"/>
        </w:rPr>
        <w:t xml:space="preserve"> </w:t>
      </w:r>
      <w:r w:rsidRPr="00C10860">
        <w:rPr>
          <w:rFonts w:ascii="Times New Roman" w:hAnsi="Times New Roman" w:cs="Times New Roman"/>
        </w:rPr>
        <w:t>przybliżony, nie musimy wprowadzać koncepcji dokładnego rozwiązania.</w:t>
      </w:r>
    </w:p>
    <w:p w14:paraId="49DAF085" w14:textId="77777777" w:rsidR="00C10860" w:rsidRPr="00C10860" w:rsidRDefault="00C10860" w:rsidP="000764A0">
      <w:pPr>
        <w:spacing w:line="276" w:lineRule="auto"/>
        <w:ind w:left="708"/>
        <w:rPr>
          <w:rFonts w:ascii="Times New Roman" w:hAnsi="Times New Roman" w:cs="Times New Roman"/>
        </w:rPr>
      </w:pPr>
      <w:r w:rsidRPr="00C10860">
        <w:rPr>
          <w:rFonts w:ascii="Times New Roman" w:hAnsi="Times New Roman" w:cs="Times New Roman"/>
        </w:rPr>
        <w:t>Niech U będzie początkowym zestawem wszechświata, a E będzie zbiorem parametrów.</w:t>
      </w:r>
      <w:r w:rsidR="000764A0">
        <w:rPr>
          <w:rFonts w:ascii="Times New Roman" w:hAnsi="Times New Roman" w:cs="Times New Roman"/>
        </w:rPr>
        <w:t xml:space="preserve"> </w:t>
      </w:r>
      <w:r w:rsidRPr="00C10860">
        <w:rPr>
          <w:rFonts w:ascii="Times New Roman" w:hAnsi="Times New Roman" w:cs="Times New Roman"/>
        </w:rPr>
        <w:t xml:space="preserve">Niech P (U) oznacza zbiór mocy U i A </w:t>
      </w:r>
      <w:r w:rsidRPr="00C10860">
        <w:rPr>
          <w:rFonts w:ascii="Cambria Math" w:hAnsi="Cambria Math" w:cs="Cambria Math"/>
        </w:rPr>
        <w:t>⊂</w:t>
      </w:r>
      <w:r w:rsidRPr="00C10860">
        <w:rPr>
          <w:rFonts w:ascii="Times New Roman" w:hAnsi="Times New Roman" w:cs="Times New Roman"/>
        </w:rPr>
        <w:t xml:space="preserve"> E. Para (F, A) nazywana jest zbiorem miękkim nad U,</w:t>
      </w:r>
      <w:r>
        <w:rPr>
          <w:rFonts w:ascii="Times New Roman" w:hAnsi="Times New Roman" w:cs="Times New Roman"/>
        </w:rPr>
        <w:t xml:space="preserve"> </w:t>
      </w:r>
      <w:r w:rsidRPr="00C10860">
        <w:rPr>
          <w:rFonts w:ascii="Times New Roman" w:hAnsi="Times New Roman" w:cs="Times New Roman"/>
        </w:rPr>
        <w:t>gdzie F jest odwzorowaniem podanym przez F: A → P (U). Innymi słowy, zestaw miękki nad U</w:t>
      </w:r>
      <w:r>
        <w:rPr>
          <w:rFonts w:ascii="Times New Roman" w:hAnsi="Times New Roman" w:cs="Times New Roman"/>
        </w:rPr>
        <w:t xml:space="preserve"> </w:t>
      </w:r>
      <w:r w:rsidRPr="00C10860">
        <w:rPr>
          <w:rFonts w:ascii="Times New Roman" w:hAnsi="Times New Roman" w:cs="Times New Roman"/>
        </w:rPr>
        <w:t xml:space="preserve">jest sparametryzowaną rodziną podzbiorów wszechświata U. Dla </w:t>
      </w:r>
      <w:proofErr w:type="spellStart"/>
      <w:r w:rsidRPr="00C10860">
        <w:rPr>
          <w:rFonts w:ascii="Times New Roman" w:hAnsi="Times New Roman" w:cs="Times New Roman"/>
        </w:rPr>
        <w:t>ε</w:t>
      </w:r>
      <w:r w:rsidRPr="00C10860">
        <w:rPr>
          <w:rFonts w:ascii="Cambria Math" w:hAnsi="Cambria Math" w:cs="Cambria Math"/>
        </w:rPr>
        <w:t>∈</w:t>
      </w:r>
      <w:r w:rsidRPr="00C10860">
        <w:rPr>
          <w:rFonts w:ascii="Times New Roman" w:hAnsi="Times New Roman" w:cs="Times New Roman"/>
        </w:rPr>
        <w:t>A</w:t>
      </w:r>
      <w:proofErr w:type="spellEnd"/>
      <w:r w:rsidRPr="00C10860">
        <w:rPr>
          <w:rFonts w:ascii="Times New Roman" w:hAnsi="Times New Roman" w:cs="Times New Roman"/>
        </w:rPr>
        <w:t>, F (ε) można uznać za</w:t>
      </w:r>
      <w:r>
        <w:rPr>
          <w:rFonts w:ascii="Times New Roman" w:hAnsi="Times New Roman" w:cs="Times New Roman"/>
        </w:rPr>
        <w:t xml:space="preserve"> </w:t>
      </w:r>
      <w:r w:rsidRPr="00C10860">
        <w:rPr>
          <w:rFonts w:ascii="Times New Roman" w:hAnsi="Times New Roman" w:cs="Times New Roman"/>
        </w:rPr>
        <w:t>zbiór elementów przybliżonych ε z zestawu miękkiego (F, A)</w:t>
      </w:r>
    </w:p>
    <w:p w14:paraId="6F49F169" w14:textId="77777777" w:rsidR="00C10860" w:rsidRDefault="00C10860" w:rsidP="00C10860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C10860">
        <w:rPr>
          <w:rFonts w:ascii="Times New Roman" w:hAnsi="Times New Roman" w:cs="Times New Roman"/>
          <w:b/>
          <w:bCs/>
        </w:rPr>
        <w:t>Podzbiór miękki</w:t>
      </w:r>
      <w:r w:rsidRPr="00C10860">
        <w:rPr>
          <w:rFonts w:ascii="Times New Roman" w:hAnsi="Times New Roman" w:cs="Times New Roman"/>
          <w:b/>
          <w:bCs/>
        </w:rPr>
        <w:cr/>
      </w:r>
    </w:p>
    <w:p w14:paraId="02BF33D9" w14:textId="77777777" w:rsidR="00C10860" w:rsidRPr="00C10860" w:rsidRDefault="00C10860" w:rsidP="00C10860">
      <w:pPr>
        <w:pStyle w:val="Akapitzlist"/>
        <w:spacing w:line="240" w:lineRule="auto"/>
        <w:rPr>
          <w:rFonts w:ascii="Times New Roman" w:hAnsi="Times New Roman" w:cs="Times New Roman"/>
        </w:rPr>
      </w:pPr>
      <w:r w:rsidRPr="00C10860">
        <w:rPr>
          <w:rFonts w:ascii="Times New Roman" w:hAnsi="Times New Roman" w:cs="Times New Roman"/>
        </w:rPr>
        <w:t>Dla dwóch zbiorów (F,A) i (G,B) nad uniwersum U, powiemy że (F,A) jest podzbiorem</w:t>
      </w:r>
    </w:p>
    <w:p w14:paraId="7C34B21E" w14:textId="77777777" w:rsidR="00C10860" w:rsidRPr="00C10860" w:rsidRDefault="00C10860" w:rsidP="00C10860">
      <w:pPr>
        <w:pStyle w:val="Akapitzlist"/>
        <w:spacing w:line="240" w:lineRule="auto"/>
        <w:rPr>
          <w:rFonts w:ascii="Times New Roman" w:hAnsi="Times New Roman" w:cs="Times New Roman"/>
        </w:rPr>
      </w:pPr>
      <w:r w:rsidRPr="00C10860">
        <w:rPr>
          <w:rFonts w:ascii="Times New Roman" w:hAnsi="Times New Roman" w:cs="Times New Roman"/>
        </w:rPr>
        <w:t>miękkim (G,B), jeśli:</w:t>
      </w:r>
    </w:p>
    <w:p w14:paraId="0CA22223" w14:textId="77777777" w:rsidR="00C10860" w:rsidRPr="00C10860" w:rsidRDefault="00C10860" w:rsidP="00C10860">
      <w:pPr>
        <w:pStyle w:val="Akapitzlist"/>
        <w:spacing w:line="240" w:lineRule="auto"/>
        <w:rPr>
          <w:rFonts w:ascii="Times New Roman" w:hAnsi="Times New Roman" w:cs="Times New Roman"/>
        </w:rPr>
      </w:pPr>
      <w:r w:rsidRPr="00C10860">
        <w:rPr>
          <w:rFonts w:ascii="Times New Roman" w:hAnsi="Times New Roman" w:cs="Times New Roman"/>
        </w:rPr>
        <w:t>A</w:t>
      </w:r>
      <w:r w:rsidRPr="00C10860">
        <w:rPr>
          <w:rFonts w:ascii="Cambria Math" w:hAnsi="Cambria Math" w:cs="Cambria Math"/>
        </w:rPr>
        <w:t>⊂</w:t>
      </w:r>
      <w:r w:rsidRPr="00C10860">
        <w:rPr>
          <w:rFonts w:ascii="Times New Roman" w:hAnsi="Times New Roman" w:cs="Times New Roman"/>
        </w:rPr>
        <w:t>B</w:t>
      </w:r>
    </w:p>
    <w:p w14:paraId="43045F39" w14:textId="77777777" w:rsidR="00C10860" w:rsidRPr="00C10860" w:rsidRDefault="00C10860" w:rsidP="00C10860">
      <w:pPr>
        <w:pStyle w:val="Akapitzlist"/>
        <w:spacing w:line="240" w:lineRule="auto"/>
        <w:rPr>
          <w:rFonts w:ascii="Times New Roman" w:hAnsi="Times New Roman" w:cs="Times New Roman"/>
        </w:rPr>
      </w:pPr>
      <w:r w:rsidRPr="00C10860">
        <w:rPr>
          <w:rFonts w:ascii="Cambria Math" w:hAnsi="Cambria Math" w:cs="Cambria Math"/>
        </w:rPr>
        <w:t>∀</w:t>
      </w:r>
      <w:proofErr w:type="spellStart"/>
      <w:r w:rsidRPr="00C10860">
        <w:rPr>
          <w:rFonts w:ascii="Times New Roman" w:hAnsi="Times New Roman" w:cs="Times New Roman"/>
        </w:rPr>
        <w:t>ε</w:t>
      </w:r>
      <w:r w:rsidRPr="00C10860">
        <w:rPr>
          <w:rFonts w:ascii="Cambria Math" w:hAnsi="Cambria Math" w:cs="Cambria Math"/>
        </w:rPr>
        <w:t>∈</w:t>
      </w:r>
      <w:r w:rsidRPr="00C10860">
        <w:rPr>
          <w:rFonts w:ascii="Times New Roman" w:hAnsi="Times New Roman" w:cs="Times New Roman"/>
        </w:rPr>
        <w:t>A</w:t>
      </w:r>
      <w:proofErr w:type="spellEnd"/>
      <w:r w:rsidRPr="00C10860">
        <w:rPr>
          <w:rFonts w:ascii="Times New Roman" w:hAnsi="Times New Roman" w:cs="Times New Roman"/>
        </w:rPr>
        <w:t>, F(ε) i G(ε) są identycznymi przybliżeniami</w:t>
      </w:r>
    </w:p>
    <w:p w14:paraId="19C5E4A0" w14:textId="77777777" w:rsidR="00C10860" w:rsidRDefault="00C10860" w:rsidP="00C10860">
      <w:pPr>
        <w:pStyle w:val="Akapitzlist"/>
        <w:spacing w:line="240" w:lineRule="auto"/>
        <w:rPr>
          <w:rFonts w:ascii="Times New Roman" w:hAnsi="Times New Roman" w:cs="Times New Roman"/>
        </w:rPr>
      </w:pPr>
      <w:r w:rsidRPr="00C10860">
        <w:rPr>
          <w:rFonts w:ascii="Times New Roman" w:hAnsi="Times New Roman" w:cs="Times New Roman"/>
        </w:rPr>
        <w:t>(F,A) ̃</w:t>
      </w:r>
      <w:r w:rsidRPr="00C10860">
        <w:rPr>
          <w:rFonts w:ascii="Cambria Math" w:hAnsi="Cambria Math" w:cs="Cambria Math"/>
        </w:rPr>
        <w:t>⊂</w:t>
      </w:r>
      <w:r w:rsidRPr="00C10860">
        <w:rPr>
          <w:rFonts w:ascii="Times New Roman" w:hAnsi="Times New Roman" w:cs="Times New Roman"/>
        </w:rPr>
        <w:t>(G,B)</w:t>
      </w:r>
      <w:r w:rsidRPr="00C10860">
        <w:rPr>
          <w:rFonts w:ascii="Times New Roman" w:hAnsi="Times New Roman" w:cs="Times New Roman"/>
        </w:rPr>
        <w:cr/>
      </w:r>
      <w:bookmarkStart w:id="0" w:name="_GoBack"/>
      <w:bookmarkEnd w:id="0"/>
    </w:p>
    <w:p w14:paraId="57E09C93" w14:textId="77777777" w:rsidR="00C10860" w:rsidRDefault="00C10860" w:rsidP="00C10860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C10860">
        <w:rPr>
          <w:rFonts w:ascii="Times New Roman" w:hAnsi="Times New Roman" w:cs="Times New Roman"/>
          <w:b/>
          <w:bCs/>
        </w:rPr>
        <w:t>Tabela binarna relacji w zbiorze</w:t>
      </w:r>
    </w:p>
    <w:p w14:paraId="5EE3940F" w14:textId="77777777" w:rsidR="00C10860" w:rsidRDefault="00C10860" w:rsidP="00C10860">
      <w:pPr>
        <w:pStyle w:val="Akapitzlist"/>
        <w:spacing w:line="240" w:lineRule="auto"/>
        <w:rPr>
          <w:rFonts w:ascii="Times New Roman" w:hAnsi="Times New Roman" w:cs="Times New Roman"/>
          <w:b/>
          <w:bCs/>
        </w:rPr>
      </w:pPr>
    </w:p>
    <w:p w14:paraId="5BB3E96D" w14:textId="77777777" w:rsidR="00C10860" w:rsidRPr="00C10860" w:rsidRDefault="00C10860" w:rsidP="00C10860">
      <w:pPr>
        <w:pStyle w:val="Akapitzlist"/>
        <w:spacing w:line="240" w:lineRule="auto"/>
        <w:rPr>
          <w:rFonts w:ascii="Times New Roman" w:hAnsi="Times New Roman" w:cs="Times New Roman"/>
          <w:b/>
          <w:bCs/>
        </w:rPr>
      </w:pPr>
      <w:r w:rsidRPr="00C10860">
        <w:rPr>
          <w:rFonts w:ascii="Times New Roman" w:hAnsi="Times New Roman" w:cs="Times New Roman"/>
          <w:b/>
          <w:bCs/>
        </w:rPr>
        <w:drawing>
          <wp:inline distT="0" distB="0" distL="0" distR="0" wp14:anchorId="200EDC9B" wp14:editId="7531F043">
            <wp:extent cx="5760720" cy="16319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860" w:rsidRPr="00C10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9792E"/>
    <w:multiLevelType w:val="hybridMultilevel"/>
    <w:tmpl w:val="4412EC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60"/>
    <w:rsid w:val="000764A0"/>
    <w:rsid w:val="0071229E"/>
    <w:rsid w:val="00C1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B55A5"/>
  <w15:chartTrackingRefBased/>
  <w15:docId w15:val="{46BDD1A0-E81C-4DAB-8006-808AB2A4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173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Lubera</dc:creator>
  <cp:keywords/>
  <dc:description/>
  <cp:lastModifiedBy>Konrad Lubera</cp:lastModifiedBy>
  <cp:revision>1</cp:revision>
  <cp:lastPrinted>2020-04-30T22:57:00Z</cp:lastPrinted>
  <dcterms:created xsi:type="dcterms:W3CDTF">2020-04-30T22:45:00Z</dcterms:created>
  <dcterms:modified xsi:type="dcterms:W3CDTF">2020-04-30T22:58:00Z</dcterms:modified>
</cp:coreProperties>
</file>