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Rentekutt CRM</w:t>
      </w:r>
    </w:p>
    <w:p>
      <w:r>
        <w:rPr>
          <w:i/>
        </w:rPr>
        <w:t>Teknisk dokumentasjon — implementerte tekniske tiltak i plattformen</w:t>
      </w:r>
    </w:p>
    <w:p>
      <w:r>
        <w:rPr>
          <w:color w:val="606060"/>
          <w:sz w:val="18"/>
        </w:rPr>
        <w:t>Låneformidler-portal (B2C/B2B) · ASP.NET Core Blazor Server (.NET 10) · Supabase/Postgres (EØS) · Azure App Service</w:t>
      </w:r>
    </w:p>
    <w:p>
      <w:r>
        <w:rPr>
          <w:sz w:val="18"/>
        </w:rPr>
        <w:t>Dokumentet beskriver tiltak som er implementert og aktive i koden. Det er ikke en kravspesifikasjon.</w:t>
      </w:r>
    </w:p>
    <w:p>
      <w:r>
        <w:br w:type="page"/>
      </w:r>
    </w:p>
    <w:p>
      <w:pPr>
        <w:pStyle w:val="Heading1"/>
      </w:pPr>
      <w:r>
        <w:t>1. Arkitektur og plattform</w:t>
      </w:r>
    </w:p>
    <w:p>
      <w:pPr>
        <w:pStyle w:val="ListBullet"/>
      </w:pPr>
      <w:r>
        <w:t>Frontend/back-end: ASP.NET Core Blazor Server (.NET 10), Interactive Server-render (prerender av). Samme prosjekt serverer både UI og web-API (webhooks/tredjeparts-API).</w:t>
      </w:r>
    </w:p>
    <w:p>
      <w:pPr>
        <w:pStyle w:val="ListBullet"/>
      </w:pPr>
      <w:r>
        <w:t>Hosting: Azure App Service (portal.metapro.no) med tvungen HTTPS.</w:t>
      </w:r>
    </w:p>
    <w:p>
      <w:pPr>
        <w:pStyle w:val="ListBullet"/>
      </w:pPr>
      <w:r>
        <w:t>Database: Supabase (PostgreSQL) i EØS-region.</w:t>
      </w:r>
    </w:p>
    <w:p>
      <w:pPr>
        <w:pStyle w:val="ListBullet"/>
      </w:pPr>
      <w:r>
        <w:t>To datatilganger: (1) Supabase REST/PostgREST med service_role for applikasjonens normale drift; (2) direkte Postgres-tilkobling (Npgsql) for databasemigrasjoner og GDPR-bulkjobber.</w:t>
      </w:r>
    </w:p>
    <w:p>
      <w:pPr>
        <w:pStyle w:val="ListBullet"/>
      </w:pPr>
      <w:r>
        <w:t>Databasemigrasjoner kjøres automatisk ved oppstart (DatabaseMigrator): SQL-filer i rekkefølge, hver i egen transaksjon, feiltolerant, med reload av PostgREST-skjemacache etter kjøring.</w:t>
      </w:r>
    </w:p>
    <w:p>
      <w:pPr>
        <w:pStyle w:val="ListBullet"/>
      </w:pPr>
      <w:r>
        <w:t>Hemmeligheter leses kun fra server-konfig (Azure App Settings) — aldri fra kildekode eller delt database.</w:t>
      </w:r>
    </w:p>
    <w:p>
      <w:pPr>
        <w:pStyle w:val="Heading1"/>
      </w:pPr>
      <w:r>
        <w:t>2. Sikkerhetstiltak</w:t>
      </w:r>
    </w:p>
    <w:p>
      <w:pPr>
        <w:pStyle w:val="Heading2"/>
      </w:pPr>
      <w:r>
        <w:t>2.1 Feltnivåkryptering av personopplysninger</w:t>
      </w:r>
    </w:p>
    <w:p>
      <w:pPr>
        <w:pStyle w:val="ListBullet"/>
      </w:pPr>
      <w:r>
        <w:t>Fødselsnummer (søker + medsøker) og kunde_id krypteres med AES-256-GCM. Lagringsformat: enc:1:BASE64(nonce|tag|ciphertext).</w:t>
      </w:r>
    </w:p>
    <w:p>
      <w:pPr>
        <w:pStyle w:val="ListBullet"/>
      </w:pPr>
      <w:r>
        <w:t>Kryptering skjer ved skriving (på en klon for DB), dekryptering på alle leseveier — appen jobber alltid i klartekst i minnet.</w:t>
      </w:r>
    </w:p>
    <w:p>
      <w:pPr>
        <w:pStyle w:val="ListBullet"/>
      </w:pPr>
      <w:r>
        <w:t>Søkbar HMAC (fnr_hmac) avledet fra samme nøkkel gjør oppslag mulig uten å dekryptere hele tabellen.</w:t>
      </w:r>
    </w:p>
    <w:p>
      <w:pPr>
        <w:pStyle w:val="ListBullet"/>
      </w:pPr>
      <w:r>
        <w:t>Nøkkel: app-innstilling Gdpr__FieldKey i Azure. Mangler nøkkelen slås kryptering av (fail-open for ikke å miste innkommende leads) og en kritisk alarm reises — se 3.4.</w:t>
      </w:r>
    </w:p>
    <w:p>
      <w:pPr>
        <w:pStyle w:val="Heading2"/>
      </w:pPr>
      <w:r>
        <w:t>2.2 Tilgangskontroll i databasen</w:t>
      </w:r>
    </w:p>
    <w:p>
      <w:pPr>
        <w:pStyle w:val="ListBullet"/>
      </w:pPr>
      <w:r>
        <w:t>Row-Level Security (RLS) er slått på for alle tabeller i public-skjemaet. Ingen offentlige policyer — anon/authenticated har ingen tilgang.</w:t>
      </w:r>
    </w:p>
    <w:p>
      <w:pPr>
        <w:pStyle w:val="ListBullet"/>
      </w:pPr>
      <w:r>
        <w:t>Applikasjonen bruker service_role, som har BYPASSRLS og dermed full tilgang; anonym tilgang via prosjekt-URL/anon-nøkkel er blokkert.</w:t>
      </w:r>
    </w:p>
    <w:p>
      <w:pPr>
        <w:pStyle w:val="Heading2"/>
      </w:pPr>
      <w:r>
        <w:t>2.3 Transport og HTTP-sikkerhet</w:t>
      </w:r>
    </w:p>
    <w:p>
      <w:pPr>
        <w:pStyle w:val="ListBullet"/>
      </w:pPr>
      <w:r>
        <w:t>TLS/HTTPS med HSTS og HTTPS-redirect i produksjon.</w:t>
      </w:r>
    </w:p>
    <w:p>
      <w:pPr>
        <w:pStyle w:val="ListBullet"/>
      </w:pPr>
      <w:r>
        <w:t>Streng Content-Security-Policy, X-Frame-Options: DENY, X-Content-Type-Options: nosniff, Referrer-Policy, Permissions-Policy.</w:t>
      </w:r>
    </w:p>
    <w:p>
      <w:pPr>
        <w:pStyle w:val="Heading2"/>
      </w:pPr>
      <w:r>
        <w:t>2.4 Innlogging og misbruk</w:t>
      </w:r>
    </w:p>
    <w:p>
      <w:pPr>
        <w:pStyle w:val="ListBullet"/>
      </w:pPr>
      <w:r>
        <w:t>2-faktor (SMS via LinkMobility) for ansatte, med brute-force-sperre på innlogging.</w:t>
      </w:r>
    </w:p>
    <w:p>
      <w:pPr>
        <w:pStyle w:val="ListBullet"/>
      </w:pPr>
      <w:r>
        <w:t>Rate limiting på offentlige endepunkter og webhooks (per token/IP).</w:t>
      </w:r>
    </w:p>
    <w:p>
      <w:pPr>
        <w:pStyle w:val="Heading2"/>
      </w:pPr>
      <w:r>
        <w:t>2.5 Logg-redaksjon</w:t>
      </w:r>
    </w:p>
    <w:p>
      <w:pPr>
        <w:pStyle w:val="ListBullet"/>
      </w:pPr>
      <w:r>
        <w:t>All console-/applikasjonslogg går gjennom en redaktør (RedactingConsoleFormatter) som maskerer gyldige fødselsnummer (MOD11 + datoprefiks). Kontonummer o.l. rammes ikke.</w:t>
      </w:r>
    </w:p>
    <w:p>
      <w:pPr>
        <w:pStyle w:val="ListBullet"/>
      </w:pPr>
      <w:r>
        <w:t>Ingen telemetri-pipeline (verken Application Insights, OpenTelemetry, Serilog eller lignende). Innføres telemetri senere må PII-redaksjon være på plass i samme endring.</w:t>
      </w:r>
    </w:p>
    <w:p>
      <w:pPr>
        <w:pStyle w:val="Heading1"/>
      </w:pPr>
      <w:r>
        <w:t>3. GDPR-etterlevelse</w:t>
      </w:r>
    </w:p>
    <w:p>
      <w:pPr>
        <w:pStyle w:val="Heading2"/>
      </w:pPr>
      <w:r>
        <w:t>3.1 Samtykke</w:t>
      </w:r>
    </w:p>
    <w:p>
      <w:pPr>
        <w:pStyle w:val="ListBullet"/>
      </w:pPr>
      <w:r>
        <w:t>Samtykke er en egen entitet (SamtykkeService) med formål, tidsstempel og gyldighet — ikke bare et flagg.</w:t>
      </w:r>
    </w:p>
    <w:p>
      <w:pPr>
        <w:pStyle w:val="ListBullet"/>
      </w:pPr>
      <w:r>
        <w:t>Samtykke-sperre før banksending håndheves i to lag: i sendekøen (BankSendWorker) og ved manuell sending (kundekortet). Uten gyldig samtykke (gjeldsregister + kredittsjekk) sendes ingenting til bank.</w:t>
      </w:r>
    </w:p>
    <w:p>
      <w:pPr>
        <w:pStyle w:val="ListBullet"/>
      </w:pPr>
      <w:r>
        <w:t>Fireøyne-godkjenning: to ulike admin-brukere kan aktivere samtykke manuelt.</w:t>
      </w:r>
    </w:p>
    <w:p>
      <w:pPr>
        <w:pStyle w:val="Heading2"/>
      </w:pPr>
      <w:r>
        <w:t>3.2 Registrertes rettigheter</w:t>
      </w:r>
    </w:p>
    <w:p>
      <w:pPr>
        <w:pStyle w:val="ListBullet"/>
      </w:pPr>
      <w:r>
        <w:t>Innsyn/eksport per person: samlet JSON av kundekort, saksnotat, endringslogg, banksending, samtykke og alarmer; fnr dekryptert. Innsynet loggføres.</w:t>
      </w:r>
    </w:p>
    <w:p>
      <w:pPr>
        <w:pStyle w:val="ListBullet"/>
      </w:pPr>
      <w:r>
        <w:t>Sletting per person: transaksjon som fjerner alle personens rader; loggføres uten PII.</w:t>
      </w:r>
    </w:p>
    <w:p>
      <w:pPr>
        <w:pStyle w:val="ListBullet"/>
      </w:pPr>
      <w:r>
        <w:t>Søket dekker både HMAC og klartekst-fødselsnummer, slik at også rader skrevet i klartekst er søkbare.</w:t>
      </w:r>
    </w:p>
    <w:p>
      <w:pPr>
        <w:pStyle w:val="Heading2"/>
      </w:pPr>
      <w:r>
        <w:t>3.3 Oppbevaringsbegrensning</w:t>
      </w:r>
    </w:p>
    <w:p>
      <w:pPr>
        <w:pStyle w:val="ListBullet"/>
      </w:pPr>
      <w:r>
        <w:t>Daglig jobb (GdprWorker) anonymiserer og sletter kundekort etter oppsatt antall måneder (gdpr_anonymize_months / gdpr_delete_months), regnet fra opprettelse. Anonymisering nuller identitet/kontakt og rydder relaterte tabeller; sletting fjerner alt.</w:t>
      </w:r>
    </w:p>
    <w:p>
      <w:pPr>
        <w:pStyle w:val="Heading2"/>
      </w:pPr>
      <w:r>
        <w:t>3.4 Overvåking av de tunge GDPR-mekanismene</w:t>
      </w:r>
    </w:p>
    <w:p>
      <w:r>
        <w:t>To mekanismer bærer de tyngste forpliktelsene og kan svikte stille. Overvåkingen måler TILSTAND (fravær av suksess), ikke engangshendelser, og evalueres hver time i produksjon — uavhengig av jobbens egen Postgres-tilkobling.</w:t>
      </w:r>
    </w:p>
    <w:p>
      <w:pPr>
        <w:pStyle w:val="ListBullet"/>
      </w:pPr>
      <w:r>
        <w:t>Kjøringslogg (tabell gdpr_jobb_kjoring): én rad per forsøk (anonymisering/sletting/reparasjon), opprettes ved start og oppdateres ved fullføring. fullfort_at = null betyr «kom ikke i mål».</w:t>
      </w:r>
    </w:p>
    <w:p>
      <w:pPr>
        <w:pStyle w:val="ListBullet"/>
      </w:pPr>
      <w:r>
        <w:t>Alarm 1 — jobben KJØRER: kritisk alarm hvis siste fullførte sletting er eldre enn 48 t eller aldri har skjedd. Teksten viser konsekvensen: «…{N} døgn. {M} kundekort ligger over oppbevaringstiden.»</w:t>
      </w:r>
    </w:p>
    <w:p>
      <w:pPr>
        <w:pStyle w:val="ListBullet"/>
      </w:pPr>
      <w:r>
        <w:t>Alarm 2 — fødselsnummer i klartekst: kritisk alarm hvis noen rader har fnr uten enc:1:-prefiks. Forventet i normaldrift: 0.</w:t>
      </w:r>
    </w:p>
    <w:p>
      <w:pPr>
        <w:pStyle w:val="ListBullet"/>
      </w:pPr>
      <w:r>
        <w:t>Alarm 3 — jobben VIRKER: kritisk alarm hvis kundekort over anonymiseringsgrensen fortsatt ikke er anonymisert i mer enn 48 t (karens). Fanger tilfellet der jobben fullfører uten å behandle radene den skulle.</w:t>
      </w:r>
    </w:p>
    <w:p>
      <w:pPr>
        <w:pStyle w:val="ListBullet"/>
      </w:pPr>
      <w:r>
        <w:t>Reparasjonsjobb: krypterer klartekst-fnr og regenererer HMAC daglig når nøkkelen er lastet, slik at et kort feilkonfig-vindu ikke etterlater et permanent restlager i klartekst.</w:t>
      </w:r>
    </w:p>
    <w:p>
      <w:pPr>
        <w:pStyle w:val="ListBullet"/>
      </w:pPr>
      <w:r>
        <w:t>Info-hjerteslag: siste vellykkede kjøring vises i alarmlista uten å telle som problem.</w:t>
      </w:r>
    </w:p>
    <w:p>
      <w:pPr>
        <w:pStyle w:val="Heading2"/>
      </w:pPr>
      <w:r>
        <w:t>3.5 Revisjonsspor og avgjørelseslogg</w:t>
      </w:r>
    </w:p>
    <w:p>
      <w:pPr>
        <w:pStyle w:val="ListBullet"/>
      </w:pPr>
      <w:r>
        <w:t>Endringslogg per kundekort (kundekort_logg) er append-only, med databasetrigger som nekter UPDATE/DELETE utenom autorisert opprydding.</w:t>
      </w:r>
    </w:p>
    <w:p>
      <w:pPr>
        <w:pStyle w:val="ListBullet"/>
      </w:pPr>
      <w:r>
        <w:t>Avgjørelseslogg (art. 22/30): ved banksending logges hvilken versjon av logikk-matrisen som lå til grunn, hva den foreslo, og hvilken bank som ble valgt.</w:t>
      </w:r>
    </w:p>
    <w:p>
      <w:pPr>
        <w:pStyle w:val="Heading1"/>
      </w:pPr>
      <w:r>
        <w:t>4. Statusmodell og fler-bank-logikk</w:t>
      </w:r>
    </w:p>
    <w:p>
      <w:pPr>
        <w:pStyle w:val="ListBullet"/>
      </w:pPr>
      <w:r>
        <w:t>Statuser: Påbegynt søknad, Nytt lead, Ny søknad, Pågår - Agent, Sendt - I prosess, Sendt til bank - Timeout, Sendt - Innvilget, Utbetalt, Avslått, Kansellert, Teknisk feil.</w:t>
      </w:r>
    </w:p>
    <w:p>
      <w:pPr>
        <w:pStyle w:val="ListBullet"/>
      </w:pPr>
      <w:r>
        <w:t>I markeds-dropdownen kan saksbehandler kun sette manuelle statuser (Pågår - Agent, Sendt - I prosess, Utbetalt, Avslått, Kansellert). Øvrige er system-satt (webhook/API/jobber) og endres ved å åpne kundekortet.</w:t>
      </w:r>
    </w:p>
    <w:p>
      <w:pPr>
        <w:pStyle w:val="ListBullet"/>
      </w:pPr>
      <w:r>
        <w:t>Per-bank utfall (banksending.utfall): Venter/Innvilget/Avslått/Utbetalt/Kansellert/Teknisk feil. Kundekortets samlede status utledes automatisk fra alle bankene: én innvilget → Sendt - Innvilget; alle avslått → Avslått; noen venter → Sendt - I prosess; utbetalt → Utbetalt.</w:t>
      </w:r>
    </w:p>
    <w:p>
      <w:pPr>
        <w:pStyle w:val="ListBullet"/>
      </w:pPr>
      <w:r>
        <w:t>Auto-timeout: sak som står i «Sendt - I prosess» lenger enn innstilt antall dager settes automatisk til «Sendt til bank - Timeout».</w:t>
      </w:r>
    </w:p>
    <w:p>
      <w:pPr>
        <w:pStyle w:val="ListBullet"/>
      </w:pPr>
      <w:r>
        <w:t>Statuskort på kundekortet viser matchende banker (fra logikk-matrisen) med per-bank prosess (Ikke sendt → Sendt → Pågår → Avklart) og send-/utfallshandling.</w:t>
      </w:r>
    </w:p>
    <w:p>
      <w:pPr>
        <w:pStyle w:val="Heading1"/>
      </w:pPr>
      <w:r>
        <w:t>5. Integrasjoner (utgående dataflyt / databehandlere)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Tjeneste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Formål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Autentisering</w:t>
            </w:r>
          </w:p>
        </w:tc>
      </w:tr>
      <w:tr>
        <w:tc>
          <w:tcPr>
            <w:tcW w:type="dxa" w:w="2160"/>
          </w:tcPr>
          <w:p>
            <w:r>
              <w:t>Instabank Agent API</w:t>
            </w:r>
          </w:p>
        </w:tc>
        <w:tc>
          <w:tcPr>
            <w:tcW w:type="dxa" w:w="2160"/>
          </w:tcPr>
          <w:p>
            <w:r>
              <w:t>Sende lånesøknad + hente status (get/setaccepted). Statussynk hvert 5. min på uavklarte saker.</w:t>
            </w:r>
          </w:p>
        </w:tc>
        <w:tc>
          <w:tcPr>
            <w:tcW w:type="dxa" w:w="2160"/>
          </w:tcPr>
          <w:p>
            <w:r>
              <w:t>Fnr, e-post, mobil, beløp, økonomi/gjeld, orgnr (B2B), medsøker (CoApplicants)</w:t>
            </w:r>
          </w:p>
        </w:tc>
        <w:tc>
          <w:tcPr>
            <w:tcW w:type="dxa" w:w="2160"/>
          </w:tcPr>
          <w:p>
            <w:r>
              <w:t>Basic Auth (server-konfig)</w:t>
            </w:r>
          </w:p>
        </w:tc>
      </w:tr>
      <w:tr>
        <w:tc>
          <w:tcPr>
            <w:tcW w:type="dxa" w:w="2160"/>
          </w:tcPr>
          <w:p>
            <w:r>
              <w:t>LinkMobility (SMS)</w:t>
            </w:r>
          </w:p>
        </w:tc>
        <w:tc>
          <w:tcPr>
            <w:tcW w:type="dxa" w:w="2160"/>
          </w:tcPr>
          <w:p>
            <w:r>
              <w:t>2FA-koder, SMS til kunde, 24-timers påminnelsesløp</w:t>
            </w:r>
          </w:p>
        </w:tc>
        <w:tc>
          <w:tcPr>
            <w:tcW w:type="dxa" w:w="2160"/>
          </w:tcPr>
          <w:p>
            <w:r>
              <w:t>Mobilnummer + meldingstekst (avsender «Rentekutt»)</w:t>
            </w:r>
          </w:p>
        </w:tc>
        <w:tc>
          <w:tcPr>
            <w:tcW w:type="dxa" w:w="2160"/>
          </w:tcPr>
          <w:p>
            <w:r>
              <w:t>OAuth2 client credentials</w:t>
            </w:r>
          </w:p>
        </w:tc>
      </w:tr>
      <w:tr>
        <w:tc>
          <w:tcPr>
            <w:tcW w:type="dxa" w:w="2160"/>
          </w:tcPr>
          <w:p>
            <w:r>
              <w:t>Klaviyo</w:t>
            </w:r>
          </w:p>
        </w:tc>
        <w:tc>
          <w:tcPr>
            <w:tcW w:type="dxa" w:w="2160"/>
          </w:tcPr>
          <w:p>
            <w:r>
              <w:t>Markedsføringshendelser (klargjort)</w:t>
            </w:r>
          </w:p>
        </w:tc>
        <w:tc>
          <w:tcPr>
            <w:tcW w:type="dxa" w:w="2160"/>
          </w:tcPr>
          <w:p>
            <w:r>
              <w:t>E-post + hendelsesegenskaper</w:t>
            </w:r>
          </w:p>
        </w:tc>
        <w:tc>
          <w:tcPr>
            <w:tcW w:type="dxa" w:w="2160"/>
          </w:tcPr>
          <w:p>
            <w:r>
              <w:t>Privat API-nøkkel (server-konfig)</w:t>
            </w:r>
          </w:p>
        </w:tc>
      </w:tr>
      <w:tr>
        <w:tc>
          <w:tcPr>
            <w:tcW w:type="dxa" w:w="2160"/>
          </w:tcPr>
          <w:p>
            <w:r>
              <w:t>Gjeldsregisteret</w:t>
            </w:r>
          </w:p>
        </w:tc>
        <w:tc>
          <w:tcPr>
            <w:tcW w:type="dxa" w:w="2160"/>
          </w:tcPr>
          <w:p>
            <w:r>
              <w:t>Samtykkebasert gjeldsoppslag (via partner)</w:t>
            </w:r>
          </w:p>
        </w:tc>
        <w:tc>
          <w:tcPr>
            <w:tcW w:type="dxa" w:w="2160"/>
          </w:tcPr>
          <w:p>
            <w:r>
              <w:t>Fødselsnummer</w:t>
            </w:r>
          </w:p>
        </w:tc>
        <w:tc>
          <w:tcPr>
            <w:tcW w:type="dxa" w:w="2160"/>
          </w:tcPr>
          <w:p>
            <w:r>
              <w:t>OAuth2 (partner-credentials)</w:t>
            </w:r>
          </w:p>
        </w:tc>
      </w:tr>
      <w:tr>
        <w:tc>
          <w:tcPr>
            <w:tcW w:type="dxa" w:w="2160"/>
          </w:tcPr>
          <w:p>
            <w:r>
              <w:t>Norges Bank</w:t>
            </w:r>
          </w:p>
        </w:tc>
        <w:tc>
          <w:tcPr>
            <w:tcW w:type="dxa" w:w="2160"/>
          </w:tcPr>
          <w:p>
            <w:r>
              <w:t>Styringsrente (referanse)</w:t>
            </w:r>
          </w:p>
        </w:tc>
        <w:tc>
          <w:tcPr>
            <w:tcW w:type="dxa" w:w="2160"/>
          </w:tcPr>
          <w:p>
            <w:r>
              <w:t>Ingen persondata</w:t>
            </w:r>
          </w:p>
        </w:tc>
        <w:tc>
          <w:tcPr>
            <w:tcW w:type="dxa" w:w="2160"/>
          </w:tcPr>
          <w:p>
            <w:r>
              <w:t>Åpent API</w:t>
            </w:r>
          </w:p>
        </w:tc>
      </w:tr>
    </w:tbl>
    <w:p/>
    <w:p>
      <w:pPr>
        <w:pStyle w:val="ListBullet"/>
      </w:pPr>
      <w:r>
        <w:t>Alle hemmeligheter ligger i Azure App Settings. Klaviyo og Gjeldsregisteret er nyere databehandlere som må inn i behandlingsprotokollen (databehandleravtale; Klaviyo også overføringsgrunnlag til tredjeland).</w:t>
      </w:r>
    </w:p>
    <w:p>
      <w:pPr>
        <w:pStyle w:val="Heading1"/>
      </w:pPr>
      <w:r>
        <w:t>6. Bakgrunnsjobber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Jobb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Intervall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Funksjon</w:t>
            </w:r>
          </w:p>
        </w:tc>
      </w:tr>
      <w:tr>
        <w:tc>
          <w:tcPr>
            <w:tcW w:type="dxa" w:w="2880"/>
          </w:tcPr>
          <w:p>
            <w:r>
              <w:t>BankSendWorker</w:t>
            </w:r>
          </w:p>
        </w:tc>
        <w:tc>
          <w:tcPr>
            <w:tcW w:type="dxa" w:w="2880"/>
          </w:tcPr>
          <w:p>
            <w:r>
              <w:t>Kontinuerlig (throttlet)</w:t>
            </w:r>
          </w:p>
        </w:tc>
        <w:tc>
          <w:tcPr>
            <w:tcW w:type="dxa" w:w="2880"/>
          </w:tcPr>
          <w:p>
            <w:r>
              <w:t>Sikker sendekø til bank (ett kall om gangen, circuit breaker). Reiser infrastruktur-alarmer ved oppstart (kun prod).</w:t>
            </w:r>
          </w:p>
        </w:tc>
      </w:tr>
      <w:tr>
        <w:tc>
          <w:tcPr>
            <w:tcW w:type="dxa" w:w="2880"/>
          </w:tcPr>
          <w:p>
            <w:r>
              <w:t>GdprWorker</w:t>
            </w:r>
          </w:p>
        </w:tc>
        <w:tc>
          <w:tcPr>
            <w:tcW w:type="dxa" w:w="2880"/>
          </w:tcPr>
          <w:p>
            <w:r>
              <w:t>Daglig</w:t>
            </w:r>
          </w:p>
        </w:tc>
        <w:tc>
          <w:tcPr>
            <w:tcW w:type="dxa" w:w="2880"/>
          </w:tcPr>
          <w:p>
            <w:r>
              <w:t>Anonymisering/sletting etter oppbevaringstid + rydding av payload-buffer. Loggfører kjøringer.</w:t>
            </w:r>
          </w:p>
        </w:tc>
      </w:tr>
      <w:tr>
        <w:tc>
          <w:tcPr>
            <w:tcW w:type="dxa" w:w="2880"/>
          </w:tcPr>
          <w:p>
            <w:r>
              <w:t>GdprOvervaakWorker</w:t>
            </w:r>
          </w:p>
        </w:tc>
        <w:tc>
          <w:tcPr>
            <w:tcW w:type="dxa" w:w="2880"/>
          </w:tcPr>
          <w:p>
            <w:r>
              <w:t>Hver time (prod)</w:t>
            </w:r>
          </w:p>
        </w:tc>
        <w:tc>
          <w:tcPr>
            <w:tcW w:type="dxa" w:w="2880"/>
          </w:tcPr>
          <w:p>
            <w:r>
              <w:t>Alarm 1/2/3 + reparasjonsjobb (krypter klartekst/HMAC).</w:t>
            </w:r>
          </w:p>
        </w:tc>
      </w:tr>
      <w:tr>
        <w:tc>
          <w:tcPr>
            <w:tcW w:type="dxa" w:w="2880"/>
          </w:tcPr>
          <w:p>
            <w:r>
              <w:t>InstabankStatusWorker</w:t>
            </w:r>
          </w:p>
        </w:tc>
        <w:tc>
          <w:tcPr>
            <w:tcW w:type="dxa" w:w="2880"/>
          </w:tcPr>
          <w:p>
            <w:r>
              <w:t>Hvert 5. min (prod)</w:t>
            </w:r>
          </w:p>
        </w:tc>
        <w:tc>
          <w:tcPr>
            <w:tcW w:type="dxa" w:w="2880"/>
          </w:tcPr>
          <w:p>
            <w:r>
              <w:t>Poller uavklarte Instabank-saker, setter per-bank utfall, aggregerer status.</w:t>
            </w:r>
          </w:p>
        </w:tc>
      </w:tr>
      <w:tr>
        <w:tc>
          <w:tcPr>
            <w:tcW w:type="dxa" w:w="2880"/>
          </w:tcPr>
          <w:p>
            <w:r>
              <w:t>SendtBankTimeoutWorker</w:t>
            </w:r>
          </w:p>
        </w:tc>
        <w:tc>
          <w:tcPr>
            <w:tcW w:type="dxa" w:w="2880"/>
          </w:tcPr>
          <w:p>
            <w:r>
              <w:t>Hver time (prod)</w:t>
            </w:r>
          </w:p>
        </w:tc>
        <w:tc>
          <w:tcPr>
            <w:tcW w:type="dxa" w:w="2880"/>
          </w:tcPr>
          <w:p>
            <w:r>
              <w:t>Setter «Sendt - I prosess» → «Sendt til bank - Timeout» etter X dager.</w:t>
            </w:r>
          </w:p>
        </w:tc>
      </w:tr>
      <w:tr>
        <w:tc>
          <w:tcPr>
            <w:tcW w:type="dxa" w:w="2880"/>
          </w:tcPr>
          <w:p>
            <w:r>
              <w:t>Paamindelse24tWorker</w:t>
            </w:r>
          </w:p>
        </w:tc>
        <w:tc>
          <w:tcPr>
            <w:tcW w:type="dxa" w:w="2880"/>
          </w:tcPr>
          <w:p>
            <w:r>
              <w:t>Konfigurerbart</w:t>
            </w:r>
          </w:p>
        </w:tc>
        <w:tc>
          <w:tcPr>
            <w:tcW w:type="dxa" w:w="2880"/>
          </w:tcPr>
          <w:p>
            <w:r>
              <w:t>24-timers SMS-påminnelse til «Påbegynt søknad».</w:t>
            </w:r>
          </w:p>
        </w:tc>
      </w:tr>
    </w:tbl>
    <w:p/>
    <w:p>
      <w:pPr>
        <w:pStyle w:val="ListBullet"/>
      </w:pPr>
      <w:r>
        <w:t>Jobber som endrer prod-data eller reiser alarmer kjører kun i produksjon, slik at lokale/utviklings-instanser (som deler prod-databasen) ikke forstyrrer drift eller alarmer.</w:t>
      </w:r>
    </w:p>
    <w:p>
      <w:pPr>
        <w:pStyle w:val="Heading1"/>
      </w:pPr>
      <w:r>
        <w:t>7. Funksjonelle moduler (kort)</w:t>
      </w:r>
    </w:p>
    <w:p>
      <w:pPr>
        <w:pStyle w:val="ListBullet"/>
      </w:pPr>
      <w:r>
        <w:t>Person-/Bedriftsmarked: liste med filtrering (bank, status, område, søk), statistikk som følger aktive filtre i sanntid, lagrede søkefiltre per marked, «Forslag bank» og «Merknad»-fargebadges.</w:t>
      </w:r>
    </w:p>
    <w:p>
      <w:pPr>
        <w:pStyle w:val="ListBullet"/>
      </w:pPr>
      <w:r>
        <w:t>Markedsinnsikt: rentenivå vs. styringsrente, med produktkategori-faner (Boliglån, Boliglån ung, Førstehjem, Forbrukslån, Spesialbank, Rammelån, Bedriftslån, Kassakreditt).</w:t>
      </w:r>
    </w:p>
    <w:p>
      <w:pPr>
        <w:pStyle w:val="ListBullet"/>
      </w:pPr>
      <w:r>
        <w:t>Merknad lån (admin): regelmotor som gir kundekort fargebadges basert på alle kundedata (inkl. utledet alder fra fnr).</w:t>
      </w:r>
    </w:p>
    <w:p>
      <w:pPr>
        <w:pStyle w:val="ListBullet"/>
      </w:pPr>
      <w:r>
        <w:t>Mine søknader: pågående saker + oppfølginger, med hurtigfilter «Sendt til bank / Ikke sendt».</w:t>
      </w:r>
    </w:p>
    <w:p>
      <w:pPr>
        <w:pStyle w:val="ListBullet"/>
      </w:pPr>
      <w:r>
        <w:t>Kommunikasjon (admin): Klaviyo-hendelser + SMS-løp med test-utsending.</w:t>
      </w:r>
    </w:p>
    <w:p>
      <w:pPr>
        <w:pStyle w:val="ListBullet"/>
      </w:pPr>
      <w:r>
        <w:t>Bugs (admin): internt meldingsspor kundeservice ↔ admin, med bildevedlegg.</w:t>
      </w:r>
    </w:p>
    <w:p>
      <w:pPr>
        <w:pStyle w:val="ListBullet"/>
      </w:pPr>
      <w:r>
        <w:t>Dashboard: nøkkeltall + fullføringsgrad for rentekutt.no-leads (påbegynt → fullført) med ukentlig trend.</w:t>
      </w:r>
    </w:p>
    <w:p>
      <w:pPr>
        <w:pStyle w:val="ListBullet"/>
      </w:pPr>
      <w:r>
        <w:t>Alarmer (admin): drifts-/sikkerhetsalarmer med kvittering; varsel-lampen lyser kun for reelle problemer (info-hjerteslag teller ikke).</w:t>
      </w:r>
    </w:p>
    <w:p/>
    <w:p>
      <w:r>
        <w:rPr>
          <w:i/>
          <w:color w:val="808080"/>
          <w:sz w:val="17"/>
        </w:rPr>
        <w:t>Generert automatisk fra kodebasen. Filen holdes lokalt.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