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teoría-de-la-organización"/>
    <w:p>
      <w:pPr>
        <w:pStyle w:val="Heading1"/>
      </w:pPr>
      <w:r>
        <w:t xml:space="preserve">Teoría de la organización</w:t>
      </w:r>
    </w:p>
    <w:p>
      <w:pPr>
        <w:pStyle w:val="FirstParagraph"/>
      </w:pPr>
      <w:r>
        <w:t xml:space="preserve">Una perspectiva libertaria</w:t>
      </w:r>
    </w:p>
    <w:p>
      <w:pPr>
        <w:pStyle w:val="BodyText"/>
      </w:pPr>
      <w:r>
        <w:t xml:space="preserve">Por Kevin A. Carson</w:t>
      </w:r>
    </w:p>
    <w:p>
      <w:pPr>
        <w:pStyle w:val="BodyText"/>
      </w:pPr>
      <w:r>
        <w:t xml:space="preserve">A mi madre, Ruth Emma Rickert, y a la memoria de mi padre, Amos Morgan Carson, con amor.</w:t>
      </w:r>
    </w:p>
    <w:bookmarkEnd w:id="20"/>
    <w:bookmarkStart w:id="23" w:name="prefacio"/>
    <w:p>
      <w:pPr>
        <w:pStyle w:val="Heading1"/>
      </w:pPr>
      <w:r>
        <w:t xml:space="preserve">Prefacio</w:t>
      </w:r>
    </w:p>
    <w:p>
      <w:pPr>
        <w:pStyle w:val="FirstParagraph"/>
      </w:pPr>
      <w:r>
        <w:t xml:space="preserve">Este libro tiene su origen en un pasaje (la sección</w:t>
      </w:r>
      <w:r>
        <w:t xml:space="preserve"> </w:t>
      </w:r>
      <w:r>
        <w:t xml:space="preserve">‘</w:t>
      </w:r>
      <w:r>
        <w:t xml:space="preserve">Crisis Fiscal y de Insumos</w:t>
      </w:r>
      <w:r>
        <w:t xml:space="preserve">’</w:t>
      </w:r>
      <w:r>
        <w:t xml:space="preserve"> </w:t>
      </w:r>
      <w:r>
        <w:t xml:space="preserve">del capítulo ocho) de mi último libro,</w:t>
      </w:r>
      <w:r>
        <w:t xml:space="preserve"> </w:t>
      </w:r>
      <w:r>
        <w:rPr>
          <w:iCs/>
          <w:i/>
        </w:rPr>
        <w:t xml:space="preserve">Estudios sobre Economía Política Mutualista</w:t>
      </w:r>
      <w:r>
        <w:t xml:space="preserve">. Si lee ese pasaje (está disponible en línea en Mutualist.Org), se hará una idea de la perspectiva que me llevó a escribir este libro. Las reflexiones radicales sobre las patologías organizativas de ese pasaje, tanto las mías como las de los autores que cité, encajaban perfectamente con mis experiencias sobre la irracionalidad burocrática y el jefecillismo inepto tras toda una vida como trabajador y consumidor.</w:t>
      </w:r>
    </w:p>
    <w:p>
      <w:pPr>
        <w:pStyle w:val="BodyText"/>
      </w:pPr>
      <w:r>
        <w:t xml:space="preserve">Para zanjar las demás cuestiones sobre mi perspectiva, debo mencionar que la redacción del subtítulo (</w:t>
      </w:r>
      <w:r>
        <w:t xml:space="preserve">‘</w:t>
      </w:r>
      <w:r>
        <w:t xml:space="preserve">Una Perspectiva Libertaria</w:t>
      </w:r>
      <w:r>
        <w:t xml:space="preserve">’</w:t>
      </w:r>
      <w:r>
        <w:t xml:space="preserve">) es el reflejo de un largo proceso de indecisión y cambios, y es algo que todavía no me satisface del todo. Dudé entre los adjetivos</w:t>
      </w:r>
      <w:r>
        <w:t xml:space="preserve"> </w:t>
      </w:r>
      <w:r>
        <w:t xml:space="preserve">‘</w:t>
      </w:r>
      <w:r>
        <w:t xml:space="preserve">mutualista</w:t>
      </w:r>
      <w:r>
        <w:t xml:space="preserve">’</w:t>
      </w:r>
      <w:r>
        <w:t xml:space="preserve">,</w:t>
      </w:r>
      <w:r>
        <w:t xml:space="preserve"> </w:t>
      </w:r>
      <w:r>
        <w:t xml:space="preserve">‘</w:t>
      </w:r>
      <w:r>
        <w:t xml:space="preserve">anarquista</w:t>
      </w:r>
      <w:r>
        <w:t xml:space="preserve">’</w:t>
      </w:r>
      <w:r>
        <w:t xml:space="preserve">,</w:t>
      </w:r>
      <w:r>
        <w:t xml:space="preserve"> </w:t>
      </w:r>
      <w:r>
        <w:t xml:space="preserve">‘</w:t>
      </w:r>
      <w:r>
        <w:t xml:space="preserve">anarquista individualista</w:t>
      </w:r>
      <w:r>
        <w:t xml:space="preserve">’</w:t>
      </w:r>
      <w:r>
        <w:t xml:space="preserve"> </w:t>
      </w:r>
      <w:r>
        <w:t xml:space="preserve">y</w:t>
      </w:r>
      <w:r>
        <w:t xml:space="preserve"> </w:t>
      </w:r>
      <w:r>
        <w:t xml:space="preserve">‘</w:t>
      </w:r>
      <w:r>
        <w:t xml:space="preserve">libertario de izquierdas</w:t>
      </w:r>
      <w:r>
        <w:t xml:space="preserve">’</w:t>
      </w:r>
      <w:r>
        <w:t xml:space="preserve">, sin que ninguno me convenciera por su probable tendencia a encasillar mi obra o a ahuyentar al público al que me dirijo. Finalmente, acabé (no sin ciertas dudas) con el simple y llano</w:t>
      </w:r>
      <w:r>
        <w:t xml:space="preserve"> </w:t>
      </w:r>
      <w:r>
        <w:t xml:space="preserve">‘</w:t>
      </w:r>
      <w:r>
        <w:t xml:space="preserve">libertario</w:t>
      </w:r>
      <w:r>
        <w:t xml:space="preserve">’</w:t>
      </w:r>
      <w:r>
        <w:t xml:space="preserve">. Es un término que genera una considerable controversia entre los campos del liberalismo clásico y el socialismo libertario. No pretendo que la elección del término excluya a ninguna de las partes. De hecho, como individualista en la tradición de Tucker y el resto de los anarquistas de Boston, me identifico con</w:t>
      </w:r>
      <w:r>
        <w:t xml:space="preserve"> </w:t>
      </w:r>
      <w:r>
        <w:rPr>
          <w:iCs/>
          <w:i/>
        </w:rPr>
        <w:t xml:space="preserve">ambos</w:t>
      </w:r>
      <w:r>
        <w:t xml:space="preserve"> </w:t>
      </w:r>
      <w:r>
        <w:t xml:space="preserve">campos: el de los libertarios de libre mercado y el de los socialistas libertarios. Elegí</w:t>
      </w:r>
      <w:r>
        <w:t xml:space="preserve"> </w:t>
      </w:r>
      <w:r>
        <w:t xml:space="preserve">‘</w:t>
      </w:r>
      <w:r>
        <w:t xml:space="preserve">libertario</w:t>
      </w:r>
      <w:r>
        <w:t xml:space="preserve">’</w:t>
      </w:r>
      <w:r>
        <w:t xml:space="preserve"> </w:t>
      </w:r>
      <w:r>
        <w:t xml:space="preserve">precisamente porque era un término amplio que contenía multitudes: solo él parecía lo bastante abarcador como para englobar al público que tenía en mente.</w:t>
      </w:r>
    </w:p>
    <w:p>
      <w:pPr>
        <w:pStyle w:val="BodyText"/>
      </w:pPr>
      <w:r>
        <w:t xml:space="preserve">Escribo desde la perspectiva del anarquismo individualista, tal como la expusieron William B. Greene y Benjamin Tucker, entre otros, y tal como intenté actualizarla para el siglo XXI en mi último libro. Así es como la describí en el prefacio de dicha obra:</w:t>
      </w:r>
    </w:p>
    <w:p>
      <w:pPr>
        <w:pStyle w:val="BodyText"/>
      </w:pPr>
      <w:r>
        <w:t xml:space="preserve">A mediados del siglo XIX, una vibrante escuela de anarquismo autóctona de Estados Unidos, conocida como anarquismo individualista, existía junto a las demás variedades. Como la mayor parte del pensamiento socialista de la época, se basaba en una interpretación radical de la economía ricardiana. El anarquismo individualista clásico de Josiah Warren, Benjamin Tucker y Lysander Spooner era a la vez un movimiento socialista y una subcorriente del liberalismo clásico. Coincidía con el resto del movimiento socialista en que el trabajo era la fuente del valor de cambio y… tenía derecho a su producto íntegro. A diferencia del resto del movimiento socialista, los anarquistas individualistas creían que el salario natural del trabajo en un mercado libre era su producto, y que la explotación económica solo podía tener lugar cuando los capitalistas y los terratenientes ponían el poder del Estado al servicio de sus intereses. Así, el anarquismo individualista era una alternativa tanto al creciente estatismo del movimiento socialista mayoritario como a un movimiento liberal clásico que se estaba convirtiendo en una mera apología del poder de las grandes empresas.</w:t>
      </w:r>
      <w:r>
        <w:rPr>
          <w:rStyle w:val="FootnoteReference"/>
        </w:rPr>
        <w:footnoteReference w:id="21"/>
      </w:r>
    </w:p>
    <w:p>
      <w:pPr>
        <w:pStyle w:val="BodyText"/>
      </w:pPr>
      <w:r>
        <w:t xml:space="preserve">Pertenezco a la corriente general de la izquierda tan bellamente descrita por los editores de</w:t>
      </w:r>
      <w:r>
        <w:t xml:space="preserve"> </w:t>
      </w:r>
      <w:r>
        <w:rPr>
          <w:iCs/>
          <w:i/>
        </w:rPr>
        <w:t xml:space="preserve">Radical Technology</w:t>
      </w:r>
      <w:r>
        <w:t xml:space="preserve"> </w:t>
      </w:r>
      <w:r>
        <w:t xml:space="preserve">(</w:t>
      </w:r>
      <w:r>
        <w:t xml:space="preserve">‘</w:t>
      </w:r>
      <w:r>
        <w:t xml:space="preserve">la ‘izquierda recesiva</w:t>
      </w:r>
      <w:r>
        <w:t xml:space="preserve">’</w:t>
      </w:r>
      <w:r>
        <w:t xml:space="preserve"> </w:t>
      </w:r>
      <w:r>
        <w:t xml:space="preserve">de anarquistas, utópicos y visionarios, que tiende a manifestarse únicamente cuando genes dominantes como Lenin o Harold Wilson están ocupados en otra cosa’). Como tal, tiendo a estar de acuerdo con los verdes y otros descentralistas de izquierdas en los males a los que se oponen en la sociedad actual y en su visión general de una buena sociedad, mientras que coincido con los libertarios de libre mercado en su análisis de la causa de dichos males y en cómo pasar de la situación actual a la deseada. En resumen: fines verdes con medios libertarios.</w:t>
      </w:r>
    </w:p>
    <w:p>
      <w:pPr>
        <w:pStyle w:val="BodyText"/>
      </w:pPr>
      <w:r>
        <w:t xml:space="preserve">Mi análisis de la gran organización se basa en los mismos principios que mi estudio de la economía del capitalismo de estado: 1) que el ejercicio del poder crea conflictos de interés, tanto dentro de la empresa nominalmente</w:t>
      </w:r>
      <w:r>
        <w:t xml:space="preserve"> </w:t>
      </w:r>
      <w:r>
        <w:t xml:space="preserve">‘</w:t>
      </w:r>
      <w:r>
        <w:t xml:space="preserve">privada</w:t>
      </w:r>
      <w:r>
        <w:t xml:space="preserve">’</w:t>
      </w:r>
      <w:r>
        <w:t xml:space="preserve"> </w:t>
      </w:r>
      <w:r>
        <w:t xml:space="preserve">como en la economía en general; 2) que la jerarquía, al separar la autoridad del conocimiento, conduce a los mismos problemas de información dentro de una organización que Hayek describió en el ámbito de la economía política; y 3) que, al hacer que el esfuerzo y la recompensa recaigan sobre actores distintos, la autoridad crea problemas de incentivos fundamentales. La función principal de la autoridad es crear privilegios: quien ostenta el poder puede trasladar los costos de sus decisiones a otros, mientras se apropia de los beneficios. El resultado es que, cuando los costos y beneficios de una acción no son asumidos por los mismos actores, se adoptan determinadas formas de organización que sobrepasan los niveles óptimos de Pareto y, además, distorsiones en la información de retorno que se retroalimentan conducen a una serie de inestabilidades sinérgicas e intervenciones del tipo que Mises describió en el plano de la economía en su conjunto. En resumen: el capitalismo de estado, junto con las grandes organizaciones patológicas que genera, es insostenible.</w:t>
      </w:r>
    </w:p>
    <w:p>
      <w:pPr>
        <w:pStyle w:val="BodyText"/>
      </w:pPr>
      <w:r>
        <w:t xml:space="preserve">La cuestión central de la primera parte es la que planteó Ronald Coase: si los mercados son más eficientes que la jerarquía y la planificación, ¿por qué están estas últimas tan extendidas? ¿Por qué encontramos el fenómeno que Coase señaló: islas de planificación centralizada empresarial en una economía supuestamente regida por el mercado? La respuesta de Coase es que las fronteras de la empresa —las fronteras entre el mercado y la jerarquía— se establecen en el punto en que los costos de transacción de los contratos de mercado superan a los de la administración y la planificación. El objeto de la primera parte es analizar la medida en que el estado desplaza artificialmente estas fronteras hacia arriba, de modo que el tamaño de la organización dominante es mucho mayor de lo que justificarían auténticas consideraciones de eficiencia.</w:t>
      </w:r>
    </w:p>
    <w:p>
      <w:pPr>
        <w:pStyle w:val="BodyText"/>
      </w:pPr>
      <w:r>
        <w:t xml:space="preserve">La segunda parte (que consta de un único capítulo, el cuatro) analiza los efectos patológicos del gran tamaño, la centralización y la jerarquía a nivel sistémico, bajo la hegemonía de la gran empresa y el estado centralizado. Es decir, analiza el efecto del predominio de la organización grande y jerárquica, y de la cultura profesionalizada y burocrática que esta genera, sobre el carácter de la sociedad en su conjunto.</w:t>
      </w:r>
    </w:p>
    <w:p>
      <w:pPr>
        <w:pStyle w:val="BodyText"/>
      </w:pPr>
      <w:r>
        <w:t xml:space="preserve">La tercera parte examina los efectos del gran tamaño y la jerarquía</w:t>
      </w:r>
      <w:r>
        <w:t xml:space="preserve"> </w:t>
      </w:r>
      <w:r>
        <w:rPr>
          <w:iCs/>
          <w:i/>
        </w:rPr>
        <w:t xml:space="preserve">dentro</w:t>
      </w:r>
      <w:r>
        <w:t xml:space="preserve"> </w:t>
      </w:r>
      <w:r>
        <w:t xml:space="preserve">de la gran organización. Los capítulos cinco y seis son breves análisis de la bibliografía sobre los problemas de información e incentivos dentro de la gran organización, elaborados tanto por teóricos de la organización convencionales como por pensadores radicales como Robert Anton Wilson y Paul Goodman. El capítulo siete aplica la crítica de la escuela austríaca a la planificación centralizada en la empresa. El capítulo ocho es un examen de amplio alcance de la irracionalidad y el autoritarismo de la gran organización, y de las patologías generales del gerencialismo: en particular, es una crítica al modelo de gestión imperante de las escuelas de negocios, consistente en reducir el capital humano, liquidar activos y desmantelar las capacidades productivas a largo plazo con el fin de inflar las bonificaciones de los directivos y las opciones sobre acciones. El capítulo nueve es un estudio de la crisis interna de gobernabilidad de la gran empresa y —basándose en la bibliografía convencional sobre los contratos incompletos— aplica un modelo de guerra asimétrica a las relaciones laborales dentro de la misma. Y el capítulo diez examina la amplia gama de teorías de gestión y de propuestas de reforma cosméticas que, sostengo, o bien sirven como una mera ideología legitimadora de cara a la galería, o bien suponen un intento de incorporar elementos libertarios y descentralizadores al viejo marco de la jerarquía empresarial, en lugar de convertirlos en los cimientos de una forma de sociedad fundamentalmente nueva.</w:t>
      </w:r>
    </w:p>
    <w:p>
      <w:pPr>
        <w:pStyle w:val="BodyText"/>
      </w:pPr>
      <w:r>
        <w:t xml:space="preserve">Por último, la cuarta parte —de la que me siento especialmente orgulloso— analiza el abanico de alternativas técnicas y organizativas que podrían prevalecer en una economía descentralizada, cooperativa y de libre mercado genuino. Los capítulos once y doce exponen los dos principios estructurales de una sociedad genuinamente libertaria: la abolición de los privilegios y su sustitución por un mercado verdaderamente libre, regido por el funcionamiento sin trabas del principio de costo. El capítulo trece aborda el proceso más factible para desmantelar el estado y avanzar hacia dicha sociedad, que resume la consigna de los wobblies:</w:t>
      </w:r>
      <w:r>
        <w:t xml:space="preserve"> </w:t>
      </w:r>
      <w:r>
        <w:t xml:space="preserve">‘</w:t>
      </w:r>
      <w:r>
        <w:t xml:space="preserve">Construyendo la estructura de la nueva sociedad dentro del cascarón de la vieja</w:t>
      </w:r>
      <w:r>
        <w:t xml:space="preserve">’</w:t>
      </w:r>
      <w:r>
        <w:t xml:space="preserve">. El capítulo catorce examina los cimientos tecnológicos de una economía descentralizada (en especial, la maquinaria de producción polivalente a pequeña escala, la maquinaria de fabricación de sobremesa y la agricultura sostenida por la comunidad) basada en la producción a pequeña escala para los mercados locales. Los capítulos quince y dieciséis, finalmente, examinan los cimientos organizativos de la producción (cooperativas, producción entre pares y las economías informal y doméstica) y de la distribución.</w:t>
      </w:r>
    </w:p>
    <w:p>
      <w:pPr>
        <w:pStyle w:val="BodyText"/>
      </w:pPr>
      <w:r>
        <w:t xml:space="preserve">Este libro, para bien o para mal, es un ejemplo de producción entre pares. Todos los capítulos se publicaron primero como borradores en línea, y gran parte de su contenido ya había aparecido en mi blog (</w:t>
      </w:r>
      <w:r>
        <w:rPr>
          <w:iCs/>
          <w:i/>
        </w:rPr>
        <w:t xml:space="preserve">Mutualist Blog: Free Market Anti-Capitalism</w:t>
      </w:r>
      <w:r>
        <w:t xml:space="preserve">). La forma definitiva de esta obra es el reflejo del enorme y fructífero debate generado en los comentarios de mi blog, de las valiosas preguntas y críticas de mis lectores, y de las ideas que he extraído del diálogo con otros blogueros y escritores sobre teoría de la organización. He recibido una ayuda inestimable de lectores (especialmente de Matthieu Gues) que, tras leer los borradores en línea, elaboraron minuciosas listas de erratas. Tanto el PDF que entregué a la editorial como el magnífico diseño de la cubierta son obra de Gary Chartier. Por todo ello, este es en gran medida un producto colaborativo, y estoy en deuda con mis lectores.</w:t>
      </w:r>
    </w:p>
    <w:p>
      <w:pPr>
        <w:pStyle w:val="BodyText"/>
      </w:pPr>
      <w:r>
        <w:t xml:space="preserve">Agradeceré cualquier pregunta o crítica. Pueden escribirme a la dirección de correo electrónico</w:t>
      </w:r>
      <w:r>
        <w:t xml:space="preserve"> </w:t>
      </w:r>
      <w:hyperlink r:id="rId22">
        <w:r>
          <w:rPr>
            <w:rStyle w:val="Hyperlink"/>
          </w:rPr>
          <w:t xml:space="preserve">free.market.anticapitalist@gmail.com</w:t>
        </w:r>
      </w:hyperlink>
      <w:r>
        <w:t xml:space="preserve">.</w:t>
      </w:r>
    </w:p>
    <w:bookmarkEnd w:id="23"/>
    <w:bookmarkStart w:id="24" w:name="primera-parte"/>
    <w:p>
      <w:pPr>
        <w:pStyle w:val="Heading1"/>
      </w:pPr>
      <w:r>
        <w:t xml:space="preserve">Primera parte</w:t>
      </w:r>
    </w:p>
    <w:p>
      <w:pPr>
        <w:pStyle w:val="FirstParagraph"/>
      </w:pPr>
      <w:r>
        <w:t xml:space="preserve">La intervención del capitalismo de Estado en el mercado</w:t>
      </w:r>
    </w:p>
    <w:bookmarkEnd w:id="24"/>
    <w:bookmarkStart w:id="39" w:name="capítulo-primero"/>
    <w:p>
      <w:pPr>
        <w:pStyle w:val="Heading1"/>
      </w:pPr>
      <w:r>
        <w:t xml:space="preserve">Capítulo primero</w:t>
      </w:r>
    </w:p>
    <w:p>
      <w:pPr>
        <w:pStyle w:val="FirstParagraph"/>
      </w:pPr>
      <w:r>
        <w:t xml:space="preserve">Un estudio crítico de las visiones ortodoxas sobre la economía de escala</w:t>
      </w:r>
    </w:p>
    <w:p>
      <w:pPr>
        <w:pStyle w:val="BodyText"/>
      </w:pPr>
      <w:r>
        <w:t xml:space="preserve">Herbert Simon observó que, para un espectador de Marte, el</w:t>
      </w:r>
      <w:r>
        <w:t xml:space="preserve"> </w:t>
      </w:r>
      <w:r>
        <w:t xml:space="preserve">‘</w:t>
      </w:r>
      <w:r>
        <w:t xml:space="preserve">rasgo dominante del paisaje [económico]</w:t>
      </w:r>
      <w:r>
        <w:t xml:space="preserve">’</w:t>
      </w:r>
      <w:r>
        <w:t xml:space="preserve"> </w:t>
      </w:r>
      <w:r>
        <w:t xml:space="preserve">no sería el mercado, sino las grandes organizaciones.</w:t>
      </w:r>
      <w:r>
        <w:rPr>
          <w:rStyle w:val="FootnoteReference"/>
        </w:rPr>
        <w:footnoteReference w:id="25"/>
      </w:r>
      <w:r>
        <w:t xml:space="preserve"> </w:t>
      </w:r>
      <w:r>
        <w:t xml:space="preserve">O, como lo expresó David Friedman,</w:t>
      </w:r>
      <w:r>
        <w:t xml:space="preserve"> </w:t>
      </w:r>
      <w:r>
        <w:t xml:space="preserve">‘</w:t>
      </w:r>
      <w:r>
        <w:t xml:space="preserve">el sistema capitalista de coordinación mediante el comercio parece estar poblado en gran medida por indigestos trozos de socialismo llamados empresas</w:t>
      </w:r>
      <w:r>
        <w:t xml:space="preserve">’</w:t>
      </w:r>
      <w:r>
        <w:t xml:space="preserve">.</w:t>
      </w:r>
      <w:r>
        <w:rPr>
          <w:rStyle w:val="FootnoteReference"/>
        </w:rPr>
        <w:footnoteReference w:id="26"/>
      </w:r>
      <w:r>
        <w:t xml:space="preserve"> </w:t>
      </w:r>
      <w:r>
        <w:t xml:space="preserve">El dominio de ese rasgo, de esos trozos, es el tema central de la primera parte: las maneras en que el estado interviene en el mercado para fomentar el predominio de organizaciones excesivamente grandes (es decir, mayores de lo que justificarían las consideraciones de eficiencia de un mercado libre). En el proceso, convendrá tener presentes las preguntas que planteó R. H. Coase hace setenta años:</w:t>
      </w:r>
    </w:p>
    <w:p>
      <w:pPr>
        <w:pStyle w:val="BodyText"/>
      </w:pPr>
      <w:r>
        <w:t xml:space="preserve">Como señala D. H. Robertson, encontramos</w:t>
      </w:r>
      <w:r>
        <w:t xml:space="preserve"> </w:t>
      </w:r>
      <w:r>
        <w:t xml:space="preserve">‘</w:t>
      </w:r>
      <w:r>
        <w:t xml:space="preserve">islas de poder consciente en este océano de cooperación inconsciente, como grumos de mantequilla que se coagulan en un balde de suero de leche</w:t>
      </w:r>
      <w:r>
        <w:t xml:space="preserve">’</w:t>
      </w:r>
      <w:r>
        <w:t xml:space="preserve">. Pero, en vista de que suele argumentarse que la coordinación se realiza mediante el mecanismo de precios, ¿por qué es necesaria dicha organización? ¿Por qué existen estas</w:t>
      </w:r>
      <w:r>
        <w:t xml:space="preserve"> </w:t>
      </w:r>
      <w:r>
        <w:t xml:space="preserve">‘</w:t>
      </w:r>
      <w:r>
        <w:t xml:space="preserve">islas de poder consciente</w:t>
      </w:r>
      <w:r>
        <w:t xml:space="preserve">’</w:t>
      </w:r>
      <w:r>
        <w:t xml:space="preserve">?</w:t>
      </w:r>
      <w:r>
        <w:rPr>
          <w:rStyle w:val="FootnoteReference"/>
        </w:rPr>
        <w:footnoteReference w:id="28"/>
      </w:r>
    </w:p>
    <w:p>
      <w:pPr>
        <w:pStyle w:val="BodyText"/>
      </w:pPr>
      <w:r>
        <w:t xml:space="preserve">¿Qué determina los límites entre la empresa y el mercado? ¿Por qué se sustituye en absoluto la jerarquía por contratos independientes y, a la inversa, por qué no existe una única gran empresa?</w:t>
      </w:r>
    </w:p>
    <w:p>
      <w:pPr>
        <w:pStyle w:val="BodyText"/>
      </w:pPr>
      <w:r>
        <w:t xml:space="preserve">La razón principal por la que resulta rentable establecer una empresa parece ser que existe un costo por utilizar el mecanismo de precios… También deben tenerse en cuenta los costos de negociar y celebrar un contrato distinto para cada transacción de intercambio que tiene lugar en un mercado… Es cierto que los contratos no se eliminan cuando existe una empresa, pero se reducen considerablemente. Un factor de producción (o su propietario) no tiene que celebrar una serie de contratos con los factores con los que coopera dentro de la empresa… En cambio, esta serie de contratos se sustituye por uno solo…</w:t>
      </w:r>
    </w:p>
    <w:p>
      <w:pPr>
        <w:pStyle w:val="BodyText"/>
      </w:pPr>
      <w:r>
        <w:t xml:space="preserve">….Una empresa crece a medida que el empresario organiza transacciones adicionales (que podrían ser transacciones de intercambio coordinadas a través del mecanismo de precios) y disminuye a medida que deja de organizar dichas transacciones. La pregunta que surge es si es posible estudiar las fuerzas que determinan el tamaño de la empresa. ¿Por qué el empresario no organiza una transacción menos o una más?</w:t>
      </w:r>
    </w:p>
    <w:p>
      <w:pPr>
        <w:pStyle w:val="BodyText"/>
      </w:pPr>
      <w:r>
        <w:t xml:space="preserve">La respuesta es que el límite de la empresa lo determina el punto</w:t>
      </w:r>
      <w:r>
        <w:t xml:space="preserve"> </w:t>
      </w:r>
      <w:r>
        <w:t xml:space="preserve">‘</w:t>
      </w:r>
      <w:r>
        <w:t xml:space="preserve">donde los costos de organizar una transacción adicional dentro de la empresa se igualan a los costos de llevar a cabo la transacción en el mercado abierto…</w:t>
      </w:r>
      <w:r>
        <w:t xml:space="preserve">’</w:t>
      </w:r>
    </w:p>
    <w:p>
      <w:pPr>
        <w:pStyle w:val="BodyText"/>
      </w:pPr>
      <w:r>
        <w:t xml:space="preserve">…[Por lo tanto], una empresa tenderá a expandirse hasta que los costos de organizar una transacción adicional dentro de la empresa se igualen a los costos de llevar a cabo la misma transacción mediante un intercambio en el mercado abierto o a los costos de organizarla en otra empresa.</w:t>
      </w:r>
      <w:r>
        <w:rPr>
          <w:rStyle w:val="FootnoteReference"/>
        </w:rPr>
        <w:footnoteReference w:id="29"/>
      </w:r>
    </w:p>
    <w:p>
      <w:pPr>
        <w:pStyle w:val="BodyText"/>
      </w:pPr>
      <w:r>
        <w:t xml:space="preserve">En este capítulo analizaremos la visión convencional de la economía de escala, expuesta principalmente por liberales tecnocráticos como Alfred Chandler y John Kenneth Galbraith. Examinaremos sus implicaciones patológicas para la organización de la economía política en su conjunto, junto con sus supuestos implícitos, juicios de valor y contradicciones internas.</w:t>
      </w:r>
    </w:p>
    <w:p>
      <w:pPr>
        <w:pStyle w:val="BodyText"/>
      </w:pPr>
      <w:r>
        <w:t xml:space="preserve">En el capítulo dos, examinaremos las pruebas disponibles sobre la economía de escala, que muestran no solo que la empresa dominante es mucho más grande de lo que justificarían las consideraciones de eficiencia, sino que su tamaño genera costos netos de ineficiencia significativos en comparación con la empresa más pequeña. Este hallazgo suscita una pregunta evidente: si la gran empresa es menos eficiente, ¿por qué existe?</w:t>
      </w:r>
    </w:p>
    <w:p>
      <w:pPr>
        <w:pStyle w:val="BodyText"/>
      </w:pPr>
      <w:r>
        <w:t xml:space="preserve">La respuesta, que se encuentra en el capítulo tercero, es que el Estado la vuelve artificialmente eficiente al subvencionar los costos de su ineficiencia y protegerla de la competencia, desplazando así de forma artificial la frontera entre mercado y jerarquía.</w:t>
      </w:r>
    </w:p>
    <w:p>
      <w:pPr>
        <w:numPr>
          <w:ilvl w:val="0"/>
          <w:numId w:val="1001"/>
        </w:numPr>
        <w:pStyle w:val="Compact"/>
      </w:pPr>
      <w:r>
        <w:t xml:space="preserve">Afinidad interideológica por la organización a gran escala</w:t>
      </w:r>
    </w:p>
    <w:p>
      <w:pPr>
        <w:pStyle w:val="FirstParagraph"/>
      </w:pPr>
      <w:r>
        <w:t xml:space="preserve">Los progresistas tecnocráticos, en su análisis de la historia industrial norteamericana, han solido dar por sentada la eficiencia superior de las organizaciones a gran escala y aceptar las</w:t>
      </w:r>
      <w:r>
        <w:t xml:space="preserve"> </w:t>
      </w:r>
      <w:r>
        <w:t xml:space="preserve">‘</w:t>
      </w:r>
      <w:r>
        <w:t xml:space="preserve">economías de escala</w:t>
      </w:r>
      <w:r>
        <w:t xml:space="preserve">’</w:t>
      </w:r>
      <w:r>
        <w:t xml:space="preserve"> </w:t>
      </w:r>
      <w:r>
        <w:t xml:space="preserve">como explicación suficiente para el auge de las grandes empresas en una economía supuestamente de</w:t>
      </w:r>
      <w:r>
        <w:t xml:space="preserve"> </w:t>
      </w:r>
      <w:r>
        <w:t xml:space="preserve">‘</w:t>
      </w:r>
      <w:r>
        <w:t xml:space="preserve">laissez-faire</w:t>
      </w:r>
      <w:r>
        <w:t xml:space="preserve">’</w:t>
      </w:r>
      <w:r>
        <w:t xml:space="preserve">. En palabras de Randall Meyer,</w:t>
      </w:r>
    </w:p>
    <w:p>
      <w:pPr>
        <w:pStyle w:val="BodyText"/>
      </w:pPr>
      <w:r>
        <w:t xml:space="preserve">[L]os problemas de nuestro tiempo exigirán, para su solución, organizaciones más grandes que las que tenemos, no más pequeñas…. [Por lo tanto, debemos] desechar nuestras anticuadas nociones sobre las dimensiones y nuestro miedo a lo grande.</w:t>
      </w:r>
      <w:r>
        <w:rPr>
          <w:rStyle w:val="FootnoteReference"/>
        </w:rPr>
        <w:footnoteReference w:id="30"/>
      </w:r>
    </w:p>
    <w:p>
      <w:pPr>
        <w:pStyle w:val="BodyText"/>
      </w:pPr>
      <w:r>
        <w:t xml:space="preserve">Por supuesto, este supuesto no es exclusivo de los gerencialistas progresistas. Lo comparten tanto los marxistas vulgares (para quienes el Gran Trust es la penúltima etapa del desarrollo progresivo hacia el socialismo de Estado), como los austriacos vulgares (que equiparan la intensidad del capital o la</w:t>
      </w:r>
      <w:r>
        <w:t xml:space="preserve"> </w:t>
      </w:r>
      <w:r>
        <w:t xml:space="preserve">‘</w:t>
      </w:r>
      <w:r>
        <w:t xml:space="preserve">indirección</w:t>
      </w:r>
      <w:r>
        <w:t xml:space="preserve">’</w:t>
      </w:r>
      <w:r>
        <w:t xml:space="preserve"> </w:t>
      </w:r>
      <w:r>
        <w:t xml:space="preserve">en sí mismas con una productividad superior).</w:t>
      </w:r>
    </w:p>
    <w:p>
      <w:pPr>
        <w:pStyle w:val="BodyText"/>
      </w:pPr>
      <w:r>
        <w:t xml:space="preserve">Entre los marxistas, esta idea se encuentra en la obra de los propios Marx y Engels. En</w:t>
      </w:r>
      <w:r>
        <w:t xml:space="preserve"> </w:t>
      </w:r>
      <w:r>
        <w:rPr>
          <w:iCs/>
          <w:i/>
        </w:rPr>
        <w:t xml:space="preserve">El Manifiesto Comunista</w:t>
      </w:r>
      <w:r>
        <w:t xml:space="preserve">, identificaron la concentración del capital y la centralización de la producción, en sí mismas, como el papel progresista de la burguesía:</w:t>
      </w:r>
    </w:p>
    <w:p>
      <w:pPr>
        <w:pStyle w:val="BodyText"/>
      </w:pPr>
      <w:r>
        <w:t xml:space="preserve">La burguesía suprime cada vez más el fraccionamiento de los medios de producción, de la propiedad y de la población. Ha aglomerado la población, centralizado los medios de producción y concentrado la propiedad en manos de unos pocos….</w:t>
      </w:r>
    </w:p>
    <w:p>
      <w:pPr>
        <w:pStyle w:val="BodyText"/>
      </w:pPr>
      <w:r>
        <w:t xml:space="preserve">La burguesía, a lo largo de su dominio de clase, que cuenta apenas con un siglo de existencia, ha creado fuerzas productivas más abundantes y más grandiosas que todas las generaciones pasadas juntas. El sometimiento de las fuerzas de la naturaleza, el empleo de las máquinas, la aplicación de la química a la industria y a la agricultura, la navegación de vapor, el ferrocarril, el telégrafo eléctrico, la roturación de continentes enteros, la regularización de los ríos, poblaciones enteras como surgidas de la tierra por ensalmo, ¿cuál de los siglos pasados pudo sospechar siquiera que semejantes fuerzas productivas dormitasen en el seno del trabajo social?</w:t>
      </w:r>
      <w:r>
        <w:rPr>
          <w:rStyle w:val="FootnoteReference"/>
        </w:rPr>
        <w:footnoteReference w:id="31"/>
      </w:r>
    </w:p>
    <w:p>
      <w:pPr>
        <w:pStyle w:val="BodyText"/>
      </w:pPr>
      <w:r>
        <w:t xml:space="preserve">Para los marxistas, la centralización económica es un proceso natural que avanza hasta que el sistema de producción a gran escala, cada vez más eficiente, ya no puede ser contenido por la</w:t>
      </w:r>
      <w:r>
        <w:t xml:space="preserve"> </w:t>
      </w:r>
      <w:r>
        <w:t xml:space="preserve">‘</w:t>
      </w:r>
      <w:r>
        <w:t xml:space="preserve">envoltura capitalista</w:t>
      </w:r>
      <w:r>
        <w:t xml:space="preserve">’</w:t>
      </w:r>
      <w:r>
        <w:t xml:space="preserve">.</w:t>
      </w:r>
    </w:p>
    <w:p>
      <w:pPr>
        <w:pStyle w:val="BodyText"/>
      </w:pPr>
      <w:r>
        <w:t xml:space="preserve">Engels llevó esta tendencia del marxismo un paso más allá, sentando las bases para la posterior adopción del taylorismo por parte de Lenin</w:t>
      </w:r>
      <w:r>
        <w:rPr>
          <w:rStyle w:val="FootnoteReference"/>
        </w:rPr>
        <w:footnoteReference w:id="32"/>
      </w:r>
      <w:r>
        <w:t xml:space="preserve">:</w:t>
      </w:r>
    </w:p>
    <w:p>
      <w:pPr>
        <w:pStyle w:val="BodyText"/>
      </w:pPr>
      <w:r>
        <w:t xml:space="preserve">Si el hombre… ha dominado a las fuerzas de la naturaleza, estas se vengan de él sometiéndolo, en la medida en que las emplea, a un verdadero despotismo independiente de toda organización social. Querer abolir la autoridad en la gran industria equivale a querer abolir la industria misma, a destruir el telar mecánico para volver a la rueca….</w:t>
      </w:r>
    </w:p>
    <w:p>
      <w:pPr>
        <w:pStyle w:val="BodyText"/>
      </w:pPr>
      <w:r>
        <w:t xml:space="preserve">Hemos visto, pues, que, por una parte, una cierta autoridad, por muy delegada que esté, y, por otra, una cierta subordinación, son cosas que, independientemente de toda organización social, se nos imponen junto con las condiciones materiales en las que producimos y hacemos circular los productos.</w:t>
      </w:r>
    </w:p>
    <w:p>
      <w:pPr>
        <w:pStyle w:val="BodyText"/>
      </w:pPr>
      <w:r>
        <w:t xml:space="preserve">Hemos visto, además, que las condiciones materiales de la producción y la circulación se desarrollan inevitablemente con la gran industria y la gran agricultura, y tienden a ampliar cada vez más el alcance de esta autoridad.</w:t>
      </w:r>
      <w:r>
        <w:rPr>
          <w:rStyle w:val="FootnoteReference"/>
        </w:rPr>
        <w:footnoteReference w:id="33"/>
      </w:r>
    </w:p>
    <w:p>
      <w:pPr>
        <w:pStyle w:val="BodyText"/>
      </w:pPr>
      <w:r>
        <w:t xml:space="preserve">Lenin, al igual que Engels, veía el</w:t>
      </w:r>
      <w:r>
        <w:t xml:space="preserve"> </w:t>
      </w:r>
      <w:r>
        <w:t xml:space="preserve">‘</w:t>
      </w:r>
      <w:r>
        <w:t xml:space="preserve">monopolio capitalista de Estado</w:t>
      </w:r>
      <w:r>
        <w:t xml:space="preserve">’</w:t>
      </w:r>
      <w:r>
        <w:t xml:space="preserve"> </w:t>
      </w:r>
      <w:r>
        <w:t xml:space="preserve">como un avance progresivo, cuyo paso final era la expropiación de los trusts ultraeficientes por parte del Estado obrero:</w:t>
      </w:r>
      <w:r>
        <w:t xml:space="preserve"> </w:t>
      </w:r>
      <w:r>
        <w:t xml:space="preserve">‘</w:t>
      </w:r>
      <w:r>
        <w:t xml:space="preserve">..el socialismo no es más que el monopolio capitalista de Estado puesto al servicio de los intereses de todo el pueblo…..</w:t>
      </w:r>
      <w:r>
        <w:t xml:space="preserve">’</w:t>
      </w:r>
      <w:r>
        <w:rPr>
          <w:rStyle w:val="FootnoteReference"/>
        </w:rPr>
        <w:footnoteReference w:id="34"/>
      </w:r>
    </w:p>
    <w:p>
      <w:pPr>
        <w:pStyle w:val="BodyText"/>
      </w:pPr>
      <w:r>
        <w:t xml:space="preserve">En la derecha, la identificación de la gran escala con la eficiencia es compartida por algunos economistas austríacos, que parecen pensar que la intensidad del capital (o los métodos de producción</w:t>
      </w:r>
      <w:r>
        <w:t xml:space="preserve"> </w:t>
      </w:r>
      <w:r>
        <w:t xml:space="preserve">‘</w:t>
      </w:r>
      <w:r>
        <w:t xml:space="preserve">indirectos</w:t>
      </w:r>
      <w:r>
        <w:t xml:space="preserve">’</w:t>
      </w:r>
      <w:r>
        <w:t xml:space="preserve">) conlleva eficiencias ilimitadas, o casi ilimitadas. La distinción tiene su origen en Böhm-Bawerk:</w:t>
      </w:r>
    </w:p>
    <w:p>
      <w:pPr>
        <w:pStyle w:val="BodyText"/>
      </w:pPr>
      <w:r>
        <w:t xml:space="preserve">Que los métodos indirectos conduzcan a mayores resultados que los directos es una de las proposiciones más importantes y fundamentales de toda la teoría de la producción. Es preciso afirmar enfáticamente que la única base de esta proposición es la experiencia de la vida práctica. La teoría económica no demuestra ni puede demostrar</w:t>
      </w:r>
      <w:r>
        <w:t xml:space="preserve"> </w:t>
      </w:r>
      <w:r>
        <w:rPr>
          <w:iCs/>
          <w:i/>
        </w:rPr>
        <w:t xml:space="preserve">a priori</w:t>
      </w:r>
      <w:r>
        <w:t xml:space="preserve"> </w:t>
      </w:r>
      <w:r>
        <w:t xml:space="preserve">que deba ser así; pero la experiencia unánime de todas las técnicas de producción así lo demuestra.</w:t>
      </w:r>
      <w:r>
        <w:rPr>
          <w:rStyle w:val="FootnoteReference"/>
        </w:rPr>
        <w:footnoteReference w:id="35"/>
      </w:r>
    </w:p>
    <w:p>
      <w:pPr>
        <w:pStyle w:val="BodyText"/>
      </w:pPr>
      <w:r>
        <w:t xml:space="preserve">Robert Murphy reafirmó este mismo supuesto, con más contundencia, en su conferencia</w:t>
      </w:r>
      <w:r>
        <w:t xml:space="preserve"> </w:t>
      </w:r>
      <w:r>
        <w:rPr>
          <w:iCs/>
          <w:i/>
        </w:rPr>
        <w:t xml:space="preserve">Capital e Interés</w:t>
      </w:r>
      <w:r>
        <w:t xml:space="preserve">:</w:t>
      </w:r>
    </w:p>
    <w:p>
      <w:pPr>
        <w:pStyle w:val="BodyText"/>
      </w:pPr>
      <w:r>
        <w:t xml:space="preserve">*Cuanto más indirectos son los procesos, más eficientes y físicamente productivos son.</w:t>
      </w:r>
    </w:p>
    <w:p>
      <w:pPr>
        <w:pStyle w:val="BodyText"/>
      </w:pPr>
      <w:r>
        <w:rPr>
          <w:iCs/>
          <w:i/>
        </w:rPr>
        <w:t xml:space="preserve">La mayor productividad de los métodos indirectos es el motivo por el que la</w:t>
      </w:r>
      <w:r>
        <w:rPr>
          <w:iCs/>
          <w:i/>
        </w:rPr>
        <w:t xml:space="preserve"> </w:t>
      </w:r>
      <w:r>
        <w:t xml:space="preserve">acumulación de capital* genera una gran riqueza.</w:t>
      </w:r>
      <w:r>
        <w:rPr>
          <w:rStyle w:val="FootnoteReference"/>
        </w:rPr>
        <w:footnoteReference w:id="36"/>
      </w:r>
    </w:p>
    <w:p>
      <w:pPr>
        <w:pStyle w:val="BodyText"/>
      </w:pPr>
      <w:r>
        <w:t xml:space="preserve">Lew Rockwell afirmó que</w:t>
      </w:r>
      <w:r>
        <w:t xml:space="preserve"> </w:t>
      </w:r>
      <w:r>
        <w:t xml:space="preserve">‘</w:t>
      </w:r>
      <w:r>
        <w:t xml:space="preserve">mucha gente hoy en día… anhela un sistema económico como el que prevaleció en la Edad Media</w:t>
      </w:r>
      <w:r>
        <w:t xml:space="preserve">’</w:t>
      </w:r>
      <w:r>
        <w:t xml:space="preserve">.</w:t>
      </w:r>
    </w:p>
    <w:p>
      <w:pPr>
        <w:pStyle w:val="BodyText"/>
      </w:pPr>
      <w:r>
        <w:t xml:space="preserve">A la izquierda, tenemos a los neorrusonianos que imaginan que la tecnología moderna tiene un efecto irremediablemente corruptor, mientras que muchos en la derecha sueñan con un sistema dominado por gremios de pequeños artesanos y producción doméstica. Pero estas fantasías no solo son inviables, sino que, en realidad, son lisa y llanamente letales. La mayor parte de la población mundial moriría al instante si se impusiera semejante sistema.</w:t>
      </w:r>
      <w:r>
        <w:rPr>
          <w:rStyle w:val="FootnoteReference"/>
        </w:rPr>
        <w:footnoteReference w:id="38"/>
      </w:r>
    </w:p>
    <w:p>
      <w:pPr>
        <w:pStyle w:val="BodyText"/>
      </w:pPr>
      <w:r>
        <w:t xml:space="preserve">Semejante disparate indica que ignora casi por completo las posibilidades técnicas de la producción doméstica y en pequeños talleres que utilizan maquinaria moderna, o la mayor productividad por acre de la agricultura intensiva a pequeña escala (sobre ambas cuestiones, véase más adelante el material sobre Ralph Borsodi).</w:t>
      </w:r>
    </w:p>
    <w:p>
      <w:pPr>
        <w:pStyle w:val="BodyText"/>
      </w:pPr>
      <w:r>
        <w:t xml:space="preserve">En su versión más burda está George Reisman. Un tema central de su obra viene a decir algo así: la forma de aumentar el nivel de vida es hacer a los ricos aún más ricos, para que así emprendan la acumulación de capital que, por sí sola, aumenta la productividad del trabajo, lo que a su vez hará que los salarios suban.[^14]</w:t>
      </w:r>
    </w:p>
    <w:p>
      <w:pPr>
        <w:pStyle w:val="BodyText"/>
      </w:pPr>
      <w:r>
        <w:t xml:space="preserve">Lo irónico es que los austriacos, que se tienen por tan iconoclastas por su feroz crítica a buena parte de la sabiduría convencional de la economía neoclásica y el gerencialismo liberal, aceptan también acríticamente muchos de sus supuestos implícitos. Los austriacos son notablemente selectivos, cuanto menos, a la hora de elegir qué</w:t>
      </w:r>
      <w:r>
        <w:t xml:space="preserve"> </w:t>
      </w:r>
      <w:r>
        <w:t xml:space="preserve">‘</w:t>
      </w:r>
      <w:r>
        <w:t xml:space="preserve">sabiduría convencional</w:t>
      </w:r>
      <w:r>
        <w:t xml:space="preserve">’</w:t>
      </w:r>
      <w:r>
        <w:t xml:space="preserve"> </w:t>
      </w:r>
      <w:r>
        <w:t xml:space="preserve">rechazar. Pero claro, la coherencia no es precisamente el punto fuerte de los austriacos. Su método para decidir qué partes de la realidad actual achacar al Estado, y cuáles atribuir a las maravillas del</w:t>
      </w:r>
      <w:r>
        <w:t xml:space="preserve"> </w:t>
      </w:r>
      <w:r>
        <w:t xml:space="preserve">‘</w:t>
      </w:r>
      <w:r>
        <w:t xml:space="preserve">mercado libre</w:t>
      </w:r>
      <w:r>
        <w:t xml:space="preserve">’</w:t>
      </w:r>
      <w:r>
        <w:t xml:space="preserve">, es (cuanto menos) un tanto arbitrario. Los feligreses de Lew Rockwell.Com y Mises.Org, en lo que a política se refiere, recuerdan sobre todo a los jacobitas americanos por su defensa de causas perdidas, plantándose ante la historia y gritando</w:t>
      </w:r>
      <w:r>
        <w:t xml:space="preserve"> </w:t>
      </w:r>
      <w:r>
        <w:t xml:space="preserve">‘</w:t>
      </w:r>
      <w:r>
        <w:t xml:space="preserve">¡Alto!</w:t>
      </w:r>
      <w:r>
        <w:t xml:space="preserve">’</w:t>
      </w:r>
      <w:r>
        <w:t xml:space="preserve"> </w:t>
      </w:r>
      <w:r>
        <w:t xml:space="preserve">en nombre de causas frustradas como las de los antifederalistas y los secesionistas del sur. Por eso, resulta bastante chocante verlos dar un giro radical y convertirse en ardientes y triunfalistas defensores del puro</w:t>
      </w:r>
      <w:r>
        <w:t xml:space="preserve"> </w:t>
      </w:r>
      <w:r>
        <w:t xml:space="preserve">‘</w:t>
      </w:r>
      <w:r>
        <w:t xml:space="preserve">ser</w:t>
      </w:r>
      <w:r>
        <w:t xml:space="preserve">’</w:t>
      </w:r>
      <w:r>
        <w:t xml:space="preserve"> </w:t>
      </w:r>
      <w:r>
        <w:t xml:space="preserve">hegeliano de las cosas cuando se trata de Wal-Mart y las maquiladoras. Resulta un tanto extraño ser tan antihamiltoniano y, a la vez, sentir tanto aprecio por una economía fundada en el hamiltonianismo.</w:t>
      </w:r>
    </w:p>
    <w:bookmarkEnd w:id="3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Kevin A. Carson,</w:t>
      </w:r>
      <w:r>
        <w:t xml:space="preserve"> </w:t>
      </w:r>
      <w:r>
        <w:rPr>
          <w:iCs/>
          <w:i/>
        </w:rPr>
        <w:t xml:space="preserve">Studies in Mutualist Political Economy</w:t>
      </w:r>
      <w:r>
        <w:t xml:space="preserve">. Publicado por el autor vía Blitzprint (Fayetteville, Ark., 2004), p. 9.</w:t>
      </w:r>
    </w:p>
  </w:footnote>
  <w:footnote w:id="25">
    <w:p>
      <w:pPr>
        <w:pStyle w:val="FootnoteText"/>
      </w:pPr>
      <w:r>
        <w:rPr>
          <w:rStyle w:val="FootnoteReference"/>
        </w:rPr>
        <w:footnoteRef/>
      </w:r>
      <w:r>
        <w:t xml:space="preserve"> </w:t>
      </w:r>
      <w:r>
        <w:t xml:space="preserve">Herbert Simon,</w:t>
      </w:r>
      <w:r>
        <w:t xml:space="preserve"> </w:t>
      </w:r>
      <w:r>
        <w:t xml:space="preserve">‘</w:t>
      </w:r>
      <w:r>
        <w:t xml:space="preserve">Organizations and Markets</w:t>
      </w:r>
      <w:r>
        <w:t xml:space="preserve">’</w:t>
      </w:r>
      <w:r>
        <w:t xml:space="preserve">,</w:t>
      </w:r>
      <w:r>
        <w:t xml:space="preserve"> </w:t>
      </w:r>
      <w:r>
        <w:rPr>
          <w:iCs/>
          <w:i/>
        </w:rPr>
        <w:t xml:space="preserve">Journal of Economic Perspectives</w:t>
      </w:r>
      <w:r>
        <w:t xml:space="preserve"> </w:t>
      </w:r>
      <w:r>
        <w:t xml:space="preserve">5 (1991), p. 27.</w:t>
      </w:r>
    </w:p>
  </w:footnote>
  <w:footnote w:id="26">
    <w:p>
      <w:pPr>
        <w:pStyle w:val="FootnoteText"/>
      </w:pPr>
      <w:r>
        <w:rPr>
          <w:rStyle w:val="FootnoteReference"/>
        </w:rPr>
        <w:footnoteRef/>
      </w:r>
      <w:r>
        <w:t xml:space="preserve"> </w:t>
      </w:r>
      <w:r>
        <w:t xml:space="preserve">David Friedman,</w:t>
      </w:r>
      <w:r>
        <w:t xml:space="preserve"> </w:t>
      </w:r>
      <w:r>
        <w:rPr>
          <w:iCs/>
          <w:i/>
        </w:rPr>
        <w:t xml:space="preserve">Hidden Order</w:t>
      </w:r>
      <w:r>
        <w:t xml:space="preserve">, citado en Matt McIntosh,</w:t>
      </w:r>
      <w:r>
        <w:t xml:space="preserve"> </w:t>
      </w:r>
      <w:r>
        <w:t xml:space="preserve">‘</w:t>
      </w:r>
      <w:r>
        <w:t xml:space="preserve">All In, Comrade</w:t>
      </w:r>
      <w:r>
        <w:t xml:space="preserve">’</w:t>
      </w:r>
      <w:r>
        <w:t xml:space="preserve">,</w:t>
      </w:r>
      <w:r>
        <w:t xml:space="preserve"> </w:t>
      </w:r>
      <w:r>
        <w:rPr>
          <w:iCs/>
          <w:i/>
        </w:rPr>
        <w:t xml:space="preserve">Distributed Republic</w:t>
      </w:r>
      <w:r>
        <w:t xml:space="preserve">, 26 de febrero de 2007</w:t>
      </w:r>
      <w:r>
        <w:t xml:space="preserve"> </w:t>
      </w:r>
      <w:hyperlink r:id="rId27">
        <w:r>
          <w:rPr>
            <w:rStyle w:val="Hyperlink"/>
          </w:rPr>
          <w:t xml:space="preserve">http://www.distributedrepublic.com/distributedrepublic/comment/reply/4685</w:t>
        </w:r>
      </w:hyperlink>
      <w:r>
        <w:t xml:space="preserve">.</w:t>
      </w:r>
    </w:p>
  </w:footnote>
  <w:footnote w:id="28">
    <w:p>
      <w:pPr>
        <w:pStyle w:val="FootnoteText"/>
      </w:pPr>
      <w:r>
        <w:rPr>
          <w:rStyle w:val="FootnoteReference"/>
        </w:rPr>
        <w:footnoteRef/>
      </w:r>
      <w:r>
        <w:t xml:space="preserve"> </w:t>
      </w:r>
      <w:r>
        <w:t xml:space="preserve">Ronald H. Coase,</w:t>
      </w:r>
      <w:r>
        <w:t xml:space="preserve"> </w:t>
      </w:r>
      <w:r>
        <w:t xml:space="preserve">‘</w:t>
      </w:r>
      <w:r>
        <w:t xml:space="preserve">The Nature of the Firm</w:t>
      </w:r>
      <w:r>
        <w:t xml:space="preserve">’</w:t>
      </w:r>
      <w:r>
        <w:t xml:space="preserve">,</w:t>
      </w:r>
      <w:r>
        <w:t xml:space="preserve"> </w:t>
      </w:r>
      <w:r>
        <w:rPr>
          <w:iCs/>
          <w:i/>
        </w:rPr>
        <w:t xml:space="preserve">Economica</w:t>
      </w:r>
      <w:r>
        <w:t xml:space="preserve"> </w:t>
      </w:r>
      <w:r>
        <w:t xml:space="preserve">(noviembre de 1937), p. 388.</w:t>
      </w:r>
    </w:p>
  </w:footnote>
  <w:footnote w:id="29">
    <w:p>
      <w:pPr>
        <w:pStyle w:val="FootnoteText"/>
      </w:pPr>
      <w:r>
        <w:rPr>
          <w:rStyle w:val="FootnoteReference"/>
        </w:rPr>
        <w:footnoteRef/>
      </w:r>
      <w:r>
        <w:t xml:space="preserve"> </w:t>
      </w:r>
      <w:r>
        <w:t xml:space="preserve">Ibíd., p.</w:t>
      </w:r>
    </w:p>
  </w:footnote>
  <w:footnote w:id="30">
    <w:p>
      <w:pPr>
        <w:pStyle w:val="FootnoteText"/>
      </w:pPr>
      <w:r>
        <w:rPr>
          <w:rStyle w:val="FootnoteReference"/>
        </w:rPr>
        <w:footnoteRef/>
      </w:r>
      <w:r>
        <w:t xml:space="preserve"> </w:t>
      </w:r>
      <w:r>
        <w:t xml:space="preserve">‘</w:t>
      </w:r>
      <w:r>
        <w:t xml:space="preserve">The Role of Big Business in Achieving National Goals</w:t>
      </w:r>
      <w:r>
        <w:t xml:space="preserve">’</w:t>
      </w:r>
      <w:r>
        <w:t xml:space="preserve">, en David Mermelstein, ed.,</w:t>
      </w:r>
      <w:r>
        <w:t xml:space="preserve"> </w:t>
      </w:r>
      <w:r>
        <w:rPr>
          <w:iCs/>
          <w:i/>
        </w:rPr>
        <w:t xml:space="preserve">Economics: Mainstream Readings and Radical Critiques</w:t>
      </w:r>
      <w:r>
        <w:t xml:space="preserve">. 3.ª ed. (Nueva York: Random House, 1975). Citado en Walter Adams y James W. Brock.</w:t>
      </w:r>
      <w:r>
        <w:t xml:space="preserve"> </w:t>
      </w:r>
      <w:r>
        <w:rPr>
          <w:iCs/>
          <w:i/>
        </w:rPr>
        <w:t xml:space="preserve">The Bigness Complex: Industry, Labor and Government in the American Economy</w:t>
      </w:r>
      <w:r>
        <w:t xml:space="preserve">. 2.ª ed. (Stanford, Cal.: Stanford University Press, 2004), p. 64.</w:t>
      </w:r>
    </w:p>
  </w:footnote>
  <w:footnote w:id="31">
    <w:p>
      <w:pPr>
        <w:pStyle w:val="FootnoteText"/>
      </w:pPr>
      <w:r>
        <w:rPr>
          <w:rStyle w:val="FootnoteReference"/>
        </w:rPr>
        <w:footnoteRef/>
      </w:r>
      <w:r>
        <w:t xml:space="preserve"> </w:t>
      </w:r>
      <w:r>
        <w:t xml:space="preserve">Karl Marx y Friedrich Engels,</w:t>
      </w:r>
      <w:r>
        <w:t xml:space="preserve"> </w:t>
      </w:r>
      <w:r>
        <w:rPr>
          <w:iCs/>
          <w:i/>
        </w:rPr>
        <w:t xml:space="preserve">Manifesto of the Communist Party.</w:t>
      </w:r>
      <w:r>
        <w:t xml:space="preserve"> </w:t>
      </w:r>
      <w:r>
        <w:t xml:space="preserve">Marx y Engels,</w:t>
      </w:r>
      <w:r>
        <w:t xml:space="preserve"> </w:t>
      </w:r>
      <w:r>
        <w:rPr>
          <w:iCs/>
          <w:i/>
        </w:rPr>
        <w:t xml:space="preserve">Collected Works</w:t>
      </w:r>
      <w:r>
        <w:t xml:space="preserve">, vol. 6 (Nueva York: International Publishers, 1976), pp. 448-449.</w:t>
      </w:r>
    </w:p>
  </w:footnote>
  <w:footnote w:id="32">
    <w:p>
      <w:pPr>
        <w:pStyle w:val="FootnoteText"/>
      </w:pPr>
      <w:r>
        <w:rPr>
          <w:rStyle w:val="FootnoteReference"/>
        </w:rPr>
        <w:footnoteRef/>
      </w:r>
      <w:r>
        <w:t xml:space="preserve"> </w:t>
      </w:r>
      <w:r>
        <w:t xml:space="preserve">Existe la legítima duda de si el propio Taylor fue un</w:t>
      </w:r>
      <w:r>
        <w:t xml:space="preserve"> </w:t>
      </w:r>
      <w:r>
        <w:t xml:space="preserve">‘</w:t>
      </w:r>
      <w:r>
        <w:t xml:space="preserve">taylorista</w:t>
      </w:r>
      <w:r>
        <w:t xml:space="preserve">’</w:t>
      </w:r>
      <w:r>
        <w:t xml:space="preserve">, en el sentido vulgar. Véase Chris Nyland,</w:t>
      </w:r>
      <w:r>
        <w:t xml:space="preserve"> </w:t>
      </w:r>
      <w:r>
        <w:t xml:space="preserve">‘</w:t>
      </w:r>
      <w:r>
        <w:t xml:space="preserve">Taylorism and the Mutual Gains Strategy</w:t>
      </w:r>
      <w:r>
        <w:t xml:space="preserve">’</w:t>
      </w:r>
      <w:r>
        <w:t xml:space="preserve">,</w:t>
      </w:r>
      <w:r>
        <w:t xml:space="preserve"> </w:t>
      </w:r>
      <w:r>
        <w:rPr>
          <w:iCs/>
          <w:i/>
        </w:rPr>
        <w:t xml:space="preserve">Industrial Relations</w:t>
      </w:r>
      <w:r>
        <w:t xml:space="preserve"> </w:t>
      </w:r>
      <w:r>
        <w:t xml:space="preserve">vol. 37 n.º 4 (octubre de 1998), pp. 519-542 (gracias a Eric Husman por el dato). Las referencias posteriores al</w:t>
      </w:r>
      <w:r>
        <w:t xml:space="preserve"> </w:t>
      </w:r>
      <w:r>
        <w:t xml:space="preserve">‘</w:t>
      </w:r>
      <w:r>
        <w:t xml:space="preserve">taylorismo</w:t>
      </w:r>
      <w:r>
        <w:t xml:space="preserve">’</w:t>
      </w:r>
      <w:r>
        <w:t xml:space="preserve"> </w:t>
      </w:r>
      <w:r>
        <w:t xml:space="preserve">en este libro reflejarán el uso convencional, sin que ello suponga necesariamente un desdoro para la obra del propio Taylor.</w:t>
      </w:r>
    </w:p>
  </w:footnote>
  <w:footnote w:id="33">
    <w:p>
      <w:pPr>
        <w:pStyle w:val="FootnoteText"/>
      </w:pPr>
      <w:r>
        <w:rPr>
          <w:rStyle w:val="FootnoteReference"/>
        </w:rPr>
        <w:footnoteRef/>
      </w:r>
      <w:r>
        <w:t xml:space="preserve"> </w:t>
      </w:r>
      <w:r>
        <w:t xml:space="preserve">Friedrich Engels,</w:t>
      </w:r>
      <w:r>
        <w:t xml:space="preserve"> </w:t>
      </w:r>
      <w:r>
        <w:t xml:space="preserve">‘</w:t>
      </w:r>
      <w:r>
        <w:t xml:space="preserve">On Authority.</w:t>
      </w:r>
      <w:r>
        <w:t xml:space="preserve">’</w:t>
      </w:r>
      <w:r>
        <w:t xml:space="preserve"> </w:t>
      </w:r>
      <w:r>
        <w:t xml:space="preserve">Marx y Engels,</w:t>
      </w:r>
      <w:r>
        <w:t xml:space="preserve"> </w:t>
      </w:r>
      <w:r>
        <w:rPr>
          <w:iCs/>
          <w:i/>
        </w:rPr>
        <w:t xml:space="preserve">Collected Works</w:t>
      </w:r>
      <w:r>
        <w:t xml:space="preserve">, vol. 23 (Nueva York: International Publishers, 1988), pp. 422-425.</w:t>
      </w:r>
    </w:p>
  </w:footnote>
  <w:footnote w:id="34">
    <w:p>
      <w:pPr>
        <w:pStyle w:val="FootnoteText"/>
      </w:pPr>
      <w:r>
        <w:rPr>
          <w:rStyle w:val="FootnoteReference"/>
        </w:rPr>
        <w:footnoteRef/>
      </w:r>
      <w:r>
        <w:t xml:space="preserve"> </w:t>
      </w:r>
      <w:r>
        <w:t xml:space="preserve">V.I. Lenin,</w:t>
      </w:r>
      <w:r>
        <w:t xml:space="preserve"> </w:t>
      </w:r>
      <w:r>
        <w:rPr>
          <w:iCs/>
          <w:i/>
        </w:rPr>
        <w:t xml:space="preserve">The Impending Catastrophe and How to Combat It.</w:t>
      </w:r>
      <w:r>
        <w:t xml:space="preserve"> </w:t>
      </w:r>
      <w:r>
        <w:t xml:space="preserve">V.I. Lenin,</w:t>
      </w:r>
      <w:r>
        <w:t xml:space="preserve"> </w:t>
      </w:r>
      <w:r>
        <w:rPr>
          <w:iCs/>
          <w:i/>
        </w:rPr>
        <w:t xml:space="preserve">Collected Works</w:t>
      </w:r>
      <w:r>
        <w:t xml:space="preserve">, vol. 25 (Moscú: Progress Publishers, 1967), p. 358.</w:t>
      </w:r>
    </w:p>
  </w:footnote>
  <w:footnote w:id="35">
    <w:p>
      <w:pPr>
        <w:pStyle w:val="FootnoteText"/>
      </w:pPr>
      <w:r>
        <w:rPr>
          <w:rStyle w:val="FootnoteReference"/>
        </w:rPr>
        <w:footnoteRef/>
      </w:r>
      <w:r>
        <w:t xml:space="preserve"> </w:t>
      </w:r>
      <w:r>
        <w:t xml:space="preserve">Eugen von Böhm-Bawerk,</w:t>
      </w:r>
      <w:r>
        <w:t xml:space="preserve"> </w:t>
      </w:r>
      <w:r>
        <w:rPr>
          <w:iCs/>
          <w:i/>
        </w:rPr>
        <w:t xml:space="preserve">The Positive Theory of Capital</w:t>
      </w:r>
      <w:r>
        <w:t xml:space="preserve">. Traducido por William Smart (Londres: Macmillan and Co., 1891), p. 20.</w:t>
      </w:r>
    </w:p>
  </w:footnote>
  <w:footnote w:id="36">
    <w:p>
      <w:pPr>
        <w:pStyle w:val="FootnoteText"/>
      </w:pPr>
      <w:r>
        <w:rPr>
          <w:rStyle w:val="FootnoteReference"/>
        </w:rPr>
        <w:footnoteRef/>
      </w:r>
      <w:r>
        <w:t xml:space="preserve"> </w:t>
      </w:r>
      <w:r>
        <w:t xml:space="preserve">Robert Murphy,</w:t>
      </w:r>
      <w:r>
        <w:t xml:space="preserve"> </w:t>
      </w:r>
      <w:r>
        <w:t xml:space="preserve">‘</w:t>
      </w:r>
      <w:r>
        <w:t xml:space="preserve">Capital and Interest (Lecture 9 of 32)</w:t>
      </w:r>
      <w:r>
        <w:t xml:space="preserve">’</w:t>
      </w:r>
      <w:r>
        <w:t xml:space="preserve">, publicado por David Heinrich en Mises Economics Blog, 11 de junio de 2004.</w:t>
      </w:r>
      <w:r>
        <w:t xml:space="preserve"> </w:t>
      </w:r>
      <w:hyperlink r:id="rId37">
        <w:r>
          <w:rPr>
            <w:rStyle w:val="Hyperlink"/>
          </w:rPr>
          <w:t xml:space="preserve">http://blog.mises.org/archives/002113.asp</w:t>
        </w:r>
      </w:hyperlink>
      <w:r>
        <w:t xml:space="preserve">; Véase también M. Northrup Buechner.</w:t>
      </w:r>
      <w:r>
        <w:t xml:space="preserve"> </w:t>
      </w:r>
      <w:r>
        <w:t xml:space="preserve">‘</w:t>
      </w:r>
      <w:r>
        <w:t xml:space="preserve">Roundaboutness and Productivity in Bohm-Bawerk</w:t>
      </w:r>
      <w:r>
        <w:t xml:space="preserve">’</w:t>
      </w:r>
      <w:r>
        <w:t xml:space="preserve"> </w:t>
      </w:r>
      <w:r>
        <w:rPr>
          <w:iCs/>
          <w:i/>
        </w:rPr>
        <w:t xml:space="preserve">Southern Economic Journal</w:t>
      </w:r>
      <w:r>
        <w:t xml:space="preserve">, vol. 56, n.º 2 (oct. de 1989), pp. 499-510.</w:t>
      </w:r>
    </w:p>
  </w:footnote>
  <w:footnote w:id="38">
    <w:p>
      <w:pPr>
        <w:pStyle w:val="FootnoteText"/>
      </w:pPr>
      <w:r>
        <w:rPr>
          <w:rStyle w:val="FootnoteReference"/>
        </w:rPr>
        <w:footnoteRef/>
      </w:r>
      <w:r>
        <w:t xml:space="preserve"> </w:t>
      </w:r>
      <w:r>
        <w:t xml:space="preserve">Lew Rockwell,</w:t>
      </w:r>
      <w:r>
        <w:t xml:space="preserve"> </w:t>
      </w:r>
      <w:r>
        <w:t xml:space="preserve">‘</w:t>
      </w:r>
      <w:r>
        <w:t xml:space="preserve">Imperialism: Enemy of Freedom</w:t>
      </w:r>
      <w:r>
        <w:t xml:space="preserve">’</w:t>
      </w:r>
      <w:r>
        <w:t xml:space="preserve">, LewRockwell.Com, 30 de octubre de 2006. &lt;http://www.lewrockwell.com/rockwell/bamboozle-</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11">
    <w:nsid w:val="A9971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num w:numId="1000">
    <w:abstractNumId w:val="990"/>
  </w:num>
  <w:num w:numId="1001">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blog.mises.org/archives/002113.asp" TargetMode="External" /><Relationship Type="http://schemas.openxmlformats.org/officeDocument/2006/relationships/hyperlink" Id="rId27" Target="http://www.distributedrepublic.com/distributedrepublic/comment/reply/4685" TargetMode="External" /><Relationship Type="http://schemas.openxmlformats.org/officeDocument/2006/relationships/hyperlink" Id="rId22" Target="mailto:free.market.anticapitalist@gmail.com" TargetMode="External" /></Relationships>
</file>

<file path=word/_rels/footnotes.xml.rels><?xml version="1.0" encoding="UTF-8"?><Relationships xmlns="http://schemas.openxmlformats.org/package/2006/relationships"><Relationship Type="http://schemas.openxmlformats.org/officeDocument/2006/relationships/hyperlink" Id="rId37" Target="http://blog.mises.org/archives/002113.asp" TargetMode="External" /><Relationship Type="http://schemas.openxmlformats.org/officeDocument/2006/relationships/hyperlink" Id="rId27" Target="http://www.distributedrepublic.com/distributedrepublic/comment/reply/4685" TargetMode="External" /><Relationship Type="http://schemas.openxmlformats.org/officeDocument/2006/relationships/hyperlink" Id="rId22" Target="mailto:free.market.anticapitalist@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2025-09-23T10:06:01Z</dcterms:created>
  <dcterms:modified xsi:type="dcterms:W3CDTF">2025-09-23T10:06:01Z</dcterms:modified>
</cp:coreProperties>
</file>

<file path=docProps/custom.xml><?xml version="1.0" encoding="utf-8"?>
<Properties xmlns="http://schemas.openxmlformats.org/officeDocument/2006/custom-properties" xmlns:vt="http://schemas.openxmlformats.org/officeDocument/2006/docPropsVTypes"/>
</file>