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5E26" w14:textId="403EF7C6" w:rsidR="00385584" w:rsidRPr="00385584" w:rsidRDefault="00385584" w:rsidP="00E23191">
      <w:pPr>
        <w:ind w:firstLine="709"/>
        <w:jc w:val="center"/>
        <w:rPr>
          <w:rFonts w:ascii="Century Gothic" w:hAnsi="Century Gothic"/>
          <w:b/>
          <w:bCs/>
        </w:rPr>
      </w:pPr>
      <w:r w:rsidRPr="00385584">
        <w:rPr>
          <w:rFonts w:ascii="Century Gothic" w:hAnsi="Century Gothic"/>
          <w:b/>
          <w:bCs/>
        </w:rPr>
        <w:t>Инструкция для заполнения прогнозных данных:</w:t>
      </w:r>
    </w:p>
    <w:p w14:paraId="015089CB" w14:textId="062F8897" w:rsidR="00385584" w:rsidRDefault="000B78BF" w:rsidP="00E23191">
      <w:pPr>
        <w:ind w:firstLine="709"/>
        <w:jc w:val="both"/>
        <w:rPr>
          <w:rFonts w:ascii="Century Gothic" w:hAnsi="Century Gothic"/>
        </w:rPr>
      </w:pPr>
      <w:r w:rsidRPr="000B78BF">
        <w:rPr>
          <w:rFonts w:ascii="Century Gothic" w:hAnsi="Century Gothic"/>
        </w:rPr>
        <w:t xml:space="preserve">Для заполнения прогноза </w:t>
      </w:r>
      <w:r>
        <w:rPr>
          <w:rFonts w:ascii="Century Gothic" w:hAnsi="Century Gothic"/>
        </w:rPr>
        <w:t>по выручке необходимо перейти на СКИ</w:t>
      </w:r>
      <w:r w:rsidR="00385584">
        <w:rPr>
          <w:rFonts w:ascii="Century Gothic" w:hAnsi="Century Gothic"/>
        </w:rPr>
        <w:t>Д</w:t>
      </w:r>
      <w:r>
        <w:rPr>
          <w:rFonts w:ascii="Century Gothic" w:hAnsi="Century Gothic"/>
        </w:rPr>
        <w:t xml:space="preserve"> по ссылке </w:t>
      </w:r>
      <w:hyperlink r:id="rId4" w:history="1">
        <w:r w:rsidRPr="000B78BF">
          <w:rPr>
            <w:rStyle w:val="ac"/>
            <w:rFonts w:ascii="Century Gothic" w:hAnsi="Century Gothic"/>
          </w:rPr>
          <w:t>https://skid.rtt.digital/</w:t>
        </w:r>
      </w:hyperlink>
      <w:r w:rsidR="00C14BDA">
        <w:rPr>
          <w:rFonts w:ascii="Century Gothic" w:hAnsi="Century Gothic"/>
        </w:rPr>
        <w:t>:</w:t>
      </w:r>
    </w:p>
    <w:p w14:paraId="3918FDDD" w14:textId="5F3A3406" w:rsidR="003D60A4" w:rsidRDefault="00C14BDA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П</w:t>
      </w:r>
      <w:r w:rsidR="000B78BF">
        <w:rPr>
          <w:rFonts w:ascii="Century Gothic" w:hAnsi="Century Gothic"/>
        </w:rPr>
        <w:t xml:space="preserve">ерейти </w:t>
      </w:r>
      <w:r w:rsidR="00385584">
        <w:rPr>
          <w:rFonts w:ascii="Century Gothic" w:hAnsi="Century Gothic"/>
        </w:rPr>
        <w:t>в раздел «</w:t>
      </w:r>
      <w:r w:rsidR="000B78BF">
        <w:rPr>
          <w:rFonts w:ascii="Century Gothic" w:hAnsi="Century Gothic"/>
        </w:rPr>
        <w:t>Статистик</w:t>
      </w:r>
      <w:r w:rsidR="00385584">
        <w:rPr>
          <w:rFonts w:ascii="Century Gothic" w:hAnsi="Century Gothic"/>
        </w:rPr>
        <w:t>а»</w:t>
      </w:r>
    </w:p>
    <w:p w14:paraId="2CB8A141" w14:textId="54BAA877" w:rsidR="000B78BF" w:rsidRDefault="000B78BF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17DDCE86" wp14:editId="5F01027A">
            <wp:extent cx="5940425" cy="1885950"/>
            <wp:effectExtent l="0" t="0" r="3175" b="0"/>
            <wp:docPr id="136118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0908" name="Рисунок 136118090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CDACE" w14:textId="56EAC297" w:rsidR="000B78BF" w:rsidRDefault="00C14BDA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Н</w:t>
      </w:r>
      <w:r w:rsidR="000B78BF">
        <w:rPr>
          <w:rFonts w:ascii="Century Gothic" w:hAnsi="Century Gothic"/>
        </w:rPr>
        <w:t xml:space="preserve">а панели слева </w:t>
      </w:r>
      <w:r w:rsidR="00385584">
        <w:rPr>
          <w:rFonts w:ascii="Century Gothic" w:hAnsi="Century Gothic"/>
        </w:rPr>
        <w:t>выбрать раздел «</w:t>
      </w:r>
      <w:r w:rsidR="000B78BF">
        <w:rPr>
          <w:rFonts w:ascii="Century Gothic" w:hAnsi="Century Gothic"/>
        </w:rPr>
        <w:t>Прогнозы</w:t>
      </w:r>
      <w:r w:rsidR="00385584">
        <w:rPr>
          <w:rFonts w:ascii="Century Gothic" w:hAnsi="Century Gothic"/>
        </w:rPr>
        <w:t>»</w:t>
      </w:r>
    </w:p>
    <w:p w14:paraId="012DE3A5" w14:textId="2F035FBF" w:rsidR="000B78BF" w:rsidRDefault="000B78BF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2F7CEBE5" wp14:editId="37DFF6AA">
            <wp:extent cx="3208020" cy="3324225"/>
            <wp:effectExtent l="0" t="0" r="0" b="9525"/>
            <wp:docPr id="19449646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64617" name="Рисунок 194496461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298" cy="3324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3C7CC" w14:textId="7C103D7E" w:rsidR="00E23191" w:rsidRDefault="000B78BF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Далее откроется форма для </w:t>
      </w:r>
      <w:r w:rsidR="00385584">
        <w:rPr>
          <w:rFonts w:ascii="Century Gothic" w:hAnsi="Century Gothic"/>
        </w:rPr>
        <w:t>внесения прогнозных данных</w:t>
      </w:r>
      <w:r>
        <w:rPr>
          <w:rFonts w:ascii="Century Gothic" w:hAnsi="Century Gothic"/>
        </w:rPr>
        <w:t xml:space="preserve">. </w:t>
      </w:r>
      <w:r w:rsidR="00E23191">
        <w:rPr>
          <w:rFonts w:ascii="Century Gothic" w:hAnsi="Century Gothic"/>
        </w:rPr>
        <w:t>Вверху слева отображается Ваш ЦФО, можно проверить корректность. В случае если Вы отвечаете за несколько ЦФО необходимо выбрать необходимый ЦФО из выпадающего списка:</w:t>
      </w:r>
    </w:p>
    <w:p w14:paraId="77F25F28" w14:textId="2606A1A4" w:rsidR="00385584" w:rsidRDefault="00E23191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  <w:r w:rsidRPr="00E23191">
        <w:rPr>
          <w:rFonts w:ascii="Century Gothic" w:hAnsi="Century Gothic"/>
        </w:rPr>
        <w:drawing>
          <wp:inline distT="0" distB="0" distL="0" distR="0" wp14:anchorId="0A1DD67F" wp14:editId="35BA6BAD">
            <wp:extent cx="1952898" cy="1457528"/>
            <wp:effectExtent l="0" t="0" r="9525" b="0"/>
            <wp:docPr id="193978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83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C932" w14:textId="3BBAECBF" w:rsidR="00C14BDA" w:rsidRDefault="002177D2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Прогноз вводится в </w:t>
      </w:r>
      <w:r w:rsidR="00385584">
        <w:rPr>
          <w:rFonts w:ascii="Century Gothic" w:hAnsi="Century Gothic"/>
        </w:rPr>
        <w:t>ячейки</w:t>
      </w:r>
      <w:r>
        <w:rPr>
          <w:rFonts w:ascii="Century Gothic" w:hAnsi="Century Gothic"/>
        </w:rPr>
        <w:t xml:space="preserve"> голубого цвета </w:t>
      </w:r>
      <w:r w:rsidR="00DB3074" w:rsidRPr="00DB3074">
        <w:rPr>
          <w:rFonts w:ascii="Century Gothic" w:hAnsi="Century Gothic"/>
          <w:b/>
          <w:bCs/>
          <w:u w:val="single"/>
        </w:rPr>
        <w:t>в рублях</w:t>
      </w:r>
      <w:r w:rsidR="00E23191">
        <w:rPr>
          <w:rFonts w:ascii="Century Gothic" w:hAnsi="Century Gothic"/>
          <w:b/>
          <w:bCs/>
          <w:u w:val="single"/>
        </w:rPr>
        <w:t xml:space="preserve"> без НДС</w:t>
      </w:r>
      <w:r w:rsidR="00DB3074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в разрезе </w:t>
      </w:r>
      <w:r w:rsidRPr="002177D2">
        <w:rPr>
          <w:rFonts w:ascii="Century Gothic" w:hAnsi="Century Gothic"/>
        </w:rPr>
        <w:t>степени контрактации: контракт (договоры заключены), высокая степень контрактации (договоры в процессе заключения), прогноз (договоры планируются к заключению).</w:t>
      </w:r>
      <w:r>
        <w:rPr>
          <w:rFonts w:ascii="Century Gothic" w:hAnsi="Century Gothic"/>
        </w:rPr>
        <w:t xml:space="preserve"> </w:t>
      </w:r>
      <w:r w:rsidR="00385584">
        <w:rPr>
          <w:rFonts w:ascii="Century Gothic" w:hAnsi="Century Gothic"/>
        </w:rPr>
        <w:t xml:space="preserve">Суммарное </w:t>
      </w:r>
      <w:r>
        <w:rPr>
          <w:rFonts w:ascii="Century Gothic" w:hAnsi="Century Gothic"/>
        </w:rPr>
        <w:t xml:space="preserve">значение прогнозной величины выручки </w:t>
      </w:r>
      <w:r w:rsidR="00385584">
        <w:rPr>
          <w:rFonts w:ascii="Century Gothic" w:hAnsi="Century Gothic"/>
        </w:rPr>
        <w:t>рассчитывается</w:t>
      </w:r>
      <w:r w:rsidR="0012340F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автоматически. </w:t>
      </w:r>
    </w:p>
    <w:p w14:paraId="1C707D35" w14:textId="6355C3AC" w:rsidR="000B78BF" w:rsidRDefault="00C14BDA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При изменении прогнозного периода п</w:t>
      </w:r>
      <w:r w:rsidR="002177D2">
        <w:rPr>
          <w:rFonts w:ascii="Century Gothic" w:hAnsi="Century Gothic"/>
        </w:rPr>
        <w:t xml:space="preserve">оля </w:t>
      </w:r>
      <w:proofErr w:type="spellStart"/>
      <w:r w:rsidR="00E23191">
        <w:rPr>
          <w:rFonts w:ascii="Century Gothic" w:hAnsi="Century Gothic"/>
        </w:rPr>
        <w:t>пред</w:t>
      </w:r>
      <w:r w:rsidR="002177D2">
        <w:rPr>
          <w:rFonts w:ascii="Century Gothic" w:hAnsi="Century Gothic"/>
        </w:rPr>
        <w:t>заполнены</w:t>
      </w:r>
      <w:proofErr w:type="spellEnd"/>
      <w:r w:rsidR="002177D2">
        <w:rPr>
          <w:rFonts w:ascii="Century Gothic" w:hAnsi="Century Gothic"/>
        </w:rPr>
        <w:t xml:space="preserve"> прогнозом, </w:t>
      </w:r>
      <w:r w:rsidR="00161280">
        <w:rPr>
          <w:rFonts w:ascii="Century Gothic" w:hAnsi="Century Gothic"/>
        </w:rPr>
        <w:t>отраженным</w:t>
      </w:r>
      <w:r w:rsidR="002177D2">
        <w:rPr>
          <w:rFonts w:ascii="Century Gothic" w:hAnsi="Century Gothic"/>
        </w:rPr>
        <w:t xml:space="preserve"> в предыдущем месяце. Также </w:t>
      </w:r>
      <w:proofErr w:type="spellStart"/>
      <w:r>
        <w:rPr>
          <w:rFonts w:ascii="Century Gothic" w:hAnsi="Century Gothic"/>
        </w:rPr>
        <w:t>справочно</w:t>
      </w:r>
      <w:proofErr w:type="spellEnd"/>
      <w:r w:rsidR="002177D2">
        <w:rPr>
          <w:rFonts w:ascii="Century Gothic" w:hAnsi="Century Gothic"/>
        </w:rPr>
        <w:t xml:space="preserve"> выводятся фактические значения выручки за предыдущие месяцы и показатели, за</w:t>
      </w:r>
      <w:r>
        <w:rPr>
          <w:rFonts w:ascii="Century Gothic" w:hAnsi="Century Gothic"/>
        </w:rPr>
        <w:t>планированные</w:t>
      </w:r>
      <w:r w:rsidR="002177D2">
        <w:rPr>
          <w:rFonts w:ascii="Century Gothic" w:hAnsi="Century Gothic"/>
        </w:rPr>
        <w:t xml:space="preserve"> в утвержденном бюджете.</w:t>
      </w:r>
    </w:p>
    <w:p w14:paraId="3AE9166F" w14:textId="178A0735" w:rsidR="00161280" w:rsidRDefault="002177D2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После ввода значений </w:t>
      </w:r>
      <w:r w:rsidR="00161280">
        <w:rPr>
          <w:rFonts w:ascii="Century Gothic" w:hAnsi="Century Gothic"/>
        </w:rPr>
        <w:t xml:space="preserve">в ячейки </w:t>
      </w:r>
      <w:r w:rsidR="00E23191">
        <w:rPr>
          <w:rFonts w:ascii="Century Gothic" w:hAnsi="Century Gothic"/>
        </w:rPr>
        <w:t>необходимо нажать кнопку «Подтвердить ввод», в том числе если прогноз оставлен без изменений</w:t>
      </w:r>
      <w:r>
        <w:rPr>
          <w:rFonts w:ascii="Century Gothic" w:hAnsi="Century Gothic"/>
        </w:rPr>
        <w:t xml:space="preserve">. </w:t>
      </w:r>
    </w:p>
    <w:p w14:paraId="3411723A" w14:textId="55C70EB7" w:rsidR="002177D2" w:rsidRPr="002177D2" w:rsidRDefault="00161280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Актуализация прогноза возможна д</w:t>
      </w:r>
      <w:r w:rsidR="002177D2">
        <w:rPr>
          <w:rFonts w:ascii="Century Gothic" w:hAnsi="Century Gothic"/>
        </w:rPr>
        <w:t xml:space="preserve">о </w:t>
      </w:r>
      <w:r>
        <w:rPr>
          <w:rFonts w:ascii="Century Gothic" w:hAnsi="Century Gothic"/>
        </w:rPr>
        <w:t>8</w:t>
      </w:r>
      <w:r w:rsidR="002177D2">
        <w:rPr>
          <w:rFonts w:ascii="Century Gothic" w:hAnsi="Century Gothic"/>
        </w:rPr>
        <w:t xml:space="preserve"> числа</w:t>
      </w:r>
      <w:r w:rsidR="00E23191">
        <w:rPr>
          <w:rFonts w:ascii="Century Gothic" w:hAnsi="Century Gothic"/>
        </w:rPr>
        <w:t xml:space="preserve"> включительно</w:t>
      </w:r>
      <w:r w:rsidR="002177D2">
        <w:rPr>
          <w:rFonts w:ascii="Century Gothic" w:hAnsi="Century Gothic"/>
        </w:rPr>
        <w:t>, после чего форма блокируется и ввод значений</w:t>
      </w:r>
      <w:r>
        <w:rPr>
          <w:rFonts w:ascii="Century Gothic" w:hAnsi="Century Gothic"/>
        </w:rPr>
        <w:t xml:space="preserve"> становится</w:t>
      </w:r>
      <w:r w:rsidR="002177D2">
        <w:rPr>
          <w:rFonts w:ascii="Century Gothic" w:hAnsi="Century Gothic"/>
        </w:rPr>
        <w:t xml:space="preserve"> невозможен.</w:t>
      </w:r>
    </w:p>
    <w:p w14:paraId="27369E1D" w14:textId="7A29653F" w:rsidR="000B78BF" w:rsidRDefault="000B78BF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211E0F36" wp14:editId="3CFDB3B1">
            <wp:extent cx="5940425" cy="2966720"/>
            <wp:effectExtent l="0" t="0" r="3175" b="5080"/>
            <wp:docPr id="9648404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40491" name="Рисунок 9648404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2214" w14:textId="5D21AA11" w:rsidR="000B78BF" w:rsidRDefault="002177D2" w:rsidP="00E23191">
      <w:pPr>
        <w:ind w:firstLine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Кнопками </w:t>
      </w:r>
      <w:r w:rsidR="00161280">
        <w:rPr>
          <w:rFonts w:ascii="Century Gothic" w:hAnsi="Century Gothic"/>
        </w:rPr>
        <w:t>«</w:t>
      </w:r>
      <w:r>
        <w:rPr>
          <w:rFonts w:ascii="Century Gothic" w:hAnsi="Century Gothic"/>
        </w:rPr>
        <w:t>Показать меньше</w:t>
      </w:r>
      <w:r w:rsidR="00161280">
        <w:rPr>
          <w:rFonts w:ascii="Century Gothic" w:hAnsi="Century Gothic"/>
        </w:rPr>
        <w:t>»</w:t>
      </w:r>
      <w:r>
        <w:rPr>
          <w:rFonts w:ascii="Century Gothic" w:hAnsi="Century Gothic"/>
        </w:rPr>
        <w:t xml:space="preserve"> и </w:t>
      </w:r>
      <w:r w:rsidR="00161280">
        <w:rPr>
          <w:rFonts w:ascii="Century Gothic" w:hAnsi="Century Gothic"/>
        </w:rPr>
        <w:t>«</w:t>
      </w:r>
      <w:r>
        <w:rPr>
          <w:rFonts w:ascii="Century Gothic" w:hAnsi="Century Gothic"/>
        </w:rPr>
        <w:t>Показать больше</w:t>
      </w:r>
      <w:r w:rsidR="00161280">
        <w:rPr>
          <w:rFonts w:ascii="Century Gothic" w:hAnsi="Century Gothic"/>
        </w:rPr>
        <w:t>»</w:t>
      </w:r>
      <w:r>
        <w:rPr>
          <w:rFonts w:ascii="Century Gothic" w:hAnsi="Century Gothic"/>
        </w:rPr>
        <w:t xml:space="preserve"> можно настроить более удобное отображение</w:t>
      </w:r>
      <w:r w:rsidR="00C14BDA">
        <w:rPr>
          <w:rFonts w:ascii="Century Gothic" w:hAnsi="Century Gothic"/>
        </w:rPr>
        <w:t xml:space="preserve"> формы</w:t>
      </w:r>
      <w:r>
        <w:rPr>
          <w:rFonts w:ascii="Century Gothic" w:hAnsi="Century Gothic"/>
        </w:rPr>
        <w:t>, скрыв</w:t>
      </w:r>
      <w:r w:rsidR="00C14BDA">
        <w:rPr>
          <w:rFonts w:ascii="Century Gothic" w:hAnsi="Century Gothic"/>
        </w:rPr>
        <w:t>ая</w:t>
      </w:r>
      <w:r>
        <w:rPr>
          <w:rFonts w:ascii="Century Gothic" w:hAnsi="Century Gothic"/>
        </w:rPr>
        <w:t xml:space="preserve"> предыдущие месяцы года.</w:t>
      </w:r>
    </w:p>
    <w:p w14:paraId="362E4B66" w14:textId="6C4089E7" w:rsidR="00E23191" w:rsidRPr="000B78BF" w:rsidRDefault="000B78BF" w:rsidP="00E23191">
      <w:pPr>
        <w:ind w:firstLine="709"/>
        <w:jc w:val="both"/>
        <w:rPr>
          <w:rFonts w:ascii="Century Gothic" w:hAnsi="Century Gothic"/>
        </w:rPr>
      </w:pPr>
      <w:r w:rsidRPr="000B78BF">
        <w:rPr>
          <w:rFonts w:ascii="Century Gothic" w:hAnsi="Century Gothic"/>
          <w:noProof/>
        </w:rPr>
        <w:drawing>
          <wp:inline distT="0" distB="0" distL="0" distR="0" wp14:anchorId="6B21ECF5" wp14:editId="11BB07A8">
            <wp:extent cx="5940425" cy="2434590"/>
            <wp:effectExtent l="0" t="0" r="3175" b="3810"/>
            <wp:docPr id="206348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80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191" w:rsidRPr="000B78BF" w:rsidSect="00E23191">
      <w:pgSz w:w="11906" w:h="16838"/>
      <w:pgMar w:top="1134" w:right="850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40"/>
    <w:rsid w:val="000B78BF"/>
    <w:rsid w:val="0012340F"/>
    <w:rsid w:val="00161280"/>
    <w:rsid w:val="002177D2"/>
    <w:rsid w:val="00385584"/>
    <w:rsid w:val="003D60A4"/>
    <w:rsid w:val="006059DF"/>
    <w:rsid w:val="006E0BAF"/>
    <w:rsid w:val="007A07EC"/>
    <w:rsid w:val="0080022E"/>
    <w:rsid w:val="00A215F8"/>
    <w:rsid w:val="00B73907"/>
    <w:rsid w:val="00C14BDA"/>
    <w:rsid w:val="00DB3074"/>
    <w:rsid w:val="00E23191"/>
    <w:rsid w:val="00FA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C606B"/>
  <w15:chartTrackingRefBased/>
  <w15:docId w15:val="{44FB3645-3E4E-4E7C-AFD8-AFFBC0F6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C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C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C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C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C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C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C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C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C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C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4C4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B78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B7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hyperlink" Target="https://skid.rtt.digital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Чайковский Илья Сергеевич</dc:creator>
  <cp:keywords/>
  <dc:description/>
  <cp:lastModifiedBy>Чайковский Илья Сергеевич</cp:lastModifiedBy>
  <cp:revision>2</cp:revision>
  <dcterms:created xsi:type="dcterms:W3CDTF">2025-10-29T07:38:00Z</dcterms:created>
  <dcterms:modified xsi:type="dcterms:W3CDTF">2025-10-29T07:38:00Z</dcterms:modified>
</cp:coreProperties>
</file>