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AA6317" w:rsidTr="00B71763">
        <w:tc>
          <w:tcPr>
            <w:tcW w:w="1951" w:type="dxa"/>
          </w:tcPr>
          <w:p w:rsidR="00AA6317" w:rsidRPr="00F96B38" w:rsidRDefault="00AA6317" w:rsidP="00F300FA">
            <w:r w:rsidRPr="00F96B38">
              <w:t>LR name</w:t>
            </w:r>
          </w:p>
        </w:tc>
        <w:tc>
          <w:tcPr>
            <w:tcW w:w="7291" w:type="dxa"/>
          </w:tcPr>
          <w:p w:rsidR="00AA6317" w:rsidRPr="00F96B38" w:rsidRDefault="00301366" w:rsidP="00B71763">
            <w:r>
              <w:t>PRAS Am</w:t>
            </w:r>
            <w:r w:rsidR="00B71763">
              <w:t>phi</w:t>
            </w:r>
            <w:r>
              <w:t>b</w:t>
            </w:r>
            <w:r w:rsidR="00B71763">
              <w:t>Rept</w:t>
            </w:r>
            <w:r w:rsidR="00AA6317">
              <w:t xml:space="preserve"> </w:t>
            </w:r>
          </w:p>
        </w:tc>
      </w:tr>
      <w:tr w:rsidR="00AA6317" w:rsidTr="00B71763">
        <w:tc>
          <w:tcPr>
            <w:tcW w:w="1951" w:type="dxa"/>
          </w:tcPr>
          <w:p w:rsidR="00AA6317" w:rsidRPr="00F96B38" w:rsidRDefault="00AA6317" w:rsidP="00F300FA">
            <w:r w:rsidRPr="00F96B38">
              <w:t>LR link</w:t>
            </w:r>
          </w:p>
        </w:tc>
        <w:tc>
          <w:tcPr>
            <w:tcW w:w="7291" w:type="dxa"/>
          </w:tcPr>
          <w:p w:rsidR="00AA6317" w:rsidRPr="00F96B38" w:rsidRDefault="00872EC4" w:rsidP="00AA6317">
            <w:hyperlink r:id="rId7" w:history="1">
              <w:r w:rsidR="00B71763" w:rsidRPr="00B71763">
                <w:rPr>
                  <w:rStyle w:val="Hyperlink"/>
                </w:rPr>
                <w:t>http://onlinelibrary.wiley.co</w:t>
              </w:r>
              <w:r w:rsidR="00B71763" w:rsidRPr="00B71763">
                <w:rPr>
                  <w:rStyle w:val="Hyperlink"/>
                </w:rPr>
                <w:t>m</w:t>
              </w:r>
              <w:r w:rsidR="00B71763" w:rsidRPr="00B71763">
                <w:rPr>
                  <w:rStyle w:val="Hyperlink"/>
                </w:rPr>
                <w:t>/doi/10.2903/sp.efsa.2017.EN-1251/epdf</w:t>
              </w:r>
            </w:hyperlink>
          </w:p>
        </w:tc>
      </w:tr>
      <w:tr w:rsidR="00FF371D" w:rsidTr="00B71763">
        <w:tc>
          <w:tcPr>
            <w:tcW w:w="1951" w:type="dxa"/>
          </w:tcPr>
          <w:p w:rsidR="00FF371D" w:rsidRPr="00F96B38" w:rsidRDefault="00FF371D" w:rsidP="00F300FA">
            <w:r>
              <w:t>LR description</w:t>
            </w:r>
          </w:p>
        </w:tc>
        <w:tc>
          <w:tcPr>
            <w:tcW w:w="7291" w:type="dxa"/>
          </w:tcPr>
          <w:p w:rsidR="00B71763" w:rsidRDefault="00B71763" w:rsidP="00FF371D">
            <w:r>
              <w:t>A</w:t>
            </w:r>
            <w:r w:rsidRPr="00B71763">
              <w:t>n  extensive  literature  review  on  amphibian  and  reptile  ecotox</w:t>
            </w:r>
            <w:bookmarkStart w:id="0" w:name="_GoBack"/>
            <w:bookmarkEnd w:id="0"/>
            <w:r w:rsidRPr="00B71763">
              <w:t xml:space="preserve">icological information </w:t>
            </w:r>
            <w:r>
              <w:t xml:space="preserve">was </w:t>
            </w:r>
            <w:r w:rsidRPr="00B71763">
              <w:t>c</w:t>
            </w:r>
            <w:r>
              <w:t xml:space="preserve">onducted with the purposes of: </w:t>
            </w:r>
          </w:p>
          <w:p w:rsidR="00B71763" w:rsidRDefault="00B71763" w:rsidP="00B71763">
            <w:pPr>
              <w:pStyle w:val="ListParagraph"/>
              <w:numPr>
                <w:ilvl w:val="0"/>
                <w:numId w:val="1"/>
              </w:numPr>
            </w:pPr>
            <w:r w:rsidRPr="00B71763">
              <w:t>identifying the most sensitive amphibian and reptile life</w:t>
            </w:r>
            <w:r>
              <w:t xml:space="preserve"> stages to chemical pollution,</w:t>
            </w:r>
          </w:p>
          <w:p w:rsidR="00B71763" w:rsidRDefault="00B71763" w:rsidP="00B71763">
            <w:pPr>
              <w:pStyle w:val="ListParagraph"/>
              <w:numPr>
                <w:ilvl w:val="0"/>
                <w:numId w:val="1"/>
              </w:numPr>
            </w:pPr>
            <w:r w:rsidRPr="00B71763">
              <w:t>identifying  the  most  sensitive  endpoints,  for  amphibians  and  reptiles,  at  different  levels  of biological organization to estimate extrapolation factors from laboratory stud</w:t>
            </w:r>
            <w:r>
              <w:t xml:space="preserve">ies to field-collected data, </w:t>
            </w:r>
          </w:p>
          <w:p w:rsidR="00B71763" w:rsidRDefault="00B71763" w:rsidP="00B71763">
            <w:pPr>
              <w:pStyle w:val="ListParagraph"/>
              <w:numPr>
                <w:ilvl w:val="0"/>
                <w:numId w:val="1"/>
              </w:numPr>
            </w:pPr>
            <w:r w:rsidRPr="00B71763">
              <w:t>comparing  endpoints  from  amphibians  and  reptiles  with  the  information  from  fish,  birds  and mammals in order to test the role of these taxa as valid and protective surrogates for</w:t>
            </w:r>
            <w:r>
              <w:t xml:space="preserve"> amphibians and reptiles, and</w:t>
            </w:r>
          </w:p>
          <w:p w:rsidR="00FF371D" w:rsidRDefault="00B71763" w:rsidP="00B71763">
            <w:pPr>
              <w:pStyle w:val="ListParagraph"/>
              <w:numPr>
                <w:ilvl w:val="0"/>
                <w:numId w:val="1"/>
              </w:numPr>
            </w:pPr>
            <w:r w:rsidRPr="00B71763">
              <w:t>selecting</w:t>
            </w:r>
            <w:r w:rsidR="00473981">
              <w:t xml:space="preserve"> </w:t>
            </w:r>
            <w:r w:rsidRPr="00B71763">
              <w:t>species covering the taxonomic diversity of amphibians suitable to be used for landscape modelling  in  order  to define  population-level  protection  goals  on  the  basis  of  such  models,  and compile information on life-history traits useful to develop such models</w:t>
            </w:r>
            <w:r>
              <w:t>.</w:t>
            </w:r>
          </w:p>
        </w:tc>
      </w:tr>
      <w:tr w:rsidR="00ED409F" w:rsidTr="00B71763">
        <w:tc>
          <w:tcPr>
            <w:tcW w:w="1951" w:type="dxa"/>
          </w:tcPr>
          <w:p w:rsidR="00ED409F" w:rsidRPr="00F96B38" w:rsidRDefault="00ED409F" w:rsidP="00EF0F60">
            <w:r w:rsidRPr="00F96B38">
              <w:t>N</w:t>
            </w:r>
            <w:r>
              <w:t xml:space="preserve">umber of </w:t>
            </w:r>
            <w:r w:rsidRPr="00F96B38">
              <w:t>ref</w:t>
            </w:r>
            <w:r>
              <w:t>erences</w:t>
            </w:r>
          </w:p>
        </w:tc>
        <w:tc>
          <w:tcPr>
            <w:tcW w:w="7291" w:type="dxa"/>
          </w:tcPr>
          <w:p w:rsidR="00ED409F" w:rsidRDefault="002C5283" w:rsidP="00EF0F60">
            <w:r>
              <w:t>40 (28</w:t>
            </w:r>
            <w:r w:rsidR="00ED409F">
              <w:t xml:space="preserve"> in training set, 12 in validation set)</w:t>
            </w:r>
          </w:p>
        </w:tc>
      </w:tr>
    </w:tbl>
    <w:p w:rsidR="007363AF" w:rsidRDefault="00872EC4"/>
    <w:p w:rsidR="00BF28F3" w:rsidRPr="000C1A65" w:rsidRDefault="006E56F0" w:rsidP="00301366">
      <w:pPr>
        <w:autoSpaceDE w:val="0"/>
        <w:autoSpaceDN w:val="0"/>
        <w:adjustRightInd w:val="0"/>
        <w:snapToGrid w:val="0"/>
        <w:spacing w:after="0" w:line="240" w:lineRule="auto"/>
        <w:rPr>
          <w:strike/>
        </w:rPr>
      </w:pPr>
      <w:r>
        <w:t>NOTE</w:t>
      </w:r>
      <w:r w:rsidR="00BF28F3">
        <w:t xml:space="preserve">: </w:t>
      </w:r>
      <w:r w:rsidR="00301366">
        <w:t>I</w:t>
      </w:r>
      <w:r w:rsidR="007D22A6">
        <w:t xml:space="preserve">n case multiple </w:t>
      </w:r>
      <w:r w:rsidR="00301366">
        <w:t>studies</w:t>
      </w:r>
      <w:r w:rsidR="007D22A6">
        <w:t xml:space="preserve"> were discussed in one paper, the data of these </w:t>
      </w:r>
      <w:r w:rsidR="00301366">
        <w:t>studies</w:t>
      </w:r>
      <w:r w:rsidR="007D22A6">
        <w:t xml:space="preserve"> (different concentrations or different responses) were extracted separately,</w:t>
      </w:r>
      <w:r w:rsidR="007D22A6" w:rsidRPr="007D22A6">
        <w:t xml:space="preserve"> </w:t>
      </w:r>
      <w:r w:rsidR="007D22A6" w:rsidRPr="006E56F0">
        <w:t>therefore a single publication</w:t>
      </w:r>
      <w:r w:rsidR="007D22A6">
        <w:t xml:space="preserve"> could be linked to more than one row in data extraction table.</w:t>
      </w:r>
    </w:p>
    <w:p w:rsidR="00BF28F3" w:rsidRPr="00BF28F3" w:rsidRDefault="00BF28F3">
      <w:pPr>
        <w:rPr>
          <w:lang w:val="x-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4"/>
        <w:gridCol w:w="2357"/>
        <w:gridCol w:w="1701"/>
        <w:gridCol w:w="3180"/>
      </w:tblGrid>
      <w:tr w:rsidR="003F0E33" w:rsidTr="00095055">
        <w:tc>
          <w:tcPr>
            <w:tcW w:w="2004" w:type="dxa"/>
          </w:tcPr>
          <w:p w:rsidR="00AA6317" w:rsidRPr="00B83A08" w:rsidRDefault="00AA6317" w:rsidP="00F300FA">
            <w:pPr>
              <w:rPr>
                <w:b/>
              </w:rPr>
            </w:pPr>
            <w:r w:rsidRPr="00B83A08">
              <w:rPr>
                <w:b/>
              </w:rPr>
              <w:t>Data element name</w:t>
            </w:r>
          </w:p>
        </w:tc>
        <w:tc>
          <w:tcPr>
            <w:tcW w:w="2357" w:type="dxa"/>
          </w:tcPr>
          <w:p w:rsidR="00AA6317" w:rsidRPr="00B83A08" w:rsidRDefault="00AA6317" w:rsidP="00F300FA">
            <w:pPr>
              <w:rPr>
                <w:b/>
              </w:rPr>
            </w:pPr>
            <w:r w:rsidRPr="00B83A08">
              <w:rPr>
                <w:b/>
              </w:rPr>
              <w:t>Data element description</w:t>
            </w:r>
          </w:p>
        </w:tc>
        <w:tc>
          <w:tcPr>
            <w:tcW w:w="1701" w:type="dxa"/>
          </w:tcPr>
          <w:p w:rsidR="00AA6317" w:rsidRPr="00B83A08" w:rsidRDefault="00AA6317" w:rsidP="00F300FA">
            <w:pPr>
              <w:rPr>
                <w:b/>
              </w:rPr>
            </w:pPr>
            <w:r w:rsidRPr="00B83A08">
              <w:rPr>
                <w:b/>
              </w:rPr>
              <w:t>Data element type</w:t>
            </w:r>
          </w:p>
        </w:tc>
        <w:tc>
          <w:tcPr>
            <w:tcW w:w="3180" w:type="dxa"/>
          </w:tcPr>
          <w:p w:rsidR="00AA6317" w:rsidRPr="00F77BCF" w:rsidRDefault="00AA6317" w:rsidP="00F300FA">
            <w:pPr>
              <w:rPr>
                <w:b/>
              </w:rPr>
            </w:pPr>
            <w:r w:rsidRPr="00F77BCF">
              <w:rPr>
                <w:b/>
              </w:rPr>
              <w:t>Controlled terminology (if applicable)</w:t>
            </w:r>
          </w:p>
        </w:tc>
      </w:tr>
      <w:tr w:rsidR="007A7DA5" w:rsidTr="00095055">
        <w:tc>
          <w:tcPr>
            <w:tcW w:w="2004" w:type="dxa"/>
          </w:tcPr>
          <w:p w:rsidR="007A7DA5" w:rsidRPr="00B45DDF" w:rsidRDefault="00BE6A5E" w:rsidP="00F300FA">
            <w:r>
              <w:t>chem</w:t>
            </w:r>
          </w:p>
        </w:tc>
        <w:tc>
          <w:tcPr>
            <w:tcW w:w="2357" w:type="dxa"/>
          </w:tcPr>
          <w:p w:rsidR="007A7DA5" w:rsidRPr="00B45DDF" w:rsidRDefault="007A7DA5" w:rsidP="004370E8">
            <w:r>
              <w:t>The substance to which there is exposure</w:t>
            </w:r>
          </w:p>
        </w:tc>
        <w:tc>
          <w:tcPr>
            <w:tcW w:w="1701" w:type="dxa"/>
          </w:tcPr>
          <w:p w:rsidR="007A7DA5" w:rsidRPr="00B45DDF" w:rsidRDefault="00301366" w:rsidP="00F300FA">
            <w:pPr>
              <w:rPr>
                <w:highlight w:val="yellow"/>
              </w:rPr>
            </w:pPr>
            <w:r>
              <w:t>T</w:t>
            </w:r>
            <w:r w:rsidR="00D02A68" w:rsidRPr="00D02A68">
              <w:t>ext</w:t>
            </w:r>
          </w:p>
        </w:tc>
        <w:tc>
          <w:tcPr>
            <w:tcW w:w="3180" w:type="dxa"/>
          </w:tcPr>
          <w:p w:rsidR="007A7DA5" w:rsidRDefault="007A7DA5" w:rsidP="004370E8"/>
        </w:tc>
      </w:tr>
      <w:tr w:rsidR="003F0E33" w:rsidTr="00095055">
        <w:tc>
          <w:tcPr>
            <w:tcW w:w="2004" w:type="dxa"/>
          </w:tcPr>
          <w:p w:rsidR="00AA6317" w:rsidRPr="00D02A68" w:rsidRDefault="005A363C" w:rsidP="00F300FA">
            <w:r>
              <w:t>t</w:t>
            </w:r>
            <w:r w:rsidRPr="005A363C">
              <w:t>argetSpecies</w:t>
            </w:r>
          </w:p>
        </w:tc>
        <w:tc>
          <w:tcPr>
            <w:tcW w:w="2357" w:type="dxa"/>
          </w:tcPr>
          <w:p w:rsidR="00AA6317" w:rsidRPr="00D02A68" w:rsidRDefault="00B45DDF" w:rsidP="004370E8">
            <w:r w:rsidRPr="00D02A68">
              <w:t>Name of the tested species</w:t>
            </w:r>
          </w:p>
        </w:tc>
        <w:tc>
          <w:tcPr>
            <w:tcW w:w="1701" w:type="dxa"/>
          </w:tcPr>
          <w:p w:rsidR="00AA6317" w:rsidRPr="00D02A68" w:rsidRDefault="00301366" w:rsidP="00F300FA">
            <w:r>
              <w:t>T</w:t>
            </w:r>
            <w:r w:rsidR="00D02A68">
              <w:t>ext</w:t>
            </w:r>
          </w:p>
        </w:tc>
        <w:tc>
          <w:tcPr>
            <w:tcW w:w="3180" w:type="dxa"/>
          </w:tcPr>
          <w:p w:rsidR="00AA6317" w:rsidRPr="007A7DA5" w:rsidRDefault="00AA6317" w:rsidP="004370E8">
            <w:pPr>
              <w:rPr>
                <w:strike/>
              </w:rPr>
            </w:pPr>
          </w:p>
        </w:tc>
      </w:tr>
      <w:tr w:rsidR="003F0E33" w:rsidTr="00095055">
        <w:tc>
          <w:tcPr>
            <w:tcW w:w="2004" w:type="dxa"/>
          </w:tcPr>
          <w:p w:rsidR="003F0E33" w:rsidRDefault="00B45DDF" w:rsidP="00B45DDF">
            <w:r w:rsidRPr="00B45DDF">
              <w:t>route</w:t>
            </w:r>
          </w:p>
        </w:tc>
        <w:tc>
          <w:tcPr>
            <w:tcW w:w="2357" w:type="dxa"/>
          </w:tcPr>
          <w:p w:rsidR="003F0E33" w:rsidRDefault="00B45DDF" w:rsidP="006A6884">
            <w:r w:rsidRPr="00B45DDF">
              <w:t>Route of exposure</w:t>
            </w:r>
          </w:p>
        </w:tc>
        <w:tc>
          <w:tcPr>
            <w:tcW w:w="1701" w:type="dxa"/>
          </w:tcPr>
          <w:p w:rsidR="003F0E33" w:rsidRDefault="00B45DDF" w:rsidP="00F300FA">
            <w:r w:rsidRPr="00D02A68">
              <w:t>Controlled terminology</w:t>
            </w:r>
          </w:p>
        </w:tc>
        <w:tc>
          <w:tcPr>
            <w:tcW w:w="3180" w:type="dxa"/>
          </w:tcPr>
          <w:p w:rsidR="00D02A68" w:rsidRDefault="00D02A68" w:rsidP="00D02A68">
            <w:r>
              <w:t>DERMAL</w:t>
            </w:r>
          </w:p>
          <w:p w:rsidR="00D02A68" w:rsidRDefault="00D02A68" w:rsidP="00D02A68">
            <w:r>
              <w:t>INTRAMUSCULAR</w:t>
            </w:r>
          </w:p>
          <w:p w:rsidR="00D02A68" w:rsidRDefault="00D02A68" w:rsidP="00D02A68">
            <w:r>
              <w:t>INTRAPERITONEAL</w:t>
            </w:r>
          </w:p>
          <w:p w:rsidR="00D02A68" w:rsidRDefault="00D02A68" w:rsidP="00D02A68">
            <w:r>
              <w:t>ORAL</w:t>
            </w:r>
          </w:p>
          <w:p w:rsidR="00D02A68" w:rsidRDefault="00D02A68" w:rsidP="00D02A68">
            <w:r>
              <w:t>SUBCUTANEOUS</w:t>
            </w:r>
          </w:p>
          <w:p w:rsidR="005A0BFB" w:rsidRDefault="003B1020" w:rsidP="00D02A68">
            <w:r>
              <w:t>OTHER</w:t>
            </w:r>
          </w:p>
        </w:tc>
      </w:tr>
      <w:tr w:rsidR="009B1C40" w:rsidTr="00095055">
        <w:tc>
          <w:tcPr>
            <w:tcW w:w="2004" w:type="dxa"/>
          </w:tcPr>
          <w:p w:rsidR="009B1C40" w:rsidRPr="001F4CC8" w:rsidRDefault="001F4CC8" w:rsidP="009A3F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endpoint</w:t>
            </w:r>
          </w:p>
        </w:tc>
        <w:tc>
          <w:tcPr>
            <w:tcW w:w="2357" w:type="dxa"/>
          </w:tcPr>
          <w:p w:rsidR="009B1C40" w:rsidRPr="00D02A68" w:rsidRDefault="00DA00E7" w:rsidP="00EA0F64">
            <w:r>
              <w:t>Sample size of the group exposed at the reported level</w:t>
            </w:r>
          </w:p>
        </w:tc>
        <w:tc>
          <w:tcPr>
            <w:tcW w:w="1701" w:type="dxa"/>
          </w:tcPr>
          <w:p w:rsidR="009B1C40" w:rsidRDefault="00301366" w:rsidP="00F300FA">
            <w:r>
              <w:t>I</w:t>
            </w:r>
            <w:r w:rsidR="00DA00E7">
              <w:t>nteger</w:t>
            </w:r>
          </w:p>
        </w:tc>
        <w:tc>
          <w:tcPr>
            <w:tcW w:w="3180" w:type="dxa"/>
          </w:tcPr>
          <w:p w:rsidR="009B1C40" w:rsidRDefault="009B1C40" w:rsidP="00D02A68"/>
        </w:tc>
      </w:tr>
      <w:tr w:rsidR="00246B6B" w:rsidTr="00095055">
        <w:tc>
          <w:tcPr>
            <w:tcW w:w="2004" w:type="dxa"/>
          </w:tcPr>
          <w:p w:rsidR="00246B6B" w:rsidRDefault="00246B6B" w:rsidP="009A3F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dose</w:t>
            </w:r>
          </w:p>
        </w:tc>
        <w:tc>
          <w:tcPr>
            <w:tcW w:w="2357" w:type="dxa"/>
          </w:tcPr>
          <w:p w:rsidR="00246B6B" w:rsidRDefault="00246B6B" w:rsidP="00EA0F64">
            <w:r>
              <w:t>Effect concentration or measured exposure level</w:t>
            </w:r>
          </w:p>
        </w:tc>
        <w:tc>
          <w:tcPr>
            <w:tcW w:w="1701" w:type="dxa"/>
          </w:tcPr>
          <w:p w:rsidR="00246B6B" w:rsidRDefault="00301366" w:rsidP="00F300FA">
            <w:r>
              <w:t>T</w:t>
            </w:r>
            <w:r w:rsidR="00246B6B">
              <w:t>ext</w:t>
            </w:r>
          </w:p>
        </w:tc>
        <w:tc>
          <w:tcPr>
            <w:tcW w:w="3180" w:type="dxa"/>
          </w:tcPr>
          <w:p w:rsidR="00246B6B" w:rsidRDefault="00246B6B" w:rsidP="00D02A68"/>
        </w:tc>
      </w:tr>
      <w:tr w:rsidR="00246B6B" w:rsidTr="00095055">
        <w:tc>
          <w:tcPr>
            <w:tcW w:w="2004" w:type="dxa"/>
          </w:tcPr>
          <w:p w:rsidR="00246B6B" w:rsidRDefault="00246B6B" w:rsidP="009A3F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nSample</w:t>
            </w:r>
          </w:p>
        </w:tc>
        <w:tc>
          <w:tcPr>
            <w:tcW w:w="2357" w:type="dxa"/>
          </w:tcPr>
          <w:p w:rsidR="00246B6B" w:rsidRDefault="00246B6B" w:rsidP="00EA0F64">
            <w:r>
              <w:t>Sample size in the group exposed to the reported level</w:t>
            </w:r>
          </w:p>
        </w:tc>
        <w:tc>
          <w:tcPr>
            <w:tcW w:w="1701" w:type="dxa"/>
          </w:tcPr>
          <w:p w:rsidR="00246B6B" w:rsidRDefault="00301366" w:rsidP="00F300FA">
            <w:r>
              <w:t>I</w:t>
            </w:r>
            <w:r w:rsidR="00246B6B">
              <w:t>nteger</w:t>
            </w:r>
          </w:p>
        </w:tc>
        <w:tc>
          <w:tcPr>
            <w:tcW w:w="3180" w:type="dxa"/>
          </w:tcPr>
          <w:p w:rsidR="00246B6B" w:rsidRDefault="00246B6B" w:rsidP="00D02A68"/>
        </w:tc>
      </w:tr>
    </w:tbl>
    <w:p w:rsidR="00AA6317" w:rsidRDefault="00AA6317"/>
    <w:p w:rsidR="003E6E77" w:rsidRPr="009B1C40" w:rsidRDefault="003E6E77"/>
    <w:sectPr w:rsidR="003E6E77" w:rsidRPr="009B1C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EC4" w:rsidRDefault="00872EC4" w:rsidP="0050591B">
      <w:pPr>
        <w:spacing w:after="0" w:line="240" w:lineRule="auto"/>
      </w:pPr>
      <w:r>
        <w:separator/>
      </w:r>
    </w:p>
  </w:endnote>
  <w:endnote w:type="continuationSeparator" w:id="0">
    <w:p w:rsidR="00872EC4" w:rsidRDefault="00872EC4" w:rsidP="00505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91B" w:rsidRDefault="005059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91B" w:rsidRDefault="005059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91B" w:rsidRDefault="005059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EC4" w:rsidRDefault="00872EC4" w:rsidP="0050591B">
      <w:pPr>
        <w:spacing w:after="0" w:line="240" w:lineRule="auto"/>
      </w:pPr>
      <w:r>
        <w:separator/>
      </w:r>
    </w:p>
  </w:footnote>
  <w:footnote w:type="continuationSeparator" w:id="0">
    <w:p w:rsidR="00872EC4" w:rsidRDefault="00872EC4" w:rsidP="00505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91B" w:rsidRDefault="005059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91B" w:rsidRDefault="0050591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91B" w:rsidRDefault="005059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75855"/>
    <w:multiLevelType w:val="hybridMultilevel"/>
    <w:tmpl w:val="F212488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317"/>
    <w:rsid w:val="000133A8"/>
    <w:rsid w:val="000616F6"/>
    <w:rsid w:val="00095055"/>
    <w:rsid w:val="000C1A65"/>
    <w:rsid w:val="000E4F7C"/>
    <w:rsid w:val="001E79AA"/>
    <w:rsid w:val="001F4CC8"/>
    <w:rsid w:val="00246B6B"/>
    <w:rsid w:val="002C5283"/>
    <w:rsid w:val="00301366"/>
    <w:rsid w:val="003B1020"/>
    <w:rsid w:val="003E185A"/>
    <w:rsid w:val="003E6E77"/>
    <w:rsid w:val="003F0E33"/>
    <w:rsid w:val="00406130"/>
    <w:rsid w:val="004370E8"/>
    <w:rsid w:val="00473981"/>
    <w:rsid w:val="0050591B"/>
    <w:rsid w:val="005A0BFB"/>
    <w:rsid w:val="005A363C"/>
    <w:rsid w:val="005B19FC"/>
    <w:rsid w:val="005B732B"/>
    <w:rsid w:val="005F5ECB"/>
    <w:rsid w:val="00616C02"/>
    <w:rsid w:val="00690565"/>
    <w:rsid w:val="006A6884"/>
    <w:rsid w:val="006A7B9F"/>
    <w:rsid w:val="006E56F0"/>
    <w:rsid w:val="007A7DA5"/>
    <w:rsid w:val="007D22A6"/>
    <w:rsid w:val="00872EC4"/>
    <w:rsid w:val="008E3561"/>
    <w:rsid w:val="009A3F88"/>
    <w:rsid w:val="009B1C40"/>
    <w:rsid w:val="009C4FCF"/>
    <w:rsid w:val="009E5FEA"/>
    <w:rsid w:val="00A55DE0"/>
    <w:rsid w:val="00AA6317"/>
    <w:rsid w:val="00B45DDF"/>
    <w:rsid w:val="00B71763"/>
    <w:rsid w:val="00BE6A5E"/>
    <w:rsid w:val="00BF28F3"/>
    <w:rsid w:val="00C14ECC"/>
    <w:rsid w:val="00C82346"/>
    <w:rsid w:val="00CB6949"/>
    <w:rsid w:val="00D02A68"/>
    <w:rsid w:val="00D50F5E"/>
    <w:rsid w:val="00D55848"/>
    <w:rsid w:val="00D90852"/>
    <w:rsid w:val="00DA00E7"/>
    <w:rsid w:val="00DA6458"/>
    <w:rsid w:val="00E47CCA"/>
    <w:rsid w:val="00EA0F64"/>
    <w:rsid w:val="00ED409F"/>
    <w:rsid w:val="00F177EB"/>
    <w:rsid w:val="00FF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6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63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371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717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6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A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5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91B"/>
  </w:style>
  <w:style w:type="paragraph" w:styleId="Footer">
    <w:name w:val="footer"/>
    <w:basedOn w:val="Normal"/>
    <w:link w:val="FooterChar"/>
    <w:uiPriority w:val="99"/>
    <w:unhideWhenUsed/>
    <w:rsid w:val="00505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3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onlinelibrary.wiley.com/doi/10.2903/sp.efsa.2017.EN-1251/epdf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2018-04-10T23:09:00Z</dcterms:created>
  <dcterms:modified xsi:type="dcterms:W3CDTF">2018-04-10T23:10:00Z</dcterms:modified>
</cp:coreProperties>
</file>