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Data Retention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V2.1</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ITSEC-130</w:t>
            </w:r>
          </w:p>
        </w:tc>
      </w:tr>
    </w:tbl>
    <w:p w:rsidR="0078259C">
      <w:pPr>
        <w:pStyle w:val="Heading1"/>
        <w:rPr>
          <w:lang w:val="sv-SE"/>
        </w:rPr>
      </w:pPr>
      <w:bookmarkStart w:id="2" w:name="scroll-bookmark-3"/>
      <w:bookmarkEnd w:id="2"/>
      <w:bookmarkStart w:id="3" w:name="scroll-bookmark-4"/>
      <w:r>
        <w:rPr>
          <w:lang w:val="sv-SE"/>
        </w:rPr>
        <w:t>1 Introduction</w:t>
      </w:r>
      <w:bookmarkEnd w:id="3"/>
    </w:p>
    <w:p w:rsidR="0078259C">
      <w:pPr>
        <w:rPr>
          <w:lang w:val="sv-SE"/>
        </w:rPr>
      </w:pPr>
      <w:r>
        <w:rPr>
          <w:lang w:val="sv-SE"/>
        </w:rPr>
        <w:t>In line with GDPR and the Data Protection Act 2018 requirements concerning the storage and processing of personal data, Intragen’s Data Retention Policy clearly defines how long we will hold your personal data, together with the reasoning behind the decision to hold that data.   </w:t>
      </w:r>
    </w:p>
    <w:p w:rsidR="0078259C">
      <w:pPr>
        <w:rPr>
          <w:lang w:val="sv-SE"/>
        </w:rPr>
      </w:pPr>
      <w:r>
        <w:rPr>
          <w:lang w:val="sv-SE"/>
        </w:rPr>
        <w:t>In its everyday business operations Intragen collects and stores records of many types and in a variety of different formats. It is important that these records are protected from loss, destruction, falsification, unauthorised access and unauthorised release and a range of controls are used to ensure this, including backups, access control and encryption. </w:t>
      </w:r>
    </w:p>
    <w:p w:rsidR="0078259C">
      <w:pPr>
        <w:rPr>
          <w:lang w:val="sv-SE"/>
        </w:rPr>
      </w:pPr>
      <w:r>
        <w:rPr>
          <w:lang w:val="sv-SE"/>
        </w:rPr>
        <w:t>Intragen also has a responsibility to ensure that it complies with all relevant legal, regulatory, and contractual requirements in the collection, storage, retrieval, and destruction of records.  </w:t>
      </w:r>
    </w:p>
    <w:p w:rsidR="0078259C">
      <w:pPr>
        <w:rPr>
          <w:lang w:val="sv-SE"/>
        </w:rPr>
      </w:pPr>
      <w:r>
        <w:rPr>
          <w:lang w:val="sv-SE"/>
        </w:rPr>
        <w:t>This policy applies to all systems, people and processes that constitute Intragen’s information systems, including board members, Directors, employees, suppliers and other third parties who have access to Intragen systems.  </w:t>
      </w:r>
    </w:p>
    <w:p w:rsidR="0078259C">
      <w:pPr>
        <w:rPr>
          <w:lang w:val="sv-SE"/>
        </w:rPr>
      </w:pPr>
      <w:r>
        <w:rPr>
          <w:lang w:val="sv-SE"/>
        </w:rPr>
        <w:t>There are occasions where it is appropriate for us to retain personal data for longer than the period prescribed in law (for example, where there may be litigation in process or expected where the data will form part of the evidence in the case). In such circumstances those requirements will override the policies outlined below. </w:t>
      </w:r>
    </w:p>
    <w:p w:rsidR="0078259C">
      <w:pPr>
        <w:rPr>
          <w:lang w:val="sv-SE"/>
        </w:rPr>
      </w:pPr>
      <w:r>
        <w:rPr>
          <w:lang w:val="sv-SE"/>
        </w:rPr>
        <w:t>This policy covers: </w:t>
      </w:r>
    </w:p>
    <w:p w:rsidR="0078259C">
      <w:pPr>
        <w:numPr>
          <w:ilvl w:val="0"/>
          <w:numId w:val="1"/>
        </w:numPr>
        <w:rPr>
          <w:lang w:val="sv-SE"/>
        </w:rPr>
      </w:pPr>
      <w:r>
        <w:rPr>
          <w:lang w:val="sv-SE"/>
        </w:rPr>
        <w:t>the main principles that must be adopted when considering record retention </w:t>
      </w:r>
    </w:p>
    <w:p w:rsidR="0078259C">
      <w:pPr>
        <w:numPr>
          <w:ilvl w:val="0"/>
          <w:numId w:val="1"/>
        </w:numPr>
        <w:rPr>
          <w:lang w:val="sv-SE"/>
        </w:rPr>
      </w:pPr>
      <w:r>
        <w:rPr>
          <w:lang w:val="sv-SE"/>
        </w:rPr>
        <w:t>the types of records held by Intragen and their general requirements </w:t>
      </w:r>
    </w:p>
    <w:p w:rsidR="0078259C">
      <w:pPr>
        <w:numPr>
          <w:ilvl w:val="0"/>
          <w:numId w:val="1"/>
        </w:numPr>
        <w:rPr>
          <w:lang w:val="sv-SE"/>
        </w:rPr>
      </w:pPr>
      <w:r>
        <w:rPr>
          <w:lang w:val="sv-SE"/>
        </w:rPr>
        <w:t>record protection, destruction, and management </w:t>
      </w:r>
    </w:p>
    <w:p w:rsidR="0078259C">
      <w:pPr>
        <w:numPr>
          <w:ilvl w:val="0"/>
          <w:numId w:val="1"/>
        </w:numPr>
        <w:rPr>
          <w:lang w:val="sv-SE"/>
        </w:rPr>
      </w:pPr>
      <w:r>
        <w:rPr>
          <w:lang w:val="sv-SE"/>
        </w:rPr>
        <w:t>Anonymisation </w:t>
      </w:r>
    </w:p>
    <w:p w:rsidR="0078259C">
      <w:pPr>
        <w:numPr>
          <w:ilvl w:val="0"/>
          <w:numId w:val="1"/>
        </w:numPr>
        <w:rPr>
          <w:lang w:val="sv-SE"/>
        </w:rPr>
      </w:pPr>
      <w:r>
        <w:rPr>
          <w:lang w:val="sv-SE"/>
        </w:rPr>
        <w:t>Policy violation </w:t>
      </w:r>
    </w:p>
    <w:p w:rsidR="0078259C">
      <w:pPr>
        <w:pStyle w:val="Heading1"/>
        <w:rPr>
          <w:lang w:val="sv-SE"/>
        </w:rPr>
      </w:pPr>
      <w:bookmarkStart w:id="4" w:name="scroll-bookmark-5"/>
      <w:bookmarkEnd w:id="4"/>
      <w:bookmarkStart w:id="5" w:name="scroll-bookmark-6"/>
      <w:r>
        <w:rPr>
          <w:lang w:val="sv-SE"/>
        </w:rPr>
        <w:t>2 General Principles</w:t>
      </w:r>
      <w:bookmarkEnd w:id="5"/>
    </w:p>
    <w:p w:rsidR="0078259C">
      <w:pPr>
        <w:rPr>
          <w:lang w:val="sv-SE"/>
        </w:rPr>
      </w:pPr>
      <w:r>
        <w:rPr>
          <w:lang w:val="sv-SE"/>
        </w:rPr>
        <w:t>There are a number of general principles that must be adopted when considering record retention.  </w:t>
      </w:r>
    </w:p>
    <w:p w:rsidR="0078259C">
      <w:pPr>
        <w:rPr>
          <w:lang w:val="sv-SE"/>
        </w:rPr>
      </w:pPr>
      <w:r>
        <w:rPr>
          <w:lang w:val="sv-SE"/>
        </w:rPr>
        <w:t>These are: </w:t>
      </w:r>
    </w:p>
    <w:p w:rsidR="0078259C">
      <w:pPr>
        <w:numPr>
          <w:ilvl w:val="0"/>
          <w:numId w:val="2"/>
        </w:numPr>
        <w:rPr>
          <w:lang w:val="sv-SE"/>
        </w:rPr>
      </w:pPr>
      <w:r>
        <w:rPr>
          <w:lang w:val="sv-SE"/>
        </w:rPr>
        <w:t>Records must be held in compliance with all applicable legal, regulatory, and contractual requirements </w:t>
      </w:r>
    </w:p>
    <w:p w:rsidR="0078259C">
      <w:pPr>
        <w:numPr>
          <w:ilvl w:val="0"/>
          <w:numId w:val="2"/>
        </w:numPr>
        <w:rPr>
          <w:lang w:val="sv-SE"/>
        </w:rPr>
      </w:pPr>
      <w:r>
        <w:rPr>
          <w:lang w:val="sv-SE"/>
        </w:rPr>
        <w:t>Records must not be held for any longer than required </w:t>
      </w:r>
    </w:p>
    <w:p w:rsidR="0078259C">
      <w:pPr>
        <w:numPr>
          <w:ilvl w:val="0"/>
          <w:numId w:val="2"/>
        </w:numPr>
        <w:rPr>
          <w:lang w:val="sv-SE"/>
        </w:rPr>
      </w:pPr>
      <w:r>
        <w:rPr>
          <w:lang w:val="sv-SE"/>
        </w:rPr>
        <w:t>The protection of records in terms of their confidentiality, integrity and availability must be in accordance with their classification </w:t>
      </w:r>
    </w:p>
    <w:p w:rsidR="0078259C">
      <w:pPr>
        <w:numPr>
          <w:ilvl w:val="0"/>
          <w:numId w:val="2"/>
        </w:numPr>
        <w:rPr>
          <w:lang w:val="sv-SE"/>
        </w:rPr>
      </w:pPr>
      <w:r>
        <w:rPr>
          <w:lang w:val="sv-SE"/>
        </w:rPr>
        <w:t>Records must remain retrievable in line with business requirements at all times </w:t>
      </w:r>
    </w:p>
    <w:p w:rsidR="0078259C">
      <w:pPr>
        <w:rPr>
          <w:lang w:val="sv-SE"/>
        </w:rPr>
      </w:pPr>
      <w:r>
        <w:rPr>
          <w:lang w:val="sv-SE"/>
        </w:rPr>
        <w:t>Where appropriate, records containing personal data must be subject as soon as possible to techniques that prevent the identification of a living individual.</w:t>
      </w:r>
    </w:p>
    <w:p w:rsidR="0078259C">
      <w:pPr>
        <w:pStyle w:val="Heading1"/>
        <w:rPr>
          <w:lang w:val="sv-SE"/>
        </w:rPr>
      </w:pPr>
      <w:bookmarkStart w:id="6" w:name="scroll-bookmark-7"/>
      <w:bookmarkEnd w:id="6"/>
      <w:bookmarkStart w:id="7" w:name="scroll-bookmark-8"/>
      <w:r>
        <w:rPr>
          <w:lang w:val="sv-SE"/>
        </w:rPr>
        <w:t>3 Use of Cryptography</w:t>
      </w:r>
      <w:bookmarkEnd w:id="7"/>
    </w:p>
    <w:p>
      <w:r w:rsidR="0078259C">
        <w:rPr>
          <w:lang w:val="sv-SE"/>
        </w:rPr>
        <w:t>Where appropriate to the classification of information and the storage medium, cryptographic techniques must be used to ensure the confidentiality and integrity of records. </w:t>
      </w:r>
      <w:hyperlink r:id="rId6" w:history="1">
        <w:r w:rsidR="0078259C">
          <w:rPr>
            <w:rStyle w:val="Hyperlink"/>
            <w:lang w:val="sv-SE"/>
          </w:rPr>
          <w:t>Document and data classification policy</w:t>
        </w:r>
      </w:hyperlink>
    </w:p>
    <w:p>
      <w:r>
        <w:t>Care must be taken to ensure that encryption keys used to encrypt records are securely stored for the life of the relevant records and comply with the organisation’s policy on cryptography.</w:t>
      </w:r>
    </w:p>
    <w:p>
      <w:pPr>
        <w:pStyle w:val="Heading1"/>
      </w:pPr>
      <w:bookmarkStart w:id="8" w:name="scroll-bookmark-9"/>
      <w:bookmarkEnd w:id="8"/>
      <w:bookmarkStart w:id="9" w:name="scroll-bookmark-10"/>
      <w:r>
        <w:t>4 Media Selection</w:t>
      </w:r>
      <w:bookmarkEnd w:id="9"/>
    </w:p>
    <w:p>
      <w:r>
        <w:t>The choice of long-term storage media must take into account the physical characteristics of the medium and the length of time it will be in use. </w:t>
      </w:r>
    </w:p>
    <w:p>
      <w:r>
        <w:t>Where records are legally (or practically) required to be stored on paper, adequate precautions must be taken to ensure that environmental conditions remain suitable for the type of paper used. Where possible, backup copies of such records should be taken by methods such as scanning.  </w:t>
      </w:r>
    </w:p>
    <w:p>
      <w:r>
        <w:t>For records stored on electronic media such as tape, similar precautions must be taken to ensure the longevity of the materials, including correct storage, and copying onto more robust media if necessary. The ability to read the contents of the particular tape (or other similar media) format must be maintained by the keeping of a device capable of processing it. If this is impractical an external third party may be employed to convert the media onto an alternative format. </w:t>
      </w:r>
    </w:p>
    <w:p>
      <w:pPr>
        <w:pStyle w:val="Heading1"/>
      </w:pPr>
      <w:bookmarkStart w:id="10" w:name="scroll-bookmark-11"/>
      <w:bookmarkEnd w:id="10"/>
      <w:bookmarkStart w:id="11" w:name="scroll-bookmark-12"/>
      <w:r>
        <w:t>5 Record Retrieval</w:t>
      </w:r>
      <w:bookmarkEnd w:id="11"/>
    </w:p>
    <w:p>
      <w:r>
        <w:t>There is little point in retaining records if they are not able to be accessed in line with business or legal requirements. The choice and maintenance of record storage facilities must ensure that records can be retrieved in a usable format within an acceptable period of time. An appropriate balance should be struck between the cost of storage and the speed of retrieval so that the most likely circumstances are adequately catered for. </w:t>
      </w:r>
    </w:p>
    <w:p>
      <w:pPr>
        <w:pStyle w:val="Heading1"/>
      </w:pPr>
      <w:bookmarkStart w:id="12" w:name="scroll-bookmark-13"/>
      <w:bookmarkEnd w:id="12"/>
      <w:bookmarkStart w:id="13" w:name="scroll-bookmark-14"/>
      <w:r>
        <w:t>6 Record Destruction</w:t>
      </w:r>
      <w:bookmarkEnd w:id="13"/>
    </w:p>
    <w:p>
      <w:r>
        <w:t>Once records have reached the end of their life according to the defined policy, they must be securely destroyed in a manner that ensures that they can no longer be used. The destruction procedure must allow for the correct recording of the details of disposal which should be retained as evidence. </w:t>
      </w:r>
    </w:p>
    <w:p>
      <w:pPr>
        <w:pStyle w:val="Heading1"/>
      </w:pPr>
      <w:bookmarkStart w:id="14" w:name="scroll-bookmark-15"/>
      <w:bookmarkEnd w:id="14"/>
      <w:bookmarkStart w:id="15" w:name="scroll-bookmark-16"/>
      <w:r>
        <w:t>7 Record Review</w:t>
      </w:r>
      <w:bookmarkEnd w:id="15"/>
    </w:p>
    <w:p>
      <w:r>
        <w:t>The retention and storage of records must be subject to a regular review process carried out under the guidance of management to ensure that: </w:t>
      </w:r>
    </w:p>
    <w:p>
      <w:pPr>
        <w:numPr>
          <w:ilvl w:val="0"/>
          <w:numId w:val="3"/>
        </w:numPr>
      </w:pPr>
      <w:r>
        <w:t>The policy on records retention and protection remains valid </w:t>
      </w:r>
    </w:p>
    <w:p>
      <w:pPr>
        <w:numPr>
          <w:ilvl w:val="0"/>
          <w:numId w:val="3"/>
        </w:numPr>
      </w:pPr>
      <w:r>
        <w:t>Records are being retained according to the policy </w:t>
      </w:r>
    </w:p>
    <w:p>
      <w:pPr>
        <w:numPr>
          <w:ilvl w:val="0"/>
          <w:numId w:val="3"/>
        </w:numPr>
      </w:pPr>
      <w:r>
        <w:t>Records are being securely disposed of when no longer required </w:t>
      </w:r>
    </w:p>
    <w:p>
      <w:pPr>
        <w:numPr>
          <w:ilvl w:val="0"/>
          <w:numId w:val="3"/>
        </w:numPr>
      </w:pPr>
      <w:r>
        <w:t>Legal, regulatory and contractual requirements are being fulfilled </w:t>
      </w:r>
    </w:p>
    <w:p>
      <w:pPr>
        <w:numPr>
          <w:ilvl w:val="0"/>
          <w:numId w:val="3"/>
        </w:numPr>
      </w:pPr>
      <w:r>
        <w:t>Processes for record retrieval are meeting business requirements </w:t>
      </w:r>
    </w:p>
    <w:p>
      <w:r>
        <w:t>The results of these reviews must be recorded. </w:t>
      </w:r>
    </w:p>
    <w:p>
      <w:pPr>
        <w:pStyle w:val="Heading1"/>
      </w:pPr>
      <w:bookmarkStart w:id="16" w:name="scroll-bookmark-17"/>
      <w:bookmarkEnd w:id="16"/>
      <w:bookmarkStart w:id="17" w:name="scroll-bookmark-18"/>
      <w:r>
        <w:t>8 Policy Violation</w:t>
      </w:r>
      <w:bookmarkEnd w:id="17"/>
    </w:p>
    <w:p>
      <w:r>
        <w:t>Intragen is committed to enforcing this policy as it applies to all forms of data. The effectiveness of Intragen 's efforts, however, depends largely on employees. If you feel that you or someone else may have violated this policy, you should report the incident immediately to your manager. If you are not comfortable bringing the matter up with your manager, or do not believe the Manager has dealt with the matter properly, you should raise the matter with HR. If employees do not report inappropriate conduct, Intragen may not become aware of a possible violation of this policy and may not be able to take appropriate corrective action. No one will be subject to and Intragen prohibits, any form of discipline, reprisal, intimidation, or retaliation for reporting incidents of inappropriate conduct of any kind, pursuing any record destruction claim, or cooperating in related investigations. </w:t>
      </w:r>
    </w:p>
    <w:p>
      <w:pPr>
        <w:pStyle w:val="Heading1"/>
      </w:pPr>
      <w:bookmarkStart w:id="18" w:name="scroll-bookmark-19"/>
      <w:bookmarkEnd w:id="18"/>
      <w:bookmarkStart w:id="19" w:name="scroll-bookmark-20"/>
      <w:r>
        <w:t>9 Anonymisation</w:t>
      </w:r>
      <w:bookmarkEnd w:id="19"/>
    </w:p>
    <w:p>
      <w:r>
        <w:t>Where there is a requirement for the Company to retain information for longer periods of time, consideration must be given to whether any personal data within it should be ‘anonymised’ such that the data subject can no longer be identified but the contents and context of the document still reviewed and understood. Where, in the table below, the data is identified as being capable of being anonymised, anonymisation should take place as soon as reasonably possible once the need to retain the personal data has expired. </w:t>
      </w:r>
    </w:p>
    <w:p>
      <w:pPr>
        <w:pStyle w:val="Heading1"/>
      </w:pPr>
      <w:bookmarkStart w:id="20" w:name="scroll-bookmark-21"/>
      <w:bookmarkEnd w:id="20"/>
      <w:bookmarkStart w:id="21" w:name="scroll-bookmark-22"/>
      <w:r>
        <w:t>Document control</w:t>
      </w:r>
      <w:bookmarkEnd w:id="21"/>
    </w:p>
    <w:tbl>
      <w:tblPr>
        <w:tblStyle w:val="ScrollTableNormal"/>
        <w:tblW w:w="5000" w:type="pct"/>
        <w:tblLook w:val="0020"/>
      </w:tblPr>
      <w:tblGrid>
        <w:gridCol w:w="1213"/>
        <w:gridCol w:w="917"/>
        <w:gridCol w:w="6886"/>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V2.1</w:t>
            </w:r>
          </w:p>
        </w:tc>
        <w:tc>
          <w:tcPr/>
          <w:p>
            <w:pPr>
              <w:numPr>
                <w:ilvl w:val="0"/>
                <w:numId w:val="0"/>
              </w:numPr>
              <w:spacing w:before="200" w:beforeAutospacing="0" w:after="120" w:afterAutospacing="0" w:line="276" w:lineRule="auto"/>
              <w:ind w:left="0" w:right="0" w:firstLine="0"/>
              <w:jc w:val="left"/>
              <w:outlineLvl w:val="9"/>
            </w:pPr>
            <w:r>
              <w:t>Minor addition. Added the link to the Document and Classification policy.</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theme" Target="theme/theme1.xml"/><Relationship Id="rId8"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footer" Target="footer3.xml"/><Relationship Id="rId7"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endnotes" Target="endnotes.xml"/><Relationship Id="rId16" Type="http://schemas.openxmlformats.org/officeDocument/2006/relationships/customXml" Target="../customXml/item1.xml"/><Relationship Id="rId1" Type="http://schemas.openxmlformats.org/officeDocument/2006/relationships/footnotes" Target="footnotes.xml"/><Relationship Id="rId11" Type="http://schemas.openxmlformats.org/officeDocument/2006/relationships/header" Target="header3.xml"/><Relationship Id="rId6" Type="http://schemas.openxmlformats.org/officeDocument/2006/relationships/hyperlink" Target="https://intragen.atlassian.net/wiki/spaces/ISMS/pages/7789940192/Document+and+data+classification+policy" TargetMode="External"/><Relationship Id="rId15" Type="http://schemas.openxmlformats.org/officeDocument/2006/relationships/styles" Target="styles.xml"/><Relationship Id="rId5" Type="http://schemas.openxmlformats.org/officeDocument/2006/relationships/fontTable" Target="fontTable.xml"/><Relationship Id="rId10" Type="http://schemas.openxmlformats.org/officeDocument/2006/relationships/footer" Target="footer2.xml"/><Relationship Id="rId14"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E67BDB-8E56-4178-B2E4-1A39AD27E761}"/>
</file>

<file path=customXml/itemProps2.xml><?xml version="1.0" encoding="utf-8"?>
<ds:datastoreItem xmlns:ds="http://schemas.openxmlformats.org/officeDocument/2006/customXml" ds:itemID="{CDD51CE8-D992-4855-8832-C95D8494D63A}"/>
</file>

<file path=customXml/itemProps3.xml><?xml version="1.0" encoding="utf-8"?>
<ds:datastoreItem xmlns:ds="http://schemas.openxmlformats.org/officeDocument/2006/customXml" ds:itemID="{C9C86D1A-561F-4AAB-8A74-F936BD55F008}"/>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4</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2025-05-21T10:53:15Z</dcterms:created>
  <dcterms:modified xsi:type="dcterms:W3CDTF">2025-05-21T10:53:15Z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