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9.0 -->
  <w:body>
    <w:p w:rsidR="0078259C" w14:paraId="01049ED7" w14:textId="77777777">
      <w:pPr>
        <w:pStyle w:val="Title"/>
        <w:rPr>
          <w:lang w:val="sv-SE"/>
        </w:rPr>
      </w:pPr>
      <w:bookmarkStart w:id="0" w:name="scroll-bookmark-1"/>
      <w:bookmarkEnd w:id="0"/>
      <w:bookmarkStart w:id="1" w:name="scroll-bookmark-2"/>
      <w:r>
        <w:rPr>
          <w:lang w:val="sv-SE"/>
        </w:rPr>
        <w:t>Employee Privacy and Data Protection Policy</w:t>
      </w:r>
      <w:bookmarkEnd w:id="1"/>
    </w:p>
    <w:p w:rsidR="0078259C">
      <w:pPr>
        <w:rPr>
          <w:lang w:val="sv-SE"/>
        </w:rPr>
      </w:pPr>
      <w:r>
        <w:rPr>
          <w:lang w:val="sv-SE"/>
        </w:rPr>
        <w:t>Version: V2.2</w:t>
      </w:r>
    </w:p>
    <w:p w:rsidR="0078259C">
      <w:pPr>
        <w:rPr>
          <w:lang w:val="sv-SE"/>
        </w:rPr>
      </w:pPr>
      <w:r>
        <w:rPr>
          <w:lang w:val="sv-SE"/>
        </w:rPr>
        <w:t>Review Date : 26/09/2023</w:t>
      </w:r>
    </w:p>
    <w:p w:rsidR="0078259C">
      <w:pPr>
        <w:rPr>
          <w:lang w:val="sv-SE"/>
        </w:rPr>
      </w:pPr>
      <w:r>
        <w:rPr>
          <w:lang w:val="sv-SE"/>
        </w:rPr>
        <w:t>Security: Intragen Internal</w:t>
      </w:r>
    </w:p>
    <w:p w:rsidR="0078259C">
      <w:pPr>
        <w:rPr>
          <w:lang w:val="sv-SE"/>
        </w:rPr>
      </w:pPr>
      <w:r>
        <w:rPr>
          <w:lang w:val="sv-SE"/>
        </w:rPr>
        <w:t>ITSEC-131</w:t>
      </w:r>
    </w:p>
    <w:p w:rsidR="0078259C">
      <w:pPr>
        <w:pStyle w:val="Heading1"/>
        <w:rPr>
          <w:lang w:val="sv-SE"/>
        </w:rPr>
      </w:pPr>
      <w:bookmarkStart w:id="2" w:name="scroll-bookmark-3"/>
      <w:bookmarkEnd w:id="2"/>
      <w:bookmarkStart w:id="3" w:name="scroll-bookmark-4"/>
      <w:r>
        <w:rPr>
          <w:lang w:val="sv-SE"/>
        </w:rPr>
        <w:t>1 Introduction</w:t>
      </w:r>
      <w:bookmarkEnd w:id="3"/>
    </w:p>
    <w:p w:rsidR="0078259C">
      <w:pPr>
        <w:rPr>
          <w:lang w:val="sv-SE"/>
        </w:rPr>
      </w:pPr>
      <w:r>
        <w:rPr>
          <w:lang w:val="sv-SE"/>
        </w:rPr>
        <w:t>This Employee Privacy and Data Protection Policy applies to all current, former and prospective Directors, employees, workers, agents and contractors (including, for the avoidance of doubt, self-employed consultants) working with or for Intragen. Throughout this policy we refer to employees. In the context of this policy only the phrase “employee” should be taken to include Directors, employees, workers, agents, and contractors (including, for the avoidance of doubt, self-employed consultants) but does not imply nor should be assumed to imply or create any specific relationship between any person to whom this policy applies and Intragen.</w:t>
      </w:r>
    </w:p>
    <w:p w:rsidR="0078259C">
      <w:pPr>
        <w:rPr>
          <w:lang w:val="sv-SE"/>
        </w:rPr>
      </w:pPr>
      <w:r>
        <w:rPr>
          <w:lang w:val="sv-SE"/>
        </w:rPr>
        <w:t>This policy does not form part of any employee’s contract of employment and may be amended at any time.</w:t>
      </w:r>
    </w:p>
    <w:p w:rsidR="0078259C">
      <w:pPr>
        <w:rPr>
          <w:lang w:val="sv-SE"/>
        </w:rPr>
      </w:pPr>
      <w:r>
        <w:rPr>
          <w:lang w:val="sv-SE"/>
        </w:rPr>
        <w:t>In the course of your work, you may come into contact with and use confidential personal information about other employees, clients, customers, suppliers, agents, contractors and other people, such as their names, email addresses and home addresses. This Policy helps you to ensure that you do not breach the Data Protection Act 2018 (the Act) and GDPR.</w:t>
      </w:r>
    </w:p>
    <w:p w:rsidR="0078259C">
      <w:pPr>
        <w:rPr>
          <w:lang w:val="sv-SE"/>
        </w:rPr>
      </w:pPr>
      <w:r>
        <w:rPr>
          <w:lang w:val="sv-SE"/>
        </w:rPr>
        <w:t>The Act and GDPR provide strict rules governing the collection, retention, storage, use and disclosure of personal information. Information protected by the Act and GDPR include not only personal data held on computer but also certain manual records that form part of a structured filing system.</w:t>
      </w:r>
    </w:p>
    <w:p w:rsidR="0078259C">
      <w:pPr>
        <w:rPr>
          <w:lang w:val="sv-SE"/>
        </w:rPr>
      </w:pPr>
      <w:r>
        <w:rPr>
          <w:lang w:val="sv-SE"/>
        </w:rPr>
        <w:t>If you are in any doubt about what you can or cannot disclose and to whom, do not disclose the personal information until you have sought further advice from your manager. It is a criminal offence to knowingly or recklessly disclose personal data in breach of the Act or GDPR and any such action could also result in significant fines for the Company, as well as irreparable damage to the Company’s reputation. Accessing another employee’s personal records without authority is a disciplinary offence and may amount to potential gross misconduct.</w:t>
      </w:r>
    </w:p>
    <w:p w:rsidR="0078259C">
      <w:pPr>
        <w:rPr>
          <w:lang w:val="sv-SE"/>
        </w:rPr>
      </w:pPr>
      <w:r>
        <w:rPr>
          <w:lang w:val="sv-SE"/>
        </w:rPr>
        <w:t>We hold personal data about you and will process this data in accordance with your rights under the Act and GDPR.</w:t>
      </w:r>
    </w:p>
    <w:p w:rsidR="0078259C">
      <w:pPr>
        <w:rPr>
          <w:lang w:val="sv-SE"/>
        </w:rPr>
      </w:pPr>
      <w:r>
        <w:rPr>
          <w:lang w:val="sv-SE"/>
        </w:rPr>
        <w:t>Under the Act and GDPR we are required to provide you with information regarding our status as a data controller and who you can contact with any queries or concerns you may have regarding how we are obtaining and handling your data. This information is outlined below:</w:t>
      </w:r>
    </w:p>
    <w:p w:rsidR="0078259C">
      <w:pPr>
        <w:rPr>
          <w:lang w:val="sv-SE"/>
        </w:rPr>
      </w:pPr>
      <w:r>
        <w:rPr>
          <w:lang w:val="sv-SE"/>
        </w:rPr>
        <w:t>Data Controller: Intragen International Ltd, 146 New London Road, Chelmsford, Essex, CM2 0AW</w:t>
      </w:r>
    </w:p>
    <w:p>
      <w:r w:rsidR="0078259C">
        <w:rPr>
          <w:lang w:val="sv-SE"/>
        </w:rPr>
        <w:t xml:space="preserve">Data Protection Team: </w:t>
      </w:r>
      <w:hyperlink r:id="rId6" w:history="1">
        <w:r w:rsidR="0078259C">
          <w:rPr>
            <w:rStyle w:val="Hyperlink"/>
            <w:lang w:val="sv-SE"/>
          </w:rPr>
          <w:t>dataprotection@intragen.com</w:t>
        </w:r>
      </w:hyperlink>
    </w:p>
    <w:p>
      <w:pPr>
        <w:pStyle w:val="Heading1"/>
      </w:pPr>
      <w:bookmarkStart w:id="4" w:name="scroll-bookmark-5"/>
      <w:bookmarkEnd w:id="4"/>
      <w:bookmarkStart w:id="5" w:name="scroll-bookmark-6"/>
      <w:r>
        <w:t>2 The Data Protection Principles</w:t>
      </w:r>
      <w:bookmarkEnd w:id="5"/>
    </w:p>
    <w:p>
      <w:r>
        <w:t>The Act and GDPR requires that eight data protection principles be followed in the handling of personal data. These are that personal data must be:</w:t>
      </w:r>
    </w:p>
    <w:p>
      <w:pPr>
        <w:numPr>
          <w:ilvl w:val="0"/>
          <w:numId w:val="1"/>
        </w:numPr>
      </w:pPr>
      <w:r>
        <w:t>Fairly, transparently, and lawfully processed</w:t>
      </w:r>
    </w:p>
    <w:p>
      <w:pPr>
        <w:numPr>
          <w:ilvl w:val="0"/>
          <w:numId w:val="1"/>
        </w:numPr>
      </w:pPr>
      <w:r>
        <w:t>Obtained and processed for limited purposes and not in any manner incompatible with those purposes</w:t>
      </w:r>
    </w:p>
    <w:p>
      <w:pPr>
        <w:numPr>
          <w:ilvl w:val="0"/>
          <w:numId w:val="1"/>
        </w:numPr>
      </w:pPr>
      <w:r>
        <w:t>Adequate, relevant, and limited to only data that is necessary to perform the purpose for which it was obtained</w:t>
      </w:r>
    </w:p>
    <w:p>
      <w:pPr>
        <w:numPr>
          <w:ilvl w:val="0"/>
          <w:numId w:val="1"/>
        </w:numPr>
      </w:pPr>
      <w:r>
        <w:t>Accurate and up to date</w:t>
      </w:r>
    </w:p>
    <w:p>
      <w:pPr>
        <w:numPr>
          <w:ilvl w:val="0"/>
          <w:numId w:val="1"/>
        </w:numPr>
      </w:pPr>
      <w:r>
        <w:t>Not kept for longer than is necessary</w:t>
      </w:r>
    </w:p>
    <w:p>
      <w:pPr>
        <w:numPr>
          <w:ilvl w:val="0"/>
          <w:numId w:val="1"/>
        </w:numPr>
      </w:pPr>
      <w:r>
        <w:t>Processed in accordance with the data subject's rights</w:t>
      </w:r>
    </w:p>
    <w:p>
      <w:pPr>
        <w:numPr>
          <w:ilvl w:val="0"/>
          <w:numId w:val="1"/>
        </w:numPr>
      </w:pPr>
      <w:r>
        <w:t>Secure</w:t>
      </w:r>
    </w:p>
    <w:p>
      <w:pPr>
        <w:numPr>
          <w:ilvl w:val="0"/>
          <w:numId w:val="1"/>
        </w:numPr>
      </w:pPr>
      <w:r>
        <w:t>Not transferred outside of the EEA or between countries without adequate protection</w:t>
      </w:r>
    </w:p>
    <w:p>
      <w:r>
        <w:t>We are committed to following these principles and will be open and transparent about the purposes for which we will use your data. We will process personal data about you only as far as is necessary for managing the Company’s business in which you are employed.</w:t>
      </w:r>
    </w:p>
    <w:p>
      <w:r>
        <w:t>Unless you expressly authorise its disclosure, your personal data will not be disclosed to anyone else other than authorised employees, other companies within the Group, those who provide relevant products to the Company (such as advisers and payroll administrators), regulatory authorities, potential or future employers, governmental or quasi-governmental organisations and potential purchasers of the Company or of that part of the business in which you work.</w:t>
      </w:r>
    </w:p>
    <w:p>
      <w:r>
        <w:t>We will only obtain personal data about you that we require for managing our business and dealing with you as an employee of the business.</w:t>
      </w:r>
    </w:p>
    <w:p>
      <w:r>
        <w:t>If you have any concerns regarding the way in which we are handling or processing your personal data, including whether you believe that we have obtained personal data regarding you that we do not need, please discuss this with your manager who will ensure that any such queries are dealt with in an appropriate manner. If it is determined that we are holding personal data about you that we do not require, we will ensure that such data is deleted without delay.</w:t>
      </w:r>
    </w:p>
    <w:p>
      <w:r>
        <w:t>The categories and sources of the personal data we hold about you can be found in the Company’s Data Retention Policy, which is stored on BambooHR.</w:t>
      </w:r>
    </w:p>
    <w:p>
      <w:r>
        <w:t>We will take all reasonable steps to ensure that the personal data we process is accurate and not excessive. Personal data will be retained as necessary during the course of your employment and records will be retained for up to six years after you leave the Company’s employment in case legal proceedings arise during that period. Different categories of data may be retained for different periods of time depending on legal, operational, regulatory, and financial requirements. Data will only be retained for a period of longer than seven years if it is material to ongoing legal proceedings or it should otherwise be retained in the interests of the Company or for regulatory reasons after that period (for example, relating to a company pension scheme or employee benefit scheme).</w:t>
      </w:r>
    </w:p>
    <w:p>
      <w:r>
        <w:t>Manual personal data, such as personnel files, is stored in locked filing cabinets and is only accessible by certain authorised persons. Personal data held on computer is stored confidentially by means of password protection. We have a network of back-up procedures to ensure that data on computer cannot accidentally be lost or destroyed.</w:t>
      </w:r>
    </w:p>
    <w:p>
      <w:r>
        <w:t>We do transfer some of your personal data to third parties to enable us to comply with our legal and contractual obligations to you, and to the third parties in question. Details of these third parties, together with the categories of personal data we provide to them and the reason(s) for the transfer are outlined below. Should there be any change to this information we will notify you and this policy will be updated accordingly.</w:t>
      </w:r>
    </w:p>
    <w:p>
      <w:r>
        <w:t>There may be circumstances where we have to transfer your personal data outside of the EEA. This can include, for example, where suppliers who need the data are based outside of the EEA or because other companies within our group are based outside of the EEA and require the information for reporting and legal reasons.</w:t>
      </w:r>
    </w:p>
    <w:p>
      <w:r>
        <w:t>In such circumstances we will only ever send your data outside of the EEA where we have ensured that the third party, we are sending it to will adequately safeguard the data in accordance with this policy and the Act.</w:t>
      </w:r>
    </w:p>
    <w:p>
      <w:r>
        <w:t>The identity of such third parties, together with the data they are processing on our behalf, is outlined in the Intragen Information Asset Register.</w:t>
      </w:r>
    </w:p>
    <w:p>
      <w:pPr>
        <w:pStyle w:val="Heading1"/>
      </w:pPr>
      <w:bookmarkStart w:id="6" w:name="scroll-bookmark-7"/>
      <w:bookmarkEnd w:id="6"/>
      <w:bookmarkStart w:id="7" w:name="scroll-bookmark-8"/>
      <w:r>
        <w:t>3 Lawful Reasons for Processing</w:t>
      </w:r>
      <w:bookmarkEnd w:id="7"/>
    </w:p>
    <w:p>
      <w:r>
        <w:t>As your employer we hold a variety of information about you in our systems. This data includes but is not limited to your name and address, salary details, bank details, date of birth, age, sex, next of kin, sickness records, medical reports, and details of criminal convictions. This information will only be used in order that we can monitor our compliance with the law and best practice in areas such as recruitment, equal opportunity, pay and benefits, administration, performance appraisal and disciplinary matters. If your personal information changes, you should let us know so that our records can be updated. Your personal data is available to view on BambooHR; please ensure that you regularly review it to ensure its accuracy and inform HR if you require any of the data to be updated.</w:t>
      </w:r>
    </w:p>
    <w:p>
      <w:r>
        <w:t>It is a requirement under the Act that we have a lawful reason for processing personal data about you. The lawful reasons for processing are as follows:</w:t>
      </w:r>
    </w:p>
    <w:p>
      <w:pPr>
        <w:numPr>
          <w:ilvl w:val="0"/>
          <w:numId w:val="2"/>
        </w:numPr>
      </w:pPr>
      <w:r>
        <w:t>Consent – where the data subject has given us explicit, informed, and unambiguous consent to process their data.</w:t>
      </w:r>
    </w:p>
    <w:p>
      <w:pPr>
        <w:numPr>
          <w:ilvl w:val="0"/>
          <w:numId w:val="2"/>
        </w:numPr>
      </w:pPr>
      <w:r>
        <w:t>Contractual Obligations – where we are required to process personal data pursuant to a contractual obligation, we have with the data subject.</w:t>
      </w:r>
    </w:p>
    <w:p>
      <w:pPr>
        <w:numPr>
          <w:ilvl w:val="0"/>
          <w:numId w:val="2"/>
        </w:numPr>
      </w:pPr>
      <w:r>
        <w:t>Legal Obligations – where we are required to process personal data pursuant to a legal obligation, we have to a third party or the data subject.</w:t>
      </w:r>
    </w:p>
    <w:p>
      <w:pPr>
        <w:numPr>
          <w:ilvl w:val="0"/>
          <w:numId w:val="2"/>
        </w:numPr>
      </w:pPr>
      <w:r>
        <w:t>Vital Interests – where we have to process personal data in situations where it is necessary to do so to protect the data subject’s vital interests (including health and wellbeing).</w:t>
      </w:r>
    </w:p>
    <w:p>
      <w:pPr>
        <w:numPr>
          <w:ilvl w:val="0"/>
          <w:numId w:val="2"/>
        </w:numPr>
      </w:pPr>
      <w:r>
        <w:t>Public Task – where we process personal data to allow us to perform a task that is in the public’s interest.</w:t>
      </w:r>
    </w:p>
    <w:p>
      <w:pPr>
        <w:numPr>
          <w:ilvl w:val="0"/>
          <w:numId w:val="2"/>
        </w:numPr>
      </w:pPr>
      <w:r>
        <w:t>Legitimate Interests – where we wish to process your personal data and doing so is in our, or a third party’s, legitimate interest</w:t>
      </w:r>
    </w:p>
    <w:p>
      <w:r>
        <w:t>As an employee we have a variety of legal obligations to you, as well as to a variety of government organisations and we are required to process certain personal data to ensure we comply with these obligations. We are, therefore, processing our employees’ personal data using the lawful bases of ‘Contractual Obligations’ and ‘Legal Obligations’ and, on occasion, ‘Legitimate Interests’.</w:t>
      </w:r>
    </w:p>
    <w:p>
      <w:r>
        <w:t>In addition, some data is referred to in the Act and GDPR as special category personal data. This means personal data comprising information relating to:</w:t>
      </w:r>
    </w:p>
    <w:p>
      <w:pPr>
        <w:numPr>
          <w:ilvl w:val="0"/>
          <w:numId w:val="3"/>
        </w:numPr>
      </w:pPr>
      <w:r>
        <w:t>Race or ethnic origin</w:t>
      </w:r>
    </w:p>
    <w:p>
      <w:pPr>
        <w:numPr>
          <w:ilvl w:val="0"/>
          <w:numId w:val="3"/>
        </w:numPr>
      </w:pPr>
      <w:r>
        <w:t>Political opinions</w:t>
      </w:r>
    </w:p>
    <w:p>
      <w:pPr>
        <w:numPr>
          <w:ilvl w:val="0"/>
          <w:numId w:val="3"/>
        </w:numPr>
      </w:pPr>
      <w:r>
        <w:t>Trade Union membership</w:t>
      </w:r>
    </w:p>
    <w:p>
      <w:pPr>
        <w:numPr>
          <w:ilvl w:val="0"/>
          <w:numId w:val="3"/>
        </w:numPr>
      </w:pPr>
      <w:r>
        <w:t>Religious or other beliefs</w:t>
      </w:r>
    </w:p>
    <w:p>
      <w:pPr>
        <w:numPr>
          <w:ilvl w:val="0"/>
          <w:numId w:val="3"/>
        </w:numPr>
      </w:pPr>
      <w:r>
        <w:t>Physical or mental health or condition</w:t>
      </w:r>
    </w:p>
    <w:p>
      <w:pPr>
        <w:numPr>
          <w:ilvl w:val="0"/>
          <w:numId w:val="3"/>
        </w:numPr>
      </w:pPr>
      <w:r>
        <w:t>Sexual life</w:t>
      </w:r>
    </w:p>
    <w:p>
      <w:pPr>
        <w:numPr>
          <w:ilvl w:val="0"/>
          <w:numId w:val="3"/>
        </w:numPr>
      </w:pPr>
      <w:r>
        <w:t>Genetic or biometric data</w:t>
      </w:r>
    </w:p>
    <w:p>
      <w:pPr>
        <w:numPr>
          <w:ilvl w:val="0"/>
          <w:numId w:val="3"/>
        </w:numPr>
      </w:pPr>
      <w:r>
        <w:t>Criminal offences both committed and alleged</w:t>
      </w:r>
    </w:p>
    <w:p>
      <w:r>
        <w:t xml:space="preserve">We do </w:t>
      </w:r>
      <w:r>
        <w:rPr>
          <w:b/>
          <w:i/>
        </w:rPr>
        <w:t>not</w:t>
      </w:r>
      <w:r>
        <w:rPr>
          <w:i/>
        </w:rPr>
        <w:t xml:space="preserve"> </w:t>
      </w:r>
      <w:r>
        <w:t>hold or process this data as standard; but in some circumstances, where the law allows and a necessary exception is required, we may have to hold, and process, special category data about you. This will be, for example, information about your physical or mental health in order to monitor sick leave and take decisions about your fitness for work and your racial or ethnic origin, or religious or similar beliefs, in order to monitor compliance with equal opportunities legislation.</w:t>
      </w:r>
    </w:p>
    <w:p>
      <w:r>
        <w:t>In addition, there may be limited situations where we process information relating to your criminal record. This may include, for example, undertaking criminal records and/or DBS/ VOG checks against employees.</w:t>
      </w:r>
    </w:p>
    <w:p>
      <w:r>
        <w:t>Where we undertake criminal records and/or DBS/ VOG checks it will only be because the role you are working in requires us to do so. We will not retain information relating to any specific allegations or convictions of any employee.</w:t>
      </w:r>
    </w:p>
    <w:p>
      <w:r>
        <w:t>In both of these circumstances the lawful basis for processing is slightly different. When processing this special category personal data, including criminal record information, we will rely upon the lawful bases of ‘Consent’ (only for medical information that you voluntarily provide to us), ‘Legal Obligations’ and ‘Vital Interests’.</w:t>
      </w:r>
    </w:p>
    <w:p>
      <w:r>
        <w:t>No matter what kind of personal data we hold about you (whether special category or otherwise) we will only hold the minimum amount of data that we require to comply with our obligations, and it will only be retained for as long as it is required to enable us to comply with our legal obligations. After this time, it will be permanently deleted. All data is retained in accordance with our Data Retention Policy, a copy of which is available on BambooHR.</w:t>
      </w:r>
    </w:p>
    <w:p>
      <w:r>
        <w:t>Finally, there may be situations where we have to pass certain personal data regarding our employees to third parties. This may include, for example, passing information to our accountants and/or professional advisers to enable them to best advise us in relation to a specific matter. In such circumstances, we will only pass the minimum amount of information that is required to enable those advisers to provide us with the advice required. The lawful basis for this processing will be ‘Legitimate Interests’. We have a legitimate interest in passing your information to such third parties but will ensure at all times that your rights are not infringed in any way and that the personal data we transfer is kept secure and only used for the purpose for which it was provided.</w:t>
      </w:r>
    </w:p>
    <w:p>
      <w:pPr>
        <w:pStyle w:val="Heading2"/>
      </w:pPr>
      <w:bookmarkStart w:id="8" w:name="scroll-bookmark-9"/>
      <w:bookmarkEnd w:id="8"/>
      <w:bookmarkStart w:id="9" w:name="scroll-bookmark-10"/>
      <w:r>
        <w:t>3.1 Your Rights in Respect of Your Personal Information</w:t>
      </w:r>
      <w:bookmarkEnd w:id="9"/>
    </w:p>
    <w:p>
      <w:r>
        <w:t>Under the Act and GDPR, you have the right to find out what personal information we hold about you, and to ask for a copy of that personal data. You also have the right to demand that any inaccurate data be corrected or removed and to seek compensation where you suffer damage or distress as a result of any breach of the Act by the Company.</w:t>
      </w:r>
    </w:p>
    <w:p>
      <w:r>
        <w:t>You have the right on request to:</w:t>
      </w:r>
    </w:p>
    <w:p>
      <w:pPr>
        <w:numPr>
          <w:ilvl w:val="0"/>
          <w:numId w:val="4"/>
        </w:numPr>
      </w:pPr>
      <w:r>
        <w:t>Be told by the Company whether and for what purpose personal data about you is being processed.</w:t>
      </w:r>
    </w:p>
    <w:p>
      <w:pPr>
        <w:numPr>
          <w:ilvl w:val="0"/>
          <w:numId w:val="4"/>
        </w:numPr>
      </w:pPr>
      <w:r>
        <w:t>Be given a description of the personal data concerned and the recipients to whom it is or may be disclosed.</w:t>
      </w:r>
    </w:p>
    <w:p>
      <w:pPr>
        <w:numPr>
          <w:ilvl w:val="0"/>
          <w:numId w:val="4"/>
        </w:numPr>
      </w:pPr>
      <w:r>
        <w:t>Have communicated in an intelligible form the personal data concerned, and any information available to the Company as to the source of the data.</w:t>
      </w:r>
    </w:p>
    <w:p>
      <w:pPr>
        <w:numPr>
          <w:ilvl w:val="0"/>
          <w:numId w:val="4"/>
        </w:numPr>
      </w:pPr>
      <w:r>
        <w:t>Be informed in certain circumstances of the logic involved in computerised decision-making.</w:t>
      </w:r>
    </w:p>
    <w:p>
      <w:r>
        <w:t>A request for access to any personal data that relates to you should be made in writing to your manager and should specify what personal data your request relates to. The Company also reserves the right to make further enquiries of you in order to satisfy ourselves as to your identity and to help us locate the personal data that you have requested.</w:t>
      </w:r>
    </w:p>
    <w:p>
      <w:r>
        <w:t>Upon receipt of a request, it is our policy to provide copies of all personal data that we are obliged to disclose within one month of your request being received. We consider that if a period of less than 6 months has elapsed since any previous request for access to your personal data was complied with, it is not reasonable to expect us to be obliged to comply with a further request unless there are exceptional circumstances.</w:t>
      </w:r>
    </w:p>
    <w:p>
      <w:r>
        <w:t>Should you wish to bring any inaccuracy in disclosed data to our attention you must do so to your Manager, or the Data Champion outlined in section 1 of this Data Protection Policy. It is the Company’s policy to ensure that all data is as accurate as possible, and all necessary steps will be taken to ensure that this is the case and to rectify any inaccuracies.</w:t>
      </w:r>
    </w:p>
    <w:p>
      <w:r>
        <w:t>Where we have requested a reference in confidence from a referee and that reference has been given on terms that it is confidential and that the person giving it wishes that it should not be disclosed to you, it is our policy that it would not normally be reasonable to disclose such a reference to you unless the consent of the person who gave the reference is first obtained. In any event, we will only retain such references for the same length of time as the probation period outlined in your contract of employment (including any extension to this period). After this time, they will be deleted.</w:t>
      </w:r>
    </w:p>
    <w:p>
      <w:r>
        <w:t>We reserve the right not to disclose to you any management forecasts or management planning documentation, including documents setting out the Company’s plans for your future development and progress. We will also not disclose to you any information that contains personal data of any other person.</w:t>
      </w:r>
    </w:p>
    <w:p>
      <w:r>
        <w:t>In addition to the specific rights outlined above, the Act also provides you with a number of other rights. However, whether or not you can exercise these rights depends entirely upon the lawful basis under which the personal data is being processed. The additional rights you may have are:</w:t>
      </w:r>
    </w:p>
    <w:p>
      <w:pPr>
        <w:numPr>
          <w:ilvl w:val="0"/>
          <w:numId w:val="5"/>
        </w:numPr>
      </w:pPr>
      <w:r>
        <w:t>The Right to Erasure – this gives you the right to have all personal data held about you deleted in its entirety.</w:t>
      </w:r>
    </w:p>
    <w:p>
      <w:pPr>
        <w:numPr>
          <w:ilvl w:val="0"/>
          <w:numId w:val="5"/>
        </w:numPr>
      </w:pPr>
      <w:r>
        <w:t>The Right to Portability – this gives you the right to have all personal data held about you transferred to you, or to a third party of your election.</w:t>
      </w:r>
    </w:p>
    <w:p>
      <w:pPr>
        <w:numPr>
          <w:ilvl w:val="0"/>
          <w:numId w:val="5"/>
        </w:numPr>
      </w:pPr>
      <w:r>
        <w:t>The Right to Object – this gives you the right to object to us processing your personal data in the way in which we are processing it.</w:t>
      </w:r>
    </w:p>
    <w:p>
      <w:r>
        <w:t>The table below outlines your rights, and which can be exercised depending upon the lawful basis under which we are processing your personal data.</w:t>
      </w:r>
    </w:p>
    <w:p>
      <w:pPr>
        <w:jc w:val="left"/>
      </w:pPr>
      <w:r>
        <w:drawing>
          <wp:inline>
            <wp:extent cx="5731510" cy="1175474"/>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5731510" cy="1175474"/>
                    </a:xfrm>
                    <a:prstGeom prst="rect">
                      <a:avLst/>
                    </a:prstGeom>
                  </pic:spPr>
                </pic:pic>
              </a:graphicData>
            </a:graphic>
          </wp:inline>
        </w:drawing>
      </w:r>
    </w:p>
    <w:p>
      <w:r>
        <w:t>*This does not change your right to withdraw consent to us processing your personal data where we are relying upon consent as the lawful basis.</w:t>
      </w:r>
    </w:p>
    <w:p>
      <w:r>
        <w:t>If you have any questions regarding which rights, you have in respect of the personal data we hold and process about you please speak to your manager who will be able to assist.</w:t>
      </w:r>
    </w:p>
    <w:p>
      <w:r>
        <w:t>If you believe that we have not handled any complaints relating to your personal data appropriately, you can contact the local Country government office responsible who will be able to guide you as to your options should you wish to pursue the matter further.</w:t>
      </w:r>
    </w:p>
    <w:p>
      <w:pPr>
        <w:pStyle w:val="Heading2"/>
      </w:pPr>
      <w:bookmarkStart w:id="10" w:name="scroll-bookmark-11"/>
      <w:bookmarkEnd w:id="10"/>
      <w:bookmarkStart w:id="11" w:name="scroll-bookmark-12"/>
      <w:r>
        <w:t>3.2 Your Obligations in Relation to Personal Information</w:t>
      </w:r>
      <w:bookmarkEnd w:id="11"/>
    </w:p>
    <w:p>
      <w:r>
        <w:t>You must comply with the following requirements at all times:</w:t>
      </w:r>
    </w:p>
    <w:p>
      <w:pPr>
        <w:numPr>
          <w:ilvl w:val="0"/>
          <w:numId w:val="6"/>
        </w:numPr>
      </w:pPr>
      <w:r>
        <w:t>Do not give out confidential personal information except to the data subject. In particular, it should not be given to someone, either accidentally or otherwise, from the same family or to any other unauthorised third party unless the data subject has given their explicit consent to this.</w:t>
      </w:r>
    </w:p>
    <w:p>
      <w:pPr>
        <w:numPr>
          <w:ilvl w:val="0"/>
          <w:numId w:val="6"/>
        </w:numPr>
      </w:pPr>
      <w:r>
        <w:t>Be aware that those seeking information sometimes use deception in order to gain access to it. Always verify the identity of the data subject and the legitimacy of the request, particularly before releasing personal information by telephone.</w:t>
      </w:r>
    </w:p>
    <w:p>
      <w:pPr>
        <w:numPr>
          <w:ilvl w:val="0"/>
          <w:numId w:val="6"/>
        </w:numPr>
      </w:pPr>
      <w:r>
        <w:t>Only transmit personal information between locations by email if a secure network is in place, for example, encryption is used for email.</w:t>
      </w:r>
    </w:p>
    <w:p>
      <w:pPr>
        <w:numPr>
          <w:ilvl w:val="0"/>
          <w:numId w:val="6"/>
        </w:numPr>
      </w:pPr>
      <w:r>
        <w:t>If you receive a request for personal information about another employee, you should forward this to your manager.</w:t>
      </w:r>
    </w:p>
    <w:p>
      <w:pPr>
        <w:numPr>
          <w:ilvl w:val="0"/>
          <w:numId w:val="6"/>
        </w:numPr>
      </w:pPr>
      <w:r>
        <w:t>Ensure that any personal data which you hold is kept securely, either in a locked filing cabinet or, if it is computerised, it is password protected.</w:t>
      </w:r>
    </w:p>
    <w:p>
      <w:pPr>
        <w:numPr>
          <w:ilvl w:val="0"/>
          <w:numId w:val="6"/>
        </w:numPr>
      </w:pPr>
      <w:r>
        <w:t>Do not include personal data in any email addressed to a recipient outside the European Economic Area (EEA) without their prior explicit consent. Note: the EEA comprises Member States of the European Union plus Iceland, Liechtenstein, and Norway.</w:t>
      </w:r>
    </w:p>
    <w:p>
      <w:pPr>
        <w:numPr>
          <w:ilvl w:val="0"/>
          <w:numId w:val="6"/>
        </w:numPr>
      </w:pPr>
      <w:r>
        <w:t>Do not store, or transmit, any personal data relating to any employee of the Company on any personal devices or via methods of transmission (i.e., emails or portable hard drives) that are not supplied to you by the Company for this purpose.</w:t>
      </w:r>
    </w:p>
    <w:p>
      <w:pPr>
        <w:numPr>
          <w:ilvl w:val="0"/>
          <w:numId w:val="6"/>
        </w:numPr>
      </w:pPr>
      <w:r>
        <w:t>Do not remove any hard copy documents containing personal data from the office without good cause. If you do need to take away hard copy documents containing personal data, it is your responsibility to ensure it is kept secure and is not lost or disclosed to any third party who should not have access to it. All such information must be returned as soon as the purpose for which it was needed has expired.</w:t>
      </w:r>
    </w:p>
    <w:p>
      <w:pPr>
        <w:pStyle w:val="Heading2"/>
      </w:pPr>
      <w:bookmarkStart w:id="12" w:name="scroll-bookmark-13"/>
      <w:bookmarkEnd w:id="12"/>
      <w:bookmarkStart w:id="13" w:name="scroll-bookmark-14"/>
      <w:r>
        <w:t>3.3 Automated Decision-Making</w:t>
      </w:r>
      <w:bookmarkEnd w:id="13"/>
    </w:p>
    <w:p>
      <w:r>
        <w:t>Automated decision-making occurs when an electronic system uses data to make a decision without any human intervention. We may use automated decision-making in the following circumstances:</w:t>
      </w:r>
    </w:p>
    <w:p>
      <w:pPr>
        <w:numPr>
          <w:ilvl w:val="0"/>
          <w:numId w:val="7"/>
        </w:numPr>
      </w:pPr>
      <w:r>
        <w:t>Where it is necessary to perform the contract of employment and we have put appropriate measures in place to safeguard your rights.</w:t>
      </w:r>
    </w:p>
    <w:p>
      <w:pPr>
        <w:numPr>
          <w:ilvl w:val="0"/>
          <w:numId w:val="7"/>
        </w:numPr>
      </w:pPr>
      <w:r>
        <w:t>With your explicit consent and where we have put appropriate measures in place to safeguard your rights.</w:t>
      </w:r>
    </w:p>
    <w:p>
      <w:r>
        <w:t>You will not be subject to decisions that will have a significant impact on you based solely on automated decision-making unless we have a lawful basis for doing so and we have notified you of this fact.</w:t>
      </w:r>
    </w:p>
    <w:p>
      <w:r>
        <w:t>If you have any concerns at all regarding your obligations under the Act, or to the Company, please raise them with your manager in the first instance before undertaking any course of action (including sending out information in any format). Your manager will then determine, with the guidance of others within the Company, if necessary, what you are required to do.</w:t>
      </w:r>
    </w:p>
    <w:sectPr>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9"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endnote w:type="separator" w:id="0">
    <w:p w:rsidR="00403830" w14:paraId="60C72BDA" w14:textId="77777777">
      <w:pPr>
        <w:spacing w:before="0" w:after="0" w:line="240" w:lineRule="auto"/>
      </w:pPr>
      <w:r>
        <w:separator/>
      </w:r>
    </w:p>
  </w:endnote>
  <w:endnote w:type="continuationSeparator" w:id="1">
    <w:p w:rsidR="00403830" w14:paraId="582A824D"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SemiBold">
    <w:panose1 w:val="00000000000000000000"/>
    <w:charset w:val="00"/>
    <w:family w:val="swiss"/>
    <w:pitch w:val="variable"/>
    <w:sig w:usb0="E00002EF" w:usb1="4000205B" w:usb2="00000028"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2BBB013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6B80" w14:paraId="34FD1F23" w14:textId="359CB49C">
    <w:pPr>
      <w:pStyle w:val="FooterPageNumber"/>
      <w:ind w:right="-680"/>
    </w:pPr>
    <w:r>
      <w:rPr>
        <w:noProof/>
      </w:rPr>
      <mc:AlternateContent>
        <mc:Choice Requires="wps">
          <w:drawing>
            <wp:anchor distT="0" distB="0" distL="114300" distR="114300" simplePos="0" relativeHeight="251659264" behindDoc="0" locked="0" layoutInCell="1" allowOverlap="1">
              <wp:simplePos x="0" y="0"/>
              <wp:positionH relativeFrom="page">
                <wp:posOffset>6791325</wp:posOffset>
              </wp:positionH>
              <wp:positionV relativeFrom="paragraph">
                <wp:posOffset>163830</wp:posOffset>
              </wp:positionV>
              <wp:extent cx="229870" cy="0"/>
              <wp:effectExtent l="0" t="0" r="0" b="0"/>
              <wp:wrapTopAndBottom/>
              <wp:docPr id="2115328983" name="Text 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229870" cy="0"/>
                      </a:xfrm>
                      <a:prstGeom prst="rect">
                        <a:avLst/>
                      </a:prstGeom>
                      <a:ln>
                        <a:noFill/>
                        <a:prstDash val="solid"/>
                      </a:ln>
                    </wps:spPr>
                    <wps:txbx>
                      <w:txbxContent>
                        <w:p w:rsidR="003F6B80" w:rsidP="00424F77" w14:textId="77777777">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wrap="square" lIns="0" tIns="0" rIns="0" bIns="0">
                      <a:sp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1" o:spid="_x0000_s2049" type="#_x0000_t202" style="width:18.1pt;height:0;margin-top:12.9pt;margin-left:534.75pt;mso-position-horizontal-relative:page;mso-width-percent:0;mso-width-relative:margin;mso-wrap-distance-bottom:0;mso-wrap-distance-left:9pt;mso-wrap-distance-right:9pt;mso-wrap-distance-top:0;position:absolute;v-text-anchor:top;z-index:251658240" fillcolor="this" stroked="f">
              <v:textbox style="mso-fit-shape-to-text:t" inset="0,0,0,0">
                <w:txbxContent>
                  <w:p w:rsidR="003F6B80" w:rsidP="00424F77" w14:paraId="094BA6CF" w14:textId="77777777">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topAndBottom"/>
            </v:shape>
          </w:pict>
        </mc:Fallback>
      </mc:AlternateContent>
    </w:r>
    <w:r>
      <w:t>This document may be reproduced for use within the circulated parties but remains copyright</w:t>
    </w:r>
  </w:p>
  <w:p w:rsidR="003F6B80" w14:paraId="6DA054E2" w14:textId="717F2433">
    <w:pPr>
      <w:pStyle w:val="FooterPageNumber"/>
      <w:ind w:right="-680"/>
    </w:pPr>
    <w:r>
      <w:t xml:space="preserve">of </w:t>
    </w:r>
    <w:r>
      <w:t>Intragen</w:t>
    </w:r>
    <w:r>
      <w:t xml:space="preserve"> International. All documents remain strictly private and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5E667F2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403830" w14:paraId="503B332D" w14:textId="77777777">
      <w:pPr>
        <w:spacing w:before="0" w:after="0" w:line="240" w:lineRule="auto"/>
      </w:pPr>
      <w:r>
        <w:rPr>
          <w:color w:val="000000"/>
        </w:rPr>
        <w:separator/>
      </w:r>
    </w:p>
  </w:footnote>
  <w:footnote w:type="continuationSeparator" w:id="1">
    <w:p w:rsidR="00403830" w14:paraId="1CC9E4BF"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6506143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6B80" w14:paraId="6CD660EE" w14:textId="77777777">
    <w:pPr>
      <w:pStyle w:val="Header"/>
    </w:pPr>
    <w:r>
      <w:rPr>
        <w:noProof/>
      </w:rPr>
      <w:drawing>
        <wp:anchor distT="0" distB="0" distL="114300" distR="114300" simplePos="0" relativeHeight="251658240" behindDoc="0" locked="0" layoutInCell="1" allowOverlap="1">
          <wp:simplePos x="0" y="0"/>
          <wp:positionH relativeFrom="margin">
            <wp:posOffset>4724403</wp:posOffset>
          </wp:positionH>
          <wp:positionV relativeFrom="margin">
            <wp:posOffset>-655323</wp:posOffset>
          </wp:positionV>
          <wp:extent cx="1104266" cy="441326"/>
          <wp:effectExtent l="0" t="0" r="634" b="0"/>
          <wp:wrapSquare wrapText="bothSides"/>
          <wp:docPr id="1455490342" name="Picture 1" descr="A black background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1455490342" name=""/>
                  <pic:cNvPicPr/>
                </pic:nvPicPr>
                <pic:blipFill>
                  <a:blip xmlns:r="http://schemas.openxmlformats.org/officeDocument/2006/relationships" r:embed="rId1"/>
                  <a:stretch>
                    <a:fillRect/>
                  </a:stretch>
                </pic:blipFill>
                <pic:spPr>
                  <a:xfrm>
                    <a:off x="0" y="0"/>
                    <a:ext cx="1104266" cy="441326"/>
                  </a:xfrm>
                  <a:prstGeom prst="rect">
                    <a:avLst/>
                  </a:prstGeom>
                  <a:noFill/>
                  <a:ln>
                    <a:noFill/>
                    <a:prstDash val="solid"/>
                  </a:ln>
                </pic:spPr>
              </pic:pic>
            </a:graphicData>
          </a:graphic>
        </wp:anchor>
      </w:drawing>
    </w:r>
  </w:p>
  <w:p w:rsidR="003F6B80" w14:paraId="77516D37"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2B28DFB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autoHyphenation/>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59C"/>
    <w:rsid w:val="00265A68"/>
    <w:rsid w:val="00306BEF"/>
    <w:rsid w:val="003F6B80"/>
    <w:rsid w:val="00403830"/>
    <w:rsid w:val="00424F77"/>
    <w:rsid w:val="0078259C"/>
    <w:rsid w:val="00B62F47"/>
    <w:rsid w:val="00BF23CD"/>
  </w:rsids>
  <m:mathPr>
    <m:mathFont m:val="Cambria Math"/>
  </m:mathPr>
  <w:clrSchemeMapping w:bg1="light1" w:t1="dark1" w:bg2="light2" w:t2="dark2" w:accent1="accent1" w:accent2="accent2" w:accent3="accent3" w:accent4="accent4" w:accent5="accent5" w:accent6="accent6" w:hyperlink="hyperlink" w:followedHyperlink="followedHyperlink"/>
  <w14:docId w14:val="504B0030"/>
  <w15:docId w15:val="{8E683DE1-21A5-4595-97C1-2390152AF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Times New Roman" w:hAnsi="Aptos" w:cs="Times New Roman"/>
        <w:sz w:val="22"/>
        <w:szCs w:val="22"/>
        <w:lang w:val="en-GB" w:eastAsia="en-US" w:bidi="ar-SA"/>
      </w:rPr>
    </w:rPrDefault>
    <w:pPrDefault>
      <w:pPr>
        <w:autoSpaceDN w:val="0"/>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rPr>
      <w:sz w:val="20"/>
      <w:szCs w:val="20"/>
    </w:rPr>
  </w:style>
  <w:style w:type="paragraph" w:styleId="Heading1">
    <w:name w:val="heading 1"/>
    <w:basedOn w:val="Normal"/>
    <w:next w:val="Normal"/>
    <w:uiPriority w:val="9"/>
    <w:qFormat/>
    <w:pPr>
      <w:pBdr>
        <w:top w:val="single" w:sz="24" w:space="0" w:color="88397D"/>
        <w:left w:val="single" w:sz="24" w:space="0" w:color="88397D"/>
        <w:bottom w:val="single" w:sz="24" w:space="0" w:color="88397D"/>
        <w:right w:val="single" w:sz="24" w:space="0" w:color="88397D"/>
      </w:pBdr>
      <w:shd w:val="clear" w:color="auto" w:fill="88397D"/>
      <w:spacing w:after="0"/>
      <w:outlineLvl w:val="0"/>
    </w:pPr>
    <w:rPr>
      <w:b/>
      <w:bCs/>
      <w:caps/>
      <w:color w:val="FCF9F1"/>
      <w:spacing w:val="15"/>
      <w:sz w:val="22"/>
      <w:szCs w:val="22"/>
    </w:rPr>
  </w:style>
  <w:style w:type="paragraph" w:styleId="Heading2">
    <w:name w:val="heading 2"/>
    <w:basedOn w:val="Normal"/>
    <w:next w:val="Normal"/>
    <w:uiPriority w:val="9"/>
    <w:semiHidden/>
    <w:unhideWhenUsed/>
    <w:qFormat/>
    <w:pPr>
      <w:pBdr>
        <w:top w:val="single" w:sz="24" w:space="0" w:color="ECD2E8"/>
        <w:left w:val="single" w:sz="24" w:space="0" w:color="ECD2E8"/>
        <w:bottom w:val="single" w:sz="24" w:space="0" w:color="ECD2E8"/>
        <w:right w:val="single" w:sz="24" w:space="0" w:color="ECD2E8"/>
      </w:pBdr>
      <w:shd w:val="clear" w:color="auto" w:fill="ECD2E8"/>
      <w:spacing w:after="0"/>
      <w:outlineLvl w:val="1"/>
    </w:pPr>
    <w:rPr>
      <w:caps/>
      <w:spacing w:val="15"/>
      <w:sz w:val="22"/>
      <w:szCs w:val="22"/>
    </w:rPr>
  </w:style>
  <w:style w:type="paragraph" w:styleId="Heading3">
    <w:name w:val="heading 3"/>
    <w:basedOn w:val="Normal"/>
    <w:next w:val="Normal"/>
    <w:uiPriority w:val="9"/>
    <w:semiHidden/>
    <w:unhideWhenUsed/>
    <w:qFormat/>
    <w:pPr>
      <w:pBdr>
        <w:top w:val="single" w:sz="6" w:space="2" w:color="88397D"/>
        <w:left w:val="single" w:sz="6" w:space="2" w:color="88397D"/>
      </w:pBdr>
      <w:spacing w:before="300" w:after="0"/>
      <w:outlineLvl w:val="2"/>
    </w:pPr>
    <w:rPr>
      <w:caps/>
      <w:color w:val="431C3D"/>
      <w:spacing w:val="15"/>
      <w:sz w:val="22"/>
      <w:szCs w:val="22"/>
    </w:rPr>
  </w:style>
  <w:style w:type="paragraph" w:styleId="Heading4">
    <w:name w:val="heading 4"/>
    <w:basedOn w:val="Normal"/>
    <w:next w:val="Normal"/>
    <w:uiPriority w:val="9"/>
    <w:semiHidden/>
    <w:unhideWhenUsed/>
    <w:qFormat/>
    <w:pPr>
      <w:pBdr>
        <w:top w:val="dotted" w:sz="6" w:space="2" w:color="88397D"/>
        <w:left w:val="dotted" w:sz="6" w:space="2" w:color="88397D"/>
      </w:pBdr>
      <w:spacing w:before="300" w:after="0"/>
      <w:outlineLvl w:val="3"/>
    </w:pPr>
    <w:rPr>
      <w:caps/>
      <w:color w:val="652A5D"/>
      <w:spacing w:val="10"/>
      <w:sz w:val="22"/>
      <w:szCs w:val="22"/>
    </w:rPr>
  </w:style>
  <w:style w:type="paragraph" w:styleId="Heading5">
    <w:name w:val="heading 5"/>
    <w:basedOn w:val="Normal"/>
    <w:next w:val="Normal"/>
    <w:uiPriority w:val="9"/>
    <w:semiHidden/>
    <w:unhideWhenUsed/>
    <w:qFormat/>
    <w:pPr>
      <w:pBdr>
        <w:bottom w:val="single" w:sz="6" w:space="1" w:color="88397D"/>
      </w:pBdr>
      <w:spacing w:before="300" w:after="0"/>
      <w:outlineLvl w:val="4"/>
    </w:pPr>
    <w:rPr>
      <w:caps/>
      <w:color w:val="652A5D"/>
      <w:spacing w:val="10"/>
      <w:sz w:val="22"/>
      <w:szCs w:val="22"/>
    </w:rPr>
  </w:style>
  <w:style w:type="paragraph" w:styleId="Heading6">
    <w:name w:val="heading 6"/>
    <w:basedOn w:val="Normal"/>
    <w:next w:val="Normal"/>
    <w:uiPriority w:val="9"/>
    <w:semiHidden/>
    <w:unhideWhenUsed/>
    <w:qFormat/>
    <w:pPr>
      <w:pBdr>
        <w:bottom w:val="dotted" w:sz="6" w:space="1" w:color="88397D"/>
      </w:pBdr>
      <w:spacing w:before="300" w:after="0"/>
      <w:outlineLvl w:val="5"/>
    </w:pPr>
    <w:rPr>
      <w:caps/>
      <w:color w:val="652A5D"/>
      <w:spacing w:val="10"/>
      <w:sz w:val="22"/>
      <w:szCs w:val="22"/>
    </w:rPr>
  </w:style>
  <w:style w:type="paragraph" w:styleId="Heading7">
    <w:name w:val="heading 7"/>
    <w:basedOn w:val="Normal"/>
    <w:next w:val="Normal"/>
    <w:pPr>
      <w:spacing w:before="300" w:after="0"/>
      <w:outlineLvl w:val="6"/>
    </w:pPr>
    <w:rPr>
      <w:caps/>
      <w:color w:val="652A5D"/>
      <w:spacing w:val="10"/>
      <w:sz w:val="22"/>
      <w:szCs w:val="22"/>
    </w:rPr>
  </w:style>
  <w:style w:type="paragraph" w:styleId="Heading8">
    <w:name w:val="heading 8"/>
    <w:basedOn w:val="Normal"/>
    <w:next w:val="Normal"/>
    <w:pPr>
      <w:spacing w:before="300" w:after="0"/>
      <w:outlineLvl w:val="7"/>
    </w:pPr>
    <w:rPr>
      <w:caps/>
      <w:spacing w:val="10"/>
      <w:sz w:val="18"/>
      <w:szCs w:val="18"/>
    </w:rPr>
  </w:style>
  <w:style w:type="paragraph" w:styleId="Heading9">
    <w:name w:val="heading 9"/>
    <w:basedOn w:val="Normal"/>
    <w:next w:val="Normal"/>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b/>
      <w:bCs/>
      <w:caps/>
      <w:color w:val="FCF9F1"/>
      <w:spacing w:val="15"/>
      <w:shd w:val="clear" w:color="auto" w:fill="88397D"/>
    </w:rPr>
  </w:style>
  <w:style w:type="character" w:customStyle="1" w:styleId="Heading2Char">
    <w:name w:val="Heading 2 Char"/>
    <w:basedOn w:val="DefaultParagraphFont"/>
    <w:rPr>
      <w:caps/>
      <w:spacing w:val="15"/>
      <w:shd w:val="clear" w:color="auto" w:fill="ECD2E8"/>
    </w:rPr>
  </w:style>
  <w:style w:type="character" w:customStyle="1" w:styleId="Heading3Char">
    <w:name w:val="Heading 3 Char"/>
    <w:basedOn w:val="DefaultParagraphFont"/>
    <w:rPr>
      <w:caps/>
      <w:color w:val="431C3D"/>
      <w:spacing w:val="15"/>
    </w:rPr>
  </w:style>
  <w:style w:type="character" w:customStyle="1" w:styleId="Heading4Char">
    <w:name w:val="Heading 4 Char"/>
    <w:basedOn w:val="DefaultParagraphFont"/>
    <w:rPr>
      <w:caps/>
      <w:color w:val="652A5D"/>
      <w:spacing w:val="10"/>
    </w:rPr>
  </w:style>
  <w:style w:type="character" w:customStyle="1" w:styleId="Heading5Char">
    <w:name w:val="Heading 5 Char"/>
    <w:basedOn w:val="DefaultParagraphFont"/>
    <w:rPr>
      <w:caps/>
      <w:color w:val="652A5D"/>
      <w:spacing w:val="10"/>
    </w:rPr>
  </w:style>
  <w:style w:type="character" w:customStyle="1" w:styleId="Heading6Char">
    <w:name w:val="Heading 6 Char"/>
    <w:basedOn w:val="DefaultParagraphFont"/>
    <w:rPr>
      <w:caps/>
      <w:color w:val="652A5D"/>
      <w:spacing w:val="10"/>
    </w:rPr>
  </w:style>
  <w:style w:type="character" w:customStyle="1" w:styleId="Heading7Char">
    <w:name w:val="Heading 7 Char"/>
    <w:basedOn w:val="DefaultParagraphFont"/>
    <w:rPr>
      <w:caps/>
      <w:color w:val="652A5D"/>
      <w:spacing w:val="10"/>
    </w:rPr>
  </w:style>
  <w:style w:type="character" w:customStyle="1" w:styleId="Heading8Char">
    <w:name w:val="Heading 8 Char"/>
    <w:basedOn w:val="DefaultParagraphFont"/>
    <w:rPr>
      <w:caps/>
      <w:spacing w:val="10"/>
      <w:sz w:val="18"/>
      <w:szCs w:val="18"/>
    </w:rPr>
  </w:style>
  <w:style w:type="character" w:customStyle="1" w:styleId="Heading9Char">
    <w:name w:val="Heading 9 Char"/>
    <w:basedOn w:val="DefaultParagraphFont"/>
    <w:rPr>
      <w:i/>
      <w:caps/>
      <w:spacing w:val="10"/>
      <w:sz w:val="18"/>
      <w:szCs w:val="18"/>
    </w:rPr>
  </w:style>
  <w:style w:type="paragraph" w:styleId="Title">
    <w:name w:val="Title"/>
    <w:basedOn w:val="Normal"/>
    <w:next w:val="Normal"/>
    <w:uiPriority w:val="10"/>
    <w:qFormat/>
    <w:pPr>
      <w:spacing w:before="720"/>
    </w:pPr>
    <w:rPr>
      <w:caps/>
      <w:color w:val="88397D"/>
      <w:spacing w:val="10"/>
      <w:kern w:val="3"/>
      <w:sz w:val="52"/>
      <w:szCs w:val="52"/>
    </w:rPr>
  </w:style>
  <w:style w:type="character" w:customStyle="1" w:styleId="TitleChar">
    <w:name w:val="Title Char"/>
    <w:basedOn w:val="DefaultParagraphFont"/>
    <w:rPr>
      <w:caps/>
      <w:color w:val="88397D"/>
      <w:spacing w:val="10"/>
      <w:kern w:val="3"/>
      <w:sz w:val="52"/>
      <w:szCs w:val="52"/>
    </w:rPr>
  </w:style>
  <w:style w:type="paragraph" w:styleId="Subtitle">
    <w:name w:val="Subtitle"/>
    <w:basedOn w:val="Normal"/>
    <w:next w:val="Normal"/>
    <w:uiPriority w:val="11"/>
    <w:qFormat/>
    <w:pPr>
      <w:spacing w:after="1000" w:line="240" w:lineRule="auto"/>
    </w:pPr>
    <w:rPr>
      <w:caps/>
      <w:color w:val="5D7070"/>
      <w:spacing w:val="10"/>
      <w:sz w:val="24"/>
      <w:szCs w:val="24"/>
    </w:rPr>
  </w:style>
  <w:style w:type="character" w:customStyle="1" w:styleId="SubtitleChar">
    <w:name w:val="Subtitle Char"/>
    <w:basedOn w:val="DefaultParagraphFont"/>
    <w:rPr>
      <w:caps/>
      <w:color w:val="5D7070"/>
      <w:spacing w:val="10"/>
      <w:sz w:val="24"/>
      <w:szCs w:val="24"/>
    </w:rPr>
  </w:style>
  <w:style w:type="paragraph" w:styleId="Quote">
    <w:name w:val="Quote"/>
    <w:basedOn w:val="Normal"/>
    <w:next w:val="Normal"/>
    <w:rPr>
      <w:i/>
      <w:iCs/>
    </w:rPr>
  </w:style>
  <w:style w:type="character" w:customStyle="1" w:styleId="QuoteChar">
    <w:name w:val="Quote Char"/>
    <w:basedOn w:val="DefaultParagraphFont"/>
    <w:rPr>
      <w:i/>
      <w:iCs/>
      <w:sz w:val="20"/>
      <w:szCs w:val="20"/>
    </w:rPr>
  </w:style>
  <w:style w:type="paragraph" w:styleId="ListParagraph">
    <w:name w:val="List Paragraph"/>
    <w:basedOn w:val="Normal"/>
    <w:pPr>
      <w:ind w:left="720"/>
      <w:contextualSpacing/>
    </w:pPr>
  </w:style>
  <w:style w:type="character" w:styleId="IntenseEmphasis">
    <w:name w:val="Intense Emphasis"/>
    <w:rPr>
      <w:b/>
      <w:bCs/>
      <w:caps/>
      <w:color w:val="431C3D"/>
      <w:spacing w:val="10"/>
    </w:rPr>
  </w:style>
  <w:style w:type="paragraph" w:styleId="IntenseQuote">
    <w:name w:val="Intense Quote"/>
    <w:basedOn w:val="Normal"/>
    <w:next w:val="Normal"/>
    <w:pPr>
      <w:pBdr>
        <w:top w:val="single" w:sz="4" w:space="10" w:color="88397D"/>
        <w:left w:val="single" w:sz="4" w:space="10" w:color="88397D"/>
      </w:pBdr>
      <w:spacing w:after="0"/>
      <w:ind w:left="1296" w:right="1152"/>
      <w:jc w:val="both"/>
    </w:pPr>
    <w:rPr>
      <w:i/>
      <w:iCs/>
      <w:color w:val="88397D"/>
    </w:rPr>
  </w:style>
  <w:style w:type="character" w:customStyle="1" w:styleId="IntenseQuoteChar">
    <w:name w:val="Intense Quote Char"/>
    <w:basedOn w:val="DefaultParagraphFont"/>
    <w:rPr>
      <w:i/>
      <w:iCs/>
      <w:color w:val="88397D"/>
      <w:sz w:val="20"/>
      <w:szCs w:val="20"/>
    </w:rPr>
  </w:style>
  <w:style w:type="character" w:styleId="IntenseReference">
    <w:name w:val="Intense Reference"/>
    <w:rPr>
      <w:b/>
      <w:bCs/>
      <w:i/>
      <w:iCs/>
      <w:caps/>
      <w:color w:val="88397D"/>
    </w:rPr>
  </w:style>
  <w:style w:type="paragraph" w:styleId="NoSpacing">
    <w:name w:val="No Spacing"/>
    <w:basedOn w:val="Normal"/>
    <w:pPr>
      <w:spacing w:before="0" w:after="0" w:line="240" w:lineRule="auto"/>
    </w:pPr>
  </w:style>
  <w:style w:type="paragraph" w:customStyle="1" w:styleId="Style1">
    <w:name w:val="Style1"/>
    <w:basedOn w:val="Heading3"/>
    <w:rPr>
      <w:color w:val="141818"/>
    </w:rPr>
  </w:style>
  <w:style w:type="paragraph" w:styleId="TOCHeading">
    <w:name w:val="TOC Heading"/>
    <w:basedOn w:val="Heading1"/>
    <w:next w:val="Normal"/>
  </w:style>
  <w:style w:type="paragraph" w:styleId="BlockText">
    <w:name w:val="Block Text"/>
    <w:basedOn w:val="Normal"/>
    <w:pPr>
      <w:pBdr>
        <w:top w:val="single" w:sz="2" w:space="10" w:color="41919B" w:shadow="1"/>
        <w:left w:val="single" w:sz="2" w:space="10" w:color="41919B" w:shadow="1"/>
        <w:bottom w:val="single" w:sz="2" w:space="10" w:color="41919B" w:shadow="1"/>
        <w:right w:val="single" w:sz="2" w:space="10" w:color="41919B" w:shadow="1"/>
      </w:pBdr>
      <w:ind w:left="1152" w:right="1152"/>
    </w:pPr>
    <w:rPr>
      <w:i/>
      <w:iCs/>
      <w:color w:val="41919B"/>
    </w:rPr>
  </w:style>
  <w:style w:type="paragraph" w:styleId="Caption">
    <w:name w:val="caption"/>
    <w:basedOn w:val="Normal"/>
    <w:next w:val="Normal"/>
    <w:rPr>
      <w:b/>
      <w:bCs/>
      <w:color w:val="652A5D"/>
      <w:sz w:val="16"/>
      <w:szCs w:val="16"/>
    </w:rPr>
  </w:style>
  <w:style w:type="character" w:styleId="Strong">
    <w:name w:val="Strong"/>
    <w:rPr>
      <w:b/>
      <w:bCs/>
    </w:rPr>
  </w:style>
  <w:style w:type="character" w:styleId="Emphasis">
    <w:name w:val="Emphasis"/>
    <w:rPr>
      <w:caps/>
      <w:color w:val="431C3D"/>
      <w:spacing w:val="5"/>
    </w:rPr>
  </w:style>
  <w:style w:type="character" w:customStyle="1" w:styleId="NoSpacingChar">
    <w:name w:val="No Spacing Char"/>
    <w:basedOn w:val="DefaultParagraphFont"/>
    <w:rPr>
      <w:sz w:val="20"/>
      <w:szCs w:val="20"/>
    </w:rPr>
  </w:style>
  <w:style w:type="character" w:styleId="SubtleEmphasis">
    <w:name w:val="Subtle Emphasis"/>
    <w:rPr>
      <w:i/>
      <w:iCs/>
      <w:color w:val="431C3D"/>
    </w:rPr>
  </w:style>
  <w:style w:type="character" w:styleId="SubtleReference">
    <w:name w:val="Subtle Reference"/>
    <w:rPr>
      <w:b/>
      <w:bCs/>
      <w:color w:val="88397D"/>
    </w:rPr>
  </w:style>
  <w:style w:type="character" w:styleId="BookTitle">
    <w:name w:val="Book Title"/>
    <w:rPr>
      <w:b/>
      <w:bCs/>
      <w:i/>
      <w:iCs/>
      <w:spacing w:val="9"/>
    </w:rPr>
  </w:style>
  <w:style w:type="paragraph" w:styleId="Header">
    <w:name w:val="header"/>
    <w:basedOn w:val="Normal"/>
    <w:pPr>
      <w:tabs>
        <w:tab w:val="center" w:pos="4513"/>
        <w:tab w:val="right" w:pos="9026"/>
      </w:tabs>
      <w:spacing w:before="0" w:after="0" w:line="240" w:lineRule="auto"/>
    </w:pPr>
  </w:style>
  <w:style w:type="character" w:customStyle="1" w:styleId="HeaderChar">
    <w:name w:val="Header Char"/>
    <w:basedOn w:val="DefaultParagraphFont"/>
    <w:rPr>
      <w:sz w:val="20"/>
      <w:szCs w:val="20"/>
    </w:rPr>
  </w:style>
  <w:style w:type="paragraph" w:styleId="Footer">
    <w:name w:val="footer"/>
    <w:basedOn w:val="Normal"/>
    <w:pPr>
      <w:tabs>
        <w:tab w:val="center" w:pos="4513"/>
        <w:tab w:val="right" w:pos="9026"/>
      </w:tabs>
      <w:spacing w:before="0" w:after="0" w:line="240" w:lineRule="auto"/>
    </w:pPr>
  </w:style>
  <w:style w:type="character" w:customStyle="1" w:styleId="FooterChar">
    <w:name w:val="Footer Char"/>
    <w:basedOn w:val="DefaultParagraphFont"/>
    <w:rPr>
      <w:sz w:val="20"/>
      <w:szCs w:val="20"/>
    </w:rPr>
  </w:style>
  <w:style w:type="paragraph" w:customStyle="1" w:styleId="TableHeading">
    <w:name w:val="Table Heading"/>
    <w:basedOn w:val="Normal"/>
    <w:pPr>
      <w:spacing w:before="0" w:after="40" w:line="192" w:lineRule="auto"/>
    </w:pPr>
    <w:rPr>
      <w:rFonts w:ascii="Aptos Display" w:eastAsia="Aptos" w:hAnsi="Aptos Display" w:cs="Open Sans SemiBold"/>
      <w:caps/>
      <w:vanish/>
      <w:color w:val="88397D"/>
      <w:spacing w:val="-10"/>
      <w:sz w:val="26"/>
      <w:szCs w:val="26"/>
      <w:lang w:eastAsia="ja-JP"/>
    </w:rPr>
  </w:style>
  <w:style w:type="paragraph" w:customStyle="1" w:styleId="TableText">
    <w:name w:val="Table Text"/>
    <w:basedOn w:val="Normal"/>
    <w:pPr>
      <w:spacing w:before="0" w:after="0" w:line="192" w:lineRule="auto"/>
    </w:pPr>
    <w:rPr>
      <w:rFonts w:ascii="Open Sans" w:eastAsia="Aptos" w:hAnsi="Open Sans" w:cs="Open Sans SemiBold"/>
      <w:color w:val="141818"/>
      <w:sz w:val="22"/>
      <w:szCs w:val="22"/>
      <w:lang w:eastAsia="ja-JP"/>
    </w:rPr>
  </w:style>
  <w:style w:type="character" w:customStyle="1" w:styleId="TableHeadingChar">
    <w:name w:val="Table Heading Char"/>
    <w:basedOn w:val="DefaultParagraphFont"/>
    <w:rPr>
      <w:rFonts w:ascii="Aptos Display" w:eastAsia="Aptos" w:hAnsi="Aptos Display" w:cs="Open Sans SemiBold"/>
      <w:caps/>
      <w:vanish/>
      <w:color w:val="88397D"/>
      <w:spacing w:val="-10"/>
      <w:sz w:val="26"/>
      <w:szCs w:val="26"/>
      <w:lang w:eastAsia="ja-JP"/>
    </w:rPr>
  </w:style>
  <w:style w:type="character" w:styleId="Hyperlink">
    <w:name w:val="Hyperlink"/>
    <w:basedOn w:val="DefaultParagraphFont"/>
    <w:rPr>
      <w:color w:val="7D6C77"/>
      <w:u w:val="single"/>
    </w:rPr>
  </w:style>
  <w:style w:type="character" w:styleId="UnresolvedMention">
    <w:name w:val="Unresolved Mention"/>
    <w:basedOn w:val="DefaultParagraphFont"/>
    <w:rPr>
      <w:color w:val="605E5C"/>
      <w:shd w:val="clear" w:color="auto" w:fill="E1DFDD"/>
    </w:rPr>
  </w:style>
  <w:style w:type="character" w:styleId="PageNumber">
    <w:name w:val="page number"/>
    <w:basedOn w:val="DefaultParagraphFont"/>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00"/>
    </w:pPr>
  </w:style>
  <w:style w:type="paragraph" w:styleId="TOC3">
    <w:name w:val="toc 3"/>
    <w:basedOn w:val="Normal"/>
    <w:next w:val="Normal"/>
    <w:autoRedefine/>
    <w:pPr>
      <w:spacing w:after="100"/>
      <w:ind w:left="400"/>
    </w:pPr>
  </w:style>
  <w:style w:type="paragraph" w:customStyle="1" w:styleId="FooterPageNumber">
    <w:name w:val="Footer_PageNumber"/>
    <w:basedOn w:val="Footer"/>
  </w:style>
  <w:style w:type="character" w:styleId="FollowedHyperlink">
    <w:name w:val="FollowedHyperlink"/>
    <w:basedOn w:val="DefaultParagraphFont"/>
    <w:rPr>
      <w:color w:val="41919B"/>
      <w:u w:val="single"/>
    </w:rPr>
  </w:style>
  <w:style w:type="table" w:customStyle="1" w:styleId="ScrollCode">
    <w:name w:val="Scroll Code"/>
    <w:basedOn w:val="TableNormal"/>
    <w:uiPriority w:val="99"/>
    <w:qFormat/>
    <w:rsid w:val="00AD7224"/>
    <w:pPr>
      <w:spacing w:after="0"/>
      <w:ind w:left="173" w:right="259"/>
    </w:pPr>
    <w:rPr>
      <w:rFonts w:ascii="Courier New" w:hAnsi="Courier New"/>
      <w:sz w:val="18"/>
    </w:rPr>
    <w:tblPr>
      <w:tblCellSpacing w:w="0" w:type="dxa"/>
      <w:tblInd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TableNormal">
    <w:name w:val="Scroll Table Normal"/>
    <w:basedOn w:val="TableNormal"/>
    <w:uiPriority w:val="99"/>
    <w:qFormat/>
    <w:rsid w:val="00E868FB"/>
    <w:pPr>
      <w:spacing w:after="120"/>
    </w:pPr>
    <w:tblPr>
      <w:tblInd w:w="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b/>
        <w:color w:val="00000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rPr>
    </w:tblStylePr>
  </w:style>
  <w:style w:type="table" w:customStyle="1" w:styleId="ScrollQuote">
    <w:name w:val="Scroll Quote"/>
    <w:basedOn w:val="TableNormal"/>
    <w:uiPriority w:val="99"/>
    <w:qFormat/>
    <w:rsid w:val="00F93E63"/>
    <w:pPr>
      <w:spacing w:after="0"/>
      <w:ind w:left="173" w:right="259"/>
    </w:pPr>
    <w:rPr>
      <w:i/>
    </w:rPr>
    <w:tblPr>
      <w:tblInd w:w="0" w:type="dxa"/>
      <w:tblCellMar>
        <w:top w:w="0" w:type="dxa"/>
        <w:left w:w="58" w:type="dxa"/>
        <w:bottom w:w="0" w:type="dxa"/>
        <w:right w:w="58" w:type="dxa"/>
      </w:tblCellMar>
    </w:tblPr>
    <w:tblStylePr w:type="firstCol">
      <w:tblPr/>
      <w:tcPr>
        <w:tcBorders>
          <w:left w:val="single" w:sz="4" w:space="0" w:color="6199C9"/>
        </w:tcBorders>
      </w:tcPr>
    </w:tblStylePr>
  </w:style>
  <w:style w:type="table" w:styleId="TableGrid">
    <w:name w:val="Table Grid"/>
    <w:basedOn w:val="TableNormal"/>
    <w:uiPriority w:val="59"/>
    <w:rsid w:val="00E868FB"/>
    <w:pPr>
      <w:spacing w:after="0"/>
    </w:pPr>
    <w:tblPr>
      <w:tblInd w:w="0" w:type="dxa"/>
      <w:tblCellMar>
        <w:top w:w="0" w:type="dxa"/>
        <w:left w:w="108" w:type="dxa"/>
        <w:bottom w:w="0" w:type="dxa"/>
        <w:right w:w="108" w:type="dxa"/>
      </w:tblCellMar>
    </w:tblPr>
  </w:style>
  <w:style w:type="table" w:customStyle="1" w:styleId="ScrollSectionColumn">
    <w:name w:val="Scroll Section Column"/>
    <w:basedOn w:val="TableNormal"/>
    <w:uiPriority w:val="99"/>
    <w:rsid w:val="00E868FB"/>
    <w:pPr>
      <w:spacing w:after="0"/>
    </w:pPr>
    <w:tblPr>
      <w:tblInd w:w="0" w:type="dxa"/>
      <w:tblCellMar>
        <w:top w:w="0" w:type="dxa"/>
        <w:left w:w="108" w:type="dxa"/>
        <w:bottom w:w="0" w:type="dxa"/>
        <w:right w:w="108" w:type="dxa"/>
      </w:tblCellMar>
    </w:tblPr>
  </w:style>
  <w:style w:type="table" w:customStyle="1" w:styleId="ScrollTip">
    <w:name w:val="Scroll Tip"/>
    <w:basedOn w:val="TableNormal"/>
    <w:uiPriority w:val="99"/>
    <w:qFormat/>
    <w:rsid w:val="0099620C"/>
    <w:pPr>
      <w:spacing w:after="0"/>
      <w:ind w:left="173" w:right="259"/>
    </w:pPr>
    <w:tblPr>
      <w:tblInd w:w="0" w:type="dxa"/>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spacing w:after="0"/>
      <w:ind w:left="173" w:right="259"/>
    </w:pPr>
    <w:tblPr>
      <w:tblInd w:w="0" w:type="dxa"/>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Info">
    <w:name w:val="Scroll Info"/>
    <w:basedOn w:val="TableNormal"/>
    <w:uiPriority w:val="99"/>
    <w:qFormat/>
    <w:rsid w:val="00F93E63"/>
    <w:pPr>
      <w:spacing w:after="0"/>
      <w:ind w:left="173" w:right="259"/>
    </w:pPr>
    <w:tblPr>
      <w:tblInd w:w="0" w:type="dxa"/>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 w:type="table" w:customStyle="1" w:styleId="ScrollPanel">
    <w:name w:val="Scroll Panel"/>
    <w:basedOn w:val="TableNormal"/>
    <w:uiPriority w:val="99"/>
    <w:qFormat/>
    <w:rsid w:val="00F93E63"/>
    <w:pPr>
      <w:spacing w:after="0"/>
      <w:ind w:left="173" w:right="259"/>
    </w:pPr>
    <w:tblPr>
      <w:tblInd w:w="0" w:type="dxa"/>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spacing w:after="0"/>
      <w:ind w:left="173" w:right="259"/>
    </w:pPr>
    <w:tblPr>
      <w:tblInd w:w="0" w:type="dxa"/>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footer" Target="footer3.xml"/><Relationship Id="rId8"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ettings" Target="settings.xml"/><Relationship Id="rId12" Type="http://schemas.openxmlformats.org/officeDocument/2006/relationships/header" Target="header3.xml"/><Relationship Id="rId7" Type="http://schemas.openxmlformats.org/officeDocument/2006/relationships/image" Target="media/image1.png"/><Relationship Id="rId17" Type="http://schemas.openxmlformats.org/officeDocument/2006/relationships/customXml" Target="../customXml/item1.xml"/><Relationship Id="rId16" Type="http://schemas.openxmlformats.org/officeDocument/2006/relationships/styles" Target="styles.xml"/><Relationship Id="rId2" Type="http://schemas.openxmlformats.org/officeDocument/2006/relationships/endnotes" Target="endnotes.xml"/><Relationship Id="rId1" Type="http://schemas.openxmlformats.org/officeDocument/2006/relationships/footnotes" Target="footnotes.xml"/><Relationship Id="rId11" Type="http://schemas.openxmlformats.org/officeDocument/2006/relationships/footer" Target="footer2.xml"/><Relationship Id="rId6" Type="http://schemas.openxmlformats.org/officeDocument/2006/relationships/hyperlink" Target="mailto:dataprotection@intragen.com" TargetMode="External"/><Relationship Id="rId15" Type="http://schemas.openxmlformats.org/officeDocument/2006/relationships/numbering" Target="numbering.xml"/><Relationship Id="rId5"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customXml" Target="../customXml/item3.xml"/><Relationship Id="rId1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Relationships xmlns="http://schemas.openxmlformats.org/package/2006/relationships"><Relationship Id="rId1" Type="http://schemas.openxmlformats.org/officeDocument/2006/relationships/image" Target="media/image2.png"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SimoM&#228;kinen\Documents\Work\Intragen\Brand%202024\Scroll%20templates\Project%20proposal%20template%20(print%20friendly)%20v1%20Nov%20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328AD42FD288418B79FB3CA73B6ECE" ma:contentTypeVersion="4" ma:contentTypeDescription="Create a new document." ma:contentTypeScope="" ma:versionID="30f74bbb528fc850d8489e9a27ce1906">
  <xsd:schema xmlns:xsd="http://www.w3.org/2001/XMLSchema" xmlns:xs="http://www.w3.org/2001/XMLSchema" xmlns:p="http://schemas.microsoft.com/office/2006/metadata/properties" xmlns:ns2="d9af016e-bcc4-414d-a316-362381f618fa" targetNamespace="http://schemas.microsoft.com/office/2006/metadata/properties" ma:root="true" ma:fieldsID="581af5bf5b98fb1e6ad4506a2f6b92c2" ns2:_="">
    <xsd:import namespace="d9af016e-bcc4-414d-a316-362381f618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af016e-bcc4-414d-a316-362381f618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A16052-C173-47DE-B545-3B5C144081EE}"/>
</file>

<file path=customXml/itemProps2.xml><?xml version="1.0" encoding="utf-8"?>
<ds:datastoreItem xmlns:ds="http://schemas.openxmlformats.org/officeDocument/2006/customXml" ds:itemID="{BD6868F5-35D7-4097-804B-ACF28E5AA08D}"/>
</file>

<file path=customXml/itemProps3.xml><?xml version="1.0" encoding="utf-8"?>
<ds:datastoreItem xmlns:ds="http://schemas.openxmlformats.org/officeDocument/2006/customXml" ds:itemID="{3381F6E8-A85E-409A-A316-0D06047B8BDC}"/>
</file>

<file path=docProps/app.xml><?xml version="1.0" encoding="utf-8"?>
<Properties xmlns="http://schemas.openxmlformats.org/officeDocument/2006/extended-properties" xmlns:vt="http://schemas.openxmlformats.org/officeDocument/2006/docPropsVTypes">
  <Template>Project proposal template (print friendly) v1 Nov 2024</Template>
  <TotalTime>2</TotalTime>
  <Pages>8</Pages>
  <Words>0</Words>
  <Characters>0</Characters>
  <Application>Microsoft Office Word</Application>
  <DocSecurity>0</DocSecurity>
  <Lines>0</Lines>
  <Paragraphs>0</Paragraphs>
  <ScaleCrop>false</ScaleCrop>
  <Company>Intragen</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Aliine Huopainen</dc:creator>
  <cp:lastModifiedBy>Scroll Word Exporter / K15t GmbH</cp:lastModifiedBy>
  <cp:revision>3</cp:revision>
  <dcterms:created xsi:type="dcterms:W3CDTF">2025-05-21T10:55:50Z</dcterms:created>
  <dcterms:modified xsi:type="dcterms:W3CDTF">2025-05-21T10:55:50Z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0x010100E6328AD42FD288418B79FB3CA73B6ECE</vt:lpwstr>
  </property>
  <property fmtid="{D5CDD505-2E9C-101B-9397-08002B2CF9AE}" pid="3" name="Generator">
    <vt:lpwstr>Scroll Word Exporter / K15t GmbH</vt:lpwstr>
  </property>
</Properties>
</file>