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Information Security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V.2.3</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ITSEC-98</w:t>
            </w:r>
          </w:p>
        </w:tc>
      </w:tr>
    </w:tbl>
    <w:p w:rsidR="0078259C">
      <w:pPr>
        <w:pStyle w:val="Heading1"/>
        <w:rPr>
          <w:lang w:val="sv-SE"/>
        </w:rPr>
      </w:pPr>
      <w:bookmarkStart w:id="2" w:name="scroll-bookmark-3"/>
      <w:bookmarkEnd w:id="2"/>
      <w:bookmarkStart w:id="3" w:name="scroll-bookmark-4"/>
      <w:r>
        <w:rPr>
          <w:lang w:val="sv-SE"/>
        </w:rPr>
        <w:t>1 Introduction</w:t>
      </w:r>
      <w:bookmarkEnd w:id="3"/>
    </w:p>
    <w:p w:rsidR="0078259C">
      <w:pPr>
        <w:rPr>
          <w:lang w:val="sv-SE"/>
        </w:rPr>
      </w:pPr>
      <w:r>
        <w:rPr>
          <w:lang w:val="sv-SE"/>
        </w:rPr>
        <w:t>Intragen has an extensive and robust Information Security Program that consists of a vast array of policies, procedures, controls, and measures. This Information Security Policy is the foundation of this program and ties together all other policies as they relate to information security and data protection.</w:t>
      </w:r>
    </w:p>
    <w:p w:rsidR="0078259C">
      <w:pPr>
        <w:rPr>
          <w:lang w:val="sv-SE"/>
        </w:rPr>
      </w:pPr>
      <w:r>
        <w:rPr>
          <w:lang w:val="sv-SE"/>
        </w:rPr>
        <w:t>This policy covers all aspects of how we identify, secure, manage, use, and dispose of information and physical assets as well as acceptable use protocols, remote access, passwords and encryptions. To ensure that the importance of each information security area is not missed or vague, we use separate policies and procedures for each information security area and, where applicable, reference these external policies in this document.</w:t>
      </w:r>
    </w:p>
    <w:p w:rsidR="0078259C">
      <w:pPr>
        <w:pStyle w:val="Heading1"/>
        <w:rPr>
          <w:lang w:val="sv-SE"/>
        </w:rPr>
      </w:pPr>
      <w:bookmarkStart w:id="4" w:name="scroll-bookmark-5"/>
      <w:bookmarkEnd w:id="4"/>
      <w:bookmarkStart w:id="5" w:name="scroll-bookmark-6"/>
      <w:r>
        <w:rPr>
          <w:lang w:val="sv-SE"/>
        </w:rPr>
        <w:t>2 Objectives</w:t>
      </w:r>
      <w:bookmarkEnd w:id="5"/>
    </w:p>
    <w:p w:rsidR="0078259C">
      <w:pPr>
        <w:rPr>
          <w:lang w:val="sv-SE"/>
        </w:rPr>
      </w:pPr>
      <w:r>
        <w:rPr>
          <w:lang w:val="sv-SE"/>
        </w:rPr>
        <w:t>The Company has adopted the below set of principles and objectives to outline and underpin this policy and any associated information security procedures: -</w:t>
      </w:r>
    </w:p>
    <w:p w:rsidR="0078259C">
      <w:pPr>
        <w:numPr>
          <w:ilvl w:val="0"/>
          <w:numId w:val="1"/>
        </w:numPr>
        <w:rPr>
          <w:lang w:val="sv-SE"/>
        </w:rPr>
      </w:pPr>
      <w:r>
        <w:rPr>
          <w:lang w:val="sv-SE"/>
        </w:rPr>
        <w:t>Information will be protected in line with our data protection and security policies and the associated regulations and legislation, notably those relating to data protection, human rights, and the Freedom of Information Act</w:t>
      </w:r>
    </w:p>
    <w:p w:rsidR="0078259C">
      <w:pPr>
        <w:numPr>
          <w:ilvl w:val="0"/>
          <w:numId w:val="1"/>
        </w:numPr>
        <w:rPr>
          <w:lang w:val="sv-SE"/>
        </w:rPr>
      </w:pPr>
      <w:r>
        <w:rPr>
          <w:lang w:val="sv-SE"/>
        </w:rPr>
        <w:t>All information assets will be documented on an Information Asset Register (IAR) and will be assigned a nominated owner who will be responsible for defining the appropriate uses of the asset and ensuring that appropriate security measures are in place to protect it</w:t>
      </w:r>
    </w:p>
    <w:p w:rsidR="0078259C">
      <w:pPr>
        <w:numPr>
          <w:ilvl w:val="0"/>
          <w:numId w:val="1"/>
        </w:numPr>
        <w:rPr>
          <w:lang w:val="sv-SE"/>
        </w:rPr>
      </w:pPr>
      <w:r>
        <w:rPr>
          <w:lang w:val="sv-SE"/>
        </w:rPr>
        <w:t>All information will be classified according to an appropriate level of security and will only be made available solely to those who have a legitimate need for access and who are authorised to do so</w:t>
      </w:r>
    </w:p>
    <w:p w:rsidR="0078259C">
      <w:pPr>
        <w:numPr>
          <w:ilvl w:val="0"/>
          <w:numId w:val="1"/>
        </w:numPr>
        <w:rPr>
          <w:lang w:val="sv-SE"/>
        </w:rPr>
      </w:pPr>
      <w:r>
        <w:rPr>
          <w:lang w:val="sv-SE"/>
        </w:rPr>
        <w:t>It is the responsibility of all individuals who have been granted access to any personal or confidential information to handle it appropriately in accordance with its classification and the data protection principles</w:t>
      </w:r>
    </w:p>
    <w:p w:rsidR="0078259C">
      <w:pPr>
        <w:numPr>
          <w:ilvl w:val="0"/>
          <w:numId w:val="1"/>
        </w:numPr>
        <w:rPr>
          <w:lang w:val="sv-SE"/>
        </w:rPr>
      </w:pPr>
      <w:r>
        <w:rPr>
          <w:lang w:val="sv-SE"/>
        </w:rPr>
        <w:t>Information will be protected against unauthorised access, and we will use encryption methods set out in the above objectives in this policy</w:t>
      </w:r>
    </w:p>
    <w:p w:rsidR="0078259C">
      <w:pPr>
        <w:numPr>
          <w:ilvl w:val="0"/>
          <w:numId w:val="1"/>
        </w:numPr>
        <w:rPr>
          <w:lang w:val="sv-SE"/>
        </w:rPr>
      </w:pPr>
      <w:r>
        <w:rPr>
          <w:lang w:val="sv-SE"/>
        </w:rPr>
        <w:t>Compliance with this and associated policies will be enforced and failure to follow will result in disciplinary action</w:t>
      </w:r>
    </w:p>
    <w:p w:rsidR="0078259C">
      <w:pPr>
        <w:pStyle w:val="Heading1"/>
        <w:rPr>
          <w:lang w:val="sv-SE"/>
        </w:rPr>
      </w:pPr>
      <w:bookmarkStart w:id="6" w:name="scroll-bookmark-7"/>
      <w:bookmarkEnd w:id="6"/>
      <w:bookmarkStart w:id="7" w:name="scroll-bookmark-8"/>
      <w:r>
        <w:rPr>
          <w:lang w:val="sv-SE"/>
        </w:rPr>
        <w:t>3 Security Classification</w:t>
      </w:r>
      <w:bookmarkEnd w:id="7"/>
    </w:p>
    <w:p w:rsidR="0078259C">
      <w:pPr>
        <w:rPr>
          <w:lang w:val="sv-SE"/>
        </w:rPr>
      </w:pPr>
      <w:r>
        <w:rPr>
          <w:lang w:val="sv-SE"/>
        </w:rPr>
        <w:t>Each information asset will be assigned as a sensitive or non-sensitive classification by the asset owner or ISMS Manager, which will reflect the sensitivity of the asset. These classifications will be listed on the Information Asset Register.</w:t>
      </w:r>
    </w:p>
    <w:p w:rsidR="0078259C">
      <w:pPr>
        <w:pStyle w:val="Heading1"/>
        <w:rPr>
          <w:lang w:val="sv-SE"/>
        </w:rPr>
      </w:pPr>
      <w:bookmarkStart w:id="8" w:name="scroll-bookmark-9"/>
      <w:bookmarkEnd w:id="8"/>
      <w:bookmarkStart w:id="9" w:name="scroll-bookmark-10"/>
      <w:r>
        <w:rPr>
          <w:lang w:val="sv-SE"/>
        </w:rPr>
        <w:t>4 Access to Information</w:t>
      </w:r>
      <w:bookmarkEnd w:id="9"/>
    </w:p>
    <w:p w:rsidR="0078259C">
      <w:pPr>
        <w:rPr>
          <w:lang w:val="sv-SE"/>
        </w:rPr>
      </w:pPr>
      <w:r>
        <w:rPr>
          <w:lang w:val="sv-SE"/>
        </w:rPr>
        <w:t>Employees will only be granted access to the information that they need to fulfil their role within the organisation. Employees who have been granted access must not pass on information to others unless they have also been granted access through appropriate authorisation. Refer to the Company's Access Control &amp; Password Policy for more information.</w:t>
      </w:r>
    </w:p>
    <w:p w:rsidR="0078259C">
      <w:pPr>
        <w:pStyle w:val="Heading1"/>
        <w:rPr>
          <w:lang w:val="sv-SE"/>
        </w:rPr>
      </w:pPr>
      <w:bookmarkStart w:id="10" w:name="scroll-bookmark-11"/>
      <w:bookmarkEnd w:id="10"/>
      <w:bookmarkStart w:id="11" w:name="scroll-bookmark-12"/>
      <w:r>
        <w:rPr>
          <w:lang w:val="sv-SE"/>
        </w:rPr>
        <w:t>5 Secure Disposal of Information</w:t>
      </w:r>
      <w:bookmarkEnd w:id="11"/>
    </w:p>
    <w:p w:rsidR="0078259C">
      <w:pPr>
        <w:rPr>
          <w:lang w:val="sv-SE"/>
        </w:rPr>
      </w:pPr>
      <w:r>
        <w:rPr>
          <w:lang w:val="sv-SE"/>
        </w:rPr>
        <w:t>Care needs to be taken to ensure that information assets are disposed of safely and securely and confidential paper waste must be disposed of in accordance with relevant procedures on secure waste disposal. Where an external shredding service provider is employed, secure paper disposal bins are in each office and used in all instances of confidential paper disposal.</w:t>
      </w:r>
    </w:p>
    <w:p w:rsidR="0078259C">
      <w:pPr>
        <w:rPr>
          <w:lang w:val="sv-SE"/>
        </w:rPr>
      </w:pPr>
      <w:r>
        <w:rPr>
          <w:lang w:val="sv-SE"/>
        </w:rPr>
        <w:t>Electronic information must be securely erased or otherwise rendered inaccessible before leaving the Company's possession, unless the disposal is undertaken under contract by an approved disposal contractor. In cases where a storage system (for example a computer disc) is required to be returned to a supplier, it should be securely erased before being returned unless contractual arrangements are in place with the supplier which guarantee the secure handling of the returned equipment. Refer to the Company's Data Retention Policy for more information.</w:t>
      </w:r>
    </w:p>
    <w:p w:rsidR="0078259C">
      <w:pPr>
        <w:pStyle w:val="Heading1"/>
        <w:rPr>
          <w:lang w:val="sv-SE"/>
        </w:rPr>
      </w:pPr>
      <w:bookmarkStart w:id="12" w:name="scroll-bookmark-13"/>
      <w:bookmarkEnd w:id="12"/>
      <w:bookmarkStart w:id="13" w:name="scroll-bookmark-14"/>
      <w:r>
        <w:rPr>
          <w:lang w:val="sv-SE"/>
        </w:rPr>
        <w:t>6 Information on Desks, Screens and Printers</w:t>
      </w:r>
      <w:bookmarkEnd w:id="13"/>
    </w:p>
    <w:p w:rsidR="0078259C">
      <w:pPr>
        <w:rPr>
          <w:lang w:val="sv-SE"/>
        </w:rPr>
      </w:pPr>
      <w:r>
        <w:rPr>
          <w:lang w:val="sv-SE"/>
        </w:rPr>
        <w:t>Employees who handle confidential paper documents should take the appropriate measures to protect against unauthorised disclosure, particularly when they are away from their desks. Confidential documents should be locked away overnight, at weekends and at other unattended times.</w:t>
      </w:r>
    </w:p>
    <w:p w:rsidR="0078259C">
      <w:pPr>
        <w:rPr>
          <w:lang w:val="sv-SE"/>
        </w:rPr>
      </w:pPr>
      <w:r>
        <w:rPr>
          <w:lang w:val="sv-SE"/>
        </w:rPr>
        <w:t>Care should also be taken when printing confidential documents to prevent unauthorised disclosure. Computer screens on which confidential or sensitive information is processed or viewed should be sited in such a way that they cannot be viewed by unauthorised persons and all computers should be locked while unattended. Refer to our Clear Desk &amp; Screen Policy for more information.</w:t>
      </w:r>
    </w:p>
    <w:p w:rsidR="0078259C">
      <w:pPr>
        <w:pStyle w:val="Heading1"/>
        <w:rPr>
          <w:lang w:val="sv-SE"/>
        </w:rPr>
      </w:pPr>
      <w:bookmarkStart w:id="14" w:name="scroll-bookmark-15"/>
      <w:bookmarkEnd w:id="14"/>
      <w:bookmarkStart w:id="15" w:name="scroll-bookmark-16"/>
      <w:r>
        <w:rPr>
          <w:lang w:val="sv-SE"/>
        </w:rPr>
        <w:t>7 Data Encryption</w:t>
      </w:r>
      <w:bookmarkEnd w:id="15"/>
    </w:p>
    <w:p w:rsidR="0078259C">
      <w:pPr>
        <w:rPr>
          <w:lang w:val="sv-SE"/>
        </w:rPr>
      </w:pPr>
      <w:r>
        <w:rPr>
          <w:lang w:val="sv-SE"/>
        </w:rPr>
        <w:t>Requirements for the use of cryptographic techniques will be identified according to the risk assessment. It will show an overview of where cryptographic techniques must be applied and in what form to achieve the level of protection needed.</w:t>
      </w:r>
    </w:p>
    <w:p w:rsidR="0078259C">
      <w:pPr>
        <w:rPr>
          <w:lang w:val="sv-SE"/>
        </w:rPr>
      </w:pPr>
      <w:r>
        <w:rPr>
          <w:lang w:val="sv-SE"/>
        </w:rPr>
        <w:t>In general terms, the use of cryptography will tend to be applicable in the protection of information classified within the organisation as "Restricted" or "Confidential".</w:t>
      </w:r>
    </w:p>
    <w:p w:rsidR="0078259C">
      <w:pPr>
        <w:rPr>
          <w:lang w:val="sv-SE"/>
        </w:rPr>
      </w:pPr>
      <w:r>
        <w:rPr>
          <w:lang w:val="sv-SE"/>
        </w:rPr>
        <w:t>In addition, cryptography should be seriously considered in the following scenarios:</w:t>
      </w:r>
    </w:p>
    <w:p w:rsidR="0078259C">
      <w:pPr>
        <w:numPr>
          <w:ilvl w:val="0"/>
          <w:numId w:val="2"/>
        </w:numPr>
        <w:rPr>
          <w:lang w:val="sv-SE"/>
        </w:rPr>
      </w:pPr>
      <w:r>
        <w:rPr>
          <w:lang w:val="sv-SE"/>
        </w:rPr>
        <w:t>On mobile devices such as laptops, tablets, and smartphones</w:t>
      </w:r>
    </w:p>
    <w:p w:rsidR="0078259C">
      <w:pPr>
        <w:numPr>
          <w:ilvl w:val="0"/>
          <w:numId w:val="2"/>
        </w:numPr>
        <w:rPr>
          <w:lang w:val="sv-SE"/>
        </w:rPr>
      </w:pPr>
      <w:r>
        <w:rPr>
          <w:lang w:val="sv-SE"/>
        </w:rPr>
        <w:t>For authorised use of removable media such as USB memory sticks</w:t>
      </w:r>
    </w:p>
    <w:p w:rsidR="0078259C">
      <w:pPr>
        <w:numPr>
          <w:ilvl w:val="0"/>
          <w:numId w:val="2"/>
        </w:numPr>
        <w:rPr>
          <w:lang w:val="sv-SE"/>
        </w:rPr>
      </w:pPr>
      <w:r>
        <w:rPr>
          <w:lang w:val="sv-SE"/>
        </w:rPr>
        <w:t>Where classified (sensitive) data is transmitted across communication lines such as to customer environments</w:t>
      </w:r>
    </w:p>
    <w:p w:rsidR="0078259C">
      <w:pPr>
        <w:numPr>
          <w:ilvl w:val="0"/>
          <w:numId w:val="2"/>
        </w:numPr>
        <w:rPr>
          <w:lang w:val="sv-SE"/>
        </w:rPr>
      </w:pPr>
      <w:r>
        <w:rPr>
          <w:lang w:val="sv-SE"/>
        </w:rPr>
        <w:t>Where cloud services are used, regardless of the type of cloud service (e.g., IaaS, PaaS, SaaS)</w:t>
      </w:r>
    </w:p>
    <w:p w:rsidR="0078259C">
      <w:pPr>
        <w:pStyle w:val="Heading1"/>
        <w:rPr>
          <w:lang w:val="sv-SE"/>
        </w:rPr>
      </w:pPr>
      <w:bookmarkStart w:id="16" w:name="scroll-bookmark-17"/>
      <w:bookmarkEnd w:id="16"/>
      <w:bookmarkStart w:id="17" w:name="scroll-bookmark-18"/>
      <w:r>
        <w:rPr>
          <w:lang w:val="sv-SE"/>
        </w:rPr>
        <w:t>8 Technique Selection</w:t>
      </w:r>
      <w:bookmarkEnd w:id="17"/>
    </w:p>
    <w:p w:rsidR="0078259C">
      <w:pPr>
        <w:rPr>
          <w:lang w:val="sv-SE"/>
        </w:rPr>
      </w:pPr>
      <w:r>
        <w:rPr>
          <w:lang w:val="sv-SE"/>
        </w:rPr>
        <w:t>Once the general need for the use of cryptography has been identified, a decision needs to be made about which specific techniques will be deployed. This will also involve the selection and possible purchase of software or hardware in order to implement the technique.</w:t>
      </w:r>
    </w:p>
    <w:p w:rsidR="0078259C">
      <w:pPr>
        <w:rPr>
          <w:lang w:val="sv-SE"/>
        </w:rPr>
      </w:pPr>
      <w:r>
        <w:rPr>
          <w:lang w:val="sv-SE"/>
        </w:rPr>
        <w:t>Facilities provided by cloud service providers (CSPs) may also be used – in some cases choice may be restricted by the tools available or approved for use by the CSP.</w:t>
      </w:r>
    </w:p>
    <w:p w:rsidR="0078259C">
      <w:pPr>
        <w:rPr>
          <w:lang w:val="sv-SE"/>
        </w:rPr>
      </w:pPr>
      <w:r>
        <w:rPr>
          <w:lang w:val="sv-SE"/>
        </w:rPr>
        <w:t>Note that the selection of such techniques must take into account any current regulations or national restrictions on the procurement and use of cryptographic technology.</w:t>
      </w:r>
    </w:p>
    <w:p w:rsidR="0078259C">
      <w:pPr>
        <w:rPr>
          <w:lang w:val="sv-SE"/>
        </w:rPr>
      </w:pPr>
      <w:r>
        <w:rPr>
          <w:lang w:val="sv-SE"/>
        </w:rPr>
        <w:t>These are currently in place or should be manually enabled when not in place:</w:t>
      </w:r>
    </w:p>
    <w:p w:rsidR="0078259C">
      <w:pPr>
        <w:numPr>
          <w:ilvl w:val="0"/>
          <w:numId w:val="3"/>
        </w:numPr>
        <w:rPr>
          <w:lang w:val="sv-SE"/>
        </w:rPr>
      </w:pPr>
      <w:r>
        <w:rPr>
          <w:lang w:val="sv-SE"/>
        </w:rPr>
        <w:t>Mobile device encryption (encrypted by default if device has at least the version Android 6.0, iOS 8.0)</w:t>
      </w:r>
    </w:p>
    <w:p w:rsidR="0078259C">
      <w:pPr>
        <w:numPr>
          <w:ilvl w:val="0"/>
          <w:numId w:val="3"/>
        </w:numPr>
        <w:rPr>
          <w:lang w:val="sv-SE"/>
        </w:rPr>
      </w:pPr>
      <w:r>
        <w:rPr>
          <w:lang w:val="sv-SE"/>
        </w:rPr>
        <w:t>BitLocker encryption</w:t>
      </w:r>
    </w:p>
    <w:p w:rsidR="0078259C">
      <w:pPr>
        <w:numPr>
          <w:ilvl w:val="0"/>
          <w:numId w:val="3"/>
        </w:numPr>
        <w:rPr>
          <w:lang w:val="sv-SE"/>
        </w:rPr>
      </w:pPr>
      <w:r>
        <w:rPr>
          <w:lang w:val="sv-SE"/>
        </w:rPr>
        <w:t>Data transfer systems (According to the client use of system)</w:t>
      </w:r>
    </w:p>
    <w:p w:rsidR="0078259C">
      <w:pPr>
        <w:numPr>
          <w:ilvl w:val="0"/>
          <w:numId w:val="3"/>
        </w:numPr>
        <w:rPr>
          <w:lang w:val="sv-SE"/>
        </w:rPr>
      </w:pPr>
      <w:r>
        <w:rPr>
          <w:lang w:val="sv-SE"/>
        </w:rPr>
        <w:t>Advanced anti-virus software (Microsoft Defender)</w:t>
      </w:r>
    </w:p>
    <w:p w:rsidR="0078259C">
      <w:pPr>
        <w:numPr>
          <w:ilvl w:val="0"/>
          <w:numId w:val="3"/>
        </w:numPr>
        <w:rPr>
          <w:lang w:val="sv-SE"/>
        </w:rPr>
      </w:pPr>
      <w:r>
        <w:rPr>
          <w:lang w:val="sv-SE"/>
        </w:rPr>
        <w:t>Firewall protection</w:t>
      </w:r>
    </w:p>
    <w:p w:rsidR="0078259C">
      <w:pPr>
        <w:rPr>
          <w:lang w:val="sv-SE"/>
        </w:rPr>
      </w:pPr>
      <w:r>
        <w:rPr>
          <w:lang w:val="sv-SE"/>
        </w:rPr>
        <w:t>These may affect the type, strength and quality of the encryption algorithm used. In general, the policy of Intragen is to use the following techniques for the relevant business process or situation:</w:t>
      </w:r>
    </w:p>
    <w:p w:rsidR="0078259C">
      <w:pPr>
        <w:rPr>
          <w:lang w:val="sv-SE"/>
        </w:rPr>
      </w:pPr>
    </w:p>
    <w:tbl>
      <w:tblPr>
        <w:tblStyle w:val="ScrollTableNormal"/>
        <w:tblW w:w="5000" w:type="pct"/>
        <w:tblLook w:val="0020"/>
      </w:tblPr>
      <w:tblGrid>
        <w:gridCol w:w="2198"/>
        <w:gridCol w:w="3538"/>
        <w:gridCol w:w="3280"/>
      </w:tblGrid>
      <w:tr>
        <w:tblPrEx>
          <w:tblW w:w="5000" w:type="pct"/>
          <w:tblLook w:val="0020"/>
        </w:tblPrEx>
        <w:tc>
          <w:tcPr>
            <w:shd w:val="solid" w:color="92D050" w:fill="92D050"/>
          </w:tcPr>
          <w:p>
            <w:pPr>
              <w:numPr>
                <w:ilvl w:val="0"/>
                <w:numId w:val="0"/>
              </w:numPr>
              <w:spacing w:before="200" w:beforeAutospacing="0" w:after="120" w:afterAutospacing="0" w:line="276" w:lineRule="auto"/>
              <w:ind w:left="0" w:right="0" w:firstLine="0"/>
              <w:jc w:val="center"/>
              <w:outlineLvl w:val="9"/>
            </w:pPr>
            <w:r w:rsidR="0078259C">
              <w:rPr>
                <w:b/>
                <w:lang w:val="sv-SE"/>
              </w:rPr>
              <w:t>Process/Situation</w:t>
            </w:r>
            <w:r>
              <w:t> </w:t>
            </w:r>
          </w:p>
        </w:tc>
        <w:tc>
          <w:tcPr>
            <w:shd w:val="solid" w:color="92D050" w:fill="92D050"/>
          </w:tcPr>
          <w:p>
            <w:pPr>
              <w:numPr>
                <w:ilvl w:val="0"/>
                <w:numId w:val="0"/>
              </w:numPr>
              <w:spacing w:before="200" w:beforeAutospacing="0" w:after="120" w:afterAutospacing="0" w:line="276" w:lineRule="auto"/>
              <w:ind w:left="0" w:right="0" w:firstLine="0"/>
              <w:jc w:val="center"/>
              <w:outlineLvl w:val="9"/>
            </w:pPr>
            <w:r>
              <w:rPr>
                <w:b/>
              </w:rPr>
              <w:t>Technique</w:t>
            </w:r>
            <w:r>
              <w:t> </w:t>
            </w:r>
          </w:p>
        </w:tc>
        <w:tc>
          <w:tcPr>
            <w:shd w:val="solid" w:color="92D050" w:fill="92D050"/>
          </w:tcPr>
          <w:p>
            <w:pPr>
              <w:spacing w:before="200" w:beforeAutospacing="0" w:after="120" w:afterAutospacing="0" w:line="276" w:lineRule="auto"/>
              <w:ind w:left="0" w:right="0" w:firstLine="0"/>
              <w:jc w:val="center"/>
              <w:outlineLvl w:val="9"/>
            </w:pPr>
            <w:r>
              <w:rPr>
                <w:b/>
              </w:rPr>
              <w:t>Specific Guidance</w:t>
            </w:r>
            <w:r>
              <w:t> </w:t>
            </w:r>
          </w:p>
          <w:p>
            <w:pPr>
              <w:numPr>
                <w:ilvl w:val="0"/>
                <w:numId w:val="0"/>
              </w:numPr>
              <w:spacing w:before="200" w:beforeAutospacing="0" w:after="120" w:afterAutospacing="0" w:line="276" w:lineRule="auto"/>
              <w:ind w:left="0" w:right="0" w:firstLine="0"/>
              <w:jc w:val="center"/>
              <w:outlineLvl w:val="9"/>
            </w:pPr>
            <w:r>
              <w:t>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Storage of data in the cloud </w:t>
            </w:r>
          </w:p>
        </w:tc>
        <w:tc>
          <w:tcPr/>
          <w:p>
            <w:pPr>
              <w:numPr>
                <w:ilvl w:val="0"/>
                <w:numId w:val="0"/>
              </w:numPr>
              <w:spacing w:before="200" w:beforeAutospacing="0" w:after="120" w:afterAutospacing="0" w:line="276" w:lineRule="auto"/>
              <w:ind w:left="0" w:right="0" w:firstLine="0"/>
              <w:jc w:val="left"/>
              <w:outlineLvl w:val="9"/>
            </w:pPr>
            <w:r>
              <w:t>TLS &amp; MTLS </w:t>
            </w:r>
          </w:p>
        </w:tc>
        <w:tc>
          <w:tcPr/>
          <w:p>
            <w:pPr>
              <w:numPr>
                <w:ilvl w:val="0"/>
                <w:numId w:val="0"/>
              </w:numPr>
              <w:spacing w:before="200" w:beforeAutospacing="0" w:after="120" w:afterAutospacing="0" w:line="276" w:lineRule="auto"/>
              <w:ind w:left="0" w:right="0" w:firstLine="0"/>
              <w:jc w:val="left"/>
              <w:outlineLvl w:val="9"/>
            </w:pPr>
            <w:r>
              <w:t>Only internal data and non-sensitive personal client data </w:t>
            </w:r>
          </w:p>
        </w:tc>
      </w:tr>
      <w:tr>
        <w:tblPrEx>
          <w:tblW w:w="5000" w:type="pct"/>
          <w:tblLook w:val="0020"/>
        </w:tblPrEx>
        <w:tc>
          <w:tcPr/>
          <w:p>
            <w:pPr>
              <w:spacing w:before="200" w:beforeAutospacing="0" w:after="120" w:afterAutospacing="0" w:line="276" w:lineRule="auto"/>
              <w:ind w:left="0" w:right="0" w:firstLine="0"/>
              <w:jc w:val="left"/>
              <w:outlineLvl w:val="9"/>
            </w:pPr>
            <w:r>
              <w:t>E-Commerce transactions  </w:t>
            </w:r>
          </w:p>
          <w:p>
            <w:pPr>
              <w:numPr>
                <w:ilvl w:val="0"/>
                <w:numId w:val="0"/>
              </w:numPr>
              <w:spacing w:before="200" w:beforeAutospacing="0" w:after="120" w:afterAutospacing="0" w:line="276" w:lineRule="auto"/>
              <w:ind w:left="0" w:right="0" w:firstLine="0"/>
              <w:jc w:val="left"/>
              <w:outlineLvl w:val="9"/>
            </w:pPr>
            <w:r>
              <w:t>over the Internet </w:t>
            </w:r>
          </w:p>
        </w:tc>
        <w:tc>
          <w:tcPr/>
          <w:p>
            <w:pPr>
              <w:numPr>
                <w:ilvl w:val="0"/>
                <w:numId w:val="0"/>
              </w:numPr>
              <w:spacing w:before="200" w:beforeAutospacing="0" w:after="120" w:afterAutospacing="0" w:line="276" w:lineRule="auto"/>
              <w:ind w:left="0" w:right="0" w:firstLine="0"/>
              <w:jc w:val="left"/>
              <w:outlineLvl w:val="9"/>
            </w:pPr>
            <w:r>
              <w:t>Symmetric encryption using TLS (Asymmetric techniques used to share session key) </w:t>
            </w:r>
          </w:p>
        </w:tc>
        <w:tc>
          <w:tcPr/>
          <w:p>
            <w:pPr>
              <w:numPr>
                <w:ilvl w:val="0"/>
                <w:numId w:val="0"/>
              </w:numPr>
              <w:spacing w:before="200" w:beforeAutospacing="0" w:after="120" w:afterAutospacing="0" w:line="276" w:lineRule="auto"/>
              <w:ind w:left="0" w:right="0" w:firstLine="0"/>
              <w:jc w:val="left"/>
              <w:outlineLvl w:val="9"/>
            </w:pPr>
            <w:r>
              <w:t>RSA to be used for public key cryptography. Certificates to be obtained from a reputable supplier </w:t>
            </w:r>
          </w:p>
        </w:tc>
      </w:tr>
      <w:tr>
        <w:tblPrEx>
          <w:tblW w:w="5000" w:type="pct"/>
          <w:tblLook w:val="0020"/>
        </w:tblPrEx>
        <w:tc>
          <w:tcPr/>
          <w:p>
            <w:pPr>
              <w:spacing w:before="200" w:beforeAutospacing="0" w:after="120" w:afterAutospacing="0" w:line="276" w:lineRule="auto"/>
              <w:ind w:left="0" w:right="0" w:firstLine="0"/>
              <w:jc w:val="left"/>
              <w:outlineLvl w:val="9"/>
            </w:pPr>
            <w:r>
              <w:t>Protection of data on  </w:t>
            </w:r>
          </w:p>
          <w:p>
            <w:pPr>
              <w:numPr>
                <w:ilvl w:val="0"/>
                <w:numId w:val="0"/>
              </w:numPr>
              <w:spacing w:before="200" w:beforeAutospacing="0" w:after="120" w:afterAutospacing="0" w:line="276" w:lineRule="auto"/>
              <w:ind w:left="0" w:right="0" w:firstLine="0"/>
              <w:jc w:val="left"/>
              <w:outlineLvl w:val="9"/>
            </w:pPr>
            <w:r>
              <w:t>removable media </w:t>
            </w:r>
          </w:p>
        </w:tc>
        <w:tc>
          <w:tcPr/>
          <w:p>
            <w:pPr>
              <w:numPr>
                <w:ilvl w:val="0"/>
                <w:numId w:val="0"/>
              </w:numPr>
              <w:spacing w:before="200" w:beforeAutospacing="0" w:after="120" w:afterAutospacing="0" w:line="276" w:lineRule="auto"/>
              <w:ind w:left="0" w:right="0" w:firstLine="0"/>
              <w:jc w:val="left"/>
              <w:outlineLvl w:val="9"/>
            </w:pPr>
            <w:r>
              <w:t>Symmetric encryption </w:t>
            </w:r>
          </w:p>
        </w:tc>
        <w:tc>
          <w:tcPr/>
          <w:p>
            <w:pPr>
              <w:numPr>
                <w:ilvl w:val="0"/>
                <w:numId w:val="0"/>
              </w:numPr>
              <w:spacing w:before="200" w:beforeAutospacing="0" w:after="120" w:afterAutospacing="0" w:line="276" w:lineRule="auto"/>
              <w:ind w:left="0" w:right="0" w:firstLine="0"/>
              <w:jc w:val="left"/>
              <w:outlineLvl w:val="9"/>
            </w:pPr>
            <w:r>
              <w:t>AES-256 encryption to be used where available </w:t>
            </w:r>
          </w:p>
        </w:tc>
      </w:tr>
      <w:tr>
        <w:tblPrEx>
          <w:tblW w:w="5000" w:type="pct"/>
          <w:tblLook w:val="0020"/>
        </w:tblPrEx>
        <w:tc>
          <w:tcPr/>
          <w:p>
            <w:pPr>
              <w:spacing w:before="200" w:beforeAutospacing="0" w:after="120" w:afterAutospacing="0" w:line="276" w:lineRule="auto"/>
              <w:ind w:left="0" w:right="0" w:firstLine="0"/>
              <w:jc w:val="left"/>
              <w:outlineLvl w:val="9"/>
            </w:pPr>
            <w:r>
              <w:t>Protection of passwords  </w:t>
            </w:r>
          </w:p>
          <w:p>
            <w:pPr>
              <w:numPr>
                <w:ilvl w:val="0"/>
                <w:numId w:val="0"/>
              </w:numPr>
              <w:spacing w:before="200" w:beforeAutospacing="0" w:after="120" w:afterAutospacing="0" w:line="276" w:lineRule="auto"/>
              <w:ind w:left="0" w:right="0" w:firstLine="0"/>
              <w:jc w:val="left"/>
              <w:outlineLvl w:val="9"/>
            </w:pPr>
            <w:r>
              <w:t>on systems </w:t>
            </w:r>
          </w:p>
        </w:tc>
        <w:tc>
          <w:tcPr/>
          <w:p>
            <w:pPr>
              <w:numPr>
                <w:ilvl w:val="0"/>
                <w:numId w:val="0"/>
              </w:numPr>
              <w:spacing w:before="200" w:beforeAutospacing="0" w:after="120" w:afterAutospacing="0" w:line="276" w:lineRule="auto"/>
              <w:ind w:left="0" w:right="0" w:firstLine="0"/>
              <w:jc w:val="left"/>
              <w:outlineLvl w:val="9"/>
            </w:pPr>
            <w:r>
              <w:t>Log-in procedures must have MFA in place and all passwords must be protected within an approved password manager and  </w:t>
            </w:r>
          </w:p>
        </w:tc>
        <w:tc>
          <w:tcPr/>
          <w:p>
            <w:pPr>
              <w:numPr>
                <w:ilvl w:val="0"/>
                <w:numId w:val="0"/>
              </w:numPr>
              <w:spacing w:before="200" w:beforeAutospacing="0" w:after="120" w:afterAutospacing="0" w:line="276" w:lineRule="auto"/>
              <w:ind w:left="0" w:right="0" w:firstLine="0"/>
              <w:jc w:val="left"/>
              <w:outlineLvl w:val="9"/>
            </w:pPr>
            <w:r>
              <w:t>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Email Security </w:t>
            </w:r>
          </w:p>
        </w:tc>
        <w:tc>
          <w:tcPr/>
          <w:p>
            <w:pPr>
              <w:numPr>
                <w:ilvl w:val="0"/>
                <w:numId w:val="0"/>
              </w:numPr>
              <w:spacing w:before="200" w:beforeAutospacing="0" w:after="120" w:afterAutospacing="0" w:line="276" w:lineRule="auto"/>
              <w:ind w:left="0" w:right="0" w:firstLine="0"/>
              <w:jc w:val="left"/>
              <w:outlineLvl w:val="9"/>
            </w:pPr>
            <w:r>
              <w:t>Symmetric/asymmetric encryption using TLS </w:t>
            </w:r>
          </w:p>
        </w:tc>
        <w:tc>
          <w:tcPr/>
          <w:p>
            <w:pPr>
              <w:numPr>
                <w:ilvl w:val="0"/>
                <w:numId w:val="0"/>
              </w:numPr>
              <w:spacing w:before="200" w:beforeAutospacing="0" w:after="120" w:afterAutospacing="0" w:line="276" w:lineRule="auto"/>
              <w:ind w:left="0" w:right="0" w:firstLine="0"/>
              <w:jc w:val="left"/>
              <w:outlineLvl w:val="9"/>
            </w:pPr>
            <w:r>
              <w:t>Features available in the relevant email client should be used to simplify the process. Sensitive client data shall not be sent through email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Remote Access </w:t>
            </w:r>
          </w:p>
        </w:tc>
        <w:tc>
          <w:tcPr/>
          <w:p>
            <w:pPr>
              <w:numPr>
                <w:ilvl w:val="0"/>
                <w:numId w:val="0"/>
              </w:numPr>
              <w:spacing w:before="200" w:beforeAutospacing="0" w:after="120" w:afterAutospacing="0" w:line="276" w:lineRule="auto"/>
              <w:ind w:left="0" w:right="0" w:firstLine="0"/>
              <w:jc w:val="left"/>
              <w:outlineLvl w:val="9"/>
            </w:pPr>
            <w:r>
              <w:t>Virtual Private Network (VPN) using TLS when accessing client systems. Limited to use private network or mobile hotspot </w:t>
            </w:r>
          </w:p>
        </w:tc>
        <w:tc>
          <w:tcPr/>
          <w:p>
            <w:pPr>
              <w:numPr>
                <w:ilvl w:val="0"/>
                <w:numId w:val="0"/>
              </w:numPr>
              <w:spacing w:before="200" w:beforeAutospacing="0" w:after="120" w:afterAutospacing="0" w:line="276" w:lineRule="auto"/>
              <w:ind w:left="0" w:right="0" w:firstLine="0"/>
              <w:jc w:val="left"/>
              <w:outlineLvl w:val="9"/>
            </w:pPr>
            <w:r>
              <w:t xml:space="preserve">An IPSec VPN may be used where permitted by the </w:t>
            </w:r>
            <w:r>
              <w:rPr>
                <w:i/>
              </w:rPr>
              <w:t>Network Security Policy</w:t>
            </w:r>
            <w:r>
              <w:t>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Mobile device encryption </w:t>
            </w:r>
          </w:p>
        </w:tc>
        <w:tc>
          <w:tcPr/>
          <w:p>
            <w:pPr>
              <w:numPr>
                <w:ilvl w:val="0"/>
                <w:numId w:val="0"/>
              </w:numPr>
              <w:spacing w:before="200" w:beforeAutospacing="0" w:after="120" w:afterAutospacing="0" w:line="276" w:lineRule="auto"/>
              <w:ind w:left="0" w:right="0" w:firstLine="0"/>
              <w:jc w:val="left"/>
              <w:outlineLvl w:val="9"/>
            </w:pPr>
            <w:r>
              <w:t>Android: File based encryption and OTA. iOS: File based encryption, AES encryption. </w:t>
            </w:r>
          </w:p>
        </w:tc>
        <w:tc>
          <w:tcPr/>
          <w:p>
            <w:pPr>
              <w:numPr>
                <w:ilvl w:val="0"/>
                <w:numId w:val="0"/>
              </w:numPr>
              <w:spacing w:before="200" w:beforeAutospacing="0" w:after="120" w:afterAutospacing="0" w:line="276" w:lineRule="auto"/>
              <w:ind w:left="0" w:right="0" w:firstLine="0"/>
              <w:jc w:val="left"/>
              <w:outlineLvl w:val="9"/>
            </w:pPr>
            <w:r>
              <w:t>All employees must have an encrypted mobile device (by default on new Android and ios) and update their mobile device.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Laptop encryption </w:t>
            </w:r>
          </w:p>
        </w:tc>
        <w:tc>
          <w:tcPr/>
          <w:p>
            <w:pPr>
              <w:numPr>
                <w:ilvl w:val="0"/>
                <w:numId w:val="0"/>
              </w:numPr>
              <w:spacing w:before="200" w:beforeAutospacing="0" w:after="120" w:afterAutospacing="0" w:line="276" w:lineRule="auto"/>
              <w:ind w:left="0" w:right="0" w:firstLine="0"/>
              <w:jc w:val="left"/>
              <w:outlineLvl w:val="9"/>
            </w:pPr>
            <w:r>
              <w:t>BitLocker encryption must be enabled </w:t>
            </w:r>
          </w:p>
        </w:tc>
        <w:tc>
          <w:tcPr/>
          <w:p>
            <w:pPr>
              <w:numPr>
                <w:ilvl w:val="0"/>
                <w:numId w:val="0"/>
              </w:numPr>
              <w:spacing w:before="200" w:beforeAutospacing="0" w:after="120" w:afterAutospacing="0" w:line="276" w:lineRule="auto"/>
              <w:ind w:left="0" w:right="0" w:firstLine="0"/>
              <w:jc w:val="left"/>
              <w:outlineLvl w:val="9"/>
            </w:pPr>
            <w:r>
              <w:t>All laptops have BitLocker enabled on their laptops. This will be checked and forced by End-Point Management Software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Up-to-date laptop </w:t>
            </w:r>
          </w:p>
        </w:tc>
        <w:tc>
          <w:tcPr/>
          <w:p>
            <w:pPr>
              <w:numPr>
                <w:ilvl w:val="0"/>
                <w:numId w:val="0"/>
              </w:numPr>
              <w:spacing w:before="200" w:beforeAutospacing="0" w:after="120" w:afterAutospacing="0" w:line="276" w:lineRule="auto"/>
              <w:ind w:left="0" w:right="0" w:firstLine="0"/>
              <w:jc w:val="left"/>
              <w:outlineLvl w:val="9"/>
            </w:pPr>
            <w:r>
              <w:t>Automatic patching, firewall updates and Antivirus </w:t>
            </w:r>
          </w:p>
        </w:tc>
        <w:tc>
          <w:tcPr/>
          <w:p>
            <w:pPr>
              <w:numPr>
                <w:ilvl w:val="0"/>
                <w:numId w:val="0"/>
              </w:numPr>
              <w:spacing w:before="200" w:beforeAutospacing="0" w:after="120" w:afterAutospacing="0" w:line="276" w:lineRule="auto"/>
              <w:ind w:left="0" w:right="0" w:firstLine="0"/>
              <w:jc w:val="left"/>
              <w:outlineLvl w:val="9"/>
            </w:pPr>
            <w:r>
              <w:t>With End-Point Management Software, automatic patching, firewall and Antivirus updates will be executed automatically to ensure maximum possible protection on endpoints. </w:t>
            </w:r>
          </w:p>
        </w:tc>
      </w:tr>
    </w:tbl>
    <w:p w:rsidR="0078259C">
      <w:pPr>
        <w:jc w:val="center"/>
        <w:rPr>
          <w:lang w:val="sv-SE"/>
        </w:rPr>
      </w:pPr>
      <w:r>
        <w:rPr>
          <w:lang w:val="sv-SE"/>
        </w:rPr>
        <w:t>Table 1 Cryptographic techniques</w:t>
      </w:r>
    </w:p>
    <w:p w:rsidR="0078259C">
      <w:pPr>
        <w:rPr>
          <w:lang w:val="sv-SE"/>
        </w:rPr>
      </w:pPr>
      <w:r>
        <w:rPr>
          <w:lang w:val="sv-SE"/>
        </w:rPr>
        <w:t>The continued use of the specified techniques will be evaluated in each review of this policy.</w:t>
      </w:r>
    </w:p>
    <w:p w:rsidR="0078259C">
      <w:pPr>
        <w:pStyle w:val="Heading1"/>
        <w:rPr>
          <w:lang w:val="sv-SE"/>
        </w:rPr>
      </w:pPr>
      <w:bookmarkStart w:id="18" w:name="scroll-bookmark-19"/>
      <w:bookmarkEnd w:id="18"/>
      <w:bookmarkStart w:id="19" w:name="scroll-bookmark-20"/>
      <w:r>
        <w:rPr>
          <w:lang w:val="sv-SE"/>
        </w:rPr>
        <w:t>9 Deployment</w:t>
      </w:r>
      <w:bookmarkEnd w:id="19"/>
    </w:p>
    <w:p w:rsidR="0078259C">
      <w:pPr>
        <w:rPr>
          <w:lang w:val="sv-SE"/>
        </w:rPr>
      </w:pPr>
      <w:r>
        <w:rPr>
          <w:lang w:val="sv-SE"/>
        </w:rPr>
        <w:t>The deployment of cryptographic techniques must be managed carefully to ensure that the desired level of security is achieved. Where possible, more than one employee will be closely involved in the deployment in order to avoid both a single point of failure for support and to allow segregation of duties to take place.</w:t>
      </w:r>
    </w:p>
    <w:p w:rsidR="0078259C">
      <w:pPr>
        <w:rPr>
          <w:lang w:val="sv-SE"/>
        </w:rPr>
      </w:pPr>
      <w:r>
        <w:rPr>
          <w:lang w:val="sv-SE"/>
        </w:rPr>
        <w:t>Close consideration must be given to the ongoing operation of the installed encryption so that documented operational procedures are fully in place and the relevant employees are trained in them.</w:t>
      </w:r>
    </w:p>
    <w:p w:rsidR="0078259C">
      <w:pPr>
        <w:pStyle w:val="Heading1"/>
        <w:rPr>
          <w:lang w:val="sv-SE"/>
        </w:rPr>
      </w:pPr>
      <w:bookmarkStart w:id="20" w:name="scroll-bookmark-21"/>
      <w:bookmarkEnd w:id="20"/>
      <w:bookmarkStart w:id="21" w:name="scroll-bookmark-22"/>
      <w:r>
        <w:rPr>
          <w:lang w:val="sv-SE"/>
        </w:rPr>
        <w:t>10 Testing and Review</w:t>
      </w:r>
      <w:bookmarkEnd w:id="21"/>
    </w:p>
    <w:p w:rsidR="0078259C">
      <w:pPr>
        <w:rPr>
          <w:lang w:val="sv-SE"/>
        </w:rPr>
      </w:pPr>
      <w:r>
        <w:rPr>
          <w:lang w:val="sv-SE"/>
        </w:rPr>
        <w:t>Once deployed, it is critical that the security is to be tested under as realistic conditions as possible in order to identify any weaknesses. These tests are embedded in the operational planning of our ISMS. Such testing must cover the use of:</w:t>
      </w:r>
    </w:p>
    <w:p w:rsidR="0078259C">
      <w:pPr>
        <w:numPr>
          <w:ilvl w:val="0"/>
          <w:numId w:val="4"/>
        </w:numPr>
        <w:rPr>
          <w:lang w:val="sv-SE"/>
        </w:rPr>
      </w:pPr>
      <w:r>
        <w:rPr>
          <w:lang w:val="sv-SE"/>
        </w:rPr>
        <w:t>Monitoring all endpoints on up-to-date security measures</w:t>
      </w:r>
    </w:p>
    <w:p w:rsidR="0078259C">
      <w:pPr>
        <w:numPr>
          <w:ilvl w:val="0"/>
          <w:numId w:val="4"/>
        </w:numPr>
        <w:rPr>
          <w:lang w:val="sv-SE"/>
        </w:rPr>
      </w:pPr>
      <w:r>
        <w:rPr>
          <w:lang w:val="sv-SE"/>
        </w:rPr>
        <w:t>Create awareness and assessments on the use of removable media (USB, Hard drive)</w:t>
      </w:r>
    </w:p>
    <w:p w:rsidR="0078259C">
      <w:pPr>
        <w:numPr>
          <w:ilvl w:val="0"/>
          <w:numId w:val="4"/>
        </w:numPr>
        <w:rPr>
          <w:lang w:val="sv-SE"/>
        </w:rPr>
      </w:pPr>
      <w:r>
        <w:rPr>
          <w:lang w:val="sv-SE"/>
        </w:rPr>
        <w:t>Create awareness and assessments of not working on public Wi-Fi, but instead on own hotspot.</w:t>
      </w:r>
    </w:p>
    <w:p w:rsidR="0078259C">
      <w:pPr>
        <w:numPr>
          <w:ilvl w:val="0"/>
          <w:numId w:val="4"/>
        </w:numPr>
        <w:rPr>
          <w:lang w:val="sv-SE"/>
        </w:rPr>
      </w:pPr>
      <w:r>
        <w:rPr>
          <w:lang w:val="sv-SE"/>
        </w:rPr>
        <w:t>Ensure employees use MFA and password management according to the password policy</w:t>
      </w:r>
    </w:p>
    <w:p w:rsidR="0078259C">
      <w:pPr>
        <w:pStyle w:val="Heading1"/>
        <w:rPr>
          <w:lang w:val="sv-SE"/>
        </w:rPr>
      </w:pPr>
      <w:bookmarkStart w:id="22" w:name="scroll-bookmark-23"/>
      <w:bookmarkEnd w:id="22"/>
      <w:bookmarkStart w:id="23" w:name="scroll-bookmark-24"/>
      <w:r>
        <w:rPr>
          <w:lang w:val="sv-SE"/>
        </w:rPr>
        <w:t>11 Remote Access</w:t>
      </w:r>
      <w:bookmarkEnd w:id="23"/>
    </w:p>
    <w:p w:rsidR="0078259C">
      <w:pPr>
        <w:rPr>
          <w:lang w:val="sv-SE"/>
        </w:rPr>
      </w:pPr>
      <w:r>
        <w:rPr>
          <w:lang w:val="sv-SE"/>
        </w:rPr>
        <w:t>It is the responsibility of all employees with remote access privileges to the Company network to ensure that their remote access connection is given the same consideration as on-site connection to the Company. Refer to Remote Access &amp; BYOD Policy for more information.</w:t>
      </w:r>
    </w:p>
    <w:p w:rsidR="0078259C">
      <w:pPr>
        <w:numPr>
          <w:ilvl w:val="0"/>
          <w:numId w:val="5"/>
        </w:numPr>
        <w:rPr>
          <w:lang w:val="sv-SE"/>
        </w:rPr>
      </w:pPr>
      <w:r>
        <w:rPr>
          <w:lang w:val="sv-SE"/>
        </w:rPr>
        <w:t>Secure remote access must be strictly controlled</w:t>
      </w:r>
    </w:p>
    <w:p w:rsidR="0078259C">
      <w:pPr>
        <w:numPr>
          <w:ilvl w:val="0"/>
          <w:numId w:val="5"/>
        </w:numPr>
        <w:rPr>
          <w:lang w:val="sv-SE"/>
        </w:rPr>
      </w:pPr>
      <w:r>
        <w:rPr>
          <w:lang w:val="sv-SE"/>
        </w:rPr>
        <w:t>Control will be enforced via one-time password authentication or public/private keys with strong passphrases</w:t>
      </w:r>
    </w:p>
    <w:p w:rsidR="0078259C">
      <w:pPr>
        <w:numPr>
          <w:ilvl w:val="0"/>
          <w:numId w:val="5"/>
        </w:numPr>
        <w:rPr>
          <w:lang w:val="sv-SE"/>
        </w:rPr>
      </w:pPr>
      <w:r>
        <w:rPr>
          <w:lang w:val="sv-SE"/>
        </w:rPr>
        <w:t>At no time should any employee provide their login or email password to anyone else</w:t>
      </w:r>
    </w:p>
    <w:p w:rsidR="0078259C">
      <w:pPr>
        <w:numPr>
          <w:ilvl w:val="0"/>
          <w:numId w:val="5"/>
        </w:numPr>
        <w:rPr>
          <w:lang w:val="sv-SE"/>
        </w:rPr>
      </w:pPr>
      <w:r>
        <w:rPr>
          <w:lang w:val="sv-SE"/>
        </w:rPr>
        <w:t>Employees with remote access privileges must ensure that their Company owned or personal computer or workstation, which is remotely connected to the Company network, is not connected to any other network at the same time, except for personal networks that are under the complete control of the user.</w:t>
      </w:r>
    </w:p>
    <w:p w:rsidR="0078259C">
      <w:pPr>
        <w:numPr>
          <w:ilvl w:val="0"/>
          <w:numId w:val="5"/>
        </w:numPr>
        <w:rPr>
          <w:lang w:val="sv-SE"/>
        </w:rPr>
      </w:pPr>
      <w:r>
        <w:rPr>
          <w:lang w:val="sv-SE"/>
        </w:rPr>
        <w:t>All hosts that are connected to the Company internal networks via remote access must use the most up-to-date anti-virus software</w:t>
      </w:r>
    </w:p>
    <w:p w:rsidR="0078259C">
      <w:pPr>
        <w:pStyle w:val="Heading1"/>
        <w:rPr>
          <w:lang w:val="sv-SE"/>
        </w:rPr>
      </w:pPr>
      <w:bookmarkStart w:id="24" w:name="scroll-bookmark-25"/>
      <w:bookmarkEnd w:id="24"/>
      <w:bookmarkStart w:id="25" w:name="scroll-bookmark-26"/>
      <w:r>
        <w:rPr>
          <w:lang w:val="sv-SE"/>
        </w:rPr>
        <w:t>12 Firewalls, Anti-Virus and Malware</w:t>
      </w:r>
      <w:bookmarkEnd w:id="25"/>
    </w:p>
    <w:p w:rsidR="0078259C">
      <w:pPr>
        <w:rPr>
          <w:lang w:val="sv-SE"/>
        </w:rPr>
      </w:pPr>
      <w:r>
        <w:rPr>
          <w:lang w:val="sv-SE"/>
        </w:rPr>
        <w:t>The Company understands that adequate and effective firewalls, malware protection and protected gateways are one of the main and first lines of defence against breaches via the internet and our networks.</w:t>
      </w:r>
    </w:p>
    <w:p w:rsidR="0078259C">
      <w:pPr>
        <w:rPr>
          <w:lang w:val="sv-SE"/>
        </w:rPr>
      </w:pPr>
      <w:r>
        <w:rPr>
          <w:lang w:val="sv-SE"/>
        </w:rPr>
        <w:t>We utilise configured firewalls and have daily anti-virus applications running on all computers, networks, and servers. The ISMS Manager is responsible for checking the Atera Agent log of all scans and for keeping these applications updated and compliant.</w:t>
      </w:r>
    </w:p>
    <w:p w:rsidR="0078259C">
      <w:pPr>
        <w:rPr>
          <w:lang w:val="sv-SE"/>
        </w:rPr>
      </w:pPr>
      <w:r>
        <w:rPr>
          <w:lang w:val="sv-SE"/>
        </w:rPr>
        <w:t>Systems are regularly scanned and assessed for unused and outdated software with the aim of reducing potential vulnerabilities.</w:t>
      </w:r>
    </w:p>
    <w:p w:rsidR="0078259C">
      <w:pPr>
        <w:pStyle w:val="Heading1"/>
        <w:rPr>
          <w:lang w:val="sv-SE"/>
        </w:rPr>
      </w:pPr>
      <w:bookmarkStart w:id="26" w:name="scroll-bookmark-27"/>
      <w:bookmarkEnd w:id="26"/>
      <w:bookmarkStart w:id="27" w:name="scroll-bookmark-28"/>
      <w:r>
        <w:rPr>
          <w:lang w:val="sv-SE"/>
        </w:rPr>
        <w:t>Document control</w:t>
      </w:r>
      <w:bookmarkEnd w:id="27"/>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sidR="0078259C">
              <w:rPr>
                <w:b/>
                <w:lang w:val="sv-SE"/>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rsidR="0078259C">
      <w:pPr>
        <w:rPr>
          <w:lang w:val="sv-SE"/>
        </w:rPr>
      </w:pPr>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sidR="0078259C">
              <w:rPr>
                <w:b/>
                <w:lang w:val="sv-SE"/>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endnotes" Target="endnotes.xml"/><Relationship Id="rId16" Type="http://schemas.openxmlformats.org/officeDocument/2006/relationships/customXml" Target="../customXml/item2.xml"/><Relationship Id="rId1" Type="http://schemas.openxmlformats.org/officeDocument/2006/relationships/footnotes" Target="footnotes.xml"/><Relationship Id="rId11" Type="http://schemas.openxmlformats.org/officeDocument/2006/relationships/footer" Target="footer3.xml"/><Relationship Id="rId6" Type="http://schemas.openxmlformats.org/officeDocument/2006/relationships/header" Target="header1.xml"/><Relationship Id="rId5" Type="http://schemas.openxmlformats.org/officeDocument/2006/relationships/fontTable" Target="fontTable.xml"/><Relationship Id="rId15" Type="http://schemas.openxmlformats.org/officeDocument/2006/relationships/customXml" Target="../customXml/item1.xml"/><Relationship Id="rId10" Type="http://schemas.openxmlformats.org/officeDocument/2006/relationships/header" Target="header3.xml"/><Relationship Id="rId14" Type="http://schemas.openxmlformats.org/officeDocument/2006/relationships/styles" Target="styles.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C29C09-1AC3-40E5-BE28-D30DA9CDEF9E}"/>
</file>

<file path=customXml/itemProps2.xml><?xml version="1.0" encoding="utf-8"?>
<ds:datastoreItem xmlns:ds="http://schemas.openxmlformats.org/officeDocument/2006/customXml" ds:itemID="{6421B4B4-0413-4DE4-AB7A-4A56896E35EC}"/>
</file>

<file path=customXml/itemProps3.xml><?xml version="1.0" encoding="utf-8"?>
<ds:datastoreItem xmlns:ds="http://schemas.openxmlformats.org/officeDocument/2006/customXml" ds:itemID="{87CAF6A5-BBA8-448F-868C-56164DBB4153}"/>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6</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2025-05-21T10:56:55Z</dcterms:created>
  <dcterms:modified xsi:type="dcterms:W3CDTF">2025-05-21T10:56:55Z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