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Patch Management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V2.1</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ITSEC-164</w:t>
            </w:r>
          </w:p>
        </w:tc>
      </w:tr>
    </w:tbl>
    <w:p w:rsidR="0078259C">
      <w:pPr>
        <w:pStyle w:val="Heading1"/>
        <w:rPr>
          <w:lang w:val="sv-SE"/>
        </w:rPr>
      </w:pPr>
      <w:bookmarkStart w:id="2" w:name="scroll-bookmark-3"/>
      <w:bookmarkEnd w:id="2"/>
      <w:bookmarkStart w:id="3" w:name="scroll-bookmark-4"/>
      <w:r>
        <w:rPr>
          <w:lang w:val="sv-SE"/>
        </w:rPr>
        <w:t>1 Policy Statement</w:t>
      </w:r>
      <w:bookmarkEnd w:id="3"/>
    </w:p>
    <w:p>
      <w:r w:rsidR="0078259C">
        <w:rPr>
          <w:lang w:val="sv-SE"/>
        </w:rPr>
        <w:t xml:space="preserve">As a company obligated under the Data Protection laws and having legal and contractual responsibilities for information security, Intragen </w:t>
      </w:r>
      <w:r w:rsidR="0078259C">
        <w:rPr>
          <w:i/>
          <w:lang w:val="sv-SE"/>
        </w:rPr>
        <w:t xml:space="preserve">(hereinafter referred to as the </w:t>
      </w:r>
      <w:r w:rsidR="0078259C">
        <w:rPr>
          <w:b/>
          <w:i/>
          <w:lang w:val="sv-SE"/>
        </w:rPr>
        <w:t>"Company"</w:t>
      </w:r>
      <w:r>
        <w:rPr>
          <w:i/>
        </w:rPr>
        <w:t>)</w:t>
      </w:r>
      <w:r>
        <w:t xml:space="preserve"> protects and secures all forms of personal data pertaining to natural and legal persons.  </w:t>
      </w:r>
    </w:p>
    <w:p>
      <w:r>
        <w:t>The company's policy is to operate with an automatic Patch Management system regarding endpoint security. Staff are aware and obligated to have an Intragen laptop in possession with the "Atera Agent" installed. Atera Agent automatically updates and installs critical and non-critical patches to increase endpoint security. </w:t>
      </w:r>
    </w:p>
    <w:p>
      <w:pPr>
        <w:pStyle w:val="Heading1"/>
      </w:pPr>
      <w:bookmarkStart w:id="4" w:name="scroll-bookmark-5"/>
      <w:bookmarkEnd w:id="4"/>
      <w:bookmarkStart w:id="5" w:name="scroll-bookmark-6"/>
      <w:r>
        <w:t>2 Purpose</w:t>
      </w:r>
      <w:bookmarkEnd w:id="5"/>
    </w:p>
    <w:p>
      <w:r>
        <w:t>Software is critical to the delivery of services to the company's customers and users. This policy provides the basis for an ongoing and consistent system and application update policy that stresses regular security updates and patches to operating systems, firmware, productivity applications, and utilities. Frequent updates are critical to maintaining a secure operational environment.</w:t>
      </w:r>
    </w:p>
    <w:p>
      <w:pPr>
        <w:pStyle w:val="Heading1"/>
      </w:pPr>
      <w:bookmarkStart w:id="6" w:name="scroll-bookmark-7"/>
      <w:bookmarkEnd w:id="6"/>
      <w:bookmarkStart w:id="7" w:name="scroll-bookmark-8"/>
      <w:r>
        <w:t>3 Scope</w:t>
      </w:r>
      <w:bookmarkEnd w:id="7"/>
    </w:p>
    <w:p>
      <w:r>
        <w:t xml:space="preserve">This policy applies to all staff within the company </w:t>
      </w:r>
      <w:r>
        <w:rPr>
          <w:i/>
        </w:rPr>
        <w:t>(meaning permanent, fixed term, and temporary staff, any third-party representatives or sub-contractors, agency workers, volunteers, interns, and agents engaged with the company). It</w:t>
      </w:r>
      <w:r>
        <w:t xml:space="preserve"> pertains to the processing of personal information. Adherence to this policy is mandatory, and non-compliance could lead to disciplinary action.  </w:t>
      </w:r>
    </w:p>
    <w:p>
      <w:pPr>
        <w:pStyle w:val="Heading1"/>
      </w:pPr>
      <w:bookmarkStart w:id="8" w:name="scroll-bookmark-9"/>
      <w:bookmarkEnd w:id="8"/>
      <w:bookmarkStart w:id="9" w:name="scroll-bookmark-10"/>
      <w:r>
        <w:t>4 Policy General</w:t>
      </w:r>
      <w:bookmarkEnd w:id="9"/>
    </w:p>
    <w:p>
      <w:r>
        <w:rPr>
          <w:b/>
        </w:rPr>
        <w:t>This policy applies to endpoints an employee is working on. </w:t>
      </w:r>
      <w:r>
        <w:t> </w:t>
      </w:r>
    </w:p>
    <w:p>
      <w:r>
        <w:t>All system components and software shall be protected from known vulnerabilities by automatically installing vendor-supplied security patches executed by Atera Agent or Jalo-IT. System components and devices attached to the company's network shall be regularly maintained by applying critical security patches as soon as possible after release by the vendor. Other patches not designated as critical by the vendor shall be applied on a routine maintenance schedule as defined by regular systems maintenance and support operating procedures. </w:t>
      </w:r>
    </w:p>
    <w:p>
      <w:pPr>
        <w:pStyle w:val="Heading2"/>
      </w:pPr>
      <w:bookmarkStart w:id="10" w:name="scroll-bookmark-11"/>
      <w:bookmarkEnd w:id="10"/>
      <w:bookmarkStart w:id="11" w:name="scroll-bookmark-12"/>
      <w:r>
        <w:t>4.1 System, Utility and Application Patching</w:t>
      </w:r>
      <w:bookmarkEnd w:id="11"/>
    </w:p>
    <w:p>
      <w:r>
        <w:t>A regular automated schedule shall be developed for security patching of the company's systems and devices. Patching shall include updates to all Microsoft 365 and Windows operating systems. There are currently no patching procedures in place for third party software. </w:t>
      </w:r>
    </w:p>
    <w:p>
      <w:r>
        <w:t>Atera Agent has automated patching procedures for their individual applications. The regular application of critical security patches is reviewed as part of routine change management and audit procedures. </w:t>
      </w:r>
    </w:p>
    <w:p>
      <w:pPr>
        <w:pStyle w:val="Heading2"/>
      </w:pPr>
      <w:bookmarkStart w:id="12" w:name="scroll-bookmark-13"/>
      <w:bookmarkEnd w:id="12"/>
      <w:bookmarkStart w:id="13" w:name="scroll-bookmark-14"/>
      <w:r>
        <w:t>4.2 Patching Exceptions</w:t>
      </w:r>
      <w:bookmarkEnd w:id="13"/>
    </w:p>
    <w:p>
      <w:r>
        <w:t>Technical consultants who work on production systems (e.g., customer environments, servers, enterprise applications) may require complex testing and installation procedures. Therefore, for the systems of technical consultants, another policy is in place to give the consultants more space in time to run the critical patches without creating problems during production. In some instances, risk mitigation rather than the automated patching schedule may be preferable.   </w:t>
      </w:r>
    </w:p>
    <w:p>
      <w:r>
        <w:t>Third-party representatives and sub-contractors may be excluded from the patching policy. However, they will be limited from access to Intragen's Data and Intragen's systems to mitigate potential data leakage or damage. </w:t>
      </w:r>
    </w:p>
    <w:p>
      <w:pPr>
        <w:pStyle w:val="Heading2"/>
      </w:pPr>
      <w:bookmarkStart w:id="14" w:name="scroll-bookmark-15"/>
      <w:bookmarkEnd w:id="14"/>
      <w:bookmarkStart w:id="15" w:name="scroll-bookmark-16"/>
      <w:r>
        <w:t>4.3 Security Patching Procedures</w:t>
      </w:r>
      <w:bookmarkEnd w:id="15"/>
    </w:p>
    <w:p>
      <w:r>
        <w:t>Policies and procedures shall be established and implemented for vulnerability and patch management. The process shall ensure that endpoint vulnerabilities are: </w:t>
      </w:r>
    </w:p>
    <w:p>
      <w:pPr>
        <w:numPr>
          <w:ilvl w:val="0"/>
          <w:numId w:val="1"/>
        </w:numPr>
      </w:pPr>
      <w:r>
        <w:t>Evaluated regularly and responded to in a timely fashion </w:t>
      </w:r>
    </w:p>
    <w:p>
      <w:pPr>
        <w:numPr>
          <w:ilvl w:val="0"/>
          <w:numId w:val="1"/>
        </w:numPr>
      </w:pPr>
      <w:r>
        <w:t>Documented and understood by support staff </w:t>
      </w:r>
    </w:p>
    <w:p>
      <w:pPr>
        <w:numPr>
          <w:ilvl w:val="0"/>
          <w:numId w:val="1"/>
        </w:numPr>
      </w:pPr>
      <w:r>
        <w:t>Automated and regularly monitored  </w:t>
      </w:r>
    </w:p>
    <w:p>
      <w:pPr>
        <w:numPr>
          <w:ilvl w:val="0"/>
          <w:numId w:val="1"/>
        </w:numPr>
      </w:pPr>
      <w:r>
        <w:t>Executed in a manner applicable on a communicated schedule </w:t>
      </w:r>
    </w:p>
    <w:p>
      <w:pPr>
        <w:numPr>
          <w:ilvl w:val="0"/>
          <w:numId w:val="1"/>
        </w:numPr>
      </w:pPr>
      <w:r>
        <w:t>Applied in a timely and orderly manner based on criticality and applicability of patches and enhancements </w:t>
      </w:r>
    </w:p>
    <w:p>
      <w:pPr>
        <w:pStyle w:val="Heading1"/>
      </w:pPr>
      <w:bookmarkStart w:id="16" w:name="scroll-bookmark-17"/>
      <w:bookmarkEnd w:id="16"/>
      <w:bookmarkStart w:id="17" w:name="scroll-bookmark-18"/>
      <w:r>
        <w:t>5 Measures and Controls</w:t>
      </w:r>
      <w:bookmarkEnd w:id="17"/>
    </w:p>
    <w:p>
      <w:r>
        <w:t>On-demand documented procedures, and evidence of practice should be in place for the policy as part of the company's internal systems change management and update procedures. Examples of adequate controls include: </w:t>
      </w:r>
    </w:p>
    <w:p>
      <w:pPr>
        <w:numPr>
          <w:ilvl w:val="0"/>
          <w:numId w:val="2"/>
        </w:numPr>
      </w:pPr>
      <w:r>
        <w:t>Documented change management meetings and conversations between key stakeholders </w:t>
      </w:r>
    </w:p>
    <w:p>
      <w:pPr>
        <w:numPr>
          <w:ilvl w:val="0"/>
          <w:numId w:val="2"/>
        </w:numPr>
      </w:pPr>
      <w:r>
        <w:t>System updates and patch logs for all primary system and utility categories </w:t>
      </w:r>
    </w:p>
    <w:p>
      <w:pPr>
        <w:numPr>
          <w:ilvl w:val="0"/>
          <w:numId w:val="2"/>
        </w:numPr>
      </w:pPr>
      <w:r>
        <w:t>Records/Logs should include system ID, date patched, patch status, exception, and reason for the exception </w:t>
      </w:r>
    </w:p>
    <w:p>
      <w:pPr>
        <w:numPr>
          <w:ilvl w:val="0"/>
          <w:numId w:val="2"/>
        </w:numPr>
      </w:pPr>
      <w:r>
        <w:t>The demonstrated infrastructure supporting enterprise patch management across systems, applications, and devices</w:t>
      </w:r>
    </w:p>
    <w:p>
      <w:pPr>
        <w:pStyle w:val="Heading1"/>
      </w:pPr>
      <w:bookmarkStart w:id="18" w:name="scroll-bookmark-19"/>
      <w:bookmarkEnd w:id="18"/>
      <w:bookmarkStart w:id="19" w:name="scroll-bookmark-20"/>
      <w:r>
        <w:t>6 Enforcement</w:t>
      </w:r>
      <w:bookmarkEnd w:id="19"/>
    </w:p>
    <w:p>
      <w:r>
        <w:t>Staff members found in policy violation may be subject to disciplinary action. </w:t>
      </w:r>
    </w:p>
    <w:p>
      <w:pPr>
        <w:pStyle w:val="Heading1"/>
      </w:pPr>
      <w:bookmarkStart w:id="20" w:name="scroll-bookmark-21"/>
      <w:bookmarkEnd w:id="20"/>
      <w:bookmarkStart w:id="21" w:name="scroll-bookmark-22"/>
      <w:r>
        <w:t>7 Responsibilities</w:t>
      </w:r>
      <w:bookmarkEnd w:id="21"/>
    </w:p>
    <w:p>
      <w:r>
        <w:t>The company will ensure that all staff are provided with the time and support to learn, understand, and implement the Atera Agent and its procedures. Management is responsible for a top-down approach and ensuring that all staff are included and have the support needed to meet the regulatory requirements in this area.</w:t>
      </w:r>
    </w:p>
    <w:p>
      <w:pPr>
        <w:pStyle w:val="Heading1"/>
      </w:pPr>
      <w:bookmarkStart w:id="22" w:name="scroll-bookmark-23"/>
      <w:bookmarkEnd w:id="22"/>
      <w:bookmarkStart w:id="23" w:name="scroll-bookmark-24"/>
      <w:r>
        <w:t>Document control</w:t>
      </w:r>
      <w:bookmarkEnd w:id="23"/>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endnotes" Target="endnotes.xml"/><Relationship Id="rId16" Type="http://schemas.openxmlformats.org/officeDocument/2006/relationships/customXml" Target="../customXml/item2.xml"/><Relationship Id="rId1" Type="http://schemas.openxmlformats.org/officeDocument/2006/relationships/footnotes" Target="footnotes.xml"/><Relationship Id="rId11" Type="http://schemas.openxmlformats.org/officeDocument/2006/relationships/footer" Target="footer3.xml"/><Relationship Id="rId6" Type="http://schemas.openxmlformats.org/officeDocument/2006/relationships/header" Target="header1.xml"/><Relationship Id="rId5" Type="http://schemas.openxmlformats.org/officeDocument/2006/relationships/fontTable" Target="fontTable.xml"/><Relationship Id="rId15" Type="http://schemas.openxmlformats.org/officeDocument/2006/relationships/customXml" Target="../customXml/item1.xml"/><Relationship Id="rId10" Type="http://schemas.openxmlformats.org/officeDocument/2006/relationships/header" Target="header3.xml"/><Relationship Id="rId14" Type="http://schemas.openxmlformats.org/officeDocument/2006/relationships/styles" Target="styles.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C41CE7-2EE3-4B5F-A8BE-6016EB6384D9}"/>
</file>

<file path=customXml/itemProps2.xml><?xml version="1.0" encoding="utf-8"?>
<ds:datastoreItem xmlns:ds="http://schemas.openxmlformats.org/officeDocument/2006/customXml" ds:itemID="{120BF4E6-7342-458A-8408-D4F76F3B37B5}"/>
</file>

<file path=customXml/itemProps3.xml><?xml version="1.0" encoding="utf-8"?>
<ds:datastoreItem xmlns:ds="http://schemas.openxmlformats.org/officeDocument/2006/customXml" ds:itemID="{5DB2E33F-331F-474D-8646-7C63E3A1F330}"/>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3</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2025-05-21T10:59:40Z</dcterms:created>
  <dcterms:modified xsi:type="dcterms:W3CDTF">2025-05-21T10:59:40Z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