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Supplier Security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ITSEC-116</w:t>
            </w:r>
          </w:p>
        </w:tc>
      </w:tr>
    </w:tbl>
    <w:p w:rsidR="0078259C">
      <w:pPr>
        <w:pStyle w:val="Heading1"/>
        <w:rPr>
          <w:lang w:val="sv-SE"/>
        </w:rPr>
      </w:pPr>
      <w:bookmarkStart w:id="2" w:name="scroll-bookmark-3"/>
      <w:bookmarkEnd w:id="2"/>
      <w:bookmarkStart w:id="3" w:name="scroll-bookmark-4"/>
      <w:r>
        <w:rPr>
          <w:lang w:val="sv-SE"/>
        </w:rPr>
        <w:t>1 Purpose, Scope and Users</w:t>
      </w:r>
      <w:bookmarkEnd w:id="3"/>
    </w:p>
    <w:p w:rsidR="0078259C">
      <w:pPr>
        <w:rPr>
          <w:lang w:val="sv-SE"/>
        </w:rPr>
      </w:pPr>
      <w:r>
        <w:rPr>
          <w:lang w:val="sv-SE"/>
        </w:rPr>
        <w:t>The purpose of this document is to define the rules for handling relationships with suppliers and partners. </w:t>
      </w:r>
    </w:p>
    <w:p w:rsidR="0078259C">
      <w:pPr>
        <w:rPr>
          <w:lang w:val="sv-SE"/>
        </w:rPr>
      </w:pPr>
      <w:r>
        <w:rPr>
          <w:lang w:val="sv-SE"/>
        </w:rPr>
        <w:t>This document is applied to all suppliers and partners who have the ability to influence the confidentiality, integrity, and availability of Intragen's sensitive information. </w:t>
      </w:r>
    </w:p>
    <w:p w:rsidR="0078259C">
      <w:pPr>
        <w:rPr>
          <w:lang w:val="sv-SE"/>
        </w:rPr>
      </w:pPr>
      <w:r>
        <w:rPr>
          <w:lang w:val="sv-SE"/>
        </w:rPr>
        <w:t>Users of this document are top management and persons responsible for suppliers and partners in Intragen. </w:t>
      </w:r>
    </w:p>
    <w:p w:rsidR="0078259C">
      <w:pPr>
        <w:pStyle w:val="Heading1"/>
        <w:rPr>
          <w:lang w:val="sv-SE"/>
        </w:rPr>
      </w:pPr>
      <w:bookmarkStart w:id="4" w:name="scroll-bookmark-5"/>
      <w:bookmarkEnd w:id="4"/>
      <w:bookmarkStart w:id="5" w:name="scroll-bookmark-6"/>
      <w:r>
        <w:rPr>
          <w:lang w:val="sv-SE"/>
        </w:rPr>
        <w:t>2 Reference Documents</w:t>
      </w:r>
      <w:bookmarkEnd w:id="5"/>
    </w:p>
    <w:p w:rsidR="0078259C">
      <w:pPr>
        <w:numPr>
          <w:ilvl w:val="0"/>
          <w:numId w:val="1"/>
        </w:numPr>
        <w:rPr>
          <w:lang w:val="sv-SE"/>
        </w:rPr>
      </w:pPr>
      <w:r>
        <w:rPr>
          <w:lang w:val="sv-SE"/>
        </w:rPr>
        <w:t>ISO/IEC 27001 standard, clauses A.6.1 A.6.2, A.6.3, A.5.11, A.8.30, A.5.20, A.5.21, A.5.22</w:t>
      </w:r>
    </w:p>
    <w:p w:rsidR="0078259C">
      <w:pPr>
        <w:numPr>
          <w:ilvl w:val="0"/>
          <w:numId w:val="1"/>
        </w:numPr>
        <w:rPr>
          <w:lang w:val="sv-SE"/>
        </w:rPr>
      </w:pPr>
      <w:r>
        <w:rPr>
          <w:lang w:val="sv-SE"/>
        </w:rPr>
        <w:t>Risk Assessment and Treatment Process </w:t>
      </w:r>
    </w:p>
    <w:p w:rsidR="0078259C">
      <w:pPr>
        <w:numPr>
          <w:ilvl w:val="0"/>
          <w:numId w:val="1"/>
        </w:numPr>
        <w:rPr>
          <w:lang w:val="sv-SE"/>
        </w:rPr>
      </w:pPr>
      <w:r>
        <w:rPr>
          <w:lang w:val="sv-SE"/>
        </w:rPr>
        <w:t>Improvement plan</w:t>
      </w:r>
    </w:p>
    <w:p w:rsidR="0078259C">
      <w:pPr>
        <w:pStyle w:val="Heading1"/>
        <w:rPr>
          <w:lang w:val="sv-SE"/>
        </w:rPr>
      </w:pPr>
      <w:bookmarkStart w:id="6" w:name="scroll-bookmark-7"/>
      <w:bookmarkEnd w:id="6"/>
      <w:bookmarkStart w:id="7" w:name="scroll-bookmark-8"/>
      <w:r>
        <w:rPr>
          <w:lang w:val="sv-SE"/>
        </w:rPr>
        <w:t>3 Relationship with Suppliers and Partners</w:t>
      </w:r>
      <w:bookmarkEnd w:id="7"/>
    </w:p>
    <w:p w:rsidR="0078259C">
      <w:pPr>
        <w:pStyle w:val="Heading2"/>
        <w:rPr>
          <w:lang w:val="sv-SE"/>
        </w:rPr>
      </w:pPr>
      <w:bookmarkStart w:id="8" w:name="scroll-bookmark-9"/>
      <w:bookmarkEnd w:id="8"/>
      <w:bookmarkStart w:id="9" w:name="scroll-bookmark-10"/>
      <w:r>
        <w:rPr>
          <w:lang w:val="sv-SE"/>
        </w:rPr>
        <w:t>3.1 Identifying the Risks</w:t>
      </w:r>
      <w:bookmarkEnd w:id="9"/>
    </w:p>
    <w:p w:rsidR="0078259C">
      <w:pPr>
        <w:numPr>
          <w:ilvl w:val="0"/>
          <w:numId w:val="2"/>
        </w:numPr>
        <w:rPr>
          <w:lang w:val="sv-SE"/>
        </w:rPr>
      </w:pPr>
      <w:r>
        <w:rPr>
          <w:lang w:val="sv-SE"/>
        </w:rPr>
        <w:t>Security risks related to suppliers and partners are identified during the risk assessment process, as defined in the Risk Assessment and Risk Treatment Process. During the risk assessment, special care must be taken to identify risks related to information and communication technology, as well as risks related to product supply chain. </w:t>
      </w:r>
    </w:p>
    <w:p w:rsidR="0078259C">
      <w:pPr>
        <w:numPr>
          <w:ilvl w:val="0"/>
          <w:numId w:val="0"/>
        </w:numPr>
        <w:ind w:left="720" w:hanging="360"/>
        <w:rPr>
          <w:lang w:val="sv-SE"/>
        </w:rPr>
      </w:pPr>
      <w:r>
        <w:rPr>
          <w:lang w:val="sv-SE"/>
        </w:rPr>
        <w:t>The Chief Technology Officer decides whether it is necessary to additionally assess risks related to individual suppliers or partners.</w:t>
      </w:r>
    </w:p>
    <w:p w:rsidR="0078259C">
      <w:pPr>
        <w:pStyle w:val="Heading2"/>
        <w:rPr>
          <w:lang w:val="sv-SE"/>
        </w:rPr>
      </w:pPr>
      <w:bookmarkStart w:id="10" w:name="scroll-bookmark-11"/>
      <w:bookmarkEnd w:id="10"/>
      <w:bookmarkStart w:id="11" w:name="scroll-bookmark-12"/>
      <w:r>
        <w:rPr>
          <w:lang w:val="sv-SE"/>
        </w:rPr>
        <w:t>3.2 Screening</w:t>
      </w:r>
      <w:bookmarkEnd w:id="11"/>
    </w:p>
    <w:p w:rsidR="0078259C">
      <w:pPr>
        <w:rPr>
          <w:lang w:val="sv-SE"/>
        </w:rPr>
      </w:pPr>
      <w:r>
        <w:rPr>
          <w:lang w:val="sv-SE"/>
        </w:rPr>
        <w:t>The Chief Technology Officer decides whether it is necessary to perform background verification checks for individual suppliers and partners, and, if yes, these are the methods to be used: </w:t>
      </w:r>
    </w:p>
    <w:p>
      <w:pPr>
        <w:numPr>
          <w:ilvl w:val="0"/>
          <w:numId w:val="4"/>
        </w:numPr>
      </w:pPr>
      <w:r w:rsidR="0078259C">
        <w:rPr>
          <w:lang w:val="sv-SE"/>
        </w:rPr>
        <w:t xml:space="preserve">Screening according to the </w:t>
      </w:r>
      <w:hyperlink w:anchor="scroll-bookmark-13" w:history="1">
        <w:r w:rsidR="0078259C">
          <w:rPr>
            <w:rStyle w:val="Hyperlink"/>
            <w:b/>
            <w:i/>
            <w:lang w:val="sv-SE"/>
          </w:rPr>
          <w:t>Monitoring and Review procedure</w:t>
        </w:r>
      </w:hyperlink>
      <w:r>
        <w:t xml:space="preserve"> (Paragraph 3.5) </w:t>
      </w:r>
    </w:p>
    <w:p>
      <w:pPr>
        <w:numPr>
          <w:ilvl w:val="0"/>
          <w:numId w:val="4"/>
        </w:numPr>
      </w:pPr>
      <w:r>
        <w:t>ISO 27001 certification, or if applicable, other certifications </w:t>
      </w:r>
    </w:p>
    <w:p>
      <w:pPr>
        <w:numPr>
          <w:ilvl w:val="0"/>
          <w:numId w:val="4"/>
        </w:numPr>
      </w:pPr>
      <w:r>
        <w:t>Compliance with the GDPR  </w:t>
      </w:r>
    </w:p>
    <w:p>
      <w:pPr>
        <w:numPr>
          <w:ilvl w:val="0"/>
          <w:numId w:val="4"/>
        </w:numPr>
      </w:pPr>
      <w:r>
        <w:t>Credit history check </w:t>
      </w:r>
    </w:p>
    <w:p>
      <w:pPr>
        <w:numPr>
          <w:ilvl w:val="0"/>
          <w:numId w:val="4"/>
        </w:numPr>
      </w:pPr>
      <w:r>
        <w:t>Supplier questionnaire </w:t>
      </w:r>
    </w:p>
    <w:p>
      <w:pPr>
        <w:pStyle w:val="Heading2"/>
      </w:pPr>
      <w:bookmarkStart w:id="12" w:name="scroll-bookmark-14"/>
      <w:bookmarkEnd w:id="12"/>
      <w:bookmarkStart w:id="13" w:name="scroll-bookmark-15"/>
      <w:r>
        <w:t>3.3 Contracts</w:t>
      </w:r>
      <w:bookmarkEnd w:id="13"/>
    </w:p>
    <w:p>
      <w:r>
        <w:t>The Security Officer is, together with HR responsible for deciding which security clauses will be included in the contract with a supplier or a partner. Such decision must be based on the results of the results of the above screening. However, the clauses which stipulate confidentiality and return of assets after the termination of the agreement are mandatory. Further, the contracts must ensure reliable delivery of the products and services, which is particularly important with cloud service providers. </w:t>
      </w:r>
    </w:p>
    <w:p>
      <w:r>
        <w:t>The Security Officer and HR will decide whether the individual employees of the supplier/partner will have to sign the Confidentiality Statements or Non-Disclosure Agreement (NDA) when working for Intragen. </w:t>
      </w:r>
    </w:p>
    <w:p>
      <w:r>
        <w:t>The CTO decides who will be the contract owner for each contract – i.e., who will be responsible for a particular supplier or partner. </w:t>
      </w:r>
    </w:p>
    <w:p>
      <w:pPr>
        <w:pStyle w:val="Heading2"/>
      </w:pPr>
      <w:bookmarkStart w:id="14" w:name="scroll-bookmark-16"/>
      <w:bookmarkEnd w:id="14"/>
      <w:bookmarkStart w:id="15" w:name="scroll-bookmark-17"/>
      <w:r>
        <w:t>3.4 Training and Awareness</w:t>
      </w:r>
      <w:bookmarkEnd w:id="15"/>
    </w:p>
    <w:p>
      <w:r>
        <w:t>The contract owner decides which employees of suppliers and partners need security awareness and training. </w:t>
      </w:r>
    </w:p>
    <w:p>
      <w:r>
        <w:t>ISMS Manager is responsible for providing all the training and raising of awareness of those employees.</w:t>
      </w:r>
    </w:p>
    <w:p>
      <w:pPr>
        <w:pStyle w:val="Heading2"/>
      </w:pPr>
      <w:bookmarkStart w:id="16" w:name="scroll-bookmark-13"/>
      <w:bookmarkEnd w:id="16"/>
      <w:bookmarkStart w:id="17" w:name="scroll-bookmark-18"/>
      <w:r>
        <w:t>3.5 Monitoring and Review</w:t>
      </w:r>
      <w:bookmarkEnd w:id="17"/>
    </w:p>
    <w:p>
      <w:r>
        <w:t>The contract owner must regularly check and monitor the level of service and fulfillment of security clauses by suppliers or partners, and the reports and records created by the supplier/partner. If deemed necessary by the contract owner, tables may be prepared prescribing which elements must be monitored and how frequently. </w:t>
      </w:r>
    </w:p>
    <w:p>
      <w:r>
        <w:t>An audit of the supplier or partner must be performed at least annually if deemed necessary due to the high risk. On site audits must be performed only if there are high risks related to the supplier/partner. </w:t>
      </w:r>
    </w:p>
    <w:p>
      <w:r>
        <w:t>All the security incidents related to the partner's/supplier's job must be forwarded immediately to ISMS Manager and internal support. The incident records are reviewed at least monthly. </w:t>
      </w:r>
    </w:p>
    <w:p>
      <w:pPr>
        <w:pStyle w:val="Heading2"/>
      </w:pPr>
      <w:bookmarkStart w:id="18" w:name="scroll-bookmark-19"/>
      <w:bookmarkEnd w:id="18"/>
      <w:bookmarkStart w:id="19" w:name="scroll-bookmark-20"/>
      <w:r>
        <w:t>3.6 Changes or Termination of Supplier Services</w:t>
      </w:r>
      <w:bookmarkEnd w:id="19"/>
    </w:p>
    <w:p>
      <w:r>
        <w:t>The contract owner proposes changes or termination of the contract, and CTO makes the final decision.</w:t>
      </w:r>
    </w:p>
    <w:p>
      <w:pPr>
        <w:pStyle w:val="Heading2"/>
      </w:pPr>
      <w:bookmarkStart w:id="20" w:name="scroll-bookmark-21"/>
      <w:bookmarkEnd w:id="20"/>
      <w:bookmarkStart w:id="21" w:name="scroll-bookmark-22"/>
      <w:r>
        <w:t>3.7 Removal of Access Rights / Return of Assets</w:t>
      </w:r>
      <w:bookmarkEnd w:id="21"/>
    </w:p>
    <w:p>
      <w:r>
        <w:t>When the contract is changed or terminated, the access rights for employees of partners/suppliers must be removed according to the Access Control Policy. </w:t>
      </w:r>
    </w:p>
    <w:p>
      <w:r>
        <w:t>Further, when the contract is changed or terminated, the contract owner, together with HR, must make sure all the equipment, software, or information in electronic or paper form is returned. </w:t>
      </w:r>
    </w:p>
    <w:p>
      <w:pPr>
        <w:pStyle w:val="Heading1"/>
      </w:pPr>
      <w:bookmarkStart w:id="22" w:name="scroll-bookmark-23"/>
      <w:bookmarkEnd w:id="22"/>
      <w:bookmarkStart w:id="23" w:name="scroll-bookmark-24"/>
      <w:r>
        <w:t>Document control</w:t>
      </w:r>
      <w:bookmarkEnd w:id="23"/>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theme" Target="theme/theme1.xml"/><Relationship Id="rId7"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endnotes" Target="endnotes.xml"/><Relationship Id="rId16" Type="http://schemas.openxmlformats.org/officeDocument/2006/relationships/customXml" Target="../customXml/item2.xml"/><Relationship Id="rId1" Type="http://schemas.openxmlformats.org/officeDocument/2006/relationships/footnotes" Target="footnotes.xml"/><Relationship Id="rId11" Type="http://schemas.openxmlformats.org/officeDocument/2006/relationships/footer" Target="footer3.xml"/><Relationship Id="rId6" Type="http://schemas.openxmlformats.org/officeDocument/2006/relationships/header" Target="header1.xml"/><Relationship Id="rId5" Type="http://schemas.openxmlformats.org/officeDocument/2006/relationships/fontTable" Target="fontTable.xml"/><Relationship Id="rId15" Type="http://schemas.openxmlformats.org/officeDocument/2006/relationships/customXml" Target="../customXml/item1.xml"/><Relationship Id="rId10" Type="http://schemas.openxmlformats.org/officeDocument/2006/relationships/header" Target="header3.xml"/><Relationship Id="rId14" Type="http://schemas.openxmlformats.org/officeDocument/2006/relationships/styles" Target="styles.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174902-7A05-4DE6-B901-7D0C65EAE073}"/>
</file>

<file path=customXml/itemProps2.xml><?xml version="1.0" encoding="utf-8"?>
<ds:datastoreItem xmlns:ds="http://schemas.openxmlformats.org/officeDocument/2006/customXml" ds:itemID="{FAD8B964-8019-4BEB-99AF-27C6A45CB45A}"/>
</file>

<file path=customXml/itemProps3.xml><?xml version="1.0" encoding="utf-8"?>
<ds:datastoreItem xmlns:ds="http://schemas.openxmlformats.org/officeDocument/2006/customXml" ds:itemID="{BE298E14-6B7A-46A4-A17C-891889029EB0}"/>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3</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2025-05-21T11:01:19Z</dcterms:created>
  <dcterms:modified xsi:type="dcterms:W3CDTF">2025-05-21T11:01:19Z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