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Use of Encryption Policy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V2.1</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07/01/2025</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ITSEC-180</w:t>
            </w:r>
          </w:p>
        </w:tc>
      </w:tr>
    </w:tbl>
    <w:p w:rsidR="0078259C">
      <w:pPr>
        <w:pStyle w:val="Heading1"/>
        <w:rPr>
          <w:lang w:val="sv-SE"/>
        </w:rPr>
      </w:pPr>
      <w:bookmarkStart w:id="2" w:name="scroll-bookmark-3"/>
      <w:bookmarkEnd w:id="2"/>
      <w:bookmarkStart w:id="3" w:name="scroll-bookmark-4"/>
      <w:r>
        <w:rPr>
          <w:lang w:val="sv-SE"/>
        </w:rPr>
        <w:t>1 Purpose, Scope and Users</w:t>
      </w:r>
      <w:bookmarkEnd w:id="3"/>
    </w:p>
    <w:p w:rsidR="0078259C">
      <w:pPr>
        <w:rPr>
          <w:lang w:val="sv-SE"/>
        </w:rPr>
      </w:pPr>
      <w:r>
        <w:rPr>
          <w:lang w:val="sv-SE"/>
        </w:rPr>
        <w:t>The purpose of this document is to define rules for the use of cryptographic controls, as well as the rules for the use of cryptographic keys, in order to protect the confidentiality, integrity, authenticity, and nonrepudiation of information. </w:t>
      </w:r>
    </w:p>
    <w:p w:rsidR="0078259C">
      <w:pPr>
        <w:rPr>
          <w:lang w:val="sv-SE"/>
        </w:rPr>
      </w:pPr>
      <w:r>
        <w:rPr>
          <w:lang w:val="sv-SE"/>
        </w:rPr>
        <w:t>This document is applied to the entire Information Security Management System (ISMS) scope, i.e., to all systems and information used within the ISMS scope. </w:t>
      </w:r>
    </w:p>
    <w:p w:rsidR="0078259C">
      <w:pPr>
        <w:rPr>
          <w:lang w:val="sv-SE"/>
        </w:rPr>
      </w:pPr>
      <w:r>
        <w:rPr>
          <w:lang w:val="sv-SE"/>
        </w:rPr>
        <w:t>Users of this document are All employees. </w:t>
      </w:r>
    </w:p>
    <w:p w:rsidR="0078259C">
      <w:pPr>
        <w:pStyle w:val="Heading1"/>
        <w:rPr>
          <w:lang w:val="sv-SE"/>
        </w:rPr>
      </w:pPr>
      <w:bookmarkStart w:id="4" w:name="scroll-bookmark-5"/>
      <w:bookmarkEnd w:id="4"/>
      <w:bookmarkStart w:id="5" w:name="scroll-bookmark-6"/>
      <w:r>
        <w:rPr>
          <w:lang w:val="sv-SE"/>
        </w:rPr>
        <w:t>2 Reference Documents</w:t>
      </w:r>
      <w:bookmarkEnd w:id="5"/>
    </w:p>
    <w:p w:rsidR="0078259C">
      <w:pPr>
        <w:numPr>
          <w:ilvl w:val="0"/>
          <w:numId w:val="1"/>
        </w:numPr>
        <w:rPr>
          <w:lang w:val="sv-SE"/>
        </w:rPr>
      </w:pPr>
      <w:r>
        <w:rPr>
          <w:lang w:val="sv-SE"/>
        </w:rPr>
        <w:t>ISO/IEC 27001:2022 standard, clauses A.8.24 and A.5.31</w:t>
      </w:r>
    </w:p>
    <w:p w:rsidR="0078259C">
      <w:pPr>
        <w:numPr>
          <w:ilvl w:val="0"/>
          <w:numId w:val="1"/>
        </w:numPr>
        <w:rPr>
          <w:lang w:val="sv-SE"/>
        </w:rPr>
      </w:pPr>
      <w:r>
        <w:rPr>
          <w:lang w:val="sv-SE"/>
        </w:rPr>
        <w:t>Information Security Policy </w:t>
      </w:r>
    </w:p>
    <w:p w:rsidR="0078259C">
      <w:pPr>
        <w:numPr>
          <w:ilvl w:val="0"/>
          <w:numId w:val="1"/>
        </w:numPr>
        <w:rPr>
          <w:lang w:val="sv-SE"/>
        </w:rPr>
      </w:pPr>
      <w:r>
        <w:rPr>
          <w:lang w:val="sv-SE"/>
        </w:rPr>
        <w:t>Register of Legal, Contractual and Other Requirements</w:t>
      </w:r>
    </w:p>
    <w:p w:rsidR="0078259C">
      <w:pPr>
        <w:pStyle w:val="Heading1"/>
        <w:rPr>
          <w:lang w:val="sv-SE"/>
        </w:rPr>
      </w:pPr>
      <w:bookmarkStart w:id="6" w:name="scroll-bookmark-7"/>
      <w:bookmarkEnd w:id="6"/>
      <w:bookmarkStart w:id="7" w:name="scroll-bookmark-8"/>
      <w:r>
        <w:rPr>
          <w:lang w:val="sv-SE"/>
        </w:rPr>
        <w:t>3 Use of Cryptography</w:t>
      </w:r>
      <w:bookmarkEnd w:id="7"/>
    </w:p>
    <w:p w:rsidR="0078259C">
      <w:pPr>
        <w:pStyle w:val="Heading2"/>
        <w:rPr>
          <w:lang w:val="sv-SE"/>
        </w:rPr>
      </w:pPr>
      <w:bookmarkStart w:id="8" w:name="scroll-bookmark-9"/>
      <w:bookmarkEnd w:id="8"/>
      <w:bookmarkStart w:id="9" w:name="scroll-bookmark-10"/>
      <w:r>
        <w:rPr>
          <w:lang w:val="sv-SE"/>
        </w:rPr>
        <w:t>3.1 Cryptographic Controls</w:t>
      </w:r>
      <w:bookmarkEnd w:id="9"/>
    </w:p>
    <w:p w:rsidR="0078259C">
      <w:pPr>
        <w:rPr>
          <w:lang w:val="sv-SE"/>
        </w:rPr>
      </w:pPr>
      <w:r>
        <w:rPr>
          <w:lang w:val="sv-SE"/>
        </w:rPr>
        <w:t>According to the ISMS security controls, as well as legal and contractual obligations, the organization must protect individual systems or information by means of the following cryptographic controls: </w:t>
      </w:r>
    </w:p>
    <w:p w:rsidR="0078259C">
      <w:pPr>
        <w:numPr>
          <w:ilvl w:val="0"/>
          <w:numId w:val="2"/>
        </w:numPr>
        <w:rPr>
          <w:lang w:val="sv-SE"/>
        </w:rPr>
      </w:pPr>
      <w:r>
        <w:rPr>
          <w:lang w:val="sv-SE"/>
        </w:rPr>
        <w:t>Connections with remote computers use software-based cryptographic tool, with AES algorithm with 256 key size </w:t>
      </w:r>
    </w:p>
    <w:p w:rsidR="0078259C">
      <w:pPr>
        <w:numPr>
          <w:ilvl w:val="0"/>
          <w:numId w:val="2"/>
        </w:numPr>
        <w:rPr>
          <w:lang w:val="sv-SE"/>
        </w:rPr>
      </w:pPr>
      <w:r>
        <w:rPr>
          <w:lang w:val="sv-SE"/>
        </w:rPr>
        <w:t>Bitlocker encryption on hard drives </w:t>
      </w:r>
    </w:p>
    <w:p w:rsidR="0078259C">
      <w:pPr>
        <w:numPr>
          <w:ilvl w:val="0"/>
          <w:numId w:val="2"/>
        </w:numPr>
        <w:rPr>
          <w:lang w:val="sv-SE"/>
        </w:rPr>
      </w:pPr>
      <w:r>
        <w:rPr>
          <w:lang w:val="sv-SE"/>
        </w:rPr>
        <w:t>Electronic payment uses software-based cryptographic tool, with AES algorithm with 256 key size </w:t>
      </w:r>
    </w:p>
    <w:p w:rsidR="0078259C">
      <w:pPr>
        <w:numPr>
          <w:ilvl w:val="0"/>
          <w:numId w:val="2"/>
        </w:numPr>
        <w:rPr>
          <w:lang w:val="sv-SE"/>
        </w:rPr>
      </w:pPr>
      <w:r>
        <w:rPr>
          <w:lang w:val="sv-SE"/>
        </w:rPr>
        <w:t>Electronic communication (Microsoft 365 E-mail, Azure communication) is be protected by encryption.  </w:t>
      </w:r>
    </w:p>
    <w:p w:rsidR="0078259C">
      <w:pPr>
        <w:rPr>
          <w:lang w:val="sv-SE"/>
        </w:rPr>
      </w:pPr>
      <w:r>
        <w:rPr>
          <w:lang w:val="sv-SE"/>
        </w:rPr>
        <w:t>The Security Officer is responsible for preparing detailed instructions on the use of the mentioned cryptographic tools. Owners of individual assets to which cryptographic controls are applied are responsible for appropriate application of individual cryptographic controls.</w:t>
      </w:r>
    </w:p>
    <w:p w:rsidR="0078259C">
      <w:pPr>
        <w:pStyle w:val="Heading2"/>
        <w:rPr>
          <w:lang w:val="sv-SE"/>
        </w:rPr>
      </w:pPr>
      <w:bookmarkStart w:id="10" w:name="scroll-bookmark-11"/>
      <w:bookmarkEnd w:id="10"/>
      <w:bookmarkStart w:id="11" w:name="scroll-bookmark-12"/>
      <w:r>
        <w:rPr>
          <w:lang w:val="sv-SE"/>
        </w:rPr>
        <w:t>3.2 Cryptographic Keys</w:t>
      </w:r>
      <w:bookmarkEnd w:id="11"/>
    </w:p>
    <w:p w:rsidR="0078259C">
      <w:pPr>
        <w:rPr>
          <w:lang w:val="sv-SE"/>
        </w:rPr>
      </w:pPr>
      <w:r>
        <w:rPr>
          <w:lang w:val="sv-SE"/>
        </w:rPr>
        <w:t>The Security Officer is responsible for prescribing the following rules regarding key management: </w:t>
      </w:r>
    </w:p>
    <w:p w:rsidR="0078259C">
      <w:pPr>
        <w:numPr>
          <w:ilvl w:val="0"/>
          <w:numId w:val="3"/>
        </w:numPr>
        <w:rPr>
          <w:lang w:val="sv-SE"/>
        </w:rPr>
      </w:pPr>
      <w:r>
        <w:rPr>
          <w:lang w:val="sv-SE"/>
        </w:rPr>
        <w:t>generating private and public cryptographic keys  </w:t>
      </w:r>
    </w:p>
    <w:p w:rsidR="0078259C">
      <w:pPr>
        <w:numPr>
          <w:ilvl w:val="0"/>
          <w:numId w:val="3"/>
        </w:numPr>
        <w:rPr>
          <w:lang w:val="sv-SE"/>
        </w:rPr>
      </w:pPr>
      <w:r>
        <w:rPr>
          <w:lang w:val="sv-SE"/>
        </w:rPr>
        <w:t>activation and distribution of cryptographic keys </w:t>
      </w:r>
    </w:p>
    <w:p w:rsidR="0078259C">
      <w:pPr>
        <w:numPr>
          <w:ilvl w:val="0"/>
          <w:numId w:val="3"/>
        </w:numPr>
        <w:rPr>
          <w:lang w:val="sv-SE"/>
        </w:rPr>
      </w:pPr>
      <w:r>
        <w:rPr>
          <w:lang w:val="sv-SE"/>
        </w:rPr>
        <w:t>defining the time limit for the use of keys and their regular updating (in accordance with risk assessment) </w:t>
      </w:r>
    </w:p>
    <w:p w:rsidR="0078259C">
      <w:pPr>
        <w:numPr>
          <w:ilvl w:val="0"/>
          <w:numId w:val="3"/>
        </w:numPr>
        <w:rPr>
          <w:lang w:val="sv-SE"/>
        </w:rPr>
      </w:pPr>
      <w:r>
        <w:rPr>
          <w:lang w:val="sv-SE"/>
        </w:rPr>
        <w:t>archiving inactive keys that are necessary for encrypted electronic archives destruction of keys </w:t>
      </w:r>
    </w:p>
    <w:p w:rsidR="0078259C">
      <w:pPr>
        <w:rPr>
          <w:lang w:val="sv-SE"/>
        </w:rPr>
      </w:pPr>
      <w:r>
        <w:rPr>
          <w:lang w:val="sv-SE"/>
        </w:rPr>
        <w:t>Keys are managed by their owners in line with the abovementioned rules. </w:t>
      </w:r>
    </w:p>
    <w:p w:rsidR="0078259C">
      <w:pPr>
        <w:rPr>
          <w:lang w:val="sv-SE"/>
        </w:rPr>
      </w:pPr>
      <w:r>
        <w:rPr>
          <w:lang w:val="sv-SE"/>
        </w:rPr>
        <w:t>Cryptographic keys will be protected by storing them in a location with limited access. In the case of loss, corruption, or destruction, keys will be recovered by means of a backup copy in the cloud.</w:t>
      </w:r>
    </w:p>
    <w:p w:rsidR="0078259C">
      <w:pPr>
        <w:pStyle w:val="Heading1"/>
        <w:rPr>
          <w:lang w:val="sv-SE"/>
        </w:rPr>
      </w:pPr>
      <w:bookmarkStart w:id="12" w:name="scroll-bookmark-13"/>
      <w:bookmarkEnd w:id="12"/>
      <w:bookmarkStart w:id="13" w:name="scroll-bookmark-14"/>
      <w:r>
        <w:rPr>
          <w:lang w:val="sv-SE"/>
        </w:rPr>
        <w:t>Document control</w:t>
      </w:r>
      <w:bookmarkEnd w:id="13"/>
    </w:p>
    <w:p w:rsidR="0078259C">
      <w:pPr>
        <w:rPr>
          <w:lang w:val="sv-SE"/>
        </w:rPr>
      </w:pPr>
      <w:r>
        <w:rPr>
          <w:lang w:val="sv-SE"/>
        </w:rPr>
        <w:t>The owner of this document is the ISMS Manager, who must check and, if necessary, update the document at least every 12 months.</w:t>
      </w:r>
    </w:p>
    <w:tbl>
      <w:tblPr>
        <w:tblStyle w:val="ScrollTableNormal"/>
        <w:tblW w:w="5000" w:type="pct"/>
        <w:tblLook w:val="0020"/>
      </w:tblPr>
      <w:tblGrid>
        <w:gridCol w:w="1750"/>
        <w:gridCol w:w="2705"/>
        <w:gridCol w:w="4561"/>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sidR="0078259C">
              <w:rPr>
                <w:b/>
                <w:lang w:val="sv-SE"/>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rsidR="0078259C">
      <w:pPr>
        <w:rPr>
          <w:lang w:val="sv-SE"/>
        </w:rPr>
      </w:pPr>
    </w:p>
    <w:tbl>
      <w:tblPr>
        <w:tblStyle w:val="ScrollTableNormal"/>
        <w:tblW w:w="5000" w:type="pct"/>
        <w:tblLook w:val="0020"/>
      </w:tblPr>
      <w:tblGrid>
        <w:gridCol w:w="4589"/>
        <w:gridCol w:w="4177"/>
        <w:gridCol w:w="250"/>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sidR="0078259C">
              <w:rPr>
                <w:b/>
                <w:lang w:val="sv-SE"/>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CISO</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theme" Target="theme/theme1.xml"/><Relationship Id="rId7"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endnotes" Target="endnotes.xml"/><Relationship Id="rId16" Type="http://schemas.openxmlformats.org/officeDocument/2006/relationships/customXml" Target="../customXml/item2.xml"/><Relationship Id="rId1" Type="http://schemas.openxmlformats.org/officeDocument/2006/relationships/footnotes" Target="footnotes.xml"/><Relationship Id="rId11" Type="http://schemas.openxmlformats.org/officeDocument/2006/relationships/footer" Target="footer3.xml"/><Relationship Id="rId6" Type="http://schemas.openxmlformats.org/officeDocument/2006/relationships/header" Target="header1.xml"/><Relationship Id="rId5" Type="http://schemas.openxmlformats.org/officeDocument/2006/relationships/fontTable" Target="fontTable.xml"/><Relationship Id="rId15" Type="http://schemas.openxmlformats.org/officeDocument/2006/relationships/customXml" Target="../customXml/item1.xml"/><Relationship Id="rId10" Type="http://schemas.openxmlformats.org/officeDocument/2006/relationships/header" Target="header3.xml"/><Relationship Id="rId14" Type="http://schemas.openxmlformats.org/officeDocument/2006/relationships/styles" Target="styles.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1D7D4F-4345-44BF-B537-C7C09EEB4815}"/>
</file>

<file path=customXml/itemProps2.xml><?xml version="1.0" encoding="utf-8"?>
<ds:datastoreItem xmlns:ds="http://schemas.openxmlformats.org/officeDocument/2006/customXml" ds:itemID="{09ED0E0B-ACC6-4159-B534-2AC001B5045C}"/>
</file>

<file path=customXml/itemProps3.xml><?xml version="1.0" encoding="utf-8"?>
<ds:datastoreItem xmlns:ds="http://schemas.openxmlformats.org/officeDocument/2006/customXml" ds:itemID="{E4D25565-7914-4381-864F-F2A14ECB5F04}"/>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2</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2025-05-21T11:01:46Z</dcterms:created>
  <dcterms:modified xsi:type="dcterms:W3CDTF">2025-05-21T11:01:46Z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