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57" w:type="dxa"/>
        <w:tblInd w:w="-1026" w:type="dxa"/>
        <w:tblLook w:val="04A0"/>
      </w:tblPr>
      <w:tblGrid>
        <w:gridCol w:w="5529"/>
        <w:gridCol w:w="5528"/>
      </w:tblGrid>
      <w:tr w:rsidR="00F44D3D" w:rsidRPr="00B84542" w:rsidTr="00682CF2">
        <w:tc>
          <w:tcPr>
            <w:tcW w:w="11057" w:type="dxa"/>
            <w:gridSpan w:val="2"/>
          </w:tcPr>
          <w:p w:rsidR="0038245A" w:rsidRPr="0038245A" w:rsidRDefault="0038245A" w:rsidP="0038245A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  <w:r w:rsidRPr="0038245A">
              <w:rPr>
                <w:sz w:val="20"/>
                <w:szCs w:val="20"/>
              </w:rPr>
              <w:t xml:space="preserve">Кроме общенаучных баз типа </w:t>
            </w:r>
            <w:proofErr w:type="spellStart"/>
            <w:r w:rsidRPr="0038245A">
              <w:rPr>
                <w:sz w:val="20"/>
                <w:szCs w:val="20"/>
              </w:rPr>
              <w:t>WoS</w:t>
            </w:r>
            <w:proofErr w:type="spellEnd"/>
            <w:r w:rsidRPr="0038245A">
              <w:rPr>
                <w:sz w:val="20"/>
                <w:szCs w:val="20"/>
              </w:rPr>
              <w:t xml:space="preserve"> , SCOPUS или РИНЦ в мире развивается множество отраслевых, тематических, п</w:t>
            </w:r>
            <w:r w:rsidRPr="0038245A">
              <w:rPr>
                <w:sz w:val="20"/>
                <w:szCs w:val="20"/>
              </w:rPr>
              <w:t>о</w:t>
            </w:r>
            <w:r w:rsidRPr="0038245A">
              <w:rPr>
                <w:sz w:val="20"/>
                <w:szCs w:val="20"/>
              </w:rPr>
              <w:t xml:space="preserve">священных публикациям одной дисциплины или их группы. Например, </w:t>
            </w:r>
            <w:proofErr w:type="spellStart"/>
            <w:r w:rsidRPr="0038245A">
              <w:rPr>
                <w:sz w:val="20"/>
                <w:szCs w:val="20"/>
              </w:rPr>
              <w:t>MathSciNet</w:t>
            </w:r>
            <w:proofErr w:type="spellEnd"/>
            <w:r w:rsidRPr="0038245A">
              <w:rPr>
                <w:sz w:val="20"/>
                <w:szCs w:val="20"/>
              </w:rPr>
              <w:t>, MEDLINE (</w:t>
            </w:r>
            <w:proofErr w:type="spellStart"/>
            <w:r w:rsidRPr="0038245A">
              <w:rPr>
                <w:sz w:val="20"/>
                <w:szCs w:val="20"/>
              </w:rPr>
              <w:t>PubMed</w:t>
            </w:r>
            <w:proofErr w:type="spellEnd"/>
            <w:r w:rsidRPr="0038245A">
              <w:rPr>
                <w:sz w:val="20"/>
                <w:szCs w:val="20"/>
              </w:rPr>
              <w:t>), INSPIRE, …</w:t>
            </w:r>
          </w:p>
          <w:p w:rsidR="00F44D3D" w:rsidRPr="00F44D3D" w:rsidRDefault="0038245A" w:rsidP="00F44D3D">
            <w:pPr>
              <w:rPr>
                <w:sz w:val="20"/>
                <w:szCs w:val="20"/>
              </w:rPr>
            </w:pPr>
            <w:r w:rsidRPr="0038245A">
              <w:rPr>
                <w:sz w:val="20"/>
                <w:szCs w:val="20"/>
              </w:rPr>
              <w:t xml:space="preserve">Укажите (прописными буквами, английский) название </w:t>
            </w:r>
            <w:r w:rsidR="0067779E">
              <w:rPr>
                <w:sz w:val="20"/>
                <w:szCs w:val="20"/>
              </w:rPr>
              <w:t xml:space="preserve">или аббревиатуру </w:t>
            </w:r>
            <w:r w:rsidRPr="0038245A">
              <w:rPr>
                <w:sz w:val="20"/>
                <w:szCs w:val="20"/>
              </w:rPr>
              <w:t>бесплатной международной тематической  базы  для составления библиографий и списков литературы в компьютерных науках.</w:t>
            </w:r>
          </w:p>
        </w:tc>
      </w:tr>
      <w:tr w:rsidR="00274BA7" w:rsidRPr="00B84542" w:rsidTr="00B71C56">
        <w:tc>
          <w:tcPr>
            <w:tcW w:w="5529" w:type="dxa"/>
          </w:tcPr>
          <w:p w:rsidR="0067779E" w:rsidRPr="0067779E" w:rsidRDefault="0067779E" w:rsidP="0067779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>Установите правильную последовательность дейс</w:t>
            </w:r>
            <w:r w:rsidRPr="0067779E">
              <w:rPr>
                <w:sz w:val="20"/>
                <w:szCs w:val="20"/>
              </w:rPr>
              <w:t>т</w:t>
            </w:r>
            <w:r w:rsidRPr="0067779E">
              <w:rPr>
                <w:sz w:val="20"/>
                <w:szCs w:val="20"/>
              </w:rPr>
              <w:t>вий при написании статьи: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1) введение, 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2) аннотация, 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3) заголовок, 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4) обсуждение, 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5) материалы и методы, 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6) результаты, 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7) заключение, 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8) благодарности, </w:t>
            </w:r>
          </w:p>
          <w:p w:rsidR="0046549E" w:rsidRPr="00B84542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>9) список литературы.</w:t>
            </w:r>
          </w:p>
        </w:tc>
        <w:tc>
          <w:tcPr>
            <w:tcW w:w="5528" w:type="dxa"/>
          </w:tcPr>
          <w:p w:rsidR="00274BA7" w:rsidRPr="00B84542" w:rsidRDefault="00274BA7" w:rsidP="00F91BDF">
            <w:pPr>
              <w:rPr>
                <w:sz w:val="20"/>
                <w:szCs w:val="20"/>
              </w:rPr>
            </w:pPr>
          </w:p>
        </w:tc>
      </w:tr>
      <w:tr w:rsidR="00E669AF" w:rsidRPr="00B84542" w:rsidTr="00B71C56">
        <w:tc>
          <w:tcPr>
            <w:tcW w:w="5529" w:type="dxa"/>
          </w:tcPr>
          <w:p w:rsidR="0067779E" w:rsidRPr="0067779E" w:rsidRDefault="00B71C56" w:rsidP="00B71C5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67779E" w:rsidRPr="0067779E">
              <w:rPr>
                <w:sz w:val="20"/>
                <w:szCs w:val="20"/>
              </w:rPr>
              <w:t>Какие из указанных ниже недостатков характерны для и</w:t>
            </w:r>
            <w:r w:rsidR="0067779E" w:rsidRPr="0067779E">
              <w:rPr>
                <w:sz w:val="20"/>
                <w:szCs w:val="20"/>
              </w:rPr>
              <w:t>н</w:t>
            </w:r>
            <w:r w:rsidR="0067779E" w:rsidRPr="0067779E">
              <w:rPr>
                <w:sz w:val="20"/>
                <w:szCs w:val="20"/>
              </w:rPr>
              <w:t xml:space="preserve">декса </w:t>
            </w:r>
            <w:proofErr w:type="spellStart"/>
            <w:r w:rsidR="0067779E" w:rsidRPr="0067779E">
              <w:rPr>
                <w:sz w:val="20"/>
                <w:szCs w:val="20"/>
              </w:rPr>
              <w:t>Хирша</w:t>
            </w:r>
            <w:proofErr w:type="spellEnd"/>
            <w:r w:rsidR="0067779E" w:rsidRPr="0067779E">
              <w:rPr>
                <w:sz w:val="20"/>
                <w:szCs w:val="20"/>
              </w:rPr>
              <w:t>:</w:t>
            </w:r>
          </w:p>
          <w:p w:rsidR="0056519D" w:rsidRPr="00B84542" w:rsidRDefault="0056519D" w:rsidP="0067779E">
            <w:pPr>
              <w:pStyle w:val="a4"/>
              <w:ind w:left="0"/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1)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учитывает различия в цитируемости по областям науки; </w:t>
            </w:r>
          </w:p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2)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учитывает различия в относительном авторском вкладе; </w:t>
            </w:r>
          </w:p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3)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учитывает различия в возрасте ученых; </w:t>
            </w:r>
          </w:p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4)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недостаточно учитывает фактическое число цитирований публикаций, особенно отдельных </w:t>
            </w:r>
            <w:proofErr w:type="spellStart"/>
            <w:r w:rsidRPr="002A1B1E">
              <w:rPr>
                <w:color w:val="000000"/>
                <w:sz w:val="20"/>
                <w:szCs w:val="20"/>
              </w:rPr>
              <w:t>высокоцитируемых</w:t>
            </w:r>
            <w:proofErr w:type="spellEnd"/>
            <w:r w:rsidRPr="002A1B1E">
              <w:rPr>
                <w:color w:val="000000"/>
                <w:sz w:val="20"/>
                <w:szCs w:val="20"/>
              </w:rPr>
              <w:t xml:space="preserve"> работ;</w:t>
            </w:r>
          </w:p>
          <w:p w:rsidR="00865A18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5)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исключает авторские </w:t>
            </w:r>
            <w:proofErr w:type="spellStart"/>
            <w:r w:rsidRPr="002A1B1E">
              <w:rPr>
                <w:color w:val="000000"/>
                <w:sz w:val="20"/>
                <w:szCs w:val="20"/>
              </w:rPr>
              <w:t>самоцитирования</w:t>
            </w:r>
            <w:proofErr w:type="spellEnd"/>
            <w:r w:rsidRPr="002A1B1E">
              <w:rPr>
                <w:color w:val="000000"/>
                <w:sz w:val="20"/>
                <w:szCs w:val="20"/>
              </w:rPr>
              <w:t xml:space="preserve"> и цитирования сети соавторов.</w:t>
            </w:r>
          </w:p>
        </w:tc>
      </w:tr>
      <w:tr w:rsidR="0034410B" w:rsidRPr="00B84542" w:rsidTr="00B71C56">
        <w:tc>
          <w:tcPr>
            <w:tcW w:w="5529" w:type="dxa"/>
          </w:tcPr>
          <w:p w:rsidR="0003697A" w:rsidRPr="00B84542" w:rsidRDefault="00B71C56" w:rsidP="00B71C5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01A2E" w:rsidRPr="00B84542">
              <w:rPr>
                <w:sz w:val="20"/>
                <w:szCs w:val="20"/>
              </w:rPr>
              <w:t>Приведите примеры результатов интеллектуальной де</w:t>
            </w:r>
            <w:r w:rsidR="00401A2E" w:rsidRPr="00B84542">
              <w:rPr>
                <w:sz w:val="20"/>
                <w:szCs w:val="20"/>
              </w:rPr>
              <w:t>я</w:t>
            </w:r>
            <w:r w:rsidR="00401A2E" w:rsidRPr="00B84542">
              <w:rPr>
                <w:sz w:val="20"/>
                <w:szCs w:val="20"/>
              </w:rPr>
              <w:t>тельности, которым предоставляется правовая охрана (не менее  5)</w:t>
            </w:r>
          </w:p>
        </w:tc>
        <w:tc>
          <w:tcPr>
            <w:tcW w:w="5528" w:type="dxa"/>
          </w:tcPr>
          <w:p w:rsidR="0034410B" w:rsidRPr="00B84542" w:rsidRDefault="0034410B" w:rsidP="00F91BDF">
            <w:pPr>
              <w:rPr>
                <w:sz w:val="20"/>
                <w:szCs w:val="20"/>
              </w:rPr>
            </w:pPr>
          </w:p>
        </w:tc>
      </w:tr>
      <w:tr w:rsidR="00FD570A" w:rsidRPr="00B84542" w:rsidTr="00B71C56">
        <w:tc>
          <w:tcPr>
            <w:tcW w:w="5529" w:type="dxa"/>
          </w:tcPr>
          <w:p w:rsidR="00FD570A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Pr="0067779E">
              <w:rPr>
                <w:sz w:val="20"/>
                <w:szCs w:val="20"/>
              </w:rPr>
              <w:t>Цифровой идентификатор объекта, представляющий собой не только уникальный номер, но и устойчивый URL-адрес, в норме ведущий именно на страницу расположения докуме</w:t>
            </w:r>
            <w:r w:rsidRPr="0067779E">
              <w:rPr>
                <w:sz w:val="20"/>
                <w:szCs w:val="20"/>
              </w:rPr>
              <w:t>н</w:t>
            </w:r>
            <w:r w:rsidRPr="0067779E">
              <w:rPr>
                <w:sz w:val="20"/>
                <w:szCs w:val="20"/>
              </w:rPr>
              <w:t>та, которому он присвоен.</w:t>
            </w:r>
          </w:p>
        </w:tc>
        <w:tc>
          <w:tcPr>
            <w:tcW w:w="5528" w:type="dxa"/>
          </w:tcPr>
          <w:p w:rsidR="00A855C9" w:rsidRPr="00B84542" w:rsidRDefault="00A855C9" w:rsidP="00F91BDF">
            <w:pPr>
              <w:rPr>
                <w:sz w:val="20"/>
                <w:szCs w:val="20"/>
              </w:rPr>
            </w:pPr>
          </w:p>
        </w:tc>
      </w:tr>
      <w:tr w:rsidR="0067779E" w:rsidRPr="00B84542" w:rsidTr="0067779E">
        <w:trPr>
          <w:trHeight w:val="1402"/>
        </w:trPr>
        <w:tc>
          <w:tcPr>
            <w:tcW w:w="11057" w:type="dxa"/>
            <w:gridSpan w:val="2"/>
          </w:tcPr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6. В формулировке темы исследований должны присутствовать сведения об объекте и предмете исследований. Реализация </w:t>
            </w:r>
            <w:proofErr w:type="spellStart"/>
            <w:r w:rsidRPr="0067779E">
              <w:rPr>
                <w:sz w:val="20"/>
                <w:szCs w:val="20"/>
              </w:rPr>
              <w:t>темпоральных</w:t>
            </w:r>
            <w:proofErr w:type="spellEnd"/>
            <w:r w:rsidRPr="0067779E">
              <w:rPr>
                <w:sz w:val="20"/>
                <w:szCs w:val="20"/>
              </w:rPr>
              <w:t xml:space="preserve"> баз данных на основе </w:t>
            </w:r>
            <w:proofErr w:type="spellStart"/>
            <w:proofErr w:type="gramStart"/>
            <w:r w:rsidRPr="0067779E">
              <w:rPr>
                <w:sz w:val="20"/>
                <w:szCs w:val="20"/>
              </w:rPr>
              <w:t>объектно</w:t>
            </w:r>
            <w:proofErr w:type="spellEnd"/>
            <w:r w:rsidRPr="0067779E">
              <w:rPr>
                <w:sz w:val="20"/>
                <w:szCs w:val="20"/>
              </w:rPr>
              <w:t>- ориентированной</w:t>
            </w:r>
            <w:proofErr w:type="gramEnd"/>
            <w:r w:rsidRPr="0067779E">
              <w:rPr>
                <w:sz w:val="20"/>
                <w:szCs w:val="20"/>
              </w:rPr>
              <w:t xml:space="preserve"> модели для магистерской диссертации по теме «Разрабо</w:t>
            </w:r>
            <w:r w:rsidRPr="0067779E">
              <w:rPr>
                <w:sz w:val="20"/>
                <w:szCs w:val="20"/>
              </w:rPr>
              <w:t>т</w:t>
            </w:r>
            <w:r w:rsidRPr="0067779E">
              <w:rPr>
                <w:sz w:val="20"/>
                <w:szCs w:val="20"/>
              </w:rPr>
              <w:t xml:space="preserve">ка методов проектирования объектно-ориентированных </w:t>
            </w:r>
            <w:proofErr w:type="spellStart"/>
            <w:r w:rsidRPr="0067779E">
              <w:rPr>
                <w:sz w:val="20"/>
                <w:szCs w:val="20"/>
              </w:rPr>
              <w:t>темпоральных</w:t>
            </w:r>
            <w:proofErr w:type="spellEnd"/>
            <w:r w:rsidRPr="0067779E">
              <w:rPr>
                <w:sz w:val="20"/>
                <w:szCs w:val="20"/>
              </w:rPr>
              <w:t xml:space="preserve"> баз данных» это</w:t>
            </w:r>
          </w:p>
          <w:p w:rsidR="0067779E" w:rsidRPr="0067779E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>1) объект исследования</w:t>
            </w:r>
          </w:p>
          <w:p w:rsidR="0067779E" w:rsidRPr="00B84542" w:rsidRDefault="0067779E" w:rsidP="0067779E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>2) предмет исследования</w:t>
            </w:r>
          </w:p>
        </w:tc>
      </w:tr>
      <w:tr w:rsidR="002A1B1E" w:rsidRPr="00B84542" w:rsidTr="00C46C32">
        <w:trPr>
          <w:trHeight w:val="1136"/>
        </w:trPr>
        <w:tc>
          <w:tcPr>
            <w:tcW w:w="11057" w:type="dxa"/>
            <w:gridSpan w:val="2"/>
          </w:tcPr>
          <w:p w:rsidR="002A1B1E" w:rsidRPr="002A1B1E" w:rsidRDefault="002A1B1E" w:rsidP="002A1B1E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Pr="002A1B1E">
              <w:rPr>
                <w:sz w:val="20"/>
                <w:szCs w:val="20"/>
              </w:rPr>
              <w:t>Название проекта</w:t>
            </w:r>
          </w:p>
          <w:p w:rsidR="002A1B1E" w:rsidRPr="002A1B1E" w:rsidRDefault="002A1B1E" w:rsidP="002A1B1E">
            <w:pPr>
              <w:pStyle w:val="a4"/>
              <w:ind w:left="0"/>
              <w:rPr>
                <w:sz w:val="20"/>
                <w:szCs w:val="20"/>
              </w:rPr>
            </w:pPr>
            <w:r w:rsidRPr="002A1B1E">
              <w:rPr>
                <w:sz w:val="20"/>
                <w:szCs w:val="20"/>
              </w:rPr>
              <w:t>«Цифровая трансформация процессов подготовки специалистов на основе модели конвергентного образования и интелле</w:t>
            </w:r>
            <w:r w:rsidRPr="002A1B1E">
              <w:rPr>
                <w:sz w:val="20"/>
                <w:szCs w:val="20"/>
              </w:rPr>
              <w:t>к</w:t>
            </w:r>
            <w:r w:rsidRPr="002A1B1E">
              <w:rPr>
                <w:sz w:val="20"/>
                <w:szCs w:val="20"/>
              </w:rPr>
              <w:t>туальных механизмов анализа регионального рынка труда».</w:t>
            </w:r>
          </w:p>
          <w:p w:rsidR="002A1B1E" w:rsidRPr="002A1B1E" w:rsidRDefault="00B71C56" w:rsidP="002A1B1E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ключевых слов:</w:t>
            </w:r>
          </w:p>
          <w:p w:rsidR="002A1B1E" w:rsidRPr="002A1B1E" w:rsidRDefault="002A1B1E" w:rsidP="002A1B1E">
            <w:pPr>
              <w:pStyle w:val="a4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2A1B1E">
              <w:rPr>
                <w:sz w:val="20"/>
                <w:szCs w:val="20"/>
              </w:rPr>
              <w:t>мультиагентный</w:t>
            </w:r>
            <w:proofErr w:type="spellEnd"/>
            <w:r w:rsidRPr="002A1B1E">
              <w:rPr>
                <w:sz w:val="20"/>
                <w:szCs w:val="20"/>
              </w:rPr>
              <w:t xml:space="preserve"> подход, подготовка специалистов, цифровая трансформация, интеллектуальная среда, большие данные, мониторинг, интеллектуальный анализ, моделирование, конвергенция, поддержка принятия решений, </w:t>
            </w:r>
            <w:proofErr w:type="gramEnd"/>
          </w:p>
          <w:p w:rsidR="002A1B1E" w:rsidRPr="00DD2960" w:rsidRDefault="002A1B1E" w:rsidP="002A1B1E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1B1E">
              <w:rPr>
                <w:sz w:val="20"/>
                <w:szCs w:val="20"/>
              </w:rPr>
              <w:t xml:space="preserve">ледуя правилу очередности написания ключевых слов, какое ключевое слово/словосочетание (на русском языке) должно стоять на первом месте? </w:t>
            </w:r>
          </w:p>
        </w:tc>
      </w:tr>
      <w:tr w:rsidR="002A1B1E" w:rsidRPr="00B84542" w:rsidTr="00B71C56">
        <w:trPr>
          <w:trHeight w:val="886"/>
        </w:trPr>
        <w:tc>
          <w:tcPr>
            <w:tcW w:w="11057" w:type="dxa"/>
            <w:gridSpan w:val="2"/>
          </w:tcPr>
          <w:p w:rsidR="002A1B1E" w:rsidRPr="00B84542" w:rsidRDefault="002A1B1E" w:rsidP="002A1B1E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Pr="002A1B1E">
              <w:rPr>
                <w:sz w:val="20"/>
                <w:szCs w:val="20"/>
              </w:rPr>
              <w:t xml:space="preserve">Сведения о научных </w:t>
            </w:r>
            <w:proofErr w:type="gramStart"/>
            <w:r w:rsidRPr="002A1B1E">
              <w:rPr>
                <w:sz w:val="20"/>
                <w:szCs w:val="20"/>
              </w:rPr>
              <w:t>журналах</w:t>
            </w:r>
            <w:proofErr w:type="gramEnd"/>
            <w:r w:rsidRPr="002A1B1E">
              <w:rPr>
                <w:sz w:val="20"/>
                <w:szCs w:val="20"/>
              </w:rPr>
              <w:t xml:space="preserve"> какой международной системы научного цитирования доступны на сайте https://www.scimagojr.com/?</w:t>
            </w:r>
          </w:p>
        </w:tc>
      </w:tr>
      <w:tr w:rsidR="00DD46F7" w:rsidRPr="00B84542" w:rsidTr="00B71C56">
        <w:trPr>
          <w:trHeight w:val="551"/>
        </w:trPr>
        <w:tc>
          <w:tcPr>
            <w:tcW w:w="5529" w:type="dxa"/>
          </w:tcPr>
          <w:p w:rsidR="00DD46F7" w:rsidRDefault="00B71C56" w:rsidP="00B71C5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Pr="00B71C56">
              <w:rPr>
                <w:sz w:val="20"/>
                <w:szCs w:val="20"/>
              </w:rPr>
              <w:t>В каком нормативном документе РФ определены обяза</w:t>
            </w:r>
            <w:r w:rsidRPr="00B71C56">
              <w:rPr>
                <w:sz w:val="20"/>
                <w:szCs w:val="20"/>
              </w:rPr>
              <w:t>н</w:t>
            </w:r>
            <w:r w:rsidRPr="00B71C56">
              <w:rPr>
                <w:sz w:val="20"/>
                <w:szCs w:val="20"/>
              </w:rPr>
              <w:t xml:space="preserve">ности исполнителя по договорам на выполнение НИР, ОКР, </w:t>
            </w:r>
            <w:proofErr w:type="gramStart"/>
            <w:r w:rsidRPr="00B71C56">
              <w:rPr>
                <w:sz w:val="20"/>
                <w:szCs w:val="20"/>
              </w:rPr>
              <w:t>ТР</w:t>
            </w:r>
            <w:proofErr w:type="gramEnd"/>
            <w:r w:rsidRPr="00B71C56">
              <w:rPr>
                <w:sz w:val="20"/>
                <w:szCs w:val="20"/>
              </w:rPr>
              <w:t>, а именно:  «По договору на выполнение научно-исследовательских работ исполнитель обязуется провести обусловленные техническим заданием заказчика научные исследования, а по договору на выполнение опытно-конструкторских и технологических работ ˗ разработать о</w:t>
            </w:r>
            <w:r w:rsidRPr="00B71C56">
              <w:rPr>
                <w:sz w:val="20"/>
                <w:szCs w:val="20"/>
              </w:rPr>
              <w:t>б</w:t>
            </w:r>
            <w:r w:rsidRPr="00B71C56">
              <w:rPr>
                <w:sz w:val="20"/>
                <w:szCs w:val="20"/>
              </w:rPr>
              <w:t>разец нового изделия или новую технологию, а также техн</w:t>
            </w:r>
            <w:r w:rsidRPr="00B71C56">
              <w:rPr>
                <w:sz w:val="20"/>
                <w:szCs w:val="20"/>
              </w:rPr>
              <w:t>и</w:t>
            </w:r>
            <w:r w:rsidRPr="00B71C56">
              <w:rPr>
                <w:sz w:val="20"/>
                <w:szCs w:val="20"/>
              </w:rPr>
              <w:t>ческую и (или) конструкторскую документацию на них, а з</w:t>
            </w:r>
            <w:r w:rsidRPr="00B71C56">
              <w:rPr>
                <w:sz w:val="20"/>
                <w:szCs w:val="20"/>
              </w:rPr>
              <w:t>а</w:t>
            </w:r>
            <w:r w:rsidRPr="00B71C56">
              <w:rPr>
                <w:sz w:val="20"/>
                <w:szCs w:val="20"/>
              </w:rPr>
              <w:t>казчик обязуется принять работу и оплатить ее».</w:t>
            </w:r>
          </w:p>
        </w:tc>
        <w:tc>
          <w:tcPr>
            <w:tcW w:w="5528" w:type="dxa"/>
          </w:tcPr>
          <w:p w:rsidR="00B71C56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>1) ФЗ «</w:t>
            </w:r>
            <w:r w:rsidRPr="00175BCE">
              <w:rPr>
                <w:color w:val="000000"/>
              </w:rPr>
              <w:t xml:space="preserve">О </w:t>
            </w:r>
            <w:r>
              <w:rPr>
                <w:color w:val="000000"/>
              </w:rPr>
              <w:t>науке и государственной научно-технической политике»</w:t>
            </w:r>
          </w:p>
          <w:p w:rsidR="00B71C56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>2) Гражданский кодекс РФ</w:t>
            </w:r>
          </w:p>
          <w:p w:rsidR="00B71C56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 xml:space="preserve">3) </w:t>
            </w:r>
            <w:r w:rsidRPr="00175BCE">
              <w:rPr>
                <w:color w:val="000000"/>
              </w:rPr>
              <w:t>Стратеги</w:t>
            </w:r>
            <w:r>
              <w:rPr>
                <w:color w:val="000000"/>
              </w:rPr>
              <w:t>я</w:t>
            </w:r>
            <w:r w:rsidRPr="00175BCE">
              <w:rPr>
                <w:color w:val="000000"/>
              </w:rPr>
              <w:t xml:space="preserve"> научно-технологическог</w:t>
            </w:r>
            <w:r>
              <w:rPr>
                <w:color w:val="000000"/>
              </w:rPr>
              <w:t>о развития Российской Федерации</w:t>
            </w:r>
          </w:p>
          <w:p w:rsidR="00B71C56" w:rsidRPr="00175BCE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 xml:space="preserve">4) </w:t>
            </w:r>
            <w:r w:rsidRPr="009C52B1">
              <w:rPr>
                <w:color w:val="000000"/>
              </w:rPr>
              <w:t>"ГОСТ 34831-2022. Межгосударственный стандарт. Интеллектуальная собственность. Научные произведения" (</w:t>
            </w:r>
            <w:proofErr w:type="gramStart"/>
            <w:r w:rsidRPr="009C52B1">
              <w:rPr>
                <w:color w:val="000000"/>
              </w:rPr>
              <w:t>введен</w:t>
            </w:r>
            <w:proofErr w:type="gramEnd"/>
            <w:r w:rsidRPr="009C52B1">
              <w:rPr>
                <w:color w:val="000000"/>
              </w:rPr>
              <w:t xml:space="preserve"> в действие Приказом </w:t>
            </w:r>
            <w:proofErr w:type="spellStart"/>
            <w:r w:rsidRPr="009C52B1">
              <w:rPr>
                <w:color w:val="000000"/>
              </w:rPr>
              <w:t>Росстандарта</w:t>
            </w:r>
            <w:proofErr w:type="spellEnd"/>
            <w:r w:rsidRPr="009C52B1">
              <w:rPr>
                <w:color w:val="000000"/>
              </w:rPr>
              <w:t xml:space="preserve"> от 16.05.2022 N 292-ст)</w:t>
            </w:r>
          </w:p>
          <w:p w:rsidR="00DD46F7" w:rsidRPr="00B84542" w:rsidRDefault="00DD46F7" w:rsidP="006C3890">
            <w:pPr>
              <w:rPr>
                <w:sz w:val="20"/>
                <w:szCs w:val="20"/>
              </w:rPr>
            </w:pPr>
          </w:p>
        </w:tc>
      </w:tr>
      <w:tr w:rsidR="00B71C56" w:rsidRPr="00B84542" w:rsidTr="00B71C56">
        <w:trPr>
          <w:trHeight w:val="409"/>
        </w:trPr>
        <w:tc>
          <w:tcPr>
            <w:tcW w:w="11057" w:type="dxa"/>
            <w:gridSpan w:val="2"/>
          </w:tcPr>
          <w:p w:rsidR="00B71C56" w:rsidRPr="00920990" w:rsidRDefault="00B71C56" w:rsidP="00B71C56">
            <w:pPr>
              <w:suppressAutoHyphens/>
              <w:rPr>
                <w:color w:val="000000"/>
              </w:rPr>
            </w:pPr>
            <w:r>
              <w:rPr>
                <w:color w:val="000000"/>
              </w:rPr>
              <w:t xml:space="preserve">10. </w:t>
            </w:r>
            <w:r w:rsidRPr="00920990">
              <w:rPr>
                <w:color w:val="000000"/>
              </w:rPr>
              <w:t xml:space="preserve">Значение </w:t>
            </w:r>
            <w:proofErr w:type="spellStart"/>
            <w:r w:rsidRPr="00920990">
              <w:rPr>
                <w:color w:val="000000"/>
              </w:rPr>
              <w:t>импакт-фактора</w:t>
            </w:r>
            <w:proofErr w:type="spellEnd"/>
            <w:r w:rsidRPr="009209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(является, не является) </w:t>
            </w:r>
            <w:r w:rsidRPr="00920990">
              <w:rPr>
                <w:color w:val="000000"/>
              </w:rPr>
              <w:t xml:space="preserve">гарантией высокого качества научного журнала. </w:t>
            </w:r>
          </w:p>
          <w:p w:rsidR="00B71C56" w:rsidRPr="00B84542" w:rsidRDefault="00B71C56">
            <w:pPr>
              <w:rPr>
                <w:sz w:val="20"/>
                <w:szCs w:val="20"/>
              </w:rPr>
            </w:pPr>
          </w:p>
        </w:tc>
      </w:tr>
    </w:tbl>
    <w:p w:rsidR="005E600C" w:rsidRDefault="00186B58">
      <w:pPr>
        <w:rPr>
          <w:sz w:val="20"/>
          <w:szCs w:val="20"/>
        </w:rPr>
      </w:pPr>
    </w:p>
    <w:sectPr w:rsidR="005E600C" w:rsidSect="00B71C56">
      <w:pgSz w:w="11906" w:h="16838"/>
      <w:pgMar w:top="567" w:right="851" w:bottom="397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45F8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33CD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B3196"/>
    <w:multiLevelType w:val="hybridMultilevel"/>
    <w:tmpl w:val="BD6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34FF3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D50E6"/>
    <w:multiLevelType w:val="hybridMultilevel"/>
    <w:tmpl w:val="295C1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B289D"/>
    <w:multiLevelType w:val="hybridMultilevel"/>
    <w:tmpl w:val="634A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2F97"/>
    <w:multiLevelType w:val="hybridMultilevel"/>
    <w:tmpl w:val="F2E6E812"/>
    <w:lvl w:ilvl="0" w:tplc="6D4C557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1A6"/>
    <w:multiLevelType w:val="hybridMultilevel"/>
    <w:tmpl w:val="F2E6E812"/>
    <w:lvl w:ilvl="0" w:tplc="6D4C557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F5D08"/>
    <w:multiLevelType w:val="hybridMultilevel"/>
    <w:tmpl w:val="BD6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9C691D"/>
    <w:rsid w:val="00002727"/>
    <w:rsid w:val="0003697A"/>
    <w:rsid w:val="000F72D9"/>
    <w:rsid w:val="00186B58"/>
    <w:rsid w:val="001C14B7"/>
    <w:rsid w:val="001C2A73"/>
    <w:rsid w:val="00236BCD"/>
    <w:rsid w:val="00263217"/>
    <w:rsid w:val="00274BA7"/>
    <w:rsid w:val="002A1B1E"/>
    <w:rsid w:val="002B232D"/>
    <w:rsid w:val="0030149A"/>
    <w:rsid w:val="003117E0"/>
    <w:rsid w:val="0034410B"/>
    <w:rsid w:val="00351C0C"/>
    <w:rsid w:val="0038245A"/>
    <w:rsid w:val="003C65BE"/>
    <w:rsid w:val="00401A2E"/>
    <w:rsid w:val="00425C8B"/>
    <w:rsid w:val="0046549E"/>
    <w:rsid w:val="004661D0"/>
    <w:rsid w:val="004E678E"/>
    <w:rsid w:val="00530579"/>
    <w:rsid w:val="0056519D"/>
    <w:rsid w:val="005C6A7A"/>
    <w:rsid w:val="005E2646"/>
    <w:rsid w:val="00667E15"/>
    <w:rsid w:val="0067779E"/>
    <w:rsid w:val="00681449"/>
    <w:rsid w:val="006901B8"/>
    <w:rsid w:val="00785FDE"/>
    <w:rsid w:val="00865A18"/>
    <w:rsid w:val="008C543F"/>
    <w:rsid w:val="008D25A4"/>
    <w:rsid w:val="008D6C8F"/>
    <w:rsid w:val="008E0BDD"/>
    <w:rsid w:val="009C691D"/>
    <w:rsid w:val="009E6C29"/>
    <w:rsid w:val="00A454B4"/>
    <w:rsid w:val="00A55AF7"/>
    <w:rsid w:val="00A855C9"/>
    <w:rsid w:val="00AA0A41"/>
    <w:rsid w:val="00AC1D74"/>
    <w:rsid w:val="00B70B2A"/>
    <w:rsid w:val="00B71C56"/>
    <w:rsid w:val="00B72993"/>
    <w:rsid w:val="00B84542"/>
    <w:rsid w:val="00BA0AA5"/>
    <w:rsid w:val="00BB2070"/>
    <w:rsid w:val="00C4034A"/>
    <w:rsid w:val="00CD306A"/>
    <w:rsid w:val="00DA329D"/>
    <w:rsid w:val="00DD412D"/>
    <w:rsid w:val="00DD46F7"/>
    <w:rsid w:val="00E669AF"/>
    <w:rsid w:val="00EA1945"/>
    <w:rsid w:val="00F36455"/>
    <w:rsid w:val="00F42092"/>
    <w:rsid w:val="00F446B8"/>
    <w:rsid w:val="00F44D3D"/>
    <w:rsid w:val="00F91BDF"/>
    <w:rsid w:val="00FA6548"/>
    <w:rsid w:val="00FD3ED7"/>
    <w:rsid w:val="00FD570A"/>
    <w:rsid w:val="00FD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4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4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Usr2</cp:lastModifiedBy>
  <cp:revision>7</cp:revision>
  <cp:lastPrinted>2018-05-22T12:39:00Z</cp:lastPrinted>
  <dcterms:created xsi:type="dcterms:W3CDTF">2023-05-17T10:47:00Z</dcterms:created>
  <dcterms:modified xsi:type="dcterms:W3CDTF">2023-05-18T05:35:00Z</dcterms:modified>
</cp:coreProperties>
</file>