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1057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529"/>
        <w:gridCol w:w="5527"/>
      </w:tblGrid>
      <w:tr>
        <w:trPr/>
        <w:tc>
          <w:tcPr>
            <w:tcW w:w="11056" w:type="dxa"/>
            <w:gridSpan w:val="2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Кроме общенаучных баз типа WoS , SCOPUS или РИНЦ в мире развивается множество отраслевых, тематических, посвященных публикациям одной дисциплины или их группы. Например, MathSciNet, MEDLINE (PubMed), INSPIRE, …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Укажите (прописными буквами, английский) название или аббревиатуру бесплатной международной тематической  базы  для составления библиографий и списков литературы в компьютерных науках.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Ответ:ACM Digital Library (ACM DL)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529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Установите правильную последовательность действий при написании статьи: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введение,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аннотация,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заголовок,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обсуждение,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материалы и методы,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результаты,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заключение,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8) благодарности,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список литературы.</w:t>
            </w:r>
          </w:p>
        </w:tc>
        <w:tc>
          <w:tcPr>
            <w:tcW w:w="5527" w:type="dxa"/>
            <w:tcBorders/>
          </w:tcPr>
          <w:p>
            <w:pPr>
              <w:pStyle w:val="Style17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left="707" w:hanging="283"/>
              <w:rPr/>
            </w:pPr>
            <w:r>
              <w:rPr>
                <w:sz w:val="20"/>
                <w:szCs w:val="20"/>
              </w:rPr>
              <w:t>Заголовок</w:t>
            </w:r>
          </w:p>
          <w:p>
            <w:pPr>
              <w:pStyle w:val="Style17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left="707" w:hanging="283"/>
              <w:rPr/>
            </w:pPr>
            <w:r>
              <w:rPr/>
              <w:t>Аннотация</w:t>
            </w:r>
          </w:p>
          <w:p>
            <w:pPr>
              <w:pStyle w:val="Style17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Введение</w:t>
            </w:r>
          </w:p>
          <w:p>
            <w:pPr>
              <w:pStyle w:val="Style17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Материалы и методы</w:t>
            </w:r>
          </w:p>
          <w:p>
            <w:pPr>
              <w:pStyle w:val="Style17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Результаты</w:t>
            </w:r>
          </w:p>
          <w:p>
            <w:pPr>
              <w:pStyle w:val="Style17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Обсуждение</w:t>
            </w:r>
          </w:p>
          <w:p>
            <w:pPr>
              <w:pStyle w:val="Style17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Заключение</w:t>
            </w:r>
          </w:p>
          <w:p>
            <w:pPr>
              <w:pStyle w:val="Style17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Список литературы</w:t>
            </w:r>
          </w:p>
          <w:p>
            <w:pPr>
              <w:pStyle w:val="Style17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sz w:val="20"/>
                <w:szCs w:val="20"/>
              </w:rPr>
            </w:pPr>
            <w:r>
              <w:rPr/>
              <w:t>Благодарности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52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3.Какие из указанных ниже недостатков характерны для индекса Хирша: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527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</w:t>
              <w:tab/>
              <w:t xml:space="preserve">не учитывает различия в цитируемости по областям науки; 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</w:t>
              <w:tab/>
              <w:t xml:space="preserve">не учитывает различия в относительном авторском вкладе; 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</w:t>
              <w:tab/>
              <w:t xml:space="preserve">не учитывает различия в возрасте ученых; 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</w:t>
              <w:tab/>
              <w:t>недостаточно учитывает фактическое число цитирований публикаций, особенно отдельных высокоцитируемых работ;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5)</w:t>
              <w:tab/>
              <w:t>не исключает авторские самоцитирования и цитирования сети соавторов.</w:t>
            </w:r>
          </w:p>
        </w:tc>
      </w:tr>
      <w:tr>
        <w:trPr/>
        <w:tc>
          <w:tcPr>
            <w:tcW w:w="552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4.Приведите примеры результатов интеллектуальной деятельности, которым предоставляется правовая охрана (не менее  5)</w:t>
            </w:r>
          </w:p>
        </w:tc>
        <w:tc>
          <w:tcPr>
            <w:tcW w:w="5527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Патенты, авторские права, торговые марки, дизайн патенты, права на ПО, географические обозначения</w:t>
            </w:r>
          </w:p>
        </w:tc>
      </w:tr>
      <w:tr>
        <w:trPr/>
        <w:tc>
          <w:tcPr>
            <w:tcW w:w="552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5.Цифровой идентификатор объекта, представляющий собой не только уникальный номер, но и устойчивый URL-адрес, в норме ведущий именно на страницу расположения документа, которому он присвоен.</w:t>
            </w:r>
          </w:p>
        </w:tc>
        <w:tc>
          <w:tcPr>
            <w:tcW w:w="5527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</w:t>
            </w:r>
          </w:p>
        </w:tc>
      </w:tr>
      <w:tr>
        <w:trPr>
          <w:trHeight w:val="1402" w:hRule="atLeast"/>
        </w:trPr>
        <w:tc>
          <w:tcPr>
            <w:tcW w:w="11056" w:type="dxa"/>
            <w:gridSpan w:val="2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В формулировке темы исследований должны присутствовать сведения об объекте и предмете исследований. Реализация темпоральных баз данных на основе объектно- ориентированной модели для магистерской диссертации по теме «Разработка методов проектирования объектно-ориентированных темпоральных баз данных» это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объект исследования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>
              <w:rPr>
                <w:b/>
                <w:bCs/>
                <w:sz w:val="20"/>
                <w:szCs w:val="20"/>
              </w:rPr>
              <w:t>предмет исследования(ответ)</w:t>
            </w:r>
          </w:p>
        </w:tc>
      </w:tr>
      <w:tr>
        <w:trPr>
          <w:trHeight w:val="1136" w:hRule="atLeast"/>
        </w:trPr>
        <w:tc>
          <w:tcPr>
            <w:tcW w:w="11056" w:type="dxa"/>
            <w:gridSpan w:val="2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7.Название проекта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«Цифровая трансформация процессов подготовки специалистов на основе модели конвергентного образования и интеллектуальных механизмов анализа регионального рынка труда».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Набор ключевых слов: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мультиагентный подход, подготовка специалистов, цифровая трансформация, интеллектуальная среда, большие данные, мониторинг, интеллектуальный анализ, моделирование, конвергенция, поддержка принятия решений,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Следуя правилу очередности написания ключевых слов, какое ключевое слово/словосочетание (на русском языке) должно стоять на первом месте? </w:t>
              <w:br/>
            </w:r>
            <w:r>
              <w:rPr>
                <w:b/>
                <w:bCs/>
                <w:sz w:val="20"/>
                <w:szCs w:val="20"/>
              </w:rPr>
              <w:t>Ответ:Цифровая трансформация</w:t>
            </w:r>
          </w:p>
        </w:tc>
      </w:tr>
      <w:tr>
        <w:trPr>
          <w:trHeight w:val="886" w:hRule="atLeast"/>
        </w:trPr>
        <w:tc>
          <w:tcPr>
            <w:tcW w:w="11056" w:type="dxa"/>
            <w:gridSpan w:val="2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8.Сведения о научных журналах какой международной системы научного цитирования доступны на сайте </w:t>
            </w:r>
            <w:hyperlink r:id="rId2">
              <w:r>
                <w:rPr>
                  <w:sz w:val="20"/>
                  <w:szCs w:val="20"/>
                </w:rPr>
                <w:t>https://www.scimagojr.com/</w:t>
              </w:r>
            </w:hyperlink>
            <w:r>
              <w:rPr>
                <w:sz w:val="20"/>
                <w:szCs w:val="20"/>
              </w:rPr>
              <w:t>?</w:t>
              <w:br/>
            </w:r>
            <w:r>
              <w:rPr>
                <w:b/>
                <w:bCs/>
                <w:sz w:val="20"/>
                <w:szCs w:val="20"/>
              </w:rPr>
              <w:t>Ответ:Да</w:t>
            </w:r>
          </w:p>
        </w:tc>
      </w:tr>
      <w:tr>
        <w:trPr>
          <w:trHeight w:val="551" w:hRule="atLeast"/>
        </w:trPr>
        <w:tc>
          <w:tcPr>
            <w:tcW w:w="552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9.В каком нормативном документе РФ определены обязанности исполнителя по договорам на выполнение НИР, ОКР, ТР, а именно:  «По договору на выполнение научно-исследовательских работ исполнитель обязуется провести обусловленные техническим заданием заказчика научные исследования, а по договору на выполнение опытно-конструкторских и технологических работ ˗ разработать образец нового изделия или новую технологию, а также техническую и (или) конструкторскую документацию на них, а заказчик обязуется принять работу и оплатить ее».</w:t>
            </w:r>
          </w:p>
        </w:tc>
        <w:tc>
          <w:tcPr>
            <w:tcW w:w="5527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left="709" w:hanging="0"/>
              <w:rPr>
                <w:color w:val="000000"/>
              </w:rPr>
            </w:pPr>
            <w:r>
              <w:rPr>
                <w:color w:val="000000"/>
              </w:rPr>
              <w:t>1) ФЗ «О науке и государственной научно-технической политике»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709" w:hanging="0"/>
              <w:rPr>
                <w:color w:val="000000"/>
              </w:rPr>
            </w:pPr>
            <w:r>
              <w:rPr>
                <w:color w:val="000000"/>
              </w:rPr>
              <w:t>2) Гражданский кодекс РФ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709" w:hanging="0"/>
              <w:rPr>
                <w:color w:val="000000"/>
              </w:rPr>
            </w:pPr>
            <w:r>
              <w:rPr>
                <w:color w:val="000000"/>
              </w:rPr>
              <w:t>3) Стратегия научно-технологического развития Российской Федерации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709" w:hanging="0"/>
              <w:rPr>
                <w:color w:val="000000"/>
              </w:rPr>
            </w:pPr>
            <w:r>
              <w:rPr>
                <w:color w:val="000000"/>
              </w:rPr>
              <w:t>4) "ГОСТ 34831-2022. Межгосударственный стандарт. Интеллектуальная собственность. Научные произведения" (введен в действие Приказом Росстандарта от 16.05.2022 N 292-ст)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09" w:hRule="atLeast"/>
        </w:trPr>
        <w:tc>
          <w:tcPr>
            <w:tcW w:w="11056" w:type="dxa"/>
            <w:gridSpan w:val="2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10. Значение импакт-фактора (является, не является) гарантией высокого качества научного журнала. </w:t>
              <w:br/>
            </w:r>
            <w:r>
              <w:rPr>
                <w:b/>
                <w:bCs/>
                <w:color w:val="000000"/>
              </w:rPr>
              <w:t>Ответ:Не является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200"/>
        <w:rPr>
          <w:sz w:val="20"/>
          <w:szCs w:val="20"/>
        </w:rPr>
      </w:pPr>
      <w:r>
        <w:rPr/>
      </w:r>
    </w:p>
    <w:sectPr>
      <w:type w:val="nextPage"/>
      <w:pgSz w:w="11906" w:h="16838"/>
      <w:pgMar w:left="1361" w:right="851" w:header="0" w:top="567" w:footer="0" w:bottom="39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)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)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)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)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)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)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)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)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b2070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4ba7"/>
    <w:pPr>
      <w:spacing w:before="0" w:after="200"/>
      <w:ind w:left="720" w:hanging="0"/>
      <w:contextualSpacing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74ba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imagojr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2</Pages>
  <Words>435</Words>
  <Characters>3226</Characters>
  <CharactersWithSpaces>3622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2023-05-17T10:47:00Z</dcterms:created>
  <dc:creator>Марина</dc:creator>
  <dc:description/>
  <dc:language>ru-RU</dc:language>
  <cp:lastModifiedBy/>
  <cp:lastPrinted>2018-05-22T12:39:00Z</cp:lastPrinted>
  <dcterms:modified xsi:type="dcterms:W3CDTF">2023-06-26T16:31:27Z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