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1057" w:type="dxa"/>
        <w:jc w:val="left"/>
        <w:tblInd w:w="-102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28"/>
        <w:gridCol w:w="5528"/>
      </w:tblGrid>
      <w:tr>
        <w:trPr>
          <w:trHeight w:val="1125" w:hRule="atLeast"/>
        </w:trPr>
        <w:tc>
          <w:tcPr>
            <w:tcW w:w="11056" w:type="dxa"/>
            <w:gridSpan w:val="2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1.Исключите неверный ответ.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Функции DOI: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Гиперссылка, для цитирования документов, подсчет числа цитирований, создание перекрестных ссылок, </w:t>
            </w:r>
            <w:r>
              <w:rPr>
                <w:strike/>
                <w:sz w:val="20"/>
                <w:szCs w:val="20"/>
              </w:rPr>
              <w:t>антиплагиат</w:t>
            </w:r>
            <w:r>
              <w:rPr>
                <w:sz w:val="20"/>
                <w:szCs w:val="20"/>
              </w:rPr>
              <w:t>, участие в оценке эффективности научных учреждений и издательств</w:t>
            </w:r>
          </w:p>
        </w:tc>
      </w:tr>
      <w:tr>
        <w:trPr/>
        <w:tc>
          <w:tcPr>
            <w:tcW w:w="5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2.Установите правильную последовательность действий при написании статьи: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введение,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аннотация,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заголовок,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обсуждение,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материалы и методы,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6) результаты,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заключение,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благодарности,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список литературы.</w:t>
            </w:r>
          </w:p>
        </w:tc>
        <w:tc>
          <w:tcPr>
            <w:tcW w:w="5528" w:type="dxa"/>
            <w:tcBorders/>
          </w:tcPr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left="707" w:hanging="283"/>
              <w:rPr/>
            </w:pPr>
            <w:r>
              <w:rPr>
                <w:sz w:val="20"/>
                <w:szCs w:val="20"/>
              </w:rPr>
              <w:t>Заголовок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lineRule="auto" w:line="240" w:before="0" w:after="0"/>
              <w:ind w:left="707" w:hanging="283"/>
              <w:rPr/>
            </w:pPr>
            <w:r>
              <w:rPr/>
              <w:t>Аннотация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Введение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Материалы и методы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Результаты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Обсуждение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Заключение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/>
              <w:t>Список литературы</w:t>
            </w:r>
          </w:p>
          <w:p>
            <w:pPr>
              <w:pStyle w:val="Style16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ind w:left="707" w:hanging="283"/>
              <w:rPr>
                <w:sz w:val="20"/>
                <w:szCs w:val="20"/>
              </w:rPr>
            </w:pPr>
            <w:r>
              <w:rPr/>
              <w:t>Благодарности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3.Какие из указанных ниже недостатков характерны для индекса Хирша: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</w:t>
              <w:tab/>
              <w:t xml:space="preserve">не учитывает различия в цитируемости по областям науки;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</w:t>
              <w:tab/>
              <w:t xml:space="preserve">не учитывает различия в относительном авторском вкладе;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</w:t>
              <w:tab/>
              <w:t xml:space="preserve">не учитывает различия в возрасте ученых; 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</w:t>
              <w:tab/>
              <w:t>недостаточно учитывает фактическое число цитирований публикаций, особенно отдельных высокоцитируемых работ;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</w:t>
              <w:tab/>
              <w:t>не исключает авторские самоцитирования и цитирования сети соавторов.</w:t>
            </w:r>
          </w:p>
        </w:tc>
      </w:tr>
      <w:tr>
        <w:trPr>
          <w:trHeight w:val="1220" w:hRule="atLeast"/>
        </w:trPr>
        <w:tc>
          <w:tcPr>
            <w:tcW w:w="5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4.Приведите примеры результатов интеллектуальной деятельности, которым предоставляется правовая охрана (не менее  5)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Патенты, авторские права, торговые марки, дизайн патенты, права на ПО, географические обозначения</w:t>
            </w:r>
          </w:p>
        </w:tc>
      </w:tr>
      <w:tr>
        <w:trPr>
          <w:trHeight w:val="763" w:hRule="atLeast"/>
        </w:trPr>
        <w:tc>
          <w:tcPr>
            <w:tcW w:w="11056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color w:val="000000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color w:val="000000"/>
              </w:rPr>
              <w:t xml:space="preserve"> Авторские идентификаторы ˗ один их ключевых типов метаданных в современной науке.  Укажите авторский идентификатор, поиск по которому доступен во всех основных наукометрических базах, кроме Google Scholar.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Указать прописными буквами на английском языке.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Ответ:ORCID</w:t>
            </w:r>
          </w:p>
        </w:tc>
      </w:tr>
      <w:tr>
        <w:trPr>
          <w:trHeight w:val="1227" w:hRule="atLeast"/>
        </w:trPr>
        <w:tc>
          <w:tcPr>
            <w:tcW w:w="11056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В формулировке темы исследований должны присутствовать сведения об объекте и предмете исследований. </w:t>
            </w:r>
            <w:r>
              <w:rPr>
                <w:i/>
                <w:sz w:val="20"/>
                <w:szCs w:val="20"/>
              </w:rPr>
              <w:t>Темпоральные базы данных</w:t>
            </w:r>
            <w:r>
              <w:rPr>
                <w:sz w:val="20"/>
                <w:szCs w:val="20"/>
              </w:rPr>
              <w:t xml:space="preserve"> для магистерской диссертации по теме «Разработка методов проектирования объектно-ориентированных темпоральных баз данных» это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объект исследования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2) предмет исследования</w:t>
            </w:r>
          </w:p>
        </w:tc>
      </w:tr>
      <w:tr>
        <w:trPr>
          <w:trHeight w:val="1136" w:hRule="atLeast"/>
        </w:trPr>
        <w:tc>
          <w:tcPr>
            <w:tcW w:w="55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Интеллектуальные права  ……от права собственности и иных вещных прав на материальный носитель (вещь), в котором выражены соответствующие результат интеллектуальной деятельности или средство индивидуализации.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Не зависят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86" w:hRule="atLeast"/>
        </w:trPr>
        <w:tc>
          <w:tcPr>
            <w:tcW w:w="11056" w:type="dxa"/>
            <w:gridSpan w:val="2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 xml:space="preserve">Сведения о научных журналах какой международной системы научного цитирования доступны на сайте  </w:t>
            </w:r>
            <w:hyperlink r:id="rId2">
              <w:r>
                <w:rPr>
                  <w:sz w:val="20"/>
                  <w:szCs w:val="20"/>
                </w:rPr>
                <w:t>https://mjl.clarivate.com/home</w:t>
              </w:r>
            </w:hyperlink>
            <w:r>
              <w:rPr>
                <w:sz w:val="20"/>
                <w:szCs w:val="20"/>
              </w:rPr>
              <w:t>?</w:t>
              <w:br/>
            </w:r>
            <w:r>
              <w:rPr>
                <w:b/>
                <w:bCs/>
                <w:sz w:val="20"/>
                <w:szCs w:val="20"/>
              </w:rPr>
              <w:t>Ответ:Да.</w:t>
            </w:r>
          </w:p>
        </w:tc>
      </w:tr>
      <w:tr>
        <w:trPr>
          <w:trHeight w:val="551" w:hRule="atLeast"/>
        </w:trPr>
        <w:tc>
          <w:tcPr>
            <w:tcW w:w="5528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9.В каком нормативном документе РФ определены обязанности исполнителя по договорам на выполнение НИР, ОКР, ТР, а именно:  «По договору на выполнение научно-исследовательских работ исполнитель обязуется провести обусловленные техническим заданием заказчика научные исследования, а по договору на выполнение опытно-конструкторских и технологических работ ˗ разработать образец нового изделия или новую технологию, а также техническую и (или) конструкторскую документацию на них, а заказчик обязуется принять работу и оплатить ее».</w:t>
            </w:r>
          </w:p>
        </w:tc>
        <w:tc>
          <w:tcPr>
            <w:tcW w:w="552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1) ФЗ «О науке и государственной научно-технической политике»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2) Гражданский кодекс РФ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3) Стратегия научно-технологического развития Российской Федерации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709" w:hanging="0"/>
              <w:rPr>
                <w:color w:val="000000"/>
              </w:rPr>
            </w:pPr>
            <w:r>
              <w:rPr>
                <w:color w:val="000000"/>
              </w:rPr>
              <w:t>4) "ГОСТ 34831-2022. Межгосударственный стандарт. Интеллектуальная собственность. Научные произведения" (введен в действие Приказом Росстандарта от 16.05.2022 N 292-ст)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9" w:hRule="atLeast"/>
        </w:trPr>
        <w:tc>
          <w:tcPr>
            <w:tcW w:w="11056" w:type="dxa"/>
            <w:gridSpan w:val="2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000000"/>
              </w:rPr>
              <w:t>10. Существующий размер НДС для договоров на проведение НИОКТР.</w:t>
            </w:r>
          </w:p>
          <w:p>
            <w:pPr>
              <w:pStyle w:val="Normal"/>
              <w:suppressAutoHyphens w:val="tru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Ответ 20%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00"/>
        <w:rPr>
          <w:sz w:val="20"/>
          <w:szCs w:val="20"/>
        </w:rPr>
      </w:pPr>
      <w:r>
        <w:rPr/>
      </w:r>
    </w:p>
    <w:sectPr>
      <w:type w:val="nextPage"/>
      <w:pgSz w:w="11906" w:h="16838"/>
      <w:pgMar w:left="1361" w:right="851" w:header="0" w:top="567" w:footer="0" w:bottom="39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)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)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)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)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)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)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)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)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2070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4ba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74b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jl.clarivate.com/h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65709-776B-4D72-A69B-8830A56E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373</Words>
  <Characters>2687</Characters>
  <CharactersWithSpaces>3022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2023-05-17T11:35:00Z</dcterms:created>
  <dc:creator>Марина</dc:creator>
  <dc:description/>
  <dc:language>ru-RU</dc:language>
  <cp:lastModifiedBy/>
  <cp:lastPrinted>2018-05-22T12:39:00Z</cp:lastPrinted>
  <dcterms:modified xsi:type="dcterms:W3CDTF">2023-06-26T16:32:50Z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